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color w:val="ff0000"/>
          <w:sz w:val="22"/>
          <w:szCs w:val="22"/>
        </w:rPr>
      </w:pPr>
      <w:bookmarkStart w:colFirst="0" w:colLast="0" w:name="_fexy9otblgaf" w:id="0"/>
      <w:bookmarkEnd w:id="0"/>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rtl w:val="0"/>
        </w:rPr>
        <w:t xml:space="preserve">COMMITTEE ON STANDARDS IN PUBLIC </w:t>
      </w:r>
      <w:r w:rsidDel="00000000" w:rsidR="00000000" w:rsidRPr="00000000">
        <w:rPr>
          <w:rFonts w:ascii="Arial" w:cs="Arial" w:eastAsia="Arial" w:hAnsi="Arial"/>
          <w:b w:val="1"/>
          <w:sz w:val="22"/>
          <w:szCs w:val="22"/>
          <w:rtl w:val="0"/>
        </w:rPr>
        <w:t xml:space="preserve">LIFE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TWO HUNDRED AND SIXTY-NINTH MEETING </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BE HELD ON THURSDAY 18 JULY 2019 AT 10</w:t>
      </w:r>
      <w:r w:rsidDel="00000000" w:rsidR="00000000" w:rsidRPr="00000000">
        <w:rPr>
          <w:rFonts w:ascii="Arial" w:cs="Arial" w:eastAsia="Arial" w:hAnsi="Arial"/>
          <w:b w:val="1"/>
          <w:sz w:val="22"/>
          <w:szCs w:val="22"/>
          <w:rtl w:val="0"/>
        </w:rPr>
        <w:t xml:space="preserve">.00 </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CONFERENCE ROOM E, 70 </w:t>
      </w:r>
      <w:r w:rsidDel="00000000" w:rsidR="00000000" w:rsidRPr="00000000">
        <w:rPr>
          <w:rFonts w:ascii="Arial" w:cs="Arial" w:eastAsia="Arial" w:hAnsi="Arial"/>
          <w:b w:val="1"/>
          <w:sz w:val="22"/>
          <w:szCs w:val="22"/>
          <w:rtl w:val="0"/>
        </w:rPr>
        <w:t xml:space="preserve">WHITEHALL</w:t>
      </w: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Professor Cees Van der Eijk and Dr Jonathan Rose will join the Committee at 10.00 before the start of formal business to discuss their work on public perceptions of fairness of the EU referendum</w:t>
      </w: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AGENDA</w:t>
      </w:r>
      <w:r w:rsidDel="00000000" w:rsidR="00000000" w:rsidRPr="00000000">
        <w:rPr>
          <w:rFonts w:ascii="Arial" w:cs="Arial" w:eastAsia="Arial" w:hAnsi="Arial"/>
          <w:b w:val="1"/>
          <w:i w:val="1"/>
          <w:sz w:val="22"/>
          <w:szCs w:val="22"/>
          <w:rtl w:val="0"/>
        </w:rPr>
        <w:br w:type="textWrapping"/>
      </w:r>
      <w:r w:rsidDel="00000000" w:rsidR="00000000" w:rsidRPr="00000000">
        <w:rPr>
          <w:rtl w:val="0"/>
        </w:rPr>
      </w:r>
    </w:p>
    <w:tbl>
      <w:tblPr>
        <w:tblStyle w:val="Table1"/>
        <w:tblW w:w="10905.0" w:type="dxa"/>
        <w:jc w:val="left"/>
        <w:tblInd w:w="-8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1950"/>
        <w:gridCol w:w="5295"/>
        <w:gridCol w:w="1815"/>
        <w:gridCol w:w="1275"/>
        <w:tblGridChange w:id="0">
          <w:tblGrid>
            <w:gridCol w:w="570"/>
            <w:gridCol w:w="1950"/>
            <w:gridCol w:w="5295"/>
            <w:gridCol w:w="1815"/>
            <w:gridCol w:w="1275"/>
          </w:tblGrid>
        </w:tblGridChange>
      </w:tblGrid>
      <w:tr>
        <w:trPr>
          <w:trHeight w:val="520" w:hRule="atLeast"/>
        </w:trPr>
        <w:tc>
          <w:tcPr/>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Agenda item</w:t>
            </w:r>
            <w:r w:rsidDel="00000000" w:rsidR="00000000" w:rsidRPr="00000000">
              <w:rPr>
                <w:rtl w:val="0"/>
              </w:rPr>
            </w:r>
          </w:p>
        </w:tc>
        <w:tc>
          <w:tcPr/>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Details</w:t>
            </w: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Papers</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Indicative timings</w:t>
            </w:r>
            <w:r w:rsidDel="00000000" w:rsidR="00000000" w:rsidRPr="00000000">
              <w:rPr>
                <w:rtl w:val="0"/>
              </w:rPr>
            </w:r>
          </w:p>
        </w:tc>
      </w:tr>
      <w:tr>
        <w:trPr>
          <w:trHeight w:val="400" w:hRule="atLeast"/>
        </w:trPr>
        <w:tc>
          <w:tcPr/>
          <w:p w:rsidR="00000000" w:rsidDel="00000000" w:rsidP="00000000" w:rsidRDefault="00000000" w:rsidRPr="00000000" w14:paraId="0000000E">
            <w:pPr>
              <w:spacing w:after="0" w:before="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F">
            <w:pPr>
              <w:ind w:left="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Discussion with Professor Cees Van der Eijk and Dr Jonathan </w:t>
            </w:r>
            <w:r w:rsidDel="00000000" w:rsidR="00000000" w:rsidRPr="00000000">
              <w:rPr>
                <w:rFonts w:ascii="Arial" w:cs="Arial" w:eastAsia="Arial" w:hAnsi="Arial"/>
                <w:sz w:val="22"/>
                <w:szCs w:val="22"/>
                <w:rtl w:val="0"/>
              </w:rPr>
              <w:t xml:space="preserve">Rose</w:t>
            </w:r>
            <w:r w:rsidDel="00000000" w:rsidR="00000000" w:rsidRPr="00000000">
              <w:rPr>
                <w:rtl w:val="0"/>
              </w:rPr>
            </w:r>
          </w:p>
        </w:tc>
        <w:tc>
          <w:tcPr/>
          <w:p w:rsidR="00000000" w:rsidDel="00000000" w:rsidP="00000000" w:rsidRDefault="00000000" w:rsidRPr="00000000" w14:paraId="0000001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CSPL (19) 69</w:t>
            </w:r>
          </w:p>
        </w:tc>
        <w:tc>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10.00</w:t>
            </w:r>
          </w:p>
        </w:tc>
      </w:tr>
      <w:tr>
        <w:trPr>
          <w:trHeight w:val="400" w:hRule="atLeast"/>
        </w:trPr>
        <w:tc>
          <w:tcPr/>
          <w:p w:rsidR="00000000" w:rsidDel="00000000" w:rsidP="00000000" w:rsidRDefault="00000000" w:rsidRPr="00000000" w14:paraId="00000013">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14">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Apologies</w:t>
            </w:r>
          </w:p>
        </w:tc>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Professor Mark Philp</w:t>
            </w:r>
          </w:p>
        </w:tc>
        <w:tc>
          <w:tcPr/>
          <w:p w:rsidR="00000000" w:rsidDel="00000000" w:rsidP="00000000" w:rsidRDefault="00000000" w:rsidRPr="00000000" w14:paraId="0000001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10.45</w:t>
            </w:r>
          </w:p>
        </w:tc>
      </w:tr>
      <w:tr>
        <w:trPr>
          <w:trHeight w:val="920" w:hRule="atLeast"/>
        </w:trPr>
        <w:tc>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Registers</w:t>
            </w:r>
          </w:p>
          <w:p w:rsidR="00000000" w:rsidDel="00000000" w:rsidP="00000000" w:rsidRDefault="00000000" w:rsidRPr="00000000" w14:paraId="0000001A">
            <w:pPr>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1B">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The Committee will be asked to agree the register of interests for publication on the Committee’s </w:t>
            </w:r>
            <w:r w:rsidDel="00000000" w:rsidR="00000000" w:rsidRPr="00000000">
              <w:rPr>
                <w:rFonts w:ascii="Arial" w:cs="Arial" w:eastAsia="Arial" w:hAnsi="Arial"/>
                <w:sz w:val="22"/>
                <w:szCs w:val="22"/>
                <w:rtl w:val="0"/>
              </w:rPr>
              <w:t xml:space="preserve">website</w:t>
            </w:r>
            <w:r w:rsidDel="00000000" w:rsidR="00000000" w:rsidRPr="00000000">
              <w:rPr>
                <w:rFonts w:ascii="Arial" w:cs="Arial" w:eastAsia="Arial" w:hAnsi="Arial"/>
                <w:sz w:val="22"/>
                <w:szCs w:val="22"/>
                <w:rtl w:val="0"/>
              </w:rPr>
              <w:t xml:space="preserve">.</w:t>
            </w:r>
            <w:r w:rsidDel="00000000" w:rsidR="00000000" w:rsidRPr="00000000">
              <w:rPr>
                <w:rtl w:val="0"/>
              </w:rPr>
            </w:r>
          </w:p>
        </w:tc>
        <w:tc>
          <w:tcPr/>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To be tabled</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10.45</w:t>
            </w:r>
          </w:p>
        </w:tc>
      </w:tr>
      <w:tr>
        <w:trPr>
          <w:trHeight w:val="1180" w:hRule="atLeast"/>
        </w:trPr>
        <w:tc>
          <w:tcPr/>
          <w:p w:rsidR="00000000" w:rsidDel="00000000" w:rsidP="00000000" w:rsidRDefault="00000000" w:rsidRPr="00000000" w14:paraId="0000001F">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20">
            <w:pPr>
              <w:spacing w:after="0" w:before="0" w:line="24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Minutes and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b w:val="0"/>
                <w:color w:val="000000"/>
                <w:sz w:val="22"/>
                <w:szCs w:val="22"/>
                <w:rtl w:val="0"/>
              </w:rPr>
              <w:t xml:space="preserve">atters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color w:val="000000"/>
                <w:sz w:val="22"/>
                <w:szCs w:val="22"/>
                <w:rtl w:val="0"/>
              </w:rPr>
              <w:t xml:space="preserve">rising</w:t>
            </w:r>
          </w:p>
          <w:p w:rsidR="00000000" w:rsidDel="00000000" w:rsidP="00000000" w:rsidRDefault="00000000" w:rsidRPr="00000000" w14:paraId="00000021">
            <w:pPr>
              <w:spacing w:after="0" w:before="0" w:line="240" w:lineRule="auto"/>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asked to approve the </w:t>
            </w:r>
            <w:r w:rsidDel="00000000" w:rsidR="00000000" w:rsidRPr="00000000">
              <w:rPr>
                <w:rFonts w:ascii="Arial" w:cs="Arial" w:eastAsia="Arial" w:hAnsi="Arial"/>
                <w:sz w:val="22"/>
                <w:szCs w:val="22"/>
                <w:rtl w:val="0"/>
              </w:rPr>
              <w:t xml:space="preserve">minutes</w:t>
            </w:r>
            <w:r w:rsidDel="00000000" w:rsidR="00000000" w:rsidRPr="00000000">
              <w:rPr>
                <w:rFonts w:ascii="Arial" w:cs="Arial" w:eastAsia="Arial" w:hAnsi="Arial"/>
                <w:sz w:val="22"/>
                <w:szCs w:val="22"/>
                <w:rtl w:val="0"/>
              </w:rPr>
              <w:t xml:space="preserve"> from May’s Committee meeting and note any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rtl w:val="0"/>
              </w:rPr>
              <w:t xml:space="preserve">atters </w:t>
            </w:r>
            <w:r w:rsidDel="00000000" w:rsidR="00000000" w:rsidRPr="00000000">
              <w:rPr>
                <w:rFonts w:ascii="Arial" w:cs="Arial" w:eastAsia="Arial" w:hAnsi="Arial"/>
                <w:sz w:val="22"/>
                <w:szCs w:val="22"/>
                <w:rtl w:val="0"/>
              </w:rPr>
              <w:t xml:space="preserve">arisin</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3">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Update from the </w:t>
            </w:r>
            <w:r w:rsidDel="00000000" w:rsidR="00000000" w:rsidRPr="00000000">
              <w:rPr>
                <w:rFonts w:ascii="Arial" w:cs="Arial" w:eastAsia="Arial" w:hAnsi="Arial"/>
                <w:sz w:val="22"/>
                <w:szCs w:val="22"/>
                <w:rtl w:val="0"/>
              </w:rPr>
              <w:t xml:space="preserve">Chair</w:t>
            </w:r>
            <w:r w:rsidDel="00000000" w:rsidR="00000000" w:rsidRPr="00000000">
              <w:rPr>
                <w:rFonts w:ascii="Arial" w:cs="Arial" w:eastAsia="Arial" w:hAnsi="Arial"/>
                <w:sz w:val="22"/>
                <w:szCs w:val="22"/>
                <w:rtl w:val="0"/>
              </w:rPr>
              <w:t xml:space="preserve">.</w:t>
            </w:r>
            <w:r w:rsidDel="00000000" w:rsidR="00000000" w:rsidRPr="00000000">
              <w:rPr>
                <w:rtl w:val="0"/>
              </w:rPr>
            </w:r>
          </w:p>
        </w:tc>
        <w:tc>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w:t>
            </w:r>
            <w:r w:rsidDel="00000000" w:rsidR="00000000" w:rsidRPr="00000000">
              <w:rPr>
                <w:rFonts w:ascii="Arial" w:cs="Arial" w:eastAsia="Arial" w:hAnsi="Arial"/>
                <w:sz w:val="22"/>
                <w:szCs w:val="22"/>
                <w:rtl w:val="0"/>
              </w:rPr>
              <w:t xml:space="preserve">70</w:t>
            </w: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w:t>
            </w:r>
            <w:r w:rsidDel="00000000" w:rsidR="00000000" w:rsidRPr="00000000">
              <w:rPr>
                <w:rFonts w:ascii="Arial" w:cs="Arial" w:eastAsia="Arial" w:hAnsi="Arial"/>
                <w:sz w:val="22"/>
                <w:szCs w:val="22"/>
                <w:rtl w:val="0"/>
              </w:rPr>
              <w:t xml:space="preserve">71</w:t>
            </w:r>
            <w:r w:rsidDel="00000000" w:rsidR="00000000" w:rsidRPr="00000000">
              <w:rPr>
                <w:rtl w:val="0"/>
              </w:rPr>
            </w:r>
          </w:p>
        </w:tc>
        <w:tc>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10.50</w:t>
            </w:r>
          </w:p>
        </w:tc>
      </w:tr>
      <w:tr>
        <w:trPr>
          <w:trHeight w:val="860" w:hRule="atLeast"/>
        </w:trPr>
        <w:tc>
          <w:tcPr>
            <w:shd w:fill="ffffff" w:val="clea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ff" w:val="clear"/>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Bullyi</w:t>
            </w:r>
            <w:r w:rsidDel="00000000" w:rsidR="00000000" w:rsidRPr="00000000">
              <w:rPr>
                <w:rFonts w:ascii="Arial" w:cs="Arial" w:eastAsia="Arial" w:hAnsi="Arial"/>
                <w:sz w:val="22"/>
                <w:szCs w:val="22"/>
                <w:rtl w:val="0"/>
              </w:rPr>
              <w:t xml:space="preserve">ng and Harassment in Parliament</w:t>
            </w:r>
          </w:p>
        </w:tc>
        <w:tc>
          <w:tcPr>
            <w:shd w:fill="ffffff" w:val="clear"/>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 an update on the latest position on action against bullying and harassment in Parliament.</w:t>
            </w:r>
            <w:r w:rsidDel="00000000" w:rsidR="00000000" w:rsidRPr="00000000">
              <w:rPr>
                <w:rtl w:val="0"/>
              </w:rPr>
            </w:r>
          </w:p>
        </w:tc>
        <w:tc>
          <w:tcPr>
            <w:shd w:fill="ffffff"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72</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tc>
        <w:tc>
          <w:tcPr>
            <w:shd w:fill="ffffff"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11.00</w:t>
            </w:r>
            <w:r w:rsidDel="00000000" w:rsidR="00000000" w:rsidRPr="00000000">
              <w:rPr>
                <w:rtl w:val="0"/>
              </w:rPr>
            </w:r>
          </w:p>
        </w:tc>
      </w:tr>
      <w:tr>
        <w:trPr>
          <w:trHeight w:val="940" w:hRule="atLeast"/>
        </w:trPr>
        <w:tc>
          <w:tcPr>
            <w:shd w:fill="ffffff" w:val="clea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ffffff"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Intimidation in Public Life: follow-up</w:t>
            </w:r>
          </w:p>
        </w:tc>
        <w:tc>
          <w:tcPr>
            <w:shd w:fill="ffffff" w:val="clea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 an update on follow-up to the report on Intimidation in Public </w:t>
            </w:r>
            <w:r w:rsidDel="00000000" w:rsidR="00000000" w:rsidRPr="00000000">
              <w:rPr>
                <w:rFonts w:ascii="Arial" w:cs="Arial" w:eastAsia="Arial" w:hAnsi="Arial"/>
                <w:sz w:val="22"/>
                <w:szCs w:val="22"/>
                <w:rtl w:val="0"/>
              </w:rPr>
              <w:t xml:space="preserve">Life</w:t>
            </w: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ffffff"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w:t>
            </w:r>
            <w:r w:rsidDel="00000000" w:rsidR="00000000" w:rsidRPr="00000000">
              <w:rPr>
                <w:rFonts w:ascii="Arial" w:cs="Arial" w:eastAsia="Arial" w:hAnsi="Arial"/>
                <w:sz w:val="22"/>
                <w:szCs w:val="22"/>
                <w:rtl w:val="0"/>
              </w:rPr>
              <w:t xml:space="preserve">73</w:t>
            </w:r>
            <w:r w:rsidDel="00000000" w:rsidR="00000000" w:rsidRPr="00000000">
              <w:rPr>
                <w:rtl w:val="0"/>
              </w:rPr>
            </w:r>
          </w:p>
        </w:tc>
        <w:tc>
          <w:tcPr>
            <w:shd w:fill="ffffff"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11.15</w:t>
            </w:r>
          </w:p>
        </w:tc>
      </w:tr>
      <w:tr>
        <w:trPr>
          <w:trHeight w:val="900" w:hRule="atLeast"/>
        </w:trPr>
        <w:tc>
          <w:tcPr>
            <w:shd w:fill="ffffff" w:val="clear"/>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shd w:fill="ffffff" w:val="clear"/>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AI and public standards</w:t>
            </w:r>
          </w:p>
        </w:tc>
        <w:tc>
          <w:tcPr>
            <w:shd w:fill="ffffff" w:val="clear"/>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consider an update on progress on the review of </w:t>
            </w:r>
            <w:r w:rsidDel="00000000" w:rsidR="00000000" w:rsidRPr="00000000">
              <w:rPr>
                <w:rFonts w:ascii="Arial" w:cs="Arial" w:eastAsia="Arial" w:hAnsi="Arial"/>
                <w:sz w:val="22"/>
                <w:szCs w:val="22"/>
                <w:rtl w:val="0"/>
              </w:rPr>
              <w:t xml:space="preserve">AI</w:t>
            </w:r>
            <w:r w:rsidDel="00000000" w:rsidR="00000000" w:rsidRPr="00000000">
              <w:rPr>
                <w:rFonts w:ascii="Arial" w:cs="Arial" w:eastAsia="Arial" w:hAnsi="Arial"/>
                <w:sz w:val="22"/>
                <w:szCs w:val="22"/>
                <w:rtl w:val="0"/>
              </w:rPr>
              <w:t xml:space="preserve"> and impact on public </w:t>
            </w:r>
            <w:r w:rsidDel="00000000" w:rsidR="00000000" w:rsidRPr="00000000">
              <w:rPr>
                <w:rFonts w:ascii="Arial" w:cs="Arial" w:eastAsia="Arial" w:hAnsi="Arial"/>
                <w:sz w:val="22"/>
                <w:szCs w:val="22"/>
                <w:rtl w:val="0"/>
              </w:rPr>
              <w:t xml:space="preserve">standards</w:t>
            </w: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ffffff" w:val="clear"/>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w:t>
            </w:r>
            <w:r w:rsidDel="00000000" w:rsidR="00000000" w:rsidRPr="00000000">
              <w:rPr>
                <w:rFonts w:ascii="Arial" w:cs="Arial" w:eastAsia="Arial" w:hAnsi="Arial"/>
                <w:sz w:val="22"/>
                <w:szCs w:val="22"/>
                <w:rtl w:val="0"/>
              </w:rPr>
              <w:t xml:space="preserve">74</w:t>
            </w:r>
            <w:r w:rsidDel="00000000" w:rsidR="00000000" w:rsidRPr="00000000">
              <w:rPr>
                <w:rtl w:val="0"/>
              </w:rPr>
            </w:r>
          </w:p>
        </w:tc>
        <w:tc>
          <w:tcPr>
            <w:shd w:fill="ffffff" w:val="clear"/>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11.30</w:t>
            </w:r>
          </w:p>
        </w:tc>
      </w:tr>
      <w:tr>
        <w:trPr>
          <w:trHeight w:val="1200" w:hRule="atLeast"/>
        </w:trPr>
        <w:tc>
          <w:tcPr>
            <w:shd w:fill="ffffff" w:val="clear"/>
          </w:tcPr>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shd w:fill="ffffff" w:val="clear"/>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Local Government Ethical Standards</w:t>
            </w:r>
            <w:r w:rsidDel="00000000" w:rsidR="00000000" w:rsidRPr="00000000">
              <w:rPr>
                <w:rtl w:val="0"/>
              </w:rPr>
            </w:r>
          </w:p>
        </w:tc>
        <w:tc>
          <w:tcPr>
            <w:shd w:fill="ffffff" w:val="clear"/>
          </w:tcPr>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 an update to follow up to the Local Government Ethical Standards </w:t>
            </w:r>
            <w:r w:rsidDel="00000000" w:rsidR="00000000" w:rsidRPr="00000000">
              <w:rPr>
                <w:rFonts w:ascii="Arial" w:cs="Arial" w:eastAsia="Arial" w:hAnsi="Arial"/>
                <w:sz w:val="22"/>
                <w:szCs w:val="22"/>
                <w:rtl w:val="0"/>
              </w:rPr>
              <w:t xml:space="preserve">Report</w:t>
            </w: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ffffff" w:val="clear"/>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w:t>
            </w:r>
            <w:r w:rsidDel="00000000" w:rsidR="00000000" w:rsidRPr="00000000">
              <w:rPr>
                <w:rFonts w:ascii="Arial" w:cs="Arial" w:eastAsia="Arial" w:hAnsi="Arial"/>
                <w:sz w:val="22"/>
                <w:szCs w:val="22"/>
                <w:rtl w:val="0"/>
              </w:rPr>
              <w:t xml:space="preserve">75</w:t>
            </w:r>
            <w:r w:rsidDel="00000000" w:rsidR="00000000" w:rsidRPr="00000000">
              <w:rPr>
                <w:rtl w:val="0"/>
              </w:rPr>
            </w:r>
          </w:p>
        </w:tc>
        <w:tc>
          <w:tcPr>
            <w:shd w:fill="ffffff" w:val="clear"/>
          </w:tcPr>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11.50</w:t>
            </w:r>
          </w:p>
        </w:tc>
      </w:tr>
      <w:tr>
        <w:trPr>
          <w:trHeight w:val="660" w:hRule="atLeast"/>
        </w:trPr>
        <w:tc>
          <w:tcPr>
            <w:shd w:fill="ffffff" w:val="clear"/>
          </w:tcPr>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shd w:fill="ffffff" w:val="clear"/>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Annual Report</w:t>
            </w:r>
          </w:p>
        </w:tc>
        <w:tc>
          <w:tcPr>
            <w:shd w:fill="ffffff" w:val="clear"/>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 the final draft of the Annual </w:t>
            </w:r>
            <w:r w:rsidDel="00000000" w:rsidR="00000000" w:rsidRPr="00000000">
              <w:rPr>
                <w:rFonts w:ascii="Arial" w:cs="Arial" w:eastAsia="Arial" w:hAnsi="Arial"/>
                <w:sz w:val="22"/>
                <w:szCs w:val="22"/>
                <w:rtl w:val="0"/>
              </w:rPr>
              <w:t xml:space="preserve">Report</w:t>
            </w:r>
            <w:r w:rsidDel="00000000" w:rsidR="00000000" w:rsidRPr="00000000">
              <w:rPr>
                <w:rFonts w:ascii="Arial" w:cs="Arial" w:eastAsia="Arial" w:hAnsi="Arial"/>
                <w:sz w:val="22"/>
                <w:szCs w:val="22"/>
                <w:rtl w:val="0"/>
              </w:rPr>
              <w:t xml:space="preserve">.</w:t>
            </w:r>
          </w:p>
        </w:tc>
        <w:tc>
          <w:tcPr>
            <w:shd w:fill="ffffff" w:val="clear"/>
          </w:tcPr>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76</w:t>
            </w:r>
          </w:p>
        </w:tc>
        <w:tc>
          <w:tcPr>
            <w:shd w:fill="ffffff" w:val="clear"/>
          </w:tcPr>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11.55</w:t>
            </w:r>
          </w:p>
        </w:tc>
      </w:tr>
      <w:tr>
        <w:trPr>
          <w:trHeight w:val="720" w:hRule="atLeast"/>
        </w:trPr>
        <w:tc>
          <w:tcPr>
            <w:shd w:fill="ffffff" w:val="clear"/>
          </w:tcPr>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shd w:fill="ffffff" w:val="clear"/>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25th Anniversary of CSPL</w:t>
            </w:r>
          </w:p>
        </w:tc>
        <w:tc>
          <w:tcPr>
            <w:shd w:fill="ffffff" w:val="clear"/>
          </w:tcPr>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 an update on the work to mark the Committee’s 25th anniversary.</w:t>
            </w:r>
            <w:r w:rsidDel="00000000" w:rsidR="00000000" w:rsidRPr="00000000">
              <w:rPr>
                <w:rtl w:val="0"/>
              </w:rPr>
            </w:r>
          </w:p>
        </w:tc>
        <w:tc>
          <w:tcPr>
            <w:shd w:fill="ffffff" w:val="clear"/>
          </w:tcPr>
          <w:p w:rsidR="00000000" w:rsidDel="00000000" w:rsidP="00000000" w:rsidRDefault="00000000" w:rsidRPr="00000000" w14:paraId="00000047">
            <w:pPr>
              <w:rPr>
                <w:rFonts w:ascii="Arial" w:cs="Arial" w:eastAsia="Arial" w:hAnsi="Arial"/>
                <w:sz w:val="22"/>
                <w:szCs w:val="22"/>
              </w:rPr>
            </w:pPr>
            <w:hyperlink r:id="rId6">
              <w:r w:rsidDel="00000000" w:rsidR="00000000" w:rsidRPr="00000000">
                <w:rPr>
                  <w:rFonts w:ascii="Arial" w:cs="Arial" w:eastAsia="Arial" w:hAnsi="Arial"/>
                  <w:color w:val="1155cc"/>
                  <w:sz w:val="22"/>
                  <w:szCs w:val="22"/>
                  <w:u w:val="single"/>
                  <w:rtl w:val="0"/>
                </w:rPr>
                <w:t xml:space="preserve">CSPL (19) 77</w:t>
              </w:r>
            </w:hyperlink>
            <w:r w:rsidDel="00000000" w:rsidR="00000000" w:rsidRPr="00000000">
              <w:rPr>
                <w:rtl w:val="0"/>
              </w:rPr>
            </w:r>
          </w:p>
        </w:tc>
        <w:tc>
          <w:tcPr>
            <w:shd w:fill="ffffff" w:val="clear"/>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12.00</w:t>
            </w:r>
          </w:p>
        </w:tc>
      </w:tr>
      <w:tr>
        <w:trPr>
          <w:trHeight w:val="680" w:hRule="atLeast"/>
        </w:trPr>
        <w:tc>
          <w:tcPr>
            <w:shd w:fill="ffffff" w:val="clear"/>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shd w:fill="ffffff" w:val="clear"/>
          </w:tcPr>
          <w:p w:rsidR="00000000" w:rsidDel="00000000" w:rsidP="00000000" w:rsidRDefault="00000000" w:rsidRPr="00000000" w14:paraId="0000004A">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Standards Check </w:t>
            </w:r>
            <w:r w:rsidDel="00000000" w:rsidR="00000000" w:rsidRPr="00000000">
              <w:rPr>
                <w:rtl w:val="0"/>
              </w:rPr>
            </w:r>
          </w:p>
          <w:p w:rsidR="00000000" w:rsidDel="00000000" w:rsidP="00000000" w:rsidRDefault="00000000" w:rsidRPr="00000000" w14:paraId="0000004B">
            <w:pPr>
              <w:rPr>
                <w:rFonts w:ascii="Arial" w:cs="Arial" w:eastAsia="Arial" w:hAnsi="Arial"/>
                <w:color w:val="ff0000"/>
                <w:sz w:val="22"/>
                <w:szCs w:val="22"/>
              </w:rPr>
            </w:pPr>
            <w:r w:rsidDel="00000000" w:rsidR="00000000" w:rsidRPr="00000000">
              <w:rPr>
                <w:rtl w:val="0"/>
              </w:rPr>
            </w:r>
          </w:p>
        </w:tc>
        <w:tc>
          <w:tcPr>
            <w:shd w:fill="ffffff" w:val="clear"/>
          </w:tcPr>
          <w:p w:rsidR="00000000" w:rsidDel="00000000" w:rsidP="00000000" w:rsidRDefault="00000000" w:rsidRPr="00000000" w14:paraId="0000004C">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The Committee will be asked to note an update on recent standards </w:t>
            </w:r>
            <w:r w:rsidDel="00000000" w:rsidR="00000000" w:rsidRPr="00000000">
              <w:rPr>
                <w:rFonts w:ascii="Arial" w:cs="Arial" w:eastAsia="Arial" w:hAnsi="Arial"/>
                <w:sz w:val="22"/>
                <w:szCs w:val="22"/>
                <w:rtl w:val="0"/>
              </w:rPr>
              <w:t xml:space="preserve">issues</w:t>
            </w: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ffffff"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78</w:t>
            </w:r>
          </w:p>
        </w:tc>
        <w:tc>
          <w:tcPr>
            <w:shd w:fill="ffffff" w:val="clear"/>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12.15</w:t>
            </w:r>
          </w:p>
        </w:tc>
      </w:tr>
      <w:tr>
        <w:trPr>
          <w:trHeight w:val="960" w:hRule="atLeast"/>
        </w:trPr>
        <w:tc>
          <w:tcPr/>
          <w:p w:rsidR="00000000" w:rsidDel="00000000" w:rsidP="00000000" w:rsidRDefault="00000000" w:rsidRPr="00000000" w14:paraId="0000004F">
            <w:pPr>
              <w:ind w:left="-30.0000000000002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Forward Agenda</w:t>
            </w:r>
          </w:p>
          <w:p w:rsidR="00000000" w:rsidDel="00000000" w:rsidP="00000000" w:rsidRDefault="00000000" w:rsidRPr="00000000" w14:paraId="00000051">
            <w:pPr>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w:t>
            </w:r>
          </w:p>
          <w:p w:rsidR="00000000" w:rsidDel="00000000" w:rsidP="00000000" w:rsidRDefault="00000000" w:rsidRPr="00000000" w14:paraId="00000053">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Recent and forthcoming </w:t>
            </w:r>
            <w:r w:rsidDel="00000000" w:rsidR="00000000" w:rsidRPr="00000000">
              <w:rPr>
                <w:rFonts w:ascii="Arial" w:cs="Arial" w:eastAsia="Arial" w:hAnsi="Arial"/>
                <w:sz w:val="22"/>
                <w:szCs w:val="22"/>
                <w:rtl w:val="0"/>
              </w:rPr>
              <w:t xml:space="preserve">events</w:t>
            </w:r>
            <w:r w:rsidDel="00000000" w:rsidR="00000000" w:rsidRPr="00000000">
              <w:rPr>
                <w:rFonts w:ascii="Arial" w:cs="Arial" w:eastAsia="Arial" w:hAnsi="Arial"/>
                <w:sz w:val="22"/>
                <w:szCs w:val="22"/>
                <w:rtl w:val="0"/>
              </w:rPr>
              <w:t xml:space="preserve">; and</w:t>
            </w:r>
          </w:p>
          <w:p w:rsidR="00000000" w:rsidDel="00000000" w:rsidP="00000000" w:rsidRDefault="00000000" w:rsidRPr="00000000" w14:paraId="00000054">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forward </w:t>
            </w:r>
            <w:r w:rsidDel="00000000" w:rsidR="00000000" w:rsidRPr="00000000">
              <w:rPr>
                <w:rFonts w:ascii="Arial" w:cs="Arial" w:eastAsia="Arial" w:hAnsi="Arial"/>
                <w:sz w:val="22"/>
                <w:szCs w:val="22"/>
                <w:rtl w:val="0"/>
              </w:rPr>
              <w:t xml:space="preserve">agenda</w:t>
            </w:r>
            <w:r w:rsidDel="00000000" w:rsidR="00000000" w:rsidRPr="00000000">
              <w:rPr>
                <w:rFonts w:ascii="Arial" w:cs="Arial" w:eastAsia="Arial" w:hAnsi="Arial"/>
                <w:color w:val="ff0000"/>
                <w:sz w:val="22"/>
                <w:szCs w:val="22"/>
                <w:rtl w:val="0"/>
              </w:rPr>
              <w:t xml:space="preserve">.</w:t>
            </w:r>
            <w:r w:rsidDel="00000000" w:rsidR="00000000" w:rsidRPr="00000000">
              <w:rPr>
                <w:rtl w:val="0"/>
              </w:rPr>
            </w:r>
          </w:p>
        </w:tc>
        <w:tc>
          <w:tcPr/>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79</w:t>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80</w:t>
            </w:r>
          </w:p>
        </w:tc>
        <w:tc>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12.20</w:t>
            </w:r>
          </w:p>
        </w:tc>
      </w:tr>
      <w:tr>
        <w:trPr>
          <w:trHeight w:val="1240" w:hRule="atLeast"/>
        </w:trPr>
        <w:tc>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p w:rsidR="00000000" w:rsidDel="00000000" w:rsidP="00000000" w:rsidRDefault="00000000" w:rsidRPr="00000000" w14:paraId="0000005A">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AOB</w:t>
            </w:r>
            <w:r w:rsidDel="00000000" w:rsidR="00000000" w:rsidRPr="00000000">
              <w:rPr>
                <w:rtl w:val="0"/>
              </w:rPr>
            </w:r>
          </w:p>
        </w:tc>
        <w:tc>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w:t>
            </w:r>
            <w:r w:rsidDel="00000000" w:rsidR="00000000" w:rsidRPr="00000000">
              <w:rPr>
                <w:rtl w:val="0"/>
              </w:rPr>
            </w:r>
          </w:p>
          <w:p w:rsidR="00000000" w:rsidDel="00000000" w:rsidP="00000000" w:rsidRDefault="00000000" w:rsidRPr="00000000" w14:paraId="0000005C">
            <w:pPr>
              <w:numPr>
                <w:ilvl w:val="0"/>
                <w:numId w:val="3"/>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Letter from Commissioner for Public Appointments</w:t>
            </w:r>
          </w:p>
          <w:p w:rsidR="00000000" w:rsidDel="00000000" w:rsidP="00000000" w:rsidRDefault="00000000" w:rsidRPr="00000000" w14:paraId="0000005D">
            <w:pPr>
              <w:numPr>
                <w:ilvl w:val="0"/>
                <w:numId w:val="3"/>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 update for</w:t>
            </w:r>
            <w:r w:rsidDel="00000000" w:rsidR="00000000" w:rsidRPr="00000000">
              <w:rPr>
                <w:rFonts w:ascii="Arial" w:cs="Arial" w:eastAsia="Arial" w:hAnsi="Arial"/>
                <w:sz w:val="22"/>
                <w:szCs w:val="22"/>
                <w:rtl w:val="0"/>
              </w:rPr>
              <w:t xml:space="preserve"> June </w:t>
            </w:r>
            <w:r w:rsidDel="00000000" w:rsidR="00000000" w:rsidRPr="00000000">
              <w:rPr>
                <w:rFonts w:ascii="Arial" w:cs="Arial" w:eastAsia="Arial" w:hAnsi="Arial"/>
                <w:sz w:val="22"/>
                <w:szCs w:val="22"/>
                <w:rtl w:val="0"/>
              </w:rPr>
              <w:t xml:space="preserve">201</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E">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Date of next meeting: 12 </w:t>
            </w:r>
            <w:r w:rsidDel="00000000" w:rsidR="00000000" w:rsidRPr="00000000">
              <w:rPr>
                <w:rFonts w:ascii="Arial" w:cs="Arial" w:eastAsia="Arial" w:hAnsi="Arial"/>
                <w:color w:val="222222"/>
                <w:sz w:val="22"/>
                <w:szCs w:val="22"/>
                <w:highlight w:val="white"/>
                <w:rtl w:val="0"/>
              </w:rPr>
              <w:t xml:space="preserve">September</w:t>
            </w:r>
            <w:r w:rsidDel="00000000" w:rsidR="00000000" w:rsidRPr="00000000">
              <w:rPr>
                <w:rFonts w:ascii="Arial" w:cs="Arial" w:eastAsia="Arial" w:hAnsi="Arial"/>
                <w:color w:val="222222"/>
                <w:sz w:val="22"/>
                <w:szCs w:val="22"/>
                <w:highlight w:val="white"/>
                <w:rtl w:val="0"/>
              </w:rPr>
              <w:t xml:space="preserve"> 2019 (TBC)</w:t>
            </w:r>
            <w:r w:rsidDel="00000000" w:rsidR="00000000" w:rsidRPr="00000000">
              <w:rPr>
                <w:rFonts w:ascii="Arial" w:cs="Arial" w:eastAsia="Arial" w:hAnsi="Arial"/>
                <w:sz w:val="22"/>
                <w:szCs w:val="22"/>
                <w:rtl w:val="0"/>
              </w:rPr>
              <w:t xml:space="preserve"> in Conference Room B</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70 Whitehall</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81</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CSPL (19) 82</w:t>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12.25</w:t>
            </w:r>
            <w:r w:rsidDel="00000000" w:rsidR="00000000" w:rsidRPr="00000000">
              <w:rPr>
                <w:rtl w:val="0"/>
              </w:rPr>
            </w:r>
          </w:p>
        </w:tc>
      </w:tr>
    </w:tbl>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0" w:top="0"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pos="4513"/>
        <w:tab w:val="right" w:pos="9026"/>
      </w:tabs>
      <w:spacing w:after="2160" w:lineRule="auto"/>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513"/>
        <w:tab w:val="right" w:pos="9026"/>
      </w:tabs>
      <w:spacing w:before="720" w:lineRule="auto"/>
      <w:jc w:val="left"/>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rFonts w:ascii="Arial" w:cs="Arial" w:eastAsia="Arial" w:hAnsi="Arial"/>
      </w:rPr>
    </w:pPr>
    <w:r w:rsidDel="00000000" w:rsidR="00000000" w:rsidRPr="00000000">
      <w:rPr>
        <w:rtl w:val="0"/>
      </w:rPr>
    </w:r>
  </w:p>
  <w:p w:rsidR="00000000" w:rsidDel="00000000" w:rsidP="00000000" w:rsidRDefault="00000000" w:rsidRPr="00000000" w14:paraId="00000069">
    <w:pPr>
      <w:jc w:val="cente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fU3SVavXish0Xd0AlVx-qi0vzJgeOryF6BH8fagUj3c/edit"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