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E0826" w14:textId="3FC3C64D" w:rsidR="008957EC" w:rsidRPr="004973C8" w:rsidRDefault="00D04C8D" w:rsidP="008957EC">
      <w:pPr>
        <w:pStyle w:val="PHEFrontPageMainTitle"/>
      </w:pPr>
      <w:r>
        <w:t>Test and t</w:t>
      </w:r>
      <w:r w:rsidR="00551C93">
        <w:t xml:space="preserve">reat for </w:t>
      </w:r>
      <w:r w:rsidR="00551C93" w:rsidRPr="005E226C">
        <w:rPr>
          <w:i/>
        </w:rPr>
        <w:t>Helicobacter pylori</w:t>
      </w:r>
      <w:r w:rsidR="00551C93" w:rsidRPr="0060109F">
        <w:t xml:space="preserve"> </w:t>
      </w:r>
      <w:r w:rsidR="00734883" w:rsidRPr="0060109F">
        <w:t xml:space="preserve">(HP) </w:t>
      </w:r>
      <w:r w:rsidRPr="0060109F">
        <w:t>in d</w:t>
      </w:r>
      <w:r w:rsidR="00551C93" w:rsidRPr="0060109F">
        <w:t>yspepsia</w:t>
      </w:r>
    </w:p>
    <w:p w14:paraId="7628BE1B" w14:textId="77777777" w:rsidR="00551C93" w:rsidRPr="00CA24E5" w:rsidRDefault="00551C93" w:rsidP="00CA24E5">
      <w:pPr>
        <w:spacing w:line="660" w:lineRule="exact"/>
        <w:rPr>
          <w:sz w:val="52"/>
          <w:szCs w:val="52"/>
        </w:rPr>
      </w:pPr>
    </w:p>
    <w:p w14:paraId="18F9FFCA" w14:textId="321C1630" w:rsidR="008957EC" w:rsidRPr="004973C8" w:rsidRDefault="00D04C8D" w:rsidP="008957EC">
      <w:pPr>
        <w:pStyle w:val="PHEFrontPageMainTitle"/>
        <w:rPr>
          <w:b w:val="0"/>
        </w:rPr>
        <w:sectPr w:rsidR="008957EC" w:rsidRPr="004973C8" w:rsidSect="00FB29FC">
          <w:headerReference w:type="default" r:id="rId8"/>
          <w:footerReference w:type="default" r:id="rId9"/>
          <w:headerReference w:type="first" r:id="rId10"/>
          <w:footerReference w:type="first" r:id="rId11"/>
          <w:pgSz w:w="11906" w:h="16838"/>
          <w:pgMar w:top="5063" w:right="1134" w:bottom="1134" w:left="1134" w:header="709" w:footer="709" w:gutter="0"/>
          <w:cols w:space="708"/>
          <w:docGrid w:linePitch="360"/>
        </w:sectPr>
      </w:pPr>
      <w:r>
        <w:rPr>
          <w:b w:val="0"/>
        </w:rPr>
        <w:t>Quick reference guide for primary c</w:t>
      </w:r>
      <w:r w:rsidR="001D0A92">
        <w:rPr>
          <w:b w:val="0"/>
        </w:rPr>
        <w:t>are: F</w:t>
      </w:r>
      <w:r w:rsidR="008957EC" w:rsidRPr="004973C8">
        <w:rPr>
          <w:b w:val="0"/>
        </w:rPr>
        <w:t xml:space="preserve">or </w:t>
      </w:r>
      <w:r>
        <w:rPr>
          <w:b w:val="0"/>
        </w:rPr>
        <w:t>consultation and local a</w:t>
      </w:r>
      <w:r w:rsidR="008957EC" w:rsidRPr="004973C8">
        <w:rPr>
          <w:b w:val="0"/>
        </w:rPr>
        <w:t>daptation</w:t>
      </w:r>
    </w:p>
    <w:p w14:paraId="49D6B974" w14:textId="77777777" w:rsidR="00605685" w:rsidRDefault="00605685" w:rsidP="00C5760C">
      <w:pPr>
        <w:spacing w:line="280" w:lineRule="exact"/>
        <w:rPr>
          <w:rFonts w:cs="Arial"/>
          <w:color w:val="98002E"/>
          <w:szCs w:val="24"/>
        </w:rPr>
      </w:pPr>
    </w:p>
    <w:p w14:paraId="4D958582" w14:textId="77777777" w:rsidR="008957EC" w:rsidRPr="004973C8" w:rsidRDefault="008957EC" w:rsidP="008957EC">
      <w:pPr>
        <w:pStyle w:val="PHEHeading"/>
      </w:pPr>
      <w:bookmarkStart w:id="0" w:name="_Toc453254017"/>
      <w:r w:rsidRPr="004973C8">
        <w:t>About Public Health England</w:t>
      </w:r>
      <w:bookmarkEnd w:id="0"/>
    </w:p>
    <w:p w14:paraId="4E35E6FD" w14:textId="30B52B45" w:rsidR="005879D0" w:rsidRDefault="005879D0" w:rsidP="005879D0">
      <w:pPr>
        <w:rPr>
          <w:rFonts w:cs="Arial"/>
          <w:szCs w:val="24"/>
        </w:rPr>
      </w:pPr>
      <w:r>
        <w:rPr>
          <w:rFonts w:cs="Arial"/>
          <w:szCs w:val="24"/>
        </w:rPr>
        <w:t xml:space="preserve">Public Health England (PHE) exists to protect and improve the nation’s health and wellbeing, and reduce health inequalities. It does this through world-class science, knowledge and intelligence, advocacy, partnerships, and the delivery of specialist public health services. PHE is an </w:t>
      </w:r>
      <w:r w:rsidR="0090701E">
        <w:rPr>
          <w:rFonts w:cs="Arial"/>
          <w:szCs w:val="24"/>
        </w:rPr>
        <w:t>executive agency of the Department of Health, and is a distinct delivery organisation with operational autonomy</w:t>
      </w:r>
      <w:r>
        <w:rPr>
          <w:rFonts w:cs="Arial"/>
          <w:szCs w:val="24"/>
        </w:rPr>
        <w:t xml:space="preserve"> </w:t>
      </w:r>
      <w:r w:rsidR="0090701E">
        <w:rPr>
          <w:rFonts w:cs="Arial"/>
          <w:szCs w:val="24"/>
        </w:rPr>
        <w:t>to advise and support government, local authorities, and the NHS, in a professionally independent manner.</w:t>
      </w:r>
    </w:p>
    <w:p w14:paraId="04EB6024" w14:textId="77777777" w:rsidR="005879D0" w:rsidRDefault="005879D0" w:rsidP="005879D0">
      <w:pPr>
        <w:rPr>
          <w:rFonts w:cs="Arial"/>
          <w:szCs w:val="24"/>
        </w:rPr>
      </w:pPr>
    </w:p>
    <w:p w14:paraId="54D3EB97" w14:textId="77777777" w:rsidR="005879D0" w:rsidRDefault="005879D0" w:rsidP="005879D0">
      <w:pPr>
        <w:rPr>
          <w:rFonts w:cs="Arial"/>
          <w:szCs w:val="24"/>
        </w:rPr>
      </w:pPr>
    </w:p>
    <w:p w14:paraId="6101E7A1" w14:textId="77777777" w:rsidR="005879D0" w:rsidRDefault="005879D0" w:rsidP="005879D0">
      <w:pPr>
        <w:rPr>
          <w:rFonts w:cs="Arial"/>
          <w:szCs w:val="24"/>
        </w:rPr>
      </w:pPr>
    </w:p>
    <w:p w14:paraId="211FFB49" w14:textId="77777777" w:rsidR="005879D0" w:rsidRDefault="005879D0" w:rsidP="005879D0">
      <w:pPr>
        <w:rPr>
          <w:rFonts w:cs="Arial"/>
          <w:szCs w:val="24"/>
        </w:rPr>
      </w:pPr>
    </w:p>
    <w:p w14:paraId="62F7D34B" w14:textId="77777777" w:rsidR="005879D0" w:rsidRDefault="005879D0" w:rsidP="005879D0">
      <w:pPr>
        <w:rPr>
          <w:rFonts w:cs="Arial"/>
          <w:szCs w:val="24"/>
        </w:rPr>
      </w:pPr>
      <w:r>
        <w:rPr>
          <w:rFonts w:cs="Arial"/>
          <w:szCs w:val="24"/>
        </w:rPr>
        <w:t>Public Health England</w:t>
      </w:r>
    </w:p>
    <w:p w14:paraId="5871D1CA" w14:textId="77777777" w:rsidR="005879D0" w:rsidRDefault="005879D0" w:rsidP="005879D0">
      <w:pPr>
        <w:rPr>
          <w:rFonts w:cs="Arial"/>
          <w:szCs w:val="24"/>
        </w:rPr>
      </w:pPr>
      <w:r>
        <w:rPr>
          <w:rFonts w:cs="Arial"/>
          <w:szCs w:val="24"/>
        </w:rPr>
        <w:t>Wellington House</w:t>
      </w:r>
    </w:p>
    <w:p w14:paraId="218A21A7" w14:textId="77777777" w:rsidR="005879D0" w:rsidRDefault="005879D0" w:rsidP="005879D0">
      <w:pPr>
        <w:rPr>
          <w:rFonts w:cs="Arial"/>
          <w:szCs w:val="24"/>
        </w:rPr>
      </w:pPr>
      <w:r>
        <w:rPr>
          <w:rFonts w:cs="Arial"/>
          <w:szCs w:val="24"/>
        </w:rPr>
        <w:t>133-155 Waterloo Road</w:t>
      </w:r>
    </w:p>
    <w:p w14:paraId="4B39D364" w14:textId="77777777" w:rsidR="005879D0" w:rsidRDefault="005879D0" w:rsidP="005879D0">
      <w:pPr>
        <w:rPr>
          <w:rFonts w:cs="Arial"/>
          <w:szCs w:val="24"/>
        </w:rPr>
      </w:pPr>
      <w:r>
        <w:rPr>
          <w:rFonts w:cs="Arial"/>
          <w:szCs w:val="24"/>
        </w:rPr>
        <w:t>London SE1 8UG</w:t>
      </w:r>
    </w:p>
    <w:p w14:paraId="046F875D" w14:textId="77777777" w:rsidR="005879D0" w:rsidRDefault="005879D0" w:rsidP="005879D0">
      <w:pPr>
        <w:rPr>
          <w:rFonts w:cs="Arial"/>
          <w:szCs w:val="24"/>
        </w:rPr>
      </w:pPr>
      <w:r>
        <w:rPr>
          <w:rFonts w:cs="Arial"/>
          <w:szCs w:val="24"/>
        </w:rPr>
        <w:t>Tel: 020 7654 8000</w:t>
      </w:r>
    </w:p>
    <w:p w14:paraId="45A89AB4" w14:textId="77777777" w:rsidR="005879D0" w:rsidRPr="00EC4C4B" w:rsidRDefault="003609F1" w:rsidP="005879D0">
      <w:pPr>
        <w:rPr>
          <w:rFonts w:cs="Arial"/>
          <w:color w:val="98002E"/>
          <w:szCs w:val="24"/>
        </w:rPr>
      </w:pPr>
      <w:hyperlink r:id="rId12" w:history="1">
        <w:r w:rsidR="00EC4C4B" w:rsidRPr="00EC4C4B">
          <w:rPr>
            <w:rStyle w:val="Hyperlink"/>
            <w:rFonts w:cs="Arial"/>
            <w:szCs w:val="24"/>
            <w:u w:val="none"/>
          </w:rPr>
          <w:t>www.gov.uk/phe</w:t>
        </w:r>
      </w:hyperlink>
    </w:p>
    <w:p w14:paraId="7043D3C3" w14:textId="77777777" w:rsidR="00EC4C4B" w:rsidRDefault="00EC4C4B" w:rsidP="005879D0">
      <w:pPr>
        <w:rPr>
          <w:rFonts w:cs="Arial"/>
          <w:szCs w:val="24"/>
        </w:rPr>
      </w:pPr>
      <w:r>
        <w:rPr>
          <w:rFonts w:cs="Arial"/>
          <w:szCs w:val="24"/>
        </w:rPr>
        <w:t xml:space="preserve">Twitter: </w:t>
      </w:r>
      <w:hyperlink r:id="rId13" w:history="1">
        <w:r w:rsidRPr="00EC4C4B">
          <w:rPr>
            <w:rStyle w:val="Hyperlink"/>
            <w:rFonts w:cs="Arial"/>
            <w:szCs w:val="24"/>
            <w:u w:val="none"/>
          </w:rPr>
          <w:t>@</w:t>
        </w:r>
        <w:proofErr w:type="spellStart"/>
        <w:r w:rsidRPr="00EC4C4B">
          <w:rPr>
            <w:rStyle w:val="Hyperlink"/>
            <w:rFonts w:cs="Arial"/>
            <w:szCs w:val="24"/>
            <w:u w:val="none"/>
          </w:rPr>
          <w:t>PHE_uk</w:t>
        </w:r>
        <w:proofErr w:type="spellEnd"/>
      </w:hyperlink>
    </w:p>
    <w:p w14:paraId="751FE103" w14:textId="77777777" w:rsidR="00EC4C4B" w:rsidRPr="00EC4C4B" w:rsidRDefault="00EC4C4B" w:rsidP="005879D0">
      <w:pPr>
        <w:rPr>
          <w:rFonts w:cs="Arial"/>
          <w:color w:val="98002E"/>
          <w:szCs w:val="24"/>
        </w:rPr>
      </w:pPr>
      <w:r>
        <w:rPr>
          <w:rFonts w:cs="Arial"/>
          <w:szCs w:val="24"/>
        </w:rPr>
        <w:t xml:space="preserve">Facebook: </w:t>
      </w:r>
      <w:hyperlink r:id="rId14" w:history="1">
        <w:r w:rsidRPr="00EC4C4B">
          <w:rPr>
            <w:rStyle w:val="Hyperlink"/>
            <w:rFonts w:cs="Arial"/>
            <w:szCs w:val="24"/>
            <w:u w:val="none"/>
          </w:rPr>
          <w:t>www.facebook.com/PublicHealthEngland</w:t>
        </w:r>
      </w:hyperlink>
    </w:p>
    <w:p w14:paraId="630835FC" w14:textId="77777777" w:rsidR="00EC4C4B" w:rsidRDefault="00EC4C4B" w:rsidP="005879D0">
      <w:pPr>
        <w:rPr>
          <w:rFonts w:cs="Arial"/>
          <w:szCs w:val="24"/>
        </w:rPr>
      </w:pPr>
    </w:p>
    <w:p w14:paraId="4D0BF52A" w14:textId="4851837A" w:rsidR="00EC4C4B" w:rsidRDefault="00EC4C4B" w:rsidP="005879D0">
      <w:pPr>
        <w:rPr>
          <w:rFonts w:cs="Arial"/>
          <w:szCs w:val="24"/>
        </w:rPr>
      </w:pPr>
      <w:r>
        <w:rPr>
          <w:rFonts w:cs="Arial"/>
          <w:szCs w:val="24"/>
        </w:rPr>
        <w:t>Prepared by: Prof</w:t>
      </w:r>
      <w:r w:rsidR="00D04C8D">
        <w:rPr>
          <w:rFonts w:cs="Arial"/>
          <w:szCs w:val="24"/>
        </w:rPr>
        <w:t>essor</w:t>
      </w:r>
      <w:r>
        <w:rPr>
          <w:rFonts w:cs="Arial"/>
          <w:szCs w:val="24"/>
        </w:rPr>
        <w:t xml:space="preserve"> Cliodna McNulty</w:t>
      </w:r>
    </w:p>
    <w:p w14:paraId="5EC92652" w14:textId="030FC32A" w:rsidR="00EC4C4B" w:rsidRDefault="00EC4C4B" w:rsidP="005879D0">
      <w:pPr>
        <w:rPr>
          <w:rFonts w:cs="Arial"/>
          <w:szCs w:val="24"/>
        </w:rPr>
      </w:pPr>
      <w:r>
        <w:rPr>
          <w:rFonts w:cs="Arial"/>
          <w:szCs w:val="24"/>
        </w:rPr>
        <w:t xml:space="preserve">For queries relating to this document, please contact </w:t>
      </w:r>
      <w:hyperlink r:id="rId15" w:history="1">
        <w:r w:rsidR="0057262C">
          <w:rPr>
            <w:rStyle w:val="Hyperlink"/>
            <w:u w:val="none"/>
          </w:rPr>
          <w:t>TARGETAntibiotics@phe.gov.uk</w:t>
        </w:r>
      </w:hyperlink>
      <w:r>
        <w:rPr>
          <w:rFonts w:cs="Arial"/>
          <w:szCs w:val="24"/>
        </w:rPr>
        <w:t xml:space="preserve"> </w:t>
      </w:r>
    </w:p>
    <w:p w14:paraId="65CFFE5D" w14:textId="77777777" w:rsidR="00EC4C4B" w:rsidRDefault="00EC4C4B" w:rsidP="005879D0">
      <w:pPr>
        <w:rPr>
          <w:rFonts w:cs="Arial"/>
          <w:szCs w:val="24"/>
        </w:rPr>
      </w:pPr>
    </w:p>
    <w:p w14:paraId="775E292C" w14:textId="3D2074E8" w:rsidR="00EC4C4B" w:rsidRDefault="006C1C74" w:rsidP="005879D0">
      <w:pPr>
        <w:rPr>
          <w:rFonts w:cs="Arial"/>
          <w:szCs w:val="24"/>
        </w:rPr>
      </w:pPr>
      <w:r>
        <w:rPr>
          <w:rFonts w:cs="Arial"/>
          <w:szCs w:val="24"/>
        </w:rPr>
        <w:t>© Crown copyright 2017</w:t>
      </w:r>
    </w:p>
    <w:p w14:paraId="725E72B2" w14:textId="699ECFFD" w:rsidR="00EC4C4B" w:rsidRDefault="00EC4C4B" w:rsidP="005879D0">
      <w:pPr>
        <w:rPr>
          <w:rFonts w:cs="Arial"/>
          <w:szCs w:val="24"/>
        </w:rPr>
      </w:pPr>
      <w:r>
        <w:rPr>
          <w:rFonts w:cs="Arial"/>
          <w:szCs w:val="24"/>
        </w:rPr>
        <w:t>You may re-use this information (excluding logos) free of charge in any format or medium, under the terms o</w:t>
      </w:r>
      <w:r w:rsidR="00D04C8D">
        <w:rPr>
          <w:rFonts w:cs="Arial"/>
          <w:szCs w:val="24"/>
        </w:rPr>
        <w:t>f the Open Government License v3</w:t>
      </w:r>
      <w:r>
        <w:rPr>
          <w:rFonts w:cs="Arial"/>
          <w:szCs w:val="24"/>
        </w:rPr>
        <w:t xml:space="preserve">.0. To view this license, visit </w:t>
      </w:r>
      <w:hyperlink r:id="rId16" w:history="1">
        <w:r w:rsidRPr="00707874">
          <w:rPr>
            <w:rStyle w:val="Hyperlink"/>
            <w:rFonts w:cs="Arial"/>
            <w:color w:val="98002E"/>
            <w:szCs w:val="24"/>
            <w:u w:val="none"/>
          </w:rPr>
          <w:t>OGL</w:t>
        </w:r>
      </w:hyperlink>
      <w:r>
        <w:rPr>
          <w:rFonts w:cs="Arial"/>
          <w:szCs w:val="24"/>
        </w:rPr>
        <w:t xml:space="preserve"> or email </w:t>
      </w:r>
      <w:hyperlink r:id="rId17" w:history="1">
        <w:r w:rsidRPr="00707874">
          <w:rPr>
            <w:rStyle w:val="Hyperlink"/>
            <w:rFonts w:cs="Arial"/>
            <w:color w:val="98002E"/>
            <w:szCs w:val="24"/>
            <w:u w:val="none"/>
          </w:rPr>
          <w:t>psi@nationalarchives.gsi.gov.uk</w:t>
        </w:r>
      </w:hyperlink>
      <w:r>
        <w:rPr>
          <w:rFonts w:cs="Arial"/>
          <w:szCs w:val="24"/>
        </w:rPr>
        <w:t xml:space="preserve">. </w:t>
      </w:r>
      <w:r w:rsidR="00707874">
        <w:rPr>
          <w:rFonts w:cs="Arial"/>
          <w:szCs w:val="24"/>
        </w:rPr>
        <w:t xml:space="preserve">Where we have identified any third party copyright information you will need to obtain permission from the copyright holders concerned. Any enquiries regarding this publication should be sent to </w:t>
      </w:r>
      <w:hyperlink r:id="rId18" w:history="1">
        <w:r w:rsidR="005D6938" w:rsidRPr="005D6938">
          <w:rPr>
            <w:rStyle w:val="Hyperlink"/>
            <w:u w:val="none"/>
          </w:rPr>
          <w:t>TARGETAntibiotics@phe.gov.uk</w:t>
        </w:r>
      </w:hyperlink>
      <w:r w:rsidR="00707874">
        <w:rPr>
          <w:rFonts w:cs="Arial"/>
          <w:szCs w:val="24"/>
        </w:rPr>
        <w:t>.</w:t>
      </w:r>
    </w:p>
    <w:p w14:paraId="2C62FE4B" w14:textId="77777777" w:rsidR="00707874" w:rsidRDefault="00707874" w:rsidP="005879D0">
      <w:pPr>
        <w:rPr>
          <w:rFonts w:cs="Arial"/>
          <w:szCs w:val="24"/>
        </w:rPr>
      </w:pPr>
    </w:p>
    <w:p w14:paraId="6CC23ED0" w14:textId="37AAAF63" w:rsidR="00707874" w:rsidRDefault="00707874" w:rsidP="005879D0">
      <w:pPr>
        <w:rPr>
          <w:rFonts w:cs="Arial"/>
          <w:szCs w:val="24"/>
        </w:rPr>
      </w:pPr>
      <w:r>
        <w:rPr>
          <w:rFonts w:cs="Arial"/>
          <w:szCs w:val="24"/>
        </w:rPr>
        <w:t xml:space="preserve">Published </w:t>
      </w:r>
      <w:r w:rsidR="006C1C74">
        <w:rPr>
          <w:rFonts w:cs="Arial"/>
          <w:szCs w:val="24"/>
        </w:rPr>
        <w:t>July 2017</w:t>
      </w:r>
    </w:p>
    <w:p w14:paraId="72F09AE9" w14:textId="4AAFF09C" w:rsidR="00707874" w:rsidRDefault="00707874" w:rsidP="000F71CC">
      <w:pPr>
        <w:tabs>
          <w:tab w:val="left" w:pos="7585"/>
        </w:tabs>
        <w:rPr>
          <w:rFonts w:cs="Arial"/>
          <w:szCs w:val="24"/>
        </w:rPr>
      </w:pPr>
      <w:r>
        <w:rPr>
          <w:rFonts w:cs="Arial"/>
          <w:szCs w:val="24"/>
        </w:rPr>
        <w:t xml:space="preserve">PHE publications gateway number: </w:t>
      </w:r>
      <w:r w:rsidRPr="00590B02">
        <w:rPr>
          <w:rFonts w:cs="Arial"/>
          <w:szCs w:val="24"/>
        </w:rPr>
        <w:t>201</w:t>
      </w:r>
      <w:r w:rsidR="00E70C57">
        <w:rPr>
          <w:rFonts w:cs="Arial"/>
          <w:szCs w:val="24"/>
        </w:rPr>
        <w:t>6378</w:t>
      </w:r>
      <w:r w:rsidR="000F71CC">
        <w:rPr>
          <w:rFonts w:cs="Arial"/>
          <w:szCs w:val="24"/>
        </w:rPr>
        <w:tab/>
      </w:r>
    </w:p>
    <w:p w14:paraId="1373C579" w14:textId="77777777" w:rsidR="00707874" w:rsidRDefault="00707874" w:rsidP="005879D0">
      <w:pPr>
        <w:rPr>
          <w:rFonts w:cs="Arial"/>
          <w:szCs w:val="24"/>
        </w:rPr>
      </w:pPr>
    </w:p>
    <w:p w14:paraId="5B6B6AED" w14:textId="15443DBA" w:rsidR="00707874" w:rsidRDefault="00707874" w:rsidP="005879D0">
      <w:pPr>
        <w:rPr>
          <w:rFonts w:cs="Arial"/>
          <w:szCs w:val="24"/>
        </w:rPr>
      </w:pPr>
      <w:r>
        <w:rPr>
          <w:rFonts w:cs="Arial"/>
          <w:szCs w:val="24"/>
        </w:rPr>
        <w:t xml:space="preserve">This document is available in other formats on request. Please call 0300 422 5068 or email </w:t>
      </w:r>
      <w:hyperlink r:id="rId19" w:history="1">
        <w:r w:rsidR="005D6938">
          <w:rPr>
            <w:rStyle w:val="Hyperlink"/>
            <w:rFonts w:cs="Arial"/>
            <w:color w:val="98002E"/>
            <w:szCs w:val="24"/>
            <w:u w:val="none"/>
          </w:rPr>
          <w:t>TARGETAntibiotics@phe.gov.uk</w:t>
        </w:r>
      </w:hyperlink>
      <w:r>
        <w:rPr>
          <w:rFonts w:cs="Arial"/>
          <w:szCs w:val="24"/>
        </w:rPr>
        <w:t>.</w:t>
      </w:r>
    </w:p>
    <w:p w14:paraId="42F1FA3D" w14:textId="77777777" w:rsidR="00707874" w:rsidRDefault="00707874" w:rsidP="005879D0">
      <w:pPr>
        <w:rPr>
          <w:rFonts w:cs="Arial"/>
          <w:szCs w:val="24"/>
        </w:rPr>
      </w:pPr>
    </w:p>
    <w:p w14:paraId="5819BE77" w14:textId="77777777" w:rsidR="00707874" w:rsidRDefault="00707874" w:rsidP="005879D0">
      <w:pPr>
        <w:rPr>
          <w:rFonts w:cs="Arial"/>
          <w:szCs w:val="24"/>
        </w:rPr>
      </w:pPr>
      <w:r w:rsidRPr="00C0594C">
        <w:rPr>
          <w:rFonts w:cs="Arial"/>
          <w:noProof/>
          <w:szCs w:val="24"/>
          <w:lang w:eastAsia="en-GB"/>
        </w:rPr>
        <w:drawing>
          <wp:anchor distT="0" distB="0" distL="114300" distR="114300" simplePos="0" relativeHeight="251659264" behindDoc="0" locked="0" layoutInCell="1" allowOverlap="1" wp14:anchorId="1C516E1F" wp14:editId="7AFA53D4">
            <wp:simplePos x="0" y="0"/>
            <wp:positionH relativeFrom="column">
              <wp:posOffset>15240</wp:posOffset>
            </wp:positionH>
            <wp:positionV relativeFrom="paragraph">
              <wp:posOffset>109220</wp:posOffset>
            </wp:positionV>
            <wp:extent cx="897890" cy="734695"/>
            <wp:effectExtent l="0" t="0" r="0" b="8255"/>
            <wp:wrapSquare wrapText="bothSides"/>
            <wp:docPr id="48" name="Picture 2" descr="Corporate_member_logo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member_logo_3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89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CBFEE" w14:textId="77777777" w:rsidR="00707874" w:rsidRDefault="00707874" w:rsidP="005879D0">
      <w:pPr>
        <w:rPr>
          <w:rFonts w:cs="Arial"/>
          <w:szCs w:val="24"/>
        </w:rPr>
      </w:pPr>
    </w:p>
    <w:p w14:paraId="744C1275" w14:textId="77777777" w:rsidR="00707874" w:rsidRDefault="00707874" w:rsidP="005879D0">
      <w:pPr>
        <w:rPr>
          <w:rFonts w:cs="Arial"/>
          <w:szCs w:val="24"/>
        </w:rPr>
      </w:pPr>
    </w:p>
    <w:p w14:paraId="256CFC3B" w14:textId="77777777" w:rsidR="00707874" w:rsidRDefault="00707874" w:rsidP="009644F3">
      <w:pPr>
        <w:tabs>
          <w:tab w:val="left" w:pos="2662"/>
        </w:tabs>
        <w:rPr>
          <w:rFonts w:cs="Arial"/>
          <w:szCs w:val="24"/>
        </w:rPr>
      </w:pPr>
    </w:p>
    <w:p w14:paraId="6115224C" w14:textId="77777777" w:rsidR="007442D9" w:rsidRDefault="007442D9" w:rsidP="009644F3">
      <w:pPr>
        <w:tabs>
          <w:tab w:val="left" w:pos="2662"/>
        </w:tabs>
        <w:rPr>
          <w:rFonts w:cs="Arial"/>
          <w:szCs w:val="24"/>
        </w:rPr>
      </w:pPr>
    </w:p>
    <w:p w14:paraId="02D1A6AA" w14:textId="77777777" w:rsidR="007442D9" w:rsidRDefault="007442D9" w:rsidP="009644F3">
      <w:pPr>
        <w:tabs>
          <w:tab w:val="left" w:pos="2662"/>
        </w:tabs>
        <w:rPr>
          <w:rFonts w:cs="Arial"/>
          <w:szCs w:val="24"/>
        </w:rPr>
      </w:pPr>
    </w:p>
    <w:p w14:paraId="78D754F8" w14:textId="54008498" w:rsidR="007442D9" w:rsidRDefault="007442D9" w:rsidP="007442D9">
      <w:pPr>
        <w:tabs>
          <w:tab w:val="left" w:pos="2662"/>
        </w:tabs>
        <w:spacing w:line="280" w:lineRule="exact"/>
        <w:rPr>
          <w:rFonts w:cs="Arial"/>
          <w:szCs w:val="24"/>
        </w:rPr>
      </w:pPr>
    </w:p>
    <w:p w14:paraId="32EB8DB7" w14:textId="77777777" w:rsidR="00531D26" w:rsidRDefault="00531D26" w:rsidP="007442D9">
      <w:pPr>
        <w:tabs>
          <w:tab w:val="left" w:pos="2662"/>
        </w:tabs>
        <w:spacing w:line="280" w:lineRule="exact"/>
        <w:rPr>
          <w:rFonts w:cs="Arial"/>
          <w:szCs w:val="24"/>
        </w:rPr>
      </w:pPr>
    </w:p>
    <w:p w14:paraId="77E3B902" w14:textId="77777777" w:rsidR="008957EC" w:rsidRDefault="008957EC" w:rsidP="008957EC">
      <w:pPr>
        <w:pStyle w:val="PHEHeading"/>
      </w:pPr>
      <w:bookmarkStart w:id="1" w:name="_Toc453254018"/>
      <w:r>
        <w:t>Contents</w:t>
      </w:r>
      <w:bookmarkEnd w:id="1"/>
    </w:p>
    <w:p w14:paraId="15C8F8DD" w14:textId="2D612906" w:rsidR="00827424" w:rsidRDefault="00266F51" w:rsidP="00E254A3">
      <w:pPr>
        <w:pStyle w:val="TOC1"/>
        <w:rPr>
          <w:rFonts w:asciiTheme="minorHAnsi" w:eastAsiaTheme="minorEastAsia" w:hAnsiTheme="minorHAnsi"/>
          <w:noProof/>
          <w:sz w:val="22"/>
          <w:lang w:eastAsia="en-GB"/>
        </w:rPr>
      </w:pPr>
      <w:r>
        <w:rPr>
          <w:rFonts w:eastAsia="Times New Roman" w:cs="Times New Roman"/>
          <w:noProof/>
          <w:szCs w:val="20"/>
          <w:lang w:val="x-none"/>
        </w:rPr>
        <w:fldChar w:fldCharType="begin"/>
      </w:r>
      <w:r>
        <w:rPr>
          <w:rFonts w:eastAsia="Times New Roman" w:cs="Times New Roman"/>
          <w:noProof/>
          <w:szCs w:val="20"/>
          <w:lang w:val="x-none"/>
        </w:rPr>
        <w:instrText xml:space="preserve"> TOC \o "1-7" \h \z \u </w:instrText>
      </w:r>
      <w:r>
        <w:rPr>
          <w:rFonts w:eastAsia="Times New Roman" w:cs="Times New Roman"/>
          <w:noProof/>
          <w:szCs w:val="20"/>
          <w:lang w:val="x-none"/>
        </w:rPr>
        <w:fldChar w:fldCharType="separate"/>
      </w:r>
      <w:hyperlink w:anchor="_Toc453254017" w:history="1">
        <w:r w:rsidR="00827424" w:rsidRPr="00924920">
          <w:rPr>
            <w:rStyle w:val="Hyperlink"/>
            <w:noProof/>
          </w:rPr>
          <w:t>About Public Health England</w:t>
        </w:r>
        <w:r w:rsidR="00827424">
          <w:rPr>
            <w:noProof/>
            <w:webHidden/>
          </w:rPr>
          <w:tab/>
        </w:r>
        <w:r w:rsidR="00827424">
          <w:rPr>
            <w:noProof/>
            <w:webHidden/>
          </w:rPr>
          <w:fldChar w:fldCharType="begin"/>
        </w:r>
        <w:r w:rsidR="00827424">
          <w:rPr>
            <w:noProof/>
            <w:webHidden/>
          </w:rPr>
          <w:instrText xml:space="preserve"> PAGEREF _Toc453254017 \h </w:instrText>
        </w:r>
        <w:r w:rsidR="00827424">
          <w:rPr>
            <w:noProof/>
            <w:webHidden/>
          </w:rPr>
        </w:r>
        <w:r w:rsidR="00827424">
          <w:rPr>
            <w:noProof/>
            <w:webHidden/>
          </w:rPr>
          <w:fldChar w:fldCharType="separate"/>
        </w:r>
        <w:r w:rsidR="00531D26">
          <w:rPr>
            <w:noProof/>
            <w:webHidden/>
          </w:rPr>
          <w:t>2</w:t>
        </w:r>
        <w:r w:rsidR="00827424">
          <w:rPr>
            <w:noProof/>
            <w:webHidden/>
          </w:rPr>
          <w:fldChar w:fldCharType="end"/>
        </w:r>
      </w:hyperlink>
    </w:p>
    <w:p w14:paraId="59FFFD2B" w14:textId="54CA3793" w:rsidR="00827424" w:rsidRDefault="003609F1" w:rsidP="00E254A3">
      <w:pPr>
        <w:pStyle w:val="TOC1"/>
        <w:rPr>
          <w:rFonts w:asciiTheme="minorHAnsi" w:eastAsiaTheme="minorEastAsia" w:hAnsiTheme="minorHAnsi"/>
          <w:noProof/>
          <w:sz w:val="22"/>
          <w:lang w:eastAsia="en-GB"/>
        </w:rPr>
      </w:pPr>
      <w:hyperlink w:anchor="_Toc453254018" w:history="1">
        <w:r w:rsidR="00827424" w:rsidRPr="00924920">
          <w:rPr>
            <w:rStyle w:val="Hyperlink"/>
            <w:noProof/>
          </w:rPr>
          <w:t>Contents</w:t>
        </w:r>
        <w:r w:rsidR="00827424">
          <w:rPr>
            <w:noProof/>
            <w:webHidden/>
          </w:rPr>
          <w:tab/>
        </w:r>
        <w:r w:rsidR="00827424">
          <w:rPr>
            <w:noProof/>
            <w:webHidden/>
          </w:rPr>
          <w:fldChar w:fldCharType="begin"/>
        </w:r>
        <w:r w:rsidR="00827424">
          <w:rPr>
            <w:noProof/>
            <w:webHidden/>
          </w:rPr>
          <w:instrText xml:space="preserve"> PAGEREF _Toc453254018 \h </w:instrText>
        </w:r>
        <w:r w:rsidR="00827424">
          <w:rPr>
            <w:noProof/>
            <w:webHidden/>
          </w:rPr>
        </w:r>
        <w:r w:rsidR="00827424">
          <w:rPr>
            <w:noProof/>
            <w:webHidden/>
          </w:rPr>
          <w:fldChar w:fldCharType="separate"/>
        </w:r>
        <w:r w:rsidR="00531D26">
          <w:rPr>
            <w:noProof/>
            <w:webHidden/>
          </w:rPr>
          <w:t>3</w:t>
        </w:r>
        <w:r w:rsidR="00827424">
          <w:rPr>
            <w:noProof/>
            <w:webHidden/>
          </w:rPr>
          <w:fldChar w:fldCharType="end"/>
        </w:r>
      </w:hyperlink>
    </w:p>
    <w:p w14:paraId="4CA02E04" w14:textId="29AE2874" w:rsidR="00827424" w:rsidRDefault="003609F1" w:rsidP="00E254A3">
      <w:pPr>
        <w:pStyle w:val="TOC1"/>
        <w:rPr>
          <w:rFonts w:asciiTheme="minorHAnsi" w:eastAsiaTheme="minorEastAsia" w:hAnsiTheme="minorHAnsi"/>
          <w:noProof/>
          <w:sz w:val="22"/>
          <w:lang w:eastAsia="en-GB"/>
        </w:rPr>
      </w:pPr>
      <w:hyperlink w:anchor="_Toc453254019" w:history="1">
        <w:r w:rsidR="00827424" w:rsidRPr="00924920">
          <w:rPr>
            <w:rStyle w:val="Hyperlink"/>
            <w:noProof/>
          </w:rPr>
          <w:t>Foreword – Aims and adaptations</w:t>
        </w:r>
        <w:r w:rsidR="00827424">
          <w:rPr>
            <w:noProof/>
            <w:webHidden/>
          </w:rPr>
          <w:tab/>
        </w:r>
        <w:r w:rsidR="00827424">
          <w:rPr>
            <w:noProof/>
            <w:webHidden/>
          </w:rPr>
          <w:fldChar w:fldCharType="begin"/>
        </w:r>
        <w:r w:rsidR="00827424">
          <w:rPr>
            <w:noProof/>
            <w:webHidden/>
          </w:rPr>
          <w:instrText xml:space="preserve"> PAGEREF _Toc453254019 \h </w:instrText>
        </w:r>
        <w:r w:rsidR="00827424">
          <w:rPr>
            <w:noProof/>
            <w:webHidden/>
          </w:rPr>
        </w:r>
        <w:r w:rsidR="00827424">
          <w:rPr>
            <w:noProof/>
            <w:webHidden/>
          </w:rPr>
          <w:fldChar w:fldCharType="separate"/>
        </w:r>
        <w:r w:rsidR="00531D26">
          <w:rPr>
            <w:noProof/>
            <w:webHidden/>
          </w:rPr>
          <w:t>4</w:t>
        </w:r>
        <w:r w:rsidR="00827424">
          <w:rPr>
            <w:noProof/>
            <w:webHidden/>
          </w:rPr>
          <w:fldChar w:fldCharType="end"/>
        </w:r>
      </w:hyperlink>
    </w:p>
    <w:p w14:paraId="38122FA9" w14:textId="7E471A4A" w:rsidR="00827424" w:rsidRDefault="003609F1" w:rsidP="00E254A3">
      <w:pPr>
        <w:pStyle w:val="TOC1"/>
        <w:rPr>
          <w:rFonts w:asciiTheme="minorHAnsi" w:eastAsiaTheme="minorEastAsia" w:hAnsiTheme="minorHAnsi"/>
          <w:noProof/>
          <w:sz w:val="22"/>
          <w:lang w:eastAsia="en-GB"/>
        </w:rPr>
      </w:pPr>
      <w:hyperlink w:anchor="_Toc453254020" w:history="1">
        <w:r w:rsidR="00827424" w:rsidRPr="00924920">
          <w:rPr>
            <w:rStyle w:val="Hyperlink"/>
            <w:noProof/>
          </w:rPr>
          <w:t>Quick reference guide</w:t>
        </w:r>
        <w:r w:rsidR="00827424">
          <w:rPr>
            <w:noProof/>
            <w:webHidden/>
          </w:rPr>
          <w:tab/>
        </w:r>
        <w:r w:rsidR="00827424">
          <w:rPr>
            <w:noProof/>
            <w:webHidden/>
          </w:rPr>
          <w:fldChar w:fldCharType="begin"/>
        </w:r>
        <w:r w:rsidR="00827424">
          <w:rPr>
            <w:noProof/>
            <w:webHidden/>
          </w:rPr>
          <w:instrText xml:space="preserve"> PAGEREF _Toc453254020 \h </w:instrText>
        </w:r>
        <w:r w:rsidR="00827424">
          <w:rPr>
            <w:noProof/>
            <w:webHidden/>
          </w:rPr>
        </w:r>
        <w:r w:rsidR="00827424">
          <w:rPr>
            <w:noProof/>
            <w:webHidden/>
          </w:rPr>
          <w:fldChar w:fldCharType="separate"/>
        </w:r>
        <w:r w:rsidR="00531D26">
          <w:rPr>
            <w:noProof/>
            <w:webHidden/>
          </w:rPr>
          <w:t>5</w:t>
        </w:r>
        <w:r w:rsidR="00827424">
          <w:rPr>
            <w:noProof/>
            <w:webHidden/>
          </w:rPr>
          <w:fldChar w:fldCharType="end"/>
        </w:r>
      </w:hyperlink>
    </w:p>
    <w:p w14:paraId="2CBB48ED" w14:textId="2B1E27C5" w:rsidR="00827424" w:rsidRDefault="003609F1" w:rsidP="00E254A3">
      <w:pPr>
        <w:pStyle w:val="TOC1"/>
        <w:rPr>
          <w:rFonts w:asciiTheme="minorHAnsi" w:eastAsiaTheme="minorEastAsia" w:hAnsiTheme="minorHAnsi"/>
          <w:noProof/>
          <w:sz w:val="22"/>
          <w:lang w:eastAsia="en-GB"/>
        </w:rPr>
      </w:pPr>
      <w:hyperlink w:anchor="_Toc453254021" w:history="1">
        <w:r w:rsidR="00827424" w:rsidRPr="00924920">
          <w:rPr>
            <w:rStyle w:val="Hyperlink"/>
            <w:noProof/>
          </w:rPr>
          <w:t>References</w:t>
        </w:r>
        <w:r w:rsidR="006C3875">
          <w:rPr>
            <w:rStyle w:val="Hyperlink"/>
            <w:noProof/>
          </w:rPr>
          <w:t xml:space="preserve"> and rationale</w:t>
        </w:r>
        <w:r w:rsidR="00827424">
          <w:rPr>
            <w:noProof/>
            <w:webHidden/>
          </w:rPr>
          <w:tab/>
        </w:r>
        <w:r w:rsidR="00827424">
          <w:rPr>
            <w:noProof/>
            <w:webHidden/>
          </w:rPr>
          <w:fldChar w:fldCharType="begin"/>
        </w:r>
        <w:r w:rsidR="00827424">
          <w:rPr>
            <w:noProof/>
            <w:webHidden/>
          </w:rPr>
          <w:instrText xml:space="preserve"> PAGEREF _Toc453254021 \h </w:instrText>
        </w:r>
        <w:r w:rsidR="00827424">
          <w:rPr>
            <w:noProof/>
            <w:webHidden/>
          </w:rPr>
        </w:r>
        <w:r w:rsidR="00827424">
          <w:rPr>
            <w:noProof/>
            <w:webHidden/>
          </w:rPr>
          <w:fldChar w:fldCharType="separate"/>
        </w:r>
        <w:r w:rsidR="00531D26">
          <w:rPr>
            <w:noProof/>
            <w:webHidden/>
          </w:rPr>
          <w:t>8</w:t>
        </w:r>
        <w:r w:rsidR="00827424">
          <w:rPr>
            <w:noProof/>
            <w:webHidden/>
          </w:rPr>
          <w:fldChar w:fldCharType="end"/>
        </w:r>
      </w:hyperlink>
    </w:p>
    <w:p w14:paraId="27E98078" w14:textId="20706941" w:rsidR="00827424" w:rsidRDefault="003609F1" w:rsidP="00E254A3">
      <w:pPr>
        <w:pStyle w:val="TOC1"/>
        <w:rPr>
          <w:rFonts w:asciiTheme="minorHAnsi" w:eastAsiaTheme="minorEastAsia" w:hAnsiTheme="minorHAnsi"/>
          <w:noProof/>
          <w:sz w:val="22"/>
          <w:lang w:eastAsia="en-GB"/>
        </w:rPr>
      </w:pPr>
      <w:hyperlink w:anchor="_Toc453254022" w:history="1">
        <w:r w:rsidR="00827424" w:rsidRPr="00924920">
          <w:rPr>
            <w:rStyle w:val="Hyperlink"/>
            <w:noProof/>
          </w:rPr>
          <w:t>Acknowledgements</w:t>
        </w:r>
        <w:r w:rsidR="00827424">
          <w:rPr>
            <w:noProof/>
            <w:webHidden/>
          </w:rPr>
          <w:tab/>
        </w:r>
        <w:r w:rsidR="00827424">
          <w:rPr>
            <w:noProof/>
            <w:webHidden/>
          </w:rPr>
          <w:fldChar w:fldCharType="begin"/>
        </w:r>
        <w:r w:rsidR="00827424">
          <w:rPr>
            <w:noProof/>
            <w:webHidden/>
          </w:rPr>
          <w:instrText xml:space="preserve"> PAGEREF _Toc453254022 \h </w:instrText>
        </w:r>
        <w:r w:rsidR="00827424">
          <w:rPr>
            <w:noProof/>
            <w:webHidden/>
          </w:rPr>
        </w:r>
        <w:r w:rsidR="00827424">
          <w:rPr>
            <w:noProof/>
            <w:webHidden/>
          </w:rPr>
          <w:fldChar w:fldCharType="separate"/>
        </w:r>
        <w:r w:rsidR="00531D26">
          <w:rPr>
            <w:noProof/>
            <w:webHidden/>
          </w:rPr>
          <w:t>22</w:t>
        </w:r>
        <w:r w:rsidR="00827424">
          <w:rPr>
            <w:noProof/>
            <w:webHidden/>
          </w:rPr>
          <w:fldChar w:fldCharType="end"/>
        </w:r>
      </w:hyperlink>
    </w:p>
    <w:p w14:paraId="43F2434D" w14:textId="453AB85F" w:rsidR="00827424" w:rsidRDefault="003609F1" w:rsidP="00E254A3">
      <w:pPr>
        <w:pStyle w:val="TOC1"/>
        <w:rPr>
          <w:rFonts w:asciiTheme="minorHAnsi" w:eastAsiaTheme="minorEastAsia" w:hAnsiTheme="minorHAnsi"/>
          <w:noProof/>
          <w:sz w:val="22"/>
          <w:lang w:eastAsia="en-GB"/>
        </w:rPr>
      </w:pPr>
      <w:hyperlink w:anchor="_Toc453254023" w:history="1">
        <w:r w:rsidR="00827424" w:rsidRPr="00924920">
          <w:rPr>
            <w:rStyle w:val="Hyperlink"/>
            <w:noProof/>
          </w:rPr>
          <w:t>Abbreviations</w:t>
        </w:r>
        <w:r w:rsidR="00827424">
          <w:rPr>
            <w:noProof/>
            <w:webHidden/>
          </w:rPr>
          <w:tab/>
        </w:r>
        <w:r w:rsidR="00827424">
          <w:rPr>
            <w:noProof/>
            <w:webHidden/>
          </w:rPr>
          <w:fldChar w:fldCharType="begin"/>
        </w:r>
        <w:r w:rsidR="00827424">
          <w:rPr>
            <w:noProof/>
            <w:webHidden/>
          </w:rPr>
          <w:instrText xml:space="preserve"> PAGEREF _Toc453254023 \h </w:instrText>
        </w:r>
        <w:r w:rsidR="00827424">
          <w:rPr>
            <w:noProof/>
            <w:webHidden/>
          </w:rPr>
        </w:r>
        <w:r w:rsidR="00827424">
          <w:rPr>
            <w:noProof/>
            <w:webHidden/>
          </w:rPr>
          <w:fldChar w:fldCharType="separate"/>
        </w:r>
        <w:r w:rsidR="00531D26">
          <w:rPr>
            <w:noProof/>
            <w:webHidden/>
          </w:rPr>
          <w:t>25</w:t>
        </w:r>
        <w:r w:rsidR="00827424">
          <w:rPr>
            <w:noProof/>
            <w:webHidden/>
          </w:rPr>
          <w:fldChar w:fldCharType="end"/>
        </w:r>
      </w:hyperlink>
    </w:p>
    <w:p w14:paraId="53E5F402" w14:textId="16DC57A5" w:rsidR="008957EC" w:rsidRDefault="00266F51" w:rsidP="00827424">
      <w:pPr>
        <w:tabs>
          <w:tab w:val="left" w:pos="2662"/>
        </w:tabs>
        <w:spacing w:after="120"/>
        <w:rPr>
          <w:rFonts w:cs="Arial"/>
          <w:szCs w:val="24"/>
        </w:rPr>
      </w:pPr>
      <w:r>
        <w:rPr>
          <w:rFonts w:eastAsia="Times New Roman" w:cs="Times New Roman"/>
          <w:noProof/>
          <w:szCs w:val="20"/>
          <w:lang w:val="x-none"/>
        </w:rPr>
        <w:fldChar w:fldCharType="end"/>
      </w:r>
    </w:p>
    <w:p w14:paraId="37CEDCA0" w14:textId="77777777" w:rsidR="008957EC" w:rsidRDefault="008957EC" w:rsidP="00415376">
      <w:pPr>
        <w:tabs>
          <w:tab w:val="left" w:pos="2662"/>
        </w:tabs>
        <w:rPr>
          <w:rFonts w:cs="Arial"/>
          <w:szCs w:val="24"/>
        </w:rPr>
      </w:pPr>
    </w:p>
    <w:p w14:paraId="15F2AF2F" w14:textId="77777777" w:rsidR="008957EC" w:rsidRDefault="008957EC" w:rsidP="00415376">
      <w:pPr>
        <w:tabs>
          <w:tab w:val="left" w:pos="2662"/>
        </w:tabs>
        <w:rPr>
          <w:rFonts w:cs="Arial"/>
          <w:szCs w:val="24"/>
        </w:rPr>
      </w:pPr>
    </w:p>
    <w:p w14:paraId="1A375560" w14:textId="77777777" w:rsidR="008957EC" w:rsidRDefault="008957EC" w:rsidP="00415376">
      <w:pPr>
        <w:tabs>
          <w:tab w:val="left" w:pos="2662"/>
        </w:tabs>
        <w:rPr>
          <w:rFonts w:cs="Arial"/>
          <w:szCs w:val="24"/>
        </w:rPr>
      </w:pPr>
    </w:p>
    <w:p w14:paraId="57D2F94C" w14:textId="77777777" w:rsidR="008957EC" w:rsidRDefault="008957EC" w:rsidP="00415376">
      <w:pPr>
        <w:tabs>
          <w:tab w:val="left" w:pos="2662"/>
        </w:tabs>
        <w:rPr>
          <w:rFonts w:cs="Arial"/>
          <w:szCs w:val="24"/>
        </w:rPr>
      </w:pPr>
    </w:p>
    <w:p w14:paraId="53B2C601" w14:textId="77777777" w:rsidR="008957EC" w:rsidRDefault="008957EC" w:rsidP="00415376">
      <w:pPr>
        <w:tabs>
          <w:tab w:val="left" w:pos="2662"/>
        </w:tabs>
        <w:rPr>
          <w:rFonts w:cs="Arial"/>
          <w:szCs w:val="24"/>
        </w:rPr>
      </w:pPr>
    </w:p>
    <w:p w14:paraId="0C62F5B3" w14:textId="77777777" w:rsidR="008957EC" w:rsidRDefault="008957EC" w:rsidP="00415376">
      <w:pPr>
        <w:tabs>
          <w:tab w:val="left" w:pos="2662"/>
        </w:tabs>
        <w:rPr>
          <w:rFonts w:cs="Arial"/>
          <w:szCs w:val="24"/>
        </w:rPr>
      </w:pPr>
    </w:p>
    <w:p w14:paraId="4B7885A1" w14:textId="77777777" w:rsidR="008957EC" w:rsidRDefault="008957EC" w:rsidP="00415376">
      <w:pPr>
        <w:tabs>
          <w:tab w:val="left" w:pos="2662"/>
        </w:tabs>
        <w:rPr>
          <w:rFonts w:cs="Arial"/>
          <w:szCs w:val="24"/>
        </w:rPr>
      </w:pPr>
    </w:p>
    <w:p w14:paraId="69AB54C4" w14:textId="77777777" w:rsidR="008957EC" w:rsidRDefault="008957EC" w:rsidP="00415376">
      <w:pPr>
        <w:tabs>
          <w:tab w:val="left" w:pos="2662"/>
        </w:tabs>
        <w:rPr>
          <w:rFonts w:cs="Arial"/>
          <w:szCs w:val="24"/>
        </w:rPr>
      </w:pPr>
    </w:p>
    <w:p w14:paraId="6CDFD6E4" w14:textId="77777777" w:rsidR="008957EC" w:rsidRDefault="008957EC" w:rsidP="00415376">
      <w:pPr>
        <w:tabs>
          <w:tab w:val="left" w:pos="2662"/>
        </w:tabs>
        <w:rPr>
          <w:rFonts w:cs="Arial"/>
          <w:szCs w:val="24"/>
        </w:rPr>
      </w:pPr>
    </w:p>
    <w:p w14:paraId="6243D40C" w14:textId="77777777" w:rsidR="008957EC" w:rsidRDefault="008957EC" w:rsidP="00415376">
      <w:pPr>
        <w:tabs>
          <w:tab w:val="left" w:pos="2662"/>
        </w:tabs>
        <w:rPr>
          <w:rFonts w:cs="Arial"/>
          <w:szCs w:val="24"/>
        </w:rPr>
      </w:pPr>
    </w:p>
    <w:p w14:paraId="5F2ACDDD" w14:textId="77777777" w:rsidR="008957EC" w:rsidRDefault="008957EC" w:rsidP="00415376">
      <w:pPr>
        <w:tabs>
          <w:tab w:val="left" w:pos="2662"/>
        </w:tabs>
        <w:rPr>
          <w:rFonts w:cs="Arial"/>
          <w:szCs w:val="24"/>
        </w:rPr>
      </w:pPr>
    </w:p>
    <w:p w14:paraId="08287AA5" w14:textId="77777777" w:rsidR="008957EC" w:rsidRDefault="008957EC" w:rsidP="00415376">
      <w:pPr>
        <w:tabs>
          <w:tab w:val="left" w:pos="2662"/>
        </w:tabs>
        <w:rPr>
          <w:rFonts w:cs="Arial"/>
          <w:szCs w:val="24"/>
        </w:rPr>
      </w:pPr>
    </w:p>
    <w:p w14:paraId="13F5B9E0" w14:textId="77777777" w:rsidR="008957EC" w:rsidRDefault="008957EC" w:rsidP="00415376">
      <w:pPr>
        <w:tabs>
          <w:tab w:val="left" w:pos="2662"/>
        </w:tabs>
        <w:rPr>
          <w:rFonts w:cs="Arial"/>
          <w:szCs w:val="24"/>
        </w:rPr>
      </w:pPr>
    </w:p>
    <w:p w14:paraId="54E8871D" w14:textId="77777777" w:rsidR="008957EC" w:rsidRDefault="008957EC" w:rsidP="00415376">
      <w:pPr>
        <w:tabs>
          <w:tab w:val="left" w:pos="2662"/>
        </w:tabs>
        <w:rPr>
          <w:rFonts w:cs="Arial"/>
          <w:szCs w:val="24"/>
        </w:rPr>
      </w:pPr>
    </w:p>
    <w:p w14:paraId="77943AF9" w14:textId="77777777" w:rsidR="008957EC" w:rsidRDefault="008957EC" w:rsidP="00415376">
      <w:pPr>
        <w:tabs>
          <w:tab w:val="left" w:pos="2662"/>
        </w:tabs>
        <w:rPr>
          <w:rFonts w:cs="Arial"/>
          <w:szCs w:val="24"/>
        </w:rPr>
      </w:pPr>
    </w:p>
    <w:p w14:paraId="0CA761B0" w14:textId="77777777" w:rsidR="008957EC" w:rsidRDefault="008957EC" w:rsidP="00415376">
      <w:pPr>
        <w:tabs>
          <w:tab w:val="left" w:pos="2662"/>
        </w:tabs>
        <w:rPr>
          <w:rFonts w:cs="Arial"/>
          <w:szCs w:val="24"/>
        </w:rPr>
      </w:pPr>
    </w:p>
    <w:p w14:paraId="0C5B60E7" w14:textId="77777777" w:rsidR="008957EC" w:rsidRDefault="008957EC" w:rsidP="00415376">
      <w:pPr>
        <w:tabs>
          <w:tab w:val="left" w:pos="2662"/>
        </w:tabs>
        <w:rPr>
          <w:rFonts w:cs="Arial"/>
          <w:szCs w:val="24"/>
        </w:rPr>
      </w:pPr>
    </w:p>
    <w:p w14:paraId="28A127BB" w14:textId="77777777" w:rsidR="008957EC" w:rsidRDefault="008957EC" w:rsidP="00415376">
      <w:pPr>
        <w:tabs>
          <w:tab w:val="left" w:pos="2662"/>
        </w:tabs>
        <w:rPr>
          <w:rFonts w:cs="Arial"/>
          <w:szCs w:val="24"/>
        </w:rPr>
      </w:pPr>
    </w:p>
    <w:p w14:paraId="497DF20C" w14:textId="77777777" w:rsidR="008957EC" w:rsidRDefault="008957EC" w:rsidP="00415376">
      <w:pPr>
        <w:tabs>
          <w:tab w:val="left" w:pos="2662"/>
        </w:tabs>
        <w:rPr>
          <w:rFonts w:cs="Arial"/>
          <w:szCs w:val="24"/>
        </w:rPr>
      </w:pPr>
    </w:p>
    <w:p w14:paraId="7FBB8A47" w14:textId="77777777" w:rsidR="008957EC" w:rsidRDefault="008957EC" w:rsidP="00415376">
      <w:pPr>
        <w:tabs>
          <w:tab w:val="left" w:pos="2662"/>
        </w:tabs>
        <w:rPr>
          <w:rFonts w:cs="Arial"/>
          <w:szCs w:val="24"/>
        </w:rPr>
      </w:pPr>
    </w:p>
    <w:p w14:paraId="58B4B06A" w14:textId="77777777" w:rsidR="008957EC" w:rsidRDefault="008957EC" w:rsidP="00415376">
      <w:pPr>
        <w:tabs>
          <w:tab w:val="left" w:pos="2662"/>
        </w:tabs>
        <w:rPr>
          <w:rFonts w:cs="Arial"/>
          <w:szCs w:val="24"/>
        </w:rPr>
      </w:pPr>
    </w:p>
    <w:p w14:paraId="26E0BEA2" w14:textId="77777777" w:rsidR="008957EC" w:rsidRDefault="008957EC" w:rsidP="00415376">
      <w:pPr>
        <w:tabs>
          <w:tab w:val="left" w:pos="2662"/>
        </w:tabs>
        <w:rPr>
          <w:rFonts w:cs="Arial"/>
          <w:szCs w:val="24"/>
        </w:rPr>
      </w:pPr>
    </w:p>
    <w:p w14:paraId="16FE0474" w14:textId="77777777" w:rsidR="008957EC" w:rsidRDefault="008957EC" w:rsidP="00415376">
      <w:pPr>
        <w:tabs>
          <w:tab w:val="left" w:pos="2662"/>
        </w:tabs>
        <w:rPr>
          <w:rFonts w:cs="Arial"/>
          <w:szCs w:val="24"/>
        </w:rPr>
      </w:pPr>
    </w:p>
    <w:p w14:paraId="29FD8114" w14:textId="77777777" w:rsidR="008957EC" w:rsidRDefault="008957EC" w:rsidP="00415376">
      <w:pPr>
        <w:tabs>
          <w:tab w:val="left" w:pos="2662"/>
        </w:tabs>
        <w:rPr>
          <w:rFonts w:cs="Arial"/>
          <w:szCs w:val="24"/>
        </w:rPr>
      </w:pPr>
    </w:p>
    <w:p w14:paraId="7D4D92CF" w14:textId="77777777" w:rsidR="008957EC" w:rsidRDefault="008957EC" w:rsidP="00415376">
      <w:pPr>
        <w:tabs>
          <w:tab w:val="left" w:pos="2662"/>
        </w:tabs>
        <w:rPr>
          <w:rFonts w:cs="Arial"/>
          <w:szCs w:val="24"/>
        </w:rPr>
      </w:pPr>
    </w:p>
    <w:p w14:paraId="24061865" w14:textId="77777777" w:rsidR="008957EC" w:rsidRDefault="008957EC" w:rsidP="00415376">
      <w:pPr>
        <w:tabs>
          <w:tab w:val="left" w:pos="2662"/>
        </w:tabs>
        <w:rPr>
          <w:rFonts w:cs="Arial"/>
          <w:szCs w:val="24"/>
        </w:rPr>
      </w:pPr>
    </w:p>
    <w:p w14:paraId="18E2A4A6" w14:textId="77777777" w:rsidR="008957EC" w:rsidRDefault="008957EC" w:rsidP="00415376">
      <w:pPr>
        <w:tabs>
          <w:tab w:val="left" w:pos="2662"/>
        </w:tabs>
        <w:rPr>
          <w:rFonts w:cs="Arial"/>
          <w:szCs w:val="24"/>
        </w:rPr>
      </w:pPr>
    </w:p>
    <w:p w14:paraId="49D3327F" w14:textId="77777777" w:rsidR="008957EC" w:rsidRDefault="008957EC" w:rsidP="00415376">
      <w:pPr>
        <w:tabs>
          <w:tab w:val="left" w:pos="2662"/>
        </w:tabs>
        <w:rPr>
          <w:rFonts w:cs="Arial"/>
          <w:szCs w:val="24"/>
        </w:rPr>
      </w:pPr>
    </w:p>
    <w:p w14:paraId="464502D6" w14:textId="77777777" w:rsidR="008957EC" w:rsidRDefault="008957EC" w:rsidP="00415376">
      <w:pPr>
        <w:tabs>
          <w:tab w:val="left" w:pos="2662"/>
        </w:tabs>
        <w:rPr>
          <w:rFonts w:cs="Arial"/>
          <w:szCs w:val="24"/>
        </w:rPr>
      </w:pPr>
    </w:p>
    <w:p w14:paraId="608A9745" w14:textId="77777777" w:rsidR="008957EC" w:rsidRDefault="008957EC" w:rsidP="00415376">
      <w:pPr>
        <w:tabs>
          <w:tab w:val="left" w:pos="2662"/>
        </w:tabs>
        <w:rPr>
          <w:rFonts w:cs="Arial"/>
          <w:szCs w:val="24"/>
        </w:rPr>
      </w:pPr>
    </w:p>
    <w:p w14:paraId="0A1E08C9" w14:textId="77777777" w:rsidR="008957EC" w:rsidRDefault="008957EC" w:rsidP="00415376">
      <w:pPr>
        <w:tabs>
          <w:tab w:val="left" w:pos="2662"/>
        </w:tabs>
        <w:rPr>
          <w:rFonts w:cs="Arial"/>
          <w:szCs w:val="24"/>
        </w:rPr>
      </w:pPr>
    </w:p>
    <w:p w14:paraId="3D43C0DD" w14:textId="77777777" w:rsidR="008957EC" w:rsidRDefault="008957EC" w:rsidP="008957EC">
      <w:pPr>
        <w:tabs>
          <w:tab w:val="left" w:pos="2662"/>
        </w:tabs>
        <w:spacing w:line="280" w:lineRule="exact"/>
        <w:rPr>
          <w:rFonts w:cs="Arial"/>
          <w:szCs w:val="24"/>
        </w:rPr>
      </w:pPr>
    </w:p>
    <w:p w14:paraId="6B4AC0D0" w14:textId="10FE71AA" w:rsidR="008957EC" w:rsidRDefault="00D04C8D" w:rsidP="008957EC">
      <w:pPr>
        <w:pStyle w:val="PHEHeading"/>
      </w:pPr>
      <w:bookmarkStart w:id="2" w:name="_Toc453254019"/>
      <w:r>
        <w:t>Foreword – Aims and a</w:t>
      </w:r>
      <w:r w:rsidR="008957EC">
        <w:t>daptations</w:t>
      </w:r>
      <w:bookmarkEnd w:id="2"/>
    </w:p>
    <w:p w14:paraId="2DD3E64C" w14:textId="77777777" w:rsidR="008957EC" w:rsidRPr="008957EC" w:rsidRDefault="008957EC" w:rsidP="008957EC">
      <w:pPr>
        <w:rPr>
          <w:rFonts w:cs="Arial"/>
          <w:color w:val="98002E"/>
          <w:sz w:val="28"/>
          <w:szCs w:val="28"/>
        </w:rPr>
      </w:pPr>
      <w:r w:rsidRPr="008957EC">
        <w:rPr>
          <w:rFonts w:cs="Arial"/>
          <w:color w:val="98002E"/>
          <w:sz w:val="28"/>
          <w:szCs w:val="28"/>
        </w:rPr>
        <w:t>Audience</w:t>
      </w:r>
    </w:p>
    <w:p w14:paraId="3536B977" w14:textId="77777777" w:rsidR="008957EC" w:rsidRPr="008957EC" w:rsidRDefault="008957EC" w:rsidP="008901DD">
      <w:pPr>
        <w:pStyle w:val="ListParagraph"/>
        <w:numPr>
          <w:ilvl w:val="0"/>
          <w:numId w:val="4"/>
        </w:numPr>
        <w:ind w:left="714" w:hanging="357"/>
        <w:rPr>
          <w:rFonts w:cs="Arial"/>
          <w:szCs w:val="24"/>
        </w:rPr>
      </w:pPr>
      <w:r w:rsidRPr="008957EC">
        <w:rPr>
          <w:rFonts w:cs="Arial"/>
          <w:szCs w:val="24"/>
        </w:rPr>
        <w:t xml:space="preserve">primary care prescribers in general practice and out of </w:t>
      </w:r>
      <w:proofErr w:type="gramStart"/>
      <w:r w:rsidRPr="008957EC">
        <w:rPr>
          <w:rFonts w:cs="Arial"/>
          <w:szCs w:val="24"/>
        </w:rPr>
        <w:t>hours</w:t>
      </w:r>
      <w:proofErr w:type="gramEnd"/>
      <w:r w:rsidRPr="008957EC">
        <w:rPr>
          <w:rFonts w:cs="Arial"/>
          <w:szCs w:val="24"/>
        </w:rPr>
        <w:t xml:space="preserve"> settings; including doctors, nurses and pharmacists</w:t>
      </w:r>
    </w:p>
    <w:p w14:paraId="0F75EB7E" w14:textId="4FF1F129" w:rsidR="008957EC" w:rsidRPr="008957EC" w:rsidRDefault="008957EC" w:rsidP="008901DD">
      <w:pPr>
        <w:pStyle w:val="ListParagraph"/>
        <w:numPr>
          <w:ilvl w:val="0"/>
          <w:numId w:val="4"/>
        </w:numPr>
        <w:ind w:left="714" w:hanging="357"/>
        <w:rPr>
          <w:rFonts w:cs="Arial"/>
          <w:szCs w:val="24"/>
        </w:rPr>
      </w:pPr>
      <w:r w:rsidRPr="008957EC">
        <w:rPr>
          <w:rFonts w:cs="Arial"/>
          <w:szCs w:val="24"/>
        </w:rPr>
        <w:t xml:space="preserve">those giving first point of contact for </w:t>
      </w:r>
      <w:r w:rsidR="00266F51">
        <w:rPr>
          <w:rFonts w:cs="Arial"/>
          <w:szCs w:val="24"/>
        </w:rPr>
        <w:t>test</w:t>
      </w:r>
      <w:r w:rsidR="00351995">
        <w:rPr>
          <w:rFonts w:cs="Arial"/>
          <w:szCs w:val="24"/>
        </w:rPr>
        <w:t xml:space="preserve"> and treat</w:t>
      </w:r>
      <w:r w:rsidRPr="008957EC">
        <w:rPr>
          <w:rFonts w:cs="Arial"/>
          <w:szCs w:val="24"/>
        </w:rPr>
        <w:t xml:space="preserve"> of </w:t>
      </w:r>
      <w:r w:rsidR="00551C93">
        <w:rPr>
          <w:rFonts w:cs="Arial"/>
          <w:i/>
          <w:szCs w:val="24"/>
        </w:rPr>
        <w:t xml:space="preserve">Helicobacter </w:t>
      </w:r>
      <w:r w:rsidR="00551C93" w:rsidRPr="00551C93">
        <w:rPr>
          <w:rFonts w:cs="Arial"/>
          <w:i/>
          <w:szCs w:val="24"/>
        </w:rPr>
        <w:t>pylori</w:t>
      </w:r>
      <w:r w:rsidR="00551C93">
        <w:rPr>
          <w:rFonts w:cs="Arial"/>
          <w:szCs w:val="24"/>
        </w:rPr>
        <w:t xml:space="preserve"> </w:t>
      </w:r>
      <w:r w:rsidR="0004126B" w:rsidRPr="00551C93">
        <w:rPr>
          <w:rFonts w:cs="Arial"/>
          <w:szCs w:val="24"/>
        </w:rPr>
        <w:t>in</w:t>
      </w:r>
      <w:r w:rsidR="0004126B">
        <w:rPr>
          <w:rFonts w:cs="Arial"/>
          <w:szCs w:val="24"/>
        </w:rPr>
        <w:t xml:space="preserve"> adults</w:t>
      </w:r>
    </w:p>
    <w:p w14:paraId="39D7EB69" w14:textId="77777777" w:rsidR="008957EC" w:rsidRPr="008957EC" w:rsidRDefault="008957EC" w:rsidP="00DA0AFC">
      <w:pPr>
        <w:spacing w:line="280" w:lineRule="exact"/>
        <w:rPr>
          <w:rFonts w:cs="Arial"/>
          <w:szCs w:val="24"/>
        </w:rPr>
      </w:pPr>
    </w:p>
    <w:p w14:paraId="2B6EDC2F" w14:textId="77777777" w:rsidR="008957EC" w:rsidRPr="008957EC" w:rsidRDefault="008957EC" w:rsidP="008957EC">
      <w:pPr>
        <w:rPr>
          <w:rFonts w:cs="Arial"/>
          <w:color w:val="98002E"/>
          <w:sz w:val="28"/>
          <w:szCs w:val="28"/>
        </w:rPr>
      </w:pPr>
      <w:r w:rsidRPr="008957EC">
        <w:rPr>
          <w:rFonts w:cs="Arial"/>
          <w:color w:val="98002E"/>
          <w:sz w:val="28"/>
          <w:szCs w:val="28"/>
        </w:rPr>
        <w:t>Aims</w:t>
      </w:r>
    </w:p>
    <w:p w14:paraId="5701C406" w14:textId="27D29542" w:rsidR="008957EC" w:rsidRDefault="008957EC" w:rsidP="008901DD">
      <w:pPr>
        <w:pStyle w:val="ListParagraph"/>
        <w:numPr>
          <w:ilvl w:val="0"/>
          <w:numId w:val="5"/>
        </w:numPr>
        <w:ind w:left="714" w:hanging="357"/>
        <w:rPr>
          <w:rFonts w:cs="Arial"/>
          <w:szCs w:val="24"/>
        </w:rPr>
      </w:pPr>
      <w:r w:rsidRPr="008957EC">
        <w:rPr>
          <w:rFonts w:cs="Arial"/>
          <w:szCs w:val="24"/>
        </w:rPr>
        <w:t>to p</w:t>
      </w:r>
      <w:r>
        <w:rPr>
          <w:rFonts w:cs="Arial"/>
          <w:szCs w:val="24"/>
        </w:rPr>
        <w:t xml:space="preserve">rovide a simple, effective, economical and empirical approach to the </w:t>
      </w:r>
      <w:r w:rsidR="00266F51">
        <w:rPr>
          <w:rFonts w:cs="Arial"/>
          <w:szCs w:val="24"/>
        </w:rPr>
        <w:t>test</w:t>
      </w:r>
      <w:r w:rsidR="00D04C8D">
        <w:rPr>
          <w:rFonts w:cs="Arial"/>
          <w:szCs w:val="24"/>
        </w:rPr>
        <w:t xml:space="preserve"> and </w:t>
      </w:r>
      <w:r w:rsidR="00351995">
        <w:rPr>
          <w:rFonts w:cs="Arial"/>
          <w:szCs w:val="24"/>
        </w:rPr>
        <w:t>treat</w:t>
      </w:r>
      <w:r>
        <w:rPr>
          <w:rFonts w:cs="Arial"/>
          <w:szCs w:val="24"/>
        </w:rPr>
        <w:t xml:space="preserve"> of </w:t>
      </w:r>
      <w:r w:rsidR="00351995">
        <w:rPr>
          <w:rFonts w:cs="Arial"/>
          <w:i/>
          <w:szCs w:val="24"/>
        </w:rPr>
        <w:t>Helicobacter pylori</w:t>
      </w:r>
    </w:p>
    <w:p w14:paraId="79CA08EC" w14:textId="77777777" w:rsidR="008957EC" w:rsidRDefault="008957EC" w:rsidP="008901DD">
      <w:pPr>
        <w:pStyle w:val="ListParagraph"/>
        <w:numPr>
          <w:ilvl w:val="0"/>
          <w:numId w:val="5"/>
        </w:numPr>
        <w:ind w:left="714" w:hanging="357"/>
        <w:rPr>
          <w:rFonts w:cs="Arial"/>
          <w:szCs w:val="24"/>
        </w:rPr>
      </w:pPr>
      <w:r>
        <w:rPr>
          <w:rFonts w:cs="Arial"/>
          <w:szCs w:val="24"/>
        </w:rPr>
        <w:t>to minimise the emergence of antibiotic resistance in the community</w:t>
      </w:r>
    </w:p>
    <w:p w14:paraId="56C53168" w14:textId="77777777" w:rsidR="008957EC" w:rsidRDefault="008957EC" w:rsidP="00DA0AFC">
      <w:pPr>
        <w:spacing w:line="280" w:lineRule="exact"/>
        <w:rPr>
          <w:rFonts w:cs="Arial"/>
          <w:szCs w:val="24"/>
        </w:rPr>
      </w:pPr>
    </w:p>
    <w:p w14:paraId="66053D5E" w14:textId="77777777" w:rsidR="008957EC" w:rsidRDefault="008957EC" w:rsidP="008957EC">
      <w:pPr>
        <w:rPr>
          <w:rFonts w:cs="Arial"/>
          <w:color w:val="98002E"/>
          <w:sz w:val="28"/>
          <w:szCs w:val="28"/>
        </w:rPr>
      </w:pPr>
      <w:r>
        <w:rPr>
          <w:rFonts w:cs="Arial"/>
          <w:color w:val="98002E"/>
          <w:sz w:val="28"/>
          <w:szCs w:val="28"/>
        </w:rPr>
        <w:t>Implications</w:t>
      </w:r>
    </w:p>
    <w:p w14:paraId="72103023" w14:textId="77777777" w:rsidR="008957EC" w:rsidRPr="008957EC" w:rsidRDefault="008957EC" w:rsidP="008901DD">
      <w:pPr>
        <w:pStyle w:val="ListParagraph"/>
        <w:numPr>
          <w:ilvl w:val="0"/>
          <w:numId w:val="6"/>
        </w:numPr>
        <w:ind w:left="714" w:hanging="357"/>
        <w:rPr>
          <w:rFonts w:cs="Arial"/>
          <w:color w:val="98002E"/>
          <w:szCs w:val="24"/>
        </w:rPr>
      </w:pPr>
      <w:r>
        <w:rPr>
          <w:rFonts w:cs="Arial"/>
          <w:szCs w:val="24"/>
        </w:rPr>
        <w:t>the guidance should lead to more appropriate antibiotic use</w:t>
      </w:r>
    </w:p>
    <w:p w14:paraId="7213AB9E" w14:textId="77777777" w:rsidR="008957EC" w:rsidRPr="008957EC" w:rsidRDefault="008957EC" w:rsidP="008901DD">
      <w:pPr>
        <w:pStyle w:val="ListParagraph"/>
        <w:numPr>
          <w:ilvl w:val="0"/>
          <w:numId w:val="6"/>
        </w:numPr>
        <w:ind w:left="714" w:hanging="357"/>
        <w:rPr>
          <w:rFonts w:cs="Arial"/>
          <w:color w:val="98002E"/>
          <w:szCs w:val="24"/>
        </w:rPr>
      </w:pPr>
      <w:r>
        <w:rPr>
          <w:rFonts w:cs="Arial"/>
          <w:szCs w:val="24"/>
        </w:rPr>
        <w:t>use of this guidance may influence laboratory workload, which may have financial implications for laboratories and primary care commissioners</w:t>
      </w:r>
    </w:p>
    <w:p w14:paraId="77ABC4CE" w14:textId="77777777" w:rsidR="008957EC" w:rsidRDefault="008957EC" w:rsidP="00DA0AFC">
      <w:pPr>
        <w:spacing w:line="280" w:lineRule="exact"/>
        <w:rPr>
          <w:rFonts w:cs="Arial"/>
          <w:color w:val="98002E"/>
          <w:szCs w:val="24"/>
        </w:rPr>
      </w:pPr>
    </w:p>
    <w:p w14:paraId="13AA0F25" w14:textId="77777777" w:rsidR="008957EC" w:rsidRDefault="008957EC" w:rsidP="008957EC">
      <w:pPr>
        <w:rPr>
          <w:rFonts w:cs="Arial"/>
          <w:color w:val="98002E"/>
          <w:sz w:val="28"/>
          <w:szCs w:val="28"/>
        </w:rPr>
      </w:pPr>
      <w:r>
        <w:rPr>
          <w:rFonts w:cs="Arial"/>
          <w:color w:val="98002E"/>
          <w:sz w:val="28"/>
          <w:szCs w:val="28"/>
        </w:rPr>
        <w:t>Production</w:t>
      </w:r>
    </w:p>
    <w:p w14:paraId="7E13BF1A" w14:textId="0E36225F" w:rsidR="008957EC" w:rsidRPr="008957EC" w:rsidRDefault="008957EC" w:rsidP="008901DD">
      <w:pPr>
        <w:pStyle w:val="ListParagraph"/>
        <w:numPr>
          <w:ilvl w:val="0"/>
          <w:numId w:val="7"/>
        </w:numPr>
        <w:ind w:left="714" w:hanging="357"/>
        <w:rPr>
          <w:rFonts w:cs="Arial"/>
          <w:color w:val="98002E"/>
          <w:szCs w:val="24"/>
        </w:rPr>
      </w:pPr>
      <w:r>
        <w:rPr>
          <w:rFonts w:cs="Arial"/>
          <w:szCs w:val="24"/>
        </w:rPr>
        <w:t>the guidance has been produced in consultation with the Associati</w:t>
      </w:r>
      <w:r w:rsidR="00380058">
        <w:rPr>
          <w:rFonts w:cs="Arial"/>
          <w:szCs w:val="24"/>
        </w:rPr>
        <w:t>on of Medical Microbiologists, g</w:t>
      </w:r>
      <w:r w:rsidR="009A4DA7">
        <w:rPr>
          <w:rFonts w:cs="Arial"/>
          <w:szCs w:val="24"/>
        </w:rPr>
        <w:t xml:space="preserve">eneral </w:t>
      </w:r>
      <w:r w:rsidR="00380058">
        <w:rPr>
          <w:rFonts w:cs="Arial"/>
          <w:szCs w:val="24"/>
        </w:rPr>
        <w:t>p</w:t>
      </w:r>
      <w:r w:rsidR="009A4DA7">
        <w:rPr>
          <w:rFonts w:cs="Arial"/>
          <w:szCs w:val="24"/>
        </w:rPr>
        <w:t>ractitioner</w:t>
      </w:r>
      <w:r>
        <w:rPr>
          <w:rFonts w:cs="Arial"/>
          <w:szCs w:val="24"/>
        </w:rPr>
        <w:t>s, nurses</w:t>
      </w:r>
      <w:r w:rsidR="0090701E">
        <w:rPr>
          <w:rFonts w:cs="Arial"/>
          <w:szCs w:val="24"/>
        </w:rPr>
        <w:t>, specialists, and patient representatives</w:t>
      </w:r>
    </w:p>
    <w:p w14:paraId="56973F48" w14:textId="77777777" w:rsidR="008957EC" w:rsidRDefault="008957EC" w:rsidP="008901DD">
      <w:pPr>
        <w:pStyle w:val="ListParagraph"/>
        <w:numPr>
          <w:ilvl w:val="0"/>
          <w:numId w:val="7"/>
        </w:numPr>
        <w:ind w:left="714" w:hanging="357"/>
        <w:rPr>
          <w:rFonts w:cs="Arial"/>
          <w:color w:val="98002E"/>
          <w:szCs w:val="24"/>
        </w:rPr>
      </w:pPr>
      <w:r>
        <w:rPr>
          <w:rFonts w:cs="Arial"/>
          <w:szCs w:val="24"/>
        </w:rPr>
        <w:t xml:space="preserve">the guidance </w:t>
      </w:r>
      <w:proofErr w:type="gramStart"/>
      <w:r>
        <w:rPr>
          <w:rFonts w:cs="Arial"/>
          <w:szCs w:val="24"/>
        </w:rPr>
        <w:t>is in agreement</w:t>
      </w:r>
      <w:proofErr w:type="gramEnd"/>
      <w:r>
        <w:rPr>
          <w:rFonts w:cs="Arial"/>
          <w:szCs w:val="24"/>
        </w:rPr>
        <w:t xml:space="preserve"> with other publications, including </w:t>
      </w:r>
      <w:hyperlink r:id="rId21" w:history="1">
        <w:r w:rsidRPr="008957EC">
          <w:rPr>
            <w:rStyle w:val="Hyperlink"/>
            <w:rFonts w:cs="Arial"/>
            <w:color w:val="98002E"/>
            <w:szCs w:val="24"/>
            <w:u w:val="none"/>
          </w:rPr>
          <w:t>CKS</w:t>
        </w:r>
      </w:hyperlink>
      <w:r>
        <w:rPr>
          <w:rFonts w:cs="Arial"/>
          <w:szCs w:val="24"/>
        </w:rPr>
        <w:t xml:space="preserve">, </w:t>
      </w:r>
      <w:hyperlink r:id="rId22" w:history="1">
        <w:r w:rsidRPr="008957EC">
          <w:rPr>
            <w:rStyle w:val="Hyperlink"/>
            <w:rFonts w:cs="Arial"/>
            <w:color w:val="98002E"/>
            <w:szCs w:val="24"/>
            <w:u w:val="none"/>
          </w:rPr>
          <w:t>SIGN</w:t>
        </w:r>
      </w:hyperlink>
      <w:r>
        <w:rPr>
          <w:rFonts w:cs="Arial"/>
          <w:szCs w:val="24"/>
        </w:rPr>
        <w:t xml:space="preserve"> and </w:t>
      </w:r>
      <w:hyperlink r:id="rId23" w:history="1">
        <w:r w:rsidRPr="008957EC">
          <w:rPr>
            <w:rStyle w:val="Hyperlink"/>
            <w:rFonts w:cs="Arial"/>
            <w:color w:val="98002E"/>
            <w:szCs w:val="24"/>
            <w:u w:val="none"/>
          </w:rPr>
          <w:t>NICE</w:t>
        </w:r>
      </w:hyperlink>
    </w:p>
    <w:p w14:paraId="03638A4C" w14:textId="77777777" w:rsidR="00DA0AFC" w:rsidRPr="00DA0AFC" w:rsidRDefault="00DA0AFC" w:rsidP="008901DD">
      <w:pPr>
        <w:pStyle w:val="ListParagraph"/>
        <w:numPr>
          <w:ilvl w:val="0"/>
          <w:numId w:val="7"/>
        </w:numPr>
        <w:ind w:left="714" w:hanging="357"/>
        <w:rPr>
          <w:rFonts w:cs="Arial"/>
          <w:color w:val="98002E"/>
          <w:szCs w:val="24"/>
        </w:rPr>
      </w:pPr>
      <w:r>
        <w:rPr>
          <w:rFonts w:cs="Arial"/>
          <w:szCs w:val="24"/>
        </w:rPr>
        <w:t>the guidance is fully referenced and graded</w:t>
      </w:r>
    </w:p>
    <w:p w14:paraId="1CBD309F" w14:textId="77777777" w:rsidR="00DA0AFC" w:rsidRPr="00DA0AFC" w:rsidRDefault="00DA0AFC" w:rsidP="008901DD">
      <w:pPr>
        <w:pStyle w:val="ListParagraph"/>
        <w:numPr>
          <w:ilvl w:val="0"/>
          <w:numId w:val="7"/>
        </w:numPr>
        <w:ind w:left="714" w:hanging="357"/>
        <w:rPr>
          <w:rFonts w:cs="Arial"/>
          <w:color w:val="98002E"/>
          <w:szCs w:val="24"/>
        </w:rPr>
      </w:pPr>
      <w:r>
        <w:rPr>
          <w:rFonts w:cs="Arial"/>
          <w:szCs w:val="24"/>
        </w:rPr>
        <w:t>the guidance is not all-encompassing, as it is meant to be ‘quick reference’</w:t>
      </w:r>
    </w:p>
    <w:p w14:paraId="20FF0148" w14:textId="77777777" w:rsidR="00DA0AFC" w:rsidRPr="00DA0AFC" w:rsidRDefault="00DA0AFC" w:rsidP="008901DD">
      <w:pPr>
        <w:pStyle w:val="ListParagraph"/>
        <w:numPr>
          <w:ilvl w:val="0"/>
          <w:numId w:val="7"/>
        </w:numPr>
        <w:ind w:left="714" w:hanging="357"/>
        <w:rPr>
          <w:rFonts w:cs="Arial"/>
          <w:color w:val="98002E"/>
          <w:szCs w:val="24"/>
        </w:rPr>
      </w:pPr>
      <w:r>
        <w:rPr>
          <w:rFonts w:cs="Arial"/>
          <w:szCs w:val="24"/>
        </w:rPr>
        <w:t>if more detail is required we suggest referral to th</w:t>
      </w:r>
      <w:r w:rsidR="00161E5B">
        <w:rPr>
          <w:rFonts w:cs="Arial"/>
          <w:szCs w:val="24"/>
        </w:rPr>
        <w:t>e websites and references cited</w:t>
      </w:r>
    </w:p>
    <w:p w14:paraId="71E0DF80" w14:textId="77777777" w:rsidR="00DA0AFC" w:rsidRPr="00DA0AFC" w:rsidRDefault="00DA0AFC" w:rsidP="008901DD">
      <w:pPr>
        <w:pStyle w:val="ListParagraph"/>
        <w:numPr>
          <w:ilvl w:val="0"/>
          <w:numId w:val="7"/>
        </w:numPr>
        <w:ind w:left="714" w:hanging="357"/>
        <w:rPr>
          <w:rFonts w:cs="Arial"/>
          <w:color w:val="98002E"/>
          <w:szCs w:val="24"/>
        </w:rPr>
      </w:pPr>
      <w:r>
        <w:rPr>
          <w:rFonts w:cs="Arial"/>
          <w:szCs w:val="24"/>
        </w:rPr>
        <w:t>the guidance will be updated every three years; or more frequently if there are significant developments in the field</w:t>
      </w:r>
    </w:p>
    <w:p w14:paraId="5AEB221E" w14:textId="77777777" w:rsidR="00DA0AFC" w:rsidRDefault="00DA0AFC" w:rsidP="00DA0AFC">
      <w:pPr>
        <w:spacing w:line="280" w:lineRule="exact"/>
        <w:rPr>
          <w:rFonts w:cs="Arial"/>
          <w:color w:val="98002E"/>
          <w:szCs w:val="24"/>
        </w:rPr>
      </w:pPr>
    </w:p>
    <w:p w14:paraId="0988B30A" w14:textId="77777777" w:rsidR="00DA0AFC" w:rsidRDefault="00DA0AFC" w:rsidP="00DA0AFC">
      <w:pPr>
        <w:rPr>
          <w:rFonts w:cs="Arial"/>
          <w:color w:val="98002E"/>
          <w:sz w:val="28"/>
          <w:szCs w:val="28"/>
        </w:rPr>
      </w:pPr>
      <w:r>
        <w:rPr>
          <w:rFonts w:cs="Arial"/>
          <w:color w:val="98002E"/>
          <w:sz w:val="28"/>
          <w:szCs w:val="28"/>
        </w:rPr>
        <w:t>Poster Presentation of Guidance</w:t>
      </w:r>
    </w:p>
    <w:p w14:paraId="5C494DD0" w14:textId="77777777" w:rsidR="00DA0AFC" w:rsidRPr="00DA0AFC" w:rsidRDefault="00DA0AFC" w:rsidP="008901DD">
      <w:pPr>
        <w:pStyle w:val="ListParagraph"/>
        <w:numPr>
          <w:ilvl w:val="0"/>
          <w:numId w:val="8"/>
        </w:numPr>
        <w:ind w:left="714" w:hanging="357"/>
        <w:rPr>
          <w:rFonts w:cs="Arial"/>
          <w:color w:val="98002E"/>
          <w:szCs w:val="24"/>
        </w:rPr>
      </w:pPr>
      <w:r w:rsidRPr="00DF4F6D">
        <w:rPr>
          <w:rFonts w:cs="Arial"/>
          <w:szCs w:val="24"/>
        </w:rPr>
        <w:t xml:space="preserve">the summary table is </w:t>
      </w:r>
      <w:r>
        <w:rPr>
          <w:rFonts w:cs="Arial"/>
          <w:szCs w:val="24"/>
        </w:rPr>
        <w:t>designed to be printed out as a poster for use in practice</w:t>
      </w:r>
    </w:p>
    <w:p w14:paraId="033B13D6" w14:textId="77777777" w:rsidR="00DA0AFC" w:rsidRPr="00DA0AFC" w:rsidRDefault="00DA0AFC" w:rsidP="008901DD">
      <w:pPr>
        <w:pStyle w:val="ListParagraph"/>
        <w:numPr>
          <w:ilvl w:val="0"/>
          <w:numId w:val="8"/>
        </w:numPr>
        <w:ind w:left="714" w:hanging="357"/>
        <w:rPr>
          <w:rFonts w:cs="Arial"/>
          <w:color w:val="98002E"/>
          <w:szCs w:val="24"/>
        </w:rPr>
      </w:pPr>
      <w:r>
        <w:rPr>
          <w:rFonts w:cs="Arial"/>
          <w:szCs w:val="24"/>
        </w:rPr>
        <w:t>the rationale and evidence is designed to be used as an educational tool for you, and your colleagues and trainees, to share with patients as needed</w:t>
      </w:r>
    </w:p>
    <w:p w14:paraId="0C74A21B" w14:textId="77777777" w:rsidR="00DA0AFC" w:rsidRDefault="00DA0AFC" w:rsidP="00DA0AFC">
      <w:pPr>
        <w:spacing w:line="280" w:lineRule="exact"/>
        <w:rPr>
          <w:rFonts w:cs="Arial"/>
          <w:color w:val="98002E"/>
          <w:szCs w:val="24"/>
        </w:rPr>
      </w:pPr>
    </w:p>
    <w:p w14:paraId="717BA379" w14:textId="77777777" w:rsidR="00DA0AFC" w:rsidRDefault="00DA0AFC" w:rsidP="00DA0AFC">
      <w:pPr>
        <w:rPr>
          <w:rFonts w:cs="Arial"/>
          <w:color w:val="98002E"/>
          <w:sz w:val="28"/>
          <w:szCs w:val="28"/>
        </w:rPr>
      </w:pPr>
      <w:r>
        <w:rPr>
          <w:rFonts w:cs="Arial"/>
          <w:color w:val="98002E"/>
          <w:sz w:val="28"/>
          <w:szCs w:val="28"/>
        </w:rPr>
        <w:t>Local Adaptation</w:t>
      </w:r>
    </w:p>
    <w:p w14:paraId="2F3B5C99" w14:textId="77777777" w:rsidR="00DA0AFC" w:rsidRDefault="00DA0AFC" w:rsidP="008901DD">
      <w:pPr>
        <w:pStyle w:val="ListParagraph"/>
        <w:numPr>
          <w:ilvl w:val="0"/>
          <w:numId w:val="9"/>
        </w:numPr>
        <w:ind w:left="714" w:hanging="357"/>
        <w:rPr>
          <w:rFonts w:cs="Arial"/>
          <w:szCs w:val="24"/>
        </w:rPr>
      </w:pPr>
      <w:r>
        <w:rPr>
          <w:rFonts w:cs="Arial"/>
          <w:szCs w:val="24"/>
        </w:rPr>
        <w:t>we would discourage major changes to the guidance, but the format allows minor changes to suit local service delivery and sampling protocols</w:t>
      </w:r>
    </w:p>
    <w:p w14:paraId="7BC598F0" w14:textId="21817A8A" w:rsidR="002B63FA" w:rsidRDefault="00DA0AFC" w:rsidP="008901DD">
      <w:pPr>
        <w:pStyle w:val="ListParagraph"/>
        <w:numPr>
          <w:ilvl w:val="0"/>
          <w:numId w:val="9"/>
        </w:numPr>
        <w:ind w:left="714" w:hanging="357"/>
        <w:rPr>
          <w:rFonts w:cs="Arial"/>
          <w:szCs w:val="24"/>
        </w:rPr>
      </w:pPr>
      <w:r>
        <w:rPr>
          <w:rFonts w:cs="Arial"/>
          <w:szCs w:val="24"/>
        </w:rPr>
        <w:t xml:space="preserve">to create ownership agreement on the guidance locally, dissemination </w:t>
      </w:r>
      <w:r w:rsidR="002B63FA">
        <w:rPr>
          <w:rFonts w:cs="Arial"/>
          <w:szCs w:val="24"/>
        </w:rPr>
        <w:t>should be agreed and planned at the local level between primary care clinicians, laboratories and secondary care providers</w:t>
      </w:r>
    </w:p>
    <w:p w14:paraId="51B7D8B8" w14:textId="77777777" w:rsidR="00DA0AFC" w:rsidRPr="002B63FA" w:rsidRDefault="00DA0AFC" w:rsidP="002B63FA">
      <w:pPr>
        <w:rPr>
          <w:rFonts w:cs="Arial"/>
          <w:szCs w:val="24"/>
        </w:rPr>
      </w:pPr>
    </w:p>
    <w:p w14:paraId="0775E2D8" w14:textId="420A43B8" w:rsidR="00B008F4" w:rsidRDefault="00DA0AFC" w:rsidP="00DA0AFC">
      <w:pPr>
        <w:rPr>
          <w:rFonts w:cs="Arial"/>
          <w:szCs w:val="24"/>
        </w:rPr>
      </w:pPr>
      <w:r>
        <w:rPr>
          <w:rFonts w:cs="Arial"/>
          <w:szCs w:val="24"/>
        </w:rPr>
        <w:t xml:space="preserve">We </w:t>
      </w:r>
      <w:r w:rsidR="002B63FA">
        <w:rPr>
          <w:rFonts w:cs="Arial"/>
          <w:szCs w:val="24"/>
        </w:rPr>
        <w:t xml:space="preserve">welcome opinions on the advice given. Please </w:t>
      </w:r>
      <w:r>
        <w:rPr>
          <w:rFonts w:cs="Arial"/>
          <w:szCs w:val="24"/>
        </w:rPr>
        <w:t>email any evidence or references that support your requests for change so that we may consider them at our annual review. Comments should be submitted to Prof</w:t>
      </w:r>
      <w:r w:rsidR="00D04C8D">
        <w:rPr>
          <w:rFonts w:cs="Arial"/>
          <w:szCs w:val="24"/>
        </w:rPr>
        <w:t>essor</w:t>
      </w:r>
      <w:r>
        <w:rPr>
          <w:rFonts w:cs="Arial"/>
          <w:szCs w:val="24"/>
        </w:rPr>
        <w:t xml:space="preserve"> Cliodna McNulty, Head of PHE Primary Care Unit, Microbiology Laboratory, Gloucestershire Royal Hospital, Great Western Road, Gloucester GL1 3</w:t>
      </w:r>
      <w:r w:rsidR="00B008F4">
        <w:rPr>
          <w:rFonts w:cs="Arial"/>
          <w:szCs w:val="24"/>
        </w:rPr>
        <w:t>NN.</w:t>
      </w:r>
    </w:p>
    <w:p w14:paraId="1501E2E3" w14:textId="307F0983" w:rsidR="00DA0AFC" w:rsidRDefault="00DA0AFC" w:rsidP="00DA0AFC">
      <w:pPr>
        <w:rPr>
          <w:rFonts w:cs="Arial"/>
          <w:szCs w:val="24"/>
        </w:rPr>
      </w:pPr>
      <w:r>
        <w:rPr>
          <w:rFonts w:cs="Arial"/>
          <w:szCs w:val="24"/>
        </w:rPr>
        <w:t xml:space="preserve">Email: </w:t>
      </w:r>
      <w:hyperlink r:id="rId24" w:history="1">
        <w:r w:rsidR="0057262C">
          <w:rPr>
            <w:rStyle w:val="Hyperlink"/>
            <w:u w:val="none"/>
          </w:rPr>
          <w:t>TARGETAntibiotics@phe.gov.uk</w:t>
        </w:r>
      </w:hyperlink>
    </w:p>
    <w:p w14:paraId="0469E25B" w14:textId="77777777" w:rsidR="00DA0AFC" w:rsidRDefault="00DA0AFC" w:rsidP="009E0C89">
      <w:pPr>
        <w:rPr>
          <w:rFonts w:cs="Arial"/>
          <w:szCs w:val="24"/>
        </w:rPr>
      </w:pPr>
    </w:p>
    <w:p w14:paraId="6D1D5FE6" w14:textId="77777777" w:rsidR="00DA0AFC" w:rsidRDefault="00DA0AFC" w:rsidP="009E0C89">
      <w:pPr>
        <w:spacing w:line="280" w:lineRule="exact"/>
        <w:rPr>
          <w:rFonts w:cs="Arial"/>
          <w:szCs w:val="24"/>
        </w:rPr>
      </w:pPr>
    </w:p>
    <w:p w14:paraId="1AF4E628" w14:textId="13EBD24E" w:rsidR="00DA0AFC" w:rsidRDefault="00D40407" w:rsidP="004444E4">
      <w:pPr>
        <w:pStyle w:val="PHEHeading"/>
        <w:spacing w:after="240"/>
      </w:pPr>
      <w:bookmarkStart w:id="3" w:name="_Toc453254020"/>
      <w:r>
        <w:t>Quick reference g</w:t>
      </w:r>
      <w:r w:rsidR="00DA0AFC" w:rsidRPr="00BD703A">
        <w:t>uide</w:t>
      </w:r>
      <w:bookmarkEnd w:id="3"/>
    </w:p>
    <w:tbl>
      <w:tblPr>
        <w:tblStyle w:val="TableGrid"/>
        <w:tblW w:w="10916" w:type="dxa"/>
        <w:tblInd w:w="-176" w:type="dxa"/>
        <w:tblLayout w:type="fixed"/>
        <w:tblLook w:val="04A0" w:firstRow="1" w:lastRow="0" w:firstColumn="1" w:lastColumn="0" w:noHBand="0" w:noVBand="1"/>
      </w:tblPr>
      <w:tblGrid>
        <w:gridCol w:w="851"/>
        <w:gridCol w:w="10065"/>
      </w:tblGrid>
      <w:tr w:rsidR="00E603B1" w:rsidRPr="0026246E" w14:paraId="22340FD1" w14:textId="77777777" w:rsidTr="00E603B1">
        <w:tc>
          <w:tcPr>
            <w:tcW w:w="851" w:type="dxa"/>
            <w:tcBorders>
              <w:top w:val="single" w:sz="4" w:space="0" w:color="auto"/>
              <w:left w:val="single" w:sz="4" w:space="0" w:color="auto"/>
              <w:right w:val="nil"/>
            </w:tcBorders>
            <w:shd w:val="clear" w:color="auto" w:fill="D9D9D9" w:themeFill="background1" w:themeFillShade="D9"/>
          </w:tcPr>
          <w:p w14:paraId="0EC9E28A" w14:textId="13B60E4B" w:rsidR="00E603B1" w:rsidRPr="00E603B1" w:rsidRDefault="003609F1" w:rsidP="00E603B1">
            <w:pPr>
              <w:spacing w:before="10" w:after="10" w:line="300" w:lineRule="exact"/>
              <w:jc w:val="center"/>
              <w:rPr>
                <w:color w:val="98002E"/>
              </w:rPr>
            </w:pPr>
            <w:hyperlink r:id="rId25" w:history="1">
              <w:r w:rsidR="00E603B1" w:rsidRPr="00E603B1">
                <w:rPr>
                  <w:rStyle w:val="Hyperlink"/>
                  <w:color w:val="9C002A"/>
                  <w:u w:val="none"/>
                </w:rPr>
                <w:t>NICE</w:t>
              </w:r>
            </w:hyperlink>
          </w:p>
        </w:tc>
        <w:tc>
          <w:tcPr>
            <w:tcW w:w="10065" w:type="dxa"/>
            <w:tcBorders>
              <w:top w:val="single" w:sz="4" w:space="0" w:color="auto"/>
              <w:left w:val="single" w:sz="4" w:space="0" w:color="auto"/>
              <w:right w:val="nil"/>
            </w:tcBorders>
            <w:shd w:val="clear" w:color="auto" w:fill="auto"/>
            <w:vAlign w:val="center"/>
          </w:tcPr>
          <w:p w14:paraId="3AE299D3" w14:textId="31A0C046" w:rsidR="00E603B1" w:rsidRPr="008A60B5" w:rsidRDefault="00E603B1" w:rsidP="008901DD">
            <w:pPr>
              <w:pStyle w:val="ListParagraph"/>
              <w:numPr>
                <w:ilvl w:val="0"/>
                <w:numId w:val="38"/>
              </w:numPr>
              <w:spacing w:before="10" w:after="10" w:line="300" w:lineRule="exact"/>
              <w:ind w:left="357" w:hanging="357"/>
              <w:rPr>
                <w:color w:val="98002E"/>
              </w:rPr>
            </w:pPr>
            <w:r w:rsidRPr="008A60B5">
              <w:t xml:space="preserve">Patients over the age of 55, with recent onset, unexplained and </w:t>
            </w:r>
            <w:r w:rsidRPr="00301DE8">
              <w:t>persistent dyspepsia (over 4-6 weeks) should be referred urgently for endoscopy to exclude cancer.</w:t>
            </w:r>
            <w:hyperlink w:anchor="Reference1" w:history="1">
              <w:r w:rsidRPr="00301DE8">
                <w:rPr>
                  <w:rStyle w:val="Hyperlink"/>
                  <w:u w:val="none"/>
                  <w:vertAlign w:val="superscript"/>
                </w:rPr>
                <w:t>1D</w:t>
              </w:r>
            </w:hyperlink>
          </w:p>
        </w:tc>
      </w:tr>
      <w:tr w:rsidR="004444E4" w:rsidRPr="0026246E" w14:paraId="4868E943" w14:textId="77777777" w:rsidTr="00FB29FC">
        <w:tc>
          <w:tcPr>
            <w:tcW w:w="10916" w:type="dxa"/>
            <w:gridSpan w:val="2"/>
            <w:shd w:val="clear" w:color="auto" w:fill="D9D9D9" w:themeFill="background1" w:themeFillShade="D9"/>
            <w:vAlign w:val="center"/>
          </w:tcPr>
          <w:p w14:paraId="402E39B7" w14:textId="2A4BBD65" w:rsidR="004444E4" w:rsidRPr="00734883" w:rsidRDefault="00351995" w:rsidP="00F82BF0">
            <w:pPr>
              <w:spacing w:before="10" w:after="10" w:line="300" w:lineRule="exact"/>
              <w:jc w:val="center"/>
              <w:rPr>
                <w:b/>
                <w:color w:val="98002E"/>
                <w:highlight w:val="yellow"/>
              </w:rPr>
            </w:pPr>
            <w:r>
              <w:rPr>
                <w:b/>
                <w:color w:val="98002E"/>
              </w:rPr>
              <w:t xml:space="preserve">WHEN </w:t>
            </w:r>
            <w:r w:rsidR="00F82BF0">
              <w:rPr>
                <w:b/>
                <w:color w:val="98002E"/>
              </w:rPr>
              <w:t>SHOULD I</w:t>
            </w:r>
            <w:r w:rsidR="008275D6">
              <w:rPr>
                <w:b/>
                <w:color w:val="98002E"/>
              </w:rPr>
              <w:t xml:space="preserve"> </w:t>
            </w:r>
            <w:r>
              <w:rPr>
                <w:b/>
                <w:color w:val="98002E"/>
              </w:rPr>
              <w:t xml:space="preserve">TEST FOR </w:t>
            </w:r>
            <w:r>
              <w:rPr>
                <w:b/>
                <w:i/>
                <w:color w:val="98002E"/>
              </w:rPr>
              <w:t xml:space="preserve">HELICOBACTER </w:t>
            </w:r>
            <w:r w:rsidRPr="004C22AB">
              <w:rPr>
                <w:b/>
                <w:i/>
                <w:color w:val="98002E"/>
              </w:rPr>
              <w:t>PYLORI</w:t>
            </w:r>
            <w:r w:rsidR="008275D6" w:rsidRPr="0060109F">
              <w:rPr>
                <w:b/>
                <w:color w:val="98002E"/>
              </w:rPr>
              <w:t>?</w:t>
            </w:r>
          </w:p>
        </w:tc>
      </w:tr>
      <w:tr w:rsidR="00351995" w:rsidRPr="0026246E" w14:paraId="1E29F416" w14:textId="77777777" w:rsidTr="00A94B92">
        <w:tc>
          <w:tcPr>
            <w:tcW w:w="10916" w:type="dxa"/>
            <w:gridSpan w:val="2"/>
            <w:tcBorders>
              <w:top w:val="nil"/>
              <w:left w:val="single" w:sz="4" w:space="0" w:color="auto"/>
              <w:bottom w:val="nil"/>
              <w:right w:val="nil"/>
            </w:tcBorders>
            <w:vAlign w:val="center"/>
          </w:tcPr>
          <w:p w14:paraId="42D6C7C1" w14:textId="1C3583EF" w:rsidR="00351995" w:rsidRPr="00301DE8" w:rsidRDefault="00351995" w:rsidP="008901DD">
            <w:pPr>
              <w:pStyle w:val="PHEBulletpoint"/>
              <w:numPr>
                <w:ilvl w:val="0"/>
                <w:numId w:val="11"/>
              </w:numPr>
              <w:spacing w:before="10" w:line="300" w:lineRule="exact"/>
              <w:ind w:left="357" w:hanging="357"/>
            </w:pPr>
            <w:r w:rsidRPr="00734883">
              <w:t xml:space="preserve">Patients with uncomplicated </w:t>
            </w:r>
            <w:r w:rsidRPr="00301DE8">
              <w:t>dyspepsia u</w:t>
            </w:r>
            <w:r w:rsidR="00A94B92" w:rsidRPr="00301DE8">
              <w:t>nresponsive to lifestyle change and</w:t>
            </w:r>
            <w:r w:rsidRPr="00301DE8">
              <w:t xml:space="preserve"> antacids</w:t>
            </w:r>
            <w:r w:rsidR="00A94B92" w:rsidRPr="00301DE8">
              <w:t>, following a single one month course of proton pump inhibitor (PPI)</w:t>
            </w:r>
            <w:r w:rsidR="00CB7653" w:rsidRPr="00301DE8">
              <w:t>,</w:t>
            </w:r>
            <w:r w:rsidR="00C159FB" w:rsidRPr="00301DE8">
              <w:t xml:space="preserve"> </w:t>
            </w:r>
            <w:r w:rsidR="004A0C22" w:rsidRPr="00301DE8">
              <w:t>without alarm</w:t>
            </w:r>
            <w:r w:rsidR="00C03755" w:rsidRPr="00301DE8">
              <w:t xml:space="preserve"> </w:t>
            </w:r>
            <w:r w:rsidR="00C03755" w:rsidRPr="00245DD2">
              <w:t>symptoms.</w:t>
            </w:r>
            <w:hyperlink w:anchor="Reference2" w:history="1">
              <w:r w:rsidR="000F71CC" w:rsidRPr="00245DD2">
                <w:rPr>
                  <w:rStyle w:val="Hyperlink"/>
                  <w:u w:val="none"/>
                  <w:vertAlign w:val="superscript"/>
                </w:rPr>
                <w:t>2D</w:t>
              </w:r>
            </w:hyperlink>
            <w:r w:rsidR="000F71CC" w:rsidRPr="00245DD2">
              <w:rPr>
                <w:vertAlign w:val="superscript"/>
              </w:rPr>
              <w:t>,</w:t>
            </w:r>
            <w:hyperlink w:anchor="Reference3" w:history="1">
              <w:r w:rsidR="000F71CC" w:rsidRPr="00245DD2">
                <w:rPr>
                  <w:rStyle w:val="Hyperlink"/>
                  <w:u w:val="none"/>
                  <w:vertAlign w:val="superscript"/>
                </w:rPr>
                <w:t>3A-</w:t>
              </w:r>
            </w:hyperlink>
            <w:r w:rsidR="000F71CC" w:rsidRPr="00245DD2">
              <w:rPr>
                <w:vertAlign w:val="superscript"/>
              </w:rPr>
              <w:t>,</w:t>
            </w:r>
            <w:hyperlink w:anchor="Reference4" w:history="1">
              <w:r w:rsidR="000F71CC" w:rsidRPr="00245DD2">
                <w:rPr>
                  <w:rStyle w:val="Hyperlink"/>
                  <w:u w:val="none"/>
                  <w:vertAlign w:val="superscript"/>
                </w:rPr>
                <w:t>4A-</w:t>
              </w:r>
            </w:hyperlink>
            <w:r w:rsidR="000F71CC" w:rsidRPr="00245DD2">
              <w:rPr>
                <w:rStyle w:val="Hyperlink"/>
                <w:color w:val="auto"/>
                <w:u w:val="none"/>
                <w:vertAlign w:val="superscript"/>
              </w:rPr>
              <w:t>,</w:t>
            </w:r>
            <w:hyperlink w:anchor="Reference5" w:history="1">
              <w:r w:rsidR="00C03755" w:rsidRPr="00245DD2">
                <w:rPr>
                  <w:rStyle w:val="Hyperlink"/>
                  <w:u w:val="none"/>
                  <w:vertAlign w:val="superscript"/>
                </w:rPr>
                <w:t>5</w:t>
              </w:r>
              <w:r w:rsidR="0090398D" w:rsidRPr="00245DD2">
                <w:rPr>
                  <w:rStyle w:val="Hyperlink"/>
                  <w:u w:val="none"/>
                  <w:vertAlign w:val="superscript"/>
                </w:rPr>
                <w:t>A-</w:t>
              </w:r>
            </w:hyperlink>
            <w:r w:rsidR="0090398D" w:rsidRPr="00245DD2">
              <w:rPr>
                <w:vertAlign w:val="superscript"/>
              </w:rPr>
              <w:t>,</w:t>
            </w:r>
            <w:hyperlink w:anchor="Reference6" w:history="1">
              <w:r w:rsidR="0090398D" w:rsidRPr="00245DD2">
                <w:rPr>
                  <w:rStyle w:val="Hyperlink"/>
                  <w:u w:val="none"/>
                  <w:vertAlign w:val="superscript"/>
                </w:rPr>
                <w:t>6A-</w:t>
              </w:r>
            </w:hyperlink>
            <w:r w:rsidR="00A94B92" w:rsidRPr="00301DE8">
              <w:br/>
            </w:r>
            <w:r w:rsidR="004A0C22" w:rsidRPr="00071B87">
              <w:rPr>
                <w:sz w:val="20"/>
                <w:szCs w:val="20"/>
              </w:rPr>
              <w:t>Note</w:t>
            </w:r>
            <w:r w:rsidR="00A94B92" w:rsidRPr="00071B87">
              <w:rPr>
                <w:sz w:val="20"/>
                <w:szCs w:val="20"/>
              </w:rPr>
              <w:t>: Options should be discussed wit</w:t>
            </w:r>
            <w:r w:rsidR="00734883" w:rsidRPr="00071B87">
              <w:rPr>
                <w:sz w:val="20"/>
                <w:szCs w:val="20"/>
              </w:rPr>
              <w:t>h patients</w:t>
            </w:r>
            <w:r w:rsidR="00F82BF0" w:rsidRPr="00071B87">
              <w:rPr>
                <w:sz w:val="20"/>
                <w:szCs w:val="20"/>
              </w:rPr>
              <w:t>,</w:t>
            </w:r>
            <w:r w:rsidR="00734883" w:rsidRPr="00071B87">
              <w:rPr>
                <w:sz w:val="20"/>
                <w:szCs w:val="20"/>
              </w:rPr>
              <w:t xml:space="preserve"> as the prevalence of HP </w:t>
            </w:r>
            <w:r w:rsidR="00A94B92" w:rsidRPr="00071B87">
              <w:rPr>
                <w:sz w:val="20"/>
                <w:szCs w:val="20"/>
              </w:rPr>
              <w:t>in developed countries is falling</w:t>
            </w:r>
            <w:r w:rsidR="00F82BF0" w:rsidRPr="00071B87">
              <w:rPr>
                <w:sz w:val="20"/>
                <w:szCs w:val="20"/>
              </w:rPr>
              <w:t>,</w:t>
            </w:r>
            <w:hyperlink w:anchor="Reference7" w:history="1">
              <w:r w:rsidR="00D503A6" w:rsidRPr="00071B87">
                <w:rPr>
                  <w:rStyle w:val="Hyperlink"/>
                  <w:sz w:val="20"/>
                  <w:szCs w:val="20"/>
                  <w:u w:val="none"/>
                  <w:vertAlign w:val="superscript"/>
                </w:rPr>
                <w:t>7B+</w:t>
              </w:r>
            </w:hyperlink>
            <w:r w:rsidR="00E3479D" w:rsidRPr="00071B87">
              <w:rPr>
                <w:sz w:val="20"/>
                <w:szCs w:val="20"/>
                <w:vertAlign w:val="superscript"/>
              </w:rPr>
              <w:t>,</w:t>
            </w:r>
            <w:hyperlink w:anchor="Reference8" w:history="1">
              <w:r w:rsidR="00E3479D" w:rsidRPr="00071B87">
                <w:rPr>
                  <w:rStyle w:val="Hyperlink"/>
                  <w:sz w:val="20"/>
                  <w:szCs w:val="20"/>
                  <w:u w:val="none"/>
                  <w:vertAlign w:val="superscript"/>
                </w:rPr>
                <w:t>8B-</w:t>
              </w:r>
            </w:hyperlink>
            <w:r w:rsidR="009731AE" w:rsidRPr="00071B87">
              <w:rPr>
                <w:sz w:val="20"/>
                <w:szCs w:val="20"/>
                <w:vertAlign w:val="superscript"/>
              </w:rPr>
              <w:t>,</w:t>
            </w:r>
            <w:hyperlink w:anchor="Reference9" w:history="1">
              <w:r w:rsidR="009731AE" w:rsidRPr="00071B87">
                <w:rPr>
                  <w:rStyle w:val="Hyperlink"/>
                  <w:sz w:val="20"/>
                  <w:szCs w:val="20"/>
                  <w:u w:val="none"/>
                  <w:vertAlign w:val="superscript"/>
                </w:rPr>
                <w:t>9B+</w:t>
              </w:r>
            </w:hyperlink>
            <w:r w:rsidR="00A94B92" w:rsidRPr="00071B87">
              <w:rPr>
                <w:sz w:val="20"/>
                <w:szCs w:val="20"/>
              </w:rPr>
              <w:t xml:space="preserve"> and is lower than 15% in many areas in the UK</w:t>
            </w:r>
            <w:r w:rsidR="003B6FC1" w:rsidRPr="00071B87">
              <w:rPr>
                <w:sz w:val="20"/>
                <w:szCs w:val="20"/>
              </w:rPr>
              <w:t>.</w:t>
            </w:r>
            <w:hyperlink w:anchor="Reference10" w:history="1">
              <w:r w:rsidR="003B6FC1" w:rsidRPr="00071B87">
                <w:rPr>
                  <w:rStyle w:val="Hyperlink"/>
                  <w:sz w:val="20"/>
                  <w:szCs w:val="20"/>
                  <w:u w:val="none"/>
                  <w:vertAlign w:val="superscript"/>
                </w:rPr>
                <w:t>10B+</w:t>
              </w:r>
            </w:hyperlink>
            <w:r w:rsidR="00F0771B" w:rsidRPr="00071B87">
              <w:rPr>
                <w:sz w:val="20"/>
                <w:szCs w:val="20"/>
                <w:vertAlign w:val="superscript"/>
              </w:rPr>
              <w:t>,</w:t>
            </w:r>
            <w:hyperlink w:anchor="Reference11" w:history="1">
              <w:r w:rsidR="00F0771B" w:rsidRPr="00071B87">
                <w:rPr>
                  <w:rStyle w:val="Hyperlink"/>
                  <w:sz w:val="20"/>
                  <w:szCs w:val="20"/>
                  <w:u w:val="none"/>
                  <w:vertAlign w:val="superscript"/>
                </w:rPr>
                <w:t>11D</w:t>
              </w:r>
            </w:hyperlink>
            <w:r w:rsidR="00734883" w:rsidRPr="00071B87">
              <w:rPr>
                <w:sz w:val="20"/>
                <w:szCs w:val="20"/>
              </w:rPr>
              <w:t xml:space="preserve"> A trial of PPI should usually be prescribed before testing, unless the likelihood of HP is higher than 20%</w:t>
            </w:r>
            <w:hyperlink w:anchor="Reference11" w:history="1">
              <w:r w:rsidR="00F0771B" w:rsidRPr="00071B87">
                <w:rPr>
                  <w:rStyle w:val="Hyperlink"/>
                  <w:sz w:val="20"/>
                  <w:szCs w:val="20"/>
                  <w:u w:val="none"/>
                  <w:vertAlign w:val="superscript"/>
                </w:rPr>
                <w:t>11A-</w:t>
              </w:r>
            </w:hyperlink>
            <w:r w:rsidR="00734883" w:rsidRPr="00071B87">
              <w:rPr>
                <w:sz w:val="20"/>
                <w:szCs w:val="20"/>
              </w:rPr>
              <w:t xml:space="preserve"> (older people; people of North African ethnicity;</w:t>
            </w:r>
            <w:hyperlink w:anchor="Reference8" w:history="1">
              <w:r w:rsidR="009731AE" w:rsidRPr="00071B87">
                <w:rPr>
                  <w:rStyle w:val="Hyperlink"/>
                  <w:sz w:val="20"/>
                  <w:szCs w:val="20"/>
                  <w:u w:val="none"/>
                  <w:vertAlign w:val="superscript"/>
                </w:rPr>
                <w:t>8B-</w:t>
              </w:r>
            </w:hyperlink>
            <w:r w:rsidR="009731AE" w:rsidRPr="00071B87">
              <w:rPr>
                <w:sz w:val="20"/>
                <w:szCs w:val="20"/>
                <w:vertAlign w:val="superscript"/>
              </w:rPr>
              <w:t>,</w:t>
            </w:r>
            <w:hyperlink w:anchor="Reference9" w:history="1">
              <w:r w:rsidR="009731AE" w:rsidRPr="00071B87">
                <w:rPr>
                  <w:rStyle w:val="Hyperlink"/>
                  <w:sz w:val="20"/>
                  <w:szCs w:val="20"/>
                  <w:u w:val="none"/>
                  <w:vertAlign w:val="superscript"/>
                </w:rPr>
                <w:t>9B+</w:t>
              </w:r>
            </w:hyperlink>
            <w:r w:rsidR="00734883" w:rsidRPr="00071B87">
              <w:rPr>
                <w:sz w:val="20"/>
                <w:szCs w:val="20"/>
              </w:rPr>
              <w:t xml:space="preserve"> those living in a </w:t>
            </w:r>
            <w:r w:rsidR="007E50E3" w:rsidRPr="00071B87">
              <w:rPr>
                <w:sz w:val="20"/>
                <w:szCs w:val="20"/>
              </w:rPr>
              <w:t xml:space="preserve">known </w:t>
            </w:r>
            <w:r w:rsidR="00734883" w:rsidRPr="00071B87">
              <w:rPr>
                <w:sz w:val="20"/>
                <w:szCs w:val="20"/>
              </w:rPr>
              <w:t>high risk area), in which case the patient should have a test for HP first</w:t>
            </w:r>
            <w:r w:rsidR="00131DA6" w:rsidRPr="00071B87">
              <w:rPr>
                <w:sz w:val="20"/>
                <w:szCs w:val="20"/>
              </w:rPr>
              <w:t>,</w:t>
            </w:r>
            <w:r w:rsidR="00734883" w:rsidRPr="00071B87">
              <w:rPr>
                <w:sz w:val="20"/>
                <w:szCs w:val="20"/>
              </w:rPr>
              <w:t xml:space="preserve"> or in </w:t>
            </w:r>
            <w:r w:rsidR="00F82BF0" w:rsidRPr="00071B87">
              <w:rPr>
                <w:sz w:val="20"/>
                <w:szCs w:val="20"/>
              </w:rPr>
              <w:t>parallel with a course of PPI.</w:t>
            </w:r>
          </w:p>
          <w:p w14:paraId="44BA0377" w14:textId="1035F808" w:rsidR="00351995" w:rsidRPr="00301DE8" w:rsidRDefault="00A94B92" w:rsidP="008901DD">
            <w:pPr>
              <w:pStyle w:val="PHEBulletpoint"/>
              <w:numPr>
                <w:ilvl w:val="0"/>
                <w:numId w:val="11"/>
              </w:numPr>
              <w:spacing w:line="300" w:lineRule="exact"/>
              <w:ind w:left="357" w:hanging="357"/>
              <w:rPr>
                <w:color w:val="98002E"/>
              </w:rPr>
            </w:pPr>
            <w:r w:rsidRPr="00301DE8">
              <w:t xml:space="preserve">Patients </w:t>
            </w:r>
            <w:r w:rsidR="00071B87">
              <w:t xml:space="preserve">with a history of gastric </w:t>
            </w:r>
            <w:r w:rsidRPr="00301DE8">
              <w:t>or duodenal ulcer</w:t>
            </w:r>
            <w:r w:rsidR="00071B87">
              <w:t xml:space="preserve">/bleed </w:t>
            </w:r>
            <w:r w:rsidRPr="00301DE8">
              <w:t>who have not previously been tested.</w:t>
            </w:r>
            <w:hyperlink w:anchor="Reference11" w:history="1">
              <w:r w:rsidR="00F0771B" w:rsidRPr="00301DE8">
                <w:rPr>
                  <w:rStyle w:val="Hyperlink"/>
                  <w:u w:val="none"/>
                  <w:vertAlign w:val="superscript"/>
                </w:rPr>
                <w:t>11C</w:t>
              </w:r>
            </w:hyperlink>
          </w:p>
          <w:p w14:paraId="33329D49" w14:textId="73E920E6" w:rsidR="00A94B92" w:rsidRPr="00301DE8" w:rsidRDefault="00071B87" w:rsidP="008901DD">
            <w:pPr>
              <w:pStyle w:val="PHEBulletpoint"/>
              <w:numPr>
                <w:ilvl w:val="0"/>
                <w:numId w:val="11"/>
              </w:numPr>
              <w:spacing w:line="300" w:lineRule="exact"/>
              <w:ind w:left="357" w:hanging="357"/>
              <w:rPr>
                <w:color w:val="98002E"/>
              </w:rPr>
            </w:pPr>
            <w:r>
              <w:t xml:space="preserve">Patients before </w:t>
            </w:r>
            <w:r w:rsidR="00A94B92" w:rsidRPr="00301DE8">
              <w:t>taking NSAIDs, if they have a prior history of gastro-</w:t>
            </w:r>
            <w:r w:rsidR="00F0771B" w:rsidRPr="00301DE8">
              <w:t>duodenal ulcers</w:t>
            </w:r>
            <w:r>
              <w:t>/bleeds.</w:t>
            </w:r>
            <w:r w:rsidR="00A94B92" w:rsidRPr="00301DE8">
              <w:br/>
            </w:r>
            <w:r w:rsidR="004A0C22" w:rsidRPr="00071B87">
              <w:rPr>
                <w:sz w:val="20"/>
                <w:szCs w:val="20"/>
              </w:rPr>
              <w:t>Note</w:t>
            </w:r>
            <w:r w:rsidR="00A94B92" w:rsidRPr="00071B87">
              <w:rPr>
                <w:sz w:val="20"/>
                <w:szCs w:val="20"/>
              </w:rPr>
              <w:t xml:space="preserve">: </w:t>
            </w:r>
            <w:r w:rsidR="00734883" w:rsidRPr="00071B87">
              <w:rPr>
                <w:sz w:val="20"/>
                <w:szCs w:val="20"/>
              </w:rPr>
              <w:t xml:space="preserve">Both HP </w:t>
            </w:r>
            <w:r w:rsidR="00A94B92" w:rsidRPr="00071B87">
              <w:rPr>
                <w:sz w:val="20"/>
                <w:szCs w:val="20"/>
              </w:rPr>
              <w:t>and NSAIDs are independent risk factors for peptic ulcer</w:t>
            </w:r>
            <w:r w:rsidR="004A0C22" w:rsidRPr="00071B87">
              <w:rPr>
                <w:sz w:val="20"/>
                <w:szCs w:val="20"/>
              </w:rPr>
              <w:t>s</w:t>
            </w:r>
            <w:r w:rsidR="00A94B92" w:rsidRPr="00071B87">
              <w:rPr>
                <w:sz w:val="20"/>
                <w:szCs w:val="20"/>
              </w:rPr>
              <w:t>, so eradic</w:t>
            </w:r>
            <w:r w:rsidR="00F82BF0" w:rsidRPr="00071B87">
              <w:rPr>
                <w:sz w:val="20"/>
                <w:szCs w:val="20"/>
              </w:rPr>
              <w:t>ation will not remove all risk.</w:t>
            </w:r>
            <w:hyperlink w:anchor="Reference11" w:history="1">
              <w:r w:rsidR="00F0771B" w:rsidRPr="00071B87">
                <w:rPr>
                  <w:rStyle w:val="Hyperlink"/>
                  <w:sz w:val="20"/>
                  <w:szCs w:val="20"/>
                  <w:u w:val="none"/>
                  <w:vertAlign w:val="superscript"/>
                </w:rPr>
                <w:t>11A-</w:t>
              </w:r>
            </w:hyperlink>
          </w:p>
          <w:p w14:paraId="12032833" w14:textId="41C9E861" w:rsidR="00351995" w:rsidRPr="00A94B92" w:rsidRDefault="00D01060" w:rsidP="008901DD">
            <w:pPr>
              <w:pStyle w:val="PHEBulletpoint"/>
              <w:numPr>
                <w:ilvl w:val="0"/>
                <w:numId w:val="11"/>
              </w:numPr>
              <w:spacing w:after="10" w:line="300" w:lineRule="exact"/>
              <w:ind w:left="357" w:hanging="357"/>
              <w:rPr>
                <w:color w:val="98002E"/>
              </w:rPr>
            </w:pPr>
            <w:r w:rsidRPr="00301DE8">
              <w:t>Patients with</w:t>
            </w:r>
            <w:r w:rsidR="00A94B92" w:rsidRPr="00301DE8">
              <w:t xml:space="preserve"> unexplained iron-deficiency anaemia, after negative endoscopic investigation </w:t>
            </w:r>
            <w:r w:rsidR="005E226C" w:rsidRPr="00301DE8">
              <w:t xml:space="preserve">has </w:t>
            </w:r>
            <w:r w:rsidR="00A94B92" w:rsidRPr="00301DE8">
              <w:t>exclude</w:t>
            </w:r>
            <w:r w:rsidRPr="00301DE8">
              <w:t xml:space="preserve">d </w:t>
            </w:r>
            <w:r w:rsidR="00A94B92" w:rsidRPr="00301DE8">
              <w:t>gastric and colonic malignancy</w:t>
            </w:r>
            <w:r w:rsidRPr="00301DE8">
              <w:t>, and</w:t>
            </w:r>
            <w:r w:rsidR="00A94B92" w:rsidRPr="00301DE8">
              <w:t xml:space="preserve"> investigations </w:t>
            </w:r>
            <w:r w:rsidRPr="00301DE8">
              <w:t xml:space="preserve">have been carried out </w:t>
            </w:r>
            <w:r w:rsidR="00A94B92" w:rsidRPr="00301DE8">
              <w:t>for other causes, including: cancer; idiopathic thrombocytopenic purpura; vitamin B12 deficiency.</w:t>
            </w:r>
            <w:hyperlink w:anchor="Reference11" w:history="1">
              <w:r w:rsidR="00ED3D97" w:rsidRPr="00301DE8">
                <w:rPr>
                  <w:rStyle w:val="Hyperlink"/>
                  <w:u w:val="none"/>
                  <w:vertAlign w:val="superscript"/>
                </w:rPr>
                <w:t>1</w:t>
              </w:r>
              <w:r w:rsidR="00F0771B" w:rsidRPr="00301DE8">
                <w:rPr>
                  <w:rStyle w:val="Hyperlink"/>
                  <w:u w:val="none"/>
                  <w:vertAlign w:val="superscript"/>
                </w:rPr>
                <w:t>1</w:t>
              </w:r>
              <w:r w:rsidR="00ED3D97" w:rsidRPr="00301DE8">
                <w:rPr>
                  <w:rStyle w:val="Hyperlink"/>
                  <w:u w:val="none"/>
                  <w:vertAlign w:val="superscript"/>
                </w:rPr>
                <w:t>D</w:t>
              </w:r>
            </w:hyperlink>
          </w:p>
        </w:tc>
      </w:tr>
      <w:tr w:rsidR="004444E4" w:rsidRPr="0026246E" w14:paraId="068C055C" w14:textId="77777777" w:rsidTr="002527EF">
        <w:tc>
          <w:tcPr>
            <w:tcW w:w="10916" w:type="dxa"/>
            <w:gridSpan w:val="2"/>
            <w:tcBorders>
              <w:bottom w:val="single" w:sz="4" w:space="0" w:color="auto"/>
            </w:tcBorders>
            <w:shd w:val="clear" w:color="auto" w:fill="D9D9D9" w:themeFill="background1" w:themeFillShade="D9"/>
            <w:vAlign w:val="center"/>
          </w:tcPr>
          <w:p w14:paraId="4A85B560" w14:textId="1EA4B9FB" w:rsidR="004444E4" w:rsidRPr="00734883" w:rsidRDefault="00734883" w:rsidP="00734883">
            <w:pPr>
              <w:spacing w:before="10" w:after="10" w:line="300" w:lineRule="exact"/>
              <w:jc w:val="center"/>
              <w:rPr>
                <w:b/>
                <w:highlight w:val="yellow"/>
              </w:rPr>
            </w:pPr>
            <w:r>
              <w:rPr>
                <w:b/>
                <w:color w:val="98002E"/>
              </w:rPr>
              <w:t xml:space="preserve">WHEN </w:t>
            </w:r>
            <w:r w:rsidR="004276DA">
              <w:rPr>
                <w:b/>
                <w:color w:val="98002E"/>
              </w:rPr>
              <w:t xml:space="preserve">SHOULD I NOT </w:t>
            </w:r>
            <w:r>
              <w:rPr>
                <w:b/>
                <w:color w:val="98002E"/>
              </w:rPr>
              <w:t xml:space="preserve">TEST FOR </w:t>
            </w:r>
            <w:r>
              <w:rPr>
                <w:b/>
                <w:i/>
                <w:color w:val="98002E"/>
              </w:rPr>
              <w:t xml:space="preserve">HELICOBACTER </w:t>
            </w:r>
            <w:r w:rsidRPr="004C22AB">
              <w:rPr>
                <w:b/>
                <w:i/>
                <w:color w:val="98002E"/>
              </w:rPr>
              <w:t>PYLORI</w:t>
            </w:r>
            <w:r w:rsidR="00F0771B">
              <w:rPr>
                <w:b/>
                <w:color w:val="98002E"/>
              </w:rPr>
              <w:t>?</w:t>
            </w:r>
          </w:p>
        </w:tc>
      </w:tr>
      <w:tr w:rsidR="002527EF" w:rsidRPr="0026246E" w14:paraId="0F09C6F1" w14:textId="77777777" w:rsidTr="002527EF">
        <w:tc>
          <w:tcPr>
            <w:tcW w:w="10916" w:type="dxa"/>
            <w:gridSpan w:val="2"/>
            <w:tcBorders>
              <w:right w:val="nil"/>
            </w:tcBorders>
            <w:shd w:val="clear" w:color="auto" w:fill="auto"/>
            <w:vAlign w:val="center"/>
          </w:tcPr>
          <w:p w14:paraId="17310F84" w14:textId="7E3DCB1C" w:rsidR="002527EF" w:rsidRPr="00245DD2" w:rsidRDefault="002527EF" w:rsidP="008901DD">
            <w:pPr>
              <w:pStyle w:val="PHEBulletpoint"/>
              <w:numPr>
                <w:ilvl w:val="0"/>
                <w:numId w:val="14"/>
              </w:numPr>
              <w:spacing w:before="10" w:line="300" w:lineRule="exact"/>
              <w:ind w:left="357" w:hanging="357"/>
            </w:pPr>
            <w:r w:rsidRPr="00245DD2">
              <w:t xml:space="preserve">Patients with </w:t>
            </w:r>
            <w:r w:rsidR="00974AA1" w:rsidRPr="00245DD2">
              <w:t>proven oesophagitis, or predominant symptoms of reflux</w:t>
            </w:r>
            <w:r w:rsidR="00186FFC" w:rsidRPr="00245DD2">
              <w:t>, suggesting g</w:t>
            </w:r>
            <w:r w:rsidR="006F112B" w:rsidRPr="00245DD2">
              <w:t>astro-oesophageal reflux d</w:t>
            </w:r>
            <w:r w:rsidRPr="00245DD2">
              <w:t>isease (GORD).</w:t>
            </w:r>
            <w:hyperlink w:anchor="Reference2" w:history="1">
              <w:r w:rsidRPr="00245DD2">
                <w:rPr>
                  <w:rStyle w:val="Hyperlink"/>
                  <w:u w:val="none"/>
                  <w:vertAlign w:val="superscript"/>
                </w:rPr>
                <w:t>2D</w:t>
              </w:r>
            </w:hyperlink>
            <w:r w:rsidRPr="00245DD2">
              <w:rPr>
                <w:vertAlign w:val="superscript"/>
              </w:rPr>
              <w:t>,</w:t>
            </w:r>
            <w:hyperlink w:anchor="Reference11" w:history="1">
              <w:r w:rsidRPr="00245DD2">
                <w:rPr>
                  <w:rStyle w:val="Hyperlink"/>
                  <w:u w:val="none"/>
                  <w:vertAlign w:val="superscript"/>
                </w:rPr>
                <w:t>11D</w:t>
              </w:r>
            </w:hyperlink>
            <w:r w:rsidRPr="00245DD2">
              <w:rPr>
                <w:vertAlign w:val="superscript"/>
              </w:rPr>
              <w:t>,</w:t>
            </w:r>
            <w:hyperlink w:anchor="Reference12" w:history="1">
              <w:r w:rsidRPr="00245DD2">
                <w:rPr>
                  <w:rStyle w:val="Hyperlink"/>
                  <w:u w:val="none"/>
                  <w:vertAlign w:val="superscript"/>
                </w:rPr>
                <w:t>12A+</w:t>
              </w:r>
            </w:hyperlink>
          </w:p>
          <w:p w14:paraId="655BD511" w14:textId="0DE3D4DD" w:rsidR="002527EF" w:rsidRPr="002527EF" w:rsidRDefault="002527EF" w:rsidP="008901DD">
            <w:pPr>
              <w:pStyle w:val="PHEBulletpoint"/>
              <w:numPr>
                <w:ilvl w:val="0"/>
                <w:numId w:val="14"/>
              </w:numPr>
              <w:spacing w:after="10" w:line="300" w:lineRule="exact"/>
              <w:ind w:left="357" w:hanging="357"/>
            </w:pPr>
            <w:r w:rsidRPr="00301DE8">
              <w:t>Children with functional dyspepsia.</w:t>
            </w:r>
            <w:hyperlink w:anchor="Reference13" w:history="1">
              <w:r w:rsidRPr="00301DE8">
                <w:rPr>
                  <w:rStyle w:val="Hyperlink"/>
                  <w:u w:val="none"/>
                  <w:vertAlign w:val="superscript"/>
                </w:rPr>
                <w:t>13A+</w:t>
              </w:r>
            </w:hyperlink>
            <w:r w:rsidRPr="00301DE8">
              <w:rPr>
                <w:vertAlign w:val="superscript"/>
              </w:rPr>
              <w:t>,</w:t>
            </w:r>
            <w:hyperlink w:anchor="Reference14" w:history="1">
              <w:r w:rsidRPr="00301DE8">
                <w:rPr>
                  <w:rStyle w:val="Hyperlink"/>
                  <w:u w:val="none"/>
                  <w:vertAlign w:val="superscript"/>
                </w:rPr>
                <w:t>14A+</w:t>
              </w:r>
            </w:hyperlink>
          </w:p>
        </w:tc>
      </w:tr>
      <w:tr w:rsidR="004444E4" w:rsidRPr="0026246E" w14:paraId="3CCD2BC4" w14:textId="77777777" w:rsidTr="002527EF">
        <w:tc>
          <w:tcPr>
            <w:tcW w:w="10916" w:type="dxa"/>
            <w:gridSpan w:val="2"/>
            <w:tcBorders>
              <w:bottom w:val="single" w:sz="4" w:space="0" w:color="auto"/>
            </w:tcBorders>
            <w:shd w:val="clear" w:color="auto" w:fill="D9D9D9" w:themeFill="background1" w:themeFillShade="D9"/>
            <w:vAlign w:val="center"/>
          </w:tcPr>
          <w:p w14:paraId="29765CA7" w14:textId="2EBCD96C" w:rsidR="004444E4" w:rsidRPr="004C68A2" w:rsidRDefault="004C68A2" w:rsidP="00D44C4A">
            <w:pPr>
              <w:spacing w:before="10" w:after="10" w:line="300" w:lineRule="exact"/>
              <w:jc w:val="center"/>
              <w:rPr>
                <w:b/>
              </w:rPr>
            </w:pPr>
            <w:r>
              <w:rPr>
                <w:b/>
                <w:color w:val="98002E"/>
              </w:rPr>
              <w:t xml:space="preserve">WHICH NON-INVASIVE TEST </w:t>
            </w:r>
            <w:r w:rsidR="00D44C4A">
              <w:rPr>
                <w:b/>
                <w:color w:val="98002E"/>
              </w:rPr>
              <w:t xml:space="preserve">SHOULD BE USED </w:t>
            </w:r>
            <w:r>
              <w:rPr>
                <w:b/>
                <w:color w:val="98002E"/>
              </w:rPr>
              <w:t>IN UNCOMPLICATED DYSPEPSIA?</w:t>
            </w:r>
          </w:p>
        </w:tc>
      </w:tr>
      <w:tr w:rsidR="002527EF" w:rsidRPr="00301DE8" w14:paraId="07A3B3E9" w14:textId="77777777" w:rsidTr="002527EF">
        <w:tc>
          <w:tcPr>
            <w:tcW w:w="10916" w:type="dxa"/>
            <w:gridSpan w:val="2"/>
            <w:tcBorders>
              <w:bottom w:val="nil"/>
              <w:right w:val="nil"/>
            </w:tcBorders>
            <w:shd w:val="clear" w:color="auto" w:fill="auto"/>
            <w:vAlign w:val="center"/>
          </w:tcPr>
          <w:p w14:paraId="2CB06F1F" w14:textId="1CA6E98A" w:rsidR="002527EF" w:rsidRPr="00301DE8" w:rsidRDefault="002527EF" w:rsidP="008901DD">
            <w:pPr>
              <w:pStyle w:val="PHEBulletpoint"/>
              <w:numPr>
                <w:ilvl w:val="0"/>
                <w:numId w:val="17"/>
              </w:numPr>
              <w:spacing w:before="10" w:line="300" w:lineRule="exact"/>
              <w:ind w:left="357" w:hanging="357"/>
            </w:pPr>
            <w:r w:rsidRPr="00301DE8">
              <w:t>Urea</w:t>
            </w:r>
            <w:r w:rsidR="00A91830" w:rsidRPr="00301DE8">
              <w:t xml:space="preserve"> breath t</w:t>
            </w:r>
            <w:r w:rsidRPr="00301DE8">
              <w:t>ests (UBTs)</w:t>
            </w:r>
            <w:hyperlink w:anchor="Reference15" w:history="1">
              <w:r w:rsidRPr="00301DE8">
                <w:rPr>
                  <w:rStyle w:val="Hyperlink"/>
                  <w:u w:val="none"/>
                  <w:vertAlign w:val="superscript"/>
                </w:rPr>
                <w:t>15A+</w:t>
              </w:r>
            </w:hyperlink>
            <w:r w:rsidR="00647D17" w:rsidRPr="00301DE8">
              <w:rPr>
                <w:vertAlign w:val="superscript"/>
              </w:rPr>
              <w:t>,</w:t>
            </w:r>
            <w:hyperlink w:anchor="Reference16" w:history="1">
              <w:r w:rsidR="00647D17" w:rsidRPr="00301DE8">
                <w:rPr>
                  <w:rStyle w:val="Hyperlink"/>
                  <w:u w:val="none"/>
                  <w:vertAlign w:val="superscript"/>
                </w:rPr>
                <w:t>16C</w:t>
              </w:r>
            </w:hyperlink>
            <w:r w:rsidR="00647D17" w:rsidRPr="00301DE8">
              <w:rPr>
                <w:vertAlign w:val="superscript"/>
              </w:rPr>
              <w:t>,</w:t>
            </w:r>
            <w:hyperlink w:anchor="Reference17" w:history="1">
              <w:r w:rsidR="00647D17" w:rsidRPr="00301DE8">
                <w:rPr>
                  <w:rStyle w:val="Hyperlink"/>
                  <w:u w:val="none"/>
                  <w:vertAlign w:val="superscript"/>
                </w:rPr>
                <w:t>17B+</w:t>
              </w:r>
            </w:hyperlink>
            <w:r w:rsidR="00A91830" w:rsidRPr="00301DE8">
              <w:t xml:space="preserve"> and stool antigen t</w:t>
            </w:r>
            <w:r w:rsidRPr="00301DE8">
              <w:t>ests (SATs) are the preferred tests.</w:t>
            </w:r>
            <w:hyperlink w:anchor="Reference11" w:history="1">
              <w:r w:rsidRPr="00301DE8">
                <w:rPr>
                  <w:rStyle w:val="Hyperlink"/>
                  <w:u w:val="none"/>
                  <w:vertAlign w:val="superscript"/>
                </w:rPr>
                <w:t>11A+</w:t>
              </w:r>
            </w:hyperlink>
          </w:p>
        </w:tc>
      </w:tr>
      <w:tr w:rsidR="004C68A2" w:rsidRPr="0026246E" w14:paraId="2D5CBE22" w14:textId="77777777" w:rsidTr="00EB5731">
        <w:tc>
          <w:tcPr>
            <w:tcW w:w="10916" w:type="dxa"/>
            <w:gridSpan w:val="2"/>
            <w:tcBorders>
              <w:top w:val="nil"/>
              <w:left w:val="single" w:sz="4" w:space="0" w:color="auto"/>
              <w:bottom w:val="nil"/>
              <w:right w:val="nil"/>
            </w:tcBorders>
            <w:vAlign w:val="center"/>
          </w:tcPr>
          <w:p w14:paraId="529090D4" w14:textId="5BF3F0B6" w:rsidR="004C68A2" w:rsidRDefault="00257129" w:rsidP="004C68A2">
            <w:pPr>
              <w:pStyle w:val="PHEBulletpoint"/>
              <w:numPr>
                <w:ilvl w:val="0"/>
                <w:numId w:val="0"/>
              </w:numPr>
              <w:spacing w:after="10" w:line="300" w:lineRule="exact"/>
              <w:rPr>
                <w:b/>
              </w:rPr>
            </w:pPr>
            <w:r w:rsidRPr="004C68A2">
              <w:rPr>
                <w:b/>
                <w:noProof/>
                <w:lang w:eastAsia="en-GB"/>
              </w:rPr>
              <mc:AlternateContent>
                <mc:Choice Requires="wps">
                  <w:drawing>
                    <wp:anchor distT="0" distB="0" distL="114300" distR="114300" simplePos="0" relativeHeight="251667456" behindDoc="0" locked="0" layoutInCell="1" allowOverlap="1" wp14:anchorId="321B1BF4" wp14:editId="77D41FC3">
                      <wp:simplePos x="0" y="0"/>
                      <wp:positionH relativeFrom="column">
                        <wp:posOffset>4693285</wp:posOffset>
                      </wp:positionH>
                      <wp:positionV relativeFrom="paragraph">
                        <wp:posOffset>109855</wp:posOffset>
                      </wp:positionV>
                      <wp:extent cx="2141855" cy="892810"/>
                      <wp:effectExtent l="0" t="0" r="1079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892810"/>
                              </a:xfrm>
                              <a:prstGeom prst="rect">
                                <a:avLst/>
                              </a:prstGeom>
                              <a:solidFill>
                                <a:schemeClr val="accent2">
                                  <a:lumMod val="40000"/>
                                  <a:lumOff val="60000"/>
                                </a:schemeClr>
                              </a:solidFill>
                              <a:ln w="9525">
                                <a:solidFill>
                                  <a:srgbClr val="000000"/>
                                </a:solidFill>
                                <a:miter lim="800000"/>
                                <a:headEnd/>
                                <a:tailEnd/>
                              </a:ln>
                            </wps:spPr>
                            <wps:txbx>
                              <w:txbxContent>
                                <w:p w14:paraId="0838C412" w14:textId="72EC5385" w:rsidR="00452D42" w:rsidRPr="0023283E" w:rsidRDefault="00452D42" w:rsidP="00EB5731">
                                  <w:pPr>
                                    <w:spacing w:line="240" w:lineRule="exact"/>
                                    <w:rPr>
                                      <w:sz w:val="20"/>
                                      <w:szCs w:val="20"/>
                                    </w:rPr>
                                  </w:pPr>
                                  <w:r w:rsidRPr="00941946">
                                    <w:rPr>
                                      <w:b/>
                                      <w:sz w:val="20"/>
                                      <w:szCs w:val="20"/>
                                    </w:rPr>
                                    <w:t>DO NOT</w:t>
                                  </w:r>
                                  <w:r w:rsidRPr="0023283E">
                                    <w:rPr>
                                      <w:sz w:val="20"/>
                                      <w:szCs w:val="20"/>
                                    </w:rPr>
                                    <w:t xml:space="preserve"> perform </w:t>
                                  </w:r>
                                  <w:r w:rsidRPr="00301DE8">
                                    <w:rPr>
                                      <w:sz w:val="20"/>
                                      <w:szCs w:val="20"/>
                                    </w:rPr>
                                    <w:t>UBT</w:t>
                                  </w:r>
                                  <w:r w:rsidRPr="00301DE8">
                                    <w:rPr>
                                      <w:color w:val="9C002A"/>
                                      <w:sz w:val="20"/>
                                      <w:szCs w:val="20"/>
                                      <w:vertAlign w:val="superscript"/>
                                    </w:rPr>
                                    <w:t xml:space="preserve"> </w:t>
                                  </w:r>
                                  <w:r w:rsidRPr="00301DE8">
                                    <w:rPr>
                                      <w:sz w:val="20"/>
                                      <w:szCs w:val="20"/>
                                    </w:rPr>
                                    <w:t>or SAT</w:t>
                                  </w:r>
                                  <w:r w:rsidRPr="00301DE8">
                                    <w:rPr>
                                      <w:color w:val="9C002A"/>
                                      <w:sz w:val="20"/>
                                      <w:szCs w:val="20"/>
                                      <w:vertAlign w:val="superscript"/>
                                    </w:rPr>
                                    <w:t xml:space="preserve"> </w:t>
                                  </w:r>
                                  <w:r w:rsidRPr="00301DE8">
                                    <w:rPr>
                                      <w:sz w:val="20"/>
                                      <w:szCs w:val="20"/>
                                    </w:rPr>
                                    <w:t>within two weeks of PPI,</w:t>
                                  </w:r>
                                  <w:hyperlink w:anchor="Reference20" w:history="1">
                                    <w:r w:rsidRPr="00301DE8">
                                      <w:rPr>
                                        <w:rStyle w:val="Hyperlink"/>
                                        <w:sz w:val="20"/>
                                        <w:szCs w:val="20"/>
                                        <w:u w:val="none"/>
                                        <w:vertAlign w:val="superscript"/>
                                      </w:rPr>
                                      <w:t>20B+</w:t>
                                    </w:r>
                                  </w:hyperlink>
                                  <w:r w:rsidRPr="00301DE8">
                                    <w:rPr>
                                      <w:sz w:val="20"/>
                                      <w:szCs w:val="20"/>
                                      <w:vertAlign w:val="superscript"/>
                                    </w:rPr>
                                    <w:t>,</w:t>
                                  </w:r>
                                  <w:hyperlink w:anchor="Reference21" w:history="1">
                                    <w:r w:rsidRPr="00301DE8">
                                      <w:rPr>
                                        <w:rStyle w:val="Hyperlink"/>
                                        <w:sz w:val="20"/>
                                        <w:szCs w:val="20"/>
                                        <w:u w:val="none"/>
                                        <w:vertAlign w:val="superscript"/>
                                      </w:rPr>
                                      <w:t>21B+</w:t>
                                    </w:r>
                                  </w:hyperlink>
                                  <w:r w:rsidRPr="00301DE8">
                                    <w:rPr>
                                      <w:sz w:val="20"/>
                                      <w:szCs w:val="20"/>
                                    </w:rPr>
                                    <w:t xml:space="preserve"> or four weeks of antibiotics,</w:t>
                                  </w:r>
                                  <w:hyperlink w:anchor="Reference19" w:history="1">
                                    <w:r w:rsidRPr="00301DE8">
                                      <w:rPr>
                                        <w:rStyle w:val="Hyperlink"/>
                                        <w:sz w:val="20"/>
                                        <w:szCs w:val="20"/>
                                        <w:u w:val="none"/>
                                        <w:vertAlign w:val="superscript"/>
                                      </w:rPr>
                                      <w:t>19A+</w:t>
                                    </w:r>
                                  </w:hyperlink>
                                  <w:r w:rsidRPr="00301DE8">
                                    <w:rPr>
                                      <w:sz w:val="20"/>
                                      <w:szCs w:val="20"/>
                                      <w:vertAlign w:val="superscript"/>
                                    </w:rPr>
                                    <w:t>,</w:t>
                                  </w:r>
                                  <w:hyperlink w:anchor="Reference22" w:history="1">
                                    <w:r w:rsidRPr="00301DE8">
                                      <w:rPr>
                                        <w:rStyle w:val="Hyperlink"/>
                                        <w:sz w:val="20"/>
                                        <w:szCs w:val="20"/>
                                        <w:u w:val="none"/>
                                        <w:vertAlign w:val="superscript"/>
                                      </w:rPr>
                                      <w:t>22A+</w:t>
                                    </w:r>
                                  </w:hyperlink>
                                  <w:r w:rsidRPr="00301DE8">
                                    <w:rPr>
                                      <w:sz w:val="20"/>
                                      <w:szCs w:val="20"/>
                                    </w:rPr>
                                    <w:t xml:space="preserve"> as these drugs supress bacteria</w:t>
                                  </w:r>
                                  <w:r>
                                    <w:rPr>
                                      <w:sz w:val="20"/>
                                      <w:szCs w:val="20"/>
                                    </w:rPr>
                                    <w:t xml:space="preserve"> and can lead to false negatives.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type w14:anchorId="321B1BF4" id="_x0000_t202" coordsize="21600,21600" o:spt="202" path="m,l,21600r21600,l21600,xe">
                      <v:stroke joinstyle="miter"/>
                      <v:path gradientshapeok="t" o:connecttype="rect"/>
                    </v:shapetype>
                    <v:shape id="Text Box 2" o:spid="_x0000_s1026" type="#_x0000_t202" style="position:absolute;margin-left:369.55pt;margin-top:8.65pt;width:168.65pt;height:7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" fillcolor="#e5b8b7 [1301]">
                      <v:textbox>
                        <w:txbxContent>
                          <w:p w14:paraId="0838C412" w14:textId="72EC5385" w:rsidR="00452D42" w:rsidRPr="0023283E" w:rsidRDefault="00452D42" w:rsidP="00EB5731">
                            <w:pPr>
                              <w:spacing w:line="240" w:lineRule="exact"/>
                              <w:rPr>
                                <w:sz w:val="20"/>
                                <w:szCs w:val="20"/>
                              </w:rPr>
                            </w:pPr>
                            <w:r w:rsidRPr="00941946">
                              <w:rPr>
                                <w:b/>
                                <w:sz w:val="20"/>
                                <w:szCs w:val="20"/>
                              </w:rPr>
                              <w:t>DO NOT</w:t>
                            </w:r>
                            <w:r w:rsidRPr="0023283E">
                              <w:rPr>
                                <w:sz w:val="20"/>
                                <w:szCs w:val="20"/>
                              </w:rPr>
                              <w:t xml:space="preserve"> perform </w:t>
                            </w:r>
                            <w:r w:rsidRPr="00301DE8">
                              <w:rPr>
                                <w:sz w:val="20"/>
                                <w:szCs w:val="20"/>
                              </w:rPr>
                              <w:t>UBT</w:t>
                            </w:r>
                            <w:r w:rsidRPr="00301DE8">
                              <w:rPr>
                                <w:color w:val="9C002A"/>
                                <w:sz w:val="20"/>
                                <w:szCs w:val="20"/>
                                <w:vertAlign w:val="superscript"/>
                              </w:rPr>
                              <w:t xml:space="preserve"> </w:t>
                            </w:r>
                            <w:r w:rsidRPr="00301DE8">
                              <w:rPr>
                                <w:sz w:val="20"/>
                                <w:szCs w:val="20"/>
                              </w:rPr>
                              <w:t>or SAT</w:t>
                            </w:r>
                            <w:r w:rsidRPr="00301DE8">
                              <w:rPr>
                                <w:color w:val="9C002A"/>
                                <w:sz w:val="20"/>
                                <w:szCs w:val="20"/>
                                <w:vertAlign w:val="superscript"/>
                              </w:rPr>
                              <w:t xml:space="preserve"> </w:t>
                            </w:r>
                            <w:r w:rsidRPr="00301DE8">
                              <w:rPr>
                                <w:sz w:val="20"/>
                                <w:szCs w:val="20"/>
                              </w:rPr>
                              <w:t>within two weeks of PPI,</w:t>
                            </w:r>
                            <w:hyperlink w:anchor="Reference20" w:history="1">
                              <w:r w:rsidRPr="00301DE8">
                                <w:rPr>
                                  <w:rStyle w:val="Hyperlink"/>
                                  <w:sz w:val="20"/>
                                  <w:szCs w:val="20"/>
                                  <w:u w:val="none"/>
                                  <w:vertAlign w:val="superscript"/>
                                </w:rPr>
                                <w:t>20B+</w:t>
                              </w:r>
                            </w:hyperlink>
                            <w:r w:rsidRPr="00301DE8">
                              <w:rPr>
                                <w:sz w:val="20"/>
                                <w:szCs w:val="20"/>
                                <w:vertAlign w:val="superscript"/>
                              </w:rPr>
                              <w:t>,</w:t>
                            </w:r>
                            <w:hyperlink w:anchor="Reference21" w:history="1">
                              <w:r w:rsidRPr="00301DE8">
                                <w:rPr>
                                  <w:rStyle w:val="Hyperlink"/>
                                  <w:sz w:val="20"/>
                                  <w:szCs w:val="20"/>
                                  <w:u w:val="none"/>
                                  <w:vertAlign w:val="superscript"/>
                                </w:rPr>
                                <w:t>21B+</w:t>
                              </w:r>
                            </w:hyperlink>
                            <w:r w:rsidRPr="00301DE8">
                              <w:rPr>
                                <w:sz w:val="20"/>
                                <w:szCs w:val="20"/>
                              </w:rPr>
                              <w:t xml:space="preserve"> or four weeks of antibiotics,</w:t>
                            </w:r>
                            <w:hyperlink w:anchor="Reference19" w:history="1">
                              <w:r w:rsidRPr="00301DE8">
                                <w:rPr>
                                  <w:rStyle w:val="Hyperlink"/>
                                  <w:sz w:val="20"/>
                                  <w:szCs w:val="20"/>
                                  <w:u w:val="none"/>
                                  <w:vertAlign w:val="superscript"/>
                                </w:rPr>
                                <w:t>19A+</w:t>
                              </w:r>
                            </w:hyperlink>
                            <w:r w:rsidRPr="00301DE8">
                              <w:rPr>
                                <w:sz w:val="20"/>
                                <w:szCs w:val="20"/>
                                <w:vertAlign w:val="superscript"/>
                              </w:rPr>
                              <w:t>,</w:t>
                            </w:r>
                            <w:hyperlink w:anchor="Reference22" w:history="1">
                              <w:r w:rsidRPr="00301DE8">
                                <w:rPr>
                                  <w:rStyle w:val="Hyperlink"/>
                                  <w:sz w:val="20"/>
                                  <w:szCs w:val="20"/>
                                  <w:u w:val="none"/>
                                  <w:vertAlign w:val="superscript"/>
                                </w:rPr>
                                <w:t>22A+</w:t>
                              </w:r>
                            </w:hyperlink>
                            <w:r w:rsidRPr="00301DE8">
                              <w:rPr>
                                <w:sz w:val="20"/>
                                <w:szCs w:val="20"/>
                              </w:rPr>
                              <w:t xml:space="preserve"> as these drugs supress bacteria</w:t>
                            </w:r>
                            <w:r>
                              <w:rPr>
                                <w:sz w:val="20"/>
                                <w:szCs w:val="20"/>
                              </w:rPr>
                              <w:t xml:space="preserve"> and can lead to false negatives.</w:t>
                            </w:r>
                          </w:p>
                        </w:txbxContent>
                      </v:textbox>
                    </v:shape>
                  </w:pict>
                </mc:Fallback>
              </mc:AlternateContent>
            </w:r>
            <w:r w:rsidR="00B10D07" w:rsidRPr="004C68A2">
              <w:rPr>
                <w:b/>
                <w:noProof/>
                <w:lang w:eastAsia="en-GB"/>
              </w:rPr>
              <mc:AlternateContent>
                <mc:Choice Requires="wps">
                  <w:drawing>
                    <wp:anchor distT="0" distB="0" distL="114300" distR="114300" simplePos="0" relativeHeight="251661312" behindDoc="0" locked="0" layoutInCell="1" allowOverlap="1" wp14:anchorId="2C2D2CC7" wp14:editId="4BC51142">
                      <wp:simplePos x="0" y="0"/>
                      <wp:positionH relativeFrom="column">
                        <wp:posOffset>-15875</wp:posOffset>
                      </wp:positionH>
                      <wp:positionV relativeFrom="paragraph">
                        <wp:posOffset>83185</wp:posOffset>
                      </wp:positionV>
                      <wp:extent cx="4300855" cy="424180"/>
                      <wp:effectExtent l="0" t="0" r="234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424180"/>
                              </a:xfrm>
                              <a:prstGeom prst="rect">
                                <a:avLst/>
                              </a:prstGeom>
                              <a:solidFill>
                                <a:srgbClr val="FFFFCC"/>
                              </a:solidFill>
                              <a:ln w="9525">
                                <a:solidFill>
                                  <a:srgbClr val="000000"/>
                                </a:solidFill>
                                <a:miter lim="800000"/>
                                <a:headEnd/>
                                <a:tailEnd/>
                              </a:ln>
                            </wps:spPr>
                            <wps:txbx>
                              <w:txbxContent>
                                <w:p w14:paraId="103859F2" w14:textId="5C634BB4" w:rsidR="00452D42" w:rsidRDefault="00452D42" w:rsidP="00941946">
                                  <w:pPr>
                                    <w:spacing w:after="10" w:line="240" w:lineRule="exact"/>
                                    <w:rPr>
                                      <w:sz w:val="20"/>
                                      <w:szCs w:val="20"/>
                                    </w:rPr>
                                  </w:pPr>
                                  <w:r w:rsidRPr="004C68A2">
                                    <w:rPr>
                                      <w:b/>
                                      <w:sz w:val="20"/>
                                      <w:szCs w:val="20"/>
                                    </w:rPr>
                                    <w:t>Urea Breath Test</w:t>
                                  </w:r>
                                  <w:r>
                                    <w:rPr>
                                      <w:b/>
                                      <w:sz w:val="20"/>
                                      <w:szCs w:val="20"/>
                                    </w:rPr>
                                    <w:t xml:space="preserve"> (UBT):</w:t>
                                  </w:r>
                                  <w:r>
                                    <w:rPr>
                                      <w:sz w:val="20"/>
                                      <w:szCs w:val="20"/>
                                    </w:rPr>
                                    <w:t xml:space="preserve"> mos</w:t>
                                  </w:r>
                                  <w:r w:rsidRPr="00301DE8">
                                    <w:rPr>
                                      <w:sz w:val="20"/>
                                      <w:szCs w:val="20"/>
                                    </w:rPr>
                                    <w:t>t accurate test.</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15" w:history="1">
                                    <w:r w:rsidRPr="00301DE8">
                                      <w:rPr>
                                        <w:rStyle w:val="Hyperlink"/>
                                        <w:sz w:val="20"/>
                                        <w:szCs w:val="20"/>
                                        <w:u w:val="none"/>
                                        <w:vertAlign w:val="superscript"/>
                                      </w:rPr>
                                      <w:t>15A+</w:t>
                                    </w:r>
                                  </w:hyperlink>
                                  <w:r w:rsidRPr="00301DE8">
                                    <w:rPr>
                                      <w:sz w:val="20"/>
                                      <w:szCs w:val="20"/>
                                      <w:vertAlign w:val="superscript"/>
                                    </w:rPr>
                                    <w:t>,</w:t>
                                  </w:r>
                                  <w:hyperlink w:anchor="Reference16" w:history="1">
                                    <w:r w:rsidRPr="00301DE8">
                                      <w:rPr>
                                        <w:rStyle w:val="Hyperlink"/>
                                        <w:sz w:val="20"/>
                                        <w:szCs w:val="20"/>
                                        <w:u w:val="none"/>
                                        <w:vertAlign w:val="superscript"/>
                                      </w:rPr>
                                      <w:t>16C</w:t>
                                    </w:r>
                                  </w:hyperlink>
                                  <w:r w:rsidRPr="00301DE8">
                                    <w:rPr>
                                      <w:sz w:val="20"/>
                                      <w:szCs w:val="20"/>
                                      <w:vertAlign w:val="superscript"/>
                                    </w:rPr>
                                    <w:t>,</w:t>
                                  </w:r>
                                  <w:hyperlink w:anchor="Reference17" w:history="1">
                                    <w:r w:rsidRPr="00301DE8">
                                      <w:rPr>
                                        <w:rStyle w:val="Hyperlink"/>
                                        <w:sz w:val="20"/>
                                        <w:szCs w:val="20"/>
                                        <w:u w:val="none"/>
                                        <w:vertAlign w:val="superscript"/>
                                      </w:rPr>
                                      <w:t>17B+</w:t>
                                    </w:r>
                                  </w:hyperlink>
                                </w:p>
                                <w:p w14:paraId="0EC50F17" w14:textId="5930FD84" w:rsidR="00452D42" w:rsidRPr="00B10D07" w:rsidRDefault="00452D42" w:rsidP="003C738D">
                                  <w:pPr>
                                    <w:pStyle w:val="ListParagraph"/>
                                    <w:numPr>
                                      <w:ilvl w:val="0"/>
                                      <w:numId w:val="33"/>
                                    </w:numPr>
                                    <w:spacing w:line="240" w:lineRule="exact"/>
                                    <w:ind w:left="357" w:hanging="357"/>
                                    <w:rPr>
                                      <w:sz w:val="20"/>
                                      <w:szCs w:val="20"/>
                                    </w:rPr>
                                  </w:pPr>
                                  <w:r>
                                    <w:rPr>
                                      <w:sz w:val="20"/>
                                      <w:szCs w:val="20"/>
                                    </w:rPr>
                                    <w:t>n</w:t>
                                  </w:r>
                                  <w:r w:rsidRPr="00B10D07">
                                    <w:rPr>
                                      <w:sz w:val="20"/>
                                      <w:szCs w:val="20"/>
                                    </w:rPr>
                                    <w:t>ee</w:t>
                                  </w:r>
                                  <w:r>
                                    <w:rPr>
                                      <w:sz w:val="20"/>
                                      <w:szCs w:val="20"/>
                                    </w:rPr>
                                    <w:t xml:space="preserve">ds a prescription </w:t>
                                  </w:r>
                                  <w:r w:rsidRPr="00B10D07">
                                    <w:rPr>
                                      <w:sz w:val="20"/>
                                      <w:szCs w:val="20"/>
                                    </w:rPr>
                                    <w:t>and staff time to perform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2C2D2CC7" id="_x0000_s1027" type="#_x0000_t202" style="position:absolute;margin-left:-1.25pt;margin-top:6.55pt;width:338.65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" fillcolor="#ffc">
                      <v:textbox>
                        <w:txbxContent>
                          <w:p w14:paraId="103859F2" w14:textId="5C634BB4" w:rsidR="00452D42" w:rsidRDefault="00452D42" w:rsidP="00941946">
                            <w:pPr>
                              <w:spacing w:after="10" w:line="240" w:lineRule="exact"/>
                              <w:rPr>
                                <w:sz w:val="20"/>
                                <w:szCs w:val="20"/>
                              </w:rPr>
                            </w:pPr>
                            <w:r w:rsidRPr="004C68A2">
                              <w:rPr>
                                <w:b/>
                                <w:sz w:val="20"/>
                                <w:szCs w:val="20"/>
                              </w:rPr>
                              <w:t>Urea Breath Test</w:t>
                            </w:r>
                            <w:r>
                              <w:rPr>
                                <w:b/>
                                <w:sz w:val="20"/>
                                <w:szCs w:val="20"/>
                              </w:rPr>
                              <w:t xml:space="preserve"> (UBT):</w:t>
                            </w:r>
                            <w:r>
                              <w:rPr>
                                <w:sz w:val="20"/>
                                <w:szCs w:val="20"/>
                              </w:rPr>
                              <w:t xml:space="preserve"> mos</w:t>
                            </w:r>
                            <w:r w:rsidRPr="00301DE8">
                              <w:rPr>
                                <w:sz w:val="20"/>
                                <w:szCs w:val="20"/>
                              </w:rPr>
                              <w:t>t accurate test.</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15" w:history="1">
                              <w:r w:rsidRPr="00301DE8">
                                <w:rPr>
                                  <w:rStyle w:val="Hyperlink"/>
                                  <w:sz w:val="20"/>
                                  <w:szCs w:val="20"/>
                                  <w:u w:val="none"/>
                                  <w:vertAlign w:val="superscript"/>
                                </w:rPr>
                                <w:t>15A+</w:t>
                              </w:r>
                            </w:hyperlink>
                            <w:r w:rsidRPr="00301DE8">
                              <w:rPr>
                                <w:sz w:val="20"/>
                                <w:szCs w:val="20"/>
                                <w:vertAlign w:val="superscript"/>
                              </w:rPr>
                              <w:t>,</w:t>
                            </w:r>
                            <w:hyperlink w:anchor="Reference16" w:history="1">
                              <w:r w:rsidRPr="00301DE8">
                                <w:rPr>
                                  <w:rStyle w:val="Hyperlink"/>
                                  <w:sz w:val="20"/>
                                  <w:szCs w:val="20"/>
                                  <w:u w:val="none"/>
                                  <w:vertAlign w:val="superscript"/>
                                </w:rPr>
                                <w:t>16C</w:t>
                              </w:r>
                            </w:hyperlink>
                            <w:r w:rsidRPr="00301DE8">
                              <w:rPr>
                                <w:sz w:val="20"/>
                                <w:szCs w:val="20"/>
                                <w:vertAlign w:val="superscript"/>
                              </w:rPr>
                              <w:t>,</w:t>
                            </w:r>
                            <w:hyperlink w:anchor="Reference17" w:history="1">
                              <w:r w:rsidRPr="00301DE8">
                                <w:rPr>
                                  <w:rStyle w:val="Hyperlink"/>
                                  <w:sz w:val="20"/>
                                  <w:szCs w:val="20"/>
                                  <w:u w:val="none"/>
                                  <w:vertAlign w:val="superscript"/>
                                </w:rPr>
                                <w:t>17B+</w:t>
                              </w:r>
                            </w:hyperlink>
                          </w:p>
                          <w:p w14:paraId="0EC50F17" w14:textId="5930FD84" w:rsidR="00452D42" w:rsidRPr="00B10D07" w:rsidRDefault="00452D42" w:rsidP="003C738D">
                            <w:pPr>
                              <w:pStyle w:val="ListParagraph"/>
                              <w:numPr>
                                <w:ilvl w:val="0"/>
                                <w:numId w:val="33"/>
                              </w:numPr>
                              <w:spacing w:line="240" w:lineRule="exact"/>
                              <w:ind w:left="357" w:hanging="357"/>
                              <w:rPr>
                                <w:sz w:val="20"/>
                                <w:szCs w:val="20"/>
                              </w:rPr>
                            </w:pPr>
                            <w:r>
                              <w:rPr>
                                <w:sz w:val="20"/>
                                <w:szCs w:val="20"/>
                              </w:rPr>
                              <w:t>n</w:t>
                            </w:r>
                            <w:r w:rsidRPr="00B10D07">
                              <w:rPr>
                                <w:sz w:val="20"/>
                                <w:szCs w:val="20"/>
                              </w:rPr>
                              <w:t>ee</w:t>
                            </w:r>
                            <w:r>
                              <w:rPr>
                                <w:sz w:val="20"/>
                                <w:szCs w:val="20"/>
                              </w:rPr>
                              <w:t xml:space="preserve">ds a prescription </w:t>
                            </w:r>
                            <w:r w:rsidRPr="00B10D07">
                              <w:rPr>
                                <w:sz w:val="20"/>
                                <w:szCs w:val="20"/>
                              </w:rPr>
                              <w:t>and staff time to perform</w:t>
                            </w:r>
                          </w:p>
                        </w:txbxContent>
                      </v:textbox>
                    </v:shape>
                  </w:pict>
                </mc:Fallback>
              </mc:AlternateContent>
            </w:r>
          </w:p>
          <w:p w14:paraId="0F10F96C" w14:textId="0B44733A" w:rsidR="004C68A2" w:rsidRPr="005B21E3" w:rsidRDefault="005B21E3" w:rsidP="004C68A2">
            <w:pPr>
              <w:pStyle w:val="PHEBulletpoint"/>
              <w:numPr>
                <w:ilvl w:val="0"/>
                <w:numId w:val="0"/>
              </w:numPr>
              <w:spacing w:after="10" w:line="300" w:lineRule="exact"/>
              <w:rPr>
                <w:b/>
              </w:rPr>
            </w:pPr>
            <w:r w:rsidRPr="005B21E3">
              <w:rPr>
                <w:b/>
                <w:noProof/>
                <w:lang w:eastAsia="en-GB"/>
              </w:rPr>
              <mc:AlternateContent>
                <mc:Choice Requires="wps">
                  <w:drawing>
                    <wp:anchor distT="0" distB="0" distL="114300" distR="114300" simplePos="0" relativeHeight="251657214" behindDoc="0" locked="0" layoutInCell="1" allowOverlap="1" wp14:anchorId="5C0529D2" wp14:editId="0FC7190A">
                      <wp:simplePos x="0" y="0"/>
                      <wp:positionH relativeFrom="column">
                        <wp:posOffset>4277360</wp:posOffset>
                      </wp:positionH>
                      <wp:positionV relativeFrom="paragraph">
                        <wp:posOffset>94615</wp:posOffset>
                      </wp:positionV>
                      <wp:extent cx="415290" cy="218440"/>
                      <wp:effectExtent l="0" t="0" r="80010" b="67310"/>
                      <wp:wrapNone/>
                      <wp:docPr id="11" name="Straight Arrow Connector 11"/>
                      <wp:cNvGraphicFramePr/>
                      <a:graphic xmlns:a="http://schemas.openxmlformats.org/drawingml/2006/main">
                        <a:graphicData uri="http://schemas.microsoft.com/office/word/2010/wordprocessingShape">
                          <wps:wsp>
                            <wps:cNvCnPr/>
                            <wps:spPr>
                              <a:xfrm>
                                <a:off x="0" y="0"/>
                                <a:ext cx="415290" cy="21844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type w14:anchorId="2B944162" id="_x0000_t32" coordsize="21600,21600" o:spt="32" o:oned="t" path="m,l21600,21600e" filled="f">
                      <v:path arrowok="t" fillok="f" o:connecttype="none"/>
                      <o:lock v:ext="edit" shapetype="t"/>
                    </v:shapetype>
                    <v:shape id="Straight Arrow Connector 11" o:spid="_x0000_s1026" type="#_x0000_t32" style="position:absolute;margin-left:336.8pt;margin-top:7.45pt;width:32.7pt;height:17.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" strokecolor="black [3213]" strokeweight="2pt">
                      <v:stroke endarrow="open"/>
                    </v:shape>
                  </w:pict>
                </mc:Fallback>
              </mc:AlternateContent>
            </w:r>
          </w:p>
          <w:p w14:paraId="193D6700" w14:textId="6A9C7C46" w:rsidR="004C68A2" w:rsidRDefault="004C68A2" w:rsidP="004C68A2">
            <w:pPr>
              <w:pStyle w:val="PHEBulletpoint"/>
              <w:numPr>
                <w:ilvl w:val="0"/>
                <w:numId w:val="0"/>
              </w:numPr>
              <w:spacing w:after="10" w:line="300" w:lineRule="exact"/>
              <w:rPr>
                <w:b/>
              </w:rPr>
            </w:pPr>
          </w:p>
          <w:p w14:paraId="63A51868" w14:textId="0304C6D3" w:rsidR="004C68A2" w:rsidRDefault="005B21E3" w:rsidP="004C68A2">
            <w:pPr>
              <w:pStyle w:val="PHEBulletpoint"/>
              <w:numPr>
                <w:ilvl w:val="0"/>
                <w:numId w:val="0"/>
              </w:numPr>
              <w:spacing w:after="10" w:line="300" w:lineRule="exact"/>
              <w:rPr>
                <w:b/>
              </w:rPr>
            </w:pPr>
            <w:r w:rsidRPr="005B21E3">
              <w:rPr>
                <w:b/>
                <w:noProof/>
                <w:lang w:eastAsia="en-GB"/>
              </w:rPr>
              <mc:AlternateContent>
                <mc:Choice Requires="wps">
                  <w:drawing>
                    <wp:anchor distT="0" distB="0" distL="114300" distR="114300" simplePos="0" relativeHeight="251656189" behindDoc="0" locked="0" layoutInCell="1" allowOverlap="1" wp14:anchorId="64C833BD" wp14:editId="08A1A831">
                      <wp:simplePos x="0" y="0"/>
                      <wp:positionH relativeFrom="column">
                        <wp:posOffset>4283075</wp:posOffset>
                      </wp:positionH>
                      <wp:positionV relativeFrom="paragraph">
                        <wp:posOffset>20955</wp:posOffset>
                      </wp:positionV>
                      <wp:extent cx="409575" cy="259080"/>
                      <wp:effectExtent l="0" t="38100" r="47625" b="26670"/>
                      <wp:wrapNone/>
                      <wp:docPr id="12" name="Straight Arrow Connector 12"/>
                      <wp:cNvGraphicFramePr/>
                      <a:graphic xmlns:a="http://schemas.openxmlformats.org/drawingml/2006/main">
                        <a:graphicData uri="http://schemas.microsoft.com/office/word/2010/wordprocessingShape">
                          <wps:wsp>
                            <wps:cNvCnPr/>
                            <wps:spPr>
                              <a:xfrm flipV="1">
                                <a:off x="0" y="0"/>
                                <a:ext cx="409575" cy="25908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F6F95DC" id="Straight Arrow Connector 12" o:spid="_x0000_s1026" type="#_x0000_t32" style="position:absolute;margin-left:337.25pt;margin-top:1.65pt;width:32.25pt;height:20.4pt;flip: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" strokecolor="black [3213]" strokeweight="2pt">
                      <v:stroke endarrow="open"/>
                    </v:shape>
                  </w:pict>
                </mc:Fallback>
              </mc:AlternateContent>
            </w:r>
            <w:r w:rsidR="003C738D" w:rsidRPr="004C68A2">
              <w:rPr>
                <w:b/>
                <w:noProof/>
                <w:lang w:eastAsia="en-GB"/>
              </w:rPr>
              <mc:AlternateContent>
                <mc:Choice Requires="wps">
                  <w:drawing>
                    <wp:anchor distT="0" distB="0" distL="114300" distR="114300" simplePos="0" relativeHeight="251663360" behindDoc="0" locked="0" layoutInCell="1" allowOverlap="1" wp14:anchorId="4E981051" wp14:editId="59349663">
                      <wp:simplePos x="0" y="0"/>
                      <wp:positionH relativeFrom="column">
                        <wp:posOffset>-17780</wp:posOffset>
                      </wp:positionH>
                      <wp:positionV relativeFrom="paragraph">
                        <wp:posOffset>24765</wp:posOffset>
                      </wp:positionV>
                      <wp:extent cx="4300855" cy="424180"/>
                      <wp:effectExtent l="0" t="0" r="23495"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424180"/>
                              </a:xfrm>
                              <a:prstGeom prst="rect">
                                <a:avLst/>
                              </a:prstGeom>
                              <a:solidFill>
                                <a:srgbClr val="FFFFCC"/>
                              </a:solidFill>
                              <a:ln w="9525">
                                <a:solidFill>
                                  <a:srgbClr val="000000"/>
                                </a:solidFill>
                                <a:miter lim="800000"/>
                                <a:headEnd/>
                                <a:tailEnd/>
                              </a:ln>
                            </wps:spPr>
                            <wps:txbx>
                              <w:txbxContent>
                                <w:p w14:paraId="42FEE7E2" w14:textId="69273BBB" w:rsidR="00452D42" w:rsidRPr="00F04AB2" w:rsidRDefault="00452D42" w:rsidP="00941946">
                                  <w:pPr>
                                    <w:spacing w:after="10" w:line="240" w:lineRule="exact"/>
                                    <w:rPr>
                                      <w:sz w:val="20"/>
                                      <w:szCs w:val="20"/>
                                    </w:rPr>
                                  </w:pPr>
                                  <w:r>
                                    <w:rPr>
                                      <w:b/>
                                      <w:sz w:val="20"/>
                                      <w:szCs w:val="20"/>
                                    </w:rPr>
                                    <w:t>Stool Helicobacter Antigen Test (SAT):</w:t>
                                  </w:r>
                                  <w:r>
                                    <w:rPr>
                                      <w:sz w:val="20"/>
                                      <w:szCs w:val="20"/>
                                    </w:rPr>
                                    <w:t xml:space="preserve"> check test availa</w:t>
                                  </w:r>
                                  <w:r w:rsidRPr="00301DE8">
                                    <w:rPr>
                                      <w:sz w:val="20"/>
                                      <w:szCs w:val="20"/>
                                    </w:rPr>
                                    <w:t>bility.</w:t>
                                  </w:r>
                                  <w:hyperlink w:anchor="Reference18" w:history="1">
                                    <w:r w:rsidRPr="00301DE8">
                                      <w:rPr>
                                        <w:rStyle w:val="Hyperlink"/>
                                        <w:sz w:val="20"/>
                                        <w:szCs w:val="20"/>
                                        <w:u w:val="none"/>
                                        <w:vertAlign w:val="superscript"/>
                                      </w:rPr>
                                      <w:t>18A+</w:t>
                                    </w:r>
                                  </w:hyperlink>
                                  <w:r w:rsidRPr="00301DE8">
                                    <w:rPr>
                                      <w:sz w:val="20"/>
                                      <w:szCs w:val="20"/>
                                      <w:vertAlign w:val="superscript"/>
                                    </w:rPr>
                                    <w:t>,</w:t>
                                  </w:r>
                                  <w:hyperlink w:anchor="Reference19" w:history="1">
                                    <w:r w:rsidRPr="00301DE8">
                                      <w:rPr>
                                        <w:rStyle w:val="Hyperlink"/>
                                        <w:sz w:val="20"/>
                                        <w:szCs w:val="20"/>
                                        <w:u w:val="none"/>
                                        <w:vertAlign w:val="superscript"/>
                                      </w:rPr>
                                      <w:t>19A+</w:t>
                                    </w:r>
                                  </w:hyperlink>
                                </w:p>
                                <w:p w14:paraId="4812AE08" w14:textId="557C44E8" w:rsidR="00452D42" w:rsidRPr="00B10D07" w:rsidRDefault="00452D42" w:rsidP="003C738D">
                                  <w:pPr>
                                    <w:pStyle w:val="ListParagraph"/>
                                    <w:numPr>
                                      <w:ilvl w:val="0"/>
                                      <w:numId w:val="33"/>
                                    </w:numPr>
                                    <w:spacing w:line="240" w:lineRule="exact"/>
                                    <w:ind w:left="357" w:hanging="357"/>
                                    <w:rPr>
                                      <w:sz w:val="20"/>
                                      <w:szCs w:val="20"/>
                                    </w:rPr>
                                  </w:pPr>
                                  <w:r>
                                    <w:rPr>
                                      <w:sz w:val="20"/>
                                      <w:szCs w:val="20"/>
                                    </w:rPr>
                                    <w:t>p</w:t>
                                  </w:r>
                                  <w:r w:rsidRPr="00B10D07">
                                    <w:rPr>
                                      <w:sz w:val="20"/>
                                      <w:szCs w:val="20"/>
                                    </w:rPr>
                                    <w:t>ea-sized piece of stool</w:t>
                                  </w:r>
                                  <w:r>
                                    <w:rPr>
                                      <w:sz w:val="20"/>
                                      <w:szCs w:val="20"/>
                                    </w:rPr>
                                    <w:t xml:space="preserve"> sent</w:t>
                                  </w:r>
                                  <w:r w:rsidRPr="00B10D07">
                                    <w:rPr>
                                      <w:sz w:val="20"/>
                                      <w:szCs w:val="20"/>
                                    </w:rPr>
                                    <w:t xml:space="preserve"> to local laboratory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4E981051" id="_x0000_s1028" type="#_x0000_t202" style="position:absolute;margin-left:-1.4pt;margin-top:1.95pt;width:338.65pt;height: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" fillcolor="#ffc">
                      <v:textbox>
                        <w:txbxContent>
                          <w:p w14:paraId="42FEE7E2" w14:textId="69273BBB" w:rsidR="00452D42" w:rsidRPr="00F04AB2" w:rsidRDefault="00452D42" w:rsidP="00941946">
                            <w:pPr>
                              <w:spacing w:after="10" w:line="240" w:lineRule="exact"/>
                              <w:rPr>
                                <w:sz w:val="20"/>
                                <w:szCs w:val="20"/>
                              </w:rPr>
                            </w:pPr>
                            <w:r>
                              <w:rPr>
                                <w:b/>
                                <w:sz w:val="20"/>
                                <w:szCs w:val="20"/>
                              </w:rPr>
                              <w:t>Stool Helicobacter Antigen Test (SAT):</w:t>
                            </w:r>
                            <w:r>
                              <w:rPr>
                                <w:sz w:val="20"/>
                                <w:szCs w:val="20"/>
                              </w:rPr>
                              <w:t xml:space="preserve"> check test availa</w:t>
                            </w:r>
                            <w:r w:rsidRPr="00301DE8">
                              <w:rPr>
                                <w:sz w:val="20"/>
                                <w:szCs w:val="20"/>
                              </w:rPr>
                              <w:t>bility.</w:t>
                            </w:r>
                            <w:hyperlink w:anchor="Reference18" w:history="1">
                              <w:r w:rsidRPr="00301DE8">
                                <w:rPr>
                                  <w:rStyle w:val="Hyperlink"/>
                                  <w:sz w:val="20"/>
                                  <w:szCs w:val="20"/>
                                  <w:u w:val="none"/>
                                  <w:vertAlign w:val="superscript"/>
                                </w:rPr>
                                <w:t>18A+</w:t>
                              </w:r>
                            </w:hyperlink>
                            <w:r w:rsidRPr="00301DE8">
                              <w:rPr>
                                <w:sz w:val="20"/>
                                <w:szCs w:val="20"/>
                                <w:vertAlign w:val="superscript"/>
                              </w:rPr>
                              <w:t>,</w:t>
                            </w:r>
                            <w:hyperlink w:anchor="Reference19" w:history="1">
                              <w:r w:rsidRPr="00301DE8">
                                <w:rPr>
                                  <w:rStyle w:val="Hyperlink"/>
                                  <w:sz w:val="20"/>
                                  <w:szCs w:val="20"/>
                                  <w:u w:val="none"/>
                                  <w:vertAlign w:val="superscript"/>
                                </w:rPr>
                                <w:t>19A+</w:t>
                              </w:r>
                            </w:hyperlink>
                          </w:p>
                          <w:p w14:paraId="4812AE08" w14:textId="557C44E8" w:rsidR="00452D42" w:rsidRPr="00B10D07" w:rsidRDefault="00452D42" w:rsidP="003C738D">
                            <w:pPr>
                              <w:pStyle w:val="ListParagraph"/>
                              <w:numPr>
                                <w:ilvl w:val="0"/>
                                <w:numId w:val="33"/>
                              </w:numPr>
                              <w:spacing w:line="240" w:lineRule="exact"/>
                              <w:ind w:left="357" w:hanging="357"/>
                              <w:rPr>
                                <w:sz w:val="20"/>
                                <w:szCs w:val="20"/>
                              </w:rPr>
                            </w:pPr>
                            <w:r>
                              <w:rPr>
                                <w:sz w:val="20"/>
                                <w:szCs w:val="20"/>
                              </w:rPr>
                              <w:t>p</w:t>
                            </w:r>
                            <w:r w:rsidRPr="00B10D07">
                              <w:rPr>
                                <w:sz w:val="20"/>
                                <w:szCs w:val="20"/>
                              </w:rPr>
                              <w:t>ea-sized piece of stool</w:t>
                            </w:r>
                            <w:r>
                              <w:rPr>
                                <w:sz w:val="20"/>
                                <w:szCs w:val="20"/>
                              </w:rPr>
                              <w:t xml:space="preserve"> sent</w:t>
                            </w:r>
                            <w:r w:rsidRPr="00B10D07">
                              <w:rPr>
                                <w:sz w:val="20"/>
                                <w:szCs w:val="20"/>
                              </w:rPr>
                              <w:t xml:space="preserve"> to local laboratory</w:t>
                            </w:r>
                          </w:p>
                        </w:txbxContent>
                      </v:textbox>
                    </v:shape>
                  </w:pict>
                </mc:Fallback>
              </mc:AlternateContent>
            </w:r>
          </w:p>
          <w:p w14:paraId="4FA62A78" w14:textId="7BF1B6F5" w:rsidR="004C68A2" w:rsidRDefault="004C68A2" w:rsidP="004C68A2">
            <w:pPr>
              <w:pStyle w:val="PHEBulletpoint"/>
              <w:numPr>
                <w:ilvl w:val="0"/>
                <w:numId w:val="0"/>
              </w:numPr>
              <w:spacing w:after="10" w:line="300" w:lineRule="exact"/>
              <w:rPr>
                <w:b/>
              </w:rPr>
            </w:pPr>
          </w:p>
          <w:p w14:paraId="34B80B85" w14:textId="63A7A17C" w:rsidR="004C68A2" w:rsidRDefault="00786C9D" w:rsidP="004C68A2">
            <w:pPr>
              <w:pStyle w:val="PHEBulletpoint"/>
              <w:numPr>
                <w:ilvl w:val="0"/>
                <w:numId w:val="0"/>
              </w:numPr>
              <w:spacing w:after="10" w:line="300" w:lineRule="exact"/>
              <w:rPr>
                <w:b/>
              </w:rPr>
            </w:pPr>
            <w:r w:rsidRPr="004C68A2">
              <w:rPr>
                <w:b/>
                <w:noProof/>
                <w:lang w:eastAsia="en-GB"/>
              </w:rPr>
              <mc:AlternateContent>
                <mc:Choice Requires="wps">
                  <w:drawing>
                    <wp:anchor distT="0" distB="0" distL="114300" distR="114300" simplePos="0" relativeHeight="251754496" behindDoc="0" locked="0" layoutInCell="1" allowOverlap="1" wp14:anchorId="30EAF853" wp14:editId="261F8D41">
                      <wp:simplePos x="0" y="0"/>
                      <wp:positionH relativeFrom="column">
                        <wp:posOffset>4702810</wp:posOffset>
                      </wp:positionH>
                      <wp:positionV relativeFrom="paragraph">
                        <wp:posOffset>159385</wp:posOffset>
                      </wp:positionV>
                      <wp:extent cx="2140585" cy="577850"/>
                      <wp:effectExtent l="0" t="0" r="1206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577850"/>
                              </a:xfrm>
                              <a:prstGeom prst="rect">
                                <a:avLst/>
                              </a:prstGeom>
                              <a:solidFill>
                                <a:schemeClr val="accent2">
                                  <a:lumMod val="40000"/>
                                  <a:lumOff val="60000"/>
                                </a:schemeClr>
                              </a:solidFill>
                              <a:ln w="9525">
                                <a:solidFill>
                                  <a:srgbClr val="000000"/>
                                </a:solidFill>
                                <a:miter lim="800000"/>
                                <a:headEnd/>
                                <a:tailEnd/>
                              </a:ln>
                            </wps:spPr>
                            <wps:txbx>
                              <w:txbxContent>
                                <w:p w14:paraId="1070EEFE" w14:textId="63BC2E57" w:rsidR="00452D42" w:rsidRPr="00786C9D" w:rsidRDefault="00452D42" w:rsidP="00786C9D">
                                  <w:pPr>
                                    <w:spacing w:line="240" w:lineRule="exact"/>
                                    <w:rPr>
                                      <w:sz w:val="20"/>
                                      <w:szCs w:val="20"/>
                                    </w:rPr>
                                  </w:pPr>
                                  <w:r>
                                    <w:rPr>
                                      <w:b/>
                                      <w:sz w:val="20"/>
                                      <w:szCs w:val="20"/>
                                    </w:rPr>
                                    <w:t>D</w:t>
                                  </w:r>
                                  <w:r w:rsidRPr="00301DE8">
                                    <w:rPr>
                                      <w:b/>
                                      <w:sz w:val="20"/>
                                      <w:szCs w:val="20"/>
                                    </w:rPr>
                                    <w:t>O NOT</w:t>
                                  </w:r>
                                  <w:r w:rsidRPr="00301DE8">
                                    <w:rPr>
                                      <w:sz w:val="20"/>
                                      <w:szCs w:val="20"/>
                                    </w:rPr>
                                    <w:t xml:space="preserve"> use</w:t>
                                  </w:r>
                                  <w:r w:rsidRPr="00301DE8">
                                    <w:rPr>
                                      <w:b/>
                                      <w:sz w:val="20"/>
                                      <w:szCs w:val="20"/>
                                    </w:rPr>
                                    <w:t xml:space="preserve"> </w:t>
                                  </w:r>
                                  <w:r w:rsidRPr="00301DE8">
                                    <w:rPr>
                                      <w:sz w:val="20"/>
                                      <w:szCs w:val="20"/>
                                    </w:rPr>
                                    <w:t>near patient serology tests, as they are not accurate.</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16" w:history="1">
                                    <w:r w:rsidRPr="00301DE8">
                                      <w:rPr>
                                        <w:rStyle w:val="Hyperlink"/>
                                        <w:sz w:val="20"/>
                                        <w:szCs w:val="20"/>
                                        <w:u w:val="none"/>
                                        <w:vertAlign w:val="superscript"/>
                                      </w:rPr>
                                      <w:t>16A-</w:t>
                                    </w:r>
                                  </w:hyperlink>
                                </w:p>
                                <w:p w14:paraId="578D52A0" w14:textId="77777777" w:rsidR="00452D42" w:rsidRDefault="00452D42" w:rsidP="00786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30EAF853" id="_x0000_s1029" type="#_x0000_t202" style="position:absolute;margin-left:370.3pt;margin-top:12.55pt;width:168.55pt;height: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" fillcolor="#e5b8b7 [1301]">
                      <v:textbox>
                        <w:txbxContent>
                          <w:p w14:paraId="1070EEFE" w14:textId="63BC2E57" w:rsidR="00452D42" w:rsidRPr="00786C9D" w:rsidRDefault="00452D42" w:rsidP="00786C9D">
                            <w:pPr>
                              <w:spacing w:line="240" w:lineRule="exact"/>
                              <w:rPr>
                                <w:sz w:val="20"/>
                                <w:szCs w:val="20"/>
                              </w:rPr>
                            </w:pPr>
                            <w:r>
                              <w:rPr>
                                <w:b/>
                                <w:sz w:val="20"/>
                                <w:szCs w:val="20"/>
                              </w:rPr>
                              <w:t>D</w:t>
                            </w:r>
                            <w:r w:rsidRPr="00301DE8">
                              <w:rPr>
                                <w:b/>
                                <w:sz w:val="20"/>
                                <w:szCs w:val="20"/>
                              </w:rPr>
                              <w:t>O NOT</w:t>
                            </w:r>
                            <w:r w:rsidRPr="00301DE8">
                              <w:rPr>
                                <w:sz w:val="20"/>
                                <w:szCs w:val="20"/>
                              </w:rPr>
                              <w:t xml:space="preserve"> use</w:t>
                            </w:r>
                            <w:r w:rsidRPr="00301DE8">
                              <w:rPr>
                                <w:b/>
                                <w:sz w:val="20"/>
                                <w:szCs w:val="20"/>
                              </w:rPr>
                              <w:t xml:space="preserve"> </w:t>
                            </w:r>
                            <w:r w:rsidRPr="00301DE8">
                              <w:rPr>
                                <w:sz w:val="20"/>
                                <w:szCs w:val="20"/>
                              </w:rPr>
                              <w:t>near patient serology tests, as they are not accurate.</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16" w:history="1">
                              <w:r w:rsidRPr="00301DE8">
                                <w:rPr>
                                  <w:rStyle w:val="Hyperlink"/>
                                  <w:sz w:val="20"/>
                                  <w:szCs w:val="20"/>
                                  <w:u w:val="none"/>
                                  <w:vertAlign w:val="superscript"/>
                                </w:rPr>
                                <w:t>16A-</w:t>
                              </w:r>
                            </w:hyperlink>
                          </w:p>
                          <w:p w14:paraId="578D52A0" w14:textId="77777777" w:rsidR="00452D42" w:rsidRDefault="00452D42" w:rsidP="00786C9D"/>
                        </w:txbxContent>
                      </v:textbox>
                    </v:shape>
                  </w:pict>
                </mc:Fallback>
              </mc:AlternateContent>
            </w:r>
            <w:r w:rsidR="00B10D07" w:rsidRPr="004C68A2">
              <w:rPr>
                <w:b/>
                <w:noProof/>
                <w:lang w:eastAsia="en-GB"/>
              </w:rPr>
              <mc:AlternateContent>
                <mc:Choice Requires="wps">
                  <w:drawing>
                    <wp:anchor distT="0" distB="0" distL="114300" distR="114300" simplePos="0" relativeHeight="251665408" behindDoc="0" locked="0" layoutInCell="1" allowOverlap="1" wp14:anchorId="04D3EE88" wp14:editId="7DBFF44B">
                      <wp:simplePos x="0" y="0"/>
                      <wp:positionH relativeFrom="column">
                        <wp:posOffset>-17145</wp:posOffset>
                      </wp:positionH>
                      <wp:positionV relativeFrom="paragraph">
                        <wp:posOffset>161290</wp:posOffset>
                      </wp:positionV>
                      <wp:extent cx="4307205" cy="1483360"/>
                      <wp:effectExtent l="0" t="0" r="17145"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483360"/>
                              </a:xfrm>
                              <a:prstGeom prst="rect">
                                <a:avLst/>
                              </a:prstGeom>
                              <a:solidFill>
                                <a:srgbClr val="FFFFCC"/>
                              </a:solidFill>
                              <a:ln w="9525">
                                <a:solidFill>
                                  <a:srgbClr val="000000"/>
                                </a:solidFill>
                                <a:miter lim="800000"/>
                                <a:headEnd/>
                                <a:tailEnd/>
                              </a:ln>
                            </wps:spPr>
                            <wps:txbx>
                              <w:txbxContent>
                                <w:p w14:paraId="7B291132" w14:textId="2596F7AB" w:rsidR="00452D42" w:rsidRPr="00301DE8" w:rsidRDefault="00452D42" w:rsidP="00071B87">
                                  <w:pPr>
                                    <w:spacing w:line="240" w:lineRule="exact"/>
                                    <w:ind w:right="-183"/>
                                    <w:rPr>
                                      <w:color w:val="9C002A"/>
                                      <w:sz w:val="20"/>
                                      <w:szCs w:val="20"/>
                                    </w:rPr>
                                  </w:pPr>
                                  <w:r>
                                    <w:rPr>
                                      <w:b/>
                                      <w:sz w:val="20"/>
                                      <w:szCs w:val="20"/>
                                    </w:rPr>
                                    <w:t>Serology:</w:t>
                                  </w:r>
                                  <w:r>
                                    <w:rPr>
                                      <w:sz w:val="20"/>
                                      <w:szCs w:val="20"/>
                                    </w:rPr>
                                    <w:t xml:space="preserve"> whole blood in plain bottle; low cost, lower </w:t>
                                  </w:r>
                                  <w:r w:rsidRPr="00301DE8">
                                    <w:rPr>
                                      <w:sz w:val="20"/>
                                      <w:szCs w:val="20"/>
                                    </w:rPr>
                                    <w:t>accuracy.</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16" w:history="1">
                                    <w:r w:rsidRPr="00301DE8">
                                      <w:rPr>
                                        <w:rStyle w:val="Hyperlink"/>
                                        <w:sz w:val="20"/>
                                        <w:szCs w:val="20"/>
                                        <w:u w:val="none"/>
                                        <w:vertAlign w:val="superscript"/>
                                      </w:rPr>
                                      <w:t>16A-</w:t>
                                    </w:r>
                                  </w:hyperlink>
                                  <w:r w:rsidRPr="00301DE8">
                                    <w:rPr>
                                      <w:sz w:val="20"/>
                                      <w:szCs w:val="20"/>
                                      <w:vertAlign w:val="superscript"/>
                                    </w:rPr>
                                    <w:t>,</w:t>
                                  </w:r>
                                  <w:hyperlink w:anchor="Reference23" w:history="1">
                                    <w:r w:rsidRPr="00301DE8">
                                      <w:rPr>
                                        <w:rStyle w:val="Hyperlink"/>
                                        <w:sz w:val="20"/>
                                        <w:szCs w:val="20"/>
                                        <w:u w:val="none"/>
                                        <w:vertAlign w:val="superscript"/>
                                      </w:rPr>
                                      <w:t>23A+</w:t>
                                    </w:r>
                                  </w:hyperlink>
                                </w:p>
                                <w:p w14:paraId="718593D6" w14:textId="355F7250" w:rsidR="00452D42" w:rsidRPr="00301DE8" w:rsidRDefault="00452D42" w:rsidP="00071B87">
                                  <w:pPr>
                                    <w:pStyle w:val="ListParagraph"/>
                                    <w:numPr>
                                      <w:ilvl w:val="0"/>
                                      <w:numId w:val="33"/>
                                    </w:numPr>
                                    <w:spacing w:line="240" w:lineRule="exact"/>
                                    <w:ind w:left="357" w:right="-183" w:hanging="357"/>
                                    <w:rPr>
                                      <w:sz w:val="20"/>
                                      <w:szCs w:val="20"/>
                                    </w:rPr>
                                  </w:pPr>
                                  <w:r w:rsidRPr="00301DE8">
                                    <w:rPr>
                                      <w:sz w:val="20"/>
                                      <w:szCs w:val="20"/>
                                    </w:rPr>
                                    <w:t xml:space="preserve">not recommended for most patients, and positives should </w:t>
                                  </w:r>
                                  <w:proofErr w:type="gramStart"/>
                                  <w:r w:rsidRPr="00301DE8">
                                    <w:rPr>
                                      <w:sz w:val="20"/>
                                      <w:szCs w:val="20"/>
                                    </w:rPr>
                                    <w:t xml:space="preserve">be </w:t>
                                  </w:r>
                                  <w:r>
                                    <w:rPr>
                                      <w:sz w:val="20"/>
                                      <w:szCs w:val="20"/>
                                    </w:rPr>
                                    <w:t xml:space="preserve"> </w:t>
                                  </w:r>
                                  <w:r w:rsidRPr="00301DE8">
                                    <w:rPr>
                                      <w:sz w:val="20"/>
                                      <w:szCs w:val="20"/>
                                    </w:rPr>
                                    <w:t>confirmed</w:t>
                                  </w:r>
                                  <w:proofErr w:type="gramEnd"/>
                                  <w:r w:rsidRPr="00301DE8">
                                    <w:rPr>
                                      <w:sz w:val="20"/>
                                      <w:szCs w:val="20"/>
                                    </w:rPr>
                                    <w:t xml:space="preserve"> by a second test such as UBT, SAT</w:t>
                                  </w:r>
                                  <w:hyperlink w:anchor="Reference24" w:history="1">
                                    <w:r w:rsidRPr="00301DE8">
                                      <w:rPr>
                                        <w:rStyle w:val="Hyperlink"/>
                                        <w:sz w:val="20"/>
                                        <w:szCs w:val="20"/>
                                        <w:u w:val="none"/>
                                        <w:vertAlign w:val="superscript"/>
                                      </w:rPr>
                                      <w:t>24D</w:t>
                                    </w:r>
                                  </w:hyperlink>
                                  <w:r w:rsidRPr="00301DE8">
                                    <w:rPr>
                                      <w:sz w:val="20"/>
                                      <w:szCs w:val="20"/>
                                    </w:rPr>
                                    <w:t xml:space="preserve"> or biopsy</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15" w:history="1">
                                    <w:r w:rsidRPr="00301DE8">
                                      <w:rPr>
                                        <w:rStyle w:val="Hyperlink"/>
                                        <w:sz w:val="20"/>
                                        <w:szCs w:val="20"/>
                                        <w:u w:val="none"/>
                                        <w:vertAlign w:val="superscript"/>
                                      </w:rPr>
                                      <w:t>15A+</w:t>
                                    </w:r>
                                  </w:hyperlink>
                                </w:p>
                                <w:p w14:paraId="248F1658" w14:textId="0C982CDA" w:rsidR="00452D42" w:rsidRPr="00301DE8" w:rsidRDefault="00452D42" w:rsidP="00071B87">
                                  <w:pPr>
                                    <w:pStyle w:val="ListParagraph"/>
                                    <w:numPr>
                                      <w:ilvl w:val="0"/>
                                      <w:numId w:val="33"/>
                                    </w:numPr>
                                    <w:spacing w:line="240" w:lineRule="exact"/>
                                    <w:ind w:left="357" w:right="-183" w:hanging="357"/>
                                    <w:rPr>
                                      <w:sz w:val="20"/>
                                      <w:szCs w:val="20"/>
                                    </w:rPr>
                                  </w:pPr>
                                  <w:r w:rsidRPr="00301DE8">
                                    <w:rPr>
                                      <w:sz w:val="20"/>
                                      <w:szCs w:val="20"/>
                                    </w:rPr>
                                    <w:t>has very good negative predictive value at current; low prevalence in the developed countries</w:t>
                                  </w:r>
                                  <w:hyperlink w:anchor="Reference7" w:history="1">
                                    <w:r w:rsidRPr="00301DE8">
                                      <w:rPr>
                                        <w:rStyle w:val="Hyperlink"/>
                                        <w:sz w:val="20"/>
                                        <w:szCs w:val="20"/>
                                        <w:u w:val="none"/>
                                        <w:vertAlign w:val="superscript"/>
                                      </w:rPr>
                                      <w:t>7B+</w:t>
                                    </w:r>
                                  </w:hyperlink>
                                  <w:r w:rsidRPr="00301DE8">
                                    <w:rPr>
                                      <w:sz w:val="20"/>
                                      <w:szCs w:val="20"/>
                                      <w:vertAlign w:val="superscript"/>
                                    </w:rPr>
                                    <w:t>,</w:t>
                                  </w:r>
                                  <w:hyperlink w:anchor="Reference8" w:history="1">
                                    <w:r w:rsidRPr="00301DE8">
                                      <w:rPr>
                                        <w:rStyle w:val="Hyperlink"/>
                                        <w:sz w:val="20"/>
                                        <w:szCs w:val="20"/>
                                        <w:u w:val="none"/>
                                        <w:vertAlign w:val="superscript"/>
                                      </w:rPr>
                                      <w:t>8B-</w:t>
                                    </w:r>
                                  </w:hyperlink>
                                  <w:r w:rsidRPr="00301DE8">
                                    <w:rPr>
                                      <w:sz w:val="20"/>
                                      <w:szCs w:val="20"/>
                                      <w:vertAlign w:val="superscript"/>
                                    </w:rPr>
                                    <w:t>,</w:t>
                                  </w:r>
                                  <w:hyperlink w:anchor="Reference9" w:history="1">
                                    <w:r w:rsidRPr="00301DE8">
                                      <w:rPr>
                                        <w:rStyle w:val="Hyperlink"/>
                                        <w:sz w:val="20"/>
                                        <w:szCs w:val="20"/>
                                        <w:u w:val="none"/>
                                        <w:vertAlign w:val="superscript"/>
                                      </w:rPr>
                                      <w:t>9B+</w:t>
                                    </w:r>
                                  </w:hyperlink>
                                  <w:r w:rsidRPr="00301DE8">
                                    <w:rPr>
                                      <w:sz w:val="20"/>
                                      <w:szCs w:val="20"/>
                                      <w:vertAlign w:val="superscript"/>
                                    </w:rPr>
                                    <w:t>,</w:t>
                                  </w:r>
                                  <w:hyperlink w:anchor="Reference10" w:history="1">
                                    <w:r w:rsidRPr="00301DE8">
                                      <w:rPr>
                                        <w:rStyle w:val="Hyperlink"/>
                                        <w:sz w:val="20"/>
                                        <w:szCs w:val="20"/>
                                        <w:u w:val="none"/>
                                        <w:vertAlign w:val="superscript"/>
                                      </w:rPr>
                                      <w:t>10B+</w:t>
                                    </w:r>
                                  </w:hyperlink>
                                  <w:r w:rsidRPr="00301DE8">
                                    <w:rPr>
                                      <w:sz w:val="20"/>
                                      <w:szCs w:val="20"/>
                                      <w:vertAlign w:val="superscript"/>
                                    </w:rPr>
                                    <w:t>,</w:t>
                                  </w:r>
                                  <w:hyperlink w:anchor="Reference11" w:history="1">
                                    <w:r w:rsidRPr="00301DE8">
                                      <w:rPr>
                                        <w:rStyle w:val="Hyperlink"/>
                                        <w:sz w:val="20"/>
                                        <w:szCs w:val="20"/>
                                        <w:u w:val="none"/>
                                        <w:vertAlign w:val="superscript"/>
                                      </w:rPr>
                                      <w:t>11D</w:t>
                                    </w:r>
                                  </w:hyperlink>
                                </w:p>
                                <w:p w14:paraId="71812A17" w14:textId="41B77064" w:rsidR="00452D42" w:rsidRPr="00301DE8" w:rsidRDefault="00452D42" w:rsidP="00071B87">
                                  <w:pPr>
                                    <w:pStyle w:val="ListParagraph"/>
                                    <w:numPr>
                                      <w:ilvl w:val="0"/>
                                      <w:numId w:val="33"/>
                                    </w:numPr>
                                    <w:spacing w:line="240" w:lineRule="exact"/>
                                    <w:ind w:left="357" w:right="-183" w:hanging="357"/>
                                    <w:rPr>
                                      <w:sz w:val="20"/>
                                      <w:szCs w:val="20"/>
                                    </w:rPr>
                                  </w:pPr>
                                  <w:r w:rsidRPr="00301DE8">
                                    <w:rPr>
                                      <w:sz w:val="20"/>
                                      <w:szCs w:val="20"/>
                                    </w:rPr>
                                    <w:t>most useful in patients with acute gastrointestinal bleed</w:t>
                                  </w:r>
                                  <w:r>
                                    <w:rPr>
                                      <w:sz w:val="20"/>
                                      <w:szCs w:val="20"/>
                                    </w:rPr>
                                    <w:t>, to confirm negative UBT or SAT,</w:t>
                                  </w:r>
                                  <w:r w:rsidRPr="00301DE8">
                                    <w:rPr>
                                      <w:sz w:val="20"/>
                                      <w:szCs w:val="20"/>
                                    </w:rPr>
                                    <w:t xml:space="preserve"> when blood and PP</w:t>
                                  </w:r>
                                  <w:r>
                                    <w:rPr>
                                      <w:sz w:val="20"/>
                                      <w:szCs w:val="20"/>
                                    </w:rPr>
                                    <w:t>I use interacts with tests</w:t>
                                  </w:r>
                                  <w:hyperlink w:anchor="Reference19" w:history="1">
                                    <w:r w:rsidRPr="00301DE8">
                                      <w:rPr>
                                        <w:rStyle w:val="Hyperlink"/>
                                        <w:sz w:val="20"/>
                                        <w:szCs w:val="20"/>
                                        <w:u w:val="none"/>
                                        <w:vertAlign w:val="superscript"/>
                                      </w:rPr>
                                      <w:t>19A+</w:t>
                                    </w:r>
                                  </w:hyperlink>
                                </w:p>
                                <w:p w14:paraId="7C32CECA" w14:textId="7D697002" w:rsidR="00452D42" w:rsidRPr="00301DE8" w:rsidRDefault="00452D42" w:rsidP="00071B87">
                                  <w:pPr>
                                    <w:pStyle w:val="ListParagraph"/>
                                    <w:numPr>
                                      <w:ilvl w:val="0"/>
                                      <w:numId w:val="33"/>
                                    </w:numPr>
                                    <w:spacing w:line="240" w:lineRule="exact"/>
                                    <w:ind w:left="357" w:right="-183" w:hanging="357"/>
                                    <w:rPr>
                                      <w:sz w:val="20"/>
                                      <w:szCs w:val="20"/>
                                    </w:rPr>
                                  </w:pPr>
                                  <w:r w:rsidRPr="00301DE8">
                                    <w:rPr>
                                      <w:sz w:val="20"/>
                                      <w:szCs w:val="20"/>
                                    </w:rPr>
                                    <w:t>detects IgG antibody;</w:t>
                                  </w:r>
                                  <w:hyperlink w:anchor="Reference25" w:history="1">
                                    <w:r w:rsidRPr="00301DE8">
                                      <w:rPr>
                                        <w:rStyle w:val="Hyperlink"/>
                                        <w:sz w:val="20"/>
                                        <w:szCs w:val="20"/>
                                        <w:u w:val="none"/>
                                        <w:vertAlign w:val="superscript"/>
                                      </w:rPr>
                                      <w:t>25A+</w:t>
                                    </w:r>
                                  </w:hyperlink>
                                  <w:r w:rsidRPr="00301DE8">
                                    <w:rPr>
                                      <w:sz w:val="20"/>
                                      <w:szCs w:val="20"/>
                                    </w:rPr>
                                    <w:t xml:space="preserve"> does not differentiate active from past infection</w:t>
                                  </w:r>
                                  <w:hyperlink w:anchor="Reference19" w:history="1">
                                    <w:r w:rsidRPr="00301DE8">
                                      <w:rPr>
                                        <w:rStyle w:val="Hyperlink"/>
                                        <w:sz w:val="20"/>
                                        <w:szCs w:val="20"/>
                                        <w:u w:val="none"/>
                                        <w:vertAlign w:val="superscript"/>
                                      </w:rPr>
                                      <w:t>19A+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04D3EE88" id="_x0000_s1030" type="#_x0000_t202" style="position:absolute;margin-left:-1.35pt;margin-top:12.7pt;width:339.15pt;height:1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" fillcolor="#ffc">
                      <v:textbox>
                        <w:txbxContent>
                          <w:p w14:paraId="7B291132" w14:textId="2596F7AB" w:rsidR="00452D42" w:rsidRPr="00301DE8" w:rsidRDefault="00452D42" w:rsidP="00071B87">
                            <w:pPr>
                              <w:spacing w:line="240" w:lineRule="exact"/>
                              <w:ind w:right="-183"/>
                              <w:rPr>
                                <w:color w:val="9C002A"/>
                                <w:sz w:val="20"/>
                                <w:szCs w:val="20"/>
                              </w:rPr>
                            </w:pPr>
                            <w:r>
                              <w:rPr>
                                <w:b/>
                                <w:sz w:val="20"/>
                                <w:szCs w:val="20"/>
                              </w:rPr>
                              <w:t>Serology:</w:t>
                            </w:r>
                            <w:r>
                              <w:rPr>
                                <w:sz w:val="20"/>
                                <w:szCs w:val="20"/>
                              </w:rPr>
                              <w:t xml:space="preserve"> whole blood in plain bottle; low cost, lower </w:t>
                            </w:r>
                            <w:r w:rsidRPr="00301DE8">
                              <w:rPr>
                                <w:sz w:val="20"/>
                                <w:szCs w:val="20"/>
                              </w:rPr>
                              <w:t>accuracy.</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16" w:history="1">
                              <w:r w:rsidRPr="00301DE8">
                                <w:rPr>
                                  <w:rStyle w:val="Hyperlink"/>
                                  <w:sz w:val="20"/>
                                  <w:szCs w:val="20"/>
                                  <w:u w:val="none"/>
                                  <w:vertAlign w:val="superscript"/>
                                </w:rPr>
                                <w:t>16A-</w:t>
                              </w:r>
                            </w:hyperlink>
                            <w:r w:rsidRPr="00301DE8">
                              <w:rPr>
                                <w:sz w:val="20"/>
                                <w:szCs w:val="20"/>
                                <w:vertAlign w:val="superscript"/>
                              </w:rPr>
                              <w:t>,</w:t>
                            </w:r>
                            <w:hyperlink w:anchor="Reference23" w:history="1">
                              <w:r w:rsidRPr="00301DE8">
                                <w:rPr>
                                  <w:rStyle w:val="Hyperlink"/>
                                  <w:sz w:val="20"/>
                                  <w:szCs w:val="20"/>
                                  <w:u w:val="none"/>
                                  <w:vertAlign w:val="superscript"/>
                                </w:rPr>
                                <w:t>23A+</w:t>
                              </w:r>
                            </w:hyperlink>
                          </w:p>
                          <w:p w14:paraId="718593D6" w14:textId="355F7250" w:rsidR="00452D42" w:rsidRPr="00301DE8" w:rsidRDefault="00452D42" w:rsidP="00071B87">
                            <w:pPr>
                              <w:pStyle w:val="ListParagraph"/>
                              <w:numPr>
                                <w:ilvl w:val="0"/>
                                <w:numId w:val="33"/>
                              </w:numPr>
                              <w:spacing w:line="240" w:lineRule="exact"/>
                              <w:ind w:left="357" w:right="-183" w:hanging="357"/>
                              <w:rPr>
                                <w:sz w:val="20"/>
                                <w:szCs w:val="20"/>
                              </w:rPr>
                            </w:pPr>
                            <w:r w:rsidRPr="00301DE8">
                              <w:rPr>
                                <w:sz w:val="20"/>
                                <w:szCs w:val="20"/>
                              </w:rPr>
                              <w:t xml:space="preserve">not recommended for most patients, and positives should be </w:t>
                            </w:r>
                            <w:r>
                              <w:rPr>
                                <w:sz w:val="20"/>
                                <w:szCs w:val="20"/>
                              </w:rPr>
                              <w:t xml:space="preserve"> </w:t>
                            </w:r>
                            <w:r w:rsidRPr="00301DE8">
                              <w:rPr>
                                <w:sz w:val="20"/>
                                <w:szCs w:val="20"/>
                              </w:rPr>
                              <w:t>confirmed by a second test such as UBT, SAT</w:t>
                            </w:r>
                            <w:hyperlink w:anchor="Reference24" w:history="1">
                              <w:r w:rsidRPr="00301DE8">
                                <w:rPr>
                                  <w:rStyle w:val="Hyperlink"/>
                                  <w:sz w:val="20"/>
                                  <w:szCs w:val="20"/>
                                  <w:u w:val="none"/>
                                  <w:vertAlign w:val="superscript"/>
                                </w:rPr>
                                <w:t>24D</w:t>
                              </w:r>
                            </w:hyperlink>
                            <w:r w:rsidRPr="00301DE8">
                              <w:rPr>
                                <w:sz w:val="20"/>
                                <w:szCs w:val="20"/>
                              </w:rPr>
                              <w:t xml:space="preserve"> or biopsy</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15" w:history="1">
                              <w:r w:rsidRPr="00301DE8">
                                <w:rPr>
                                  <w:rStyle w:val="Hyperlink"/>
                                  <w:sz w:val="20"/>
                                  <w:szCs w:val="20"/>
                                  <w:u w:val="none"/>
                                  <w:vertAlign w:val="superscript"/>
                                </w:rPr>
                                <w:t>15A+</w:t>
                              </w:r>
                            </w:hyperlink>
                          </w:p>
                          <w:p w14:paraId="248F1658" w14:textId="0C982CDA" w:rsidR="00452D42" w:rsidRPr="00301DE8" w:rsidRDefault="00452D42" w:rsidP="00071B87">
                            <w:pPr>
                              <w:pStyle w:val="ListParagraph"/>
                              <w:numPr>
                                <w:ilvl w:val="0"/>
                                <w:numId w:val="33"/>
                              </w:numPr>
                              <w:spacing w:line="240" w:lineRule="exact"/>
                              <w:ind w:left="357" w:right="-183" w:hanging="357"/>
                              <w:rPr>
                                <w:sz w:val="20"/>
                                <w:szCs w:val="20"/>
                              </w:rPr>
                            </w:pPr>
                            <w:r w:rsidRPr="00301DE8">
                              <w:rPr>
                                <w:sz w:val="20"/>
                                <w:szCs w:val="20"/>
                              </w:rPr>
                              <w:t>has very good negative predictive value at current; low prevalence in the developed countries</w:t>
                            </w:r>
                            <w:hyperlink w:anchor="Reference7" w:history="1">
                              <w:r w:rsidRPr="00301DE8">
                                <w:rPr>
                                  <w:rStyle w:val="Hyperlink"/>
                                  <w:sz w:val="20"/>
                                  <w:szCs w:val="20"/>
                                  <w:u w:val="none"/>
                                  <w:vertAlign w:val="superscript"/>
                                </w:rPr>
                                <w:t>7B+</w:t>
                              </w:r>
                            </w:hyperlink>
                            <w:r w:rsidRPr="00301DE8">
                              <w:rPr>
                                <w:sz w:val="20"/>
                                <w:szCs w:val="20"/>
                                <w:vertAlign w:val="superscript"/>
                              </w:rPr>
                              <w:t>,</w:t>
                            </w:r>
                            <w:hyperlink w:anchor="Reference8" w:history="1">
                              <w:r w:rsidRPr="00301DE8">
                                <w:rPr>
                                  <w:rStyle w:val="Hyperlink"/>
                                  <w:sz w:val="20"/>
                                  <w:szCs w:val="20"/>
                                  <w:u w:val="none"/>
                                  <w:vertAlign w:val="superscript"/>
                                </w:rPr>
                                <w:t>8B-</w:t>
                              </w:r>
                            </w:hyperlink>
                            <w:r w:rsidRPr="00301DE8">
                              <w:rPr>
                                <w:sz w:val="20"/>
                                <w:szCs w:val="20"/>
                                <w:vertAlign w:val="superscript"/>
                              </w:rPr>
                              <w:t>,</w:t>
                            </w:r>
                            <w:hyperlink w:anchor="Reference9" w:history="1">
                              <w:r w:rsidRPr="00301DE8">
                                <w:rPr>
                                  <w:rStyle w:val="Hyperlink"/>
                                  <w:sz w:val="20"/>
                                  <w:szCs w:val="20"/>
                                  <w:u w:val="none"/>
                                  <w:vertAlign w:val="superscript"/>
                                </w:rPr>
                                <w:t>9B+</w:t>
                              </w:r>
                            </w:hyperlink>
                            <w:r w:rsidRPr="00301DE8">
                              <w:rPr>
                                <w:sz w:val="20"/>
                                <w:szCs w:val="20"/>
                                <w:vertAlign w:val="superscript"/>
                              </w:rPr>
                              <w:t>,</w:t>
                            </w:r>
                            <w:hyperlink w:anchor="Reference10" w:history="1">
                              <w:r w:rsidRPr="00301DE8">
                                <w:rPr>
                                  <w:rStyle w:val="Hyperlink"/>
                                  <w:sz w:val="20"/>
                                  <w:szCs w:val="20"/>
                                  <w:u w:val="none"/>
                                  <w:vertAlign w:val="superscript"/>
                                </w:rPr>
                                <w:t>10B+</w:t>
                              </w:r>
                            </w:hyperlink>
                            <w:r w:rsidRPr="00301DE8">
                              <w:rPr>
                                <w:sz w:val="20"/>
                                <w:szCs w:val="20"/>
                                <w:vertAlign w:val="superscript"/>
                              </w:rPr>
                              <w:t>,</w:t>
                            </w:r>
                            <w:hyperlink w:anchor="Reference11" w:history="1">
                              <w:r w:rsidRPr="00301DE8">
                                <w:rPr>
                                  <w:rStyle w:val="Hyperlink"/>
                                  <w:sz w:val="20"/>
                                  <w:szCs w:val="20"/>
                                  <w:u w:val="none"/>
                                  <w:vertAlign w:val="superscript"/>
                                </w:rPr>
                                <w:t>11D</w:t>
                              </w:r>
                            </w:hyperlink>
                          </w:p>
                          <w:p w14:paraId="71812A17" w14:textId="41B77064" w:rsidR="00452D42" w:rsidRPr="00301DE8" w:rsidRDefault="00452D42" w:rsidP="00071B87">
                            <w:pPr>
                              <w:pStyle w:val="ListParagraph"/>
                              <w:numPr>
                                <w:ilvl w:val="0"/>
                                <w:numId w:val="33"/>
                              </w:numPr>
                              <w:spacing w:line="240" w:lineRule="exact"/>
                              <w:ind w:left="357" w:right="-183" w:hanging="357"/>
                              <w:rPr>
                                <w:sz w:val="20"/>
                                <w:szCs w:val="20"/>
                              </w:rPr>
                            </w:pPr>
                            <w:r w:rsidRPr="00301DE8">
                              <w:rPr>
                                <w:sz w:val="20"/>
                                <w:szCs w:val="20"/>
                              </w:rPr>
                              <w:t>most useful in patients with acute gastrointestinal bleed</w:t>
                            </w:r>
                            <w:r>
                              <w:rPr>
                                <w:sz w:val="20"/>
                                <w:szCs w:val="20"/>
                              </w:rPr>
                              <w:t>, to confirm negative UBT or SAT,</w:t>
                            </w:r>
                            <w:r w:rsidRPr="00301DE8">
                              <w:rPr>
                                <w:sz w:val="20"/>
                                <w:szCs w:val="20"/>
                              </w:rPr>
                              <w:t xml:space="preserve"> when blood and PP</w:t>
                            </w:r>
                            <w:r>
                              <w:rPr>
                                <w:sz w:val="20"/>
                                <w:szCs w:val="20"/>
                              </w:rPr>
                              <w:t>I use interacts with tests</w:t>
                            </w:r>
                            <w:hyperlink w:anchor="Reference19" w:history="1">
                              <w:r w:rsidRPr="00301DE8">
                                <w:rPr>
                                  <w:rStyle w:val="Hyperlink"/>
                                  <w:sz w:val="20"/>
                                  <w:szCs w:val="20"/>
                                  <w:u w:val="none"/>
                                  <w:vertAlign w:val="superscript"/>
                                </w:rPr>
                                <w:t>19A+</w:t>
                              </w:r>
                            </w:hyperlink>
                          </w:p>
                          <w:p w14:paraId="7C32CECA" w14:textId="7D697002" w:rsidR="00452D42" w:rsidRPr="00301DE8" w:rsidRDefault="00452D42" w:rsidP="00071B87">
                            <w:pPr>
                              <w:pStyle w:val="ListParagraph"/>
                              <w:numPr>
                                <w:ilvl w:val="0"/>
                                <w:numId w:val="33"/>
                              </w:numPr>
                              <w:spacing w:line="240" w:lineRule="exact"/>
                              <w:ind w:left="357" w:right="-183" w:hanging="357"/>
                              <w:rPr>
                                <w:sz w:val="20"/>
                                <w:szCs w:val="20"/>
                              </w:rPr>
                            </w:pPr>
                            <w:r w:rsidRPr="00301DE8">
                              <w:rPr>
                                <w:sz w:val="20"/>
                                <w:szCs w:val="20"/>
                              </w:rPr>
                              <w:t>detects IgG antibody;</w:t>
                            </w:r>
                            <w:hyperlink w:anchor="Reference25" w:history="1">
                              <w:r w:rsidRPr="00301DE8">
                                <w:rPr>
                                  <w:rStyle w:val="Hyperlink"/>
                                  <w:sz w:val="20"/>
                                  <w:szCs w:val="20"/>
                                  <w:u w:val="none"/>
                                  <w:vertAlign w:val="superscript"/>
                                </w:rPr>
                                <w:t>25A+</w:t>
                              </w:r>
                            </w:hyperlink>
                            <w:r w:rsidRPr="00301DE8">
                              <w:rPr>
                                <w:sz w:val="20"/>
                                <w:szCs w:val="20"/>
                              </w:rPr>
                              <w:t xml:space="preserve"> does not differentiate active from past infection</w:t>
                            </w:r>
                            <w:hyperlink w:anchor="Reference19" w:history="1">
                              <w:r w:rsidRPr="00301DE8">
                                <w:rPr>
                                  <w:rStyle w:val="Hyperlink"/>
                                  <w:sz w:val="20"/>
                                  <w:szCs w:val="20"/>
                                  <w:u w:val="none"/>
                                  <w:vertAlign w:val="superscript"/>
                                </w:rPr>
                                <w:t>19A+</w:t>
                              </w:r>
                            </w:hyperlink>
                          </w:p>
                        </w:txbxContent>
                      </v:textbox>
                    </v:shape>
                  </w:pict>
                </mc:Fallback>
              </mc:AlternateContent>
            </w:r>
          </w:p>
          <w:p w14:paraId="139EC390" w14:textId="7A427581" w:rsidR="004C68A2" w:rsidRDefault="004C68A2" w:rsidP="004C68A2">
            <w:pPr>
              <w:pStyle w:val="PHEBulletpoint"/>
              <w:numPr>
                <w:ilvl w:val="0"/>
                <w:numId w:val="0"/>
              </w:numPr>
              <w:spacing w:after="10" w:line="300" w:lineRule="exact"/>
              <w:rPr>
                <w:b/>
              </w:rPr>
            </w:pPr>
          </w:p>
          <w:p w14:paraId="4CC12169" w14:textId="34881586" w:rsidR="004C68A2" w:rsidRDefault="005B21E3" w:rsidP="004C68A2">
            <w:pPr>
              <w:pStyle w:val="PHEBulletpoint"/>
              <w:numPr>
                <w:ilvl w:val="0"/>
                <w:numId w:val="0"/>
              </w:numPr>
              <w:spacing w:after="10" w:line="300" w:lineRule="exact"/>
              <w:rPr>
                <w:b/>
              </w:rPr>
            </w:pPr>
            <w:r w:rsidRPr="005B21E3">
              <w:rPr>
                <w:b/>
                <w:noProof/>
                <w:lang w:eastAsia="en-GB"/>
              </w:rPr>
              <mc:AlternateContent>
                <mc:Choice Requires="wps">
                  <w:drawing>
                    <wp:anchor distT="0" distB="0" distL="114300" distR="114300" simplePos="0" relativeHeight="251653114" behindDoc="0" locked="0" layoutInCell="1" allowOverlap="1" wp14:anchorId="3B39771A" wp14:editId="6108D0D2">
                      <wp:simplePos x="0" y="0"/>
                      <wp:positionH relativeFrom="column">
                        <wp:posOffset>4280535</wp:posOffset>
                      </wp:positionH>
                      <wp:positionV relativeFrom="paragraph">
                        <wp:posOffset>135890</wp:posOffset>
                      </wp:positionV>
                      <wp:extent cx="421005" cy="219710"/>
                      <wp:effectExtent l="0" t="38100" r="55245" b="27940"/>
                      <wp:wrapNone/>
                      <wp:docPr id="15" name="Straight Arrow Connector 15"/>
                      <wp:cNvGraphicFramePr/>
                      <a:graphic xmlns:a="http://schemas.openxmlformats.org/drawingml/2006/main">
                        <a:graphicData uri="http://schemas.microsoft.com/office/word/2010/wordprocessingShape">
                          <wps:wsp>
                            <wps:cNvCnPr/>
                            <wps:spPr>
                              <a:xfrm flipV="1">
                                <a:off x="0" y="0"/>
                                <a:ext cx="421005" cy="21971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0C3D66A6" id="Straight Arrow Connector 15" o:spid="_x0000_s1026" type="#_x0000_t32" style="position:absolute;margin-left:337.05pt;margin-top:10.7pt;width:33.15pt;height:17.3pt;flip:y;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" strokecolor="black [3213]" strokeweight="2pt">
                      <v:stroke endarrow="open"/>
                    </v:shape>
                  </w:pict>
                </mc:Fallback>
              </mc:AlternateContent>
            </w:r>
          </w:p>
          <w:p w14:paraId="282B9888" w14:textId="5866AF40" w:rsidR="004C68A2" w:rsidRDefault="004C68A2" w:rsidP="004C68A2">
            <w:pPr>
              <w:pStyle w:val="PHEBulletpoint"/>
              <w:numPr>
                <w:ilvl w:val="0"/>
                <w:numId w:val="0"/>
              </w:numPr>
              <w:spacing w:after="10" w:line="300" w:lineRule="exact"/>
              <w:rPr>
                <w:b/>
              </w:rPr>
            </w:pPr>
          </w:p>
          <w:p w14:paraId="2B8755A6" w14:textId="414BD739" w:rsidR="004C68A2" w:rsidRDefault="00166A57" w:rsidP="004C68A2">
            <w:pPr>
              <w:pStyle w:val="PHEBulletpoint"/>
              <w:numPr>
                <w:ilvl w:val="0"/>
                <w:numId w:val="0"/>
              </w:numPr>
              <w:spacing w:after="10" w:line="300" w:lineRule="exact"/>
              <w:rPr>
                <w:b/>
              </w:rPr>
            </w:pPr>
            <w:r w:rsidRPr="005B21E3">
              <w:rPr>
                <w:b/>
                <w:noProof/>
                <w:lang w:eastAsia="en-GB"/>
              </w:rPr>
              <mc:AlternateContent>
                <mc:Choice Requires="wps">
                  <w:drawing>
                    <wp:anchor distT="0" distB="0" distL="114300" distR="114300" simplePos="0" relativeHeight="251654139" behindDoc="0" locked="0" layoutInCell="1" allowOverlap="1" wp14:anchorId="0987433C" wp14:editId="4953B78D">
                      <wp:simplePos x="0" y="0"/>
                      <wp:positionH relativeFrom="column">
                        <wp:posOffset>4287520</wp:posOffset>
                      </wp:positionH>
                      <wp:positionV relativeFrom="paragraph">
                        <wp:posOffset>173990</wp:posOffset>
                      </wp:positionV>
                      <wp:extent cx="403860" cy="0"/>
                      <wp:effectExtent l="0" t="76200" r="15240" b="114300"/>
                      <wp:wrapNone/>
                      <wp:docPr id="16" name="Straight Arrow Connector 16"/>
                      <wp:cNvGraphicFramePr/>
                      <a:graphic xmlns:a="http://schemas.openxmlformats.org/drawingml/2006/main">
                        <a:graphicData uri="http://schemas.microsoft.com/office/word/2010/wordprocessingShape">
                          <wps:wsp>
                            <wps:cNvCnPr/>
                            <wps:spPr>
                              <a:xfrm>
                                <a:off x="0" y="0"/>
                                <a:ext cx="40386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1EE705CE" id="Straight Arrow Connector 16" o:spid="_x0000_s1026" type="#_x0000_t32" style="position:absolute;margin-left:337.6pt;margin-top:13.7pt;width:31.8pt;height:0;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" strokecolor="black [3213]" strokeweight="2pt">
                      <v:stroke endarrow="open"/>
                    </v:shape>
                  </w:pict>
                </mc:Fallback>
              </mc:AlternateContent>
            </w:r>
            <w:r w:rsidR="00786C9D" w:rsidRPr="004C68A2">
              <w:rPr>
                <w:b/>
                <w:noProof/>
                <w:lang w:eastAsia="en-GB"/>
              </w:rPr>
              <mc:AlternateContent>
                <mc:Choice Requires="wps">
                  <w:drawing>
                    <wp:anchor distT="0" distB="0" distL="114300" distR="114300" simplePos="0" relativeHeight="251671552" behindDoc="0" locked="0" layoutInCell="1" allowOverlap="1" wp14:anchorId="642A06F1" wp14:editId="05DA41E6">
                      <wp:simplePos x="0" y="0"/>
                      <wp:positionH relativeFrom="column">
                        <wp:posOffset>4701540</wp:posOffset>
                      </wp:positionH>
                      <wp:positionV relativeFrom="paragraph">
                        <wp:posOffset>17780</wp:posOffset>
                      </wp:positionV>
                      <wp:extent cx="2141220" cy="403860"/>
                      <wp:effectExtent l="0" t="0" r="1143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403860"/>
                              </a:xfrm>
                              <a:prstGeom prst="rect">
                                <a:avLst/>
                              </a:prstGeom>
                              <a:solidFill>
                                <a:schemeClr val="accent2">
                                  <a:lumMod val="40000"/>
                                  <a:lumOff val="60000"/>
                                </a:schemeClr>
                              </a:solidFill>
                              <a:ln w="9525">
                                <a:solidFill>
                                  <a:srgbClr val="000000"/>
                                </a:solidFill>
                                <a:miter lim="800000"/>
                                <a:headEnd/>
                                <a:tailEnd/>
                              </a:ln>
                            </wps:spPr>
                            <wps:txbx>
                              <w:txbxContent>
                                <w:p w14:paraId="5C84AA0F" w14:textId="3DFC95B9" w:rsidR="00452D42" w:rsidRPr="0023283E" w:rsidRDefault="00452D42" w:rsidP="0023283E">
                                  <w:pPr>
                                    <w:spacing w:line="240" w:lineRule="exact"/>
                                    <w:rPr>
                                      <w:sz w:val="20"/>
                                      <w:szCs w:val="20"/>
                                    </w:rPr>
                                  </w:pPr>
                                  <w:r w:rsidRPr="0023283E">
                                    <w:rPr>
                                      <w:b/>
                                      <w:sz w:val="20"/>
                                      <w:szCs w:val="20"/>
                                    </w:rPr>
                                    <w:t>DO NOT</w:t>
                                  </w:r>
                                  <w:r>
                                    <w:rPr>
                                      <w:sz w:val="20"/>
                                      <w:szCs w:val="20"/>
                                    </w:rPr>
                                    <w:t xml:space="preserve"> use serology post-treatment.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642A06F1" id="_x0000_s1031" type="#_x0000_t202" style="position:absolute;margin-left:370.2pt;margin-top:1.4pt;width:168.6pt;height:3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" fillcolor="#e5b8b7 [1301]">
                      <v:textbox>
                        <w:txbxContent>
                          <w:p w14:paraId="5C84AA0F" w14:textId="3DFC95B9" w:rsidR="00452D42" w:rsidRPr="0023283E" w:rsidRDefault="00452D42" w:rsidP="0023283E">
                            <w:pPr>
                              <w:spacing w:line="240" w:lineRule="exact"/>
                              <w:rPr>
                                <w:sz w:val="20"/>
                                <w:szCs w:val="20"/>
                              </w:rPr>
                            </w:pPr>
                            <w:r w:rsidRPr="0023283E">
                              <w:rPr>
                                <w:b/>
                                <w:sz w:val="20"/>
                                <w:szCs w:val="20"/>
                              </w:rPr>
                              <w:t>DO NOT</w:t>
                            </w:r>
                            <w:r>
                              <w:rPr>
                                <w:sz w:val="20"/>
                                <w:szCs w:val="20"/>
                              </w:rPr>
                              <w:t xml:space="preserve"> use serology post-treatment.</w:t>
                            </w:r>
                          </w:p>
                        </w:txbxContent>
                      </v:textbox>
                    </v:shape>
                  </w:pict>
                </mc:Fallback>
              </mc:AlternateContent>
            </w:r>
          </w:p>
          <w:p w14:paraId="6CA57381" w14:textId="68DB54A9" w:rsidR="004C68A2" w:rsidRDefault="004C68A2" w:rsidP="004C68A2">
            <w:pPr>
              <w:pStyle w:val="PHEBulletpoint"/>
              <w:numPr>
                <w:ilvl w:val="0"/>
                <w:numId w:val="0"/>
              </w:numPr>
              <w:spacing w:after="10" w:line="300" w:lineRule="exact"/>
              <w:rPr>
                <w:b/>
              </w:rPr>
            </w:pPr>
          </w:p>
          <w:p w14:paraId="224CFBEC" w14:textId="4FF1261B" w:rsidR="004C68A2" w:rsidRDefault="00166A57" w:rsidP="004C68A2">
            <w:pPr>
              <w:pStyle w:val="PHEBulletpoint"/>
              <w:numPr>
                <w:ilvl w:val="0"/>
                <w:numId w:val="0"/>
              </w:numPr>
              <w:spacing w:after="10" w:line="300" w:lineRule="exact"/>
              <w:rPr>
                <w:b/>
              </w:rPr>
            </w:pPr>
            <w:r w:rsidRPr="005B21E3">
              <w:rPr>
                <w:b/>
                <w:noProof/>
                <w:lang w:eastAsia="en-GB"/>
              </w:rPr>
              <mc:AlternateContent>
                <mc:Choice Requires="wps">
                  <w:drawing>
                    <wp:anchor distT="0" distB="0" distL="114300" distR="114300" simplePos="0" relativeHeight="251655164" behindDoc="0" locked="0" layoutInCell="1" allowOverlap="1" wp14:anchorId="6B9E2E99" wp14:editId="7BE59B1D">
                      <wp:simplePos x="0" y="0"/>
                      <wp:positionH relativeFrom="column">
                        <wp:posOffset>4275455</wp:posOffset>
                      </wp:positionH>
                      <wp:positionV relativeFrom="paragraph">
                        <wp:posOffset>40640</wp:posOffset>
                      </wp:positionV>
                      <wp:extent cx="427355" cy="212725"/>
                      <wp:effectExtent l="0" t="0" r="48895" b="73025"/>
                      <wp:wrapNone/>
                      <wp:docPr id="13" name="Straight Arrow Connector 13"/>
                      <wp:cNvGraphicFramePr/>
                      <a:graphic xmlns:a="http://schemas.openxmlformats.org/drawingml/2006/main">
                        <a:graphicData uri="http://schemas.microsoft.com/office/word/2010/wordprocessingShape">
                          <wps:wsp>
                            <wps:cNvCnPr/>
                            <wps:spPr>
                              <a:xfrm>
                                <a:off x="0" y="0"/>
                                <a:ext cx="427355" cy="2127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6DFF5961" id="Straight Arrow Connector 13" o:spid="_x0000_s1026" type="#_x0000_t32" style="position:absolute;margin-left:336.65pt;margin-top:3.2pt;width:33.65pt;height:16.7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" strokecolor="black [3213]" strokeweight="2pt">
                      <v:stroke endarrow="open"/>
                    </v:shape>
                  </w:pict>
                </mc:Fallback>
              </mc:AlternateContent>
            </w:r>
            <w:r w:rsidRPr="004C68A2">
              <w:rPr>
                <w:b/>
                <w:noProof/>
                <w:lang w:eastAsia="en-GB"/>
              </w:rPr>
              <mc:AlternateContent>
                <mc:Choice Requires="wps">
                  <w:drawing>
                    <wp:anchor distT="0" distB="0" distL="114300" distR="114300" simplePos="0" relativeHeight="251673600" behindDoc="0" locked="0" layoutInCell="1" allowOverlap="1" wp14:anchorId="00B3193A" wp14:editId="714FB571">
                      <wp:simplePos x="0" y="0"/>
                      <wp:positionH relativeFrom="column">
                        <wp:posOffset>4699635</wp:posOffset>
                      </wp:positionH>
                      <wp:positionV relativeFrom="paragraph">
                        <wp:posOffset>67945</wp:posOffset>
                      </wp:positionV>
                      <wp:extent cx="2159635" cy="403860"/>
                      <wp:effectExtent l="0" t="0" r="12065"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03860"/>
                              </a:xfrm>
                              <a:prstGeom prst="rect">
                                <a:avLst/>
                              </a:prstGeom>
                              <a:solidFill>
                                <a:schemeClr val="accent2">
                                  <a:lumMod val="40000"/>
                                  <a:lumOff val="60000"/>
                                </a:schemeClr>
                              </a:solidFill>
                              <a:ln w="9525">
                                <a:solidFill>
                                  <a:srgbClr val="000000"/>
                                </a:solidFill>
                                <a:miter lim="800000"/>
                                <a:headEnd/>
                                <a:tailEnd/>
                              </a:ln>
                            </wps:spPr>
                            <wps:txbx>
                              <w:txbxContent>
                                <w:p w14:paraId="171AFC20" w14:textId="137AA413" w:rsidR="00452D42" w:rsidRPr="0023283E" w:rsidRDefault="00452D42" w:rsidP="0023283E">
                                  <w:pPr>
                                    <w:spacing w:line="240" w:lineRule="exact"/>
                                    <w:rPr>
                                      <w:sz w:val="20"/>
                                      <w:szCs w:val="20"/>
                                    </w:rPr>
                                  </w:pPr>
                                  <w:r w:rsidRPr="0023283E">
                                    <w:rPr>
                                      <w:b/>
                                      <w:sz w:val="20"/>
                                      <w:szCs w:val="20"/>
                                    </w:rPr>
                                    <w:t>DO NOT</w:t>
                                  </w:r>
                                  <w:r>
                                    <w:rPr>
                                      <w:sz w:val="20"/>
                                      <w:szCs w:val="20"/>
                                    </w:rPr>
                                    <w:t xml:space="preserve"> use </w:t>
                                  </w:r>
                                  <w:r w:rsidRPr="00301DE8">
                                    <w:rPr>
                                      <w:sz w:val="20"/>
                                      <w:szCs w:val="20"/>
                                    </w:rPr>
                                    <w:t>serology in the elderly or in children.</w:t>
                                  </w:r>
                                  <w:hyperlink w:anchor="Reference13" w:history="1">
                                    <w:r w:rsidRPr="00301DE8">
                                      <w:rPr>
                                        <w:rStyle w:val="Hyperlink"/>
                                        <w:sz w:val="20"/>
                                        <w:szCs w:val="20"/>
                                        <w:u w:val="none"/>
                                        <w:vertAlign w:val="superscript"/>
                                      </w:rPr>
                                      <w:t>13A+</w:t>
                                    </w:r>
                                  </w:hyperlink>
                                  <w:r w:rsidRPr="00301DE8">
                                    <w:rPr>
                                      <w:sz w:val="20"/>
                                      <w:szCs w:val="20"/>
                                      <w:vertAlign w:val="superscript"/>
                                    </w:rPr>
                                    <w:t>,</w:t>
                                  </w:r>
                                  <w:hyperlink w:anchor="Reference14" w:history="1">
                                    <w:r w:rsidRPr="00301DE8">
                                      <w:rPr>
                                        <w:rStyle w:val="Hyperlink"/>
                                        <w:sz w:val="20"/>
                                        <w:szCs w:val="20"/>
                                        <w:u w:val="none"/>
                                        <w:vertAlign w:val="superscript"/>
                                      </w:rPr>
                                      <w:t>14A+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00B3193A" id="_x0000_s1032" type="#_x0000_t202" style="position:absolute;margin-left:370.05pt;margin-top:5.35pt;width:170.0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" fillcolor="#e5b8b7 [1301]">
                      <v:textbox>
                        <w:txbxContent>
                          <w:p w14:paraId="171AFC20" w14:textId="137AA413" w:rsidR="00452D42" w:rsidRPr="0023283E" w:rsidRDefault="00452D42" w:rsidP="0023283E">
                            <w:pPr>
                              <w:spacing w:line="240" w:lineRule="exact"/>
                              <w:rPr>
                                <w:sz w:val="20"/>
                                <w:szCs w:val="20"/>
                              </w:rPr>
                            </w:pPr>
                            <w:r w:rsidRPr="0023283E">
                              <w:rPr>
                                <w:b/>
                                <w:sz w:val="20"/>
                                <w:szCs w:val="20"/>
                              </w:rPr>
                              <w:t>DO NOT</w:t>
                            </w:r>
                            <w:r>
                              <w:rPr>
                                <w:sz w:val="20"/>
                                <w:szCs w:val="20"/>
                              </w:rPr>
                              <w:t xml:space="preserve"> use </w:t>
                            </w:r>
                            <w:r w:rsidRPr="00301DE8">
                              <w:rPr>
                                <w:sz w:val="20"/>
                                <w:szCs w:val="20"/>
                              </w:rPr>
                              <w:t>serology in the elderly or in children.</w:t>
                            </w:r>
                            <w:hyperlink w:anchor="Reference13" w:history="1">
                              <w:r w:rsidRPr="00301DE8">
                                <w:rPr>
                                  <w:rStyle w:val="Hyperlink"/>
                                  <w:sz w:val="20"/>
                                  <w:szCs w:val="20"/>
                                  <w:u w:val="none"/>
                                  <w:vertAlign w:val="superscript"/>
                                </w:rPr>
                                <w:t>13A+</w:t>
                              </w:r>
                            </w:hyperlink>
                            <w:r w:rsidRPr="00301DE8">
                              <w:rPr>
                                <w:sz w:val="20"/>
                                <w:szCs w:val="20"/>
                                <w:vertAlign w:val="superscript"/>
                              </w:rPr>
                              <w:t>,</w:t>
                            </w:r>
                            <w:hyperlink w:anchor="Reference14" w:history="1">
                              <w:r w:rsidRPr="00301DE8">
                                <w:rPr>
                                  <w:rStyle w:val="Hyperlink"/>
                                  <w:sz w:val="20"/>
                                  <w:szCs w:val="20"/>
                                  <w:u w:val="none"/>
                                  <w:vertAlign w:val="superscript"/>
                                </w:rPr>
                                <w:t>14A+</w:t>
                              </w:r>
                            </w:hyperlink>
                          </w:p>
                        </w:txbxContent>
                      </v:textbox>
                    </v:shape>
                  </w:pict>
                </mc:Fallback>
              </mc:AlternateContent>
            </w:r>
          </w:p>
          <w:p w14:paraId="2D43E132" w14:textId="77777777" w:rsidR="004C68A2" w:rsidRDefault="004C68A2" w:rsidP="004C68A2">
            <w:pPr>
              <w:pStyle w:val="PHEBulletpoint"/>
              <w:numPr>
                <w:ilvl w:val="0"/>
                <w:numId w:val="0"/>
              </w:numPr>
              <w:spacing w:after="10" w:line="300" w:lineRule="exact"/>
              <w:rPr>
                <w:b/>
              </w:rPr>
            </w:pPr>
          </w:p>
          <w:p w14:paraId="068B698B" w14:textId="25FBAFAC" w:rsidR="004B641B" w:rsidRPr="00D84049" w:rsidRDefault="004B641B" w:rsidP="004C68A2">
            <w:pPr>
              <w:pStyle w:val="PHEBulletpoint"/>
              <w:numPr>
                <w:ilvl w:val="0"/>
                <w:numId w:val="0"/>
              </w:numPr>
              <w:spacing w:after="10" w:line="300" w:lineRule="exact"/>
              <w:rPr>
                <w:b/>
              </w:rPr>
            </w:pPr>
          </w:p>
        </w:tc>
      </w:tr>
      <w:tr w:rsidR="004444E4" w:rsidRPr="0026246E" w14:paraId="6F0FEA56" w14:textId="77777777" w:rsidTr="00FB29FC">
        <w:tc>
          <w:tcPr>
            <w:tcW w:w="10916" w:type="dxa"/>
            <w:gridSpan w:val="2"/>
            <w:shd w:val="clear" w:color="auto" w:fill="D9D9D9" w:themeFill="background1" w:themeFillShade="D9"/>
            <w:vAlign w:val="center"/>
          </w:tcPr>
          <w:p w14:paraId="59F6E083" w14:textId="34797CFB" w:rsidR="004444E4" w:rsidRPr="00257129" w:rsidRDefault="00257129" w:rsidP="00A37E91">
            <w:pPr>
              <w:spacing w:before="10" w:after="10" w:line="300" w:lineRule="exact"/>
              <w:jc w:val="center"/>
              <w:rPr>
                <w:b/>
                <w:highlight w:val="yellow"/>
              </w:rPr>
            </w:pPr>
            <w:r>
              <w:rPr>
                <w:b/>
                <w:color w:val="98002E"/>
              </w:rPr>
              <w:t xml:space="preserve">WHEN </w:t>
            </w:r>
            <w:r w:rsidR="00A37E91">
              <w:rPr>
                <w:b/>
                <w:color w:val="98002E"/>
              </w:rPr>
              <w:t>SHOULD I</w:t>
            </w:r>
            <w:r>
              <w:rPr>
                <w:b/>
                <w:color w:val="98002E"/>
              </w:rPr>
              <w:t xml:space="preserve"> TREAT </w:t>
            </w:r>
            <w:r w:rsidR="009962B8">
              <w:rPr>
                <w:b/>
                <w:i/>
                <w:color w:val="98002E"/>
              </w:rPr>
              <w:t>HELICOBACTER PYLOR</w:t>
            </w:r>
            <w:r>
              <w:rPr>
                <w:b/>
                <w:i/>
                <w:color w:val="98002E"/>
              </w:rPr>
              <w:t>I</w:t>
            </w:r>
            <w:r>
              <w:rPr>
                <w:b/>
                <w:color w:val="98002E"/>
              </w:rPr>
              <w:t>?</w:t>
            </w:r>
          </w:p>
        </w:tc>
      </w:tr>
      <w:tr w:rsidR="00257129" w:rsidRPr="0026246E" w14:paraId="7C28FCEA" w14:textId="77777777" w:rsidTr="00257129">
        <w:tc>
          <w:tcPr>
            <w:tcW w:w="10916" w:type="dxa"/>
            <w:gridSpan w:val="2"/>
            <w:tcBorders>
              <w:top w:val="nil"/>
              <w:left w:val="single" w:sz="4" w:space="0" w:color="auto"/>
              <w:bottom w:val="single" w:sz="4" w:space="0" w:color="auto"/>
              <w:right w:val="nil"/>
            </w:tcBorders>
          </w:tcPr>
          <w:p w14:paraId="53D7A18D" w14:textId="289F3742" w:rsidR="00257129" w:rsidRDefault="00257129" w:rsidP="00257129">
            <w:pPr>
              <w:pStyle w:val="PHEBulletpoint"/>
              <w:numPr>
                <w:ilvl w:val="0"/>
                <w:numId w:val="0"/>
              </w:numPr>
              <w:spacing w:after="10" w:line="300" w:lineRule="exact"/>
              <w:rPr>
                <w:sz w:val="20"/>
                <w:szCs w:val="20"/>
              </w:rPr>
            </w:pPr>
            <w:r w:rsidRPr="004C68A2">
              <w:rPr>
                <w:b/>
                <w:noProof/>
                <w:lang w:eastAsia="en-GB"/>
              </w:rPr>
              <mc:AlternateContent>
                <mc:Choice Requires="wps">
                  <w:drawing>
                    <wp:anchor distT="0" distB="0" distL="114300" distR="114300" simplePos="0" relativeHeight="251691008" behindDoc="0" locked="0" layoutInCell="1" allowOverlap="1" wp14:anchorId="1A8E5C79" wp14:editId="319140DB">
                      <wp:simplePos x="0" y="0"/>
                      <wp:positionH relativeFrom="column">
                        <wp:posOffset>4753727</wp:posOffset>
                      </wp:positionH>
                      <wp:positionV relativeFrom="paragraph">
                        <wp:posOffset>64519</wp:posOffset>
                      </wp:positionV>
                      <wp:extent cx="2100743" cy="424180"/>
                      <wp:effectExtent l="0" t="0" r="13970"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743" cy="424180"/>
                              </a:xfrm>
                              <a:prstGeom prst="rect">
                                <a:avLst/>
                              </a:prstGeom>
                              <a:solidFill>
                                <a:schemeClr val="accent3">
                                  <a:lumMod val="40000"/>
                                  <a:lumOff val="60000"/>
                                </a:schemeClr>
                              </a:solidFill>
                              <a:ln w="9525">
                                <a:solidFill>
                                  <a:srgbClr val="000000"/>
                                </a:solidFill>
                                <a:miter lim="800000"/>
                                <a:headEnd/>
                                <a:tailEnd/>
                              </a:ln>
                            </wps:spPr>
                            <wps:txbx>
                              <w:txbxContent>
                                <w:p w14:paraId="6DA010C9" w14:textId="209D1EE3" w:rsidR="00452D42" w:rsidRPr="00530A54" w:rsidRDefault="00452D42" w:rsidP="00257129">
                                  <w:pPr>
                                    <w:spacing w:before="120" w:after="120" w:line="240" w:lineRule="exact"/>
                                    <w:jc w:val="center"/>
                                    <w:rPr>
                                      <w:sz w:val="20"/>
                                      <w:szCs w:val="20"/>
                                    </w:rPr>
                                  </w:pPr>
                                  <w:r>
                                    <w:rPr>
                                      <w:sz w:val="20"/>
                                      <w:szCs w:val="20"/>
                                    </w:rPr>
                                    <w:t xml:space="preserve">Treat </w:t>
                                  </w:r>
                                  <w:r>
                                    <w:rPr>
                                      <w:i/>
                                      <w:sz w:val="20"/>
                                      <w:szCs w:val="20"/>
                                    </w:rPr>
                                    <w:t>H</w:t>
                                  </w:r>
                                  <w:r w:rsidRPr="00301DE8">
                                    <w:rPr>
                                      <w:i/>
                                      <w:sz w:val="20"/>
                                      <w:szCs w:val="20"/>
                                    </w:rPr>
                                    <w:t>. pylori</w:t>
                                  </w:r>
                                  <w:r w:rsidRPr="00301DE8">
                                    <w:rPr>
                                      <w:sz w:val="20"/>
                                      <w:szCs w:val="20"/>
                                    </w:rPr>
                                    <w:t>.</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22" w:history="1">
                                    <w:r w:rsidRPr="00301DE8">
                                      <w:rPr>
                                        <w:rStyle w:val="Hyperlink"/>
                                        <w:sz w:val="20"/>
                                        <w:szCs w:val="20"/>
                                        <w:u w:val="none"/>
                                        <w:vertAlign w:val="superscript"/>
                                      </w:rPr>
                                      <w:t>22A+</w:t>
                                    </w:r>
                                  </w:hyperlink>
                                  <w:r w:rsidRPr="00301DE8">
                                    <w:rPr>
                                      <w:sz w:val="20"/>
                                      <w:szCs w:val="20"/>
                                      <w:vertAlign w:val="superscript"/>
                                    </w:rPr>
                                    <w:t>,</w:t>
                                  </w:r>
                                  <w:hyperlink w:anchor="Reference26" w:history="1">
                                    <w:r w:rsidRPr="00301DE8">
                                      <w:rPr>
                                        <w:rStyle w:val="Hyperlink"/>
                                        <w:sz w:val="20"/>
                                        <w:szCs w:val="20"/>
                                        <w:u w:val="none"/>
                                        <w:vertAlign w:val="superscript"/>
                                      </w:rPr>
                                      <w:t>26B-</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1A8E5C79" id="_x0000_s1033" type="#_x0000_t202" style="position:absolute;margin-left:374.3pt;margin-top:5.1pt;width:165.4pt;height:3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" fillcolor="#d6e3bc [1302]">
                      <v:textbox>
                        <w:txbxContent>
                          <w:p w14:paraId="6DA010C9" w14:textId="209D1EE3" w:rsidR="00452D42" w:rsidRPr="00530A54" w:rsidRDefault="00452D42" w:rsidP="00257129">
                            <w:pPr>
                              <w:spacing w:before="120" w:after="120" w:line="240" w:lineRule="exact"/>
                              <w:jc w:val="center"/>
                              <w:rPr>
                                <w:sz w:val="20"/>
                                <w:szCs w:val="20"/>
                              </w:rPr>
                            </w:pPr>
                            <w:r>
                              <w:rPr>
                                <w:sz w:val="20"/>
                                <w:szCs w:val="20"/>
                              </w:rPr>
                              <w:t xml:space="preserve">Treat </w:t>
                            </w:r>
                            <w:r>
                              <w:rPr>
                                <w:i/>
                                <w:sz w:val="20"/>
                                <w:szCs w:val="20"/>
                              </w:rPr>
                              <w:t>H</w:t>
                            </w:r>
                            <w:r w:rsidRPr="00301DE8">
                              <w:rPr>
                                <w:i/>
                                <w:sz w:val="20"/>
                                <w:szCs w:val="20"/>
                              </w:rPr>
                              <w:t>. pylori</w:t>
                            </w:r>
                            <w:r w:rsidRPr="00301DE8">
                              <w:rPr>
                                <w:sz w:val="20"/>
                                <w:szCs w:val="20"/>
                              </w:rPr>
                              <w:t>.</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22" w:history="1">
                              <w:r w:rsidRPr="00301DE8">
                                <w:rPr>
                                  <w:rStyle w:val="Hyperlink"/>
                                  <w:sz w:val="20"/>
                                  <w:szCs w:val="20"/>
                                  <w:u w:val="none"/>
                                  <w:vertAlign w:val="superscript"/>
                                </w:rPr>
                                <w:t>22A+</w:t>
                              </w:r>
                            </w:hyperlink>
                            <w:r w:rsidRPr="00301DE8">
                              <w:rPr>
                                <w:sz w:val="20"/>
                                <w:szCs w:val="20"/>
                                <w:vertAlign w:val="superscript"/>
                              </w:rPr>
                              <w:t>,</w:t>
                            </w:r>
                            <w:hyperlink w:anchor="Reference26" w:history="1">
                              <w:r w:rsidRPr="00301DE8">
                                <w:rPr>
                                  <w:rStyle w:val="Hyperlink"/>
                                  <w:sz w:val="20"/>
                                  <w:szCs w:val="20"/>
                                  <w:u w:val="none"/>
                                  <w:vertAlign w:val="superscript"/>
                                </w:rPr>
                                <w:t>26B-</w:t>
                              </w:r>
                            </w:hyperlink>
                          </w:p>
                        </w:txbxContent>
                      </v:textbox>
                    </v:shape>
                  </w:pict>
                </mc:Fallback>
              </mc:AlternateContent>
            </w:r>
            <w:r w:rsidRPr="004C68A2">
              <w:rPr>
                <w:b/>
                <w:noProof/>
                <w:lang w:eastAsia="en-GB"/>
              </w:rPr>
              <mc:AlternateContent>
                <mc:Choice Requires="wps">
                  <w:drawing>
                    <wp:anchor distT="0" distB="0" distL="114300" distR="114300" simplePos="0" relativeHeight="251684864" behindDoc="0" locked="0" layoutInCell="1" allowOverlap="1" wp14:anchorId="5A7A219D" wp14:editId="1BA74202">
                      <wp:simplePos x="0" y="0"/>
                      <wp:positionH relativeFrom="column">
                        <wp:posOffset>-20290</wp:posOffset>
                      </wp:positionH>
                      <wp:positionV relativeFrom="paragraph">
                        <wp:posOffset>70869</wp:posOffset>
                      </wp:positionV>
                      <wp:extent cx="1573530" cy="424180"/>
                      <wp:effectExtent l="0" t="0" r="2667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424180"/>
                              </a:xfrm>
                              <a:prstGeom prst="rect">
                                <a:avLst/>
                              </a:prstGeom>
                              <a:solidFill>
                                <a:srgbClr val="FFFFCC"/>
                              </a:solidFill>
                              <a:ln w="9525">
                                <a:solidFill>
                                  <a:srgbClr val="000000"/>
                                </a:solidFill>
                                <a:miter lim="800000"/>
                                <a:headEnd/>
                                <a:tailEnd/>
                              </a:ln>
                            </wps:spPr>
                            <wps:txbx>
                              <w:txbxContent>
                                <w:p w14:paraId="34B0CAA0" w14:textId="53342095" w:rsidR="00452D42" w:rsidRPr="00257129" w:rsidRDefault="00452D42" w:rsidP="00257129">
                                  <w:pPr>
                                    <w:spacing w:before="120" w:after="120" w:line="240" w:lineRule="exact"/>
                                    <w:jc w:val="center"/>
                                    <w:rPr>
                                      <w:b/>
                                      <w:sz w:val="20"/>
                                      <w:szCs w:val="20"/>
                                    </w:rPr>
                                  </w:pPr>
                                  <w:r>
                                    <w:rPr>
                                      <w:b/>
                                      <w:sz w:val="20"/>
                                      <w:szCs w:val="20"/>
                                    </w:rPr>
                                    <w:t>HP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A7A219D" id="_x0000_s1034" type="#_x0000_t202" style="position:absolute;margin-left:-1.6pt;margin-top:5.6pt;width:123.9pt;height:3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" fillcolor="#ffc">
                      <v:textbox>
                        <w:txbxContent>
                          <w:p w14:paraId="34B0CAA0" w14:textId="53342095" w:rsidR="00452D42" w:rsidRPr="00257129" w:rsidRDefault="00452D42" w:rsidP="00257129">
                            <w:pPr>
                              <w:spacing w:before="120" w:after="120" w:line="240" w:lineRule="exact"/>
                              <w:jc w:val="center"/>
                              <w:rPr>
                                <w:b/>
                                <w:sz w:val="20"/>
                                <w:szCs w:val="20"/>
                              </w:rPr>
                            </w:pPr>
                            <w:r>
                              <w:rPr>
                                <w:b/>
                                <w:sz w:val="20"/>
                                <w:szCs w:val="20"/>
                              </w:rPr>
                              <w:t>HP POSITIVE</w:t>
                            </w:r>
                          </w:p>
                        </w:txbxContent>
                      </v:textbox>
                    </v:shape>
                  </w:pict>
                </mc:Fallback>
              </mc:AlternateContent>
            </w:r>
          </w:p>
          <w:p w14:paraId="125D8C25" w14:textId="15E02621" w:rsidR="00257129" w:rsidRDefault="009962B8" w:rsidP="00257129">
            <w:pPr>
              <w:pStyle w:val="PHEBulletpoint"/>
              <w:numPr>
                <w:ilvl w:val="0"/>
                <w:numId w:val="0"/>
              </w:numPr>
              <w:spacing w:after="10" w:line="300" w:lineRule="exact"/>
              <w:rPr>
                <w:sz w:val="20"/>
                <w:szCs w:val="20"/>
              </w:rPr>
            </w:pPr>
            <w:r w:rsidRPr="005B21E3">
              <w:rPr>
                <w:b/>
                <w:noProof/>
                <w:lang w:eastAsia="en-GB"/>
              </w:rPr>
              <mc:AlternateContent>
                <mc:Choice Requires="wps">
                  <w:drawing>
                    <wp:anchor distT="0" distB="0" distL="114300" distR="114300" simplePos="0" relativeHeight="251697152" behindDoc="0" locked="0" layoutInCell="1" allowOverlap="1" wp14:anchorId="53237B2E" wp14:editId="3B9F1D8E">
                      <wp:simplePos x="0" y="0"/>
                      <wp:positionH relativeFrom="column">
                        <wp:posOffset>1565275</wp:posOffset>
                      </wp:positionH>
                      <wp:positionV relativeFrom="paragraph">
                        <wp:posOffset>82550</wp:posOffset>
                      </wp:positionV>
                      <wp:extent cx="3188677" cy="0"/>
                      <wp:effectExtent l="0" t="76200" r="12065" b="114300"/>
                      <wp:wrapNone/>
                      <wp:docPr id="23" name="Straight Arrow Connector 23"/>
                      <wp:cNvGraphicFramePr/>
                      <a:graphic xmlns:a="http://schemas.openxmlformats.org/drawingml/2006/main">
                        <a:graphicData uri="http://schemas.microsoft.com/office/word/2010/wordprocessingShape">
                          <wps:wsp>
                            <wps:cNvCnPr/>
                            <wps:spPr>
                              <a:xfrm>
                                <a:off x="0" y="0"/>
                                <a:ext cx="3188677"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0ADFFD19" id="Straight Arrow Connector 23" o:spid="_x0000_s1026" type="#_x0000_t32" style="position:absolute;margin-left:123.25pt;margin-top:6.5pt;width:251.1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" strokecolor="black [3213]" strokeweight="2pt">
                      <v:stroke endarrow="open"/>
                    </v:shape>
                  </w:pict>
                </mc:Fallback>
              </mc:AlternateContent>
            </w:r>
          </w:p>
          <w:p w14:paraId="29D62CD4" w14:textId="4365A7DD" w:rsidR="00257129" w:rsidRDefault="00C313CC" w:rsidP="00257129">
            <w:pPr>
              <w:pStyle w:val="PHEBulletpoint"/>
              <w:numPr>
                <w:ilvl w:val="0"/>
                <w:numId w:val="0"/>
              </w:numPr>
              <w:spacing w:after="10" w:line="300" w:lineRule="exact"/>
              <w:rPr>
                <w:sz w:val="20"/>
                <w:szCs w:val="20"/>
              </w:rPr>
            </w:pPr>
            <w:r w:rsidRPr="004C68A2">
              <w:rPr>
                <w:b/>
                <w:noProof/>
                <w:lang w:eastAsia="en-GB"/>
              </w:rPr>
              <mc:AlternateContent>
                <mc:Choice Requires="wps">
                  <w:drawing>
                    <wp:anchor distT="0" distB="0" distL="114300" distR="114300" simplePos="0" relativeHeight="251693056" behindDoc="0" locked="0" layoutInCell="1" allowOverlap="1" wp14:anchorId="4D026815" wp14:editId="1FEA5C97">
                      <wp:simplePos x="0" y="0"/>
                      <wp:positionH relativeFrom="column">
                        <wp:posOffset>1783242</wp:posOffset>
                      </wp:positionH>
                      <wp:positionV relativeFrom="paragraph">
                        <wp:posOffset>31750</wp:posOffset>
                      </wp:positionV>
                      <wp:extent cx="805180" cy="729615"/>
                      <wp:effectExtent l="0" t="0" r="13970"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729615"/>
                              </a:xfrm>
                              <a:prstGeom prst="rect">
                                <a:avLst/>
                              </a:prstGeom>
                              <a:solidFill>
                                <a:schemeClr val="accent3">
                                  <a:lumMod val="40000"/>
                                  <a:lumOff val="60000"/>
                                </a:schemeClr>
                              </a:solidFill>
                              <a:ln w="9525">
                                <a:solidFill>
                                  <a:srgbClr val="000000"/>
                                </a:solidFill>
                                <a:miter lim="800000"/>
                                <a:headEnd/>
                                <a:tailEnd/>
                              </a:ln>
                            </wps:spPr>
                            <wps:txbx>
                              <w:txbxContent>
                                <w:p w14:paraId="535065BF" w14:textId="512B7791" w:rsidR="00452D42" w:rsidRPr="0093381E" w:rsidRDefault="00452D42" w:rsidP="0093381E">
                                  <w:pPr>
                                    <w:spacing w:line="240" w:lineRule="exact"/>
                                    <w:jc w:val="center"/>
                                    <w:rPr>
                                      <w:sz w:val="20"/>
                                      <w:szCs w:val="20"/>
                                    </w:rPr>
                                  </w:pPr>
                                  <w:r>
                                    <w:rPr>
                                      <w:sz w:val="20"/>
                                      <w:szCs w:val="20"/>
                                    </w:rPr>
                                    <w:t xml:space="preserve">Reassure, as NPV of all </w:t>
                                  </w:r>
                                  <w:r w:rsidRPr="00301DE8">
                                    <w:rPr>
                                      <w:sz w:val="20"/>
                                      <w:szCs w:val="20"/>
                                    </w:rPr>
                                    <w:t>tests is &gt;95%.</w:t>
                                  </w:r>
                                  <w:hyperlink w:anchor="Reference16" w:history="1">
                                    <w:r w:rsidRPr="00301DE8">
                                      <w:rPr>
                                        <w:rStyle w:val="Hyperlink"/>
                                        <w:sz w:val="20"/>
                                        <w:szCs w:val="20"/>
                                        <w:u w:val="none"/>
                                        <w:vertAlign w:val="superscript"/>
                                      </w:rPr>
                                      <w:t>16C</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4D026815" id="_x0000_s1035" type="#_x0000_t202" style="position:absolute;margin-left:140.4pt;margin-top:2.5pt;width:63.4pt;height:5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" fillcolor="#d6e3bc [1302]">
                      <v:textbox>
                        <w:txbxContent>
                          <w:p w14:paraId="535065BF" w14:textId="512B7791" w:rsidR="00452D42" w:rsidRPr="0093381E" w:rsidRDefault="00452D42" w:rsidP="0093381E">
                            <w:pPr>
                              <w:spacing w:line="240" w:lineRule="exact"/>
                              <w:jc w:val="center"/>
                              <w:rPr>
                                <w:sz w:val="20"/>
                                <w:szCs w:val="20"/>
                              </w:rPr>
                            </w:pPr>
                            <w:r>
                              <w:rPr>
                                <w:sz w:val="20"/>
                                <w:szCs w:val="20"/>
                              </w:rPr>
                              <w:t xml:space="preserve">Reassure, as NPV of all </w:t>
                            </w:r>
                            <w:r w:rsidRPr="00301DE8">
                              <w:rPr>
                                <w:sz w:val="20"/>
                                <w:szCs w:val="20"/>
                              </w:rPr>
                              <w:t>tests is &gt;95%.</w:t>
                            </w:r>
                            <w:hyperlink w:anchor="Reference16" w:history="1">
                              <w:r w:rsidRPr="00301DE8">
                                <w:rPr>
                                  <w:rStyle w:val="Hyperlink"/>
                                  <w:sz w:val="20"/>
                                  <w:szCs w:val="20"/>
                                  <w:u w:val="none"/>
                                  <w:vertAlign w:val="superscript"/>
                                </w:rPr>
                                <w:t>16C</w:t>
                              </w:r>
                            </w:hyperlink>
                          </w:p>
                        </w:txbxContent>
                      </v:textbox>
                    </v:shape>
                  </w:pict>
                </mc:Fallback>
              </mc:AlternateContent>
            </w:r>
            <w:r w:rsidRPr="004C68A2">
              <w:rPr>
                <w:b/>
                <w:noProof/>
                <w:lang w:eastAsia="en-GB"/>
              </w:rPr>
              <mc:AlternateContent>
                <mc:Choice Requires="wps">
                  <w:drawing>
                    <wp:anchor distT="0" distB="0" distL="114300" distR="114300" simplePos="0" relativeHeight="251705344" behindDoc="0" locked="0" layoutInCell="1" allowOverlap="1" wp14:anchorId="5D250F11" wp14:editId="2DE591E4">
                      <wp:simplePos x="0" y="0"/>
                      <wp:positionH relativeFrom="column">
                        <wp:posOffset>2819096</wp:posOffset>
                      </wp:positionH>
                      <wp:positionV relativeFrom="paragraph">
                        <wp:posOffset>77470</wp:posOffset>
                      </wp:positionV>
                      <wp:extent cx="1701579" cy="996950"/>
                      <wp:effectExtent l="0" t="0" r="13335"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996950"/>
                              </a:xfrm>
                              <a:prstGeom prst="rect">
                                <a:avLst/>
                              </a:prstGeom>
                              <a:solidFill>
                                <a:schemeClr val="accent2">
                                  <a:lumMod val="40000"/>
                                  <a:lumOff val="60000"/>
                                </a:schemeClr>
                              </a:solidFill>
                              <a:ln w="9525">
                                <a:solidFill>
                                  <a:srgbClr val="000000"/>
                                </a:solidFill>
                                <a:miter lim="800000"/>
                                <a:headEnd/>
                                <a:tailEnd/>
                              </a:ln>
                            </wps:spPr>
                            <wps:txbx>
                              <w:txbxContent>
                                <w:p w14:paraId="4969F058" w14:textId="443D6DB0" w:rsidR="00452D42" w:rsidRPr="00B35C16" w:rsidRDefault="00452D42" w:rsidP="009962B8">
                                  <w:pPr>
                                    <w:shd w:val="clear" w:color="auto" w:fill="E5B8B7" w:themeFill="accent2" w:themeFillTint="66"/>
                                    <w:spacing w:line="240" w:lineRule="exact"/>
                                    <w:jc w:val="center"/>
                                    <w:rPr>
                                      <w:sz w:val="20"/>
                                      <w:szCs w:val="20"/>
                                      <w:vertAlign w:val="superscript"/>
                                    </w:rPr>
                                  </w:pPr>
                                  <w:r>
                                    <w:rPr>
                                      <w:sz w:val="20"/>
                                      <w:szCs w:val="20"/>
                                    </w:rPr>
                                    <w:t>Only retest for HP if DU, GU, family history of cancer, MALToma, or if test was performed within two weeks of PPI, or four weeks of ant</w:t>
                                  </w:r>
                                  <w:r w:rsidRPr="00301DE8">
                                    <w:rPr>
                                      <w:sz w:val="20"/>
                                      <w:szCs w:val="20"/>
                                    </w:rPr>
                                    <w:t>ibiotics.</w:t>
                                  </w:r>
                                  <w:hyperlink w:anchor="Reference21" w:history="1">
                                    <w:r w:rsidRPr="00301DE8">
                                      <w:rPr>
                                        <w:rStyle w:val="Hyperlink"/>
                                        <w:sz w:val="20"/>
                                        <w:szCs w:val="20"/>
                                        <w:u w:val="none"/>
                                        <w:vertAlign w:val="superscript"/>
                                      </w:rPr>
                                      <w:t>21B+</w:t>
                                    </w:r>
                                  </w:hyperlink>
                                  <w:r w:rsidRPr="00301DE8">
                                    <w:rPr>
                                      <w:sz w:val="20"/>
                                      <w:szCs w:val="20"/>
                                      <w:vertAlign w:val="superscript"/>
                                    </w:rPr>
                                    <w:t>,</w:t>
                                  </w:r>
                                  <w:hyperlink w:anchor="Reference27" w:history="1">
                                    <w:r w:rsidRPr="00301DE8">
                                      <w:rPr>
                                        <w:rStyle w:val="Hyperlink"/>
                                        <w:sz w:val="20"/>
                                        <w:szCs w:val="20"/>
                                        <w:u w:val="none"/>
                                        <w:vertAlign w:val="superscript"/>
                                      </w:rPr>
                                      <w:t>27C</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D250F11" id="_x0000_s1036" type="#_x0000_t202" style="position:absolute;margin-left:222pt;margin-top:6.1pt;width:134pt;height: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" fillcolor="#e5b8b7 [1301]">
                      <v:textbox>
                        <w:txbxContent>
                          <w:p w14:paraId="4969F058" w14:textId="443D6DB0" w:rsidR="00452D42" w:rsidRPr="00B35C16" w:rsidRDefault="00452D42" w:rsidP="009962B8">
                            <w:pPr>
                              <w:shd w:val="clear" w:color="auto" w:fill="E5B8B7" w:themeFill="accent2" w:themeFillTint="66"/>
                              <w:spacing w:line="240" w:lineRule="exact"/>
                              <w:jc w:val="center"/>
                              <w:rPr>
                                <w:sz w:val="20"/>
                                <w:szCs w:val="20"/>
                                <w:vertAlign w:val="superscript"/>
                              </w:rPr>
                            </w:pPr>
                            <w:r>
                              <w:rPr>
                                <w:sz w:val="20"/>
                                <w:szCs w:val="20"/>
                              </w:rPr>
                              <w:t>Only retest for HP if DU, GU, family history of cancer, MALToma, or if test was performed within two weeks of PPI, or four weeks of ant</w:t>
                            </w:r>
                            <w:r w:rsidRPr="00301DE8">
                              <w:rPr>
                                <w:sz w:val="20"/>
                                <w:szCs w:val="20"/>
                              </w:rPr>
                              <w:t>ibiotics.</w:t>
                            </w:r>
                            <w:hyperlink w:anchor="Reference21" w:history="1">
                              <w:r w:rsidRPr="00301DE8">
                                <w:rPr>
                                  <w:rStyle w:val="Hyperlink"/>
                                  <w:sz w:val="20"/>
                                  <w:szCs w:val="20"/>
                                  <w:u w:val="none"/>
                                  <w:vertAlign w:val="superscript"/>
                                </w:rPr>
                                <w:t>21B+</w:t>
                              </w:r>
                            </w:hyperlink>
                            <w:r w:rsidRPr="00301DE8">
                              <w:rPr>
                                <w:sz w:val="20"/>
                                <w:szCs w:val="20"/>
                                <w:vertAlign w:val="superscript"/>
                              </w:rPr>
                              <w:t>,</w:t>
                            </w:r>
                            <w:hyperlink w:anchor="Reference27" w:history="1">
                              <w:r w:rsidRPr="00301DE8">
                                <w:rPr>
                                  <w:rStyle w:val="Hyperlink"/>
                                  <w:sz w:val="20"/>
                                  <w:szCs w:val="20"/>
                                  <w:u w:val="none"/>
                                  <w:vertAlign w:val="superscript"/>
                                </w:rPr>
                                <w:t>27C</w:t>
                              </w:r>
                            </w:hyperlink>
                          </w:p>
                        </w:txbxContent>
                      </v:textbox>
                    </v:shape>
                  </w:pict>
                </mc:Fallback>
              </mc:AlternateContent>
            </w:r>
            <w:r w:rsidR="00257129" w:rsidRPr="004C68A2">
              <w:rPr>
                <w:b/>
                <w:noProof/>
                <w:lang w:eastAsia="en-GB"/>
              </w:rPr>
              <mc:AlternateContent>
                <mc:Choice Requires="wps">
                  <w:drawing>
                    <wp:anchor distT="0" distB="0" distL="114300" distR="114300" simplePos="0" relativeHeight="251686912" behindDoc="0" locked="0" layoutInCell="1" allowOverlap="1" wp14:anchorId="30658219" wp14:editId="28DF83AF">
                      <wp:simplePos x="0" y="0"/>
                      <wp:positionH relativeFrom="column">
                        <wp:posOffset>-20290</wp:posOffset>
                      </wp:positionH>
                      <wp:positionV relativeFrom="paragraph">
                        <wp:posOffset>168334</wp:posOffset>
                      </wp:positionV>
                      <wp:extent cx="1573530" cy="424180"/>
                      <wp:effectExtent l="0" t="0" r="2667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424180"/>
                              </a:xfrm>
                              <a:prstGeom prst="rect">
                                <a:avLst/>
                              </a:prstGeom>
                              <a:solidFill>
                                <a:srgbClr val="FFFFCC"/>
                              </a:solidFill>
                              <a:ln w="9525">
                                <a:solidFill>
                                  <a:srgbClr val="000000"/>
                                </a:solidFill>
                                <a:miter lim="800000"/>
                                <a:headEnd/>
                                <a:tailEnd/>
                              </a:ln>
                            </wps:spPr>
                            <wps:txbx>
                              <w:txbxContent>
                                <w:p w14:paraId="0031C753" w14:textId="10906905" w:rsidR="00452D42" w:rsidRPr="00257129" w:rsidRDefault="00452D42" w:rsidP="00257129">
                                  <w:pPr>
                                    <w:spacing w:before="120" w:after="120" w:line="240" w:lineRule="exact"/>
                                    <w:jc w:val="center"/>
                                    <w:rPr>
                                      <w:b/>
                                      <w:sz w:val="20"/>
                                      <w:szCs w:val="20"/>
                                    </w:rPr>
                                  </w:pPr>
                                  <w:r>
                                    <w:rPr>
                                      <w:b/>
                                      <w:sz w:val="20"/>
                                      <w:szCs w:val="20"/>
                                    </w:rPr>
                                    <w:t>HP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30658219" id="_x0000_s1037" type="#_x0000_t202" style="position:absolute;margin-left:-1.6pt;margin-top:13.25pt;width:123.9pt;height:3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" fillcolor="#ffc">
                      <v:textbox>
                        <w:txbxContent>
                          <w:p w14:paraId="0031C753" w14:textId="10906905" w:rsidR="00452D42" w:rsidRPr="00257129" w:rsidRDefault="00452D42" w:rsidP="00257129">
                            <w:pPr>
                              <w:spacing w:before="120" w:after="120" w:line="240" w:lineRule="exact"/>
                              <w:jc w:val="center"/>
                              <w:rPr>
                                <w:b/>
                                <w:sz w:val="20"/>
                                <w:szCs w:val="20"/>
                              </w:rPr>
                            </w:pPr>
                            <w:r>
                              <w:rPr>
                                <w:b/>
                                <w:sz w:val="20"/>
                                <w:szCs w:val="20"/>
                              </w:rPr>
                              <w:t>HP NEGATIVE</w:t>
                            </w:r>
                          </w:p>
                        </w:txbxContent>
                      </v:textbox>
                    </v:shape>
                  </w:pict>
                </mc:Fallback>
              </mc:AlternateContent>
            </w:r>
          </w:p>
          <w:p w14:paraId="18827C23" w14:textId="13B7A8FD" w:rsidR="00257129" w:rsidRDefault="00516F59" w:rsidP="00257129">
            <w:pPr>
              <w:pStyle w:val="PHEBulletpoint"/>
              <w:numPr>
                <w:ilvl w:val="0"/>
                <w:numId w:val="0"/>
              </w:numPr>
              <w:spacing w:after="10" w:line="300" w:lineRule="exact"/>
              <w:rPr>
                <w:sz w:val="20"/>
                <w:szCs w:val="20"/>
              </w:rPr>
            </w:pPr>
            <w:r w:rsidRPr="004C68A2">
              <w:rPr>
                <w:b/>
                <w:noProof/>
                <w:lang w:eastAsia="en-GB"/>
              </w:rPr>
              <mc:AlternateContent>
                <mc:Choice Requires="wps">
                  <w:drawing>
                    <wp:anchor distT="0" distB="0" distL="114300" distR="114300" simplePos="0" relativeHeight="251695104" behindDoc="0" locked="0" layoutInCell="1" allowOverlap="1" wp14:anchorId="4EB8B2B8" wp14:editId="1D38A51A">
                      <wp:simplePos x="0" y="0"/>
                      <wp:positionH relativeFrom="column">
                        <wp:posOffset>4743096</wp:posOffset>
                      </wp:positionH>
                      <wp:positionV relativeFrom="paragraph">
                        <wp:posOffset>14014</wp:posOffset>
                      </wp:positionV>
                      <wp:extent cx="2111847" cy="862965"/>
                      <wp:effectExtent l="0" t="0" r="2222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847" cy="862965"/>
                              </a:xfrm>
                              <a:prstGeom prst="rect">
                                <a:avLst/>
                              </a:prstGeom>
                              <a:solidFill>
                                <a:schemeClr val="accent3">
                                  <a:lumMod val="40000"/>
                                  <a:lumOff val="60000"/>
                                </a:schemeClr>
                              </a:solidFill>
                              <a:ln w="9525">
                                <a:solidFill>
                                  <a:srgbClr val="000000"/>
                                </a:solidFill>
                                <a:miter lim="800000"/>
                                <a:headEnd/>
                                <a:tailEnd/>
                              </a:ln>
                            </wps:spPr>
                            <wps:txbx>
                              <w:txbxContent>
                                <w:p w14:paraId="2FAF40B6" w14:textId="45AECD24" w:rsidR="00452D42" w:rsidRPr="00516F59" w:rsidRDefault="00452D42" w:rsidP="00257129">
                                  <w:pPr>
                                    <w:spacing w:line="240" w:lineRule="exact"/>
                                    <w:jc w:val="center"/>
                                    <w:rPr>
                                      <w:sz w:val="20"/>
                                      <w:szCs w:val="20"/>
                                      <w:vertAlign w:val="superscript"/>
                                    </w:rPr>
                                  </w:pPr>
                                  <w:r>
                                    <w:rPr>
                                      <w:sz w:val="20"/>
                                      <w:szCs w:val="20"/>
                                    </w:rPr>
                                    <w:t xml:space="preserve">If </w:t>
                                  </w:r>
                                  <w:r>
                                    <w:rPr>
                                      <w:i/>
                                      <w:sz w:val="20"/>
                                      <w:szCs w:val="20"/>
                                    </w:rPr>
                                    <w:t>H. pylori</w:t>
                                  </w:r>
                                  <w:r>
                                    <w:rPr>
                                      <w:sz w:val="20"/>
                                      <w:szCs w:val="20"/>
                                    </w:rPr>
                                    <w:t xml:space="preserve"> negative, treat as functional dyspepsia. Step down to lowest dose PPI or H</w:t>
                                  </w:r>
                                  <w:r w:rsidRPr="00257129">
                                    <w:rPr>
                                      <w:sz w:val="20"/>
                                      <w:szCs w:val="20"/>
                                      <w:vertAlign w:val="subscript"/>
                                    </w:rPr>
                                    <w:t>2</w:t>
                                  </w:r>
                                  <w:r>
                                    <w:rPr>
                                      <w:sz w:val="20"/>
                                      <w:szCs w:val="20"/>
                                    </w:rPr>
                                    <w:t>A needed to control symptoms. Review annually, including PPI ne</w:t>
                                  </w:r>
                                  <w:r w:rsidRPr="00301DE8">
                                    <w:rPr>
                                      <w:sz w:val="20"/>
                                      <w:szCs w:val="20"/>
                                    </w:rPr>
                                    <w:t>ed.</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28" w:history="1">
                                    <w:r w:rsidRPr="00301DE8">
                                      <w:rPr>
                                        <w:rStyle w:val="Hyperlink"/>
                                        <w:sz w:val="20"/>
                                        <w:szCs w:val="20"/>
                                        <w:u w:val="none"/>
                                        <w:vertAlign w:val="superscript"/>
                                      </w:rPr>
                                      <w:t>28D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4EB8B2B8" id="_x0000_s1038" type="#_x0000_t202" style="position:absolute;margin-left:373.45pt;margin-top:1.1pt;width:166.3pt;height:6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" fillcolor="#d6e3bc [1302]">
                      <v:textbox>
                        <w:txbxContent>
                          <w:p w14:paraId="2FAF40B6" w14:textId="45AECD24" w:rsidR="00452D42" w:rsidRPr="00516F59" w:rsidRDefault="00452D42" w:rsidP="00257129">
                            <w:pPr>
                              <w:spacing w:line="240" w:lineRule="exact"/>
                              <w:jc w:val="center"/>
                              <w:rPr>
                                <w:sz w:val="20"/>
                                <w:szCs w:val="20"/>
                                <w:vertAlign w:val="superscript"/>
                              </w:rPr>
                            </w:pPr>
                            <w:r>
                              <w:rPr>
                                <w:sz w:val="20"/>
                                <w:szCs w:val="20"/>
                              </w:rPr>
                              <w:t xml:space="preserve">If </w:t>
                            </w:r>
                            <w:r>
                              <w:rPr>
                                <w:i/>
                                <w:sz w:val="20"/>
                                <w:szCs w:val="20"/>
                              </w:rPr>
                              <w:t>H. pylori</w:t>
                            </w:r>
                            <w:r>
                              <w:rPr>
                                <w:sz w:val="20"/>
                                <w:szCs w:val="20"/>
                              </w:rPr>
                              <w:t xml:space="preserve"> negative, treat as functional dyspepsia. Step down to lowest dose PPI or H</w:t>
                            </w:r>
                            <w:r w:rsidRPr="00257129">
                              <w:rPr>
                                <w:sz w:val="20"/>
                                <w:szCs w:val="20"/>
                                <w:vertAlign w:val="subscript"/>
                              </w:rPr>
                              <w:t>2</w:t>
                            </w:r>
                            <w:r>
                              <w:rPr>
                                <w:sz w:val="20"/>
                                <w:szCs w:val="20"/>
                              </w:rPr>
                              <w:t>A needed to control symptoms. Review annually, including PPI ne</w:t>
                            </w:r>
                            <w:r w:rsidRPr="00301DE8">
                              <w:rPr>
                                <w:sz w:val="20"/>
                                <w:szCs w:val="20"/>
                              </w:rPr>
                              <w:t>ed.</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28" w:history="1">
                              <w:r w:rsidRPr="00301DE8">
                                <w:rPr>
                                  <w:rStyle w:val="Hyperlink"/>
                                  <w:sz w:val="20"/>
                                  <w:szCs w:val="20"/>
                                  <w:u w:val="none"/>
                                  <w:vertAlign w:val="superscript"/>
                                </w:rPr>
                                <w:t>28D</w:t>
                              </w:r>
                            </w:hyperlink>
                          </w:p>
                        </w:txbxContent>
                      </v:textbox>
                    </v:shape>
                  </w:pict>
                </mc:Fallback>
              </mc:AlternateContent>
            </w:r>
          </w:p>
          <w:p w14:paraId="60E10A41" w14:textId="261B4711" w:rsidR="00257129" w:rsidRDefault="003B3072" w:rsidP="00257129">
            <w:pPr>
              <w:pStyle w:val="PHEBulletpoint"/>
              <w:numPr>
                <w:ilvl w:val="0"/>
                <w:numId w:val="0"/>
              </w:numPr>
              <w:spacing w:after="10" w:line="300" w:lineRule="exact"/>
              <w:rPr>
                <w:sz w:val="20"/>
                <w:szCs w:val="20"/>
              </w:rPr>
            </w:pPr>
            <w:r w:rsidRPr="005B21E3">
              <w:rPr>
                <w:b/>
                <w:noProof/>
                <w:lang w:eastAsia="en-GB"/>
              </w:rPr>
              <mc:AlternateContent>
                <mc:Choice Requires="wps">
                  <w:drawing>
                    <wp:anchor distT="0" distB="0" distL="114300" distR="114300" simplePos="0" relativeHeight="251651064" behindDoc="0" locked="0" layoutInCell="1" allowOverlap="1" wp14:anchorId="3DFF8B12" wp14:editId="00AECD15">
                      <wp:simplePos x="0" y="0"/>
                      <wp:positionH relativeFrom="column">
                        <wp:posOffset>2512060</wp:posOffset>
                      </wp:positionH>
                      <wp:positionV relativeFrom="paragraph">
                        <wp:posOffset>3810</wp:posOffset>
                      </wp:positionV>
                      <wp:extent cx="311150" cy="0"/>
                      <wp:effectExtent l="0" t="76200" r="12700" b="114300"/>
                      <wp:wrapNone/>
                      <wp:docPr id="56" name="Straight Arrow Connector 56"/>
                      <wp:cNvGraphicFramePr/>
                      <a:graphic xmlns:a="http://schemas.openxmlformats.org/drawingml/2006/main">
                        <a:graphicData uri="http://schemas.microsoft.com/office/word/2010/wordprocessingShape">
                          <wps:wsp>
                            <wps:cNvCnPr/>
                            <wps:spPr>
                              <a:xfrm>
                                <a:off x="0" y="0"/>
                                <a:ext cx="31115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2421C4BF" id="Straight Arrow Connector 56" o:spid="_x0000_s1026" type="#_x0000_t32" style="position:absolute;margin-left:197.8pt;margin-top:.3pt;width:24.5pt;height:0;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" strokecolor="black [3213]" strokeweight="2pt">
                      <v:stroke endarrow="open"/>
                    </v:shape>
                  </w:pict>
                </mc:Fallback>
              </mc:AlternateContent>
            </w:r>
            <w:r w:rsidRPr="005B21E3">
              <w:rPr>
                <w:b/>
                <w:noProof/>
                <w:lang w:eastAsia="en-GB"/>
              </w:rPr>
              <mc:AlternateContent>
                <mc:Choice Requires="wps">
                  <w:drawing>
                    <wp:anchor distT="0" distB="0" distL="114300" distR="114300" simplePos="0" relativeHeight="251650039" behindDoc="0" locked="0" layoutInCell="1" allowOverlap="1" wp14:anchorId="679D54F5" wp14:editId="7F8216A3">
                      <wp:simplePos x="0" y="0"/>
                      <wp:positionH relativeFrom="column">
                        <wp:posOffset>1507979</wp:posOffset>
                      </wp:positionH>
                      <wp:positionV relativeFrom="paragraph">
                        <wp:posOffset>3322</wp:posOffset>
                      </wp:positionV>
                      <wp:extent cx="274320" cy="0"/>
                      <wp:effectExtent l="0" t="76200" r="11430" b="114300"/>
                      <wp:wrapNone/>
                      <wp:docPr id="24" name="Straight Arrow Connector 24"/>
                      <wp:cNvGraphicFramePr/>
                      <a:graphic xmlns:a="http://schemas.openxmlformats.org/drawingml/2006/main">
                        <a:graphicData uri="http://schemas.microsoft.com/office/word/2010/wordprocessingShape">
                          <wps:wsp>
                            <wps:cNvCnPr/>
                            <wps:spPr>
                              <a:xfrm>
                                <a:off x="0" y="0"/>
                                <a:ext cx="2743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125A4D76" id="Straight Arrow Connector 24" o:spid="_x0000_s1026" type="#_x0000_t32" style="position:absolute;margin-left:118.75pt;margin-top:.25pt;width:21.6pt;height:0;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" strokecolor="black [3213]" strokeweight="2pt">
                      <v:stroke endarrow="open"/>
                    </v:shape>
                  </w:pict>
                </mc:Fallback>
              </mc:AlternateContent>
            </w:r>
          </w:p>
          <w:p w14:paraId="34533AA7" w14:textId="5D901638" w:rsidR="00257129" w:rsidRDefault="009962B8" w:rsidP="00257129">
            <w:pPr>
              <w:pStyle w:val="PHEBulletpoint"/>
              <w:numPr>
                <w:ilvl w:val="0"/>
                <w:numId w:val="0"/>
              </w:numPr>
              <w:spacing w:after="10" w:line="300" w:lineRule="exact"/>
              <w:rPr>
                <w:sz w:val="20"/>
                <w:szCs w:val="20"/>
              </w:rPr>
            </w:pPr>
            <w:r w:rsidRPr="005B21E3">
              <w:rPr>
                <w:b/>
                <w:noProof/>
                <w:lang w:eastAsia="en-GB"/>
              </w:rPr>
              <mc:AlternateContent>
                <mc:Choice Requires="wps">
                  <w:drawing>
                    <wp:anchor distT="0" distB="0" distL="114300" distR="114300" simplePos="0" relativeHeight="251652089" behindDoc="0" locked="0" layoutInCell="1" allowOverlap="1" wp14:anchorId="3CF83297" wp14:editId="42D1E231">
                      <wp:simplePos x="0" y="0"/>
                      <wp:positionH relativeFrom="column">
                        <wp:posOffset>4478216</wp:posOffset>
                      </wp:positionH>
                      <wp:positionV relativeFrom="paragraph">
                        <wp:posOffset>35560</wp:posOffset>
                      </wp:positionV>
                      <wp:extent cx="264160" cy="0"/>
                      <wp:effectExtent l="0" t="76200" r="21590" b="114300"/>
                      <wp:wrapNone/>
                      <wp:docPr id="30" name="Straight Arrow Connector 30"/>
                      <wp:cNvGraphicFramePr/>
                      <a:graphic xmlns:a="http://schemas.openxmlformats.org/drawingml/2006/main">
                        <a:graphicData uri="http://schemas.microsoft.com/office/word/2010/wordprocessingShape">
                          <wps:wsp>
                            <wps:cNvCnPr/>
                            <wps:spPr>
                              <a:xfrm>
                                <a:off x="0" y="0"/>
                                <a:ext cx="26416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2791999A" id="Straight Arrow Connector 30" o:spid="_x0000_s1026" type="#_x0000_t32" style="position:absolute;margin-left:352.6pt;margin-top:2.8pt;width:20.8pt;height:0;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" strokecolor="black [3213]" strokeweight="2pt">
                      <v:stroke endarrow="open"/>
                    </v:shape>
                  </w:pict>
                </mc:Fallback>
              </mc:AlternateContent>
            </w:r>
            <w:r w:rsidR="00257129" w:rsidRPr="004C68A2">
              <w:rPr>
                <w:b/>
                <w:noProof/>
                <w:lang w:eastAsia="en-GB"/>
              </w:rPr>
              <mc:AlternateContent>
                <mc:Choice Requires="wps">
                  <w:drawing>
                    <wp:anchor distT="0" distB="0" distL="114300" distR="114300" simplePos="0" relativeHeight="251688960" behindDoc="0" locked="0" layoutInCell="1" allowOverlap="1" wp14:anchorId="3FC21546" wp14:editId="10ECF40C">
                      <wp:simplePos x="0" y="0"/>
                      <wp:positionH relativeFrom="column">
                        <wp:posOffset>-17780</wp:posOffset>
                      </wp:positionH>
                      <wp:positionV relativeFrom="paragraph">
                        <wp:posOffset>71755</wp:posOffset>
                      </wp:positionV>
                      <wp:extent cx="1573530" cy="424180"/>
                      <wp:effectExtent l="0" t="0" r="26670"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424180"/>
                              </a:xfrm>
                              <a:prstGeom prst="rect">
                                <a:avLst/>
                              </a:prstGeom>
                              <a:solidFill>
                                <a:srgbClr val="FFFFCC"/>
                              </a:solidFill>
                              <a:ln w="9525">
                                <a:solidFill>
                                  <a:srgbClr val="000000"/>
                                </a:solidFill>
                                <a:miter lim="800000"/>
                                <a:headEnd/>
                                <a:tailEnd/>
                              </a:ln>
                            </wps:spPr>
                            <wps:txbx>
                              <w:txbxContent>
                                <w:p w14:paraId="51940E13" w14:textId="0D1DFFBA" w:rsidR="00452D42" w:rsidRPr="00530A54" w:rsidRDefault="00452D42" w:rsidP="00257129">
                                  <w:pPr>
                                    <w:spacing w:line="240" w:lineRule="exact"/>
                                    <w:jc w:val="center"/>
                                    <w:rPr>
                                      <w:sz w:val="20"/>
                                      <w:szCs w:val="20"/>
                                      <w:vertAlign w:val="superscript"/>
                                    </w:rPr>
                                  </w:pPr>
                                  <w:r>
                                    <w:rPr>
                                      <w:b/>
                                      <w:sz w:val="20"/>
                                      <w:szCs w:val="20"/>
                                    </w:rPr>
                                    <w:t>AS</w:t>
                                  </w:r>
                                  <w:r w:rsidRPr="00301DE8">
                                    <w:rPr>
                                      <w:b/>
                                      <w:sz w:val="20"/>
                                      <w:szCs w:val="20"/>
                                    </w:rPr>
                                    <w:t>YMPTOMATIC post-HP treatment</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3" w:history="1">
                                    <w:r w:rsidRPr="00301DE8">
                                      <w:rPr>
                                        <w:rStyle w:val="Hyperlink"/>
                                        <w:sz w:val="20"/>
                                        <w:szCs w:val="20"/>
                                        <w:u w:val="none"/>
                                        <w:vertAlign w:val="superscript"/>
                                      </w:rPr>
                                      <w:t>3A-</w:t>
                                    </w:r>
                                  </w:hyperlink>
                                  <w:r w:rsidRPr="00301DE8">
                                    <w:rPr>
                                      <w:sz w:val="20"/>
                                      <w:szCs w:val="20"/>
                                      <w:vertAlign w:val="superscript"/>
                                    </w:rPr>
                                    <w:t>,</w:t>
                                  </w:r>
                                  <w:hyperlink w:anchor="Reference4" w:history="1">
                                    <w:r w:rsidRPr="00301DE8">
                                      <w:rPr>
                                        <w:rStyle w:val="Hyperlink"/>
                                        <w:sz w:val="20"/>
                                        <w:szCs w:val="20"/>
                                        <w:u w:val="none"/>
                                        <w:vertAlign w:val="superscript"/>
                                      </w:rPr>
                                      <w:t>4A-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3FC21546" id="_x0000_s1039" type="#_x0000_t202" style="position:absolute;margin-left:-1.4pt;margin-top:5.65pt;width:123.9pt;height:3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eMKAIAAE0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" fillcolor="#ffc">
                      <v:textbox>
                        <w:txbxContent>
                          <w:p w14:paraId="51940E13" w14:textId="0D1DFFBA" w:rsidR="00452D42" w:rsidRPr="00530A54" w:rsidRDefault="00452D42" w:rsidP="00257129">
                            <w:pPr>
                              <w:spacing w:line="240" w:lineRule="exact"/>
                              <w:jc w:val="center"/>
                              <w:rPr>
                                <w:sz w:val="20"/>
                                <w:szCs w:val="20"/>
                                <w:vertAlign w:val="superscript"/>
                              </w:rPr>
                            </w:pPr>
                            <w:r>
                              <w:rPr>
                                <w:b/>
                                <w:sz w:val="20"/>
                                <w:szCs w:val="20"/>
                              </w:rPr>
                              <w:t>AS</w:t>
                            </w:r>
                            <w:r w:rsidRPr="00301DE8">
                              <w:rPr>
                                <w:b/>
                                <w:sz w:val="20"/>
                                <w:szCs w:val="20"/>
                              </w:rPr>
                              <w:t>YMPTOMATIC post-HP treatment</w:t>
                            </w:r>
                            <w:hyperlink w:anchor="Reference2" w:history="1">
                              <w:r w:rsidRPr="00301DE8">
                                <w:rPr>
                                  <w:rStyle w:val="Hyperlink"/>
                                  <w:sz w:val="20"/>
                                  <w:szCs w:val="20"/>
                                  <w:u w:val="none"/>
                                  <w:vertAlign w:val="superscript"/>
                                </w:rPr>
                                <w:t>2D</w:t>
                              </w:r>
                            </w:hyperlink>
                            <w:r w:rsidRPr="00301DE8">
                              <w:rPr>
                                <w:sz w:val="20"/>
                                <w:szCs w:val="20"/>
                                <w:vertAlign w:val="superscript"/>
                              </w:rPr>
                              <w:t>,</w:t>
                            </w:r>
                            <w:hyperlink w:anchor="Reference3" w:history="1">
                              <w:r w:rsidRPr="00301DE8">
                                <w:rPr>
                                  <w:rStyle w:val="Hyperlink"/>
                                  <w:sz w:val="20"/>
                                  <w:szCs w:val="20"/>
                                  <w:u w:val="none"/>
                                  <w:vertAlign w:val="superscript"/>
                                </w:rPr>
                                <w:t>3A-</w:t>
                              </w:r>
                            </w:hyperlink>
                            <w:r w:rsidRPr="00301DE8">
                              <w:rPr>
                                <w:sz w:val="20"/>
                                <w:szCs w:val="20"/>
                                <w:vertAlign w:val="superscript"/>
                              </w:rPr>
                              <w:t>,</w:t>
                            </w:r>
                            <w:hyperlink w:anchor="Reference4" w:history="1">
                              <w:r w:rsidRPr="00301DE8">
                                <w:rPr>
                                  <w:rStyle w:val="Hyperlink"/>
                                  <w:sz w:val="20"/>
                                  <w:szCs w:val="20"/>
                                  <w:u w:val="none"/>
                                  <w:vertAlign w:val="superscript"/>
                                </w:rPr>
                                <w:t>4A-</w:t>
                              </w:r>
                            </w:hyperlink>
                          </w:p>
                        </w:txbxContent>
                      </v:textbox>
                    </v:shape>
                  </w:pict>
                </mc:Fallback>
              </mc:AlternateContent>
            </w:r>
          </w:p>
          <w:p w14:paraId="77FDE6BD" w14:textId="056F46C0" w:rsidR="00257129" w:rsidRDefault="009962B8" w:rsidP="00257129">
            <w:pPr>
              <w:pStyle w:val="PHEBulletpoint"/>
              <w:numPr>
                <w:ilvl w:val="0"/>
                <w:numId w:val="0"/>
              </w:numPr>
              <w:spacing w:after="10" w:line="300" w:lineRule="exact"/>
              <w:rPr>
                <w:sz w:val="20"/>
                <w:szCs w:val="20"/>
              </w:rPr>
            </w:pPr>
            <w:r w:rsidRPr="005B21E3">
              <w:rPr>
                <w:b/>
                <w:noProof/>
                <w:lang w:eastAsia="en-GB"/>
              </w:rPr>
              <mc:AlternateContent>
                <mc:Choice Requires="wps">
                  <w:drawing>
                    <wp:anchor distT="0" distB="0" distL="114300" distR="114300" simplePos="0" relativeHeight="251703296" behindDoc="0" locked="0" layoutInCell="1" allowOverlap="1" wp14:anchorId="18F9F491" wp14:editId="44DBE480">
                      <wp:simplePos x="0" y="0"/>
                      <wp:positionH relativeFrom="column">
                        <wp:posOffset>1556238</wp:posOffset>
                      </wp:positionH>
                      <wp:positionV relativeFrom="paragraph">
                        <wp:posOffset>97643</wp:posOffset>
                      </wp:positionV>
                      <wp:extent cx="1269512" cy="0"/>
                      <wp:effectExtent l="0" t="76200" r="26035" b="114300"/>
                      <wp:wrapNone/>
                      <wp:docPr id="28" name="Straight Arrow Connector 28"/>
                      <wp:cNvGraphicFramePr/>
                      <a:graphic xmlns:a="http://schemas.openxmlformats.org/drawingml/2006/main">
                        <a:graphicData uri="http://schemas.microsoft.com/office/word/2010/wordprocessingShape">
                          <wps:wsp>
                            <wps:cNvCnPr/>
                            <wps:spPr>
                              <a:xfrm>
                                <a:off x="0" y="0"/>
                                <a:ext cx="1269512"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2AFBD710" id="Straight Arrow Connector 28" o:spid="_x0000_s1026" type="#_x0000_t32" style="position:absolute;margin-left:122.55pt;margin-top:7.7pt;width:99.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" strokecolor="black [3213]" strokeweight="2pt">
                      <v:stroke endarrow="open"/>
                    </v:shape>
                  </w:pict>
                </mc:Fallback>
              </mc:AlternateContent>
            </w:r>
          </w:p>
          <w:p w14:paraId="145E2E75" w14:textId="17A6B711" w:rsidR="00257129" w:rsidRPr="005878F0" w:rsidRDefault="00257129" w:rsidP="00257129">
            <w:pPr>
              <w:pStyle w:val="PHEBulletpoint"/>
              <w:numPr>
                <w:ilvl w:val="0"/>
                <w:numId w:val="0"/>
              </w:numPr>
              <w:spacing w:after="10" w:line="300" w:lineRule="exact"/>
              <w:rPr>
                <w:sz w:val="20"/>
                <w:szCs w:val="20"/>
              </w:rPr>
            </w:pPr>
          </w:p>
        </w:tc>
      </w:tr>
    </w:tbl>
    <w:p w14:paraId="4B7BA8F9" w14:textId="77777777" w:rsidR="004444E4" w:rsidRDefault="004444E4" w:rsidP="00FB29FC">
      <w:pPr>
        <w:spacing w:after="240" w:line="280" w:lineRule="exact"/>
      </w:pPr>
    </w:p>
    <w:tbl>
      <w:tblPr>
        <w:tblStyle w:val="TableGrid"/>
        <w:tblW w:w="10916" w:type="dxa"/>
        <w:tblInd w:w="-176" w:type="dxa"/>
        <w:tblLook w:val="04A0" w:firstRow="1" w:lastRow="0" w:firstColumn="1" w:lastColumn="0" w:noHBand="0" w:noVBand="1"/>
      </w:tblPr>
      <w:tblGrid>
        <w:gridCol w:w="10916"/>
      </w:tblGrid>
      <w:tr w:rsidR="00A45047" w:rsidRPr="0026246E" w14:paraId="576CCB1B" w14:textId="77777777" w:rsidTr="00FB29FC">
        <w:tc>
          <w:tcPr>
            <w:tcW w:w="10916" w:type="dxa"/>
            <w:tcBorders>
              <w:top w:val="single" w:sz="4" w:space="0" w:color="auto"/>
            </w:tcBorders>
            <w:shd w:val="clear" w:color="auto" w:fill="D9D9D9" w:themeFill="background1" w:themeFillShade="D9"/>
            <w:vAlign w:val="center"/>
          </w:tcPr>
          <w:p w14:paraId="620E3DFC" w14:textId="08D073D6" w:rsidR="00A45047" w:rsidRPr="009962B8" w:rsidRDefault="009962B8" w:rsidP="00FB29FC">
            <w:pPr>
              <w:spacing w:before="10" w:after="10" w:line="300" w:lineRule="exact"/>
              <w:jc w:val="center"/>
              <w:rPr>
                <w:b/>
                <w:highlight w:val="yellow"/>
              </w:rPr>
            </w:pPr>
            <w:r>
              <w:rPr>
                <w:b/>
                <w:color w:val="98002E"/>
              </w:rPr>
              <w:t xml:space="preserve">TREATMENT REGIMENS FOR </w:t>
            </w:r>
            <w:r w:rsidRPr="009962B8">
              <w:rPr>
                <w:b/>
                <w:i/>
                <w:color w:val="98002E"/>
              </w:rPr>
              <w:t>HELICOBACTER PYLORI</w:t>
            </w:r>
          </w:p>
        </w:tc>
      </w:tr>
      <w:tr w:rsidR="009962B8" w:rsidRPr="0026246E" w14:paraId="78FD629C" w14:textId="77777777" w:rsidTr="00523323">
        <w:tc>
          <w:tcPr>
            <w:tcW w:w="10916" w:type="dxa"/>
            <w:tcBorders>
              <w:top w:val="single" w:sz="4" w:space="0" w:color="auto"/>
              <w:right w:val="nil"/>
            </w:tcBorders>
          </w:tcPr>
          <w:p w14:paraId="2ABA3D75" w14:textId="2C224836" w:rsidR="009962B8" w:rsidRDefault="00E2120F" w:rsidP="008901DD">
            <w:pPr>
              <w:pStyle w:val="PHEBulletpoint"/>
              <w:numPr>
                <w:ilvl w:val="0"/>
                <w:numId w:val="22"/>
              </w:numPr>
              <w:spacing w:before="10" w:line="300" w:lineRule="exact"/>
              <w:ind w:left="357" w:hanging="357"/>
            </w:pPr>
            <w:r>
              <w:t xml:space="preserve">Check </w:t>
            </w:r>
            <w:r w:rsidR="003B3F24">
              <w:t>antibiotic history as</w:t>
            </w:r>
            <w:r w:rsidR="009962B8">
              <w:t xml:space="preserve"> each additional course of </w:t>
            </w:r>
            <w:r w:rsidR="00523323">
              <w:t>clarithromycin</w:t>
            </w:r>
            <w:r w:rsidR="009962B8">
              <w:t xml:space="preserve">, </w:t>
            </w:r>
            <w:r w:rsidR="002757D0">
              <w:t>m</w:t>
            </w:r>
            <w:r w:rsidR="00523323">
              <w:t>etronidazole</w:t>
            </w:r>
            <w:r w:rsidR="009962B8">
              <w:t xml:space="preserve"> or </w:t>
            </w:r>
            <w:r w:rsidR="00523323">
              <w:t>quinolone</w:t>
            </w:r>
            <w:r w:rsidR="002757D0">
              <w:t xml:space="preserve"> increases </w:t>
            </w:r>
            <w:r w:rsidR="00523323">
              <w:t>resistan</w:t>
            </w:r>
            <w:r w:rsidR="00523323" w:rsidRPr="00301DE8">
              <w:t>ce</w:t>
            </w:r>
            <w:r w:rsidR="002757D0" w:rsidRPr="00301DE8">
              <w:t xml:space="preserve"> risk</w:t>
            </w:r>
            <w:r w:rsidR="00523323" w:rsidRPr="00301DE8">
              <w:t>.</w:t>
            </w:r>
            <w:hyperlink w:anchor="Reference11" w:history="1">
              <w:r w:rsidR="002757D0" w:rsidRPr="00301DE8">
                <w:rPr>
                  <w:rStyle w:val="Hyperlink"/>
                  <w:u w:val="none"/>
                  <w:vertAlign w:val="superscript"/>
                </w:rPr>
                <w:t>11D</w:t>
              </w:r>
            </w:hyperlink>
            <w:r w:rsidR="002757D0" w:rsidRPr="00301DE8">
              <w:rPr>
                <w:vertAlign w:val="superscript"/>
              </w:rPr>
              <w:t>,</w:t>
            </w:r>
            <w:hyperlink w:anchor="Reference22" w:history="1">
              <w:r w:rsidR="002757D0" w:rsidRPr="00301DE8">
                <w:rPr>
                  <w:rStyle w:val="Hyperlink"/>
                  <w:u w:val="none"/>
                  <w:vertAlign w:val="superscript"/>
                </w:rPr>
                <w:t>22</w:t>
              </w:r>
              <w:r w:rsidR="004B3364" w:rsidRPr="00301DE8">
                <w:rPr>
                  <w:rStyle w:val="Hyperlink"/>
                  <w:u w:val="none"/>
                  <w:vertAlign w:val="superscript"/>
                </w:rPr>
                <w:t>A+</w:t>
              </w:r>
            </w:hyperlink>
            <w:r w:rsidR="002757D0" w:rsidRPr="00301DE8">
              <w:rPr>
                <w:vertAlign w:val="superscript"/>
              </w:rPr>
              <w:t>,</w:t>
            </w:r>
            <w:hyperlink w:anchor="Reference29" w:history="1">
              <w:r w:rsidR="00A81DA3" w:rsidRPr="00301DE8">
                <w:rPr>
                  <w:rStyle w:val="Hyperlink"/>
                  <w:u w:val="none"/>
                  <w:vertAlign w:val="superscript"/>
                </w:rPr>
                <w:t>29</w:t>
              </w:r>
              <w:r w:rsidR="002757D0" w:rsidRPr="00301DE8">
                <w:rPr>
                  <w:rStyle w:val="Hyperlink"/>
                  <w:u w:val="none"/>
                  <w:vertAlign w:val="superscript"/>
                </w:rPr>
                <w:t>B-</w:t>
              </w:r>
            </w:hyperlink>
            <w:r w:rsidR="00C1255D" w:rsidRPr="00301DE8">
              <w:rPr>
                <w:vertAlign w:val="superscript"/>
              </w:rPr>
              <w:t>,</w:t>
            </w:r>
            <w:hyperlink w:anchor="Reference30" w:history="1">
              <w:r w:rsidR="00A81DA3" w:rsidRPr="00301DE8">
                <w:rPr>
                  <w:rStyle w:val="Hyperlink"/>
                  <w:u w:val="none"/>
                  <w:vertAlign w:val="superscript"/>
                </w:rPr>
                <w:t>30</w:t>
              </w:r>
              <w:r w:rsidR="00C1255D" w:rsidRPr="00301DE8">
                <w:rPr>
                  <w:rStyle w:val="Hyperlink"/>
                  <w:u w:val="none"/>
                  <w:vertAlign w:val="superscript"/>
                </w:rPr>
                <w:t>A-</w:t>
              </w:r>
            </w:hyperlink>
            <w:r w:rsidR="00C1255D" w:rsidRPr="00301DE8">
              <w:rPr>
                <w:vertAlign w:val="superscript"/>
              </w:rPr>
              <w:t>,</w:t>
            </w:r>
            <w:hyperlink w:anchor="Reference31" w:history="1">
              <w:r w:rsidR="00A81DA3" w:rsidRPr="00301DE8">
                <w:rPr>
                  <w:rStyle w:val="Hyperlink"/>
                  <w:u w:val="none"/>
                  <w:vertAlign w:val="superscript"/>
                </w:rPr>
                <w:t>31</w:t>
              </w:r>
              <w:r w:rsidR="004B3364" w:rsidRPr="00301DE8">
                <w:rPr>
                  <w:rStyle w:val="Hyperlink"/>
                  <w:u w:val="none"/>
                  <w:vertAlign w:val="superscript"/>
                </w:rPr>
                <w:t>A+</w:t>
              </w:r>
            </w:hyperlink>
            <w:r w:rsidR="003B3F24" w:rsidRPr="00301DE8">
              <w:rPr>
                <w:vertAlign w:val="superscript"/>
              </w:rPr>
              <w:t>,</w:t>
            </w:r>
            <w:hyperlink w:anchor="Reference32" w:history="1">
              <w:r w:rsidR="00A81DA3" w:rsidRPr="00301DE8">
                <w:rPr>
                  <w:rStyle w:val="Hyperlink"/>
                  <w:u w:val="none"/>
                  <w:vertAlign w:val="superscript"/>
                </w:rPr>
                <w:t>32</w:t>
              </w:r>
              <w:r w:rsidR="003B3F24" w:rsidRPr="00301DE8">
                <w:rPr>
                  <w:rStyle w:val="Hyperlink"/>
                  <w:u w:val="none"/>
                  <w:vertAlign w:val="superscript"/>
                </w:rPr>
                <w:t>A-</w:t>
              </w:r>
            </w:hyperlink>
            <w:r w:rsidR="003B3F24" w:rsidRPr="00301DE8">
              <w:t xml:space="preserve"> Stress the importance of compliance.</w:t>
            </w:r>
            <w:hyperlink w:anchor="Reference2" w:history="1">
              <w:r w:rsidR="00887BD8" w:rsidRPr="00301DE8">
                <w:rPr>
                  <w:rStyle w:val="Hyperlink"/>
                  <w:u w:val="none"/>
                  <w:vertAlign w:val="superscript"/>
                </w:rPr>
                <w:t>2</w:t>
              </w:r>
              <w:r w:rsidR="006D4343" w:rsidRPr="00301DE8">
                <w:rPr>
                  <w:rStyle w:val="Hyperlink"/>
                  <w:u w:val="none"/>
                  <w:vertAlign w:val="superscript"/>
                </w:rPr>
                <w:t>A-</w:t>
              </w:r>
            </w:hyperlink>
            <w:r w:rsidR="00887BD8" w:rsidRPr="00301DE8">
              <w:rPr>
                <w:vertAlign w:val="superscript"/>
              </w:rPr>
              <w:t>,</w:t>
            </w:r>
            <w:hyperlink w:anchor="Reference27" w:history="1">
              <w:r w:rsidR="00A81DA3" w:rsidRPr="00301DE8">
                <w:rPr>
                  <w:rStyle w:val="Hyperlink"/>
                  <w:u w:val="none"/>
                  <w:vertAlign w:val="superscript"/>
                </w:rPr>
                <w:t>27</w:t>
              </w:r>
              <w:r w:rsidR="003B3F24" w:rsidRPr="00301DE8">
                <w:rPr>
                  <w:rStyle w:val="Hyperlink"/>
                  <w:u w:val="none"/>
                  <w:vertAlign w:val="superscript"/>
                </w:rPr>
                <w:t>C</w:t>
              </w:r>
            </w:hyperlink>
            <w:r w:rsidR="003B3F24" w:rsidRPr="00301DE8">
              <w:rPr>
                <w:vertAlign w:val="superscript"/>
              </w:rPr>
              <w:t>,</w:t>
            </w:r>
            <w:hyperlink w:anchor="Reference32" w:history="1">
              <w:r w:rsidR="00A81DA3" w:rsidRPr="00301DE8">
                <w:rPr>
                  <w:rStyle w:val="Hyperlink"/>
                  <w:u w:val="none"/>
                  <w:vertAlign w:val="superscript"/>
                </w:rPr>
                <w:t>32</w:t>
              </w:r>
              <w:r w:rsidR="003B3F24" w:rsidRPr="00301DE8">
                <w:rPr>
                  <w:rStyle w:val="Hyperlink"/>
                  <w:u w:val="none"/>
                  <w:vertAlign w:val="superscript"/>
                </w:rPr>
                <w:t>A-</w:t>
              </w:r>
            </w:hyperlink>
          </w:p>
          <w:p w14:paraId="45D473F7" w14:textId="1207FDD2" w:rsidR="008A6E4F" w:rsidRDefault="00E2120F" w:rsidP="00E2120F">
            <w:pPr>
              <w:pStyle w:val="PHEBulletpoint"/>
              <w:numPr>
                <w:ilvl w:val="0"/>
                <w:numId w:val="0"/>
              </w:numPr>
              <w:spacing w:line="280" w:lineRule="exact"/>
            </w:pPr>
            <w:r w:rsidRPr="004C68A2">
              <w:rPr>
                <w:b/>
                <w:noProof/>
                <w:lang w:eastAsia="en-GB"/>
              </w:rPr>
              <mc:AlternateContent>
                <mc:Choice Requires="wps">
                  <w:drawing>
                    <wp:anchor distT="0" distB="0" distL="114300" distR="114300" simplePos="0" relativeHeight="251709440" behindDoc="0" locked="0" layoutInCell="1" allowOverlap="1" wp14:anchorId="7FE62E83" wp14:editId="5C8EF361">
                      <wp:simplePos x="0" y="0"/>
                      <wp:positionH relativeFrom="column">
                        <wp:posOffset>720725</wp:posOffset>
                      </wp:positionH>
                      <wp:positionV relativeFrom="paragraph">
                        <wp:posOffset>8255</wp:posOffset>
                      </wp:positionV>
                      <wp:extent cx="2082800" cy="262255"/>
                      <wp:effectExtent l="0" t="0"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62255"/>
                              </a:xfrm>
                              <a:prstGeom prst="rect">
                                <a:avLst/>
                              </a:prstGeom>
                              <a:noFill/>
                              <a:ln w="9525">
                                <a:noFill/>
                                <a:miter lim="800000"/>
                                <a:headEnd/>
                                <a:tailEnd/>
                              </a:ln>
                            </wps:spPr>
                            <wps:txbx>
                              <w:txbxContent>
                                <w:p w14:paraId="212C1E30" w14:textId="6EC3D3F4" w:rsidR="00452D42" w:rsidRPr="008A6E4F" w:rsidRDefault="00452D42" w:rsidP="008A6E4F">
                                  <w:pPr>
                                    <w:spacing w:line="240" w:lineRule="exact"/>
                                    <w:jc w:val="center"/>
                                    <w:rPr>
                                      <w:b/>
                                      <w:szCs w:val="24"/>
                                    </w:rPr>
                                  </w:pPr>
                                  <w:r w:rsidRPr="008A6E4F">
                                    <w:rPr>
                                      <w:b/>
                                      <w:szCs w:val="24"/>
                                    </w:rPr>
                                    <w:t>NO PENICILLIN ALLERGY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7FE62E83" id="_x0000_s1040" type="#_x0000_t202" style="position:absolute;margin-left:56.75pt;margin-top:.65pt;width:164pt;height:2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" filled="f" stroked="f">
                      <v:textbox>
                        <w:txbxContent>
                          <w:p w14:paraId="212C1E30" w14:textId="6EC3D3F4" w:rsidR="00452D42" w:rsidRPr="008A6E4F" w:rsidRDefault="00452D42" w:rsidP="008A6E4F">
                            <w:pPr>
                              <w:spacing w:line="240" w:lineRule="exact"/>
                              <w:jc w:val="center"/>
                              <w:rPr>
                                <w:b/>
                                <w:szCs w:val="24"/>
                              </w:rPr>
                            </w:pPr>
                            <w:r w:rsidRPr="008A6E4F">
                              <w:rPr>
                                <w:b/>
                                <w:szCs w:val="24"/>
                              </w:rPr>
                              <w:t>NO PENICILLIN ALLERGY</w:t>
                            </w:r>
                          </w:p>
                        </w:txbxContent>
                      </v:textbox>
                    </v:shape>
                  </w:pict>
                </mc:Fallback>
              </mc:AlternateContent>
            </w:r>
            <w:r w:rsidRPr="004C68A2">
              <w:rPr>
                <w:b/>
                <w:noProof/>
                <w:lang w:eastAsia="en-GB"/>
              </w:rPr>
              <mc:AlternateContent>
                <mc:Choice Requires="wps">
                  <w:drawing>
                    <wp:anchor distT="0" distB="0" distL="114300" distR="114300" simplePos="0" relativeHeight="251711488" behindDoc="0" locked="0" layoutInCell="1" allowOverlap="1" wp14:anchorId="55EDD562" wp14:editId="31799A44">
                      <wp:simplePos x="0" y="0"/>
                      <wp:positionH relativeFrom="column">
                        <wp:posOffset>4258310</wp:posOffset>
                      </wp:positionH>
                      <wp:positionV relativeFrom="paragraph">
                        <wp:posOffset>7620</wp:posOffset>
                      </wp:positionV>
                      <wp:extent cx="1859915" cy="262255"/>
                      <wp:effectExtent l="0" t="0" r="0" b="444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62255"/>
                              </a:xfrm>
                              <a:prstGeom prst="rect">
                                <a:avLst/>
                              </a:prstGeom>
                              <a:noFill/>
                              <a:ln w="9525">
                                <a:noFill/>
                                <a:miter lim="800000"/>
                                <a:headEnd/>
                                <a:tailEnd/>
                              </a:ln>
                            </wps:spPr>
                            <wps:txbx>
                              <w:txbxContent>
                                <w:p w14:paraId="0074A86C" w14:textId="7D4A31A6" w:rsidR="00452D42" w:rsidRPr="008A6E4F" w:rsidRDefault="00452D42" w:rsidP="008A6E4F">
                                  <w:pPr>
                                    <w:spacing w:line="240" w:lineRule="exact"/>
                                    <w:jc w:val="center"/>
                                    <w:rPr>
                                      <w:b/>
                                      <w:szCs w:val="24"/>
                                    </w:rPr>
                                  </w:pPr>
                                  <w:r w:rsidRPr="008A6E4F">
                                    <w:rPr>
                                      <w:b/>
                                      <w:szCs w:val="24"/>
                                    </w:rPr>
                                    <w:t>PENICILLIN ALLERGY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5EDD562" id="_x0000_s1041" type="#_x0000_t202" style="position:absolute;margin-left:335.3pt;margin-top:.6pt;width:146.45pt;height:2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" filled="f" stroked="f">
                      <v:textbox>
                        <w:txbxContent>
                          <w:p w14:paraId="0074A86C" w14:textId="7D4A31A6" w:rsidR="00452D42" w:rsidRPr="008A6E4F" w:rsidRDefault="00452D42" w:rsidP="008A6E4F">
                            <w:pPr>
                              <w:spacing w:line="240" w:lineRule="exact"/>
                              <w:jc w:val="center"/>
                              <w:rPr>
                                <w:b/>
                                <w:szCs w:val="24"/>
                              </w:rPr>
                            </w:pPr>
                            <w:r w:rsidRPr="008A6E4F">
                              <w:rPr>
                                <w:b/>
                                <w:szCs w:val="24"/>
                              </w:rPr>
                              <w:t>PENICILLIN ALLERGY</w:t>
                            </w:r>
                          </w:p>
                        </w:txbxContent>
                      </v:textbox>
                    </v:shape>
                  </w:pict>
                </mc:Fallback>
              </mc:AlternateContent>
            </w:r>
          </w:p>
          <w:p w14:paraId="0271A8FF" w14:textId="5D5FEF96" w:rsidR="008A6E4F" w:rsidRDefault="007A0EA9" w:rsidP="00E2120F">
            <w:pPr>
              <w:pStyle w:val="PHEBulletpoint"/>
              <w:numPr>
                <w:ilvl w:val="0"/>
                <w:numId w:val="0"/>
              </w:numPr>
              <w:spacing w:line="280" w:lineRule="exact"/>
            </w:pPr>
            <w:r w:rsidRPr="004C68A2">
              <w:rPr>
                <w:b/>
                <w:noProof/>
                <w:lang w:eastAsia="en-GB"/>
              </w:rPr>
              <mc:AlternateContent>
                <mc:Choice Requires="wps">
                  <w:drawing>
                    <wp:anchor distT="0" distB="0" distL="114300" distR="114300" simplePos="0" relativeHeight="251727872" behindDoc="0" locked="0" layoutInCell="1" allowOverlap="1" wp14:anchorId="358C3D63" wp14:editId="2BFB84BB">
                      <wp:simplePos x="0" y="0"/>
                      <wp:positionH relativeFrom="column">
                        <wp:posOffset>3477895</wp:posOffset>
                      </wp:positionH>
                      <wp:positionV relativeFrom="paragraph">
                        <wp:posOffset>90170</wp:posOffset>
                      </wp:positionV>
                      <wp:extent cx="3396615" cy="575945"/>
                      <wp:effectExtent l="0" t="0" r="13335" b="146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575945"/>
                              </a:xfrm>
                              <a:prstGeom prst="rect">
                                <a:avLst/>
                              </a:prstGeom>
                              <a:solidFill>
                                <a:srgbClr val="FFFFCC"/>
                              </a:solidFill>
                              <a:ln w="9525">
                                <a:solidFill>
                                  <a:srgbClr val="000000"/>
                                </a:solidFill>
                                <a:miter lim="800000"/>
                                <a:headEnd/>
                                <a:tailEnd/>
                              </a:ln>
                            </wps:spPr>
                            <wps:txbx>
                              <w:txbxContent>
                                <w:p w14:paraId="276F9C77" w14:textId="46B48B58" w:rsidR="00452D42" w:rsidRDefault="00452D42" w:rsidP="00DB3EF2">
                                  <w:pPr>
                                    <w:spacing w:after="10" w:line="240" w:lineRule="exact"/>
                                    <w:jc w:val="center"/>
                                    <w:rPr>
                                      <w:sz w:val="20"/>
                                      <w:szCs w:val="20"/>
                                    </w:rPr>
                                  </w:pPr>
                                  <w:r>
                                    <w:rPr>
                                      <w:b/>
                                      <w:sz w:val="20"/>
                                      <w:szCs w:val="20"/>
                                    </w:rPr>
                                    <w:t>FIRST-LINE: 7 days,</w:t>
                                  </w:r>
                                  <w:r w:rsidRPr="00301DE8">
                                    <w:rPr>
                                      <w:b/>
                                      <w:sz w:val="20"/>
                                      <w:szCs w:val="20"/>
                                    </w:rPr>
                                    <w:t xml:space="preserve"> PPI twice daily</w:t>
                                  </w:r>
                                  <w:hyperlink w:anchor="Reference2" w:history="1">
                                    <w:r w:rsidRPr="00301DE8">
                                      <w:rPr>
                                        <w:rStyle w:val="Hyperlink"/>
                                        <w:sz w:val="20"/>
                                        <w:szCs w:val="20"/>
                                        <w:u w:val="none"/>
                                        <w:vertAlign w:val="superscript"/>
                                      </w:rPr>
                                      <w:t>2A-</w:t>
                                    </w:r>
                                  </w:hyperlink>
                                  <w:r w:rsidRPr="00301DE8">
                                    <w:rPr>
                                      <w:sz w:val="20"/>
                                      <w:szCs w:val="20"/>
                                      <w:vertAlign w:val="superscript"/>
                                    </w:rPr>
                                    <w:t>,</w:t>
                                  </w:r>
                                  <w:hyperlink w:anchor="Reference30" w:history="1">
                                    <w:r w:rsidRPr="00301DE8">
                                      <w:rPr>
                                        <w:rStyle w:val="Hyperlink"/>
                                        <w:sz w:val="20"/>
                                        <w:szCs w:val="20"/>
                                        <w:u w:val="none"/>
                                        <w:vertAlign w:val="superscript"/>
                                      </w:rPr>
                                      <w:t>30A+</w:t>
                                    </w:r>
                                  </w:hyperlink>
                                  <w:r w:rsidRPr="00301DE8">
                                    <w:rPr>
                                      <w:sz w:val="20"/>
                                      <w:szCs w:val="20"/>
                                      <w:vertAlign w:val="superscript"/>
                                    </w:rPr>
                                    <w:t>,</w:t>
                                  </w:r>
                                  <w:hyperlink w:anchor="Reference31" w:history="1">
                                    <w:r w:rsidRPr="00301DE8">
                                      <w:rPr>
                                        <w:rStyle w:val="Hyperlink"/>
                                        <w:sz w:val="20"/>
                                        <w:szCs w:val="20"/>
                                        <w:u w:val="none"/>
                                        <w:vertAlign w:val="superscript"/>
                                      </w:rPr>
                                      <w:t>31A+</w:t>
                                    </w:r>
                                  </w:hyperlink>
                                </w:p>
                                <w:p w14:paraId="443BDA1D" w14:textId="77777777" w:rsidR="00452D42" w:rsidRDefault="00452D42" w:rsidP="00CA4B0C">
                                  <w:pPr>
                                    <w:spacing w:line="240" w:lineRule="exact"/>
                                    <w:jc w:val="center"/>
                                    <w:rPr>
                                      <w:sz w:val="20"/>
                                      <w:szCs w:val="20"/>
                                    </w:rPr>
                                  </w:pPr>
                                  <w:proofErr w:type="gramStart"/>
                                  <w:r>
                                    <w:rPr>
                                      <w:sz w:val="20"/>
                                      <w:szCs w:val="20"/>
                                    </w:rPr>
                                    <w:t>PLUS</w:t>
                                  </w:r>
                                  <w:proofErr w:type="gramEnd"/>
                                  <w:r>
                                    <w:rPr>
                                      <w:sz w:val="20"/>
                                      <w:szCs w:val="20"/>
                                    </w:rPr>
                                    <w:t xml:space="preserve"> clarithromycin 500mg BD</w:t>
                                  </w:r>
                                </w:p>
                                <w:p w14:paraId="0D183E78" w14:textId="472B6B1E" w:rsidR="00452D42" w:rsidRPr="0000243A" w:rsidRDefault="00452D42" w:rsidP="00CA4B0C">
                                  <w:pPr>
                                    <w:spacing w:line="240" w:lineRule="exact"/>
                                    <w:jc w:val="center"/>
                                    <w:rPr>
                                      <w:sz w:val="20"/>
                                      <w:szCs w:val="20"/>
                                    </w:rPr>
                                  </w:pPr>
                                  <w:proofErr w:type="gramStart"/>
                                  <w:r>
                                    <w:rPr>
                                      <w:sz w:val="20"/>
                                      <w:szCs w:val="20"/>
                                    </w:rPr>
                                    <w:t>PLUS</w:t>
                                  </w:r>
                                  <w:proofErr w:type="gramEnd"/>
                                  <w:r>
                                    <w:rPr>
                                      <w:sz w:val="20"/>
                                      <w:szCs w:val="20"/>
                                    </w:rPr>
                                    <w:t xml:space="preserve"> metronidazole 400mg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358C3D63" id="_x0000_s1042" type="#_x0000_t202" style="position:absolute;margin-left:273.85pt;margin-top:7.1pt;width:267.45pt;height:45.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" fillcolor="#ffc">
                      <v:textbox>
                        <w:txbxContent>
                          <w:p w14:paraId="276F9C77" w14:textId="46B48B58" w:rsidR="00452D42" w:rsidRDefault="00452D42" w:rsidP="00DB3EF2">
                            <w:pPr>
                              <w:spacing w:after="10" w:line="240" w:lineRule="exact"/>
                              <w:jc w:val="center"/>
                              <w:rPr>
                                <w:sz w:val="20"/>
                                <w:szCs w:val="20"/>
                              </w:rPr>
                            </w:pPr>
                            <w:r>
                              <w:rPr>
                                <w:b/>
                                <w:sz w:val="20"/>
                                <w:szCs w:val="20"/>
                              </w:rPr>
                              <w:t>FIRST-LINE: 7 days,</w:t>
                            </w:r>
                            <w:r w:rsidRPr="00301DE8">
                              <w:rPr>
                                <w:b/>
                                <w:sz w:val="20"/>
                                <w:szCs w:val="20"/>
                              </w:rPr>
                              <w:t xml:space="preserve"> PPI twice daily</w:t>
                            </w:r>
                            <w:hyperlink w:anchor="Reference2" w:history="1">
                              <w:r w:rsidRPr="00301DE8">
                                <w:rPr>
                                  <w:rStyle w:val="Hyperlink"/>
                                  <w:sz w:val="20"/>
                                  <w:szCs w:val="20"/>
                                  <w:u w:val="none"/>
                                  <w:vertAlign w:val="superscript"/>
                                </w:rPr>
                                <w:t>2A-</w:t>
                              </w:r>
                            </w:hyperlink>
                            <w:r w:rsidRPr="00301DE8">
                              <w:rPr>
                                <w:sz w:val="20"/>
                                <w:szCs w:val="20"/>
                                <w:vertAlign w:val="superscript"/>
                              </w:rPr>
                              <w:t>,</w:t>
                            </w:r>
                            <w:hyperlink w:anchor="Reference30" w:history="1">
                              <w:r w:rsidRPr="00301DE8">
                                <w:rPr>
                                  <w:rStyle w:val="Hyperlink"/>
                                  <w:sz w:val="20"/>
                                  <w:szCs w:val="20"/>
                                  <w:u w:val="none"/>
                                  <w:vertAlign w:val="superscript"/>
                                </w:rPr>
                                <w:t>30A+</w:t>
                              </w:r>
                            </w:hyperlink>
                            <w:r w:rsidRPr="00301DE8">
                              <w:rPr>
                                <w:sz w:val="20"/>
                                <w:szCs w:val="20"/>
                                <w:vertAlign w:val="superscript"/>
                              </w:rPr>
                              <w:t>,</w:t>
                            </w:r>
                            <w:hyperlink w:anchor="Reference31" w:history="1">
                              <w:r w:rsidRPr="00301DE8">
                                <w:rPr>
                                  <w:rStyle w:val="Hyperlink"/>
                                  <w:sz w:val="20"/>
                                  <w:szCs w:val="20"/>
                                  <w:u w:val="none"/>
                                  <w:vertAlign w:val="superscript"/>
                                </w:rPr>
                                <w:t>31A+</w:t>
                              </w:r>
                            </w:hyperlink>
                          </w:p>
                          <w:p w14:paraId="443BDA1D" w14:textId="77777777" w:rsidR="00452D42" w:rsidRDefault="00452D42" w:rsidP="00CA4B0C">
                            <w:pPr>
                              <w:spacing w:line="240" w:lineRule="exact"/>
                              <w:jc w:val="center"/>
                              <w:rPr>
                                <w:sz w:val="20"/>
                                <w:szCs w:val="20"/>
                              </w:rPr>
                            </w:pPr>
                            <w:r>
                              <w:rPr>
                                <w:sz w:val="20"/>
                                <w:szCs w:val="20"/>
                              </w:rPr>
                              <w:t>PLUS clarithromycin 500mg BD</w:t>
                            </w:r>
                          </w:p>
                          <w:p w14:paraId="0D183E78" w14:textId="472B6B1E" w:rsidR="00452D42" w:rsidRPr="0000243A" w:rsidRDefault="00452D42" w:rsidP="00CA4B0C">
                            <w:pPr>
                              <w:spacing w:line="240" w:lineRule="exact"/>
                              <w:jc w:val="center"/>
                              <w:rPr>
                                <w:sz w:val="20"/>
                                <w:szCs w:val="20"/>
                              </w:rPr>
                            </w:pPr>
                            <w:r>
                              <w:rPr>
                                <w:sz w:val="20"/>
                                <w:szCs w:val="20"/>
                              </w:rPr>
                              <w:t>PLUS metronidazole 400mg BD</w:t>
                            </w:r>
                          </w:p>
                        </w:txbxContent>
                      </v:textbox>
                    </v:shape>
                  </w:pict>
                </mc:Fallback>
              </mc:AlternateContent>
            </w:r>
            <w:r w:rsidR="008376B6" w:rsidRPr="004C68A2">
              <w:rPr>
                <w:b/>
                <w:noProof/>
                <w:lang w:eastAsia="en-GB"/>
              </w:rPr>
              <mc:AlternateContent>
                <mc:Choice Requires="wps">
                  <w:drawing>
                    <wp:anchor distT="0" distB="0" distL="114300" distR="114300" simplePos="0" relativeHeight="251713536" behindDoc="0" locked="0" layoutInCell="1" allowOverlap="1" wp14:anchorId="5F697D49" wp14:editId="44773365">
                      <wp:simplePos x="0" y="0"/>
                      <wp:positionH relativeFrom="column">
                        <wp:posOffset>-11760</wp:posOffset>
                      </wp:positionH>
                      <wp:positionV relativeFrom="paragraph">
                        <wp:posOffset>96520</wp:posOffset>
                      </wp:positionV>
                      <wp:extent cx="3402330" cy="733425"/>
                      <wp:effectExtent l="0" t="0" r="26670"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733425"/>
                              </a:xfrm>
                              <a:prstGeom prst="rect">
                                <a:avLst/>
                              </a:prstGeom>
                              <a:solidFill>
                                <a:srgbClr val="FFFFCC"/>
                              </a:solidFill>
                              <a:ln w="9525">
                                <a:solidFill>
                                  <a:srgbClr val="000000"/>
                                </a:solidFill>
                                <a:miter lim="800000"/>
                                <a:headEnd/>
                                <a:tailEnd/>
                              </a:ln>
                            </wps:spPr>
                            <wps:txbx>
                              <w:txbxContent>
                                <w:p w14:paraId="7F9A958B" w14:textId="623DD176" w:rsidR="00452D42" w:rsidRPr="00AB26C2" w:rsidRDefault="00452D42" w:rsidP="005A215B">
                                  <w:pPr>
                                    <w:spacing w:after="10" w:line="240" w:lineRule="exact"/>
                                    <w:jc w:val="center"/>
                                    <w:rPr>
                                      <w:sz w:val="20"/>
                                      <w:szCs w:val="20"/>
                                    </w:rPr>
                                  </w:pPr>
                                  <w:r>
                                    <w:rPr>
                                      <w:b/>
                                      <w:sz w:val="20"/>
                                      <w:szCs w:val="20"/>
                                    </w:rPr>
                                    <w:t xml:space="preserve">FIRST-LINE: 7 days, PPI </w:t>
                                  </w:r>
                                  <w:r w:rsidRPr="006D4343">
                                    <w:rPr>
                                      <w:b/>
                                      <w:sz w:val="20"/>
                                      <w:szCs w:val="20"/>
                                    </w:rPr>
                                    <w:t>t</w:t>
                                  </w:r>
                                  <w:r w:rsidRPr="00301DE8">
                                    <w:rPr>
                                      <w:b/>
                                      <w:sz w:val="20"/>
                                      <w:szCs w:val="20"/>
                                    </w:rPr>
                                    <w:t>wice daily</w:t>
                                  </w:r>
                                  <w:hyperlink w:anchor="Reference2" w:history="1">
                                    <w:r w:rsidRPr="00301DE8">
                                      <w:rPr>
                                        <w:rStyle w:val="Hyperlink"/>
                                        <w:sz w:val="20"/>
                                        <w:szCs w:val="20"/>
                                        <w:u w:val="none"/>
                                        <w:vertAlign w:val="superscript"/>
                                      </w:rPr>
                                      <w:t>2A-</w:t>
                                    </w:r>
                                  </w:hyperlink>
                                  <w:r w:rsidRPr="00301DE8">
                                    <w:rPr>
                                      <w:sz w:val="20"/>
                                      <w:szCs w:val="20"/>
                                      <w:vertAlign w:val="superscript"/>
                                    </w:rPr>
                                    <w:t>,</w:t>
                                  </w:r>
                                  <w:hyperlink w:anchor="Reference30" w:history="1">
                                    <w:r w:rsidRPr="00301DE8">
                                      <w:rPr>
                                        <w:rStyle w:val="Hyperlink"/>
                                        <w:sz w:val="20"/>
                                        <w:szCs w:val="20"/>
                                        <w:u w:val="none"/>
                                        <w:vertAlign w:val="superscript"/>
                                      </w:rPr>
                                      <w:t>30A-</w:t>
                                    </w:r>
                                  </w:hyperlink>
                                  <w:r w:rsidRPr="00301DE8">
                                    <w:rPr>
                                      <w:sz w:val="20"/>
                                      <w:szCs w:val="20"/>
                                      <w:vertAlign w:val="superscript"/>
                                    </w:rPr>
                                    <w:t>,</w:t>
                                  </w:r>
                                  <w:hyperlink w:anchor="Reference31" w:history="1">
                                    <w:r w:rsidRPr="00301DE8">
                                      <w:rPr>
                                        <w:rStyle w:val="Hyperlink"/>
                                        <w:sz w:val="20"/>
                                        <w:szCs w:val="20"/>
                                        <w:u w:val="none"/>
                                        <w:vertAlign w:val="superscript"/>
                                      </w:rPr>
                                      <w:t>31A+</w:t>
                                    </w:r>
                                  </w:hyperlink>
                                </w:p>
                                <w:p w14:paraId="78A8CDE1" w14:textId="77777777" w:rsidR="00452D42" w:rsidRDefault="00452D42" w:rsidP="005A215B">
                                  <w:pPr>
                                    <w:spacing w:line="240" w:lineRule="exact"/>
                                    <w:jc w:val="center"/>
                                    <w:rPr>
                                      <w:sz w:val="20"/>
                                      <w:szCs w:val="20"/>
                                    </w:rPr>
                                  </w:pPr>
                                  <w:proofErr w:type="gramStart"/>
                                  <w:r>
                                    <w:rPr>
                                      <w:sz w:val="20"/>
                                      <w:szCs w:val="20"/>
                                    </w:rPr>
                                    <w:t>PLUS</w:t>
                                  </w:r>
                                  <w:proofErr w:type="gramEnd"/>
                                  <w:r>
                                    <w:rPr>
                                      <w:sz w:val="20"/>
                                      <w:szCs w:val="20"/>
                                    </w:rPr>
                                    <w:t xml:space="preserve"> amoxicillin 1g BD</w:t>
                                  </w:r>
                                </w:p>
                                <w:p w14:paraId="1B4E10E2" w14:textId="77777777" w:rsidR="00452D42" w:rsidRDefault="00452D42" w:rsidP="008376B6">
                                  <w:pPr>
                                    <w:spacing w:line="240" w:lineRule="exact"/>
                                    <w:jc w:val="center"/>
                                    <w:rPr>
                                      <w:sz w:val="20"/>
                                      <w:szCs w:val="20"/>
                                    </w:rPr>
                                  </w:pPr>
                                  <w:proofErr w:type="gramStart"/>
                                  <w:r>
                                    <w:rPr>
                                      <w:sz w:val="20"/>
                                      <w:szCs w:val="20"/>
                                    </w:rPr>
                                    <w:t>PLUS</w:t>
                                  </w:r>
                                  <w:proofErr w:type="gramEnd"/>
                                  <w:r>
                                    <w:rPr>
                                      <w:sz w:val="20"/>
                                      <w:szCs w:val="20"/>
                                    </w:rPr>
                                    <w:t xml:space="preserve"> either clarithromycin 500mg BD OR</w:t>
                                  </w:r>
                                </w:p>
                                <w:p w14:paraId="1CBA00BC" w14:textId="1CEA731D" w:rsidR="00452D42" w:rsidRPr="0000243A" w:rsidRDefault="00452D42" w:rsidP="008376B6">
                                  <w:pPr>
                                    <w:spacing w:line="240" w:lineRule="exact"/>
                                    <w:jc w:val="center"/>
                                    <w:rPr>
                                      <w:sz w:val="20"/>
                                      <w:szCs w:val="20"/>
                                    </w:rPr>
                                  </w:pPr>
                                  <w:r>
                                    <w:rPr>
                                      <w:sz w:val="20"/>
                                      <w:szCs w:val="20"/>
                                    </w:rPr>
                                    <w:t>metronidazole 400mg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F697D49" id="_x0000_s1043" type="#_x0000_t202" style="position:absolute;margin-left:-.95pt;margin-top:7.6pt;width:267.9pt;height:5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" fillcolor="#ffc">
                      <v:textbox>
                        <w:txbxContent>
                          <w:p w14:paraId="7F9A958B" w14:textId="623DD176" w:rsidR="00452D42" w:rsidRPr="00AB26C2" w:rsidRDefault="00452D42" w:rsidP="005A215B">
                            <w:pPr>
                              <w:spacing w:after="10" w:line="240" w:lineRule="exact"/>
                              <w:jc w:val="center"/>
                              <w:rPr>
                                <w:sz w:val="20"/>
                                <w:szCs w:val="20"/>
                              </w:rPr>
                            </w:pPr>
                            <w:r>
                              <w:rPr>
                                <w:b/>
                                <w:sz w:val="20"/>
                                <w:szCs w:val="20"/>
                              </w:rPr>
                              <w:t xml:space="preserve">FIRST-LINE: 7 days, PPI </w:t>
                            </w:r>
                            <w:r w:rsidRPr="006D4343">
                              <w:rPr>
                                <w:b/>
                                <w:sz w:val="20"/>
                                <w:szCs w:val="20"/>
                              </w:rPr>
                              <w:t>t</w:t>
                            </w:r>
                            <w:r w:rsidRPr="00301DE8">
                              <w:rPr>
                                <w:b/>
                                <w:sz w:val="20"/>
                                <w:szCs w:val="20"/>
                              </w:rPr>
                              <w:t>wice daily</w:t>
                            </w:r>
                            <w:hyperlink w:anchor="Reference2" w:history="1">
                              <w:r w:rsidRPr="00301DE8">
                                <w:rPr>
                                  <w:rStyle w:val="Hyperlink"/>
                                  <w:sz w:val="20"/>
                                  <w:szCs w:val="20"/>
                                  <w:u w:val="none"/>
                                  <w:vertAlign w:val="superscript"/>
                                </w:rPr>
                                <w:t>2A-</w:t>
                              </w:r>
                            </w:hyperlink>
                            <w:r w:rsidRPr="00301DE8">
                              <w:rPr>
                                <w:sz w:val="20"/>
                                <w:szCs w:val="20"/>
                                <w:vertAlign w:val="superscript"/>
                              </w:rPr>
                              <w:t>,</w:t>
                            </w:r>
                            <w:hyperlink w:anchor="Reference30" w:history="1">
                              <w:r w:rsidRPr="00301DE8">
                                <w:rPr>
                                  <w:rStyle w:val="Hyperlink"/>
                                  <w:sz w:val="20"/>
                                  <w:szCs w:val="20"/>
                                  <w:u w:val="none"/>
                                  <w:vertAlign w:val="superscript"/>
                                </w:rPr>
                                <w:t>30A-</w:t>
                              </w:r>
                            </w:hyperlink>
                            <w:r w:rsidRPr="00301DE8">
                              <w:rPr>
                                <w:sz w:val="20"/>
                                <w:szCs w:val="20"/>
                                <w:vertAlign w:val="superscript"/>
                              </w:rPr>
                              <w:t>,</w:t>
                            </w:r>
                            <w:hyperlink w:anchor="Reference31" w:history="1">
                              <w:r w:rsidRPr="00301DE8">
                                <w:rPr>
                                  <w:rStyle w:val="Hyperlink"/>
                                  <w:sz w:val="20"/>
                                  <w:szCs w:val="20"/>
                                  <w:u w:val="none"/>
                                  <w:vertAlign w:val="superscript"/>
                                </w:rPr>
                                <w:t>31A+</w:t>
                              </w:r>
                            </w:hyperlink>
                          </w:p>
                          <w:p w14:paraId="78A8CDE1" w14:textId="77777777" w:rsidR="00452D42" w:rsidRDefault="00452D42" w:rsidP="005A215B">
                            <w:pPr>
                              <w:spacing w:line="240" w:lineRule="exact"/>
                              <w:jc w:val="center"/>
                              <w:rPr>
                                <w:sz w:val="20"/>
                                <w:szCs w:val="20"/>
                              </w:rPr>
                            </w:pPr>
                            <w:r>
                              <w:rPr>
                                <w:sz w:val="20"/>
                                <w:szCs w:val="20"/>
                              </w:rPr>
                              <w:t>PLUS amoxicillin 1g BD</w:t>
                            </w:r>
                          </w:p>
                          <w:p w14:paraId="1B4E10E2" w14:textId="77777777" w:rsidR="00452D42" w:rsidRDefault="00452D42" w:rsidP="008376B6">
                            <w:pPr>
                              <w:spacing w:line="240" w:lineRule="exact"/>
                              <w:jc w:val="center"/>
                              <w:rPr>
                                <w:sz w:val="20"/>
                                <w:szCs w:val="20"/>
                              </w:rPr>
                            </w:pPr>
                            <w:r>
                              <w:rPr>
                                <w:sz w:val="20"/>
                                <w:szCs w:val="20"/>
                              </w:rPr>
                              <w:t>PLUS either clarithromycin 500mg BD OR</w:t>
                            </w:r>
                          </w:p>
                          <w:p w14:paraId="1CBA00BC" w14:textId="1CEA731D" w:rsidR="00452D42" w:rsidRPr="0000243A" w:rsidRDefault="00452D42" w:rsidP="008376B6">
                            <w:pPr>
                              <w:spacing w:line="240" w:lineRule="exact"/>
                              <w:jc w:val="center"/>
                              <w:rPr>
                                <w:sz w:val="20"/>
                                <w:szCs w:val="20"/>
                              </w:rPr>
                            </w:pPr>
                            <w:r>
                              <w:rPr>
                                <w:sz w:val="20"/>
                                <w:szCs w:val="20"/>
                              </w:rPr>
                              <w:t>metronidazole 400mg BD</w:t>
                            </w:r>
                          </w:p>
                        </w:txbxContent>
                      </v:textbox>
                    </v:shape>
                  </w:pict>
                </mc:Fallback>
              </mc:AlternateContent>
            </w:r>
          </w:p>
          <w:p w14:paraId="5D6CDF14" w14:textId="4AF08B39" w:rsidR="008A6E4F" w:rsidRDefault="008A6E4F" w:rsidP="00E2120F">
            <w:pPr>
              <w:pStyle w:val="PHEBulletpoint"/>
              <w:numPr>
                <w:ilvl w:val="0"/>
                <w:numId w:val="0"/>
              </w:numPr>
              <w:spacing w:line="280" w:lineRule="exact"/>
            </w:pPr>
          </w:p>
          <w:p w14:paraId="34B6F50F" w14:textId="694FAE0F" w:rsidR="008A6E4F" w:rsidRDefault="008A6E4F" w:rsidP="00E2120F">
            <w:pPr>
              <w:pStyle w:val="PHEBulletpoint"/>
              <w:numPr>
                <w:ilvl w:val="0"/>
                <w:numId w:val="0"/>
              </w:numPr>
              <w:spacing w:line="280" w:lineRule="exact"/>
            </w:pPr>
          </w:p>
          <w:p w14:paraId="69E4156A" w14:textId="49666FE2" w:rsidR="008A6E4F" w:rsidRDefault="00722808" w:rsidP="00E2120F">
            <w:pPr>
              <w:pStyle w:val="PHEBulletpoint"/>
              <w:numPr>
                <w:ilvl w:val="0"/>
                <w:numId w:val="0"/>
              </w:numPr>
              <w:spacing w:line="280" w:lineRule="exact"/>
            </w:pPr>
            <w:r w:rsidRPr="004C68A2">
              <w:rPr>
                <w:b/>
                <w:noProof/>
                <w:lang w:eastAsia="en-GB"/>
              </w:rPr>
              <mc:AlternateContent>
                <mc:Choice Requires="wps">
                  <w:drawing>
                    <wp:anchor distT="0" distB="0" distL="114300" distR="114300" simplePos="0" relativeHeight="251647989" behindDoc="0" locked="0" layoutInCell="1" allowOverlap="1" wp14:anchorId="7E1B8AC9" wp14:editId="286A109B">
                      <wp:simplePos x="0" y="0"/>
                      <wp:positionH relativeFrom="column">
                        <wp:posOffset>3372778</wp:posOffset>
                      </wp:positionH>
                      <wp:positionV relativeFrom="paragraph">
                        <wp:posOffset>128905</wp:posOffset>
                      </wp:positionV>
                      <wp:extent cx="3368919" cy="4572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919" cy="457200"/>
                              </a:xfrm>
                              <a:prstGeom prst="rect">
                                <a:avLst/>
                              </a:prstGeom>
                              <a:noFill/>
                              <a:ln w="9525">
                                <a:noFill/>
                                <a:miter lim="800000"/>
                                <a:headEnd/>
                                <a:tailEnd/>
                              </a:ln>
                            </wps:spPr>
                            <wps:txbx>
                              <w:txbxContent>
                                <w:p w14:paraId="0BE1DAFF" w14:textId="5E44D0A4" w:rsidR="00452D42" w:rsidRDefault="00452D42" w:rsidP="00163185">
                                  <w:pPr>
                                    <w:spacing w:line="240" w:lineRule="exact"/>
                                    <w:jc w:val="center"/>
                                    <w:rPr>
                                      <w:b/>
                                      <w:sz w:val="20"/>
                                      <w:szCs w:val="20"/>
                                    </w:rPr>
                                  </w:pPr>
                                  <w:r>
                                    <w:rPr>
                                      <w:b/>
                                      <w:sz w:val="20"/>
                                      <w:szCs w:val="20"/>
                                    </w:rPr>
                                    <w:t>First-line with previous CLAR</w:t>
                                  </w:r>
                                  <w:r w:rsidRPr="00CF6BC8">
                                    <w:rPr>
                                      <w:b/>
                                      <w:sz w:val="20"/>
                                      <w:szCs w:val="20"/>
                                    </w:rPr>
                                    <w:t xml:space="preserve"> </w:t>
                                  </w:r>
                                  <w:r>
                                    <w:rPr>
                                      <w:b/>
                                      <w:sz w:val="20"/>
                                      <w:szCs w:val="20"/>
                                    </w:rPr>
                                    <w:t xml:space="preserve">exposure </w:t>
                                  </w:r>
                                </w:p>
                                <w:p w14:paraId="2A9A16B4" w14:textId="3651AE9C" w:rsidR="00452D42" w:rsidRPr="0000243A" w:rsidRDefault="00452D42" w:rsidP="00163185">
                                  <w:pPr>
                                    <w:spacing w:line="240" w:lineRule="exact"/>
                                    <w:jc w:val="center"/>
                                    <w:rPr>
                                      <w:b/>
                                      <w:sz w:val="20"/>
                                      <w:szCs w:val="20"/>
                                    </w:rPr>
                                  </w:pPr>
                                  <w:r w:rsidRPr="00531D26">
                                    <w:rPr>
                                      <w:b/>
                                      <w:sz w:val="20"/>
                                      <w:szCs w:val="20"/>
                                    </w:rPr>
                                    <w:t>OR Second-line with previous levofloxacin exposure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7E1B8AC9" id="_x0000_s1044" type="#_x0000_t202" style="position:absolute;margin-left:265.55pt;margin-top:10.15pt;width:265.25pt;height:36pt;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" filled="f" stroked="f">
                      <v:textbox>
                        <w:txbxContent>
                          <w:p w14:paraId="0BE1DAFF" w14:textId="5E44D0A4" w:rsidR="00452D42" w:rsidRDefault="00452D42" w:rsidP="00163185">
                            <w:pPr>
                              <w:spacing w:line="240" w:lineRule="exact"/>
                              <w:jc w:val="center"/>
                              <w:rPr>
                                <w:b/>
                                <w:sz w:val="20"/>
                                <w:szCs w:val="20"/>
                              </w:rPr>
                            </w:pPr>
                            <w:r>
                              <w:rPr>
                                <w:b/>
                                <w:sz w:val="20"/>
                                <w:szCs w:val="20"/>
                              </w:rPr>
                              <w:t>First-line with previous CLAR</w:t>
                            </w:r>
                            <w:r w:rsidRPr="00CF6BC8">
                              <w:rPr>
                                <w:b/>
                                <w:sz w:val="20"/>
                                <w:szCs w:val="20"/>
                              </w:rPr>
                              <w:t xml:space="preserve"> </w:t>
                            </w:r>
                            <w:r>
                              <w:rPr>
                                <w:b/>
                                <w:sz w:val="20"/>
                                <w:szCs w:val="20"/>
                              </w:rPr>
                              <w:t xml:space="preserve">exposure </w:t>
                            </w:r>
                          </w:p>
                          <w:p w14:paraId="2A9A16B4" w14:textId="3651AE9C" w:rsidR="00452D42" w:rsidRPr="0000243A" w:rsidRDefault="00452D42" w:rsidP="00163185">
                            <w:pPr>
                              <w:spacing w:line="240" w:lineRule="exact"/>
                              <w:jc w:val="center"/>
                              <w:rPr>
                                <w:b/>
                                <w:sz w:val="20"/>
                                <w:szCs w:val="20"/>
                              </w:rPr>
                            </w:pPr>
                            <w:r w:rsidRPr="00531D26">
                              <w:rPr>
                                <w:b/>
                                <w:sz w:val="20"/>
                                <w:szCs w:val="20"/>
                              </w:rPr>
                              <w:t>OR Second-line with previous levofloxacin exposure</w:t>
                            </w:r>
                          </w:p>
                        </w:txbxContent>
                      </v:textbox>
                    </v:shape>
                  </w:pict>
                </mc:Fallback>
              </mc:AlternateContent>
            </w:r>
            <w:r w:rsidR="003B3072" w:rsidRPr="005B21E3">
              <w:rPr>
                <w:b/>
                <w:noProof/>
                <w:lang w:eastAsia="en-GB"/>
              </w:rPr>
              <mc:AlternateContent>
                <mc:Choice Requires="wps">
                  <w:drawing>
                    <wp:anchor distT="0" distB="0" distL="114300" distR="114300" simplePos="0" relativeHeight="251649014" behindDoc="0" locked="0" layoutInCell="1" allowOverlap="1" wp14:anchorId="15395084" wp14:editId="79DF14D4">
                      <wp:simplePos x="0" y="0"/>
                      <wp:positionH relativeFrom="column">
                        <wp:posOffset>6744237</wp:posOffset>
                      </wp:positionH>
                      <wp:positionV relativeFrom="paragraph">
                        <wp:posOffset>99060</wp:posOffset>
                      </wp:positionV>
                      <wp:extent cx="0" cy="454025"/>
                      <wp:effectExtent l="95250" t="0" r="57150" b="60325"/>
                      <wp:wrapNone/>
                      <wp:docPr id="43" name="Straight Arrow Connector 43"/>
                      <wp:cNvGraphicFramePr/>
                      <a:graphic xmlns:a="http://schemas.openxmlformats.org/drawingml/2006/main">
                        <a:graphicData uri="http://schemas.microsoft.com/office/word/2010/wordprocessingShape">
                          <wps:wsp>
                            <wps:cNvCnPr/>
                            <wps:spPr>
                              <a:xfrm>
                                <a:off x="0" y="0"/>
                                <a:ext cx="0" cy="4540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61530480" id="Straight Arrow Connector 43" o:spid="_x0000_s1026" type="#_x0000_t32" style="position:absolute;margin-left:531.05pt;margin-top:7.8pt;width:0;height:35.75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" strokecolor="black [3213]" strokeweight="2pt">
                      <v:stroke endarrow="open"/>
                    </v:shape>
                  </w:pict>
                </mc:Fallback>
              </mc:AlternateContent>
            </w:r>
          </w:p>
          <w:p w14:paraId="6E1682F5" w14:textId="04DC9883" w:rsidR="008A6E4F" w:rsidRDefault="003B3072" w:rsidP="00E2120F">
            <w:pPr>
              <w:pStyle w:val="PHEBulletpoint"/>
              <w:numPr>
                <w:ilvl w:val="0"/>
                <w:numId w:val="0"/>
              </w:numPr>
              <w:spacing w:line="280" w:lineRule="exact"/>
            </w:pPr>
            <w:r w:rsidRPr="005B21E3">
              <w:rPr>
                <w:b/>
                <w:noProof/>
                <w:lang w:eastAsia="en-GB"/>
              </w:rPr>
              <mc:AlternateContent>
                <mc:Choice Requires="wps">
                  <w:drawing>
                    <wp:anchor distT="0" distB="0" distL="114300" distR="114300" simplePos="0" relativeHeight="251719680" behindDoc="0" locked="0" layoutInCell="1" allowOverlap="1" wp14:anchorId="070C0475" wp14:editId="546F9114">
                      <wp:simplePos x="0" y="0"/>
                      <wp:positionH relativeFrom="column">
                        <wp:posOffset>3253007</wp:posOffset>
                      </wp:positionH>
                      <wp:positionV relativeFrom="paragraph">
                        <wp:posOffset>116303</wp:posOffset>
                      </wp:positionV>
                      <wp:extent cx="0" cy="325120"/>
                      <wp:effectExtent l="95250" t="0" r="76200" b="55880"/>
                      <wp:wrapNone/>
                      <wp:docPr id="36" name="Straight Arrow Connector 36"/>
                      <wp:cNvGraphicFramePr/>
                      <a:graphic xmlns:a="http://schemas.openxmlformats.org/drawingml/2006/main">
                        <a:graphicData uri="http://schemas.microsoft.com/office/word/2010/wordprocessingShape">
                          <wps:wsp>
                            <wps:cNvCnPr/>
                            <wps:spPr>
                              <a:xfrm>
                                <a:off x="0" y="0"/>
                                <a:ext cx="0" cy="32512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259E9654" id="Straight Arrow Connector 36" o:spid="_x0000_s1026" type="#_x0000_t32" style="position:absolute;margin-left:256.15pt;margin-top:9.15pt;width:0;height:2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" strokecolor="black [3213]" strokeweight="2pt">
                      <v:stroke endarrow="open"/>
                    </v:shape>
                  </w:pict>
                </mc:Fallback>
              </mc:AlternateContent>
            </w:r>
            <w:r w:rsidR="008376B6" w:rsidRPr="004C68A2">
              <w:rPr>
                <w:b/>
                <w:noProof/>
                <w:lang w:eastAsia="en-GB"/>
              </w:rPr>
              <mc:AlternateContent>
                <mc:Choice Requires="wps">
                  <w:drawing>
                    <wp:anchor distT="0" distB="0" distL="114300" distR="114300" simplePos="0" relativeHeight="251723776" behindDoc="0" locked="0" layoutInCell="1" allowOverlap="1" wp14:anchorId="0FDD2B5C" wp14:editId="6C33520E">
                      <wp:simplePos x="0" y="0"/>
                      <wp:positionH relativeFrom="column">
                        <wp:posOffset>359410</wp:posOffset>
                      </wp:positionH>
                      <wp:positionV relativeFrom="paragraph">
                        <wp:posOffset>158115</wp:posOffset>
                      </wp:positionV>
                      <wp:extent cx="2440940" cy="2489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48920"/>
                              </a:xfrm>
                              <a:prstGeom prst="rect">
                                <a:avLst/>
                              </a:prstGeom>
                              <a:noFill/>
                              <a:ln w="9525">
                                <a:noFill/>
                                <a:miter lim="800000"/>
                                <a:headEnd/>
                                <a:tailEnd/>
                              </a:ln>
                            </wps:spPr>
                            <wps:txbx>
                              <w:txbxContent>
                                <w:p w14:paraId="522490D1" w14:textId="6297F68B" w:rsidR="00452D42" w:rsidRPr="0000243A" w:rsidRDefault="00452D42" w:rsidP="0000243A">
                                  <w:pPr>
                                    <w:spacing w:line="240" w:lineRule="exact"/>
                                    <w:jc w:val="center"/>
                                    <w:rPr>
                                      <w:b/>
                                      <w:sz w:val="20"/>
                                      <w:szCs w:val="20"/>
                                    </w:rPr>
                                  </w:pPr>
                                  <w:r>
                                    <w:rPr>
                                      <w:b/>
                                      <w:sz w:val="20"/>
                                      <w:szCs w:val="20"/>
                                    </w:rPr>
                                    <w:t>ONGOING SYMPTOMS after first-line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0FDD2B5C" id="_x0000_s1045" type="#_x0000_t202" style="position:absolute;margin-left:28.3pt;margin-top:12.45pt;width:192.2pt;height:1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" filled="f" stroked="f">
                      <v:textbox>
                        <w:txbxContent>
                          <w:p w14:paraId="522490D1" w14:textId="6297F68B" w:rsidR="00452D42" w:rsidRPr="0000243A" w:rsidRDefault="00452D42" w:rsidP="0000243A">
                            <w:pPr>
                              <w:spacing w:line="240" w:lineRule="exact"/>
                              <w:jc w:val="center"/>
                              <w:rPr>
                                <w:b/>
                                <w:sz w:val="20"/>
                                <w:szCs w:val="20"/>
                              </w:rPr>
                            </w:pPr>
                            <w:r>
                              <w:rPr>
                                <w:b/>
                                <w:sz w:val="20"/>
                                <w:szCs w:val="20"/>
                              </w:rPr>
                              <w:t>ONGOING SYMPTOMS after first-line</w:t>
                            </w:r>
                          </w:p>
                        </w:txbxContent>
                      </v:textbox>
                    </v:shape>
                  </w:pict>
                </mc:Fallback>
              </mc:AlternateContent>
            </w:r>
          </w:p>
          <w:p w14:paraId="70AAF014" w14:textId="6DFFAEAA" w:rsidR="008A6E4F" w:rsidRDefault="008A6E4F" w:rsidP="00E2120F">
            <w:pPr>
              <w:pStyle w:val="PHEBulletpoint"/>
              <w:numPr>
                <w:ilvl w:val="0"/>
                <w:numId w:val="0"/>
              </w:numPr>
              <w:spacing w:line="280" w:lineRule="exact"/>
            </w:pPr>
          </w:p>
          <w:p w14:paraId="68C931DD" w14:textId="0533F9DC" w:rsidR="008A6E4F" w:rsidRDefault="00CF6BC8" w:rsidP="00E2120F">
            <w:pPr>
              <w:pStyle w:val="PHEBulletpoint"/>
              <w:numPr>
                <w:ilvl w:val="0"/>
                <w:numId w:val="0"/>
              </w:numPr>
              <w:spacing w:line="280" w:lineRule="exact"/>
            </w:pPr>
            <w:r w:rsidRPr="004C68A2">
              <w:rPr>
                <w:b/>
                <w:noProof/>
                <w:lang w:eastAsia="en-GB"/>
              </w:rPr>
              <mc:AlternateContent>
                <mc:Choice Requires="wps">
                  <w:drawing>
                    <wp:anchor distT="0" distB="0" distL="114300" distR="114300" simplePos="0" relativeHeight="251729920" behindDoc="0" locked="0" layoutInCell="1" allowOverlap="1" wp14:anchorId="3C8C7BE8" wp14:editId="50033974">
                      <wp:simplePos x="0" y="0"/>
                      <wp:positionH relativeFrom="column">
                        <wp:posOffset>3471545</wp:posOffset>
                      </wp:positionH>
                      <wp:positionV relativeFrom="paragraph">
                        <wp:posOffset>17145</wp:posOffset>
                      </wp:positionV>
                      <wp:extent cx="3396615" cy="881380"/>
                      <wp:effectExtent l="0" t="0" r="13335" b="139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881380"/>
                              </a:xfrm>
                              <a:prstGeom prst="rect">
                                <a:avLst/>
                              </a:prstGeom>
                              <a:solidFill>
                                <a:srgbClr val="FFFFCC"/>
                              </a:solidFill>
                              <a:ln w="9525">
                                <a:solidFill>
                                  <a:srgbClr val="000000"/>
                                </a:solidFill>
                                <a:miter lim="800000"/>
                                <a:headEnd/>
                                <a:tailEnd/>
                              </a:ln>
                            </wps:spPr>
                            <wps:txbx>
                              <w:txbxContent>
                                <w:p w14:paraId="2403B801" w14:textId="2E07C0A6" w:rsidR="00452D42" w:rsidRPr="00531D26" w:rsidRDefault="00452D42" w:rsidP="00B40E86">
                                  <w:pPr>
                                    <w:spacing w:after="10" w:line="240" w:lineRule="exact"/>
                                    <w:jc w:val="center"/>
                                    <w:rPr>
                                      <w:sz w:val="20"/>
                                      <w:szCs w:val="20"/>
                                      <w:vertAlign w:val="superscript"/>
                                    </w:rPr>
                                  </w:pPr>
                                  <w:r w:rsidRPr="00531D26">
                                    <w:rPr>
                                      <w:b/>
                                      <w:sz w:val="20"/>
                                      <w:szCs w:val="20"/>
                                    </w:rPr>
                                    <w:t>7 days, PPI twice daily</w:t>
                                  </w:r>
                                  <w:hyperlink w:anchor="Reference2" w:history="1">
                                    <w:r w:rsidRPr="00531D26">
                                      <w:rPr>
                                        <w:rStyle w:val="Hyperlink"/>
                                        <w:sz w:val="20"/>
                                        <w:szCs w:val="20"/>
                                        <w:u w:val="none"/>
                                        <w:vertAlign w:val="superscript"/>
                                      </w:rPr>
                                      <w:t>2A-</w:t>
                                    </w:r>
                                  </w:hyperlink>
                                  <w:r w:rsidRPr="00531D26">
                                    <w:rPr>
                                      <w:sz w:val="20"/>
                                      <w:szCs w:val="20"/>
                                      <w:vertAlign w:val="superscript"/>
                                    </w:rPr>
                                    <w:t>,</w:t>
                                  </w:r>
                                  <w:hyperlink w:anchor="Reference30" w:history="1">
                                    <w:r w:rsidRPr="00531D26">
                                      <w:rPr>
                                        <w:rStyle w:val="Hyperlink"/>
                                        <w:sz w:val="20"/>
                                        <w:szCs w:val="20"/>
                                        <w:u w:val="none"/>
                                        <w:vertAlign w:val="superscript"/>
                                      </w:rPr>
                                      <w:t>30A+</w:t>
                                    </w:r>
                                  </w:hyperlink>
                                  <w:r w:rsidRPr="00531D26">
                                    <w:rPr>
                                      <w:sz w:val="20"/>
                                      <w:szCs w:val="20"/>
                                      <w:vertAlign w:val="superscript"/>
                                    </w:rPr>
                                    <w:t>,</w:t>
                                  </w:r>
                                  <w:hyperlink w:anchor="Reference31" w:history="1">
                                    <w:r w:rsidRPr="00531D26">
                                      <w:rPr>
                                        <w:rStyle w:val="Hyperlink"/>
                                        <w:sz w:val="20"/>
                                        <w:szCs w:val="20"/>
                                        <w:u w:val="none"/>
                                        <w:vertAlign w:val="superscript"/>
                                      </w:rPr>
                                      <w:t>31A+</w:t>
                                    </w:r>
                                  </w:hyperlink>
                                </w:p>
                                <w:p w14:paraId="3DB6D355" w14:textId="77777777" w:rsidR="00452D42" w:rsidRPr="00531D26" w:rsidRDefault="00452D42" w:rsidP="00B40E86">
                                  <w:pPr>
                                    <w:spacing w:line="240" w:lineRule="exact"/>
                                    <w:jc w:val="center"/>
                                    <w:rPr>
                                      <w:sz w:val="20"/>
                                      <w:szCs w:val="20"/>
                                    </w:rPr>
                                  </w:pPr>
                                  <w:proofErr w:type="gramStart"/>
                                  <w:r w:rsidRPr="00531D26">
                                    <w:rPr>
                                      <w:sz w:val="20"/>
                                      <w:szCs w:val="20"/>
                                    </w:rPr>
                                    <w:t>PLUS</w:t>
                                  </w:r>
                                  <w:proofErr w:type="gramEnd"/>
                                  <w:r w:rsidRPr="00531D26">
                                    <w:rPr>
                                      <w:sz w:val="20"/>
                                      <w:szCs w:val="20"/>
                                    </w:rPr>
                                    <w:t xml:space="preserve"> bismuth subsalicylate 525mg QDS</w:t>
                                  </w:r>
                                  <w:hyperlink w:anchor="Reference35" w:history="1">
                                    <w:r w:rsidRPr="00531D26">
                                      <w:rPr>
                                        <w:rStyle w:val="Hyperlink"/>
                                        <w:sz w:val="20"/>
                                        <w:szCs w:val="20"/>
                                        <w:u w:val="none"/>
                                        <w:vertAlign w:val="superscript"/>
                                      </w:rPr>
                                      <w:t>35A+</w:t>
                                    </w:r>
                                  </w:hyperlink>
                                  <w:r w:rsidRPr="00531D26">
                                    <w:rPr>
                                      <w:sz w:val="20"/>
                                      <w:szCs w:val="20"/>
                                      <w:vertAlign w:val="superscript"/>
                                    </w:rPr>
                                    <w:t>,</w:t>
                                  </w:r>
                                  <w:hyperlink w:anchor="Reference36" w:history="1">
                                    <w:r w:rsidRPr="00531D26">
                                      <w:rPr>
                                        <w:rStyle w:val="Hyperlink"/>
                                        <w:sz w:val="20"/>
                                        <w:szCs w:val="20"/>
                                        <w:u w:val="none"/>
                                        <w:vertAlign w:val="superscript"/>
                                      </w:rPr>
                                      <w:t>36A+</w:t>
                                    </w:r>
                                  </w:hyperlink>
                                  <w:r w:rsidRPr="00531D26">
                                    <w:rPr>
                                      <w:rStyle w:val="Hyperlink"/>
                                      <w:color w:val="auto"/>
                                      <w:sz w:val="20"/>
                                      <w:szCs w:val="20"/>
                                      <w:u w:val="none"/>
                                      <w:vertAlign w:val="superscript"/>
                                    </w:rPr>
                                    <w:t>,</w:t>
                                  </w:r>
                                  <w:hyperlink w:anchor="Reference37" w:history="1">
                                    <w:r w:rsidRPr="00531D26">
                                      <w:rPr>
                                        <w:rStyle w:val="Hyperlink"/>
                                        <w:sz w:val="20"/>
                                        <w:szCs w:val="20"/>
                                        <w:u w:val="none"/>
                                        <w:vertAlign w:val="superscript"/>
                                      </w:rPr>
                                      <w:t>37A+</w:t>
                                    </w:r>
                                  </w:hyperlink>
                                  <w:r w:rsidRPr="00531D26">
                                    <w:rPr>
                                      <w:sz w:val="20"/>
                                      <w:szCs w:val="20"/>
                                      <w:vertAlign w:val="superscript"/>
                                    </w:rPr>
                                    <w:t>,</w:t>
                                  </w:r>
                                  <w:hyperlink w:anchor="Reference38" w:history="1">
                                    <w:r w:rsidRPr="00531D26">
                                      <w:rPr>
                                        <w:rStyle w:val="Hyperlink"/>
                                        <w:sz w:val="20"/>
                                        <w:szCs w:val="20"/>
                                        <w:u w:val="none"/>
                                        <w:vertAlign w:val="superscript"/>
                                      </w:rPr>
                                      <w:t>38D</w:t>
                                    </w:r>
                                  </w:hyperlink>
                                </w:p>
                                <w:p w14:paraId="29D63CF8" w14:textId="77777777" w:rsidR="00452D42" w:rsidRPr="00531D26" w:rsidRDefault="00452D42" w:rsidP="00B40E86">
                                  <w:pPr>
                                    <w:spacing w:line="240" w:lineRule="exact"/>
                                    <w:jc w:val="center"/>
                                    <w:rPr>
                                      <w:sz w:val="20"/>
                                      <w:szCs w:val="20"/>
                                    </w:rPr>
                                  </w:pPr>
                                  <w:r w:rsidRPr="00531D26">
                                    <w:rPr>
                                      <w:sz w:val="20"/>
                                      <w:szCs w:val="20"/>
                                    </w:rPr>
                                    <w:t xml:space="preserve">OR </w:t>
                                  </w:r>
                                  <w:proofErr w:type="spellStart"/>
                                  <w:r w:rsidRPr="00531D26">
                                    <w:rPr>
                                      <w:sz w:val="20"/>
                                      <w:szCs w:val="20"/>
                                    </w:rPr>
                                    <w:t>tripotassium</w:t>
                                  </w:r>
                                  <w:proofErr w:type="spellEnd"/>
                                  <w:r w:rsidRPr="00531D26">
                                    <w:rPr>
                                      <w:sz w:val="20"/>
                                      <w:szCs w:val="20"/>
                                    </w:rPr>
                                    <w:t xml:space="preserve"> </w:t>
                                  </w:r>
                                  <w:proofErr w:type="spellStart"/>
                                  <w:r w:rsidRPr="00531D26">
                                    <w:rPr>
                                      <w:sz w:val="20"/>
                                      <w:szCs w:val="20"/>
                                    </w:rPr>
                                    <w:t>dicitratobismuthate</w:t>
                                  </w:r>
                                  <w:proofErr w:type="spellEnd"/>
                                  <w:r w:rsidRPr="00531D26">
                                    <w:rPr>
                                      <w:sz w:val="20"/>
                                      <w:szCs w:val="20"/>
                                    </w:rPr>
                                    <w:t xml:space="preserve"> 240mg QDS</w:t>
                                  </w:r>
                                  <w:hyperlink w:anchor="Reference39" w:history="1">
                                    <w:r w:rsidRPr="00531D26">
                                      <w:rPr>
                                        <w:rStyle w:val="Hyperlink"/>
                                        <w:sz w:val="20"/>
                                        <w:szCs w:val="20"/>
                                        <w:u w:val="none"/>
                                        <w:vertAlign w:val="superscript"/>
                                      </w:rPr>
                                      <w:t>39D</w:t>
                                    </w:r>
                                  </w:hyperlink>
                                </w:p>
                                <w:p w14:paraId="1AEDCED0" w14:textId="0AD1C20C" w:rsidR="00452D42" w:rsidRPr="00531D26" w:rsidRDefault="00452D42" w:rsidP="00B40E86">
                                  <w:pPr>
                                    <w:spacing w:line="240" w:lineRule="exact"/>
                                    <w:jc w:val="center"/>
                                    <w:rPr>
                                      <w:sz w:val="20"/>
                                      <w:szCs w:val="20"/>
                                    </w:rPr>
                                  </w:pPr>
                                  <w:proofErr w:type="gramStart"/>
                                  <w:r w:rsidRPr="00531D26">
                                    <w:rPr>
                                      <w:sz w:val="20"/>
                                      <w:szCs w:val="20"/>
                                    </w:rPr>
                                    <w:t>PLUS</w:t>
                                  </w:r>
                                  <w:proofErr w:type="gramEnd"/>
                                  <w:r w:rsidRPr="00531D26">
                                    <w:rPr>
                                      <w:sz w:val="20"/>
                                      <w:szCs w:val="20"/>
                                    </w:rPr>
                                    <w:t xml:space="preserve"> tetracycline hydrochloride 500mg QDS</w:t>
                                  </w:r>
                                  <w:hyperlink w:anchor="Reference2" w:history="1">
                                    <w:r w:rsidRPr="00531D26">
                                      <w:rPr>
                                        <w:rStyle w:val="Hyperlink"/>
                                        <w:sz w:val="20"/>
                                        <w:szCs w:val="20"/>
                                        <w:u w:val="none"/>
                                        <w:vertAlign w:val="superscript"/>
                                      </w:rPr>
                                      <w:t>2A-</w:t>
                                    </w:r>
                                  </w:hyperlink>
                                </w:p>
                                <w:p w14:paraId="3023B770" w14:textId="4D490964" w:rsidR="00452D42" w:rsidRPr="00301DE8" w:rsidRDefault="00452D42" w:rsidP="00B40E86">
                                  <w:pPr>
                                    <w:spacing w:line="240" w:lineRule="exact"/>
                                    <w:jc w:val="center"/>
                                    <w:rPr>
                                      <w:color w:val="9C002A"/>
                                      <w:sz w:val="20"/>
                                      <w:szCs w:val="20"/>
                                      <w:vertAlign w:val="superscript"/>
                                    </w:rPr>
                                  </w:pPr>
                                  <w:proofErr w:type="gramStart"/>
                                  <w:r w:rsidRPr="00531D26">
                                    <w:rPr>
                                      <w:sz w:val="20"/>
                                      <w:szCs w:val="20"/>
                                    </w:rPr>
                                    <w:t>PLUS</w:t>
                                  </w:r>
                                  <w:proofErr w:type="gramEnd"/>
                                  <w:r w:rsidRPr="00531D26">
                                    <w:rPr>
                                      <w:sz w:val="20"/>
                                      <w:szCs w:val="20"/>
                                    </w:rPr>
                                    <w:t xml:space="preserve"> metronidazole 400mg BD</w:t>
                                  </w:r>
                                  <w:hyperlink w:anchor="Reference2" w:history="1">
                                    <w:r w:rsidRPr="00531D26">
                                      <w:rPr>
                                        <w:rStyle w:val="Hyperlink"/>
                                        <w:sz w:val="20"/>
                                        <w:szCs w:val="20"/>
                                        <w:u w:val="none"/>
                                        <w:vertAlign w:val="superscript"/>
                                      </w:rPr>
                                      <w:t>2A-</w:t>
                                    </w:r>
                                  </w:hyperlink>
                                </w:p>
                                <w:p w14:paraId="7FC964BC" w14:textId="411073E2" w:rsidR="00452D42" w:rsidRPr="00301DE8" w:rsidRDefault="00452D42" w:rsidP="00B40E86">
                                  <w:pPr>
                                    <w:spacing w:after="10" w:line="240" w:lineRule="exact"/>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3C8C7BE8" id="_x0000_s1046" type="#_x0000_t202" style="position:absolute;margin-left:273.35pt;margin-top:1.35pt;width:267.45pt;height:6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" fillcolor="#ffc">
                      <v:textbox>
                        <w:txbxContent>
                          <w:p w14:paraId="2403B801" w14:textId="2E07C0A6" w:rsidR="00452D42" w:rsidRPr="00531D26" w:rsidRDefault="00452D42" w:rsidP="00B40E86">
                            <w:pPr>
                              <w:spacing w:after="10" w:line="240" w:lineRule="exact"/>
                              <w:jc w:val="center"/>
                              <w:rPr>
                                <w:sz w:val="20"/>
                                <w:szCs w:val="20"/>
                                <w:vertAlign w:val="superscript"/>
                              </w:rPr>
                            </w:pPr>
                            <w:r w:rsidRPr="00531D26">
                              <w:rPr>
                                <w:b/>
                                <w:sz w:val="20"/>
                                <w:szCs w:val="20"/>
                              </w:rPr>
                              <w:t>7 days, PPI twice daily</w:t>
                            </w:r>
                            <w:hyperlink w:anchor="Reference2" w:history="1">
                              <w:r w:rsidRPr="00531D26">
                                <w:rPr>
                                  <w:rStyle w:val="Hyperlink"/>
                                  <w:sz w:val="20"/>
                                  <w:szCs w:val="20"/>
                                  <w:u w:val="none"/>
                                  <w:vertAlign w:val="superscript"/>
                                </w:rPr>
                                <w:t>2A-</w:t>
                              </w:r>
                            </w:hyperlink>
                            <w:r w:rsidRPr="00531D26">
                              <w:rPr>
                                <w:sz w:val="20"/>
                                <w:szCs w:val="20"/>
                                <w:vertAlign w:val="superscript"/>
                              </w:rPr>
                              <w:t>,</w:t>
                            </w:r>
                            <w:hyperlink w:anchor="Reference30" w:history="1">
                              <w:r w:rsidRPr="00531D26">
                                <w:rPr>
                                  <w:rStyle w:val="Hyperlink"/>
                                  <w:sz w:val="20"/>
                                  <w:szCs w:val="20"/>
                                  <w:u w:val="none"/>
                                  <w:vertAlign w:val="superscript"/>
                                </w:rPr>
                                <w:t>30A+</w:t>
                              </w:r>
                            </w:hyperlink>
                            <w:r w:rsidRPr="00531D26">
                              <w:rPr>
                                <w:sz w:val="20"/>
                                <w:szCs w:val="20"/>
                                <w:vertAlign w:val="superscript"/>
                              </w:rPr>
                              <w:t>,</w:t>
                            </w:r>
                            <w:hyperlink w:anchor="Reference31" w:history="1">
                              <w:r w:rsidRPr="00531D26">
                                <w:rPr>
                                  <w:rStyle w:val="Hyperlink"/>
                                  <w:sz w:val="20"/>
                                  <w:szCs w:val="20"/>
                                  <w:u w:val="none"/>
                                  <w:vertAlign w:val="superscript"/>
                                </w:rPr>
                                <w:t>31A+</w:t>
                              </w:r>
                            </w:hyperlink>
                          </w:p>
                          <w:p w14:paraId="3DB6D355" w14:textId="77777777" w:rsidR="00452D42" w:rsidRPr="00531D26" w:rsidRDefault="00452D42" w:rsidP="00B40E86">
                            <w:pPr>
                              <w:spacing w:line="240" w:lineRule="exact"/>
                              <w:jc w:val="center"/>
                              <w:rPr>
                                <w:sz w:val="20"/>
                                <w:szCs w:val="20"/>
                              </w:rPr>
                            </w:pPr>
                            <w:r w:rsidRPr="00531D26">
                              <w:rPr>
                                <w:sz w:val="20"/>
                                <w:szCs w:val="20"/>
                              </w:rPr>
                              <w:t>PLUS bismuth subsalicylate 525mg QDS</w:t>
                            </w:r>
                            <w:hyperlink w:anchor="Reference35" w:history="1">
                              <w:r w:rsidRPr="00531D26">
                                <w:rPr>
                                  <w:rStyle w:val="Hyperlink"/>
                                  <w:sz w:val="20"/>
                                  <w:szCs w:val="20"/>
                                  <w:u w:val="none"/>
                                  <w:vertAlign w:val="superscript"/>
                                </w:rPr>
                                <w:t>35A+</w:t>
                              </w:r>
                            </w:hyperlink>
                            <w:r w:rsidRPr="00531D26">
                              <w:rPr>
                                <w:sz w:val="20"/>
                                <w:szCs w:val="20"/>
                                <w:vertAlign w:val="superscript"/>
                              </w:rPr>
                              <w:t>,</w:t>
                            </w:r>
                            <w:hyperlink w:anchor="Reference36" w:history="1">
                              <w:r w:rsidRPr="00531D26">
                                <w:rPr>
                                  <w:rStyle w:val="Hyperlink"/>
                                  <w:sz w:val="20"/>
                                  <w:szCs w:val="20"/>
                                  <w:u w:val="none"/>
                                  <w:vertAlign w:val="superscript"/>
                                </w:rPr>
                                <w:t>36A+</w:t>
                              </w:r>
                            </w:hyperlink>
                            <w:r w:rsidRPr="00531D26">
                              <w:rPr>
                                <w:rStyle w:val="Hyperlink"/>
                                <w:color w:val="auto"/>
                                <w:sz w:val="20"/>
                                <w:szCs w:val="20"/>
                                <w:u w:val="none"/>
                                <w:vertAlign w:val="superscript"/>
                              </w:rPr>
                              <w:t>,</w:t>
                            </w:r>
                            <w:hyperlink w:anchor="Reference37" w:history="1">
                              <w:r w:rsidRPr="00531D26">
                                <w:rPr>
                                  <w:rStyle w:val="Hyperlink"/>
                                  <w:sz w:val="20"/>
                                  <w:szCs w:val="20"/>
                                  <w:u w:val="none"/>
                                  <w:vertAlign w:val="superscript"/>
                                </w:rPr>
                                <w:t>37A+</w:t>
                              </w:r>
                            </w:hyperlink>
                            <w:r w:rsidRPr="00531D26">
                              <w:rPr>
                                <w:sz w:val="20"/>
                                <w:szCs w:val="20"/>
                                <w:vertAlign w:val="superscript"/>
                              </w:rPr>
                              <w:t>,</w:t>
                            </w:r>
                            <w:hyperlink w:anchor="Reference38" w:history="1">
                              <w:r w:rsidRPr="00531D26">
                                <w:rPr>
                                  <w:rStyle w:val="Hyperlink"/>
                                  <w:sz w:val="20"/>
                                  <w:szCs w:val="20"/>
                                  <w:u w:val="none"/>
                                  <w:vertAlign w:val="superscript"/>
                                </w:rPr>
                                <w:t>38D</w:t>
                              </w:r>
                            </w:hyperlink>
                          </w:p>
                          <w:p w14:paraId="29D63CF8" w14:textId="77777777" w:rsidR="00452D42" w:rsidRPr="00531D26" w:rsidRDefault="00452D42" w:rsidP="00B40E86">
                            <w:pPr>
                              <w:spacing w:line="240" w:lineRule="exact"/>
                              <w:jc w:val="center"/>
                              <w:rPr>
                                <w:sz w:val="20"/>
                                <w:szCs w:val="20"/>
                              </w:rPr>
                            </w:pPr>
                            <w:r w:rsidRPr="00531D26">
                              <w:rPr>
                                <w:sz w:val="20"/>
                                <w:szCs w:val="20"/>
                              </w:rPr>
                              <w:t xml:space="preserve">OR </w:t>
                            </w:r>
                            <w:proofErr w:type="spellStart"/>
                            <w:r w:rsidRPr="00531D26">
                              <w:rPr>
                                <w:sz w:val="20"/>
                                <w:szCs w:val="20"/>
                              </w:rPr>
                              <w:t>tripotassium</w:t>
                            </w:r>
                            <w:proofErr w:type="spellEnd"/>
                            <w:r w:rsidRPr="00531D26">
                              <w:rPr>
                                <w:sz w:val="20"/>
                                <w:szCs w:val="20"/>
                              </w:rPr>
                              <w:t xml:space="preserve"> </w:t>
                            </w:r>
                            <w:proofErr w:type="spellStart"/>
                            <w:r w:rsidRPr="00531D26">
                              <w:rPr>
                                <w:sz w:val="20"/>
                                <w:szCs w:val="20"/>
                              </w:rPr>
                              <w:t>dicitratobismuthate</w:t>
                            </w:r>
                            <w:proofErr w:type="spellEnd"/>
                            <w:r w:rsidRPr="00531D26">
                              <w:rPr>
                                <w:sz w:val="20"/>
                                <w:szCs w:val="20"/>
                              </w:rPr>
                              <w:t xml:space="preserve"> 240mg QDS</w:t>
                            </w:r>
                            <w:hyperlink w:anchor="Reference39" w:history="1">
                              <w:r w:rsidRPr="00531D26">
                                <w:rPr>
                                  <w:rStyle w:val="Hyperlink"/>
                                  <w:sz w:val="20"/>
                                  <w:szCs w:val="20"/>
                                  <w:u w:val="none"/>
                                  <w:vertAlign w:val="superscript"/>
                                </w:rPr>
                                <w:t>39D</w:t>
                              </w:r>
                            </w:hyperlink>
                          </w:p>
                          <w:p w14:paraId="1AEDCED0" w14:textId="0AD1C20C" w:rsidR="00452D42" w:rsidRPr="00531D26" w:rsidRDefault="00452D42" w:rsidP="00B40E86">
                            <w:pPr>
                              <w:spacing w:line="240" w:lineRule="exact"/>
                              <w:jc w:val="center"/>
                              <w:rPr>
                                <w:sz w:val="20"/>
                                <w:szCs w:val="20"/>
                              </w:rPr>
                            </w:pPr>
                            <w:r w:rsidRPr="00531D26">
                              <w:rPr>
                                <w:sz w:val="20"/>
                                <w:szCs w:val="20"/>
                              </w:rPr>
                              <w:t>PLUS tetracycline hydrochloride 500mg QDS</w:t>
                            </w:r>
                            <w:hyperlink w:anchor="Reference2" w:history="1">
                              <w:r w:rsidRPr="00531D26">
                                <w:rPr>
                                  <w:rStyle w:val="Hyperlink"/>
                                  <w:sz w:val="20"/>
                                  <w:szCs w:val="20"/>
                                  <w:u w:val="none"/>
                                  <w:vertAlign w:val="superscript"/>
                                </w:rPr>
                                <w:t>2A-</w:t>
                              </w:r>
                            </w:hyperlink>
                          </w:p>
                          <w:p w14:paraId="3023B770" w14:textId="4D490964" w:rsidR="00452D42" w:rsidRPr="00301DE8" w:rsidRDefault="00452D42" w:rsidP="00B40E86">
                            <w:pPr>
                              <w:spacing w:line="240" w:lineRule="exact"/>
                              <w:jc w:val="center"/>
                              <w:rPr>
                                <w:color w:val="9C002A"/>
                                <w:sz w:val="20"/>
                                <w:szCs w:val="20"/>
                                <w:vertAlign w:val="superscript"/>
                              </w:rPr>
                            </w:pPr>
                            <w:r w:rsidRPr="00531D26">
                              <w:rPr>
                                <w:sz w:val="20"/>
                                <w:szCs w:val="20"/>
                              </w:rPr>
                              <w:t>PLUS metronidazole 400mg BD</w:t>
                            </w:r>
                            <w:hyperlink w:anchor="Reference2" w:history="1">
                              <w:r w:rsidRPr="00531D26">
                                <w:rPr>
                                  <w:rStyle w:val="Hyperlink"/>
                                  <w:sz w:val="20"/>
                                  <w:szCs w:val="20"/>
                                  <w:u w:val="none"/>
                                  <w:vertAlign w:val="superscript"/>
                                </w:rPr>
                                <w:t>2A-</w:t>
                              </w:r>
                            </w:hyperlink>
                          </w:p>
                          <w:p w14:paraId="7FC964BC" w14:textId="411073E2" w:rsidR="00452D42" w:rsidRPr="00301DE8" w:rsidRDefault="00452D42" w:rsidP="00B40E86">
                            <w:pPr>
                              <w:spacing w:after="10" w:line="240" w:lineRule="exact"/>
                              <w:jc w:val="center"/>
                              <w:rPr>
                                <w:sz w:val="20"/>
                                <w:szCs w:val="20"/>
                              </w:rPr>
                            </w:pPr>
                          </w:p>
                        </w:txbxContent>
                      </v:textbox>
                    </v:shape>
                  </w:pict>
                </mc:Fallback>
              </mc:AlternateContent>
            </w:r>
            <w:r w:rsidR="008376B6" w:rsidRPr="004C68A2">
              <w:rPr>
                <w:b/>
                <w:noProof/>
                <w:lang w:eastAsia="en-GB"/>
              </w:rPr>
              <mc:AlternateContent>
                <mc:Choice Requires="wps">
                  <w:drawing>
                    <wp:anchor distT="0" distB="0" distL="114300" distR="114300" simplePos="0" relativeHeight="251715584" behindDoc="0" locked="0" layoutInCell="1" allowOverlap="1" wp14:anchorId="4D5E5A0A" wp14:editId="7CB07E86">
                      <wp:simplePos x="0" y="0"/>
                      <wp:positionH relativeFrom="column">
                        <wp:posOffset>-11760</wp:posOffset>
                      </wp:positionH>
                      <wp:positionV relativeFrom="paragraph">
                        <wp:posOffset>83185</wp:posOffset>
                      </wp:positionV>
                      <wp:extent cx="3402330" cy="733425"/>
                      <wp:effectExtent l="0" t="0" r="26670"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733425"/>
                              </a:xfrm>
                              <a:prstGeom prst="rect">
                                <a:avLst/>
                              </a:prstGeom>
                              <a:solidFill>
                                <a:srgbClr val="FFFFCC"/>
                              </a:solidFill>
                              <a:ln w="9525">
                                <a:solidFill>
                                  <a:srgbClr val="000000"/>
                                </a:solidFill>
                                <a:miter lim="800000"/>
                                <a:headEnd/>
                                <a:tailEnd/>
                              </a:ln>
                            </wps:spPr>
                            <wps:txbx>
                              <w:txbxContent>
                                <w:p w14:paraId="157C9496" w14:textId="71F75B42" w:rsidR="00452D42" w:rsidRPr="00965B48" w:rsidRDefault="00452D42" w:rsidP="005A215B">
                                  <w:pPr>
                                    <w:spacing w:after="10" w:line="240" w:lineRule="exact"/>
                                    <w:jc w:val="center"/>
                                    <w:rPr>
                                      <w:sz w:val="20"/>
                                      <w:szCs w:val="20"/>
                                      <w:vertAlign w:val="superscript"/>
                                    </w:rPr>
                                  </w:pPr>
                                  <w:r w:rsidRPr="00965B48">
                                    <w:rPr>
                                      <w:b/>
                                      <w:sz w:val="20"/>
                                      <w:szCs w:val="20"/>
                                    </w:rPr>
                                    <w:t>SECOND-LINE: 7 days, PPI twice daily</w:t>
                                  </w:r>
                                  <w:hyperlink w:anchor="Reference2" w:history="1">
                                    <w:r w:rsidRPr="00965B48">
                                      <w:rPr>
                                        <w:rStyle w:val="Hyperlink"/>
                                        <w:sz w:val="20"/>
                                        <w:szCs w:val="20"/>
                                        <w:u w:val="none"/>
                                        <w:vertAlign w:val="superscript"/>
                                      </w:rPr>
                                      <w:t>2A-</w:t>
                                    </w:r>
                                  </w:hyperlink>
                                  <w:r w:rsidRPr="00965B48">
                                    <w:rPr>
                                      <w:sz w:val="20"/>
                                      <w:szCs w:val="20"/>
                                      <w:vertAlign w:val="superscript"/>
                                    </w:rPr>
                                    <w:t>,</w:t>
                                  </w:r>
                                  <w:hyperlink w:anchor="Reference30" w:history="1">
                                    <w:r w:rsidRPr="00965B48">
                                      <w:rPr>
                                        <w:rStyle w:val="Hyperlink"/>
                                        <w:sz w:val="20"/>
                                        <w:szCs w:val="20"/>
                                        <w:u w:val="none"/>
                                        <w:vertAlign w:val="superscript"/>
                                      </w:rPr>
                                      <w:t>30A-</w:t>
                                    </w:r>
                                  </w:hyperlink>
                                  <w:r w:rsidRPr="00965B48">
                                    <w:rPr>
                                      <w:sz w:val="20"/>
                                      <w:szCs w:val="20"/>
                                      <w:vertAlign w:val="superscript"/>
                                    </w:rPr>
                                    <w:t>,</w:t>
                                  </w:r>
                                  <w:hyperlink w:anchor="Reference31" w:history="1">
                                    <w:r w:rsidRPr="00965B48">
                                      <w:rPr>
                                        <w:rStyle w:val="Hyperlink"/>
                                        <w:sz w:val="20"/>
                                        <w:szCs w:val="20"/>
                                        <w:u w:val="none"/>
                                        <w:vertAlign w:val="superscript"/>
                                      </w:rPr>
                                      <w:t>31A+</w:t>
                                    </w:r>
                                  </w:hyperlink>
                                </w:p>
                                <w:p w14:paraId="54F7A99E" w14:textId="77777777" w:rsidR="00452D42" w:rsidRPr="00965B48" w:rsidRDefault="00452D42" w:rsidP="005A215B">
                                  <w:pPr>
                                    <w:spacing w:line="240" w:lineRule="exact"/>
                                    <w:jc w:val="center"/>
                                    <w:rPr>
                                      <w:sz w:val="20"/>
                                      <w:szCs w:val="20"/>
                                    </w:rPr>
                                  </w:pPr>
                                  <w:proofErr w:type="gramStart"/>
                                  <w:r w:rsidRPr="00965B48">
                                    <w:rPr>
                                      <w:sz w:val="20"/>
                                      <w:szCs w:val="20"/>
                                    </w:rPr>
                                    <w:t>PLUS</w:t>
                                  </w:r>
                                  <w:proofErr w:type="gramEnd"/>
                                  <w:r w:rsidRPr="00965B48">
                                    <w:rPr>
                                      <w:sz w:val="20"/>
                                      <w:szCs w:val="20"/>
                                    </w:rPr>
                                    <w:t xml:space="preserve"> amoxicillin 1g BD</w:t>
                                  </w:r>
                                </w:p>
                                <w:p w14:paraId="3B29D73E" w14:textId="3C32F5D4" w:rsidR="00452D42" w:rsidRPr="0000243A" w:rsidRDefault="00452D42" w:rsidP="005A215B">
                                  <w:pPr>
                                    <w:spacing w:line="240" w:lineRule="exact"/>
                                    <w:jc w:val="center"/>
                                    <w:rPr>
                                      <w:sz w:val="20"/>
                                      <w:szCs w:val="20"/>
                                    </w:rPr>
                                  </w:pPr>
                                  <w:proofErr w:type="gramStart"/>
                                  <w:r w:rsidRPr="00965B48">
                                    <w:rPr>
                                      <w:sz w:val="20"/>
                                      <w:szCs w:val="20"/>
                                    </w:rPr>
                                    <w:t>PLUS</w:t>
                                  </w:r>
                                  <w:proofErr w:type="gramEnd"/>
                                  <w:r w:rsidRPr="00965B48">
                                    <w:rPr>
                                      <w:sz w:val="20"/>
                                      <w:szCs w:val="20"/>
                                    </w:rPr>
                                    <w:t xml:space="preserve"> second antibiotic not used in first line, either clarithromycin 500mg BD OR metronidazole 400mg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4D5E5A0A" id="_x0000_s1047" type="#_x0000_t202" style="position:absolute;margin-left:-.95pt;margin-top:6.55pt;width:267.9pt;height:5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" fillcolor="#ffc">
                      <v:textbox>
                        <w:txbxContent>
                          <w:p w14:paraId="157C9496" w14:textId="71F75B42" w:rsidR="00452D42" w:rsidRPr="00965B48" w:rsidRDefault="00452D42" w:rsidP="005A215B">
                            <w:pPr>
                              <w:spacing w:after="10" w:line="240" w:lineRule="exact"/>
                              <w:jc w:val="center"/>
                              <w:rPr>
                                <w:sz w:val="20"/>
                                <w:szCs w:val="20"/>
                                <w:vertAlign w:val="superscript"/>
                              </w:rPr>
                            </w:pPr>
                            <w:r w:rsidRPr="00965B48">
                              <w:rPr>
                                <w:b/>
                                <w:sz w:val="20"/>
                                <w:szCs w:val="20"/>
                              </w:rPr>
                              <w:t>SECOND-LINE: 7 days, PPI twice daily</w:t>
                            </w:r>
                            <w:hyperlink w:anchor="Reference2" w:history="1">
                              <w:r w:rsidRPr="00965B48">
                                <w:rPr>
                                  <w:rStyle w:val="Hyperlink"/>
                                  <w:sz w:val="20"/>
                                  <w:szCs w:val="20"/>
                                  <w:u w:val="none"/>
                                  <w:vertAlign w:val="superscript"/>
                                </w:rPr>
                                <w:t>2A-</w:t>
                              </w:r>
                            </w:hyperlink>
                            <w:r w:rsidRPr="00965B48">
                              <w:rPr>
                                <w:sz w:val="20"/>
                                <w:szCs w:val="20"/>
                                <w:vertAlign w:val="superscript"/>
                              </w:rPr>
                              <w:t>,</w:t>
                            </w:r>
                            <w:hyperlink w:anchor="Reference30" w:history="1">
                              <w:r w:rsidRPr="00965B48">
                                <w:rPr>
                                  <w:rStyle w:val="Hyperlink"/>
                                  <w:sz w:val="20"/>
                                  <w:szCs w:val="20"/>
                                  <w:u w:val="none"/>
                                  <w:vertAlign w:val="superscript"/>
                                </w:rPr>
                                <w:t>30A-</w:t>
                              </w:r>
                            </w:hyperlink>
                            <w:r w:rsidRPr="00965B48">
                              <w:rPr>
                                <w:sz w:val="20"/>
                                <w:szCs w:val="20"/>
                                <w:vertAlign w:val="superscript"/>
                              </w:rPr>
                              <w:t>,</w:t>
                            </w:r>
                            <w:hyperlink w:anchor="Reference31" w:history="1">
                              <w:r w:rsidRPr="00965B48">
                                <w:rPr>
                                  <w:rStyle w:val="Hyperlink"/>
                                  <w:sz w:val="20"/>
                                  <w:szCs w:val="20"/>
                                  <w:u w:val="none"/>
                                  <w:vertAlign w:val="superscript"/>
                                </w:rPr>
                                <w:t>31A+</w:t>
                              </w:r>
                            </w:hyperlink>
                          </w:p>
                          <w:p w14:paraId="54F7A99E" w14:textId="77777777" w:rsidR="00452D42" w:rsidRPr="00965B48" w:rsidRDefault="00452D42" w:rsidP="005A215B">
                            <w:pPr>
                              <w:spacing w:line="240" w:lineRule="exact"/>
                              <w:jc w:val="center"/>
                              <w:rPr>
                                <w:sz w:val="20"/>
                                <w:szCs w:val="20"/>
                              </w:rPr>
                            </w:pPr>
                            <w:r w:rsidRPr="00965B48">
                              <w:rPr>
                                <w:sz w:val="20"/>
                                <w:szCs w:val="20"/>
                              </w:rPr>
                              <w:t>PLUS amoxicillin 1g BD</w:t>
                            </w:r>
                          </w:p>
                          <w:p w14:paraId="3B29D73E" w14:textId="3C32F5D4" w:rsidR="00452D42" w:rsidRPr="0000243A" w:rsidRDefault="00452D42" w:rsidP="005A215B">
                            <w:pPr>
                              <w:spacing w:line="240" w:lineRule="exact"/>
                              <w:jc w:val="center"/>
                              <w:rPr>
                                <w:sz w:val="20"/>
                                <w:szCs w:val="20"/>
                              </w:rPr>
                            </w:pPr>
                            <w:r w:rsidRPr="00965B48">
                              <w:rPr>
                                <w:sz w:val="20"/>
                                <w:szCs w:val="20"/>
                              </w:rPr>
                              <w:t>PLUS second antibiotic not used in first line, either clarithromycin 500mg BD OR metronidazole 400mg BD</w:t>
                            </w:r>
                          </w:p>
                        </w:txbxContent>
                      </v:textbox>
                    </v:shape>
                  </w:pict>
                </mc:Fallback>
              </mc:AlternateContent>
            </w:r>
          </w:p>
          <w:p w14:paraId="098ADC35" w14:textId="363BFCD7" w:rsidR="008A6E4F" w:rsidRDefault="008A6E4F" w:rsidP="00E2120F">
            <w:pPr>
              <w:pStyle w:val="PHEBulletpoint"/>
              <w:numPr>
                <w:ilvl w:val="0"/>
                <w:numId w:val="0"/>
              </w:numPr>
              <w:spacing w:line="280" w:lineRule="exact"/>
            </w:pPr>
          </w:p>
          <w:p w14:paraId="2F2E8677" w14:textId="77777777" w:rsidR="008A6E4F" w:rsidRDefault="008A6E4F" w:rsidP="00E2120F">
            <w:pPr>
              <w:pStyle w:val="PHEBulletpoint"/>
              <w:numPr>
                <w:ilvl w:val="0"/>
                <w:numId w:val="0"/>
              </w:numPr>
              <w:spacing w:line="280" w:lineRule="exact"/>
            </w:pPr>
          </w:p>
          <w:p w14:paraId="26E95953" w14:textId="0AD9D577" w:rsidR="008A6E4F" w:rsidRDefault="008A6E4F" w:rsidP="00E2120F">
            <w:pPr>
              <w:pStyle w:val="PHEBulletpoint"/>
              <w:numPr>
                <w:ilvl w:val="0"/>
                <w:numId w:val="0"/>
              </w:numPr>
              <w:spacing w:line="280" w:lineRule="exact"/>
            </w:pPr>
          </w:p>
          <w:p w14:paraId="611493AD" w14:textId="64C7F236" w:rsidR="008A6E4F" w:rsidRDefault="00166A57" w:rsidP="00E2120F">
            <w:pPr>
              <w:pStyle w:val="PHEBulletpoint"/>
              <w:numPr>
                <w:ilvl w:val="0"/>
                <w:numId w:val="0"/>
              </w:numPr>
              <w:spacing w:line="280" w:lineRule="exact"/>
            </w:pPr>
            <w:r w:rsidRPr="005B21E3">
              <w:rPr>
                <w:b/>
                <w:noProof/>
                <w:lang w:eastAsia="en-GB"/>
              </w:rPr>
              <mc:AlternateContent>
                <mc:Choice Requires="wps">
                  <w:drawing>
                    <wp:anchor distT="0" distB="0" distL="114300" distR="114300" simplePos="0" relativeHeight="251721728" behindDoc="0" locked="0" layoutInCell="1" allowOverlap="1" wp14:anchorId="58A462B6" wp14:editId="259CC9BA">
                      <wp:simplePos x="0" y="0"/>
                      <wp:positionH relativeFrom="column">
                        <wp:posOffset>3253007</wp:posOffset>
                      </wp:positionH>
                      <wp:positionV relativeFrom="paragraph">
                        <wp:posOffset>103505</wp:posOffset>
                      </wp:positionV>
                      <wp:extent cx="0" cy="386862"/>
                      <wp:effectExtent l="95250" t="0" r="114300" b="51435"/>
                      <wp:wrapNone/>
                      <wp:docPr id="37" name="Straight Arrow Connector 37"/>
                      <wp:cNvGraphicFramePr/>
                      <a:graphic xmlns:a="http://schemas.openxmlformats.org/drawingml/2006/main">
                        <a:graphicData uri="http://schemas.microsoft.com/office/word/2010/wordprocessingShape">
                          <wps:wsp>
                            <wps:cNvCnPr/>
                            <wps:spPr>
                              <a:xfrm>
                                <a:off x="0" y="0"/>
                                <a:ext cx="0" cy="38686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2EDED311" id="Straight Arrow Connector 37" o:spid="_x0000_s1026" type="#_x0000_t32" style="position:absolute;margin-left:256.15pt;margin-top:8.15pt;width:0;height:30.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" strokecolor="black [3213]" strokeweight="2pt">
                      <v:stroke endarrow="open"/>
                    </v:shape>
                  </w:pict>
                </mc:Fallback>
              </mc:AlternateContent>
            </w:r>
            <w:r w:rsidR="008376B6" w:rsidRPr="004C68A2">
              <w:rPr>
                <w:b/>
                <w:noProof/>
                <w:lang w:eastAsia="en-GB"/>
              </w:rPr>
              <mc:AlternateContent>
                <mc:Choice Requires="wps">
                  <w:drawing>
                    <wp:anchor distT="0" distB="0" distL="114300" distR="114300" simplePos="0" relativeHeight="251725824" behindDoc="0" locked="0" layoutInCell="1" allowOverlap="1" wp14:anchorId="7CC5EBC2" wp14:editId="65A3FEAC">
                      <wp:simplePos x="0" y="0"/>
                      <wp:positionH relativeFrom="column">
                        <wp:posOffset>250825</wp:posOffset>
                      </wp:positionH>
                      <wp:positionV relativeFrom="paragraph">
                        <wp:posOffset>97460</wp:posOffset>
                      </wp:positionV>
                      <wp:extent cx="2671445" cy="42100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421005"/>
                              </a:xfrm>
                              <a:prstGeom prst="rect">
                                <a:avLst/>
                              </a:prstGeom>
                              <a:noFill/>
                              <a:ln w="9525">
                                <a:noFill/>
                                <a:miter lim="800000"/>
                                <a:headEnd/>
                                <a:tailEnd/>
                              </a:ln>
                            </wps:spPr>
                            <wps:txbx>
                              <w:txbxContent>
                                <w:p w14:paraId="05B7796B" w14:textId="0C444A2A" w:rsidR="00452D42" w:rsidRPr="0000243A" w:rsidRDefault="00452D42" w:rsidP="009A6F2B">
                                  <w:pPr>
                                    <w:spacing w:line="240" w:lineRule="exact"/>
                                    <w:jc w:val="center"/>
                                    <w:rPr>
                                      <w:b/>
                                      <w:sz w:val="20"/>
                                      <w:szCs w:val="20"/>
                                    </w:rPr>
                                  </w:pPr>
                                  <w:r>
                                    <w:rPr>
                                      <w:b/>
                                      <w:sz w:val="20"/>
                                      <w:szCs w:val="20"/>
                                    </w:rPr>
                                    <w:t>ONGOING SYMPTOMS after first-line AND previous exposure to MZ and CLAR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7CC5EBC2" id="_x0000_s1048" type="#_x0000_t202" style="position:absolute;margin-left:19.75pt;margin-top:7.65pt;width:210.35pt;height:3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" filled="f" stroked="f">
                      <v:textbox>
                        <w:txbxContent>
                          <w:p w14:paraId="05B7796B" w14:textId="0C444A2A" w:rsidR="00452D42" w:rsidRPr="0000243A" w:rsidRDefault="00452D42" w:rsidP="009A6F2B">
                            <w:pPr>
                              <w:spacing w:line="240" w:lineRule="exact"/>
                              <w:jc w:val="center"/>
                              <w:rPr>
                                <w:b/>
                                <w:sz w:val="20"/>
                                <w:szCs w:val="20"/>
                              </w:rPr>
                            </w:pPr>
                            <w:r>
                              <w:rPr>
                                <w:b/>
                                <w:sz w:val="20"/>
                                <w:szCs w:val="20"/>
                              </w:rPr>
                              <w:t>ONGOING SYMPTOMS after first-line AND previous exposure to MZ and CLAR</w:t>
                            </w:r>
                          </w:p>
                        </w:txbxContent>
                      </v:textbox>
                    </v:shape>
                  </w:pict>
                </mc:Fallback>
              </mc:AlternateContent>
            </w:r>
          </w:p>
          <w:p w14:paraId="6D723B79" w14:textId="2176D698" w:rsidR="008A6E4F" w:rsidRDefault="00722808" w:rsidP="00E2120F">
            <w:pPr>
              <w:pStyle w:val="PHEBulletpoint"/>
              <w:numPr>
                <w:ilvl w:val="0"/>
                <w:numId w:val="0"/>
              </w:numPr>
              <w:spacing w:line="280" w:lineRule="exact"/>
            </w:pPr>
            <w:r w:rsidRPr="004C68A2">
              <w:rPr>
                <w:b/>
                <w:noProof/>
                <w:lang w:eastAsia="en-GB"/>
              </w:rPr>
              <mc:AlternateContent>
                <mc:Choice Requires="wps">
                  <w:drawing>
                    <wp:anchor distT="0" distB="0" distL="114300" distR="114300" simplePos="0" relativeHeight="251740160" behindDoc="0" locked="0" layoutInCell="1" allowOverlap="1" wp14:anchorId="65C6EFA6" wp14:editId="70A85AAD">
                      <wp:simplePos x="0" y="0"/>
                      <wp:positionH relativeFrom="column">
                        <wp:posOffset>3371264</wp:posOffset>
                      </wp:positionH>
                      <wp:positionV relativeFrom="paragraph">
                        <wp:posOffset>34290</wp:posOffset>
                      </wp:positionV>
                      <wp:extent cx="3250565" cy="46672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466725"/>
                              </a:xfrm>
                              <a:prstGeom prst="rect">
                                <a:avLst/>
                              </a:prstGeom>
                              <a:noFill/>
                              <a:ln w="9525">
                                <a:noFill/>
                                <a:miter lim="800000"/>
                                <a:headEnd/>
                                <a:tailEnd/>
                              </a:ln>
                            </wps:spPr>
                            <wps:txbx>
                              <w:txbxContent>
                                <w:p w14:paraId="36CA12AC" w14:textId="1BD4906F" w:rsidR="00452D42" w:rsidRPr="0000243A" w:rsidRDefault="00452D42" w:rsidP="00163185">
                                  <w:pPr>
                                    <w:spacing w:line="240" w:lineRule="exact"/>
                                    <w:jc w:val="center"/>
                                    <w:rPr>
                                      <w:b/>
                                      <w:sz w:val="20"/>
                                      <w:szCs w:val="20"/>
                                    </w:rPr>
                                  </w:pPr>
                                  <w:r w:rsidRPr="00531D26">
                                    <w:rPr>
                                      <w:b/>
                                      <w:sz w:val="20"/>
                                      <w:szCs w:val="20"/>
                                    </w:rPr>
                                    <w:t>ONGOING SYMPTOMS after first-line and NO previous exposure to levofloxacin</w:t>
                                  </w:r>
                                  <w:r>
                                    <w:rPr>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65C6EFA6" id="_x0000_s1049" type="#_x0000_t202" style="position:absolute;margin-left:265.45pt;margin-top:2.7pt;width:255.95pt;height:3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" filled="f" stroked="f">
                      <v:textbox>
                        <w:txbxContent>
                          <w:p w14:paraId="36CA12AC" w14:textId="1BD4906F" w:rsidR="00452D42" w:rsidRPr="0000243A" w:rsidRDefault="00452D42" w:rsidP="00163185">
                            <w:pPr>
                              <w:spacing w:line="240" w:lineRule="exact"/>
                              <w:jc w:val="center"/>
                              <w:rPr>
                                <w:b/>
                                <w:sz w:val="20"/>
                                <w:szCs w:val="20"/>
                              </w:rPr>
                            </w:pPr>
                            <w:r w:rsidRPr="00531D26">
                              <w:rPr>
                                <w:b/>
                                <w:sz w:val="20"/>
                                <w:szCs w:val="20"/>
                              </w:rPr>
                              <w:t>ONGOING SYMPTOMS after first-line and NO previous exposure to levofloxacin</w:t>
                            </w:r>
                            <w:r>
                              <w:rPr>
                                <w:b/>
                                <w:sz w:val="20"/>
                                <w:szCs w:val="20"/>
                              </w:rPr>
                              <w:t xml:space="preserve"> </w:t>
                            </w:r>
                          </w:p>
                        </w:txbxContent>
                      </v:textbox>
                    </v:shape>
                  </w:pict>
                </mc:Fallback>
              </mc:AlternateContent>
            </w:r>
            <w:r w:rsidR="00166A57" w:rsidRPr="005B21E3">
              <w:rPr>
                <w:b/>
                <w:noProof/>
                <w:lang w:eastAsia="en-GB"/>
              </w:rPr>
              <mc:AlternateContent>
                <mc:Choice Requires="wps">
                  <w:drawing>
                    <wp:anchor distT="0" distB="0" distL="114300" distR="114300" simplePos="0" relativeHeight="251646964" behindDoc="0" locked="0" layoutInCell="1" allowOverlap="1" wp14:anchorId="28E23745" wp14:editId="671348CD">
                      <wp:simplePos x="0" y="0"/>
                      <wp:positionH relativeFrom="column">
                        <wp:posOffset>6744237</wp:posOffset>
                      </wp:positionH>
                      <wp:positionV relativeFrom="paragraph">
                        <wp:posOffset>9769</wp:posOffset>
                      </wp:positionV>
                      <wp:extent cx="0" cy="451338"/>
                      <wp:effectExtent l="95250" t="0" r="57150" b="63500"/>
                      <wp:wrapNone/>
                      <wp:docPr id="44" name="Straight Arrow Connector 44"/>
                      <wp:cNvGraphicFramePr/>
                      <a:graphic xmlns:a="http://schemas.openxmlformats.org/drawingml/2006/main">
                        <a:graphicData uri="http://schemas.microsoft.com/office/word/2010/wordprocessingShape">
                          <wps:wsp>
                            <wps:cNvCnPr/>
                            <wps:spPr>
                              <a:xfrm>
                                <a:off x="0" y="0"/>
                                <a:ext cx="0" cy="45133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2C286BF" id="Straight Arrow Connector 44" o:spid="_x0000_s1026" type="#_x0000_t32" style="position:absolute;margin-left:531.05pt;margin-top:.75pt;width:0;height:35.55pt;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" strokecolor="black [3213]" strokeweight="2pt">
                      <v:stroke endarrow="open"/>
                    </v:shape>
                  </w:pict>
                </mc:Fallback>
              </mc:AlternateContent>
            </w:r>
          </w:p>
          <w:p w14:paraId="526072D0" w14:textId="2864A5EE" w:rsidR="008A6E4F" w:rsidRDefault="008376B6" w:rsidP="00E2120F">
            <w:pPr>
              <w:pStyle w:val="PHEBulletpoint"/>
              <w:numPr>
                <w:ilvl w:val="0"/>
                <w:numId w:val="0"/>
              </w:numPr>
              <w:spacing w:line="280" w:lineRule="exact"/>
            </w:pPr>
            <w:r w:rsidRPr="004C68A2">
              <w:rPr>
                <w:b/>
                <w:noProof/>
                <w:lang w:eastAsia="en-GB"/>
              </w:rPr>
              <mc:AlternateContent>
                <mc:Choice Requires="wps">
                  <w:drawing>
                    <wp:anchor distT="0" distB="0" distL="114300" distR="114300" simplePos="0" relativeHeight="251717632" behindDoc="0" locked="0" layoutInCell="1" allowOverlap="1" wp14:anchorId="56A7AB1B" wp14:editId="4F6339EE">
                      <wp:simplePos x="0" y="0"/>
                      <wp:positionH relativeFrom="column">
                        <wp:posOffset>-11760</wp:posOffset>
                      </wp:positionH>
                      <wp:positionV relativeFrom="paragraph">
                        <wp:posOffset>135255</wp:posOffset>
                      </wp:positionV>
                      <wp:extent cx="3402635" cy="734060"/>
                      <wp:effectExtent l="0" t="0" r="26670" b="279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635" cy="734060"/>
                              </a:xfrm>
                              <a:prstGeom prst="rect">
                                <a:avLst/>
                              </a:prstGeom>
                              <a:solidFill>
                                <a:srgbClr val="FFFFCC"/>
                              </a:solidFill>
                              <a:ln w="9525">
                                <a:solidFill>
                                  <a:srgbClr val="000000"/>
                                </a:solidFill>
                                <a:miter lim="800000"/>
                                <a:headEnd/>
                                <a:tailEnd/>
                              </a:ln>
                            </wps:spPr>
                            <wps:txbx>
                              <w:txbxContent>
                                <w:p w14:paraId="727E5DB6" w14:textId="728DC149" w:rsidR="00452D42" w:rsidRPr="00301DE8" w:rsidRDefault="00452D42" w:rsidP="001D7EE8">
                                  <w:pPr>
                                    <w:spacing w:after="10" w:line="240" w:lineRule="exact"/>
                                    <w:jc w:val="center"/>
                                    <w:rPr>
                                      <w:sz w:val="20"/>
                                      <w:szCs w:val="20"/>
                                    </w:rPr>
                                  </w:pPr>
                                  <w:r>
                                    <w:rPr>
                                      <w:b/>
                                      <w:sz w:val="20"/>
                                      <w:szCs w:val="20"/>
                                    </w:rPr>
                                    <w:t>SECOND-LINE, 7 days, PPI twic</w:t>
                                  </w:r>
                                  <w:r w:rsidRPr="00301DE8">
                                    <w:rPr>
                                      <w:b/>
                                      <w:sz w:val="20"/>
                                      <w:szCs w:val="20"/>
                                    </w:rPr>
                                    <w:t>e daily</w:t>
                                  </w:r>
                                  <w:hyperlink w:anchor="Reference2" w:history="1">
                                    <w:r w:rsidRPr="00301DE8">
                                      <w:rPr>
                                        <w:rStyle w:val="Hyperlink"/>
                                        <w:sz w:val="20"/>
                                        <w:szCs w:val="20"/>
                                        <w:u w:val="none"/>
                                        <w:vertAlign w:val="superscript"/>
                                      </w:rPr>
                                      <w:t>2A-</w:t>
                                    </w:r>
                                  </w:hyperlink>
                                  <w:r w:rsidRPr="00301DE8">
                                    <w:rPr>
                                      <w:sz w:val="20"/>
                                      <w:szCs w:val="20"/>
                                      <w:vertAlign w:val="superscript"/>
                                    </w:rPr>
                                    <w:t>,</w:t>
                                  </w:r>
                                  <w:hyperlink w:anchor="Reference30" w:history="1">
                                    <w:r w:rsidRPr="00301DE8">
                                      <w:rPr>
                                        <w:rStyle w:val="Hyperlink"/>
                                        <w:sz w:val="20"/>
                                        <w:szCs w:val="20"/>
                                        <w:u w:val="none"/>
                                        <w:vertAlign w:val="superscript"/>
                                      </w:rPr>
                                      <w:t>30A-</w:t>
                                    </w:r>
                                  </w:hyperlink>
                                  <w:r w:rsidRPr="00301DE8">
                                    <w:rPr>
                                      <w:sz w:val="20"/>
                                      <w:szCs w:val="20"/>
                                      <w:vertAlign w:val="superscript"/>
                                    </w:rPr>
                                    <w:t>,</w:t>
                                  </w:r>
                                  <w:hyperlink w:anchor="Reference31" w:history="1">
                                    <w:r w:rsidRPr="00301DE8">
                                      <w:rPr>
                                        <w:rStyle w:val="Hyperlink"/>
                                        <w:sz w:val="20"/>
                                        <w:szCs w:val="20"/>
                                        <w:u w:val="none"/>
                                        <w:vertAlign w:val="superscript"/>
                                      </w:rPr>
                                      <w:t>31A+</w:t>
                                    </w:r>
                                  </w:hyperlink>
                                </w:p>
                                <w:p w14:paraId="7CC3357F" w14:textId="77777777" w:rsidR="00452D42" w:rsidRPr="00301DE8" w:rsidRDefault="00452D42" w:rsidP="001D7EE8">
                                  <w:pPr>
                                    <w:spacing w:line="240" w:lineRule="exact"/>
                                    <w:jc w:val="center"/>
                                    <w:rPr>
                                      <w:sz w:val="20"/>
                                      <w:szCs w:val="20"/>
                                    </w:rPr>
                                  </w:pPr>
                                  <w:proofErr w:type="gramStart"/>
                                  <w:r w:rsidRPr="00301DE8">
                                    <w:rPr>
                                      <w:sz w:val="20"/>
                                      <w:szCs w:val="20"/>
                                    </w:rPr>
                                    <w:t>PLUS</w:t>
                                  </w:r>
                                  <w:proofErr w:type="gramEnd"/>
                                  <w:r w:rsidRPr="00301DE8">
                                    <w:rPr>
                                      <w:sz w:val="20"/>
                                      <w:szCs w:val="20"/>
                                    </w:rPr>
                                    <w:t xml:space="preserve"> amoxicillin 1g BD</w:t>
                                  </w:r>
                                </w:p>
                                <w:p w14:paraId="495E3621" w14:textId="08597908" w:rsidR="00452D42" w:rsidRPr="00301DE8" w:rsidRDefault="00452D42" w:rsidP="001D7EE8">
                                  <w:pPr>
                                    <w:spacing w:line="240" w:lineRule="exact"/>
                                    <w:jc w:val="center"/>
                                    <w:rPr>
                                      <w:color w:val="9C002A"/>
                                      <w:sz w:val="20"/>
                                      <w:szCs w:val="20"/>
                                    </w:rPr>
                                  </w:pPr>
                                  <w:r w:rsidRPr="00301DE8">
                                    <w:rPr>
                                      <w:sz w:val="20"/>
                                      <w:szCs w:val="20"/>
                                    </w:rPr>
                                    <w:t>PLUS second antibiotic, either tetracycline hydrochloride 500mg QDS OR levofloxacin 250mg BD</w:t>
                                  </w:r>
                                  <w:hyperlink w:anchor="Reference30" w:history="1">
                                    <w:r w:rsidRPr="00301DE8">
                                      <w:rPr>
                                        <w:rStyle w:val="Hyperlink"/>
                                        <w:sz w:val="20"/>
                                        <w:szCs w:val="20"/>
                                        <w:u w:val="none"/>
                                        <w:vertAlign w:val="superscript"/>
                                      </w:rPr>
                                      <w:t>30A-</w:t>
                                    </w:r>
                                  </w:hyperlink>
                                  <w:r w:rsidRPr="00301DE8">
                                    <w:rPr>
                                      <w:sz w:val="20"/>
                                      <w:szCs w:val="20"/>
                                      <w:vertAlign w:val="superscript"/>
                                    </w:rPr>
                                    <w:t>,</w:t>
                                  </w:r>
                                  <w:hyperlink w:anchor="Reference31" w:history="1">
                                    <w:r w:rsidRPr="00301DE8">
                                      <w:rPr>
                                        <w:rStyle w:val="Hyperlink"/>
                                        <w:sz w:val="20"/>
                                        <w:szCs w:val="20"/>
                                        <w:u w:val="none"/>
                                        <w:vertAlign w:val="superscript"/>
                                      </w:rPr>
                                      <w:t>31A+</w:t>
                                    </w:r>
                                  </w:hyperlink>
                                  <w:r w:rsidRPr="00301DE8">
                                    <w:rPr>
                                      <w:sz w:val="20"/>
                                      <w:szCs w:val="20"/>
                                      <w:vertAlign w:val="superscript"/>
                                    </w:rPr>
                                    <w:t>,</w:t>
                                  </w:r>
                                  <w:hyperlink w:anchor="Reference33" w:history="1">
                                    <w:r w:rsidRPr="00301DE8">
                                      <w:rPr>
                                        <w:rStyle w:val="Hyperlink"/>
                                        <w:sz w:val="20"/>
                                        <w:szCs w:val="20"/>
                                        <w:u w:val="none"/>
                                        <w:vertAlign w:val="superscript"/>
                                      </w:rPr>
                                      <w:t>33A+</w:t>
                                    </w:r>
                                  </w:hyperlink>
                                  <w:r w:rsidRPr="00301DE8">
                                    <w:rPr>
                                      <w:sz w:val="20"/>
                                      <w:szCs w:val="20"/>
                                      <w:vertAlign w:val="superscript"/>
                                    </w:rPr>
                                    <w:t>,</w:t>
                                  </w:r>
                                  <w:hyperlink w:anchor="Reference34" w:history="1">
                                    <w:r w:rsidRPr="00301DE8">
                                      <w:rPr>
                                        <w:rStyle w:val="Hyperlink"/>
                                        <w:sz w:val="20"/>
                                        <w:szCs w:val="20"/>
                                        <w:u w:val="none"/>
                                        <w:vertAlign w:val="superscript"/>
                                      </w:rPr>
                                      <w:t>34A+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6A7AB1B" id="_x0000_s1050" type="#_x0000_t202" style="position:absolute;margin-left:-.95pt;margin-top:10.65pt;width:267.9pt;height:5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PiOKA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" fillcolor="#ffc">
                      <v:textbox>
                        <w:txbxContent>
                          <w:p w14:paraId="727E5DB6" w14:textId="728DC149" w:rsidR="00452D42" w:rsidRPr="00301DE8" w:rsidRDefault="00452D42" w:rsidP="001D7EE8">
                            <w:pPr>
                              <w:spacing w:after="10" w:line="240" w:lineRule="exact"/>
                              <w:jc w:val="center"/>
                              <w:rPr>
                                <w:sz w:val="20"/>
                                <w:szCs w:val="20"/>
                              </w:rPr>
                            </w:pPr>
                            <w:r>
                              <w:rPr>
                                <w:b/>
                                <w:sz w:val="20"/>
                                <w:szCs w:val="20"/>
                              </w:rPr>
                              <w:t>SECOND-LINE, 7 days, PPI twic</w:t>
                            </w:r>
                            <w:r w:rsidRPr="00301DE8">
                              <w:rPr>
                                <w:b/>
                                <w:sz w:val="20"/>
                                <w:szCs w:val="20"/>
                              </w:rPr>
                              <w:t>e daily</w:t>
                            </w:r>
                            <w:hyperlink w:anchor="Reference2" w:history="1">
                              <w:r w:rsidRPr="00301DE8">
                                <w:rPr>
                                  <w:rStyle w:val="Hyperlink"/>
                                  <w:sz w:val="20"/>
                                  <w:szCs w:val="20"/>
                                  <w:u w:val="none"/>
                                  <w:vertAlign w:val="superscript"/>
                                </w:rPr>
                                <w:t>2A-</w:t>
                              </w:r>
                            </w:hyperlink>
                            <w:r w:rsidRPr="00301DE8">
                              <w:rPr>
                                <w:sz w:val="20"/>
                                <w:szCs w:val="20"/>
                                <w:vertAlign w:val="superscript"/>
                              </w:rPr>
                              <w:t>,</w:t>
                            </w:r>
                            <w:hyperlink w:anchor="Reference30" w:history="1">
                              <w:r w:rsidRPr="00301DE8">
                                <w:rPr>
                                  <w:rStyle w:val="Hyperlink"/>
                                  <w:sz w:val="20"/>
                                  <w:szCs w:val="20"/>
                                  <w:u w:val="none"/>
                                  <w:vertAlign w:val="superscript"/>
                                </w:rPr>
                                <w:t>30A-</w:t>
                              </w:r>
                            </w:hyperlink>
                            <w:r w:rsidRPr="00301DE8">
                              <w:rPr>
                                <w:sz w:val="20"/>
                                <w:szCs w:val="20"/>
                                <w:vertAlign w:val="superscript"/>
                              </w:rPr>
                              <w:t>,</w:t>
                            </w:r>
                            <w:hyperlink w:anchor="Reference31" w:history="1">
                              <w:r w:rsidRPr="00301DE8">
                                <w:rPr>
                                  <w:rStyle w:val="Hyperlink"/>
                                  <w:sz w:val="20"/>
                                  <w:szCs w:val="20"/>
                                  <w:u w:val="none"/>
                                  <w:vertAlign w:val="superscript"/>
                                </w:rPr>
                                <w:t>31A+</w:t>
                              </w:r>
                            </w:hyperlink>
                          </w:p>
                          <w:p w14:paraId="7CC3357F" w14:textId="77777777" w:rsidR="00452D42" w:rsidRPr="00301DE8" w:rsidRDefault="00452D42" w:rsidP="001D7EE8">
                            <w:pPr>
                              <w:spacing w:line="240" w:lineRule="exact"/>
                              <w:jc w:val="center"/>
                              <w:rPr>
                                <w:sz w:val="20"/>
                                <w:szCs w:val="20"/>
                              </w:rPr>
                            </w:pPr>
                            <w:r w:rsidRPr="00301DE8">
                              <w:rPr>
                                <w:sz w:val="20"/>
                                <w:szCs w:val="20"/>
                              </w:rPr>
                              <w:t>PLUS amoxicillin 1g BD</w:t>
                            </w:r>
                          </w:p>
                          <w:p w14:paraId="495E3621" w14:textId="08597908" w:rsidR="00452D42" w:rsidRPr="00301DE8" w:rsidRDefault="00452D42" w:rsidP="001D7EE8">
                            <w:pPr>
                              <w:spacing w:line="240" w:lineRule="exact"/>
                              <w:jc w:val="center"/>
                              <w:rPr>
                                <w:color w:val="9C002A"/>
                                <w:sz w:val="20"/>
                                <w:szCs w:val="20"/>
                              </w:rPr>
                            </w:pPr>
                            <w:r w:rsidRPr="00301DE8">
                              <w:rPr>
                                <w:sz w:val="20"/>
                                <w:szCs w:val="20"/>
                              </w:rPr>
                              <w:t>PLUS second antibiotic, either tetracycline hydrochloride 500mg QDS OR levofloxacin 250mg BD</w:t>
                            </w:r>
                            <w:hyperlink w:anchor="Reference30" w:history="1">
                              <w:r w:rsidRPr="00301DE8">
                                <w:rPr>
                                  <w:rStyle w:val="Hyperlink"/>
                                  <w:sz w:val="20"/>
                                  <w:szCs w:val="20"/>
                                  <w:u w:val="none"/>
                                  <w:vertAlign w:val="superscript"/>
                                </w:rPr>
                                <w:t>30A-</w:t>
                              </w:r>
                            </w:hyperlink>
                            <w:r w:rsidRPr="00301DE8">
                              <w:rPr>
                                <w:sz w:val="20"/>
                                <w:szCs w:val="20"/>
                                <w:vertAlign w:val="superscript"/>
                              </w:rPr>
                              <w:t>,</w:t>
                            </w:r>
                            <w:hyperlink w:anchor="Reference31" w:history="1">
                              <w:r w:rsidRPr="00301DE8">
                                <w:rPr>
                                  <w:rStyle w:val="Hyperlink"/>
                                  <w:sz w:val="20"/>
                                  <w:szCs w:val="20"/>
                                  <w:u w:val="none"/>
                                  <w:vertAlign w:val="superscript"/>
                                </w:rPr>
                                <w:t>31A+</w:t>
                              </w:r>
                            </w:hyperlink>
                            <w:r w:rsidRPr="00301DE8">
                              <w:rPr>
                                <w:sz w:val="20"/>
                                <w:szCs w:val="20"/>
                                <w:vertAlign w:val="superscript"/>
                              </w:rPr>
                              <w:t>,</w:t>
                            </w:r>
                            <w:hyperlink w:anchor="Reference33" w:history="1">
                              <w:r w:rsidRPr="00301DE8">
                                <w:rPr>
                                  <w:rStyle w:val="Hyperlink"/>
                                  <w:sz w:val="20"/>
                                  <w:szCs w:val="20"/>
                                  <w:u w:val="none"/>
                                  <w:vertAlign w:val="superscript"/>
                                </w:rPr>
                                <w:t>33A+</w:t>
                              </w:r>
                            </w:hyperlink>
                            <w:r w:rsidRPr="00301DE8">
                              <w:rPr>
                                <w:sz w:val="20"/>
                                <w:szCs w:val="20"/>
                                <w:vertAlign w:val="superscript"/>
                              </w:rPr>
                              <w:t>,</w:t>
                            </w:r>
                            <w:hyperlink w:anchor="Reference34" w:history="1">
                              <w:r w:rsidRPr="00301DE8">
                                <w:rPr>
                                  <w:rStyle w:val="Hyperlink"/>
                                  <w:sz w:val="20"/>
                                  <w:szCs w:val="20"/>
                                  <w:u w:val="none"/>
                                  <w:vertAlign w:val="superscript"/>
                                </w:rPr>
                                <w:t>34A+</w:t>
                              </w:r>
                            </w:hyperlink>
                          </w:p>
                        </w:txbxContent>
                      </v:textbox>
                    </v:shape>
                  </w:pict>
                </mc:Fallback>
              </mc:AlternateContent>
            </w:r>
          </w:p>
          <w:p w14:paraId="592177F1" w14:textId="383E76E0" w:rsidR="008A6E4F" w:rsidRDefault="00B40E86" w:rsidP="00E2120F">
            <w:pPr>
              <w:pStyle w:val="PHEBulletpoint"/>
              <w:numPr>
                <w:ilvl w:val="0"/>
                <w:numId w:val="0"/>
              </w:numPr>
              <w:spacing w:line="280" w:lineRule="exact"/>
            </w:pPr>
            <w:r w:rsidRPr="004C68A2">
              <w:rPr>
                <w:b/>
                <w:noProof/>
                <w:lang w:eastAsia="en-GB"/>
              </w:rPr>
              <mc:AlternateContent>
                <mc:Choice Requires="wps">
                  <w:drawing>
                    <wp:anchor distT="0" distB="0" distL="114300" distR="114300" simplePos="0" relativeHeight="251731968" behindDoc="0" locked="0" layoutInCell="1" allowOverlap="1" wp14:anchorId="02C890F7" wp14:editId="23612C47">
                      <wp:simplePos x="0" y="0"/>
                      <wp:positionH relativeFrom="column">
                        <wp:posOffset>3459661</wp:posOffset>
                      </wp:positionH>
                      <wp:positionV relativeFrom="paragraph">
                        <wp:posOffset>102235</wp:posOffset>
                      </wp:positionV>
                      <wp:extent cx="3397885" cy="576580"/>
                      <wp:effectExtent l="0" t="0" r="12065" b="139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576580"/>
                              </a:xfrm>
                              <a:prstGeom prst="rect">
                                <a:avLst/>
                              </a:prstGeom>
                              <a:solidFill>
                                <a:srgbClr val="FFFFCC"/>
                              </a:solidFill>
                              <a:ln w="9525">
                                <a:solidFill>
                                  <a:srgbClr val="000000"/>
                                </a:solidFill>
                                <a:miter lim="800000"/>
                                <a:headEnd/>
                                <a:tailEnd/>
                              </a:ln>
                            </wps:spPr>
                            <wps:txbx>
                              <w:txbxContent>
                                <w:p w14:paraId="0BC9503B" w14:textId="1AECAE27" w:rsidR="00452D42" w:rsidRPr="00531D26" w:rsidRDefault="00452D42" w:rsidP="00B40E86">
                                  <w:pPr>
                                    <w:spacing w:after="10" w:line="240" w:lineRule="exact"/>
                                    <w:jc w:val="center"/>
                                    <w:rPr>
                                      <w:color w:val="9C002A"/>
                                      <w:sz w:val="20"/>
                                      <w:szCs w:val="20"/>
                                      <w:vertAlign w:val="superscript"/>
                                    </w:rPr>
                                  </w:pPr>
                                  <w:r w:rsidRPr="00531D26">
                                    <w:rPr>
                                      <w:b/>
                                      <w:sz w:val="20"/>
                                      <w:szCs w:val="20"/>
                                    </w:rPr>
                                    <w:t>SECOND-LINE: 7 days, PPI twice daily</w:t>
                                  </w:r>
                                  <w:hyperlink w:anchor="Reference2" w:history="1">
                                    <w:r w:rsidRPr="00531D26">
                                      <w:rPr>
                                        <w:rStyle w:val="Hyperlink"/>
                                        <w:sz w:val="20"/>
                                        <w:szCs w:val="20"/>
                                        <w:u w:val="none"/>
                                        <w:vertAlign w:val="superscript"/>
                                      </w:rPr>
                                      <w:t>2A-</w:t>
                                    </w:r>
                                  </w:hyperlink>
                                  <w:r w:rsidRPr="00531D26">
                                    <w:rPr>
                                      <w:sz w:val="20"/>
                                      <w:szCs w:val="20"/>
                                      <w:vertAlign w:val="superscript"/>
                                    </w:rPr>
                                    <w:t>,</w:t>
                                  </w:r>
                                  <w:hyperlink w:anchor="Reference30" w:history="1">
                                    <w:r w:rsidRPr="00531D26">
                                      <w:rPr>
                                        <w:rStyle w:val="Hyperlink"/>
                                        <w:sz w:val="20"/>
                                        <w:szCs w:val="20"/>
                                        <w:u w:val="none"/>
                                        <w:vertAlign w:val="superscript"/>
                                      </w:rPr>
                                      <w:t>30A+</w:t>
                                    </w:r>
                                  </w:hyperlink>
                                  <w:r w:rsidRPr="00531D26">
                                    <w:rPr>
                                      <w:sz w:val="20"/>
                                      <w:szCs w:val="20"/>
                                      <w:vertAlign w:val="superscript"/>
                                    </w:rPr>
                                    <w:t>,</w:t>
                                  </w:r>
                                  <w:hyperlink w:anchor="Reference31" w:history="1">
                                    <w:r w:rsidRPr="00531D26">
                                      <w:rPr>
                                        <w:rStyle w:val="Hyperlink"/>
                                        <w:sz w:val="20"/>
                                        <w:szCs w:val="20"/>
                                        <w:u w:val="none"/>
                                        <w:vertAlign w:val="superscript"/>
                                      </w:rPr>
                                      <w:t>31A+</w:t>
                                    </w:r>
                                  </w:hyperlink>
                                  <w:r w:rsidRPr="00531D26">
                                    <w:rPr>
                                      <w:sz w:val="20"/>
                                      <w:szCs w:val="20"/>
                                      <w:vertAlign w:val="superscript"/>
                                    </w:rPr>
                                    <w:t>,</w:t>
                                  </w:r>
                                  <w:hyperlink w:anchor="Reference33" w:history="1">
                                    <w:r w:rsidRPr="00531D26">
                                      <w:rPr>
                                        <w:rStyle w:val="Hyperlink"/>
                                        <w:sz w:val="20"/>
                                        <w:szCs w:val="20"/>
                                        <w:u w:val="none"/>
                                        <w:vertAlign w:val="superscript"/>
                                      </w:rPr>
                                      <w:t>33A+</w:t>
                                    </w:r>
                                  </w:hyperlink>
                                </w:p>
                                <w:p w14:paraId="45179B49" w14:textId="248088DD" w:rsidR="00452D42" w:rsidRPr="00531D26" w:rsidRDefault="00452D42" w:rsidP="00B40E86">
                                  <w:pPr>
                                    <w:spacing w:line="240" w:lineRule="exact"/>
                                    <w:jc w:val="center"/>
                                    <w:rPr>
                                      <w:sz w:val="20"/>
                                      <w:szCs w:val="20"/>
                                    </w:rPr>
                                  </w:pPr>
                                  <w:proofErr w:type="gramStart"/>
                                  <w:r w:rsidRPr="00531D26">
                                    <w:rPr>
                                      <w:sz w:val="20"/>
                                      <w:szCs w:val="20"/>
                                    </w:rPr>
                                    <w:t>PLUS</w:t>
                                  </w:r>
                                  <w:proofErr w:type="gramEnd"/>
                                  <w:r w:rsidRPr="00531D26">
                                    <w:rPr>
                                      <w:sz w:val="20"/>
                                      <w:szCs w:val="20"/>
                                    </w:rPr>
                                    <w:t xml:space="preserve"> metronidazole 400mg BD</w:t>
                                  </w:r>
                                  <w:hyperlink w:anchor="Reference2" w:history="1">
                                    <w:r w:rsidRPr="00531D26">
                                      <w:rPr>
                                        <w:rStyle w:val="Hyperlink"/>
                                        <w:sz w:val="20"/>
                                        <w:szCs w:val="20"/>
                                        <w:u w:val="none"/>
                                        <w:vertAlign w:val="superscript"/>
                                      </w:rPr>
                                      <w:t>2A-</w:t>
                                    </w:r>
                                  </w:hyperlink>
                                </w:p>
                                <w:p w14:paraId="65410E2A" w14:textId="4AF24445" w:rsidR="00452D42" w:rsidRPr="00B40E86" w:rsidRDefault="00452D42" w:rsidP="00B40E86">
                                  <w:pPr>
                                    <w:spacing w:line="240" w:lineRule="exact"/>
                                    <w:jc w:val="center"/>
                                    <w:rPr>
                                      <w:sz w:val="20"/>
                                      <w:szCs w:val="20"/>
                                    </w:rPr>
                                  </w:pPr>
                                  <w:proofErr w:type="gramStart"/>
                                  <w:r w:rsidRPr="00531D26">
                                    <w:rPr>
                                      <w:sz w:val="20"/>
                                      <w:szCs w:val="20"/>
                                    </w:rPr>
                                    <w:t>PLUS</w:t>
                                  </w:r>
                                  <w:proofErr w:type="gramEnd"/>
                                  <w:r w:rsidRPr="00531D26">
                                    <w:rPr>
                                      <w:sz w:val="20"/>
                                      <w:szCs w:val="20"/>
                                    </w:rPr>
                                    <w:t xml:space="preserve"> levofloxacin 250mg BD</w:t>
                                  </w:r>
                                  <w:hyperlink w:anchor="Reference31" w:history="1">
                                    <w:r w:rsidRPr="00531D26">
                                      <w:rPr>
                                        <w:rStyle w:val="Hyperlink"/>
                                        <w:sz w:val="20"/>
                                        <w:szCs w:val="20"/>
                                        <w:u w:val="none"/>
                                        <w:vertAlign w:val="superscript"/>
                                      </w:rPr>
                                      <w:t>31A+</w:t>
                                    </w:r>
                                  </w:hyperlink>
                                  <w:r w:rsidRPr="00531D26">
                                    <w:rPr>
                                      <w:sz w:val="20"/>
                                      <w:szCs w:val="20"/>
                                      <w:vertAlign w:val="superscript"/>
                                    </w:rPr>
                                    <w:t>,</w:t>
                                  </w:r>
                                  <w:hyperlink w:anchor="Reference33" w:history="1">
                                    <w:r w:rsidRPr="00531D26">
                                      <w:rPr>
                                        <w:rStyle w:val="Hyperlink"/>
                                        <w:sz w:val="20"/>
                                        <w:szCs w:val="20"/>
                                        <w:u w:val="none"/>
                                        <w:vertAlign w:val="superscript"/>
                                      </w:rPr>
                                      <w:t>33A+</w:t>
                                    </w:r>
                                  </w:hyperlink>
                                  <w:r w:rsidRPr="00531D26">
                                    <w:rPr>
                                      <w:sz w:val="20"/>
                                      <w:szCs w:val="20"/>
                                      <w:vertAlign w:val="superscript"/>
                                    </w:rPr>
                                    <w:t>,</w:t>
                                  </w:r>
                                  <w:hyperlink w:anchor="Reference34" w:history="1">
                                    <w:r w:rsidRPr="00531D26">
                                      <w:rPr>
                                        <w:rStyle w:val="Hyperlink"/>
                                        <w:sz w:val="20"/>
                                        <w:szCs w:val="20"/>
                                        <w:u w:val="none"/>
                                        <w:vertAlign w:val="superscript"/>
                                      </w:rPr>
                                      <w:t>34A+</w:t>
                                    </w:r>
                                  </w:hyperlink>
                                </w:p>
                                <w:p w14:paraId="2F3A7008" w14:textId="77777777" w:rsidR="00452D42" w:rsidRDefault="00452D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02C890F7" id="_x0000_s1051" type="#_x0000_t202" style="position:absolute;margin-left:272.4pt;margin-top:8.05pt;width:267.55pt;height:4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" fillcolor="#ffc">
                      <v:textbox>
                        <w:txbxContent>
                          <w:p w14:paraId="0BC9503B" w14:textId="1AECAE27" w:rsidR="00452D42" w:rsidRPr="00531D26" w:rsidRDefault="00452D42" w:rsidP="00B40E86">
                            <w:pPr>
                              <w:spacing w:after="10" w:line="240" w:lineRule="exact"/>
                              <w:jc w:val="center"/>
                              <w:rPr>
                                <w:color w:val="9C002A"/>
                                <w:sz w:val="20"/>
                                <w:szCs w:val="20"/>
                                <w:vertAlign w:val="superscript"/>
                              </w:rPr>
                            </w:pPr>
                            <w:r w:rsidRPr="00531D26">
                              <w:rPr>
                                <w:b/>
                                <w:sz w:val="20"/>
                                <w:szCs w:val="20"/>
                              </w:rPr>
                              <w:t>SECOND-LINE: 7 days, PPI twice daily</w:t>
                            </w:r>
                            <w:hyperlink w:anchor="Reference2" w:history="1">
                              <w:r w:rsidRPr="00531D26">
                                <w:rPr>
                                  <w:rStyle w:val="Hyperlink"/>
                                  <w:sz w:val="20"/>
                                  <w:szCs w:val="20"/>
                                  <w:u w:val="none"/>
                                  <w:vertAlign w:val="superscript"/>
                                </w:rPr>
                                <w:t>2A-</w:t>
                              </w:r>
                            </w:hyperlink>
                            <w:r w:rsidRPr="00531D26">
                              <w:rPr>
                                <w:sz w:val="20"/>
                                <w:szCs w:val="20"/>
                                <w:vertAlign w:val="superscript"/>
                              </w:rPr>
                              <w:t>,</w:t>
                            </w:r>
                            <w:hyperlink w:anchor="Reference30" w:history="1">
                              <w:r w:rsidRPr="00531D26">
                                <w:rPr>
                                  <w:rStyle w:val="Hyperlink"/>
                                  <w:sz w:val="20"/>
                                  <w:szCs w:val="20"/>
                                  <w:u w:val="none"/>
                                  <w:vertAlign w:val="superscript"/>
                                </w:rPr>
                                <w:t>30A+</w:t>
                              </w:r>
                            </w:hyperlink>
                            <w:r w:rsidRPr="00531D26">
                              <w:rPr>
                                <w:sz w:val="20"/>
                                <w:szCs w:val="20"/>
                                <w:vertAlign w:val="superscript"/>
                              </w:rPr>
                              <w:t>,</w:t>
                            </w:r>
                            <w:hyperlink w:anchor="Reference31" w:history="1">
                              <w:r w:rsidRPr="00531D26">
                                <w:rPr>
                                  <w:rStyle w:val="Hyperlink"/>
                                  <w:sz w:val="20"/>
                                  <w:szCs w:val="20"/>
                                  <w:u w:val="none"/>
                                  <w:vertAlign w:val="superscript"/>
                                </w:rPr>
                                <w:t>31A+</w:t>
                              </w:r>
                            </w:hyperlink>
                            <w:r w:rsidRPr="00531D26">
                              <w:rPr>
                                <w:sz w:val="20"/>
                                <w:szCs w:val="20"/>
                                <w:vertAlign w:val="superscript"/>
                              </w:rPr>
                              <w:t>,</w:t>
                            </w:r>
                            <w:hyperlink w:anchor="Reference33" w:history="1">
                              <w:r w:rsidRPr="00531D26">
                                <w:rPr>
                                  <w:rStyle w:val="Hyperlink"/>
                                  <w:sz w:val="20"/>
                                  <w:szCs w:val="20"/>
                                  <w:u w:val="none"/>
                                  <w:vertAlign w:val="superscript"/>
                                </w:rPr>
                                <w:t>33A+</w:t>
                              </w:r>
                            </w:hyperlink>
                          </w:p>
                          <w:p w14:paraId="45179B49" w14:textId="248088DD" w:rsidR="00452D42" w:rsidRPr="00531D26" w:rsidRDefault="00452D42" w:rsidP="00B40E86">
                            <w:pPr>
                              <w:spacing w:line="240" w:lineRule="exact"/>
                              <w:jc w:val="center"/>
                              <w:rPr>
                                <w:sz w:val="20"/>
                                <w:szCs w:val="20"/>
                              </w:rPr>
                            </w:pPr>
                            <w:r w:rsidRPr="00531D26">
                              <w:rPr>
                                <w:sz w:val="20"/>
                                <w:szCs w:val="20"/>
                              </w:rPr>
                              <w:t>PLUS metronidazole 400mg BD</w:t>
                            </w:r>
                            <w:hyperlink w:anchor="Reference2" w:history="1">
                              <w:r w:rsidRPr="00531D26">
                                <w:rPr>
                                  <w:rStyle w:val="Hyperlink"/>
                                  <w:sz w:val="20"/>
                                  <w:szCs w:val="20"/>
                                  <w:u w:val="none"/>
                                  <w:vertAlign w:val="superscript"/>
                                </w:rPr>
                                <w:t>2A-</w:t>
                              </w:r>
                            </w:hyperlink>
                          </w:p>
                          <w:p w14:paraId="65410E2A" w14:textId="4AF24445" w:rsidR="00452D42" w:rsidRPr="00B40E86" w:rsidRDefault="00452D42" w:rsidP="00B40E86">
                            <w:pPr>
                              <w:spacing w:line="240" w:lineRule="exact"/>
                              <w:jc w:val="center"/>
                              <w:rPr>
                                <w:sz w:val="20"/>
                                <w:szCs w:val="20"/>
                              </w:rPr>
                            </w:pPr>
                            <w:r w:rsidRPr="00531D26">
                              <w:rPr>
                                <w:sz w:val="20"/>
                                <w:szCs w:val="20"/>
                              </w:rPr>
                              <w:t>PLUS levofloxacin 250mg BD</w:t>
                            </w:r>
                            <w:hyperlink w:anchor="Reference31" w:history="1">
                              <w:r w:rsidRPr="00531D26">
                                <w:rPr>
                                  <w:rStyle w:val="Hyperlink"/>
                                  <w:sz w:val="20"/>
                                  <w:szCs w:val="20"/>
                                  <w:u w:val="none"/>
                                  <w:vertAlign w:val="superscript"/>
                                </w:rPr>
                                <w:t>31A+</w:t>
                              </w:r>
                            </w:hyperlink>
                            <w:r w:rsidRPr="00531D26">
                              <w:rPr>
                                <w:sz w:val="20"/>
                                <w:szCs w:val="20"/>
                                <w:vertAlign w:val="superscript"/>
                              </w:rPr>
                              <w:t>,</w:t>
                            </w:r>
                            <w:hyperlink w:anchor="Reference33" w:history="1">
                              <w:r w:rsidRPr="00531D26">
                                <w:rPr>
                                  <w:rStyle w:val="Hyperlink"/>
                                  <w:sz w:val="20"/>
                                  <w:szCs w:val="20"/>
                                  <w:u w:val="none"/>
                                  <w:vertAlign w:val="superscript"/>
                                </w:rPr>
                                <w:t>33A+</w:t>
                              </w:r>
                            </w:hyperlink>
                            <w:r w:rsidRPr="00531D26">
                              <w:rPr>
                                <w:sz w:val="20"/>
                                <w:szCs w:val="20"/>
                                <w:vertAlign w:val="superscript"/>
                              </w:rPr>
                              <w:t>,</w:t>
                            </w:r>
                            <w:hyperlink w:anchor="Reference34" w:history="1">
                              <w:r w:rsidRPr="00531D26">
                                <w:rPr>
                                  <w:rStyle w:val="Hyperlink"/>
                                  <w:sz w:val="20"/>
                                  <w:szCs w:val="20"/>
                                  <w:u w:val="none"/>
                                  <w:vertAlign w:val="superscript"/>
                                </w:rPr>
                                <w:t>34A+</w:t>
                              </w:r>
                            </w:hyperlink>
                          </w:p>
                          <w:p w14:paraId="2F3A7008" w14:textId="77777777" w:rsidR="00452D42" w:rsidRDefault="00452D42"/>
                        </w:txbxContent>
                      </v:textbox>
                    </v:shape>
                  </w:pict>
                </mc:Fallback>
              </mc:AlternateContent>
            </w:r>
          </w:p>
          <w:p w14:paraId="74034558" w14:textId="28679B99" w:rsidR="008A6E4F" w:rsidRDefault="008A6E4F" w:rsidP="00E2120F">
            <w:pPr>
              <w:pStyle w:val="PHEBulletpoint"/>
              <w:numPr>
                <w:ilvl w:val="0"/>
                <w:numId w:val="0"/>
              </w:numPr>
              <w:spacing w:line="280" w:lineRule="exact"/>
            </w:pPr>
          </w:p>
          <w:p w14:paraId="0A9B2524" w14:textId="77777777" w:rsidR="00E2120F" w:rsidRDefault="00E2120F" w:rsidP="00E2120F">
            <w:pPr>
              <w:pStyle w:val="PHEBulletpoint"/>
              <w:numPr>
                <w:ilvl w:val="0"/>
                <w:numId w:val="0"/>
              </w:numPr>
              <w:spacing w:line="280" w:lineRule="exact"/>
            </w:pPr>
          </w:p>
          <w:p w14:paraId="52ED032C" w14:textId="77777777" w:rsidR="00A97D66" w:rsidRDefault="00A97D66" w:rsidP="00E2120F">
            <w:pPr>
              <w:pStyle w:val="PHEBulletpoint"/>
              <w:numPr>
                <w:ilvl w:val="0"/>
                <w:numId w:val="0"/>
              </w:numPr>
              <w:spacing w:line="280" w:lineRule="exact"/>
            </w:pPr>
          </w:p>
          <w:p w14:paraId="6F4EC694" w14:textId="46801A55" w:rsidR="008A6E4F" w:rsidRPr="00245DD2" w:rsidRDefault="00163185" w:rsidP="008901DD">
            <w:pPr>
              <w:pStyle w:val="PHEBulletpoint"/>
              <w:numPr>
                <w:ilvl w:val="0"/>
                <w:numId w:val="22"/>
              </w:numPr>
              <w:spacing w:line="300" w:lineRule="exact"/>
              <w:ind w:left="357" w:hanging="357"/>
            </w:pPr>
            <w:r w:rsidRPr="00245DD2">
              <w:t xml:space="preserve">PPI medication: </w:t>
            </w:r>
            <w:r w:rsidR="00A166D3" w:rsidRPr="00245DD2">
              <w:t xml:space="preserve">lansoprazole 30mg BD, omeprazole 20-40mg BD, pantoprazole 40mg BD, </w:t>
            </w:r>
            <w:r w:rsidRPr="00245DD2">
              <w:t>esomeprazole 20mg</w:t>
            </w:r>
            <w:r w:rsidR="00A166D3" w:rsidRPr="00245DD2">
              <w:t xml:space="preserve"> BD</w:t>
            </w:r>
            <w:r w:rsidRPr="00245DD2">
              <w:t>, rabeprazole 20m</w:t>
            </w:r>
            <w:r w:rsidRPr="00F82363">
              <w:t>g</w:t>
            </w:r>
            <w:r w:rsidR="00A166D3" w:rsidRPr="00F82363">
              <w:t xml:space="preserve"> BD</w:t>
            </w:r>
            <w:r w:rsidRPr="00F82363">
              <w:t>.</w:t>
            </w:r>
            <w:hyperlink w:anchor="Reference38" w:history="1">
              <w:r w:rsidR="00C73071" w:rsidRPr="00F82363">
                <w:rPr>
                  <w:rStyle w:val="Hyperlink"/>
                  <w:u w:val="none"/>
                  <w:vertAlign w:val="superscript"/>
                </w:rPr>
                <w:t>38D</w:t>
              </w:r>
            </w:hyperlink>
          </w:p>
          <w:p w14:paraId="29B13391" w14:textId="1964B79D" w:rsidR="00071B87" w:rsidRPr="006E515B" w:rsidRDefault="00071B87" w:rsidP="008901DD">
            <w:pPr>
              <w:pStyle w:val="PHEBulletpoint"/>
              <w:numPr>
                <w:ilvl w:val="0"/>
                <w:numId w:val="22"/>
              </w:numPr>
              <w:spacing w:line="300" w:lineRule="exact"/>
              <w:ind w:left="357" w:hanging="357"/>
            </w:pPr>
            <w:r>
              <w:t xml:space="preserve">If post gastro-duodenal bleed, start HP treatment only when patient </w:t>
            </w:r>
            <w:r w:rsidRPr="006E515B">
              <w:t>can take oral medication.</w:t>
            </w:r>
            <w:hyperlink w:anchor="Reference40" w:history="1">
              <w:r w:rsidRPr="006E515B">
                <w:rPr>
                  <w:rStyle w:val="Hyperlink"/>
                  <w:u w:val="none"/>
                  <w:vertAlign w:val="superscript"/>
                </w:rPr>
                <w:t>40A+</w:t>
              </w:r>
            </w:hyperlink>
          </w:p>
          <w:p w14:paraId="31B8D952" w14:textId="77777777" w:rsidR="008A6E4F" w:rsidRPr="006E515B" w:rsidRDefault="00163185" w:rsidP="008901DD">
            <w:pPr>
              <w:pStyle w:val="PHEBulletpoint"/>
              <w:numPr>
                <w:ilvl w:val="0"/>
                <w:numId w:val="22"/>
              </w:numPr>
              <w:spacing w:line="300" w:lineRule="exact"/>
              <w:ind w:left="357" w:hanging="357"/>
            </w:pPr>
            <w:r w:rsidRPr="006E515B">
              <w:t xml:space="preserve">If diarrhoea develops, consider </w:t>
            </w:r>
            <w:hyperlink r:id="rId26" w:history="1">
              <w:r w:rsidRPr="006E515B">
                <w:rPr>
                  <w:rStyle w:val="Hyperlink"/>
                  <w:i/>
                  <w:color w:val="9C002A"/>
                  <w:u w:val="none"/>
                </w:rPr>
                <w:t>Clostridium difficile</w:t>
              </w:r>
            </w:hyperlink>
            <w:r w:rsidRPr="006E515B">
              <w:t xml:space="preserve"> and review need for treatment.</w:t>
            </w:r>
          </w:p>
          <w:p w14:paraId="5632E162" w14:textId="72FFA1F5" w:rsidR="008901DD" w:rsidRPr="005878F0" w:rsidRDefault="008901DD" w:rsidP="00B47EAD">
            <w:pPr>
              <w:pStyle w:val="PHEBulletpoint"/>
              <w:numPr>
                <w:ilvl w:val="0"/>
                <w:numId w:val="22"/>
              </w:numPr>
              <w:spacing w:after="10" w:line="300" w:lineRule="exact"/>
              <w:ind w:left="357" w:hanging="357"/>
            </w:pPr>
            <w:r w:rsidRPr="00531D26">
              <w:t xml:space="preserve">Only offer </w:t>
            </w:r>
            <w:r w:rsidR="00B40E86" w:rsidRPr="00531D26">
              <w:t xml:space="preserve">longer duration or </w:t>
            </w:r>
            <w:r w:rsidRPr="00531D26">
              <w:t>third-line eradication on advice from a specialist</w:t>
            </w:r>
            <w:r w:rsidR="00974AA1" w:rsidRPr="00531D26">
              <w:t>.</w:t>
            </w:r>
            <w:hyperlink w:anchor="Reference2" w:history="1">
              <w:r w:rsidR="00B47EAD" w:rsidRPr="00531D26">
                <w:rPr>
                  <w:rStyle w:val="Hyperlink"/>
                  <w:u w:val="none"/>
                  <w:vertAlign w:val="superscript"/>
                </w:rPr>
                <w:t>2D</w:t>
              </w:r>
            </w:hyperlink>
            <w:r w:rsidR="001D0614" w:rsidRPr="00531D26">
              <w:t xml:space="preserve"> Third line: 10 days of PPI twice daily, PLUS bismuth subsalicylate 525mg QDS, PLUS 2 antibiotics as above not previously used, OR rifabutin 150mg BD, OR furazolidone 200mg BD.</w:t>
            </w:r>
            <w:hyperlink w:anchor="Reference31" w:history="1">
              <w:r w:rsidR="00B47EAD" w:rsidRPr="00531D26">
                <w:rPr>
                  <w:rStyle w:val="Hyperlink"/>
                  <w:u w:val="none"/>
                  <w:vertAlign w:val="superscript"/>
                </w:rPr>
                <w:t>31A+</w:t>
              </w:r>
            </w:hyperlink>
            <w:r w:rsidR="00B47EAD" w:rsidRPr="00531D26">
              <w:rPr>
                <w:vertAlign w:val="superscript"/>
              </w:rPr>
              <w:t>,</w:t>
            </w:r>
            <w:hyperlink w:anchor="Reference33" w:history="1">
              <w:r w:rsidR="00B47EAD" w:rsidRPr="00531D26">
                <w:rPr>
                  <w:rStyle w:val="Hyperlink"/>
                  <w:u w:val="none"/>
                  <w:vertAlign w:val="superscript"/>
                </w:rPr>
                <w:t>33A+</w:t>
              </w:r>
            </w:hyperlink>
            <w:r w:rsidR="00B47EAD" w:rsidRPr="00531D26">
              <w:rPr>
                <w:vertAlign w:val="superscript"/>
              </w:rPr>
              <w:t>,</w:t>
            </w:r>
            <w:hyperlink w:anchor="Reference41" w:history="1">
              <w:r w:rsidR="00B47EAD" w:rsidRPr="00531D26">
                <w:rPr>
                  <w:rStyle w:val="Hyperlink"/>
                  <w:u w:val="none"/>
                  <w:vertAlign w:val="superscript"/>
                </w:rPr>
                <w:t>41A-</w:t>
              </w:r>
            </w:hyperlink>
            <w:r w:rsidR="00B47EAD" w:rsidRPr="00531D26">
              <w:rPr>
                <w:vertAlign w:val="superscript"/>
              </w:rPr>
              <w:t>,</w:t>
            </w:r>
            <w:hyperlink w:anchor="Reference42" w:history="1">
              <w:r w:rsidR="00B47EAD" w:rsidRPr="00531D26">
                <w:rPr>
                  <w:rStyle w:val="Hyperlink"/>
                  <w:u w:val="none"/>
                  <w:vertAlign w:val="superscript"/>
                </w:rPr>
                <w:t>42A+</w:t>
              </w:r>
            </w:hyperlink>
            <w:r w:rsidR="00B47EAD" w:rsidRPr="00531D26">
              <w:rPr>
                <w:rStyle w:val="Hyperlink"/>
                <w:color w:val="auto"/>
                <w:u w:val="none"/>
                <w:vertAlign w:val="superscript"/>
              </w:rPr>
              <w:t>,</w:t>
            </w:r>
            <w:hyperlink w:anchor="Reference43" w:history="1">
              <w:r w:rsidR="00B47EAD" w:rsidRPr="00531D26">
                <w:rPr>
                  <w:rStyle w:val="Hyperlink"/>
                  <w:u w:val="none"/>
                  <w:vertAlign w:val="superscript"/>
                </w:rPr>
                <w:t>43D</w:t>
              </w:r>
            </w:hyperlink>
          </w:p>
        </w:tc>
      </w:tr>
      <w:tr w:rsidR="00A45047" w:rsidRPr="0026246E" w14:paraId="0C6CCFA4" w14:textId="77777777" w:rsidTr="00FB29FC">
        <w:tc>
          <w:tcPr>
            <w:tcW w:w="10916" w:type="dxa"/>
            <w:shd w:val="clear" w:color="auto" w:fill="D9D9D9" w:themeFill="background1" w:themeFillShade="D9"/>
            <w:vAlign w:val="center"/>
          </w:tcPr>
          <w:p w14:paraId="2BBCFE19" w14:textId="1CFAB5F2" w:rsidR="00A45047" w:rsidRPr="00163185" w:rsidRDefault="00A45047" w:rsidP="00163185">
            <w:pPr>
              <w:spacing w:before="10" w:after="10" w:line="300" w:lineRule="exact"/>
              <w:jc w:val="center"/>
              <w:rPr>
                <w:b/>
                <w:highlight w:val="yellow"/>
              </w:rPr>
            </w:pPr>
            <w:r w:rsidRPr="005878F0">
              <w:rPr>
                <w:b/>
                <w:color w:val="98002E"/>
              </w:rPr>
              <w:t xml:space="preserve">WHEN </w:t>
            </w:r>
            <w:r w:rsidR="008376B6">
              <w:rPr>
                <w:b/>
                <w:color w:val="98002E"/>
              </w:rPr>
              <w:t>SHOULD I</w:t>
            </w:r>
            <w:r w:rsidR="00163185">
              <w:rPr>
                <w:b/>
                <w:color w:val="98002E"/>
              </w:rPr>
              <w:t xml:space="preserve"> RETEST FOR </w:t>
            </w:r>
            <w:r w:rsidR="00163185">
              <w:rPr>
                <w:b/>
                <w:i/>
                <w:color w:val="98002E"/>
              </w:rPr>
              <w:t>HELICOBACTER PYLORI</w:t>
            </w:r>
            <w:r w:rsidR="002D3A16">
              <w:rPr>
                <w:b/>
                <w:color w:val="98002E"/>
              </w:rPr>
              <w:t>?</w:t>
            </w:r>
          </w:p>
        </w:tc>
      </w:tr>
      <w:tr w:rsidR="00163185" w:rsidRPr="0026246E" w14:paraId="46BEEB17" w14:textId="77777777" w:rsidTr="00831EAE">
        <w:tc>
          <w:tcPr>
            <w:tcW w:w="10916" w:type="dxa"/>
            <w:tcBorders>
              <w:bottom w:val="single" w:sz="4" w:space="0" w:color="auto"/>
              <w:right w:val="nil"/>
            </w:tcBorders>
            <w:shd w:val="clear" w:color="auto" w:fill="auto"/>
          </w:tcPr>
          <w:p w14:paraId="5FDBC128" w14:textId="23189DC9" w:rsidR="00163185" w:rsidRPr="00552315" w:rsidRDefault="00552315" w:rsidP="008901DD">
            <w:pPr>
              <w:pStyle w:val="PHEBulletpoint"/>
              <w:numPr>
                <w:ilvl w:val="0"/>
                <w:numId w:val="25"/>
              </w:numPr>
              <w:spacing w:before="10" w:line="300" w:lineRule="exact"/>
              <w:ind w:left="357" w:hanging="357"/>
              <w:rPr>
                <w:b/>
              </w:rPr>
            </w:pPr>
            <w:r w:rsidRPr="004C68A2">
              <w:rPr>
                <w:b/>
                <w:noProof/>
                <w:lang w:eastAsia="en-GB"/>
              </w:rPr>
              <mc:AlternateContent>
                <mc:Choice Requires="wps">
                  <w:drawing>
                    <wp:anchor distT="0" distB="0" distL="114300" distR="114300" simplePos="0" relativeHeight="251746304" behindDoc="0" locked="0" layoutInCell="1" allowOverlap="1" wp14:anchorId="6D0559C5" wp14:editId="0E63A3BB">
                      <wp:simplePos x="0" y="0"/>
                      <wp:positionH relativeFrom="column">
                        <wp:posOffset>4506757</wp:posOffset>
                      </wp:positionH>
                      <wp:positionV relativeFrom="paragraph">
                        <wp:posOffset>280035</wp:posOffset>
                      </wp:positionV>
                      <wp:extent cx="2076022" cy="429370"/>
                      <wp:effectExtent l="0" t="0" r="19685" b="279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022" cy="429370"/>
                              </a:xfrm>
                              <a:prstGeom prst="rect">
                                <a:avLst/>
                              </a:prstGeom>
                              <a:solidFill>
                                <a:schemeClr val="accent3">
                                  <a:lumMod val="40000"/>
                                  <a:lumOff val="60000"/>
                                </a:schemeClr>
                              </a:solidFill>
                              <a:ln w="9525">
                                <a:solidFill>
                                  <a:srgbClr val="000000"/>
                                </a:solidFill>
                                <a:miter lim="800000"/>
                                <a:headEnd/>
                                <a:tailEnd/>
                              </a:ln>
                            </wps:spPr>
                            <wps:txbx>
                              <w:txbxContent>
                                <w:p w14:paraId="656359E2" w14:textId="57116C35" w:rsidR="00452D42" w:rsidRPr="00301DE8" w:rsidRDefault="00452D42" w:rsidP="008901DD">
                                  <w:pPr>
                                    <w:pStyle w:val="ListParagraph"/>
                                    <w:numPr>
                                      <w:ilvl w:val="0"/>
                                      <w:numId w:val="33"/>
                                    </w:numPr>
                                    <w:spacing w:line="240" w:lineRule="exact"/>
                                    <w:ind w:left="357" w:hanging="357"/>
                                    <w:rPr>
                                      <w:sz w:val="20"/>
                                      <w:szCs w:val="20"/>
                                    </w:rPr>
                                  </w:pPr>
                                  <w:r>
                                    <w:rPr>
                                      <w:sz w:val="20"/>
                                      <w:szCs w:val="20"/>
                                    </w:rPr>
                                    <w:t>UBT is most a</w:t>
                                  </w:r>
                                  <w:r w:rsidRPr="00301DE8">
                                    <w:rPr>
                                      <w:sz w:val="20"/>
                                      <w:szCs w:val="20"/>
                                    </w:rPr>
                                    <w:t>ccurate</w:t>
                                  </w:r>
                                  <w:hyperlink w:anchor="Reference15" w:history="1">
                                    <w:r w:rsidRPr="00301DE8">
                                      <w:rPr>
                                        <w:rStyle w:val="Hyperlink"/>
                                        <w:sz w:val="20"/>
                                        <w:szCs w:val="20"/>
                                        <w:u w:val="none"/>
                                        <w:vertAlign w:val="superscript"/>
                                      </w:rPr>
                                      <w:t>15A+</w:t>
                                    </w:r>
                                  </w:hyperlink>
                                  <w:r w:rsidRPr="00301DE8">
                                    <w:rPr>
                                      <w:sz w:val="20"/>
                                      <w:szCs w:val="20"/>
                                      <w:vertAlign w:val="superscript"/>
                                    </w:rPr>
                                    <w:t>,</w:t>
                                  </w:r>
                                  <w:hyperlink w:anchor="Reference16" w:history="1">
                                    <w:r w:rsidRPr="00301DE8">
                                      <w:rPr>
                                        <w:rStyle w:val="Hyperlink"/>
                                        <w:sz w:val="20"/>
                                        <w:szCs w:val="20"/>
                                        <w:u w:val="none"/>
                                        <w:vertAlign w:val="superscript"/>
                                      </w:rPr>
                                      <w:t>16C</w:t>
                                    </w:r>
                                  </w:hyperlink>
                                </w:p>
                                <w:p w14:paraId="0128E2B7" w14:textId="18C56EAA" w:rsidR="00452D42" w:rsidRPr="00301DE8" w:rsidRDefault="00452D42" w:rsidP="008901DD">
                                  <w:pPr>
                                    <w:pStyle w:val="ListParagraph"/>
                                    <w:numPr>
                                      <w:ilvl w:val="0"/>
                                      <w:numId w:val="33"/>
                                    </w:numPr>
                                    <w:spacing w:line="240" w:lineRule="exact"/>
                                    <w:ind w:left="357" w:hanging="357"/>
                                    <w:rPr>
                                      <w:sz w:val="20"/>
                                      <w:szCs w:val="20"/>
                                    </w:rPr>
                                  </w:pPr>
                                  <w:r w:rsidRPr="00301DE8">
                                    <w:rPr>
                                      <w:sz w:val="20"/>
                                      <w:szCs w:val="20"/>
                                    </w:rPr>
                                    <w:t>SAT is an alternative</w:t>
                                  </w:r>
                                  <w:hyperlink w:anchor="Reference15" w:history="1">
                                    <w:r w:rsidRPr="00301DE8">
                                      <w:rPr>
                                        <w:rStyle w:val="Hyperlink"/>
                                        <w:sz w:val="20"/>
                                        <w:szCs w:val="20"/>
                                        <w:u w:val="none"/>
                                        <w:vertAlign w:val="superscript"/>
                                      </w:rPr>
                                      <w:t>15A+</w:t>
                                    </w:r>
                                  </w:hyperlink>
                                  <w:r w:rsidRPr="00301DE8">
                                    <w:rPr>
                                      <w:sz w:val="20"/>
                                      <w:szCs w:val="20"/>
                                      <w:vertAlign w:val="superscript"/>
                                    </w:rPr>
                                    <w:t>,</w:t>
                                  </w:r>
                                  <w:hyperlink w:anchor="Reference18" w:history="1">
                                    <w:r w:rsidRPr="00301DE8">
                                      <w:rPr>
                                        <w:rStyle w:val="Hyperlink"/>
                                        <w:sz w:val="20"/>
                                        <w:szCs w:val="20"/>
                                        <w:u w:val="none"/>
                                        <w:vertAlign w:val="superscript"/>
                                      </w:rPr>
                                      <w:t>18A+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6D0559C5" id="_x0000_s1052" type="#_x0000_t202" style="position:absolute;left:0;text-align:left;margin-left:354.85pt;margin-top:22.05pt;width:163.45pt;height:3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" fillcolor="#d6e3bc [1302]">
                      <v:textbox>
                        <w:txbxContent>
                          <w:p w14:paraId="656359E2" w14:textId="57116C35" w:rsidR="00452D42" w:rsidRPr="00301DE8" w:rsidRDefault="00452D42" w:rsidP="008901DD">
                            <w:pPr>
                              <w:pStyle w:val="ListParagraph"/>
                              <w:numPr>
                                <w:ilvl w:val="0"/>
                                <w:numId w:val="33"/>
                              </w:numPr>
                              <w:spacing w:line="240" w:lineRule="exact"/>
                              <w:ind w:left="357" w:hanging="357"/>
                              <w:rPr>
                                <w:sz w:val="20"/>
                                <w:szCs w:val="20"/>
                              </w:rPr>
                            </w:pPr>
                            <w:r>
                              <w:rPr>
                                <w:sz w:val="20"/>
                                <w:szCs w:val="20"/>
                              </w:rPr>
                              <w:t>UBT is most a</w:t>
                            </w:r>
                            <w:r w:rsidRPr="00301DE8">
                              <w:rPr>
                                <w:sz w:val="20"/>
                                <w:szCs w:val="20"/>
                              </w:rPr>
                              <w:t>ccurate</w:t>
                            </w:r>
                            <w:hyperlink w:anchor="Reference15" w:history="1">
                              <w:r w:rsidRPr="00301DE8">
                                <w:rPr>
                                  <w:rStyle w:val="Hyperlink"/>
                                  <w:sz w:val="20"/>
                                  <w:szCs w:val="20"/>
                                  <w:u w:val="none"/>
                                  <w:vertAlign w:val="superscript"/>
                                </w:rPr>
                                <w:t>15A+</w:t>
                              </w:r>
                            </w:hyperlink>
                            <w:r w:rsidRPr="00301DE8">
                              <w:rPr>
                                <w:sz w:val="20"/>
                                <w:szCs w:val="20"/>
                                <w:vertAlign w:val="superscript"/>
                              </w:rPr>
                              <w:t>,</w:t>
                            </w:r>
                            <w:hyperlink w:anchor="Reference16" w:history="1">
                              <w:r w:rsidRPr="00301DE8">
                                <w:rPr>
                                  <w:rStyle w:val="Hyperlink"/>
                                  <w:sz w:val="20"/>
                                  <w:szCs w:val="20"/>
                                  <w:u w:val="none"/>
                                  <w:vertAlign w:val="superscript"/>
                                </w:rPr>
                                <w:t>16C</w:t>
                              </w:r>
                            </w:hyperlink>
                          </w:p>
                          <w:p w14:paraId="0128E2B7" w14:textId="18C56EAA" w:rsidR="00452D42" w:rsidRPr="00301DE8" w:rsidRDefault="00452D42" w:rsidP="008901DD">
                            <w:pPr>
                              <w:pStyle w:val="ListParagraph"/>
                              <w:numPr>
                                <w:ilvl w:val="0"/>
                                <w:numId w:val="33"/>
                              </w:numPr>
                              <w:spacing w:line="240" w:lineRule="exact"/>
                              <w:ind w:left="357" w:hanging="357"/>
                              <w:rPr>
                                <w:sz w:val="20"/>
                                <w:szCs w:val="20"/>
                              </w:rPr>
                            </w:pPr>
                            <w:r w:rsidRPr="00301DE8">
                              <w:rPr>
                                <w:sz w:val="20"/>
                                <w:szCs w:val="20"/>
                              </w:rPr>
                              <w:t>SAT is an alternative</w:t>
                            </w:r>
                            <w:hyperlink w:anchor="Reference15" w:history="1">
                              <w:r w:rsidRPr="00301DE8">
                                <w:rPr>
                                  <w:rStyle w:val="Hyperlink"/>
                                  <w:sz w:val="20"/>
                                  <w:szCs w:val="20"/>
                                  <w:u w:val="none"/>
                                  <w:vertAlign w:val="superscript"/>
                                </w:rPr>
                                <w:t>15A+</w:t>
                              </w:r>
                            </w:hyperlink>
                            <w:r w:rsidRPr="00301DE8">
                              <w:rPr>
                                <w:sz w:val="20"/>
                                <w:szCs w:val="20"/>
                                <w:vertAlign w:val="superscript"/>
                              </w:rPr>
                              <w:t>,</w:t>
                            </w:r>
                            <w:hyperlink w:anchor="Reference18" w:history="1">
                              <w:r w:rsidRPr="00301DE8">
                                <w:rPr>
                                  <w:rStyle w:val="Hyperlink"/>
                                  <w:sz w:val="20"/>
                                  <w:szCs w:val="20"/>
                                  <w:u w:val="none"/>
                                  <w:vertAlign w:val="superscript"/>
                                </w:rPr>
                                <w:t>18A+</w:t>
                              </w:r>
                            </w:hyperlink>
                          </w:p>
                        </w:txbxContent>
                      </v:textbox>
                    </v:shape>
                  </w:pict>
                </mc:Fallback>
              </mc:AlternateContent>
            </w:r>
            <w:r w:rsidR="0092460E">
              <w:t xml:space="preserve">As </w:t>
            </w:r>
            <w:r w:rsidR="00831EAE">
              <w:t>64% of p</w:t>
            </w:r>
            <w:r w:rsidR="008F2876">
              <w:t>atients</w:t>
            </w:r>
            <w:r w:rsidR="00831EAE">
              <w:t xml:space="preserve"> with functional dyspepsia will hav</w:t>
            </w:r>
            <w:r w:rsidR="00EF1CD5">
              <w:t>e persistent recurrent symptoms, d</w:t>
            </w:r>
            <w:r w:rsidR="002757D0">
              <w:t xml:space="preserve">o not </w:t>
            </w:r>
            <w:r w:rsidR="00831EAE">
              <w:t>routinely offer re-testing after eradica</w:t>
            </w:r>
            <w:r w:rsidR="00831EAE" w:rsidRPr="00301DE8">
              <w:t>tion.</w:t>
            </w:r>
            <w:hyperlink w:anchor="Reference2" w:history="1">
              <w:r w:rsidR="00EF1CD5" w:rsidRPr="00301DE8">
                <w:rPr>
                  <w:rStyle w:val="Hyperlink"/>
                  <w:u w:val="none"/>
                  <w:vertAlign w:val="superscript"/>
                </w:rPr>
                <w:t>2D</w:t>
              </w:r>
            </w:hyperlink>
          </w:p>
          <w:p w14:paraId="0C8DFAB6" w14:textId="05BE3F3D" w:rsidR="00552315" w:rsidRDefault="006A4412" w:rsidP="00552315">
            <w:pPr>
              <w:pStyle w:val="PHEBulletpoint"/>
              <w:numPr>
                <w:ilvl w:val="0"/>
                <w:numId w:val="0"/>
              </w:numPr>
              <w:spacing w:line="300" w:lineRule="exact"/>
            </w:pPr>
            <w:r w:rsidRPr="005B21E3">
              <w:rPr>
                <w:b/>
                <w:noProof/>
                <w:lang w:eastAsia="en-GB"/>
              </w:rPr>
              <mc:AlternateContent>
                <mc:Choice Requires="wps">
                  <w:drawing>
                    <wp:anchor distT="0" distB="0" distL="114300" distR="114300" simplePos="0" relativeHeight="251752448" behindDoc="0" locked="0" layoutInCell="1" allowOverlap="1" wp14:anchorId="4A304858" wp14:editId="728FB082">
                      <wp:simplePos x="0" y="0"/>
                      <wp:positionH relativeFrom="column">
                        <wp:posOffset>4132678</wp:posOffset>
                      </wp:positionH>
                      <wp:positionV relativeFrom="paragraph">
                        <wp:posOffset>104482</wp:posOffset>
                      </wp:positionV>
                      <wp:extent cx="375138" cy="0"/>
                      <wp:effectExtent l="0" t="76200" r="25400" b="114300"/>
                      <wp:wrapNone/>
                      <wp:docPr id="53" name="Straight Arrow Connector 53"/>
                      <wp:cNvGraphicFramePr/>
                      <a:graphic xmlns:a="http://schemas.openxmlformats.org/drawingml/2006/main">
                        <a:graphicData uri="http://schemas.microsoft.com/office/word/2010/wordprocessingShape">
                          <wps:wsp>
                            <wps:cNvCnPr/>
                            <wps:spPr>
                              <a:xfrm>
                                <a:off x="0" y="0"/>
                                <a:ext cx="375138"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098BDC58" id="Straight Arrow Connector 53" o:spid="_x0000_s1026" type="#_x0000_t32" style="position:absolute;margin-left:325.4pt;margin-top:8.25pt;width:29.5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" strokecolor="black [3213]" strokeweight="2pt">
                      <v:stroke endarrow="open"/>
                    </v:shape>
                  </w:pict>
                </mc:Fallback>
              </mc:AlternateContent>
            </w:r>
            <w:r w:rsidR="00C313CC" w:rsidRPr="004C68A2">
              <w:rPr>
                <w:b/>
                <w:noProof/>
                <w:lang w:eastAsia="en-GB"/>
              </w:rPr>
              <mc:AlternateContent>
                <mc:Choice Requires="wps">
                  <w:drawing>
                    <wp:anchor distT="0" distB="0" distL="114300" distR="114300" simplePos="0" relativeHeight="251742208" behindDoc="0" locked="0" layoutInCell="1" allowOverlap="1" wp14:anchorId="7BB29060" wp14:editId="6E8CC293">
                      <wp:simplePos x="0" y="0"/>
                      <wp:positionH relativeFrom="column">
                        <wp:posOffset>-2816</wp:posOffset>
                      </wp:positionH>
                      <wp:positionV relativeFrom="paragraph">
                        <wp:posOffset>15488</wp:posOffset>
                      </wp:positionV>
                      <wp:extent cx="4134678" cy="1335405"/>
                      <wp:effectExtent l="0" t="0" r="18415" b="1714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78" cy="1335405"/>
                              </a:xfrm>
                              <a:prstGeom prst="rect">
                                <a:avLst/>
                              </a:prstGeom>
                              <a:solidFill>
                                <a:srgbClr val="FFFFCC"/>
                              </a:solidFill>
                              <a:ln w="9525">
                                <a:solidFill>
                                  <a:srgbClr val="000000"/>
                                </a:solidFill>
                                <a:miter lim="800000"/>
                                <a:headEnd/>
                                <a:tailEnd/>
                              </a:ln>
                            </wps:spPr>
                            <wps:txbx>
                              <w:txbxContent>
                                <w:p w14:paraId="6F480564" w14:textId="55250A00" w:rsidR="00452D42" w:rsidRPr="00301DE8" w:rsidRDefault="00452D42" w:rsidP="00552315">
                                  <w:pPr>
                                    <w:pStyle w:val="ListParagraph"/>
                                    <w:numPr>
                                      <w:ilvl w:val="0"/>
                                      <w:numId w:val="33"/>
                                    </w:numPr>
                                    <w:spacing w:line="240" w:lineRule="exact"/>
                                    <w:ind w:left="357" w:hanging="357"/>
                                    <w:rPr>
                                      <w:color w:val="9C002A"/>
                                      <w:sz w:val="20"/>
                                      <w:szCs w:val="20"/>
                                    </w:rPr>
                                  </w:pPr>
                                  <w:r>
                                    <w:rPr>
                                      <w:sz w:val="20"/>
                                      <w:szCs w:val="20"/>
                                    </w:rPr>
                                    <w:t xml:space="preserve">if compliance poor, or </w:t>
                                  </w:r>
                                  <w:r w:rsidRPr="00301DE8">
                                    <w:rPr>
                                      <w:sz w:val="20"/>
                                      <w:szCs w:val="20"/>
                                    </w:rPr>
                                    <w:t>high local resistance rates</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29" w:history="1">
                                    <w:r w:rsidRPr="00301DE8">
                                      <w:rPr>
                                        <w:rStyle w:val="Hyperlink"/>
                                        <w:sz w:val="20"/>
                                        <w:szCs w:val="20"/>
                                        <w:u w:val="none"/>
                                        <w:vertAlign w:val="superscript"/>
                                      </w:rPr>
                                      <w:t>29B-</w:t>
                                    </w:r>
                                  </w:hyperlink>
                                </w:p>
                                <w:p w14:paraId="3903C91C" w14:textId="7D66F5F5" w:rsidR="00452D42" w:rsidRPr="00301DE8" w:rsidRDefault="00452D42" w:rsidP="00552315">
                                  <w:pPr>
                                    <w:pStyle w:val="ListParagraph"/>
                                    <w:numPr>
                                      <w:ilvl w:val="0"/>
                                      <w:numId w:val="33"/>
                                    </w:numPr>
                                    <w:spacing w:line="240" w:lineRule="exact"/>
                                    <w:ind w:left="357" w:hanging="357"/>
                                    <w:rPr>
                                      <w:sz w:val="20"/>
                                      <w:szCs w:val="20"/>
                                    </w:rPr>
                                  </w:pPr>
                                  <w:r w:rsidRPr="00301DE8">
                                    <w:rPr>
                                      <w:sz w:val="20"/>
                                      <w:szCs w:val="20"/>
                                    </w:rPr>
                                    <w:t>persistent symptoms, and HP test performed within two weeks of taking PPI, or within four weeks of taking antibiotics</w:t>
                                  </w:r>
                                  <w:hyperlink w:anchor="Reference19" w:history="1">
                                    <w:r w:rsidRPr="00301DE8">
                                      <w:rPr>
                                        <w:rStyle w:val="Hyperlink"/>
                                        <w:sz w:val="20"/>
                                        <w:szCs w:val="20"/>
                                        <w:u w:val="none"/>
                                        <w:vertAlign w:val="superscript"/>
                                      </w:rPr>
                                      <w:t>19A+</w:t>
                                    </w:r>
                                  </w:hyperlink>
                                  <w:r w:rsidRPr="00301DE8">
                                    <w:rPr>
                                      <w:sz w:val="20"/>
                                      <w:szCs w:val="20"/>
                                      <w:vertAlign w:val="superscript"/>
                                    </w:rPr>
                                    <w:t>,</w:t>
                                  </w:r>
                                  <w:hyperlink w:anchor="Reference20" w:history="1">
                                    <w:r w:rsidRPr="00301DE8">
                                      <w:rPr>
                                        <w:rStyle w:val="Hyperlink"/>
                                        <w:sz w:val="20"/>
                                        <w:szCs w:val="20"/>
                                        <w:u w:val="none"/>
                                        <w:vertAlign w:val="superscript"/>
                                      </w:rPr>
                                      <w:t>20B+</w:t>
                                    </w:r>
                                  </w:hyperlink>
                                  <w:r w:rsidRPr="00301DE8">
                                    <w:rPr>
                                      <w:sz w:val="20"/>
                                      <w:szCs w:val="20"/>
                                      <w:vertAlign w:val="superscript"/>
                                    </w:rPr>
                                    <w:t>,</w:t>
                                  </w:r>
                                  <w:hyperlink w:anchor="Reference21" w:history="1">
                                    <w:r w:rsidRPr="00301DE8">
                                      <w:rPr>
                                        <w:rStyle w:val="Hyperlink"/>
                                        <w:sz w:val="20"/>
                                        <w:szCs w:val="20"/>
                                        <w:u w:val="none"/>
                                        <w:vertAlign w:val="superscript"/>
                                      </w:rPr>
                                      <w:t>21B+</w:t>
                                    </w:r>
                                  </w:hyperlink>
                                  <w:r w:rsidRPr="00301DE8">
                                    <w:rPr>
                                      <w:sz w:val="20"/>
                                      <w:szCs w:val="20"/>
                                      <w:vertAlign w:val="superscript"/>
                                    </w:rPr>
                                    <w:t>,</w:t>
                                  </w:r>
                                  <w:hyperlink w:anchor="Reference22" w:history="1">
                                    <w:r w:rsidRPr="00301DE8">
                                      <w:rPr>
                                        <w:rStyle w:val="Hyperlink"/>
                                        <w:sz w:val="20"/>
                                        <w:szCs w:val="20"/>
                                        <w:u w:val="none"/>
                                        <w:vertAlign w:val="superscript"/>
                                      </w:rPr>
                                      <w:t>22C</w:t>
                                    </w:r>
                                  </w:hyperlink>
                                </w:p>
                                <w:p w14:paraId="614713B5" w14:textId="165815AD" w:rsidR="00452D42" w:rsidRPr="00301DE8" w:rsidRDefault="00452D42" w:rsidP="00552315">
                                  <w:pPr>
                                    <w:pStyle w:val="ListParagraph"/>
                                    <w:numPr>
                                      <w:ilvl w:val="0"/>
                                      <w:numId w:val="33"/>
                                    </w:numPr>
                                    <w:spacing w:line="240" w:lineRule="exact"/>
                                    <w:ind w:left="357" w:hanging="357"/>
                                    <w:rPr>
                                      <w:sz w:val="20"/>
                                      <w:szCs w:val="20"/>
                                    </w:rPr>
                                  </w:pPr>
                                  <w:r w:rsidRPr="00F31A4A">
                                    <w:rPr>
                                      <w:sz w:val="20"/>
                                      <w:szCs w:val="20"/>
                                      <w:highlight w:val="yellow"/>
                                    </w:rPr>
                                    <w:t>patients with an associated peptic ulcer</w:t>
                                  </w:r>
                                  <w:r w:rsidR="00804D31" w:rsidRPr="00F31A4A">
                                    <w:rPr>
                                      <w:sz w:val="20"/>
                                      <w:szCs w:val="20"/>
                                      <w:highlight w:val="yellow"/>
                                    </w:rPr>
                                    <w:t xml:space="preserve"> or MALT lymphoma</w:t>
                                  </w:r>
                                  <w:r w:rsidRPr="00F31A4A">
                                    <w:rPr>
                                      <w:sz w:val="20"/>
                                      <w:szCs w:val="20"/>
                                      <w:highlight w:val="yellow"/>
                                    </w:rPr>
                                    <w:t xml:space="preserve">, </w:t>
                                  </w:r>
                                  <w:r w:rsidR="00804D31" w:rsidRPr="00F31A4A">
                                    <w:rPr>
                                      <w:sz w:val="20"/>
                                      <w:szCs w:val="20"/>
                                      <w:highlight w:val="yellow"/>
                                    </w:rPr>
                                    <w:t xml:space="preserve">or </w:t>
                                  </w:r>
                                  <w:r w:rsidRPr="00F31A4A">
                                    <w:rPr>
                                      <w:sz w:val="20"/>
                                      <w:szCs w:val="20"/>
                                      <w:highlight w:val="yellow"/>
                                    </w:rPr>
                                    <w:t xml:space="preserve">after resection of an early gastric </w:t>
                                  </w:r>
                                  <w:r w:rsidRPr="00F338EA">
                                    <w:rPr>
                                      <w:sz w:val="20"/>
                                      <w:szCs w:val="20"/>
                                      <w:highlight w:val="yellow"/>
                                    </w:rPr>
                                    <w:t>carcinoma</w:t>
                                  </w:r>
                                  <w:r w:rsidR="00EA0063" w:rsidRPr="00F338EA">
                                    <w:rPr>
                                      <w:sz w:val="20"/>
                                      <w:szCs w:val="20"/>
                                      <w:highlight w:val="yellow"/>
                                    </w:rPr>
                                    <w:t>.</w:t>
                                  </w:r>
                                  <w:hyperlink w:anchor="Reference2" w:history="1">
                                    <w:r w:rsidRPr="00F338EA">
                                      <w:rPr>
                                        <w:rStyle w:val="Hyperlink"/>
                                        <w:sz w:val="20"/>
                                        <w:szCs w:val="20"/>
                                        <w:highlight w:val="yellow"/>
                                        <w:u w:val="none"/>
                                        <w:vertAlign w:val="superscript"/>
                                      </w:rPr>
                                      <w:t>2D</w:t>
                                    </w:r>
                                  </w:hyperlink>
                                  <w:r w:rsidRPr="00F338EA">
                                    <w:rPr>
                                      <w:sz w:val="20"/>
                                      <w:szCs w:val="20"/>
                                      <w:highlight w:val="yellow"/>
                                      <w:vertAlign w:val="superscript"/>
                                    </w:rPr>
                                    <w:t>,</w:t>
                                  </w:r>
                                  <w:r w:rsidR="00804D31" w:rsidRPr="00F338EA">
                                    <w:rPr>
                                      <w:rStyle w:val="Hyperlink"/>
                                      <w:sz w:val="20"/>
                                      <w:szCs w:val="20"/>
                                      <w:highlight w:val="yellow"/>
                                      <w:u w:val="none"/>
                                      <w:vertAlign w:val="superscript"/>
                                    </w:rPr>
                                    <w:t>27D</w:t>
                                  </w:r>
                                  <w:bookmarkStart w:id="4" w:name="_GoBack"/>
                                  <w:bookmarkEnd w:id="4"/>
                                </w:p>
                                <w:p w14:paraId="7ECBED1A" w14:textId="33E56BC8" w:rsidR="00452D42" w:rsidRPr="00301DE8" w:rsidRDefault="00452D42" w:rsidP="00552315">
                                  <w:pPr>
                                    <w:pStyle w:val="ListParagraph"/>
                                    <w:numPr>
                                      <w:ilvl w:val="0"/>
                                      <w:numId w:val="33"/>
                                    </w:numPr>
                                    <w:spacing w:line="240" w:lineRule="exact"/>
                                    <w:ind w:left="357" w:hanging="357"/>
                                    <w:rPr>
                                      <w:sz w:val="20"/>
                                      <w:szCs w:val="20"/>
                                    </w:rPr>
                                  </w:pPr>
                                  <w:r w:rsidRPr="00301DE8">
                                    <w:rPr>
                                      <w:sz w:val="20"/>
                                      <w:szCs w:val="20"/>
                                    </w:rPr>
                                    <w:t>patients requiring aspirin, where PPI is not co-prescribed</w:t>
                                  </w:r>
                                  <w:hyperlink w:anchor="Reference2" w:history="1">
                                    <w:r w:rsidRPr="00301DE8">
                                      <w:rPr>
                                        <w:rStyle w:val="Hyperlink"/>
                                        <w:sz w:val="20"/>
                                        <w:szCs w:val="20"/>
                                        <w:u w:val="none"/>
                                        <w:vertAlign w:val="superscript"/>
                                      </w:rPr>
                                      <w:t>2D</w:t>
                                    </w:r>
                                  </w:hyperlink>
                                </w:p>
                                <w:p w14:paraId="4178A135" w14:textId="1D48564E" w:rsidR="00452D42" w:rsidRPr="00301DE8" w:rsidRDefault="00452D42" w:rsidP="00552315">
                                  <w:pPr>
                                    <w:pStyle w:val="ListParagraph"/>
                                    <w:numPr>
                                      <w:ilvl w:val="0"/>
                                      <w:numId w:val="33"/>
                                    </w:numPr>
                                    <w:spacing w:line="240" w:lineRule="exact"/>
                                    <w:ind w:left="357" w:hanging="357"/>
                                    <w:rPr>
                                      <w:sz w:val="20"/>
                                      <w:szCs w:val="20"/>
                                    </w:rPr>
                                  </w:pPr>
                                  <w:r w:rsidRPr="00301DE8">
                                    <w:rPr>
                                      <w:sz w:val="20"/>
                                      <w:szCs w:val="20"/>
                                    </w:rPr>
                                    <w:t>patients with severe persistent or recurrent symptoms, particularly if not typical of GORD</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26" w:history="1">
                                    <w:r w:rsidRPr="00301DE8">
                                      <w:rPr>
                                        <w:rStyle w:val="Hyperlink"/>
                                        <w:sz w:val="20"/>
                                        <w:szCs w:val="20"/>
                                        <w:u w:val="none"/>
                                        <w:vertAlign w:val="superscript"/>
                                      </w:rPr>
                                      <w:t>26C</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9060" id="_x0000_t202" coordsize="21600,21600" o:spt="202" path="m,l,21600r21600,l21600,xe">
                      <v:stroke joinstyle="miter"/>
                      <v:path gradientshapeok="t" o:connecttype="rect"/>
                    </v:shapetype>
                    <v:shape id="_x0000_s1053" type="#_x0000_t202" style="position:absolute;margin-left:-.2pt;margin-top:1.2pt;width:325.55pt;height:105.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" fillcolor="#ffc">
                      <v:textbox>
                        <w:txbxContent>
                          <w:p w14:paraId="6F480564" w14:textId="55250A00" w:rsidR="00452D42" w:rsidRPr="00301DE8" w:rsidRDefault="00452D42" w:rsidP="00552315">
                            <w:pPr>
                              <w:pStyle w:val="ListParagraph"/>
                              <w:numPr>
                                <w:ilvl w:val="0"/>
                                <w:numId w:val="33"/>
                              </w:numPr>
                              <w:spacing w:line="240" w:lineRule="exact"/>
                              <w:ind w:left="357" w:hanging="357"/>
                              <w:rPr>
                                <w:color w:val="9C002A"/>
                                <w:sz w:val="20"/>
                                <w:szCs w:val="20"/>
                              </w:rPr>
                            </w:pPr>
                            <w:r>
                              <w:rPr>
                                <w:sz w:val="20"/>
                                <w:szCs w:val="20"/>
                              </w:rPr>
                              <w:t xml:space="preserve">if compliance poor, or </w:t>
                            </w:r>
                            <w:r w:rsidRPr="00301DE8">
                              <w:rPr>
                                <w:sz w:val="20"/>
                                <w:szCs w:val="20"/>
                              </w:rPr>
                              <w:t>high local resistance rates</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29" w:history="1">
                              <w:r w:rsidRPr="00301DE8">
                                <w:rPr>
                                  <w:rStyle w:val="Hyperlink"/>
                                  <w:sz w:val="20"/>
                                  <w:szCs w:val="20"/>
                                  <w:u w:val="none"/>
                                  <w:vertAlign w:val="superscript"/>
                                </w:rPr>
                                <w:t>29B-</w:t>
                              </w:r>
                            </w:hyperlink>
                          </w:p>
                          <w:p w14:paraId="3903C91C" w14:textId="7D66F5F5" w:rsidR="00452D42" w:rsidRPr="00301DE8" w:rsidRDefault="00452D42" w:rsidP="00552315">
                            <w:pPr>
                              <w:pStyle w:val="ListParagraph"/>
                              <w:numPr>
                                <w:ilvl w:val="0"/>
                                <w:numId w:val="33"/>
                              </w:numPr>
                              <w:spacing w:line="240" w:lineRule="exact"/>
                              <w:ind w:left="357" w:hanging="357"/>
                              <w:rPr>
                                <w:sz w:val="20"/>
                                <w:szCs w:val="20"/>
                              </w:rPr>
                            </w:pPr>
                            <w:r w:rsidRPr="00301DE8">
                              <w:rPr>
                                <w:sz w:val="20"/>
                                <w:szCs w:val="20"/>
                              </w:rPr>
                              <w:t>persistent symptoms, and HP test performed within two weeks of taking PPI, or within four weeks of taking antibiotics</w:t>
                            </w:r>
                            <w:hyperlink w:anchor="Reference19" w:history="1">
                              <w:r w:rsidRPr="00301DE8">
                                <w:rPr>
                                  <w:rStyle w:val="Hyperlink"/>
                                  <w:sz w:val="20"/>
                                  <w:szCs w:val="20"/>
                                  <w:u w:val="none"/>
                                  <w:vertAlign w:val="superscript"/>
                                </w:rPr>
                                <w:t>19A+</w:t>
                              </w:r>
                            </w:hyperlink>
                            <w:r w:rsidRPr="00301DE8">
                              <w:rPr>
                                <w:sz w:val="20"/>
                                <w:szCs w:val="20"/>
                                <w:vertAlign w:val="superscript"/>
                              </w:rPr>
                              <w:t>,</w:t>
                            </w:r>
                            <w:hyperlink w:anchor="Reference20" w:history="1">
                              <w:r w:rsidRPr="00301DE8">
                                <w:rPr>
                                  <w:rStyle w:val="Hyperlink"/>
                                  <w:sz w:val="20"/>
                                  <w:szCs w:val="20"/>
                                  <w:u w:val="none"/>
                                  <w:vertAlign w:val="superscript"/>
                                </w:rPr>
                                <w:t>20B+</w:t>
                              </w:r>
                            </w:hyperlink>
                            <w:r w:rsidRPr="00301DE8">
                              <w:rPr>
                                <w:sz w:val="20"/>
                                <w:szCs w:val="20"/>
                                <w:vertAlign w:val="superscript"/>
                              </w:rPr>
                              <w:t>,</w:t>
                            </w:r>
                            <w:hyperlink w:anchor="Reference21" w:history="1">
                              <w:r w:rsidRPr="00301DE8">
                                <w:rPr>
                                  <w:rStyle w:val="Hyperlink"/>
                                  <w:sz w:val="20"/>
                                  <w:szCs w:val="20"/>
                                  <w:u w:val="none"/>
                                  <w:vertAlign w:val="superscript"/>
                                </w:rPr>
                                <w:t>21B+</w:t>
                              </w:r>
                            </w:hyperlink>
                            <w:r w:rsidRPr="00301DE8">
                              <w:rPr>
                                <w:sz w:val="20"/>
                                <w:szCs w:val="20"/>
                                <w:vertAlign w:val="superscript"/>
                              </w:rPr>
                              <w:t>,</w:t>
                            </w:r>
                            <w:hyperlink w:anchor="Reference22" w:history="1">
                              <w:r w:rsidRPr="00301DE8">
                                <w:rPr>
                                  <w:rStyle w:val="Hyperlink"/>
                                  <w:sz w:val="20"/>
                                  <w:szCs w:val="20"/>
                                  <w:u w:val="none"/>
                                  <w:vertAlign w:val="superscript"/>
                                </w:rPr>
                                <w:t>22C</w:t>
                              </w:r>
                            </w:hyperlink>
                          </w:p>
                          <w:p w14:paraId="614713B5" w14:textId="165815AD" w:rsidR="00452D42" w:rsidRPr="00301DE8" w:rsidRDefault="00452D42" w:rsidP="00552315">
                            <w:pPr>
                              <w:pStyle w:val="ListParagraph"/>
                              <w:numPr>
                                <w:ilvl w:val="0"/>
                                <w:numId w:val="33"/>
                              </w:numPr>
                              <w:spacing w:line="240" w:lineRule="exact"/>
                              <w:ind w:left="357" w:hanging="357"/>
                              <w:rPr>
                                <w:sz w:val="20"/>
                                <w:szCs w:val="20"/>
                              </w:rPr>
                            </w:pPr>
                            <w:r w:rsidRPr="00F31A4A">
                              <w:rPr>
                                <w:sz w:val="20"/>
                                <w:szCs w:val="20"/>
                                <w:highlight w:val="yellow"/>
                              </w:rPr>
                              <w:t>patients with an associated peptic ulcer</w:t>
                            </w:r>
                            <w:r w:rsidR="00804D31" w:rsidRPr="00F31A4A">
                              <w:rPr>
                                <w:sz w:val="20"/>
                                <w:szCs w:val="20"/>
                                <w:highlight w:val="yellow"/>
                              </w:rPr>
                              <w:t xml:space="preserve"> or MALT lymphoma</w:t>
                            </w:r>
                            <w:r w:rsidRPr="00F31A4A">
                              <w:rPr>
                                <w:sz w:val="20"/>
                                <w:szCs w:val="20"/>
                                <w:highlight w:val="yellow"/>
                              </w:rPr>
                              <w:t xml:space="preserve">, </w:t>
                            </w:r>
                            <w:r w:rsidR="00804D31" w:rsidRPr="00F31A4A">
                              <w:rPr>
                                <w:sz w:val="20"/>
                                <w:szCs w:val="20"/>
                                <w:highlight w:val="yellow"/>
                              </w:rPr>
                              <w:t xml:space="preserve">or </w:t>
                            </w:r>
                            <w:r w:rsidRPr="00F31A4A">
                              <w:rPr>
                                <w:sz w:val="20"/>
                                <w:szCs w:val="20"/>
                                <w:highlight w:val="yellow"/>
                              </w:rPr>
                              <w:t xml:space="preserve">after resection of an early gastric </w:t>
                            </w:r>
                            <w:r w:rsidRPr="00F338EA">
                              <w:rPr>
                                <w:sz w:val="20"/>
                                <w:szCs w:val="20"/>
                                <w:highlight w:val="yellow"/>
                              </w:rPr>
                              <w:t>carcinoma</w:t>
                            </w:r>
                            <w:r w:rsidR="00EA0063" w:rsidRPr="00F338EA">
                              <w:rPr>
                                <w:sz w:val="20"/>
                                <w:szCs w:val="20"/>
                                <w:highlight w:val="yellow"/>
                              </w:rPr>
                              <w:t>.</w:t>
                            </w:r>
                            <w:hyperlink w:anchor="Reference2" w:history="1">
                              <w:r w:rsidRPr="00F338EA">
                                <w:rPr>
                                  <w:rStyle w:val="Hyperlink"/>
                                  <w:sz w:val="20"/>
                                  <w:szCs w:val="20"/>
                                  <w:highlight w:val="yellow"/>
                                  <w:u w:val="none"/>
                                  <w:vertAlign w:val="superscript"/>
                                </w:rPr>
                                <w:t>2D</w:t>
                              </w:r>
                            </w:hyperlink>
                            <w:r w:rsidRPr="00F338EA">
                              <w:rPr>
                                <w:sz w:val="20"/>
                                <w:szCs w:val="20"/>
                                <w:highlight w:val="yellow"/>
                                <w:vertAlign w:val="superscript"/>
                              </w:rPr>
                              <w:t>,</w:t>
                            </w:r>
                            <w:r w:rsidR="00804D31" w:rsidRPr="00F338EA">
                              <w:rPr>
                                <w:rStyle w:val="Hyperlink"/>
                                <w:sz w:val="20"/>
                                <w:szCs w:val="20"/>
                                <w:highlight w:val="yellow"/>
                                <w:u w:val="none"/>
                                <w:vertAlign w:val="superscript"/>
                              </w:rPr>
                              <w:t>27D</w:t>
                            </w:r>
                            <w:bookmarkStart w:id="5" w:name="_GoBack"/>
                            <w:bookmarkEnd w:id="5"/>
                          </w:p>
                          <w:p w14:paraId="7ECBED1A" w14:textId="33E56BC8" w:rsidR="00452D42" w:rsidRPr="00301DE8" w:rsidRDefault="00452D42" w:rsidP="00552315">
                            <w:pPr>
                              <w:pStyle w:val="ListParagraph"/>
                              <w:numPr>
                                <w:ilvl w:val="0"/>
                                <w:numId w:val="33"/>
                              </w:numPr>
                              <w:spacing w:line="240" w:lineRule="exact"/>
                              <w:ind w:left="357" w:hanging="357"/>
                              <w:rPr>
                                <w:sz w:val="20"/>
                                <w:szCs w:val="20"/>
                              </w:rPr>
                            </w:pPr>
                            <w:r w:rsidRPr="00301DE8">
                              <w:rPr>
                                <w:sz w:val="20"/>
                                <w:szCs w:val="20"/>
                              </w:rPr>
                              <w:t>patients requiring aspirin, where PPI is not co-prescribed</w:t>
                            </w:r>
                            <w:hyperlink w:anchor="Reference2" w:history="1">
                              <w:r w:rsidRPr="00301DE8">
                                <w:rPr>
                                  <w:rStyle w:val="Hyperlink"/>
                                  <w:sz w:val="20"/>
                                  <w:szCs w:val="20"/>
                                  <w:u w:val="none"/>
                                  <w:vertAlign w:val="superscript"/>
                                </w:rPr>
                                <w:t>2D</w:t>
                              </w:r>
                            </w:hyperlink>
                          </w:p>
                          <w:p w14:paraId="4178A135" w14:textId="1D48564E" w:rsidR="00452D42" w:rsidRPr="00301DE8" w:rsidRDefault="00452D42" w:rsidP="00552315">
                            <w:pPr>
                              <w:pStyle w:val="ListParagraph"/>
                              <w:numPr>
                                <w:ilvl w:val="0"/>
                                <w:numId w:val="33"/>
                              </w:numPr>
                              <w:spacing w:line="240" w:lineRule="exact"/>
                              <w:ind w:left="357" w:hanging="357"/>
                              <w:rPr>
                                <w:sz w:val="20"/>
                                <w:szCs w:val="20"/>
                              </w:rPr>
                            </w:pPr>
                            <w:r w:rsidRPr="00301DE8">
                              <w:rPr>
                                <w:sz w:val="20"/>
                                <w:szCs w:val="20"/>
                              </w:rPr>
                              <w:t>patients with severe persistent or recurrent symptoms, particularly if not typical of GORD</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26" w:history="1">
                              <w:r w:rsidRPr="00301DE8">
                                <w:rPr>
                                  <w:rStyle w:val="Hyperlink"/>
                                  <w:sz w:val="20"/>
                                  <w:szCs w:val="20"/>
                                  <w:u w:val="none"/>
                                  <w:vertAlign w:val="superscript"/>
                                </w:rPr>
                                <w:t>26C</w:t>
                              </w:r>
                            </w:hyperlink>
                          </w:p>
                        </w:txbxContent>
                      </v:textbox>
                    </v:shape>
                  </w:pict>
                </mc:Fallback>
              </mc:AlternateContent>
            </w:r>
          </w:p>
          <w:p w14:paraId="3DD7DDF3" w14:textId="34F1E895" w:rsidR="00552315" w:rsidRDefault="00DF11CC" w:rsidP="00552315">
            <w:pPr>
              <w:pStyle w:val="PHEBulletpoint"/>
              <w:numPr>
                <w:ilvl w:val="0"/>
                <w:numId w:val="0"/>
              </w:numPr>
              <w:spacing w:line="300" w:lineRule="exact"/>
            </w:pPr>
            <w:r w:rsidRPr="005B21E3">
              <w:rPr>
                <w:b/>
                <w:noProof/>
                <w:lang w:eastAsia="en-GB"/>
              </w:rPr>
              <mc:AlternateContent>
                <mc:Choice Requires="wps">
                  <w:drawing>
                    <wp:anchor distT="0" distB="0" distL="114300" distR="114300" simplePos="0" relativeHeight="251758592" behindDoc="0" locked="0" layoutInCell="1" allowOverlap="1" wp14:anchorId="2EE596AE" wp14:editId="0E879607">
                      <wp:simplePos x="0" y="0"/>
                      <wp:positionH relativeFrom="column">
                        <wp:posOffset>5533585</wp:posOffset>
                      </wp:positionH>
                      <wp:positionV relativeFrom="paragraph">
                        <wp:posOffset>132227</wp:posOffset>
                      </wp:positionV>
                      <wp:extent cx="0" cy="168128"/>
                      <wp:effectExtent l="95250" t="0" r="57150" b="60960"/>
                      <wp:wrapNone/>
                      <wp:docPr id="14" name="Straight Arrow Connector 14"/>
                      <wp:cNvGraphicFramePr/>
                      <a:graphic xmlns:a="http://schemas.openxmlformats.org/drawingml/2006/main">
                        <a:graphicData uri="http://schemas.microsoft.com/office/word/2010/wordprocessingShape">
                          <wps:wsp>
                            <wps:cNvCnPr/>
                            <wps:spPr>
                              <a:xfrm>
                                <a:off x="0" y="0"/>
                                <a:ext cx="0" cy="16812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21669BC2" id="Straight Arrow Connector 14" o:spid="_x0000_s1026" type="#_x0000_t32" style="position:absolute;margin-left:435.7pt;margin-top:10.4pt;width:0;height:1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" strokecolor="black [3213]" strokeweight="2pt">
                      <v:stroke endarrow="open"/>
                    </v:shape>
                  </w:pict>
                </mc:Fallback>
              </mc:AlternateContent>
            </w:r>
          </w:p>
          <w:p w14:paraId="1D6A9835" w14:textId="7BAE605A" w:rsidR="00552315" w:rsidRDefault="00552315" w:rsidP="00552315">
            <w:pPr>
              <w:pStyle w:val="PHEBulletpoint"/>
              <w:numPr>
                <w:ilvl w:val="0"/>
                <w:numId w:val="0"/>
              </w:numPr>
              <w:spacing w:line="300" w:lineRule="exact"/>
            </w:pPr>
            <w:r w:rsidRPr="004C68A2">
              <w:rPr>
                <w:b/>
                <w:noProof/>
                <w:lang w:eastAsia="en-GB"/>
              </w:rPr>
              <mc:AlternateContent>
                <mc:Choice Requires="wps">
                  <w:drawing>
                    <wp:anchor distT="0" distB="0" distL="114300" distR="114300" simplePos="0" relativeHeight="251750400" behindDoc="0" locked="0" layoutInCell="1" allowOverlap="1" wp14:anchorId="59F8CBB8" wp14:editId="3F4EBE02">
                      <wp:simplePos x="0" y="0"/>
                      <wp:positionH relativeFrom="column">
                        <wp:posOffset>4253865</wp:posOffset>
                      </wp:positionH>
                      <wp:positionV relativeFrom="paragraph">
                        <wp:posOffset>117145</wp:posOffset>
                      </wp:positionV>
                      <wp:extent cx="2572030" cy="572494"/>
                      <wp:effectExtent l="0" t="0" r="19050" b="184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030" cy="572494"/>
                              </a:xfrm>
                              <a:prstGeom prst="rect">
                                <a:avLst/>
                              </a:prstGeom>
                              <a:solidFill>
                                <a:srgbClr val="FFFFCC"/>
                              </a:solidFill>
                              <a:ln w="9525">
                                <a:solidFill>
                                  <a:srgbClr val="000000"/>
                                </a:solidFill>
                                <a:miter lim="800000"/>
                                <a:headEnd/>
                                <a:tailEnd/>
                              </a:ln>
                            </wps:spPr>
                            <wps:txbx>
                              <w:txbxContent>
                                <w:p w14:paraId="05372838" w14:textId="49BFF49E" w:rsidR="00452D42" w:rsidRPr="00E2120F" w:rsidRDefault="00452D42" w:rsidP="0021406C">
                                  <w:pPr>
                                    <w:spacing w:line="240" w:lineRule="exact"/>
                                    <w:jc w:val="center"/>
                                    <w:rPr>
                                      <w:sz w:val="20"/>
                                      <w:szCs w:val="20"/>
                                    </w:rPr>
                                  </w:pPr>
                                  <w:r>
                                    <w:rPr>
                                      <w:sz w:val="20"/>
                                      <w:szCs w:val="20"/>
                                    </w:rPr>
                                    <w:t>Wait at least four weeks (ideally eight weeks) after tr</w:t>
                                  </w:r>
                                  <w:r w:rsidRPr="00301DE8">
                                    <w:rPr>
                                      <w:sz w:val="20"/>
                                      <w:szCs w:val="20"/>
                                    </w:rPr>
                                    <w:t>eatment.</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19" w:history="1">
                                    <w:r w:rsidRPr="00301DE8">
                                      <w:rPr>
                                        <w:rStyle w:val="Hyperlink"/>
                                        <w:sz w:val="20"/>
                                        <w:szCs w:val="20"/>
                                        <w:u w:val="none"/>
                                        <w:vertAlign w:val="superscript"/>
                                      </w:rPr>
                                      <w:t>19A+</w:t>
                                    </w:r>
                                  </w:hyperlink>
                                  <w:r w:rsidRPr="00301DE8">
                                    <w:rPr>
                                      <w:sz w:val="20"/>
                                      <w:szCs w:val="20"/>
                                    </w:rPr>
                                    <w:t xml:space="preserve"> If acid suppression needed use H</w:t>
                                  </w:r>
                                  <w:r w:rsidRPr="00301DE8">
                                    <w:rPr>
                                      <w:sz w:val="20"/>
                                      <w:szCs w:val="20"/>
                                      <w:vertAlign w:val="subscript"/>
                                    </w:rPr>
                                    <w:t>2</w:t>
                                  </w:r>
                                  <w:r w:rsidRPr="00301DE8">
                                    <w:rPr>
                                      <w:sz w:val="20"/>
                                      <w:szCs w:val="20"/>
                                    </w:rPr>
                                    <w:t xml:space="preserve"> antagonist</w:t>
                                  </w:r>
                                  <w:r w:rsidRPr="00F82363">
                                    <w:rPr>
                                      <w:sz w:val="20"/>
                                      <w:szCs w:val="20"/>
                                    </w:rPr>
                                    <w:t>.</w:t>
                                  </w:r>
                                  <w:hyperlink w:anchor="Reference39" w:history="1">
                                    <w:r w:rsidRPr="00F82363">
                                      <w:rPr>
                                        <w:rStyle w:val="Hyperlink"/>
                                        <w:sz w:val="20"/>
                                        <w:szCs w:val="20"/>
                                        <w:u w:val="none"/>
                                        <w:vertAlign w:val="superscript"/>
                                      </w:rPr>
                                      <w:t>39D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9F8CBB8" id="_x0000_s1054" type="#_x0000_t202" style="position:absolute;margin-left:334.95pt;margin-top:9.2pt;width:202.5pt;height:45.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" fillcolor="#ffc">
                      <v:textbox>
                        <w:txbxContent>
                          <w:p w14:paraId="05372838" w14:textId="49BFF49E" w:rsidR="00452D42" w:rsidRPr="00E2120F" w:rsidRDefault="00452D42" w:rsidP="0021406C">
                            <w:pPr>
                              <w:spacing w:line="240" w:lineRule="exact"/>
                              <w:jc w:val="center"/>
                              <w:rPr>
                                <w:sz w:val="20"/>
                                <w:szCs w:val="20"/>
                              </w:rPr>
                            </w:pPr>
                            <w:r>
                              <w:rPr>
                                <w:sz w:val="20"/>
                                <w:szCs w:val="20"/>
                              </w:rPr>
                              <w:t>Wait at least four weeks (ideally eight weeks) after tr</w:t>
                            </w:r>
                            <w:r w:rsidRPr="00301DE8">
                              <w:rPr>
                                <w:sz w:val="20"/>
                                <w:szCs w:val="20"/>
                              </w:rPr>
                              <w:t>eatment.</w:t>
                            </w:r>
                            <w:hyperlink w:anchor="Reference11" w:history="1">
                              <w:r w:rsidRPr="00301DE8">
                                <w:rPr>
                                  <w:rStyle w:val="Hyperlink"/>
                                  <w:sz w:val="20"/>
                                  <w:szCs w:val="20"/>
                                  <w:u w:val="none"/>
                                  <w:vertAlign w:val="superscript"/>
                                </w:rPr>
                                <w:t>11D</w:t>
                              </w:r>
                            </w:hyperlink>
                            <w:r w:rsidRPr="00301DE8">
                              <w:rPr>
                                <w:sz w:val="20"/>
                                <w:szCs w:val="20"/>
                                <w:vertAlign w:val="superscript"/>
                              </w:rPr>
                              <w:t>,</w:t>
                            </w:r>
                            <w:hyperlink w:anchor="Reference19" w:history="1">
                              <w:r w:rsidRPr="00301DE8">
                                <w:rPr>
                                  <w:rStyle w:val="Hyperlink"/>
                                  <w:sz w:val="20"/>
                                  <w:szCs w:val="20"/>
                                  <w:u w:val="none"/>
                                  <w:vertAlign w:val="superscript"/>
                                </w:rPr>
                                <w:t>19A+</w:t>
                              </w:r>
                            </w:hyperlink>
                            <w:r w:rsidRPr="00301DE8">
                              <w:rPr>
                                <w:sz w:val="20"/>
                                <w:szCs w:val="20"/>
                              </w:rPr>
                              <w:t xml:space="preserve"> If acid suppression needed use H</w:t>
                            </w:r>
                            <w:r w:rsidRPr="00301DE8">
                              <w:rPr>
                                <w:sz w:val="20"/>
                                <w:szCs w:val="20"/>
                                <w:vertAlign w:val="subscript"/>
                              </w:rPr>
                              <w:t>2</w:t>
                            </w:r>
                            <w:r w:rsidRPr="00301DE8">
                              <w:rPr>
                                <w:sz w:val="20"/>
                                <w:szCs w:val="20"/>
                              </w:rPr>
                              <w:t xml:space="preserve"> antagonist</w:t>
                            </w:r>
                            <w:r w:rsidRPr="00F82363">
                              <w:rPr>
                                <w:sz w:val="20"/>
                                <w:szCs w:val="20"/>
                              </w:rPr>
                              <w:t>.</w:t>
                            </w:r>
                            <w:hyperlink w:anchor="Reference39" w:history="1">
                              <w:r w:rsidRPr="00F82363">
                                <w:rPr>
                                  <w:rStyle w:val="Hyperlink"/>
                                  <w:sz w:val="20"/>
                                  <w:szCs w:val="20"/>
                                  <w:u w:val="none"/>
                                  <w:vertAlign w:val="superscript"/>
                                </w:rPr>
                                <w:t>39D</w:t>
                              </w:r>
                            </w:hyperlink>
                          </w:p>
                        </w:txbxContent>
                      </v:textbox>
                    </v:shape>
                  </w:pict>
                </mc:Fallback>
              </mc:AlternateContent>
            </w:r>
          </w:p>
          <w:p w14:paraId="1D5DF66F" w14:textId="07F5CC61" w:rsidR="00552315" w:rsidRDefault="00552315" w:rsidP="00552315">
            <w:pPr>
              <w:pStyle w:val="PHEBulletpoint"/>
              <w:numPr>
                <w:ilvl w:val="0"/>
                <w:numId w:val="0"/>
              </w:numPr>
              <w:spacing w:line="300" w:lineRule="exact"/>
            </w:pPr>
          </w:p>
          <w:p w14:paraId="64A2E131" w14:textId="77777777" w:rsidR="00552315" w:rsidRDefault="00552315" w:rsidP="00552315">
            <w:pPr>
              <w:pStyle w:val="PHEBulletpoint"/>
              <w:numPr>
                <w:ilvl w:val="0"/>
                <w:numId w:val="0"/>
              </w:numPr>
              <w:spacing w:line="300" w:lineRule="exact"/>
              <w:rPr>
                <w:b/>
              </w:rPr>
            </w:pPr>
          </w:p>
          <w:p w14:paraId="57A5F874" w14:textId="3F7463D6" w:rsidR="00552315" w:rsidRDefault="008376B6" w:rsidP="00552315">
            <w:pPr>
              <w:pStyle w:val="PHEBulletpoint"/>
              <w:numPr>
                <w:ilvl w:val="0"/>
                <w:numId w:val="0"/>
              </w:numPr>
              <w:spacing w:line="300" w:lineRule="exact"/>
              <w:rPr>
                <w:b/>
              </w:rPr>
            </w:pPr>
            <w:r w:rsidRPr="005B21E3">
              <w:rPr>
                <w:b/>
                <w:noProof/>
                <w:lang w:eastAsia="en-GB"/>
              </w:rPr>
              <mc:AlternateContent>
                <mc:Choice Requires="wps">
                  <w:drawing>
                    <wp:anchor distT="0" distB="0" distL="114300" distR="114300" simplePos="0" relativeHeight="251763712" behindDoc="0" locked="0" layoutInCell="1" allowOverlap="1" wp14:anchorId="076EC13E" wp14:editId="2C763122">
                      <wp:simplePos x="0" y="0"/>
                      <wp:positionH relativeFrom="column">
                        <wp:posOffset>5539447</wp:posOffset>
                      </wp:positionH>
                      <wp:positionV relativeFrom="paragraph">
                        <wp:posOffset>116840</wp:posOffset>
                      </wp:positionV>
                      <wp:extent cx="0" cy="165930"/>
                      <wp:effectExtent l="95250" t="0" r="57150" b="62865"/>
                      <wp:wrapNone/>
                      <wp:docPr id="27" name="Straight Arrow Connector 27"/>
                      <wp:cNvGraphicFramePr/>
                      <a:graphic xmlns:a="http://schemas.openxmlformats.org/drawingml/2006/main">
                        <a:graphicData uri="http://schemas.microsoft.com/office/word/2010/wordprocessingShape">
                          <wps:wsp>
                            <wps:cNvCnPr/>
                            <wps:spPr>
                              <a:xfrm>
                                <a:off x="0" y="0"/>
                                <a:ext cx="0" cy="16593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5868F45C" id="Straight Arrow Connector 27" o:spid="_x0000_s1026" type="#_x0000_t32" style="position:absolute;margin-left:436.2pt;margin-top:9.2pt;width:0;height:13.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" strokecolor="black [3213]" strokeweight="2pt">
                      <v:stroke endarrow="open"/>
                    </v:shape>
                  </w:pict>
                </mc:Fallback>
              </mc:AlternateContent>
            </w:r>
          </w:p>
          <w:p w14:paraId="15396A50" w14:textId="6F5905B2" w:rsidR="00552315" w:rsidRDefault="00B76BE8" w:rsidP="00552315">
            <w:pPr>
              <w:pStyle w:val="PHEBulletpoint"/>
              <w:numPr>
                <w:ilvl w:val="0"/>
                <w:numId w:val="0"/>
              </w:numPr>
              <w:spacing w:line="300" w:lineRule="exact"/>
              <w:rPr>
                <w:b/>
              </w:rPr>
            </w:pPr>
            <w:r w:rsidRPr="004C68A2">
              <w:rPr>
                <w:b/>
                <w:noProof/>
                <w:lang w:eastAsia="en-GB"/>
              </w:rPr>
              <mc:AlternateContent>
                <mc:Choice Requires="wps">
                  <w:drawing>
                    <wp:anchor distT="0" distB="0" distL="114300" distR="114300" simplePos="0" relativeHeight="251748352" behindDoc="0" locked="0" layoutInCell="1" allowOverlap="1" wp14:anchorId="7AC04531" wp14:editId="278F71A9">
                      <wp:simplePos x="0" y="0"/>
                      <wp:positionH relativeFrom="column">
                        <wp:posOffset>4374185</wp:posOffset>
                      </wp:positionH>
                      <wp:positionV relativeFrom="paragraph">
                        <wp:posOffset>95885</wp:posOffset>
                      </wp:positionV>
                      <wp:extent cx="2336165" cy="429260"/>
                      <wp:effectExtent l="0" t="0" r="26035" b="279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429260"/>
                              </a:xfrm>
                              <a:prstGeom prst="rect">
                                <a:avLst/>
                              </a:prstGeom>
                              <a:solidFill>
                                <a:schemeClr val="accent3">
                                  <a:lumMod val="40000"/>
                                  <a:lumOff val="60000"/>
                                </a:schemeClr>
                              </a:solidFill>
                              <a:ln w="9525">
                                <a:solidFill>
                                  <a:srgbClr val="000000"/>
                                </a:solidFill>
                                <a:miter lim="800000"/>
                                <a:headEnd/>
                                <a:tailEnd/>
                              </a:ln>
                            </wps:spPr>
                            <wps:txbx>
                              <w:txbxContent>
                                <w:p w14:paraId="3AAE1AC6" w14:textId="62DC0169" w:rsidR="00452D42" w:rsidRPr="00552315" w:rsidRDefault="00452D42" w:rsidP="0021406C">
                                  <w:pPr>
                                    <w:spacing w:line="240" w:lineRule="exact"/>
                                    <w:jc w:val="center"/>
                                    <w:rPr>
                                      <w:sz w:val="20"/>
                                      <w:szCs w:val="20"/>
                                    </w:rPr>
                                  </w:pPr>
                                  <w:r>
                                    <w:rPr>
                                      <w:sz w:val="20"/>
                                      <w:szCs w:val="20"/>
                                    </w:rPr>
                                    <w:t>Use second-line treatment if UBT or SAT remains posit</w:t>
                                  </w:r>
                                  <w:r w:rsidRPr="00301DE8">
                                    <w:rPr>
                                      <w:sz w:val="20"/>
                                      <w:szCs w:val="20"/>
                                    </w:rPr>
                                    <w:t>ive</w:t>
                                  </w:r>
                                  <w:hyperlink w:anchor="Reference2" w:history="1">
                                    <w:r w:rsidRPr="00301DE8">
                                      <w:rPr>
                                        <w:rStyle w:val="Hyperlink"/>
                                        <w:sz w:val="20"/>
                                        <w:szCs w:val="20"/>
                                        <w:u w:val="none"/>
                                        <w:vertAlign w:val="superscript"/>
                                      </w:rPr>
                                      <w:t>2D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7AC04531" id="_x0000_s1055" type="#_x0000_t202" style="position:absolute;margin-left:344.4pt;margin-top:7.55pt;width:183.95pt;height:3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" fillcolor="#d6e3bc [1302]">
                      <v:textbox>
                        <w:txbxContent>
                          <w:p w14:paraId="3AAE1AC6" w14:textId="62DC0169" w:rsidR="00452D42" w:rsidRPr="00552315" w:rsidRDefault="00452D42" w:rsidP="0021406C">
                            <w:pPr>
                              <w:spacing w:line="240" w:lineRule="exact"/>
                              <w:jc w:val="center"/>
                              <w:rPr>
                                <w:sz w:val="20"/>
                                <w:szCs w:val="20"/>
                              </w:rPr>
                            </w:pPr>
                            <w:r>
                              <w:rPr>
                                <w:sz w:val="20"/>
                                <w:szCs w:val="20"/>
                              </w:rPr>
                              <w:t>Use second-line treatment if UBT or SAT remains posit</w:t>
                            </w:r>
                            <w:r w:rsidRPr="00301DE8">
                              <w:rPr>
                                <w:sz w:val="20"/>
                                <w:szCs w:val="20"/>
                              </w:rPr>
                              <w:t>ive</w:t>
                            </w:r>
                            <w:hyperlink w:anchor="Reference2" w:history="1">
                              <w:r w:rsidRPr="00301DE8">
                                <w:rPr>
                                  <w:rStyle w:val="Hyperlink"/>
                                  <w:sz w:val="20"/>
                                  <w:szCs w:val="20"/>
                                  <w:u w:val="none"/>
                                  <w:vertAlign w:val="superscript"/>
                                </w:rPr>
                                <w:t>2D</w:t>
                              </w:r>
                            </w:hyperlink>
                          </w:p>
                        </w:txbxContent>
                      </v:textbox>
                    </v:shape>
                  </w:pict>
                </mc:Fallback>
              </mc:AlternateContent>
            </w:r>
          </w:p>
          <w:p w14:paraId="56B02F51" w14:textId="58BFE6BE" w:rsidR="00552315" w:rsidRDefault="00552315" w:rsidP="00552315">
            <w:pPr>
              <w:pStyle w:val="PHEBulletpoint"/>
              <w:numPr>
                <w:ilvl w:val="0"/>
                <w:numId w:val="0"/>
              </w:numPr>
              <w:spacing w:line="300" w:lineRule="exact"/>
              <w:rPr>
                <w:b/>
              </w:rPr>
            </w:pPr>
            <w:r w:rsidRPr="004C68A2">
              <w:rPr>
                <w:b/>
                <w:noProof/>
                <w:lang w:eastAsia="en-GB"/>
              </w:rPr>
              <mc:AlternateContent>
                <mc:Choice Requires="wps">
                  <w:drawing>
                    <wp:anchor distT="0" distB="0" distL="114300" distR="114300" simplePos="0" relativeHeight="251744256" behindDoc="0" locked="0" layoutInCell="1" allowOverlap="1" wp14:anchorId="4A634389" wp14:editId="6E504011">
                      <wp:simplePos x="0" y="0"/>
                      <wp:positionH relativeFrom="column">
                        <wp:posOffset>544195</wp:posOffset>
                      </wp:positionH>
                      <wp:positionV relativeFrom="paragraph">
                        <wp:posOffset>65567</wp:posOffset>
                      </wp:positionV>
                      <wp:extent cx="2861649" cy="262255"/>
                      <wp:effectExtent l="0" t="0" r="15240" b="2349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649" cy="262255"/>
                              </a:xfrm>
                              <a:prstGeom prst="rect">
                                <a:avLst/>
                              </a:prstGeom>
                              <a:solidFill>
                                <a:schemeClr val="accent2">
                                  <a:lumMod val="40000"/>
                                  <a:lumOff val="60000"/>
                                </a:schemeClr>
                              </a:solidFill>
                              <a:ln w="9525">
                                <a:solidFill>
                                  <a:srgbClr val="000000"/>
                                </a:solidFill>
                                <a:miter lim="800000"/>
                                <a:headEnd/>
                                <a:tailEnd/>
                              </a:ln>
                            </wps:spPr>
                            <wps:txbx>
                              <w:txbxContent>
                                <w:p w14:paraId="70B06554" w14:textId="605FA7FC" w:rsidR="00452D42" w:rsidRPr="00552067" w:rsidRDefault="00452D42" w:rsidP="00552315">
                                  <w:pPr>
                                    <w:shd w:val="clear" w:color="auto" w:fill="E5B8B7" w:themeFill="accent2" w:themeFillTint="66"/>
                                    <w:spacing w:line="240" w:lineRule="exact"/>
                                    <w:jc w:val="center"/>
                                    <w:rPr>
                                      <w:sz w:val="20"/>
                                      <w:szCs w:val="20"/>
                                    </w:rPr>
                                  </w:pPr>
                                  <w:r>
                                    <w:rPr>
                                      <w:b/>
                                      <w:sz w:val="20"/>
                                      <w:szCs w:val="20"/>
                                    </w:rPr>
                                    <w:t>DO NOT use serology for re-</w:t>
                                  </w:r>
                                  <w:r w:rsidRPr="00245DD2">
                                    <w:rPr>
                                      <w:b/>
                                      <w:sz w:val="20"/>
                                      <w:szCs w:val="20"/>
                                    </w:rPr>
                                    <w:t>testing</w:t>
                                  </w:r>
                                  <w:hyperlink w:anchor="Reference2" w:history="1">
                                    <w:r w:rsidRPr="00245DD2">
                                      <w:rPr>
                                        <w:rStyle w:val="Hyperlink"/>
                                        <w:sz w:val="20"/>
                                        <w:szCs w:val="20"/>
                                        <w:u w:val="none"/>
                                        <w:vertAlign w:val="superscript"/>
                                      </w:rPr>
                                      <w:t>2D</w:t>
                                    </w:r>
                                  </w:hyperlink>
                                  <w:r w:rsidRPr="00245DD2">
                                    <w:rPr>
                                      <w:sz w:val="20"/>
                                      <w:szCs w:val="20"/>
                                      <w:vertAlign w:val="superscript"/>
                                    </w:rPr>
                                    <w:t>,</w:t>
                                  </w:r>
                                  <w:hyperlink w:anchor="Reference15" w:history="1">
                                    <w:r w:rsidRPr="00245DD2">
                                      <w:rPr>
                                        <w:rStyle w:val="Hyperlink"/>
                                        <w:sz w:val="20"/>
                                        <w:szCs w:val="20"/>
                                        <w:u w:val="none"/>
                                        <w:vertAlign w:val="superscript"/>
                                      </w:rPr>
                                      <w:t>15A+</w:t>
                                    </w:r>
                                  </w:hyperlink>
                                  <w:r w:rsidRPr="00245DD2">
                                    <w:rPr>
                                      <w:sz w:val="20"/>
                                      <w:szCs w:val="20"/>
                                      <w:vertAlign w:val="superscript"/>
                                    </w:rPr>
                                    <w:t>,</w:t>
                                  </w:r>
                                  <w:hyperlink w:anchor="Reference16" w:history="1">
                                    <w:r w:rsidRPr="00245DD2">
                                      <w:rPr>
                                        <w:rStyle w:val="Hyperlink"/>
                                        <w:sz w:val="20"/>
                                        <w:szCs w:val="20"/>
                                        <w:u w:val="none"/>
                                        <w:vertAlign w:val="superscript"/>
                                      </w:rPr>
                                      <w:t>16C</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ink="http://schemas.microsoft.com/office/drawing/2016/ink" xmlns:am3d="http://schemas.microsoft.com/office/drawing/2017/model3d" xmlns:w16cid="http://schemas.microsoft.com/office/word/2016/wordml/cid">
                  <w:pict>
                    <v:shape w14:anchorId="4A634389" id="_x0000_s1056" type="#_x0000_t202" style="position:absolute;margin-left:42.85pt;margin-top:5.15pt;width:225.35pt;height:2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" fillcolor="#e5b8b7 [1301]">
                      <v:textbox>
                        <w:txbxContent>
                          <w:p w14:paraId="70B06554" w14:textId="605FA7FC" w:rsidR="00452D42" w:rsidRPr="00552067" w:rsidRDefault="00452D42" w:rsidP="00552315">
                            <w:pPr>
                              <w:shd w:val="clear" w:color="auto" w:fill="E5B8B7" w:themeFill="accent2" w:themeFillTint="66"/>
                              <w:spacing w:line="240" w:lineRule="exact"/>
                              <w:jc w:val="center"/>
                              <w:rPr>
                                <w:sz w:val="20"/>
                                <w:szCs w:val="20"/>
                              </w:rPr>
                            </w:pPr>
                            <w:r>
                              <w:rPr>
                                <w:b/>
                                <w:sz w:val="20"/>
                                <w:szCs w:val="20"/>
                              </w:rPr>
                              <w:t>DO NOT use serology for re-</w:t>
                            </w:r>
                            <w:r w:rsidRPr="00245DD2">
                              <w:rPr>
                                <w:b/>
                                <w:sz w:val="20"/>
                                <w:szCs w:val="20"/>
                              </w:rPr>
                              <w:t>testing</w:t>
                            </w:r>
                            <w:hyperlink w:anchor="Reference2" w:history="1">
                              <w:r w:rsidRPr="00245DD2">
                                <w:rPr>
                                  <w:rStyle w:val="Hyperlink"/>
                                  <w:sz w:val="20"/>
                                  <w:szCs w:val="20"/>
                                  <w:u w:val="none"/>
                                  <w:vertAlign w:val="superscript"/>
                                </w:rPr>
                                <w:t>2D</w:t>
                              </w:r>
                            </w:hyperlink>
                            <w:r w:rsidRPr="00245DD2">
                              <w:rPr>
                                <w:sz w:val="20"/>
                                <w:szCs w:val="20"/>
                                <w:vertAlign w:val="superscript"/>
                              </w:rPr>
                              <w:t>,</w:t>
                            </w:r>
                            <w:hyperlink w:anchor="Reference15" w:history="1">
                              <w:r w:rsidRPr="00245DD2">
                                <w:rPr>
                                  <w:rStyle w:val="Hyperlink"/>
                                  <w:sz w:val="20"/>
                                  <w:szCs w:val="20"/>
                                  <w:u w:val="none"/>
                                  <w:vertAlign w:val="superscript"/>
                                </w:rPr>
                                <w:t>15A+</w:t>
                              </w:r>
                            </w:hyperlink>
                            <w:r w:rsidRPr="00245DD2">
                              <w:rPr>
                                <w:sz w:val="20"/>
                                <w:szCs w:val="20"/>
                                <w:vertAlign w:val="superscript"/>
                              </w:rPr>
                              <w:t>,</w:t>
                            </w:r>
                            <w:hyperlink w:anchor="Reference16" w:history="1">
                              <w:r w:rsidRPr="00245DD2">
                                <w:rPr>
                                  <w:rStyle w:val="Hyperlink"/>
                                  <w:sz w:val="20"/>
                                  <w:szCs w:val="20"/>
                                  <w:u w:val="none"/>
                                  <w:vertAlign w:val="superscript"/>
                                </w:rPr>
                                <w:t>16C</w:t>
                              </w:r>
                            </w:hyperlink>
                          </w:p>
                        </w:txbxContent>
                      </v:textbox>
                    </v:shape>
                  </w:pict>
                </mc:Fallback>
              </mc:AlternateContent>
            </w:r>
          </w:p>
          <w:p w14:paraId="2EAD3B0B" w14:textId="08AA20DB" w:rsidR="00552315" w:rsidRPr="005878F0" w:rsidRDefault="00552315" w:rsidP="00552315">
            <w:pPr>
              <w:pStyle w:val="PHEBulletpoint"/>
              <w:numPr>
                <w:ilvl w:val="0"/>
                <w:numId w:val="0"/>
              </w:numPr>
              <w:spacing w:before="10" w:line="300" w:lineRule="exact"/>
              <w:rPr>
                <w:b/>
              </w:rPr>
            </w:pPr>
          </w:p>
        </w:tc>
      </w:tr>
      <w:tr w:rsidR="00831EAE" w:rsidRPr="0026246E" w14:paraId="13F77D67" w14:textId="77777777" w:rsidTr="003A02FE">
        <w:tc>
          <w:tcPr>
            <w:tcW w:w="10916" w:type="dxa"/>
            <w:tcBorders>
              <w:bottom w:val="single" w:sz="4" w:space="0" w:color="auto"/>
              <w:right w:val="single" w:sz="4" w:space="0" w:color="auto"/>
            </w:tcBorders>
            <w:shd w:val="clear" w:color="auto" w:fill="D9D9D9" w:themeFill="background1" w:themeFillShade="D9"/>
            <w:vAlign w:val="center"/>
          </w:tcPr>
          <w:p w14:paraId="26292830" w14:textId="65A2F365" w:rsidR="00831EAE" w:rsidRPr="00831EAE" w:rsidRDefault="00831EAE" w:rsidP="003A02FE">
            <w:pPr>
              <w:pStyle w:val="PHEBulletpoint"/>
              <w:numPr>
                <w:ilvl w:val="0"/>
                <w:numId w:val="0"/>
              </w:numPr>
              <w:spacing w:before="10" w:after="10" w:line="300" w:lineRule="exact"/>
              <w:jc w:val="center"/>
              <w:rPr>
                <w:b/>
                <w:color w:val="98002E"/>
              </w:rPr>
            </w:pPr>
            <w:r>
              <w:rPr>
                <w:b/>
                <w:color w:val="98002E"/>
              </w:rPr>
              <w:t xml:space="preserve">WHAT </w:t>
            </w:r>
            <w:r w:rsidR="00D14635">
              <w:rPr>
                <w:b/>
                <w:color w:val="98002E"/>
              </w:rPr>
              <w:t>SHOULD I</w:t>
            </w:r>
            <w:r>
              <w:rPr>
                <w:b/>
                <w:color w:val="98002E"/>
              </w:rPr>
              <w:t xml:space="preserve"> DO IN ERADICATION FAILURE</w:t>
            </w:r>
            <w:r w:rsidR="002D3A16">
              <w:rPr>
                <w:b/>
                <w:color w:val="98002E"/>
              </w:rPr>
              <w:t>?</w:t>
            </w:r>
          </w:p>
        </w:tc>
      </w:tr>
      <w:tr w:rsidR="00831EAE" w:rsidRPr="0026246E" w14:paraId="2239109C" w14:textId="77777777" w:rsidTr="00831EAE">
        <w:tc>
          <w:tcPr>
            <w:tcW w:w="10916" w:type="dxa"/>
            <w:tcBorders>
              <w:right w:val="nil"/>
            </w:tcBorders>
            <w:shd w:val="clear" w:color="auto" w:fill="auto"/>
          </w:tcPr>
          <w:p w14:paraId="51576E8E" w14:textId="1E0290D8" w:rsidR="00831EAE" w:rsidRPr="00831EAE" w:rsidRDefault="00831EAE" w:rsidP="008901DD">
            <w:pPr>
              <w:pStyle w:val="PHEBulletpoint"/>
              <w:numPr>
                <w:ilvl w:val="0"/>
                <w:numId w:val="25"/>
              </w:numPr>
              <w:spacing w:before="10" w:after="10" w:line="300" w:lineRule="exact"/>
              <w:ind w:left="357" w:hanging="357"/>
              <w:rPr>
                <w:color w:val="98002E"/>
              </w:rPr>
            </w:pPr>
            <w:r w:rsidRPr="00831EAE">
              <w:t xml:space="preserve">Reassess </w:t>
            </w:r>
            <w:r w:rsidR="00552315">
              <w:t>need for eradic</w:t>
            </w:r>
            <w:r w:rsidR="00552315" w:rsidRPr="00301DE8">
              <w:t>ation.</w:t>
            </w:r>
            <w:hyperlink w:anchor="Reference2" w:history="1">
              <w:r w:rsidR="00491D89" w:rsidRPr="00301DE8">
                <w:rPr>
                  <w:rStyle w:val="Hyperlink"/>
                  <w:u w:val="none"/>
                  <w:vertAlign w:val="superscript"/>
                </w:rPr>
                <w:t>2D</w:t>
              </w:r>
            </w:hyperlink>
            <w:r w:rsidR="00552315" w:rsidRPr="00301DE8">
              <w:t xml:space="preserve"> In </w:t>
            </w:r>
            <w:r w:rsidR="00491D89" w:rsidRPr="00301DE8">
              <w:t xml:space="preserve">patients with </w:t>
            </w:r>
            <w:r w:rsidR="00552315" w:rsidRPr="00301DE8">
              <w:t>GORD</w:t>
            </w:r>
            <w:r w:rsidRPr="00301DE8">
              <w:t xml:space="preserve"> or non-ulcer dyspepsia, with no family history of cancer or peptic ulcer disease</w:t>
            </w:r>
            <w:r w:rsidR="00491D89" w:rsidRPr="00301DE8">
              <w:t>, a maintenance PPI may be appropriate.</w:t>
            </w:r>
            <w:hyperlink w:anchor="Reference2" w:history="1">
              <w:r w:rsidR="00491D89" w:rsidRPr="00301DE8">
                <w:rPr>
                  <w:rStyle w:val="Hyperlink"/>
                  <w:u w:val="none"/>
                  <w:vertAlign w:val="superscript"/>
                </w:rPr>
                <w:t>2D</w:t>
              </w:r>
            </w:hyperlink>
            <w:r w:rsidR="00491D89" w:rsidRPr="00301DE8">
              <w:rPr>
                <w:vertAlign w:val="superscript"/>
              </w:rPr>
              <w:t>,</w:t>
            </w:r>
            <w:hyperlink w:anchor="Reference26" w:history="1">
              <w:r w:rsidR="00A81DA3" w:rsidRPr="00301DE8">
                <w:rPr>
                  <w:rStyle w:val="Hyperlink"/>
                  <w:u w:val="none"/>
                  <w:vertAlign w:val="superscript"/>
                </w:rPr>
                <w:t>26</w:t>
              </w:r>
              <w:r w:rsidR="00491D89" w:rsidRPr="00301DE8">
                <w:rPr>
                  <w:rStyle w:val="Hyperlink"/>
                  <w:u w:val="none"/>
                  <w:vertAlign w:val="superscript"/>
                </w:rPr>
                <w:t>C</w:t>
              </w:r>
            </w:hyperlink>
          </w:p>
        </w:tc>
      </w:tr>
      <w:tr w:rsidR="00831EAE" w:rsidRPr="0026246E" w14:paraId="1864C867" w14:textId="77777777" w:rsidTr="003A02FE">
        <w:tc>
          <w:tcPr>
            <w:tcW w:w="10916" w:type="dxa"/>
            <w:tcBorders>
              <w:bottom w:val="single" w:sz="4" w:space="0" w:color="auto"/>
              <w:right w:val="single" w:sz="4" w:space="0" w:color="auto"/>
            </w:tcBorders>
            <w:shd w:val="clear" w:color="auto" w:fill="D9D9D9" w:themeFill="background1" w:themeFillShade="D9"/>
            <w:vAlign w:val="center"/>
          </w:tcPr>
          <w:p w14:paraId="3C7966AD" w14:textId="48CD78F6" w:rsidR="00831EAE" w:rsidRPr="00245DD2" w:rsidRDefault="00CD6DE1" w:rsidP="004C73E1">
            <w:pPr>
              <w:pStyle w:val="PHEBulletpoint"/>
              <w:numPr>
                <w:ilvl w:val="0"/>
                <w:numId w:val="0"/>
              </w:numPr>
              <w:spacing w:before="10" w:after="10" w:line="300" w:lineRule="exact"/>
              <w:jc w:val="center"/>
              <w:rPr>
                <w:b/>
                <w:color w:val="98002E"/>
              </w:rPr>
            </w:pPr>
            <w:r w:rsidRPr="00245DD2">
              <w:rPr>
                <w:b/>
                <w:color w:val="98002E"/>
              </w:rPr>
              <w:t xml:space="preserve">WHEN SHOULD I REFER FOR </w:t>
            </w:r>
            <w:r w:rsidR="004C73E1" w:rsidRPr="00245DD2">
              <w:rPr>
                <w:b/>
                <w:color w:val="98002E"/>
              </w:rPr>
              <w:t>ENDOSCOPY</w:t>
            </w:r>
            <w:r w:rsidR="0073175C" w:rsidRPr="00245DD2">
              <w:rPr>
                <w:b/>
                <w:color w:val="98002E"/>
              </w:rPr>
              <w:t>, CULTURE</w:t>
            </w:r>
            <w:r w:rsidRPr="00245DD2">
              <w:rPr>
                <w:b/>
                <w:color w:val="98002E"/>
              </w:rPr>
              <w:t xml:space="preserve"> AND SUSCEPTIBILITY TESTING?</w:t>
            </w:r>
          </w:p>
        </w:tc>
      </w:tr>
      <w:tr w:rsidR="00831EAE" w:rsidRPr="0026246E" w14:paraId="5A62A5C0" w14:textId="77777777" w:rsidTr="00831EAE">
        <w:tc>
          <w:tcPr>
            <w:tcW w:w="10916" w:type="dxa"/>
            <w:tcBorders>
              <w:right w:val="nil"/>
            </w:tcBorders>
            <w:shd w:val="clear" w:color="auto" w:fill="auto"/>
          </w:tcPr>
          <w:p w14:paraId="3BB87C8F" w14:textId="39A3E620" w:rsidR="004C73E1" w:rsidRPr="00301DE8" w:rsidRDefault="004C73E1" w:rsidP="008901DD">
            <w:pPr>
              <w:pStyle w:val="PHEBulletpoint"/>
              <w:numPr>
                <w:ilvl w:val="0"/>
                <w:numId w:val="25"/>
              </w:numPr>
              <w:spacing w:before="10" w:line="300" w:lineRule="exact"/>
              <w:ind w:left="357" w:hanging="357"/>
            </w:pPr>
            <w:r>
              <w:t>Patients in whom the choice of antibiotic is reduced due to hypersensitivity,</w:t>
            </w:r>
            <w:r w:rsidRPr="00301DE8">
              <w:t xml:space="preserve"> </w:t>
            </w:r>
            <w:r w:rsidR="00B725AC" w:rsidRPr="00301DE8">
              <w:t xml:space="preserve">known </w:t>
            </w:r>
            <w:r w:rsidRPr="00301DE8">
              <w:t>local high resistance rates, or previous use of clarithromycin</w:t>
            </w:r>
            <w:r w:rsidR="007E50E3" w:rsidRPr="00301DE8">
              <w:t>,</w:t>
            </w:r>
            <w:r w:rsidRPr="00301DE8">
              <w:t xml:space="preserve"> metronidazole, and a quinolone.</w:t>
            </w:r>
            <w:hyperlink w:anchor="Reference2" w:history="1">
              <w:r w:rsidRPr="00301DE8">
                <w:rPr>
                  <w:rStyle w:val="Hyperlink"/>
                  <w:u w:val="none"/>
                  <w:vertAlign w:val="superscript"/>
                </w:rPr>
                <w:t>2A-</w:t>
              </w:r>
            </w:hyperlink>
            <w:r w:rsidRPr="00301DE8">
              <w:rPr>
                <w:vertAlign w:val="superscript"/>
              </w:rPr>
              <w:t>,</w:t>
            </w:r>
            <w:hyperlink w:anchor="Reference11" w:history="1">
              <w:r w:rsidRPr="00301DE8">
                <w:rPr>
                  <w:rStyle w:val="Hyperlink"/>
                  <w:u w:val="none"/>
                  <w:vertAlign w:val="superscript"/>
                </w:rPr>
                <w:t>11D</w:t>
              </w:r>
            </w:hyperlink>
            <w:r w:rsidRPr="00301DE8">
              <w:rPr>
                <w:vertAlign w:val="superscript"/>
              </w:rPr>
              <w:t>,</w:t>
            </w:r>
            <w:hyperlink w:anchor="Reference28" w:history="1">
              <w:r w:rsidRPr="00301DE8">
                <w:rPr>
                  <w:rStyle w:val="Hyperlink"/>
                  <w:u w:val="none"/>
                  <w:vertAlign w:val="superscript"/>
                </w:rPr>
                <w:t>28D</w:t>
              </w:r>
            </w:hyperlink>
          </w:p>
          <w:p w14:paraId="21F0F789" w14:textId="2BA1BF42" w:rsidR="008901DD" w:rsidRPr="00301DE8" w:rsidRDefault="004C73E1" w:rsidP="008901DD">
            <w:pPr>
              <w:pStyle w:val="PHEBulletpoint"/>
              <w:numPr>
                <w:ilvl w:val="0"/>
                <w:numId w:val="25"/>
              </w:numPr>
              <w:spacing w:line="300" w:lineRule="exact"/>
              <w:ind w:left="357" w:hanging="357"/>
              <w:rPr>
                <w:rStyle w:val="Hyperlink"/>
                <w:color w:val="auto"/>
                <w:u w:val="none"/>
              </w:rPr>
            </w:pPr>
            <w:r w:rsidRPr="00301DE8">
              <w:t>Patients who have received two courses of antibiotic treatment, and remain HP positive.</w:t>
            </w:r>
            <w:hyperlink w:anchor="Reference2" w:history="1">
              <w:r w:rsidRPr="00301DE8">
                <w:rPr>
                  <w:rStyle w:val="Hyperlink"/>
                  <w:u w:val="none"/>
                  <w:vertAlign w:val="superscript"/>
                </w:rPr>
                <w:t>2D</w:t>
              </w:r>
            </w:hyperlink>
            <w:r w:rsidRPr="00301DE8">
              <w:rPr>
                <w:vertAlign w:val="superscript"/>
              </w:rPr>
              <w:t>,</w:t>
            </w:r>
            <w:hyperlink w:anchor="Reference11" w:history="1">
              <w:r w:rsidRPr="00301DE8">
                <w:rPr>
                  <w:rStyle w:val="Hyperlink"/>
                  <w:u w:val="none"/>
                  <w:vertAlign w:val="superscript"/>
                </w:rPr>
                <w:t>11D</w:t>
              </w:r>
            </w:hyperlink>
            <w:r w:rsidRPr="00301DE8">
              <w:rPr>
                <w:vertAlign w:val="superscript"/>
              </w:rPr>
              <w:t>,</w:t>
            </w:r>
            <w:hyperlink w:anchor="Reference28" w:history="1">
              <w:r w:rsidRPr="00301DE8">
                <w:rPr>
                  <w:rStyle w:val="Hyperlink"/>
                  <w:u w:val="none"/>
                  <w:vertAlign w:val="superscript"/>
                </w:rPr>
                <w:t>28D</w:t>
              </w:r>
            </w:hyperlink>
          </w:p>
          <w:p w14:paraId="492638ED" w14:textId="6612F850" w:rsidR="008901DD" w:rsidRPr="008901DD" w:rsidRDefault="008901DD" w:rsidP="008901DD">
            <w:pPr>
              <w:pStyle w:val="PHEBulletpoint"/>
              <w:numPr>
                <w:ilvl w:val="0"/>
                <w:numId w:val="25"/>
              </w:numPr>
              <w:spacing w:after="10" w:line="300" w:lineRule="exact"/>
              <w:ind w:left="357" w:hanging="357"/>
            </w:pPr>
            <w:r>
              <w:t xml:space="preserve">For any advice, speak to your local microbiologist, or the </w:t>
            </w:r>
            <w:hyperlink r:id="rId27" w:history="1">
              <w:r w:rsidRPr="00E8443B">
                <w:rPr>
                  <w:rStyle w:val="Hyperlink"/>
                  <w:i/>
                  <w:color w:val="9C002A"/>
                  <w:u w:val="none"/>
                </w:rPr>
                <w:t>Helicobacter</w:t>
              </w:r>
              <w:r w:rsidRPr="00E8443B">
                <w:rPr>
                  <w:rStyle w:val="Hyperlink"/>
                  <w:color w:val="9C002A"/>
                  <w:u w:val="none"/>
                </w:rPr>
                <w:t xml:space="preserve"> Reference Laboratory</w:t>
              </w:r>
            </w:hyperlink>
            <w:r>
              <w:t>.</w:t>
            </w:r>
          </w:p>
        </w:tc>
      </w:tr>
    </w:tbl>
    <w:p w14:paraId="153F8DC2" w14:textId="77777777" w:rsidR="00452D42" w:rsidRDefault="00452D42" w:rsidP="00845187">
      <w:pPr>
        <w:rPr>
          <w:b/>
          <w:color w:val="98002E"/>
        </w:rPr>
      </w:pPr>
    </w:p>
    <w:p w14:paraId="3EB1004E" w14:textId="422E126F" w:rsidR="00845187" w:rsidRPr="00845187" w:rsidRDefault="00845187" w:rsidP="00845187">
      <w:pPr>
        <w:rPr>
          <w:b/>
          <w:color w:val="98002E"/>
        </w:rPr>
      </w:pPr>
      <w:r w:rsidRPr="00845187">
        <w:rPr>
          <w:b/>
          <w:color w:val="98002E"/>
        </w:rPr>
        <w:t>GRADING OF GUIDANCE RECOMMENDATIONS</w:t>
      </w:r>
    </w:p>
    <w:p w14:paraId="2765786B" w14:textId="77777777" w:rsidR="00845187" w:rsidRDefault="00845187" w:rsidP="00845187"/>
    <w:p w14:paraId="7AC970AB" w14:textId="3B701FE5" w:rsidR="00845187" w:rsidRDefault="00845187" w:rsidP="00845187">
      <w:r>
        <w:t>The strength of each recommendation is qualified by a letter in parenthesis.</w:t>
      </w:r>
      <w:r w:rsidR="00D54E45">
        <w:t xml:space="preserve"> This is an altered </w:t>
      </w:r>
      <w:r w:rsidR="002D483F">
        <w:t>version of the grading recommendation system</w:t>
      </w:r>
      <w:r w:rsidR="00D54E45">
        <w:t xml:space="preserve"> used by </w:t>
      </w:r>
      <w:hyperlink r:id="rId28" w:history="1">
        <w:r w:rsidR="00D54E45" w:rsidRPr="00D54E45">
          <w:rPr>
            <w:rStyle w:val="Hyperlink"/>
            <w:color w:val="98002E"/>
            <w:u w:val="none"/>
          </w:rPr>
          <w:t>SIGN</w:t>
        </w:r>
      </w:hyperlink>
      <w:r w:rsidR="00D54E45">
        <w:t>.</w:t>
      </w:r>
    </w:p>
    <w:p w14:paraId="1CF43B1F" w14:textId="77777777" w:rsidR="00845187" w:rsidRDefault="00845187" w:rsidP="00845187"/>
    <w:tbl>
      <w:tblPr>
        <w:tblStyle w:val="TableGrid"/>
        <w:tblW w:w="0" w:type="auto"/>
        <w:tblLook w:val="04A0" w:firstRow="1" w:lastRow="0" w:firstColumn="1" w:lastColumn="0" w:noHBand="0" w:noVBand="1"/>
      </w:tblPr>
      <w:tblGrid>
        <w:gridCol w:w="6724"/>
        <w:gridCol w:w="3584"/>
      </w:tblGrid>
      <w:tr w:rsidR="00845187" w:rsidRPr="0026246E" w14:paraId="38BFFBD7" w14:textId="77777777" w:rsidTr="008E3258">
        <w:tc>
          <w:tcPr>
            <w:tcW w:w="6912" w:type="dxa"/>
            <w:shd w:val="clear" w:color="auto" w:fill="E5B8B7" w:themeFill="accent2" w:themeFillTint="66"/>
            <w:vAlign w:val="center"/>
          </w:tcPr>
          <w:p w14:paraId="608CD66C" w14:textId="77777777" w:rsidR="00845187" w:rsidRPr="00E6343B" w:rsidRDefault="00845187" w:rsidP="008E3258">
            <w:pPr>
              <w:spacing w:before="10" w:after="10"/>
              <w:jc w:val="center"/>
              <w:rPr>
                <w:rFonts w:cs="Arial"/>
                <w:b/>
                <w:szCs w:val="24"/>
              </w:rPr>
            </w:pPr>
            <w:r w:rsidRPr="00E6343B">
              <w:rPr>
                <w:rFonts w:cs="Arial"/>
                <w:b/>
                <w:szCs w:val="24"/>
              </w:rPr>
              <w:t>STUDY DESIGN</w:t>
            </w:r>
          </w:p>
        </w:tc>
        <w:tc>
          <w:tcPr>
            <w:tcW w:w="3622" w:type="dxa"/>
            <w:shd w:val="clear" w:color="auto" w:fill="E5B8B7" w:themeFill="accent2" w:themeFillTint="66"/>
            <w:vAlign w:val="center"/>
          </w:tcPr>
          <w:p w14:paraId="160AD5FD" w14:textId="77777777" w:rsidR="00845187" w:rsidRPr="00E6343B" w:rsidRDefault="00845187" w:rsidP="008E3258">
            <w:pPr>
              <w:spacing w:before="10" w:after="10"/>
              <w:jc w:val="center"/>
              <w:rPr>
                <w:rFonts w:cs="Arial"/>
                <w:b/>
                <w:szCs w:val="24"/>
              </w:rPr>
            </w:pPr>
            <w:r w:rsidRPr="00E6343B">
              <w:rPr>
                <w:rFonts w:cs="Arial"/>
                <w:b/>
                <w:szCs w:val="24"/>
              </w:rPr>
              <w:t>RECOMMENDATION GRADE</w:t>
            </w:r>
          </w:p>
        </w:tc>
      </w:tr>
      <w:tr w:rsidR="00845187" w:rsidRPr="0026246E" w14:paraId="5020E4A4" w14:textId="77777777" w:rsidTr="008E3258">
        <w:tc>
          <w:tcPr>
            <w:tcW w:w="6912" w:type="dxa"/>
            <w:vAlign w:val="center"/>
          </w:tcPr>
          <w:p w14:paraId="382D3209" w14:textId="304D0D1E" w:rsidR="00845187" w:rsidRPr="00E6343B" w:rsidRDefault="00845187" w:rsidP="008E3258">
            <w:pPr>
              <w:spacing w:before="10" w:after="10"/>
              <w:rPr>
                <w:rFonts w:cs="Arial"/>
                <w:szCs w:val="24"/>
              </w:rPr>
            </w:pPr>
            <w:r w:rsidRPr="00E6343B">
              <w:rPr>
                <w:rFonts w:cs="Arial"/>
                <w:szCs w:val="24"/>
              </w:rPr>
              <w:t>Good recent systematic review</w:t>
            </w:r>
            <w:r w:rsidR="00D54E45">
              <w:rPr>
                <w:rFonts w:cs="Arial"/>
                <w:szCs w:val="24"/>
              </w:rPr>
              <w:t xml:space="preserve"> and meta-analysis</w:t>
            </w:r>
            <w:r w:rsidRPr="00E6343B">
              <w:rPr>
                <w:rFonts w:cs="Arial"/>
                <w:szCs w:val="24"/>
              </w:rPr>
              <w:t xml:space="preserve"> of studies</w:t>
            </w:r>
          </w:p>
        </w:tc>
        <w:tc>
          <w:tcPr>
            <w:tcW w:w="3622" w:type="dxa"/>
            <w:vAlign w:val="center"/>
          </w:tcPr>
          <w:p w14:paraId="38E54F53" w14:textId="77777777" w:rsidR="00845187" w:rsidRPr="00E6343B" w:rsidRDefault="00845187" w:rsidP="008E3258">
            <w:pPr>
              <w:spacing w:before="10" w:after="10"/>
              <w:jc w:val="center"/>
              <w:rPr>
                <w:rFonts w:cs="Arial"/>
                <w:szCs w:val="24"/>
              </w:rPr>
            </w:pPr>
            <w:r w:rsidRPr="00E6343B">
              <w:rPr>
                <w:rFonts w:cs="Arial"/>
                <w:szCs w:val="24"/>
              </w:rPr>
              <w:t>A+</w:t>
            </w:r>
          </w:p>
        </w:tc>
      </w:tr>
      <w:tr w:rsidR="00845187" w:rsidRPr="0026246E" w14:paraId="69F0CAA9" w14:textId="77777777" w:rsidTr="008E3258">
        <w:tc>
          <w:tcPr>
            <w:tcW w:w="6912" w:type="dxa"/>
            <w:vAlign w:val="center"/>
          </w:tcPr>
          <w:p w14:paraId="18F037FB" w14:textId="3D2D777E" w:rsidR="00845187" w:rsidRPr="00E6343B" w:rsidRDefault="00845187" w:rsidP="00D54E45">
            <w:pPr>
              <w:spacing w:before="10" w:after="10"/>
              <w:rPr>
                <w:rFonts w:cs="Arial"/>
                <w:szCs w:val="24"/>
              </w:rPr>
            </w:pPr>
            <w:r w:rsidRPr="00E6343B">
              <w:rPr>
                <w:rFonts w:cs="Arial"/>
                <w:szCs w:val="24"/>
              </w:rPr>
              <w:t>One or more rigorous studies</w:t>
            </w:r>
            <w:r w:rsidR="00A23435">
              <w:rPr>
                <w:rFonts w:cs="Arial"/>
                <w:szCs w:val="24"/>
              </w:rPr>
              <w:t>;</w:t>
            </w:r>
            <w:r w:rsidR="00451C95">
              <w:rPr>
                <w:rFonts w:cs="Arial"/>
                <w:szCs w:val="24"/>
              </w:rPr>
              <w:t xml:space="preserve"> randomised controlled trials</w:t>
            </w:r>
          </w:p>
        </w:tc>
        <w:tc>
          <w:tcPr>
            <w:tcW w:w="3622" w:type="dxa"/>
            <w:vAlign w:val="center"/>
          </w:tcPr>
          <w:p w14:paraId="52A047D6" w14:textId="77777777" w:rsidR="00845187" w:rsidRPr="00E6343B" w:rsidRDefault="00845187" w:rsidP="008E3258">
            <w:pPr>
              <w:spacing w:before="10" w:after="10"/>
              <w:jc w:val="center"/>
              <w:rPr>
                <w:rFonts w:cs="Arial"/>
                <w:szCs w:val="24"/>
              </w:rPr>
            </w:pPr>
            <w:r w:rsidRPr="00E6343B">
              <w:rPr>
                <w:rFonts w:cs="Arial"/>
                <w:szCs w:val="24"/>
              </w:rPr>
              <w:t>A-</w:t>
            </w:r>
          </w:p>
        </w:tc>
      </w:tr>
      <w:tr w:rsidR="00845187" w:rsidRPr="0026246E" w14:paraId="63382ADA" w14:textId="77777777" w:rsidTr="008E3258">
        <w:tc>
          <w:tcPr>
            <w:tcW w:w="6912" w:type="dxa"/>
            <w:vAlign w:val="center"/>
          </w:tcPr>
          <w:p w14:paraId="559BA124" w14:textId="77777777" w:rsidR="00845187" w:rsidRPr="00E6343B" w:rsidRDefault="00845187" w:rsidP="008E3258">
            <w:pPr>
              <w:spacing w:before="10" w:after="10"/>
              <w:rPr>
                <w:rFonts w:cs="Arial"/>
                <w:szCs w:val="24"/>
              </w:rPr>
            </w:pPr>
            <w:r w:rsidRPr="00E6343B">
              <w:rPr>
                <w:rFonts w:cs="Arial"/>
                <w:szCs w:val="24"/>
              </w:rPr>
              <w:t>One or more prospective studies</w:t>
            </w:r>
          </w:p>
        </w:tc>
        <w:tc>
          <w:tcPr>
            <w:tcW w:w="3622" w:type="dxa"/>
            <w:vAlign w:val="center"/>
          </w:tcPr>
          <w:p w14:paraId="4E81C38F" w14:textId="77777777" w:rsidR="00845187" w:rsidRPr="00E6343B" w:rsidRDefault="00845187" w:rsidP="008E3258">
            <w:pPr>
              <w:spacing w:before="10" w:after="10"/>
              <w:jc w:val="center"/>
              <w:rPr>
                <w:rFonts w:cs="Arial"/>
                <w:szCs w:val="24"/>
              </w:rPr>
            </w:pPr>
            <w:r w:rsidRPr="00E6343B">
              <w:rPr>
                <w:rFonts w:cs="Arial"/>
                <w:szCs w:val="24"/>
              </w:rPr>
              <w:t>B+</w:t>
            </w:r>
          </w:p>
        </w:tc>
      </w:tr>
      <w:tr w:rsidR="00845187" w:rsidRPr="0026246E" w14:paraId="09D01658" w14:textId="77777777" w:rsidTr="008E3258">
        <w:tc>
          <w:tcPr>
            <w:tcW w:w="6912" w:type="dxa"/>
            <w:vAlign w:val="center"/>
          </w:tcPr>
          <w:p w14:paraId="7CD0C83B" w14:textId="77777777" w:rsidR="00845187" w:rsidRPr="00E6343B" w:rsidRDefault="00845187" w:rsidP="008E3258">
            <w:pPr>
              <w:spacing w:before="10" w:after="10"/>
              <w:rPr>
                <w:rFonts w:cs="Arial"/>
                <w:szCs w:val="24"/>
              </w:rPr>
            </w:pPr>
            <w:r w:rsidRPr="00E6343B">
              <w:rPr>
                <w:rFonts w:cs="Arial"/>
                <w:szCs w:val="24"/>
              </w:rPr>
              <w:t>One or more retrospective studies</w:t>
            </w:r>
          </w:p>
        </w:tc>
        <w:tc>
          <w:tcPr>
            <w:tcW w:w="3622" w:type="dxa"/>
            <w:vAlign w:val="center"/>
          </w:tcPr>
          <w:p w14:paraId="709E73DF" w14:textId="77777777" w:rsidR="00845187" w:rsidRPr="00E6343B" w:rsidRDefault="00845187" w:rsidP="008E3258">
            <w:pPr>
              <w:spacing w:before="10" w:after="10"/>
              <w:jc w:val="center"/>
              <w:rPr>
                <w:rFonts w:cs="Arial"/>
                <w:szCs w:val="24"/>
              </w:rPr>
            </w:pPr>
            <w:r w:rsidRPr="00E6343B">
              <w:rPr>
                <w:rFonts w:cs="Arial"/>
                <w:szCs w:val="24"/>
              </w:rPr>
              <w:t>B-</w:t>
            </w:r>
          </w:p>
        </w:tc>
      </w:tr>
      <w:tr w:rsidR="00845187" w:rsidRPr="0026246E" w14:paraId="49300D23" w14:textId="77777777" w:rsidTr="008E3258">
        <w:tc>
          <w:tcPr>
            <w:tcW w:w="6912" w:type="dxa"/>
            <w:vAlign w:val="center"/>
          </w:tcPr>
          <w:p w14:paraId="0EF5E9D7" w14:textId="064033DF" w:rsidR="00845187" w:rsidRPr="00E6343B" w:rsidRDefault="00D54E45" w:rsidP="008E3258">
            <w:pPr>
              <w:spacing w:before="10" w:after="10"/>
              <w:rPr>
                <w:rFonts w:cs="Arial"/>
                <w:szCs w:val="24"/>
              </w:rPr>
            </w:pPr>
            <w:r>
              <w:rPr>
                <w:rFonts w:cs="Arial"/>
                <w:szCs w:val="24"/>
              </w:rPr>
              <w:t>N</w:t>
            </w:r>
            <w:r w:rsidR="008A60B5">
              <w:rPr>
                <w:rFonts w:cs="Arial"/>
                <w:szCs w:val="24"/>
              </w:rPr>
              <w:t xml:space="preserve">on-analytic studies, </w:t>
            </w:r>
            <w:proofErr w:type="spellStart"/>
            <w:r w:rsidR="008A60B5">
              <w:rPr>
                <w:rFonts w:cs="Arial"/>
                <w:szCs w:val="24"/>
              </w:rPr>
              <w:t>eg</w:t>
            </w:r>
            <w:proofErr w:type="spellEnd"/>
            <w:r w:rsidR="00A23435">
              <w:rPr>
                <w:rFonts w:cs="Arial"/>
                <w:szCs w:val="24"/>
              </w:rPr>
              <w:t xml:space="preserve"> </w:t>
            </w:r>
            <w:r>
              <w:rPr>
                <w:rFonts w:cs="Arial"/>
                <w:szCs w:val="24"/>
              </w:rPr>
              <w:t>case reports or case series</w:t>
            </w:r>
          </w:p>
        </w:tc>
        <w:tc>
          <w:tcPr>
            <w:tcW w:w="3622" w:type="dxa"/>
            <w:vAlign w:val="center"/>
          </w:tcPr>
          <w:p w14:paraId="0B18959B" w14:textId="77777777" w:rsidR="00845187" w:rsidRPr="00E6343B" w:rsidRDefault="00845187" w:rsidP="008E3258">
            <w:pPr>
              <w:spacing w:before="10" w:after="10"/>
              <w:jc w:val="center"/>
              <w:rPr>
                <w:rFonts w:cs="Arial"/>
                <w:szCs w:val="24"/>
              </w:rPr>
            </w:pPr>
            <w:r w:rsidRPr="00E6343B">
              <w:rPr>
                <w:rFonts w:cs="Arial"/>
                <w:szCs w:val="24"/>
              </w:rPr>
              <w:t>C</w:t>
            </w:r>
          </w:p>
        </w:tc>
      </w:tr>
      <w:tr w:rsidR="00845187" w:rsidRPr="0026246E" w14:paraId="22C6A911" w14:textId="77777777" w:rsidTr="008E3258">
        <w:tc>
          <w:tcPr>
            <w:tcW w:w="6912" w:type="dxa"/>
            <w:vAlign w:val="center"/>
          </w:tcPr>
          <w:p w14:paraId="5374C989" w14:textId="5227CA55" w:rsidR="00845187" w:rsidRPr="00E6343B" w:rsidRDefault="00D54E45" w:rsidP="008E3258">
            <w:pPr>
              <w:spacing w:before="10" w:after="10"/>
              <w:rPr>
                <w:rFonts w:cs="Arial"/>
                <w:szCs w:val="24"/>
              </w:rPr>
            </w:pPr>
            <w:r>
              <w:rPr>
                <w:rFonts w:cs="Arial"/>
                <w:szCs w:val="24"/>
              </w:rPr>
              <w:t>Formal combination of expert opinion</w:t>
            </w:r>
          </w:p>
        </w:tc>
        <w:tc>
          <w:tcPr>
            <w:tcW w:w="3622" w:type="dxa"/>
            <w:vAlign w:val="center"/>
          </w:tcPr>
          <w:p w14:paraId="42647419" w14:textId="77777777" w:rsidR="00845187" w:rsidRPr="00E6343B" w:rsidRDefault="00845187" w:rsidP="008E3258">
            <w:pPr>
              <w:spacing w:before="10" w:after="10"/>
              <w:jc w:val="center"/>
              <w:rPr>
                <w:rFonts w:cs="Arial"/>
                <w:szCs w:val="24"/>
              </w:rPr>
            </w:pPr>
            <w:r w:rsidRPr="00E6343B">
              <w:rPr>
                <w:rFonts w:cs="Arial"/>
                <w:szCs w:val="24"/>
              </w:rPr>
              <w:t>D</w:t>
            </w:r>
          </w:p>
        </w:tc>
      </w:tr>
    </w:tbl>
    <w:p w14:paraId="3A50BDAE" w14:textId="77777777" w:rsidR="00845187" w:rsidRDefault="00845187" w:rsidP="00845187"/>
    <w:p w14:paraId="46898125" w14:textId="77777777" w:rsidR="00845187" w:rsidRDefault="00845187" w:rsidP="00845187"/>
    <w:p w14:paraId="242C467A" w14:textId="3606CCE0" w:rsidR="00845187" w:rsidRDefault="00845187" w:rsidP="00845187">
      <w:r>
        <w:t>This guidance</w:t>
      </w:r>
      <w:r w:rsidR="00D40407">
        <w:t xml:space="preserve"> was originally produced in 2004</w:t>
      </w:r>
      <w:r>
        <w:t xml:space="preserve"> by the South West GP Microbiology Laboratory Use Group, in collaboration with the Association of Medica</w:t>
      </w:r>
      <w:r w:rsidR="00D14635">
        <w:t>l Microbiologists, g</w:t>
      </w:r>
      <w:r w:rsidR="00451C95">
        <w:t xml:space="preserve">eneral </w:t>
      </w:r>
      <w:r w:rsidR="00D14635">
        <w:t>p</w:t>
      </w:r>
      <w:r w:rsidR="00451C95">
        <w:t>ractitioners</w:t>
      </w:r>
      <w:r>
        <w:t>, nurses and specialists in the field. This guidance was reviewed and updated in 2016, with input from Prof</w:t>
      </w:r>
      <w:r w:rsidR="008A60B5">
        <w:t>essor</w:t>
      </w:r>
      <w:r>
        <w:t xml:space="preserve"> Cli</w:t>
      </w:r>
      <w:r w:rsidR="00D40407">
        <w:t xml:space="preserve">odna McNulty; </w:t>
      </w:r>
      <w:r w:rsidR="00380947">
        <w:t>Dr Philippa Moore;</w:t>
      </w:r>
      <w:r w:rsidR="00D14635">
        <w:t xml:space="preserve"> </w:t>
      </w:r>
      <w:r w:rsidR="00D40407">
        <w:t xml:space="preserve">Dr </w:t>
      </w:r>
      <w:proofErr w:type="spellStart"/>
      <w:r w:rsidR="00D40407">
        <w:t>Teh</w:t>
      </w:r>
      <w:proofErr w:type="spellEnd"/>
      <w:r w:rsidR="00D40407">
        <w:t xml:space="preserve"> Li Chin</w:t>
      </w:r>
      <w:r>
        <w:t xml:space="preserve">; </w:t>
      </w:r>
      <w:r w:rsidR="00D86868">
        <w:t xml:space="preserve">the British Society of Gastroenterology (BSG); </w:t>
      </w:r>
      <w:r w:rsidR="00451C95">
        <w:t xml:space="preserve">the </w:t>
      </w:r>
      <w:r>
        <w:t>A</w:t>
      </w:r>
      <w:r w:rsidR="0016609C">
        <w:t xml:space="preserve">dvisory Committee on Antimicrobial </w:t>
      </w:r>
      <w:r>
        <w:t>R</w:t>
      </w:r>
      <w:r w:rsidR="0016609C">
        <w:t xml:space="preserve">esistance and </w:t>
      </w:r>
      <w:r>
        <w:t>H</w:t>
      </w:r>
      <w:r w:rsidR="0016609C">
        <w:t xml:space="preserve">ealthcare </w:t>
      </w:r>
      <w:r>
        <w:t>A</w:t>
      </w:r>
      <w:r w:rsidR="0016609C">
        <w:t xml:space="preserve">ssociated </w:t>
      </w:r>
      <w:r>
        <w:t>I</w:t>
      </w:r>
      <w:r w:rsidR="0016609C">
        <w:t>nfection (ARHAI)</w:t>
      </w:r>
      <w:r>
        <w:t xml:space="preserve">; </w:t>
      </w:r>
      <w:r w:rsidR="00451C95">
        <w:t xml:space="preserve">the </w:t>
      </w:r>
      <w:r>
        <w:t>B</w:t>
      </w:r>
      <w:r w:rsidR="0016609C">
        <w:t xml:space="preserve">ritish </w:t>
      </w:r>
      <w:r>
        <w:t>S</w:t>
      </w:r>
      <w:r w:rsidR="0016609C">
        <w:t xml:space="preserve">ociety for </w:t>
      </w:r>
      <w:r>
        <w:t>A</w:t>
      </w:r>
      <w:r w:rsidR="0016609C">
        <w:t xml:space="preserve">ntimicrobial </w:t>
      </w:r>
      <w:r>
        <w:t>C</w:t>
      </w:r>
      <w:r w:rsidR="0016609C">
        <w:t>hemotherapy (BSAC)</w:t>
      </w:r>
      <w:r>
        <w:t xml:space="preserve">; </w:t>
      </w:r>
      <w:r w:rsidR="00451C95">
        <w:t xml:space="preserve">the </w:t>
      </w:r>
      <w:r>
        <w:t>B</w:t>
      </w:r>
      <w:r w:rsidR="0016609C">
        <w:t xml:space="preserve">ritish </w:t>
      </w:r>
      <w:r>
        <w:t>I</w:t>
      </w:r>
      <w:r w:rsidR="0016609C">
        <w:t xml:space="preserve">nfection </w:t>
      </w:r>
      <w:r>
        <w:t>A</w:t>
      </w:r>
      <w:r w:rsidR="0016609C">
        <w:t>ssociation (BIA)</w:t>
      </w:r>
      <w:r>
        <w:t xml:space="preserve">; </w:t>
      </w:r>
      <w:r w:rsidR="00451C95">
        <w:t xml:space="preserve">the </w:t>
      </w:r>
      <w:r>
        <w:t>R</w:t>
      </w:r>
      <w:r w:rsidR="0016609C">
        <w:t xml:space="preserve">oyal </w:t>
      </w:r>
      <w:r>
        <w:t>C</w:t>
      </w:r>
      <w:r w:rsidR="0016609C">
        <w:t xml:space="preserve">ollege of </w:t>
      </w:r>
      <w:r>
        <w:t>G</w:t>
      </w:r>
      <w:r w:rsidR="0016609C">
        <w:t xml:space="preserve">eneral </w:t>
      </w:r>
      <w:r>
        <w:t>P</w:t>
      </w:r>
      <w:r w:rsidR="0016609C">
        <w:t>ractitioners (RCGP)</w:t>
      </w:r>
      <w:r>
        <w:t xml:space="preserve">; </w:t>
      </w:r>
      <w:r w:rsidR="00451C95">
        <w:t xml:space="preserve">the </w:t>
      </w:r>
      <w:r>
        <w:t>R</w:t>
      </w:r>
      <w:r w:rsidR="0016609C">
        <w:t xml:space="preserve">oyal </w:t>
      </w:r>
      <w:r>
        <w:t>C</w:t>
      </w:r>
      <w:r w:rsidR="0016609C">
        <w:t xml:space="preserve">ollege of </w:t>
      </w:r>
      <w:r>
        <w:t>N</w:t>
      </w:r>
      <w:r w:rsidR="00D14635">
        <w:t>ursing (RCN); general p</w:t>
      </w:r>
      <w:r w:rsidR="00F82363">
        <w:t xml:space="preserve">ractitioners; </w:t>
      </w:r>
      <w:r>
        <w:t>specialists in the field</w:t>
      </w:r>
      <w:r w:rsidR="00F82363">
        <w:t>; and patient representatives</w:t>
      </w:r>
      <w:r>
        <w:t xml:space="preserve">. </w:t>
      </w:r>
      <w:r w:rsidR="00F82363">
        <w:t xml:space="preserve">Full consensus of the recommendations made was given by all guidance developers and reviewers prior to the dissemination of this guidance. All comments received have been reviewed and incorporated into the guidance, where appropriate. For detailed information regarding the comments provided and action taken, please email </w:t>
      </w:r>
      <w:hyperlink r:id="rId29" w:history="1">
        <w:r w:rsidR="005D6938">
          <w:rPr>
            <w:rStyle w:val="Hyperlink"/>
            <w:u w:val="none"/>
          </w:rPr>
          <w:t>TARGETAntibiotics@phe.gov.uk</w:t>
        </w:r>
      </w:hyperlink>
      <w:r w:rsidR="00F82363">
        <w:t xml:space="preserve">. </w:t>
      </w:r>
      <w:r>
        <w:t xml:space="preserve">Public Health England works closely with the authors of the </w:t>
      </w:r>
      <w:hyperlink r:id="rId30" w:history="1">
        <w:r w:rsidRPr="000A35A2">
          <w:rPr>
            <w:rStyle w:val="Hyperlink"/>
            <w:color w:val="98002E"/>
            <w:u w:val="none"/>
          </w:rPr>
          <w:t>Clinical Knowledge Summaries</w:t>
        </w:r>
      </w:hyperlink>
      <w:r>
        <w:t>.</w:t>
      </w:r>
    </w:p>
    <w:p w14:paraId="51988E96" w14:textId="77777777" w:rsidR="00845187" w:rsidRDefault="00845187" w:rsidP="00845187"/>
    <w:p w14:paraId="64A2E948" w14:textId="0102CEF6" w:rsidR="00845187" w:rsidRDefault="00845187" w:rsidP="00845187">
      <w:r>
        <w:t xml:space="preserve">If you would like to receive a copy of this guidance with the most recent changes highlighted, please email </w:t>
      </w:r>
      <w:hyperlink r:id="rId31" w:history="1">
        <w:r w:rsidR="005D6938">
          <w:rPr>
            <w:rStyle w:val="Hyperlink"/>
            <w:color w:val="98002E"/>
            <w:u w:val="none"/>
          </w:rPr>
          <w:t>TARGETAntibiotics@phe.gov.uk</w:t>
        </w:r>
      </w:hyperlink>
      <w:r>
        <w:t>.</w:t>
      </w:r>
    </w:p>
    <w:p w14:paraId="1C8FC7A8" w14:textId="77777777" w:rsidR="00F82363" w:rsidRDefault="00F82363" w:rsidP="00845187"/>
    <w:p w14:paraId="52EB4728" w14:textId="6600A7D7" w:rsidR="00F82363" w:rsidRDefault="00F82363" w:rsidP="00845187">
      <w:r>
        <w:t xml:space="preserve">For detailed information regarding the search strategies implemented and full literature search results, please email </w:t>
      </w:r>
      <w:hyperlink r:id="rId32" w:history="1">
        <w:r w:rsidR="005D6938">
          <w:rPr>
            <w:rStyle w:val="Hyperlink"/>
            <w:u w:val="none"/>
          </w:rPr>
          <w:t>TARGETAntibiotics@phe.gov.uk</w:t>
        </w:r>
      </w:hyperlink>
      <w:r>
        <w:t>.</w:t>
      </w:r>
    </w:p>
    <w:p w14:paraId="0650D46D" w14:textId="77777777" w:rsidR="00845187" w:rsidRDefault="00845187" w:rsidP="00845187"/>
    <w:p w14:paraId="65F209ED" w14:textId="77777777" w:rsidR="00845187" w:rsidRDefault="00845187" w:rsidP="00845187"/>
    <w:p w14:paraId="1173A902" w14:textId="77777777" w:rsidR="00845187" w:rsidRDefault="00845187" w:rsidP="00845187"/>
    <w:p w14:paraId="1D277863" w14:textId="77777777" w:rsidR="00845187" w:rsidRDefault="00845187" w:rsidP="00845187"/>
    <w:p w14:paraId="0E422C75" w14:textId="77777777" w:rsidR="00845187" w:rsidRDefault="00845187" w:rsidP="00845187"/>
    <w:p w14:paraId="1BB04AB7" w14:textId="77777777" w:rsidR="00845187" w:rsidRDefault="00845187" w:rsidP="00845187"/>
    <w:p w14:paraId="552F0986" w14:textId="77777777" w:rsidR="00845187" w:rsidRDefault="00845187" w:rsidP="00845187"/>
    <w:p w14:paraId="088D389E" w14:textId="77777777" w:rsidR="00845187" w:rsidRDefault="00845187" w:rsidP="00845187"/>
    <w:p w14:paraId="2CC1BE32" w14:textId="77777777" w:rsidR="00845187" w:rsidRDefault="00845187" w:rsidP="00845187"/>
    <w:p w14:paraId="1FAA51DE" w14:textId="77777777" w:rsidR="00845187" w:rsidRDefault="00845187" w:rsidP="00845187"/>
    <w:p w14:paraId="5AEEC8BF" w14:textId="77777777" w:rsidR="008901DD" w:rsidRDefault="008901DD" w:rsidP="008901DD">
      <w:pPr>
        <w:spacing w:line="280" w:lineRule="exact"/>
      </w:pPr>
    </w:p>
    <w:p w14:paraId="0B132CC0" w14:textId="06A9ED03" w:rsidR="00845187" w:rsidRPr="00151217" w:rsidRDefault="00845187" w:rsidP="00845187">
      <w:pPr>
        <w:pStyle w:val="PHEHeading"/>
      </w:pPr>
      <w:bookmarkStart w:id="6" w:name="_Toc453254021"/>
      <w:r>
        <w:t>References</w:t>
      </w:r>
      <w:bookmarkEnd w:id="6"/>
      <w:r w:rsidR="006C3875">
        <w:t xml:space="preserve"> and rationale</w:t>
      </w:r>
    </w:p>
    <w:p w14:paraId="2D578142" w14:textId="75C19EEE" w:rsidR="00F537FE" w:rsidRDefault="00F537FE" w:rsidP="009E1133">
      <w:pPr>
        <w:pStyle w:val="PHEBulletpoint"/>
        <w:numPr>
          <w:ilvl w:val="0"/>
          <w:numId w:val="39"/>
        </w:numPr>
        <w:ind w:left="357" w:hanging="357"/>
        <w:rPr>
          <w:color w:val="FF0000"/>
        </w:rPr>
      </w:pPr>
      <w:bookmarkStart w:id="7" w:name="Reference1"/>
      <w:bookmarkEnd w:id="7"/>
      <w:r>
        <w:t xml:space="preserve">National Institute for Health and Care Excellence (NICE). Suspected cancer: recognition and referral. 2015 Jun. Available from: </w:t>
      </w:r>
      <w:hyperlink r:id="rId33" w:history="1">
        <w:r w:rsidRPr="0080025E">
          <w:rPr>
            <w:rStyle w:val="Hyperlink"/>
            <w:color w:val="98002E"/>
            <w:u w:val="none"/>
          </w:rPr>
          <w:t>https://www.nice.org.uk/guidance/ng12</w:t>
        </w:r>
      </w:hyperlink>
      <w:r>
        <w:t>.</w:t>
      </w:r>
    </w:p>
    <w:p w14:paraId="4A161276" w14:textId="085B4985" w:rsidR="00F537FE" w:rsidRDefault="00F537FE" w:rsidP="00D164A1">
      <w:pPr>
        <w:pStyle w:val="PHEBulletpoint"/>
        <w:numPr>
          <w:ilvl w:val="0"/>
          <w:numId w:val="0"/>
        </w:numPr>
        <w:ind w:left="720"/>
      </w:pPr>
      <w:r w:rsidRPr="00071B87">
        <w:t>RATIONALE:</w:t>
      </w:r>
      <w:r w:rsidRPr="00BE5EF3">
        <w:t xml:space="preserve"> A NICE guideline indicating that patients presenting with symptoms suggestive of upper-gastrointestinal cancer should be referred to a specialist team. </w:t>
      </w:r>
      <w:r w:rsidRPr="00546D76">
        <w:rPr>
          <w:i/>
        </w:rPr>
        <w:t>Helicobacter pylori</w:t>
      </w:r>
      <w:r w:rsidRPr="00BE5EF3">
        <w:t xml:space="preserve"> status should not affect the decision to refer for suspected cancer.</w:t>
      </w:r>
      <w:r>
        <w:rPr>
          <w:color w:val="FF0000"/>
        </w:rPr>
        <w:t xml:space="preserve"> </w:t>
      </w:r>
      <w:r w:rsidRPr="00BE5EF3">
        <w:t xml:space="preserve">Patients aged 55 years or older, with recent onset, unexplained </w:t>
      </w:r>
      <w:r w:rsidR="006A4412">
        <w:t>and persistent dyspepsia (over 4-6</w:t>
      </w:r>
      <w:r w:rsidRPr="00BE5EF3">
        <w:t xml:space="preserve"> weeks)</w:t>
      </w:r>
      <w:r>
        <w:t xml:space="preserve"> should be referred urgently for endoscopy (within </w:t>
      </w:r>
      <w:r w:rsidR="00F82363">
        <w:t>two</w:t>
      </w:r>
      <w:r>
        <w:t xml:space="preserve"> weeks)</w:t>
      </w:r>
      <w:r w:rsidRPr="00BE5EF3">
        <w:t>.</w:t>
      </w:r>
      <w:r w:rsidRPr="00F537FE">
        <w:t xml:space="preserve"> </w:t>
      </w:r>
      <w:r>
        <w:t xml:space="preserve">Patients of any age with dyspepsia and any of the following should be referred </w:t>
      </w:r>
      <w:r w:rsidR="00F82363">
        <w:t>urgently for endoscopy (within two</w:t>
      </w:r>
      <w:r>
        <w:t xml:space="preserve"> weeks), or to a specialist:</w:t>
      </w:r>
      <w:r w:rsidRPr="00F537FE">
        <w:t xml:space="preserve"> </w:t>
      </w:r>
      <w:r w:rsidRPr="00BE5EF3">
        <w:t>chronic gastrointestinal bleeding; dysphagia; progressive unintentional weight loss; persistent vomiting; iron-deficiency anaemia; epigastric mass; suspicious barium meal result.</w:t>
      </w:r>
      <w:r w:rsidR="00D164A1">
        <w:t xml:space="preserve"> Patients of any age presenting with any of the following should be referred urgently to a specialist (within </w:t>
      </w:r>
      <w:r w:rsidR="00F82363">
        <w:t>two</w:t>
      </w:r>
      <w:r w:rsidR="00D164A1">
        <w:t xml:space="preserve"> weeks): dysphagia; </w:t>
      </w:r>
      <w:r w:rsidR="00D164A1" w:rsidRPr="00BE5EF3">
        <w:t>unexplained abdominal pain and weight loss (with or without back pain); upper abdominal mass without dyspepsia; obstructive jaundice, depending on clinical state (consider urgent ultrasound, if available).</w:t>
      </w:r>
      <w:r w:rsidR="00D164A1">
        <w:t xml:space="preserve"> Patients should be referred urgently (within </w:t>
      </w:r>
      <w:r w:rsidR="00F82363">
        <w:t>two</w:t>
      </w:r>
      <w:r w:rsidR="00D164A1">
        <w:t xml:space="preserve"> weeks) if presenting with any of the following: persistent vomiting and weight loss in the absence of dyspepsia; unexplained weight loss or iron-deficiency anaemia in the absence of dyspepsia; une</w:t>
      </w:r>
      <w:r w:rsidR="00F82363">
        <w:t>xplained worsening of dyspepsia;</w:t>
      </w:r>
      <w:r w:rsidR="00D164A1">
        <w:t xml:space="preserve"> known dysplasia, atrophic gastritis or intestinal metaplasia; peptic ulcer surgery ov</w:t>
      </w:r>
      <w:r w:rsidR="00F82363">
        <w:t>er 20 years ago;</w:t>
      </w:r>
      <w:r w:rsidR="00F82363" w:rsidRPr="00F82363">
        <w:t xml:space="preserve"> </w:t>
      </w:r>
      <w:r w:rsidR="00F82363">
        <w:t>AND Barrett’s oesophagus.</w:t>
      </w:r>
    </w:p>
    <w:p w14:paraId="447A78B8" w14:textId="77777777" w:rsidR="00D164A1" w:rsidRPr="00DC0E18" w:rsidRDefault="00D164A1" w:rsidP="00D164A1">
      <w:pPr>
        <w:pStyle w:val="PHEBulletpoint"/>
        <w:numPr>
          <w:ilvl w:val="0"/>
          <w:numId w:val="0"/>
        </w:numPr>
      </w:pPr>
    </w:p>
    <w:p w14:paraId="2975F2C7" w14:textId="70F21CB7" w:rsidR="00D164A1" w:rsidRDefault="00D164A1" w:rsidP="009E1133">
      <w:pPr>
        <w:pStyle w:val="PHEBulletpoint"/>
        <w:numPr>
          <w:ilvl w:val="0"/>
          <w:numId w:val="39"/>
        </w:numPr>
        <w:ind w:left="357" w:hanging="357"/>
        <w:rPr>
          <w:color w:val="FF0000"/>
        </w:rPr>
      </w:pPr>
      <w:bookmarkStart w:id="8" w:name="Reference2"/>
      <w:bookmarkEnd w:id="8"/>
      <w:r>
        <w:t xml:space="preserve">National Institute for Health and Care Excellence (NICE). Gastro-oesophageal reflux disease and dyspepsia in adults: investigation and management. 2014 Sep. Available from: </w:t>
      </w:r>
      <w:hyperlink r:id="rId34" w:history="1">
        <w:r w:rsidRPr="004C22AB">
          <w:rPr>
            <w:rStyle w:val="Hyperlink"/>
            <w:color w:val="9C002A"/>
            <w:u w:val="none"/>
          </w:rPr>
          <w:t>https://www.nice.org.uk/guidance/cg184</w:t>
        </w:r>
      </w:hyperlink>
      <w:r>
        <w:t>.</w:t>
      </w:r>
    </w:p>
    <w:p w14:paraId="0C0B1827" w14:textId="77777777" w:rsidR="00B47EAD" w:rsidRDefault="00D164A1" w:rsidP="00F82363">
      <w:pPr>
        <w:pStyle w:val="PHEBulletpoint"/>
        <w:numPr>
          <w:ilvl w:val="0"/>
          <w:numId w:val="0"/>
        </w:numPr>
        <w:ind w:left="720"/>
        <w:rPr>
          <w:rFonts w:cstheme="minorBidi"/>
          <w:szCs w:val="22"/>
        </w:rPr>
      </w:pPr>
      <w:r w:rsidRPr="00071B87">
        <w:t>RATIONALE:</w:t>
      </w:r>
      <w:r w:rsidRPr="00A275E2">
        <w:rPr>
          <w:rFonts w:cstheme="minorBidi"/>
          <w:szCs w:val="22"/>
        </w:rPr>
        <w:t xml:space="preserve"> A NICE guideline recommending that patients of any age with gastro-oesophageal symptoms that are unexplained or unresponsive to treatment should be referred to a specialist. Unexplained is defined </w:t>
      </w:r>
      <w:r w:rsidRPr="00071B87">
        <w:rPr>
          <w:rFonts w:cstheme="minorBidi"/>
          <w:szCs w:val="22"/>
        </w:rPr>
        <w:t>as “a symptom(s) and/or sign(s) that has not led to a diagnosis being made by the primary care professional after initial assessment of the history, examination and primary care investigations”.</w:t>
      </w:r>
      <w:r w:rsidR="000F71CC" w:rsidRPr="00071B87">
        <w:rPr>
          <w:rFonts w:cstheme="minorBidi"/>
          <w:szCs w:val="22"/>
        </w:rPr>
        <w:t xml:space="preserve"> Clinicians</w:t>
      </w:r>
      <w:r w:rsidR="000F71CC" w:rsidRPr="00A275E2">
        <w:rPr>
          <w:rFonts w:cstheme="minorBidi"/>
          <w:szCs w:val="22"/>
        </w:rPr>
        <w:t xml:space="preserve"> should offer </w:t>
      </w:r>
      <w:r w:rsidR="000F71CC" w:rsidRPr="00A275E2">
        <w:rPr>
          <w:rFonts w:cstheme="minorBidi"/>
          <w:i/>
          <w:szCs w:val="22"/>
        </w:rPr>
        <w:t>H. pylori</w:t>
      </w:r>
      <w:r w:rsidR="000F71CC" w:rsidRPr="00A275E2">
        <w:rPr>
          <w:rFonts w:cstheme="minorBidi"/>
          <w:szCs w:val="22"/>
        </w:rPr>
        <w:t xml:space="preserve"> test and treat to patients with dyspepsia. Clinicians should leave a </w:t>
      </w:r>
      <w:proofErr w:type="gramStart"/>
      <w:r w:rsidR="000F71CC" w:rsidRPr="00A275E2">
        <w:rPr>
          <w:rFonts w:cstheme="minorBidi"/>
          <w:szCs w:val="22"/>
        </w:rPr>
        <w:t>two week</w:t>
      </w:r>
      <w:proofErr w:type="gramEnd"/>
      <w:r w:rsidR="000F71CC" w:rsidRPr="00A275E2">
        <w:rPr>
          <w:rFonts w:cstheme="minorBidi"/>
          <w:szCs w:val="22"/>
        </w:rPr>
        <w:t xml:space="preserve"> washout period after PPI use before testing for </w:t>
      </w:r>
      <w:r w:rsidR="000F71CC" w:rsidRPr="00A275E2">
        <w:rPr>
          <w:rFonts w:cstheme="minorBidi"/>
          <w:i/>
          <w:szCs w:val="22"/>
        </w:rPr>
        <w:t>H. pylori</w:t>
      </w:r>
      <w:r w:rsidR="000F71CC" w:rsidRPr="00A275E2">
        <w:rPr>
          <w:rFonts w:cstheme="minorBidi"/>
          <w:szCs w:val="22"/>
        </w:rPr>
        <w:t xml:space="preserve"> with a urea breath test or stool antigen test. NICE recommend that patients with reflux-like symptoms should be treated in a similar way to those with dyspepsia, using full dose PPI for </w:t>
      </w:r>
      <w:r w:rsidR="00F82363">
        <w:rPr>
          <w:rFonts w:cstheme="minorBidi"/>
          <w:szCs w:val="22"/>
        </w:rPr>
        <w:t>four</w:t>
      </w:r>
      <w:r w:rsidR="000F71CC" w:rsidRPr="00A275E2">
        <w:rPr>
          <w:rFonts w:cstheme="minorBidi"/>
          <w:szCs w:val="22"/>
        </w:rPr>
        <w:t xml:space="preserve"> weeks, before considering treatment for </w:t>
      </w:r>
      <w:r w:rsidR="000F71CC" w:rsidRPr="00A275E2">
        <w:rPr>
          <w:rFonts w:cstheme="minorBidi"/>
          <w:i/>
          <w:szCs w:val="22"/>
        </w:rPr>
        <w:t>H. pylori</w:t>
      </w:r>
      <w:r w:rsidR="000F71CC" w:rsidRPr="00A275E2">
        <w:rPr>
          <w:rFonts w:cstheme="minorBidi"/>
          <w:szCs w:val="22"/>
        </w:rPr>
        <w:t xml:space="preserve">. Clinicians should offer patients who need long-term management of dyspepsia symptoms an annual review of their condition, and should encourage them to try stepping down or stopping treatment (unless there is an underlying condition or co-medication that needs continued treatment). Clinicians should test for </w:t>
      </w:r>
      <w:r w:rsidR="000F71CC" w:rsidRPr="00A275E2">
        <w:rPr>
          <w:rFonts w:cstheme="minorBidi"/>
          <w:i/>
          <w:szCs w:val="22"/>
        </w:rPr>
        <w:t>H. pylori</w:t>
      </w:r>
      <w:r w:rsidR="000F71CC" w:rsidRPr="00A275E2">
        <w:rPr>
          <w:rFonts w:cstheme="minorBidi"/>
          <w:szCs w:val="22"/>
        </w:rPr>
        <w:t xml:space="preserve"> using a carbon-</w:t>
      </w:r>
      <w:r w:rsidR="000F71CC" w:rsidRPr="00A275E2">
        <w:rPr>
          <w:rFonts w:cstheme="minorBidi"/>
          <w:szCs w:val="22"/>
          <w:vertAlign w:val="superscript"/>
        </w:rPr>
        <w:t>13</w:t>
      </w:r>
      <w:r w:rsidR="000F71CC" w:rsidRPr="00A275E2">
        <w:rPr>
          <w:rFonts w:cstheme="minorBidi"/>
          <w:szCs w:val="22"/>
        </w:rPr>
        <w:t xml:space="preserve">urea breath test or stool antigen test, or laboratory-based serology where performance has been locally validated. Clinicians should not use office-based serology tests for </w:t>
      </w:r>
      <w:r w:rsidR="000F71CC" w:rsidRPr="00A275E2">
        <w:rPr>
          <w:rFonts w:cstheme="minorBidi"/>
          <w:i/>
          <w:szCs w:val="22"/>
        </w:rPr>
        <w:t>H. pylori</w:t>
      </w:r>
      <w:r w:rsidR="000F71CC" w:rsidRPr="00A275E2">
        <w:rPr>
          <w:rFonts w:cstheme="minorBidi"/>
          <w:szCs w:val="22"/>
        </w:rPr>
        <w:t xml:space="preserve">, as their performance is routinely inadequate. Clinicians should discuss treatment adherence with the patient and should emphasise its importance. </w:t>
      </w:r>
    </w:p>
    <w:p w14:paraId="49EFDACC" w14:textId="77777777" w:rsidR="00531D26" w:rsidRDefault="00B47EAD" w:rsidP="00F82363">
      <w:pPr>
        <w:pStyle w:val="PHEBulletpoint"/>
        <w:numPr>
          <w:ilvl w:val="0"/>
          <w:numId w:val="0"/>
        </w:numPr>
        <w:ind w:left="720"/>
        <w:rPr>
          <w:rFonts w:cstheme="minorBidi"/>
          <w:szCs w:val="22"/>
        </w:rPr>
      </w:pPr>
      <w:r w:rsidRPr="00B47EAD">
        <w:rPr>
          <w:rFonts w:cstheme="minorBidi"/>
          <w:b/>
          <w:szCs w:val="22"/>
        </w:rPr>
        <w:t>First line treatment:</w:t>
      </w:r>
      <w:r>
        <w:rPr>
          <w:rFonts w:cstheme="minorBidi"/>
          <w:szCs w:val="22"/>
        </w:rPr>
        <w:t xml:space="preserve"> </w:t>
      </w:r>
      <w:r w:rsidR="000F71CC" w:rsidRPr="00A275E2">
        <w:rPr>
          <w:rFonts w:cstheme="minorBidi"/>
          <w:szCs w:val="22"/>
        </w:rPr>
        <w:t xml:space="preserve">Clinicians should offer patients who test positive for </w:t>
      </w:r>
      <w:r w:rsidR="000F71CC" w:rsidRPr="00A275E2">
        <w:rPr>
          <w:rFonts w:cstheme="minorBidi"/>
          <w:i/>
          <w:szCs w:val="22"/>
        </w:rPr>
        <w:t>H. pylori</w:t>
      </w:r>
      <w:r w:rsidR="000F71CC" w:rsidRPr="00A275E2">
        <w:rPr>
          <w:rFonts w:cstheme="minorBidi"/>
          <w:szCs w:val="22"/>
        </w:rPr>
        <w:t xml:space="preserve"> a </w:t>
      </w:r>
      <w:r w:rsidR="00F82363">
        <w:rPr>
          <w:rFonts w:cstheme="minorBidi"/>
          <w:szCs w:val="22"/>
        </w:rPr>
        <w:t>seven</w:t>
      </w:r>
      <w:r w:rsidR="000F71CC" w:rsidRPr="00A275E2">
        <w:rPr>
          <w:rFonts w:cstheme="minorBidi"/>
          <w:szCs w:val="22"/>
        </w:rPr>
        <w:t xml:space="preserve"> day, </w:t>
      </w:r>
      <w:r w:rsidR="00F82363">
        <w:rPr>
          <w:rFonts w:cstheme="minorBidi"/>
          <w:szCs w:val="22"/>
        </w:rPr>
        <w:t>twice daily course of treatment</w:t>
      </w:r>
      <w:r w:rsidR="00F82363" w:rsidRPr="00F82363">
        <w:rPr>
          <w:rFonts w:cstheme="minorBidi"/>
          <w:szCs w:val="22"/>
        </w:rPr>
        <w:t xml:space="preserve"> </w:t>
      </w:r>
      <w:r w:rsidR="00F82363" w:rsidRPr="00A275E2">
        <w:rPr>
          <w:rFonts w:cstheme="minorBidi"/>
          <w:szCs w:val="22"/>
        </w:rPr>
        <w:t xml:space="preserve">with a PPI, amoxicillin, and either </w:t>
      </w:r>
    </w:p>
    <w:p w14:paraId="33C11D94" w14:textId="77777777" w:rsidR="00531D26" w:rsidRDefault="00531D26" w:rsidP="00F82363">
      <w:pPr>
        <w:pStyle w:val="PHEBulletpoint"/>
        <w:numPr>
          <w:ilvl w:val="0"/>
          <w:numId w:val="0"/>
        </w:numPr>
        <w:ind w:left="720"/>
        <w:rPr>
          <w:rFonts w:cstheme="minorBidi"/>
          <w:szCs w:val="22"/>
        </w:rPr>
      </w:pPr>
    </w:p>
    <w:p w14:paraId="5D4E3782" w14:textId="11A9A239" w:rsidR="00B47EAD" w:rsidRDefault="00F82363" w:rsidP="00F82363">
      <w:pPr>
        <w:pStyle w:val="PHEBulletpoint"/>
        <w:numPr>
          <w:ilvl w:val="0"/>
          <w:numId w:val="0"/>
        </w:numPr>
        <w:ind w:left="720"/>
        <w:rPr>
          <w:rFonts w:cstheme="minorBidi"/>
          <w:szCs w:val="22"/>
        </w:rPr>
      </w:pPr>
      <w:r w:rsidRPr="00A275E2">
        <w:rPr>
          <w:rFonts w:cstheme="minorBidi"/>
          <w:szCs w:val="22"/>
        </w:rPr>
        <w:t xml:space="preserve">clarithromycin or metronidazole. Choose the treatment regimen with the lowest acquisition cost and </w:t>
      </w:r>
      <w:proofErr w:type="gramStart"/>
      <w:r w:rsidRPr="00A275E2">
        <w:rPr>
          <w:rFonts w:cstheme="minorBidi"/>
          <w:szCs w:val="22"/>
        </w:rPr>
        <w:t>take into account</w:t>
      </w:r>
      <w:proofErr w:type="gramEnd"/>
      <w:r w:rsidRPr="00A275E2">
        <w:rPr>
          <w:rFonts w:cstheme="minorBidi"/>
          <w:szCs w:val="22"/>
        </w:rPr>
        <w:t xml:space="preserve"> previous exposure to clarithromycin and metronidazole. All triple regimens have similar outcomes and are slightly better than quadruple regimens. Offer patients who are allergic to penicillin a </w:t>
      </w:r>
      <w:r>
        <w:rPr>
          <w:rFonts w:cstheme="minorBidi"/>
          <w:szCs w:val="22"/>
        </w:rPr>
        <w:t>seven</w:t>
      </w:r>
      <w:r w:rsidRPr="00A275E2">
        <w:rPr>
          <w:rFonts w:cstheme="minorBidi"/>
          <w:szCs w:val="22"/>
        </w:rPr>
        <w:t xml:space="preserve"> day, twice daily course of treatment with a PPI, clarithromycin and metronidazole. Offer patients who are allergic to penicillin and who have had previous exposure to clarithromycin a </w:t>
      </w:r>
      <w:r>
        <w:rPr>
          <w:rFonts w:cstheme="minorBidi"/>
          <w:szCs w:val="22"/>
        </w:rPr>
        <w:t>seven</w:t>
      </w:r>
      <w:r w:rsidRPr="00A275E2">
        <w:rPr>
          <w:rFonts w:cstheme="minorBidi"/>
          <w:szCs w:val="22"/>
        </w:rPr>
        <w:t xml:space="preserve"> day, twice daily course of treatment with a PPI</w:t>
      </w:r>
      <w:r w:rsidR="00B47EAD">
        <w:rPr>
          <w:rFonts w:cstheme="minorBidi"/>
          <w:szCs w:val="22"/>
        </w:rPr>
        <w:t>, metronidazole and tetracycline</w:t>
      </w:r>
      <w:r w:rsidRPr="00A275E2">
        <w:rPr>
          <w:rFonts w:cstheme="minorBidi"/>
          <w:szCs w:val="22"/>
        </w:rPr>
        <w:t xml:space="preserve">. </w:t>
      </w:r>
    </w:p>
    <w:p w14:paraId="45282953" w14:textId="14A40CD9" w:rsidR="00F82363" w:rsidRDefault="00B47EAD" w:rsidP="00F82363">
      <w:pPr>
        <w:pStyle w:val="PHEBulletpoint"/>
        <w:numPr>
          <w:ilvl w:val="0"/>
          <w:numId w:val="0"/>
        </w:numPr>
        <w:ind w:left="720"/>
        <w:rPr>
          <w:rFonts w:cstheme="minorBidi"/>
          <w:szCs w:val="22"/>
        </w:rPr>
      </w:pPr>
      <w:r w:rsidRPr="00B47EAD">
        <w:rPr>
          <w:rFonts w:cstheme="minorBidi"/>
          <w:b/>
          <w:szCs w:val="22"/>
        </w:rPr>
        <w:t>Second line:</w:t>
      </w:r>
      <w:r>
        <w:rPr>
          <w:rFonts w:cstheme="minorBidi"/>
          <w:szCs w:val="22"/>
        </w:rPr>
        <w:t xml:space="preserve"> Of</w:t>
      </w:r>
      <w:r w:rsidR="00F82363" w:rsidRPr="00A275E2">
        <w:rPr>
          <w:rFonts w:cstheme="minorBidi"/>
          <w:szCs w:val="22"/>
        </w:rPr>
        <w:t xml:space="preserve">fer patients who still have symptoms after first-line eradication treatment a </w:t>
      </w:r>
      <w:r w:rsidR="00F82363">
        <w:rPr>
          <w:rFonts w:cstheme="minorBidi"/>
          <w:szCs w:val="22"/>
        </w:rPr>
        <w:t>seven</w:t>
      </w:r>
      <w:r w:rsidR="00F82363" w:rsidRPr="00A275E2">
        <w:rPr>
          <w:rFonts w:cstheme="minorBidi"/>
          <w:szCs w:val="22"/>
        </w:rPr>
        <w:t xml:space="preserve"> day, twice daily course of treatment with a PPI, amoxicillin and either clarithromycin or metronidazole (whichever was not used first-line). Offer patients who have had previous exposure to clarithromycin and metronidazole a </w:t>
      </w:r>
      <w:r w:rsidR="00F82363">
        <w:rPr>
          <w:rFonts w:cstheme="minorBidi"/>
          <w:szCs w:val="22"/>
        </w:rPr>
        <w:t>seven</w:t>
      </w:r>
      <w:r w:rsidR="00F82363" w:rsidRPr="00A275E2">
        <w:rPr>
          <w:rFonts w:cstheme="minorBidi"/>
          <w:szCs w:val="22"/>
        </w:rPr>
        <w:t xml:space="preserve"> day, twice daily course of treatment with a PPI, amoxicillin and a quinolone or tetracycline. Offer patients who are allergic to penicillin (and who have not had previous exposure to a quinolone) a </w:t>
      </w:r>
      <w:r w:rsidR="00F82363">
        <w:rPr>
          <w:rFonts w:cstheme="minorBidi"/>
          <w:szCs w:val="22"/>
        </w:rPr>
        <w:t>seven</w:t>
      </w:r>
      <w:r w:rsidR="00F82363" w:rsidRPr="00A275E2">
        <w:rPr>
          <w:rFonts w:cstheme="minorBidi"/>
          <w:szCs w:val="22"/>
        </w:rPr>
        <w:t xml:space="preserve"> day, twice daily course of treatment with a PPI, metronidazole and levofloxacin. Offer patients who are allergic to penicillin and who have had previous exposure to a quinolone a PPI, a bismu</w:t>
      </w:r>
      <w:r w:rsidR="008966A8">
        <w:rPr>
          <w:rFonts w:cstheme="minorBidi"/>
          <w:szCs w:val="22"/>
        </w:rPr>
        <w:t>th salt (</w:t>
      </w:r>
      <w:proofErr w:type="spellStart"/>
      <w:r w:rsidR="008966A8">
        <w:rPr>
          <w:rFonts w:cstheme="minorBidi"/>
          <w:szCs w:val="22"/>
        </w:rPr>
        <w:t>tripotassium</w:t>
      </w:r>
      <w:proofErr w:type="spellEnd"/>
      <w:r w:rsidR="008966A8">
        <w:rPr>
          <w:rFonts w:cstheme="minorBidi"/>
          <w:szCs w:val="22"/>
        </w:rPr>
        <w:t xml:space="preserve"> </w:t>
      </w:r>
      <w:proofErr w:type="spellStart"/>
      <w:r w:rsidR="008966A8">
        <w:rPr>
          <w:rFonts w:cstheme="minorBidi"/>
          <w:szCs w:val="22"/>
        </w:rPr>
        <w:t>dicitrato</w:t>
      </w:r>
      <w:r w:rsidR="00F82363" w:rsidRPr="00A275E2">
        <w:rPr>
          <w:rFonts w:cstheme="minorBidi"/>
          <w:szCs w:val="22"/>
        </w:rPr>
        <w:t>bismuthate</w:t>
      </w:r>
      <w:proofErr w:type="spellEnd"/>
      <w:r w:rsidR="00F82363" w:rsidRPr="00A275E2">
        <w:rPr>
          <w:rFonts w:cstheme="minorBidi"/>
          <w:szCs w:val="22"/>
        </w:rPr>
        <w:t xml:space="preserve"> or bismuth subsalicylate), metronidazole and tetracycline. NICE document evidence from one study, stating that increasing the duration of PPI/amoxicillin/quinolones from </w:t>
      </w:r>
      <w:r w:rsidR="00F82363">
        <w:rPr>
          <w:rFonts w:cstheme="minorBidi"/>
          <w:szCs w:val="22"/>
        </w:rPr>
        <w:t>seven</w:t>
      </w:r>
      <w:r w:rsidR="00F82363" w:rsidRPr="00A275E2">
        <w:rPr>
          <w:rFonts w:cstheme="minorBidi"/>
          <w:szCs w:val="22"/>
        </w:rPr>
        <w:t xml:space="preserve"> to 10 </w:t>
      </w:r>
      <w:proofErr w:type="gramStart"/>
      <w:r w:rsidR="00F82363" w:rsidRPr="00A275E2">
        <w:rPr>
          <w:rFonts w:cstheme="minorBidi"/>
          <w:szCs w:val="22"/>
        </w:rPr>
        <w:t>days</w:t>
      </w:r>
      <w:proofErr w:type="gramEnd"/>
      <w:r w:rsidR="00F82363" w:rsidRPr="00A275E2">
        <w:rPr>
          <w:rFonts w:cstheme="minorBidi"/>
          <w:szCs w:val="22"/>
        </w:rPr>
        <w:t xml:space="preserve"> results in improved second-line </w:t>
      </w:r>
      <w:r w:rsidR="00F82363" w:rsidRPr="00A275E2">
        <w:rPr>
          <w:rFonts w:cstheme="minorBidi"/>
          <w:i/>
          <w:szCs w:val="22"/>
        </w:rPr>
        <w:t>H. pylori</w:t>
      </w:r>
      <w:r w:rsidR="00F82363" w:rsidRPr="00A275E2">
        <w:rPr>
          <w:rFonts w:cstheme="minorBidi"/>
          <w:szCs w:val="22"/>
        </w:rPr>
        <w:t xml:space="preserve"> eradication when using standard or double dosing for the 10 day regimen. Evidence from other studies has shown that increasing the duration of a quadruple regimen from </w:t>
      </w:r>
      <w:r w:rsidR="00F82363">
        <w:rPr>
          <w:rFonts w:cstheme="minorBidi"/>
          <w:szCs w:val="22"/>
        </w:rPr>
        <w:t>seven</w:t>
      </w:r>
      <w:r w:rsidR="00F82363" w:rsidRPr="00A275E2">
        <w:rPr>
          <w:rFonts w:cstheme="minorBidi"/>
          <w:szCs w:val="22"/>
        </w:rPr>
        <w:t xml:space="preserve"> to 14 days does not improve second-line </w:t>
      </w:r>
      <w:r w:rsidR="00F82363" w:rsidRPr="00A275E2">
        <w:rPr>
          <w:rFonts w:cstheme="minorBidi"/>
          <w:i/>
          <w:szCs w:val="22"/>
        </w:rPr>
        <w:t>H. pylori</w:t>
      </w:r>
      <w:r w:rsidR="00F82363" w:rsidRPr="00A275E2">
        <w:rPr>
          <w:rFonts w:cstheme="minorBidi"/>
          <w:szCs w:val="22"/>
        </w:rPr>
        <w:t xml:space="preserve"> eradication. Clinicians should consider referral for those patients who have </w:t>
      </w:r>
      <w:r w:rsidR="00F82363" w:rsidRPr="00A275E2">
        <w:rPr>
          <w:rFonts w:cstheme="minorBidi"/>
          <w:i/>
          <w:szCs w:val="22"/>
        </w:rPr>
        <w:t>Helicobacter pylori</w:t>
      </w:r>
      <w:r w:rsidR="00F82363" w:rsidRPr="00A275E2">
        <w:rPr>
          <w:rFonts w:cstheme="minorBidi"/>
          <w:szCs w:val="22"/>
        </w:rPr>
        <w:t>, which has not responded to second-line eradication therapy.</w:t>
      </w:r>
      <w:r w:rsidR="00F82363">
        <w:rPr>
          <w:rFonts w:cstheme="minorBidi"/>
          <w:szCs w:val="22"/>
        </w:rPr>
        <w:t xml:space="preserve"> </w:t>
      </w:r>
    </w:p>
    <w:p w14:paraId="60D8220F" w14:textId="77777777" w:rsidR="00FF1E6B" w:rsidRDefault="00FF1E6B" w:rsidP="00FF1E6B">
      <w:pPr>
        <w:pStyle w:val="PHEBulletpoint"/>
        <w:numPr>
          <w:ilvl w:val="0"/>
          <w:numId w:val="0"/>
        </w:numPr>
        <w:rPr>
          <w:rFonts w:cstheme="minorBidi"/>
          <w:szCs w:val="22"/>
        </w:rPr>
      </w:pPr>
    </w:p>
    <w:p w14:paraId="5E9F8D96" w14:textId="01EFBCB3" w:rsidR="00FF1E6B" w:rsidRDefault="00FF1E6B" w:rsidP="009E1133">
      <w:pPr>
        <w:pStyle w:val="PHEBulletpoint"/>
        <w:numPr>
          <w:ilvl w:val="0"/>
          <w:numId w:val="39"/>
        </w:numPr>
        <w:ind w:left="357" w:hanging="357"/>
        <w:rPr>
          <w:rFonts w:cstheme="minorBidi"/>
          <w:szCs w:val="22"/>
        </w:rPr>
      </w:pPr>
      <w:bookmarkStart w:id="9" w:name="Reference3"/>
      <w:bookmarkEnd w:id="9"/>
      <w:proofErr w:type="spellStart"/>
      <w:r>
        <w:rPr>
          <w:rFonts w:cstheme="minorBidi"/>
          <w:szCs w:val="22"/>
        </w:rPr>
        <w:t>Gisbert</w:t>
      </w:r>
      <w:proofErr w:type="spellEnd"/>
      <w:r>
        <w:rPr>
          <w:rFonts w:cstheme="minorBidi"/>
          <w:szCs w:val="22"/>
        </w:rPr>
        <w:t xml:space="preserve"> JP, </w:t>
      </w:r>
      <w:proofErr w:type="spellStart"/>
      <w:r>
        <w:rPr>
          <w:rFonts w:cstheme="minorBidi"/>
          <w:szCs w:val="22"/>
        </w:rPr>
        <w:t>Calvet</w:t>
      </w:r>
      <w:proofErr w:type="spellEnd"/>
      <w:r>
        <w:rPr>
          <w:rFonts w:cstheme="minorBidi"/>
          <w:szCs w:val="22"/>
        </w:rPr>
        <w:t xml:space="preserve"> X. </w:t>
      </w:r>
      <w:r>
        <w:rPr>
          <w:rFonts w:cstheme="minorBidi"/>
          <w:i/>
          <w:szCs w:val="22"/>
        </w:rPr>
        <w:t>Helicobacter pylori</w:t>
      </w:r>
      <w:r w:rsidRPr="00EC7E63">
        <w:rPr>
          <w:rFonts w:cstheme="minorBidi"/>
          <w:szCs w:val="22"/>
        </w:rPr>
        <w:t xml:space="preserve"> </w:t>
      </w:r>
      <w:r>
        <w:rPr>
          <w:rFonts w:cstheme="minorBidi"/>
          <w:szCs w:val="22"/>
        </w:rPr>
        <w:t xml:space="preserve">“test-and-treat” strategy for management of dyspepsia: a comprehensive review. </w:t>
      </w:r>
      <w:proofErr w:type="spellStart"/>
      <w:r>
        <w:rPr>
          <w:rFonts w:cstheme="minorBidi"/>
          <w:i/>
          <w:szCs w:val="22"/>
        </w:rPr>
        <w:t>Clin</w:t>
      </w:r>
      <w:proofErr w:type="spellEnd"/>
      <w:r>
        <w:rPr>
          <w:rFonts w:cstheme="minorBidi"/>
          <w:i/>
          <w:szCs w:val="22"/>
        </w:rPr>
        <w:t xml:space="preserve"> </w:t>
      </w:r>
      <w:proofErr w:type="spellStart"/>
      <w:r>
        <w:rPr>
          <w:rFonts w:cstheme="minorBidi"/>
          <w:i/>
          <w:szCs w:val="22"/>
        </w:rPr>
        <w:t>Transl</w:t>
      </w:r>
      <w:proofErr w:type="spellEnd"/>
      <w:r>
        <w:rPr>
          <w:rFonts w:cstheme="minorBidi"/>
          <w:i/>
          <w:szCs w:val="22"/>
        </w:rPr>
        <w:t xml:space="preserve"> </w:t>
      </w:r>
      <w:proofErr w:type="spellStart"/>
      <w:r>
        <w:rPr>
          <w:rFonts w:cstheme="minorBidi"/>
          <w:i/>
          <w:szCs w:val="22"/>
        </w:rPr>
        <w:t>Gastroenterol</w:t>
      </w:r>
      <w:proofErr w:type="spellEnd"/>
      <w:r>
        <w:rPr>
          <w:rFonts w:cstheme="minorBidi"/>
          <w:szCs w:val="22"/>
        </w:rPr>
        <w:t xml:space="preserve">. 2013 Mar; 4(32):1-17. Available from: </w:t>
      </w:r>
      <w:hyperlink r:id="rId35" w:history="1">
        <w:r w:rsidRPr="00AA06F2">
          <w:rPr>
            <w:rStyle w:val="Hyperlink"/>
            <w:rFonts w:cstheme="minorBidi"/>
            <w:color w:val="9C002A"/>
            <w:szCs w:val="22"/>
            <w:u w:val="none"/>
          </w:rPr>
          <w:t>http://www.nature.com/ctg/journal/v4/n3/pdf/ctg20133a.pdf</w:t>
        </w:r>
      </w:hyperlink>
      <w:r>
        <w:rPr>
          <w:rFonts w:cstheme="minorBidi"/>
          <w:szCs w:val="22"/>
        </w:rPr>
        <w:t>.</w:t>
      </w:r>
    </w:p>
    <w:p w14:paraId="5EE2891E" w14:textId="402A20CA" w:rsidR="003512D1" w:rsidRDefault="00FF1E6B" w:rsidP="006B3140">
      <w:pPr>
        <w:pStyle w:val="PHEBulletpoint"/>
        <w:numPr>
          <w:ilvl w:val="0"/>
          <w:numId w:val="0"/>
        </w:numPr>
        <w:ind w:left="720"/>
        <w:rPr>
          <w:rFonts w:cstheme="minorBidi"/>
          <w:szCs w:val="22"/>
        </w:rPr>
      </w:pPr>
      <w:r w:rsidRPr="00433A68">
        <w:rPr>
          <w:rFonts w:cstheme="minorBidi"/>
          <w:szCs w:val="22"/>
        </w:rPr>
        <w:t>RATIONALE:</w:t>
      </w:r>
      <w:r w:rsidR="006B3140" w:rsidRPr="006B3140">
        <w:rPr>
          <w:rFonts w:cstheme="minorBidi"/>
          <w:szCs w:val="22"/>
        </w:rPr>
        <w:t xml:space="preserve"> </w:t>
      </w:r>
      <w:r w:rsidR="006B3140" w:rsidRPr="00A259B3">
        <w:rPr>
          <w:rFonts w:cstheme="minorBidi"/>
          <w:szCs w:val="22"/>
        </w:rPr>
        <w:t xml:space="preserve">A literature review analysing the results of randomised controlled trials across several areas of </w:t>
      </w:r>
      <w:r w:rsidR="006B3140" w:rsidRPr="006B3140">
        <w:rPr>
          <w:rFonts w:cstheme="minorBidi"/>
          <w:i/>
          <w:szCs w:val="22"/>
        </w:rPr>
        <w:t>Helicobacter pylori</w:t>
      </w:r>
      <w:r w:rsidR="006B3140" w:rsidRPr="00A259B3">
        <w:rPr>
          <w:rFonts w:cstheme="minorBidi"/>
          <w:szCs w:val="22"/>
        </w:rPr>
        <w:t xml:space="preserve"> investigation. The authors conclude that it is widely accepted that endoscopy should be reserved for patients with symptom onset over 45-55 years of age, those who have alarm symptoms, and those whose empirical </w:t>
      </w:r>
      <w:proofErr w:type="spellStart"/>
      <w:r w:rsidR="006B3140" w:rsidRPr="00A259B3">
        <w:rPr>
          <w:rFonts w:cstheme="minorBidi"/>
          <w:szCs w:val="22"/>
        </w:rPr>
        <w:t>antisecretory</w:t>
      </w:r>
      <w:proofErr w:type="spellEnd"/>
      <w:r w:rsidR="006B3140" w:rsidRPr="00A259B3">
        <w:rPr>
          <w:rFonts w:cstheme="minorBidi"/>
          <w:szCs w:val="22"/>
        </w:rPr>
        <w:t xml:space="preserve"> therapy or test and treat strategy fails. The test and treat strategy will cure most cases of underlying peptic ulcer disease, and will prevent most potential cases of gastroduodenal disease. In addition, a minority of infected patients with functional dyspepsia will gain symptomatic benefit. The test and treat strategy is reinforced by the accumulating data that supports the increasingly accepted idea </w:t>
      </w:r>
      <w:r w:rsidR="006B3140" w:rsidRPr="00433A68">
        <w:rPr>
          <w:rFonts w:cstheme="minorBidi"/>
          <w:szCs w:val="22"/>
        </w:rPr>
        <w:t xml:space="preserve">that “the only good </w:t>
      </w:r>
      <w:r w:rsidR="006B3140" w:rsidRPr="008966A8">
        <w:rPr>
          <w:rFonts w:cstheme="minorBidi"/>
          <w:i/>
          <w:szCs w:val="22"/>
        </w:rPr>
        <w:t>Helicobacter pylori</w:t>
      </w:r>
      <w:r w:rsidR="006B3140" w:rsidRPr="00433A68">
        <w:rPr>
          <w:rFonts w:cstheme="minorBidi"/>
          <w:szCs w:val="22"/>
        </w:rPr>
        <w:t xml:space="preserve"> is a dead</w:t>
      </w:r>
      <w:r w:rsidR="006B3140" w:rsidRPr="008966A8">
        <w:rPr>
          <w:rFonts w:cstheme="minorBidi"/>
          <w:i/>
          <w:szCs w:val="22"/>
        </w:rPr>
        <w:t xml:space="preserve"> Helicobacter pylori</w:t>
      </w:r>
      <w:r w:rsidR="006B3140" w:rsidRPr="00433A68">
        <w:rPr>
          <w:rFonts w:cstheme="minorBidi"/>
          <w:szCs w:val="22"/>
        </w:rPr>
        <w:t>”.</w:t>
      </w:r>
    </w:p>
    <w:p w14:paraId="55959592" w14:textId="77777777" w:rsidR="006B3140" w:rsidRPr="00DC0E18" w:rsidRDefault="006B3140" w:rsidP="006B3140">
      <w:pPr>
        <w:pStyle w:val="PHEBulletpoint"/>
        <w:numPr>
          <w:ilvl w:val="0"/>
          <w:numId w:val="0"/>
        </w:numPr>
        <w:rPr>
          <w:rFonts w:cstheme="minorBidi"/>
          <w:szCs w:val="22"/>
        </w:rPr>
      </w:pPr>
    </w:p>
    <w:p w14:paraId="66D1C0C0" w14:textId="77777777" w:rsidR="006B3140" w:rsidRDefault="006B3140" w:rsidP="009E1133">
      <w:pPr>
        <w:pStyle w:val="PHEBulletpoint"/>
        <w:numPr>
          <w:ilvl w:val="0"/>
          <w:numId w:val="39"/>
        </w:numPr>
        <w:ind w:left="357" w:hanging="357"/>
        <w:rPr>
          <w:rFonts w:cstheme="minorBidi"/>
          <w:szCs w:val="22"/>
        </w:rPr>
      </w:pPr>
      <w:bookmarkStart w:id="10" w:name="Reference4"/>
      <w:bookmarkEnd w:id="10"/>
      <w:proofErr w:type="spellStart"/>
      <w:r>
        <w:rPr>
          <w:rFonts w:cstheme="minorBidi"/>
          <w:szCs w:val="22"/>
        </w:rPr>
        <w:t>Jarbol</w:t>
      </w:r>
      <w:proofErr w:type="spellEnd"/>
      <w:r>
        <w:rPr>
          <w:rFonts w:cstheme="minorBidi"/>
          <w:szCs w:val="22"/>
        </w:rPr>
        <w:t xml:space="preserve"> DE, </w:t>
      </w:r>
      <w:proofErr w:type="spellStart"/>
      <w:r>
        <w:rPr>
          <w:rFonts w:cstheme="minorBidi"/>
          <w:szCs w:val="22"/>
        </w:rPr>
        <w:t>Kragstrup</w:t>
      </w:r>
      <w:proofErr w:type="spellEnd"/>
      <w:r>
        <w:rPr>
          <w:rFonts w:cstheme="minorBidi"/>
          <w:szCs w:val="22"/>
        </w:rPr>
        <w:t xml:space="preserve"> J, </w:t>
      </w:r>
      <w:proofErr w:type="spellStart"/>
      <w:r>
        <w:rPr>
          <w:rFonts w:cstheme="minorBidi"/>
          <w:szCs w:val="22"/>
        </w:rPr>
        <w:t>Stovring</w:t>
      </w:r>
      <w:proofErr w:type="spellEnd"/>
      <w:r>
        <w:rPr>
          <w:rFonts w:cstheme="minorBidi"/>
          <w:szCs w:val="22"/>
        </w:rPr>
        <w:t xml:space="preserve"> H, </w:t>
      </w:r>
      <w:proofErr w:type="spellStart"/>
      <w:r>
        <w:rPr>
          <w:rFonts w:cstheme="minorBidi"/>
          <w:szCs w:val="22"/>
        </w:rPr>
        <w:t>Havelund</w:t>
      </w:r>
      <w:proofErr w:type="spellEnd"/>
      <w:r>
        <w:rPr>
          <w:rFonts w:cstheme="minorBidi"/>
          <w:szCs w:val="22"/>
        </w:rPr>
        <w:t xml:space="preserve"> T, </w:t>
      </w:r>
      <w:proofErr w:type="spellStart"/>
      <w:r>
        <w:rPr>
          <w:rFonts w:cstheme="minorBidi"/>
          <w:szCs w:val="22"/>
        </w:rPr>
        <w:t>Schaffalitzky</w:t>
      </w:r>
      <w:proofErr w:type="spellEnd"/>
      <w:r>
        <w:rPr>
          <w:rFonts w:cstheme="minorBidi"/>
          <w:szCs w:val="22"/>
        </w:rPr>
        <w:t xml:space="preserve"> de </w:t>
      </w:r>
      <w:proofErr w:type="spellStart"/>
      <w:r>
        <w:rPr>
          <w:rFonts w:cstheme="minorBidi"/>
          <w:szCs w:val="22"/>
        </w:rPr>
        <w:t>Muckadell</w:t>
      </w:r>
      <w:proofErr w:type="spellEnd"/>
      <w:r>
        <w:rPr>
          <w:rFonts w:cstheme="minorBidi"/>
          <w:szCs w:val="22"/>
        </w:rPr>
        <w:t xml:space="preserve"> OB. Proton pump inhibitor or testing for </w:t>
      </w:r>
      <w:r>
        <w:rPr>
          <w:rFonts w:cstheme="minorBidi"/>
          <w:i/>
          <w:szCs w:val="22"/>
        </w:rPr>
        <w:t>Helicobacter pylori</w:t>
      </w:r>
      <w:r>
        <w:rPr>
          <w:rFonts w:cstheme="minorBidi"/>
          <w:szCs w:val="22"/>
        </w:rPr>
        <w:t xml:space="preserve"> as the first step for patients presenting with dyspepsia? A cluster-randomized trial. </w:t>
      </w:r>
      <w:r>
        <w:rPr>
          <w:rFonts w:cstheme="minorBidi"/>
          <w:i/>
          <w:szCs w:val="22"/>
        </w:rPr>
        <w:t xml:space="preserve">Am J </w:t>
      </w:r>
      <w:proofErr w:type="spellStart"/>
      <w:r>
        <w:rPr>
          <w:rFonts w:cstheme="minorBidi"/>
          <w:i/>
          <w:szCs w:val="22"/>
        </w:rPr>
        <w:t>Gastroenterol</w:t>
      </w:r>
      <w:proofErr w:type="spellEnd"/>
      <w:r>
        <w:rPr>
          <w:rFonts w:cstheme="minorBidi"/>
          <w:szCs w:val="22"/>
        </w:rPr>
        <w:t xml:space="preserve">. 2006 Jun; 101(6):1200-1208. Available from: </w:t>
      </w:r>
      <w:hyperlink r:id="rId36" w:history="1">
        <w:r w:rsidRPr="006571E8">
          <w:rPr>
            <w:rStyle w:val="Hyperlink"/>
            <w:rFonts w:cstheme="minorBidi"/>
            <w:color w:val="9C002A"/>
            <w:szCs w:val="22"/>
            <w:u w:val="none"/>
          </w:rPr>
          <w:t>http://www.ncbi.nlm.nih.gov/pubmed/16771937</w:t>
        </w:r>
      </w:hyperlink>
      <w:r>
        <w:rPr>
          <w:rFonts w:cstheme="minorBidi"/>
          <w:szCs w:val="22"/>
        </w:rPr>
        <w:t>.</w:t>
      </w:r>
    </w:p>
    <w:p w14:paraId="25E175F9" w14:textId="2E98E07A" w:rsidR="000F71CC" w:rsidRDefault="006B3140" w:rsidP="0057262C">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00A447B8" w:rsidRPr="00A447B8">
        <w:rPr>
          <w:rFonts w:cstheme="minorBidi"/>
          <w:szCs w:val="22"/>
        </w:rPr>
        <w:t>A cluster-randomised trial in general practices in Denmark</w:t>
      </w:r>
      <w:r w:rsidR="00A447B8">
        <w:rPr>
          <w:rFonts w:cstheme="minorBidi"/>
          <w:szCs w:val="22"/>
        </w:rPr>
        <w:t>,</w:t>
      </w:r>
      <w:r w:rsidR="00A447B8" w:rsidRPr="00A447B8">
        <w:rPr>
          <w:rFonts w:cstheme="minorBidi"/>
          <w:szCs w:val="22"/>
        </w:rPr>
        <w:t xml:space="preserve"> comparing empirical </w:t>
      </w:r>
      <w:proofErr w:type="spellStart"/>
      <w:r w:rsidR="00A447B8" w:rsidRPr="00A447B8">
        <w:rPr>
          <w:rFonts w:cstheme="minorBidi"/>
          <w:szCs w:val="22"/>
        </w:rPr>
        <w:t>antisecretory</w:t>
      </w:r>
      <w:proofErr w:type="spellEnd"/>
      <w:r w:rsidR="00A447B8" w:rsidRPr="00A447B8">
        <w:rPr>
          <w:rFonts w:cstheme="minorBidi"/>
          <w:szCs w:val="22"/>
        </w:rPr>
        <w:t xml:space="preserve"> therapy (222 patients), test and eradicate for </w:t>
      </w:r>
      <w:r w:rsidR="00A447B8" w:rsidRPr="00A447B8">
        <w:rPr>
          <w:rFonts w:cstheme="minorBidi"/>
          <w:i/>
          <w:szCs w:val="22"/>
        </w:rPr>
        <w:t>H. pylori</w:t>
      </w:r>
      <w:r w:rsidR="00A447B8" w:rsidRPr="00A447B8">
        <w:rPr>
          <w:rFonts w:cstheme="minorBidi"/>
          <w:szCs w:val="22"/>
        </w:rPr>
        <w:t xml:space="preserve"> (250 </w:t>
      </w:r>
    </w:p>
    <w:p w14:paraId="67D55F80" w14:textId="2A3C8B9A" w:rsidR="00A447B8" w:rsidRDefault="00A447B8" w:rsidP="000F71CC">
      <w:pPr>
        <w:pStyle w:val="PHEBulletpoint"/>
        <w:numPr>
          <w:ilvl w:val="0"/>
          <w:numId w:val="0"/>
        </w:numPr>
        <w:ind w:left="720"/>
        <w:rPr>
          <w:rFonts w:cstheme="minorBidi"/>
          <w:szCs w:val="22"/>
        </w:rPr>
      </w:pPr>
      <w:r w:rsidRPr="00A447B8">
        <w:rPr>
          <w:rFonts w:cstheme="minorBidi"/>
          <w:szCs w:val="22"/>
        </w:rPr>
        <w:t xml:space="preserve">patients), or a combination of the two (250 patients) for the management of dyspepsia. </w:t>
      </w:r>
    </w:p>
    <w:p w14:paraId="012A04E8" w14:textId="77777777" w:rsidR="00531D26" w:rsidRDefault="00531D26" w:rsidP="00A447B8">
      <w:pPr>
        <w:pStyle w:val="PHEBulletpoint"/>
        <w:numPr>
          <w:ilvl w:val="0"/>
          <w:numId w:val="0"/>
        </w:numPr>
        <w:ind w:left="720"/>
        <w:rPr>
          <w:rFonts w:cstheme="minorBidi"/>
          <w:szCs w:val="22"/>
        </w:rPr>
      </w:pPr>
    </w:p>
    <w:p w14:paraId="3683B53A" w14:textId="12988B70" w:rsidR="006B3140" w:rsidRDefault="00A447B8" w:rsidP="00A447B8">
      <w:pPr>
        <w:pStyle w:val="PHEBulletpoint"/>
        <w:numPr>
          <w:ilvl w:val="0"/>
          <w:numId w:val="0"/>
        </w:numPr>
        <w:ind w:left="720"/>
        <w:rPr>
          <w:rFonts w:cstheme="minorBidi"/>
          <w:szCs w:val="22"/>
        </w:rPr>
      </w:pPr>
      <w:r w:rsidRPr="00A447B8">
        <w:rPr>
          <w:rFonts w:cstheme="minorBidi"/>
          <w:szCs w:val="22"/>
        </w:rPr>
        <w:t xml:space="preserve">The prevalence of </w:t>
      </w:r>
      <w:r w:rsidRPr="00A447B8">
        <w:rPr>
          <w:rFonts w:cstheme="minorBidi"/>
          <w:i/>
          <w:szCs w:val="22"/>
        </w:rPr>
        <w:t>H. pylori</w:t>
      </w:r>
      <w:r w:rsidRPr="00A447B8">
        <w:rPr>
          <w:rFonts w:cstheme="minorBidi"/>
          <w:szCs w:val="22"/>
        </w:rPr>
        <w:t xml:space="preserve"> infection was 24%. After one year, gastrointestinal symptom scores and quality of life scores had improved significantly and equally across the three groups (p&lt;0.001), but no statistically significant differences were found within the groups. The mean use of endoscopies per patient after one year was higher in t</w:t>
      </w:r>
      <w:r w:rsidR="005661AE">
        <w:rPr>
          <w:rFonts w:cstheme="minorBidi"/>
          <w:szCs w:val="22"/>
        </w:rPr>
        <w:t xml:space="preserve">he PPI group (0.36 [95% CI 0.30 to </w:t>
      </w:r>
      <w:r w:rsidRPr="00A447B8">
        <w:rPr>
          <w:rFonts w:cstheme="minorBidi"/>
          <w:szCs w:val="22"/>
        </w:rPr>
        <w:t>0.43]) than in the test and era</w:t>
      </w:r>
      <w:r w:rsidR="005661AE">
        <w:rPr>
          <w:rFonts w:cstheme="minorBidi"/>
          <w:szCs w:val="22"/>
        </w:rPr>
        <w:t xml:space="preserve">dicate group (0.28 [95% CI 0.23 to </w:t>
      </w:r>
      <w:r w:rsidRPr="00A447B8">
        <w:rPr>
          <w:rFonts w:cstheme="minorBidi"/>
          <w:szCs w:val="22"/>
        </w:rPr>
        <w:t>0.34]) or the combi</w:t>
      </w:r>
      <w:r w:rsidR="005661AE">
        <w:rPr>
          <w:rFonts w:cstheme="minorBidi"/>
          <w:szCs w:val="22"/>
        </w:rPr>
        <w:t xml:space="preserve">nation group (0.22 [95% CI 0.17 to </w:t>
      </w:r>
      <w:r w:rsidRPr="00A447B8">
        <w:rPr>
          <w:rFonts w:cstheme="minorBidi"/>
          <w:szCs w:val="22"/>
        </w:rPr>
        <w:t xml:space="preserve">0.27]; p=0.02). </w:t>
      </w:r>
      <w:r w:rsidRPr="00A447B8">
        <w:rPr>
          <w:rFonts w:cstheme="minorBidi"/>
          <w:i/>
          <w:szCs w:val="22"/>
        </w:rPr>
        <w:t>H. pylori</w:t>
      </w:r>
      <w:r w:rsidRPr="00A447B8">
        <w:rPr>
          <w:rFonts w:cstheme="minorBidi"/>
          <w:szCs w:val="22"/>
        </w:rPr>
        <w:t xml:space="preserve"> positive patients receiving eradication therapy had more days without dyspeptic symptoms (p&lt;0.001), used less </w:t>
      </w:r>
      <w:proofErr w:type="spellStart"/>
      <w:r w:rsidRPr="00A447B8">
        <w:rPr>
          <w:rFonts w:cstheme="minorBidi"/>
          <w:szCs w:val="22"/>
        </w:rPr>
        <w:t>antisecretory</w:t>
      </w:r>
      <w:proofErr w:type="spellEnd"/>
      <w:r w:rsidRPr="00A447B8">
        <w:rPr>
          <w:rFonts w:cstheme="minorBidi"/>
          <w:szCs w:val="22"/>
        </w:rPr>
        <w:t xml:space="preserve"> therapy (p&lt;0.01), and were more satisfied (p&lt;0.001)</w:t>
      </w:r>
      <w:r>
        <w:rPr>
          <w:rFonts w:cstheme="minorBidi"/>
          <w:szCs w:val="22"/>
        </w:rPr>
        <w:t>,</w:t>
      </w:r>
      <w:r w:rsidRPr="00A447B8">
        <w:rPr>
          <w:rFonts w:cstheme="minorBidi"/>
          <w:szCs w:val="22"/>
        </w:rPr>
        <w:t xml:space="preserve"> in comparison to </w:t>
      </w:r>
      <w:r w:rsidRPr="00A447B8">
        <w:rPr>
          <w:rFonts w:cstheme="minorBidi"/>
          <w:i/>
          <w:szCs w:val="22"/>
        </w:rPr>
        <w:t>H. pylori</w:t>
      </w:r>
      <w:r w:rsidRPr="00A447B8">
        <w:rPr>
          <w:rFonts w:cstheme="minorBidi"/>
          <w:szCs w:val="22"/>
        </w:rPr>
        <w:t xml:space="preserve"> negative patients.</w:t>
      </w:r>
    </w:p>
    <w:p w14:paraId="6319ED2C" w14:textId="77777777" w:rsidR="00A447B8" w:rsidRDefault="00A447B8" w:rsidP="00A447B8">
      <w:pPr>
        <w:pStyle w:val="PHEBulletpoint"/>
        <w:numPr>
          <w:ilvl w:val="0"/>
          <w:numId w:val="0"/>
        </w:numPr>
        <w:rPr>
          <w:rFonts w:cstheme="minorBidi"/>
          <w:szCs w:val="22"/>
        </w:rPr>
      </w:pPr>
    </w:p>
    <w:p w14:paraId="74ACA139" w14:textId="3E20374B" w:rsidR="00A447B8" w:rsidRDefault="00A447B8" w:rsidP="009E1133">
      <w:pPr>
        <w:pStyle w:val="PHEBulletpoint"/>
        <w:numPr>
          <w:ilvl w:val="0"/>
          <w:numId w:val="39"/>
        </w:numPr>
        <w:ind w:left="357" w:hanging="357"/>
        <w:rPr>
          <w:rFonts w:cstheme="minorBidi"/>
          <w:szCs w:val="22"/>
        </w:rPr>
      </w:pPr>
      <w:bookmarkStart w:id="11" w:name="Reference5"/>
      <w:bookmarkEnd w:id="11"/>
      <w:proofErr w:type="spellStart"/>
      <w:r>
        <w:rPr>
          <w:rFonts w:cstheme="minorBidi"/>
          <w:szCs w:val="22"/>
        </w:rPr>
        <w:t>Moayyedi</w:t>
      </w:r>
      <w:proofErr w:type="spellEnd"/>
      <w:r>
        <w:rPr>
          <w:rFonts w:cstheme="minorBidi"/>
          <w:szCs w:val="22"/>
        </w:rPr>
        <w:t xml:space="preserve"> P. </w:t>
      </w:r>
      <w:r>
        <w:rPr>
          <w:rFonts w:cstheme="minorBidi"/>
          <w:i/>
          <w:szCs w:val="22"/>
        </w:rPr>
        <w:t>Helicobacter pylori</w:t>
      </w:r>
      <w:r>
        <w:rPr>
          <w:rFonts w:cstheme="minorBidi"/>
          <w:szCs w:val="22"/>
        </w:rPr>
        <w:t xml:space="preserve"> test and treat strategy for young dyspeptic patients: new data. </w:t>
      </w:r>
      <w:r>
        <w:rPr>
          <w:rFonts w:cstheme="minorBidi"/>
          <w:i/>
          <w:szCs w:val="22"/>
        </w:rPr>
        <w:t>Gut</w:t>
      </w:r>
      <w:r>
        <w:rPr>
          <w:rFonts w:cstheme="minorBidi"/>
          <w:szCs w:val="22"/>
        </w:rPr>
        <w:t xml:space="preserve">. 2002 Apr; 50(4):47-50. Available from: </w:t>
      </w:r>
      <w:hyperlink r:id="rId37" w:history="1">
        <w:r w:rsidRPr="00C03755">
          <w:rPr>
            <w:rStyle w:val="Hyperlink"/>
            <w:rFonts w:cstheme="minorBidi"/>
            <w:color w:val="9C002A"/>
            <w:szCs w:val="22"/>
            <w:u w:val="none"/>
          </w:rPr>
          <w:t>http://gut.bmj.com/content/50/suppl_4/iv47.full.pdf+html</w:t>
        </w:r>
      </w:hyperlink>
      <w:r>
        <w:rPr>
          <w:rFonts w:cstheme="minorBidi"/>
          <w:szCs w:val="22"/>
        </w:rPr>
        <w:t>.</w:t>
      </w:r>
    </w:p>
    <w:p w14:paraId="29EE5C03" w14:textId="77777777" w:rsidR="00A447B8" w:rsidRDefault="00A447B8" w:rsidP="00A447B8">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A259B3">
        <w:rPr>
          <w:rFonts w:cstheme="minorBidi"/>
          <w:szCs w:val="22"/>
        </w:rPr>
        <w:t xml:space="preserve">A qualitative and semi-quantitative review of the data from four randomised controlled trials, comparing the </w:t>
      </w:r>
      <w:r w:rsidRPr="00A447B8">
        <w:rPr>
          <w:rFonts w:cstheme="minorBidi"/>
          <w:i/>
          <w:szCs w:val="22"/>
        </w:rPr>
        <w:t>H. pylori</w:t>
      </w:r>
      <w:r w:rsidRPr="00A259B3">
        <w:rPr>
          <w:rFonts w:cstheme="minorBidi"/>
          <w:szCs w:val="22"/>
        </w:rPr>
        <w:t xml:space="preserve"> test and treat strategy with prompt endoscopy. Three trials measured dyspepsia symptom resolution, and found the </w:t>
      </w:r>
      <w:r w:rsidRPr="00A447B8">
        <w:rPr>
          <w:rFonts w:cstheme="minorBidi"/>
          <w:i/>
          <w:szCs w:val="22"/>
        </w:rPr>
        <w:t>H. pylori</w:t>
      </w:r>
      <w:r w:rsidRPr="00A259B3">
        <w:rPr>
          <w:rFonts w:cstheme="minorBidi"/>
          <w:szCs w:val="22"/>
        </w:rPr>
        <w:t xml:space="preserve"> test and treat strategy to be as effective as prompt endoscopy. Quality of life was also similar across both groups, so conclusions were drawn that management decisions should be based on cost. The decision analysis model indicates that the </w:t>
      </w:r>
      <w:r w:rsidRPr="00A447B8">
        <w:rPr>
          <w:rFonts w:cstheme="minorBidi"/>
          <w:i/>
          <w:szCs w:val="22"/>
        </w:rPr>
        <w:t>H. pylori</w:t>
      </w:r>
      <w:r w:rsidRPr="00A259B3">
        <w:rPr>
          <w:rFonts w:cstheme="minorBidi"/>
          <w:szCs w:val="22"/>
        </w:rPr>
        <w:t xml:space="preserve"> test and treat strategy is the cheapest and most cost-effective, costing US $134 per patient per year, compared with US $240 per patient per year for prompt endoscopy.</w:t>
      </w:r>
    </w:p>
    <w:p w14:paraId="384C987C" w14:textId="77777777" w:rsidR="00A447B8" w:rsidRPr="00DC0E18" w:rsidRDefault="00A447B8" w:rsidP="00A447B8">
      <w:pPr>
        <w:pStyle w:val="PHEBulletpoint"/>
        <w:numPr>
          <w:ilvl w:val="0"/>
          <w:numId w:val="0"/>
        </w:numPr>
        <w:rPr>
          <w:rFonts w:cstheme="minorBidi"/>
          <w:szCs w:val="22"/>
        </w:rPr>
      </w:pPr>
    </w:p>
    <w:p w14:paraId="6D82AC21" w14:textId="4B45B316" w:rsidR="00A447B8" w:rsidRDefault="00A447B8" w:rsidP="009E1133">
      <w:pPr>
        <w:pStyle w:val="PHEBulletpoint"/>
        <w:numPr>
          <w:ilvl w:val="0"/>
          <w:numId w:val="39"/>
        </w:numPr>
        <w:ind w:left="357" w:hanging="357"/>
        <w:rPr>
          <w:rFonts w:cstheme="minorBidi"/>
          <w:szCs w:val="22"/>
        </w:rPr>
      </w:pPr>
      <w:bookmarkStart w:id="12" w:name="Reference6"/>
      <w:bookmarkEnd w:id="12"/>
      <w:r>
        <w:rPr>
          <w:rFonts w:cstheme="minorBidi"/>
          <w:szCs w:val="22"/>
        </w:rPr>
        <w:t xml:space="preserve">Delaney BC, </w:t>
      </w:r>
      <w:proofErr w:type="spellStart"/>
      <w:r>
        <w:rPr>
          <w:rFonts w:cstheme="minorBidi"/>
          <w:szCs w:val="22"/>
        </w:rPr>
        <w:t>Qume</w:t>
      </w:r>
      <w:proofErr w:type="spellEnd"/>
      <w:r>
        <w:rPr>
          <w:rFonts w:cstheme="minorBidi"/>
          <w:szCs w:val="22"/>
        </w:rPr>
        <w:t xml:space="preserve"> M, </w:t>
      </w:r>
      <w:proofErr w:type="spellStart"/>
      <w:r>
        <w:rPr>
          <w:rFonts w:cstheme="minorBidi"/>
          <w:szCs w:val="22"/>
        </w:rPr>
        <w:t>Moayyedi</w:t>
      </w:r>
      <w:proofErr w:type="spellEnd"/>
      <w:r>
        <w:rPr>
          <w:rFonts w:cstheme="minorBidi"/>
          <w:szCs w:val="22"/>
        </w:rPr>
        <w:t xml:space="preserve"> P, Logan RF, Ford AC, Elliott C </w:t>
      </w:r>
      <w:proofErr w:type="gramStart"/>
      <w:r>
        <w:rPr>
          <w:rFonts w:cstheme="minorBidi"/>
          <w:szCs w:val="22"/>
        </w:rPr>
        <w:t>et al.</w:t>
      </w:r>
      <w:proofErr w:type="gramEnd"/>
      <w:r>
        <w:rPr>
          <w:rFonts w:cstheme="minorBidi"/>
          <w:szCs w:val="22"/>
        </w:rPr>
        <w:t xml:space="preserve"> </w:t>
      </w:r>
      <w:r>
        <w:rPr>
          <w:rFonts w:cstheme="minorBidi"/>
          <w:i/>
          <w:szCs w:val="22"/>
        </w:rPr>
        <w:t>Helicobacter pylori</w:t>
      </w:r>
      <w:r>
        <w:rPr>
          <w:rFonts w:cstheme="minorBidi"/>
          <w:szCs w:val="22"/>
        </w:rPr>
        <w:t xml:space="preserve"> test and treat versus proton pump inhibitor in initial management of dyspepsia in primary care: multicentre randomised controlled trial (MRC-CUBE trial). </w:t>
      </w:r>
      <w:r>
        <w:rPr>
          <w:rFonts w:cstheme="minorBidi"/>
          <w:i/>
          <w:szCs w:val="22"/>
        </w:rPr>
        <w:t>BMJ</w:t>
      </w:r>
      <w:r>
        <w:rPr>
          <w:rFonts w:cstheme="minorBidi"/>
          <w:szCs w:val="22"/>
        </w:rPr>
        <w:t xml:space="preserve">. 2008 Mar; 22(336):651-654. Available from: </w:t>
      </w:r>
      <w:hyperlink r:id="rId38" w:history="1">
        <w:r w:rsidRPr="00CB7653">
          <w:rPr>
            <w:rStyle w:val="Hyperlink"/>
            <w:rFonts w:cstheme="minorBidi"/>
            <w:color w:val="9C002A"/>
            <w:szCs w:val="22"/>
            <w:u w:val="none"/>
          </w:rPr>
          <w:t>http://www.ncbi.nlm.nih.gov/pubmed/18310262</w:t>
        </w:r>
      </w:hyperlink>
      <w:r>
        <w:rPr>
          <w:rFonts w:cstheme="minorBidi"/>
          <w:szCs w:val="22"/>
        </w:rPr>
        <w:t>.</w:t>
      </w:r>
    </w:p>
    <w:p w14:paraId="5526A773" w14:textId="16FDB377" w:rsidR="00A447B8" w:rsidRDefault="00A447B8" w:rsidP="00A447B8">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A259B3">
        <w:rPr>
          <w:rFonts w:cstheme="minorBidi"/>
          <w:szCs w:val="22"/>
        </w:rPr>
        <w:t xml:space="preserve">A randomised controlled trial of 699 patients aged 18-65 who presented to their general practitioner with epigastric pain, heartburn, or both, without alarm symptoms for malignancy. This study compared the </w:t>
      </w:r>
      <w:r w:rsidRPr="00A447B8">
        <w:rPr>
          <w:rFonts w:cstheme="minorBidi"/>
          <w:i/>
          <w:szCs w:val="22"/>
        </w:rPr>
        <w:t>H. pylori</w:t>
      </w:r>
      <w:r w:rsidRPr="00A259B3">
        <w:rPr>
          <w:rFonts w:cstheme="minorBidi"/>
          <w:szCs w:val="22"/>
        </w:rPr>
        <w:t xml:space="preserve"> urea breath test, plus one week of eradication treatment</w:t>
      </w:r>
      <w:r>
        <w:rPr>
          <w:rFonts w:cstheme="minorBidi"/>
          <w:szCs w:val="22"/>
        </w:rPr>
        <w:t>,</w:t>
      </w:r>
      <w:r w:rsidRPr="00A259B3">
        <w:rPr>
          <w:rFonts w:cstheme="minorBidi"/>
          <w:szCs w:val="22"/>
        </w:rPr>
        <w:t xml:space="preserve"> if positive, to proton pump inhibitor therapy alone. At 12 months, there were no significant differences between the two groups in QALYs, cost, or dyspeptic symptoms. Minor reductions in costly resource use over the year in the test and treat group paid back the initial cost of testing. Therefore, test and treat and initial empirical acid suppression are equally cost-effective in the initial management of dyspepsia, when the prevalence of </w:t>
      </w:r>
      <w:r w:rsidRPr="00A447B8">
        <w:rPr>
          <w:rFonts w:cstheme="minorBidi"/>
          <w:i/>
          <w:szCs w:val="22"/>
        </w:rPr>
        <w:t>H. pylori</w:t>
      </w:r>
      <w:r w:rsidRPr="00A259B3">
        <w:rPr>
          <w:rFonts w:cstheme="minorBidi"/>
          <w:szCs w:val="22"/>
        </w:rPr>
        <w:t xml:space="preserve"> infection is </w:t>
      </w:r>
      <w:proofErr w:type="gramStart"/>
      <w:r w:rsidRPr="00A259B3">
        <w:rPr>
          <w:rFonts w:cstheme="minorBidi"/>
          <w:szCs w:val="22"/>
        </w:rPr>
        <w:t>similar to</w:t>
      </w:r>
      <w:proofErr w:type="gramEnd"/>
      <w:r w:rsidRPr="00A259B3">
        <w:rPr>
          <w:rFonts w:cstheme="minorBidi"/>
          <w:szCs w:val="22"/>
        </w:rPr>
        <w:t xml:space="preserve"> the prevalence in this study (29%). As therapy costs are similar, general practitioners should discuss with patients at which point to consider </w:t>
      </w:r>
      <w:r w:rsidRPr="00A447B8">
        <w:rPr>
          <w:rFonts w:cstheme="minorBidi"/>
          <w:i/>
          <w:szCs w:val="22"/>
        </w:rPr>
        <w:t>H. pylori</w:t>
      </w:r>
      <w:r w:rsidRPr="00A259B3">
        <w:rPr>
          <w:rFonts w:cstheme="minorBidi"/>
          <w:szCs w:val="22"/>
        </w:rPr>
        <w:t xml:space="preserve"> testing. At a lower prevalence (most areas of the</w:t>
      </w:r>
      <w:r>
        <w:rPr>
          <w:rFonts w:cstheme="minorBidi"/>
          <w:szCs w:val="22"/>
        </w:rPr>
        <w:t xml:space="preserve"> UK) it is suggested that PPIs should be used before </w:t>
      </w:r>
      <w:r>
        <w:rPr>
          <w:rFonts w:cstheme="minorBidi"/>
          <w:i/>
          <w:szCs w:val="22"/>
        </w:rPr>
        <w:t>H. pylori</w:t>
      </w:r>
      <w:r>
        <w:rPr>
          <w:rFonts w:cstheme="minorBidi"/>
          <w:szCs w:val="22"/>
        </w:rPr>
        <w:t xml:space="preserve"> test and treat, unless the chance of </w:t>
      </w:r>
      <w:r>
        <w:rPr>
          <w:rFonts w:cstheme="minorBidi"/>
          <w:i/>
          <w:szCs w:val="22"/>
        </w:rPr>
        <w:t>H. pylori</w:t>
      </w:r>
      <w:r>
        <w:rPr>
          <w:rFonts w:cstheme="minorBidi"/>
          <w:szCs w:val="22"/>
        </w:rPr>
        <w:t xml:space="preserve"> infection is greater (older age; ethnicity; areas of high </w:t>
      </w:r>
      <w:r>
        <w:rPr>
          <w:rFonts w:cstheme="minorBidi"/>
          <w:i/>
          <w:szCs w:val="22"/>
        </w:rPr>
        <w:t>H. pylori</w:t>
      </w:r>
      <w:r>
        <w:rPr>
          <w:rFonts w:cstheme="minorBidi"/>
          <w:szCs w:val="22"/>
        </w:rPr>
        <w:t xml:space="preserve"> prevalence).</w:t>
      </w:r>
    </w:p>
    <w:p w14:paraId="1A3097DC" w14:textId="77777777" w:rsidR="0055623A" w:rsidRPr="00DC0E18" w:rsidRDefault="0055623A" w:rsidP="0055623A">
      <w:pPr>
        <w:pStyle w:val="PHEBulletpoint"/>
        <w:numPr>
          <w:ilvl w:val="0"/>
          <w:numId w:val="0"/>
        </w:numPr>
        <w:rPr>
          <w:rFonts w:cstheme="minorBidi"/>
          <w:szCs w:val="22"/>
        </w:rPr>
      </w:pPr>
    </w:p>
    <w:p w14:paraId="3A4E4358" w14:textId="25D1C78D" w:rsidR="000F71CC" w:rsidRDefault="0055623A" w:rsidP="000F71CC">
      <w:pPr>
        <w:pStyle w:val="PHEBulletpoint"/>
        <w:numPr>
          <w:ilvl w:val="0"/>
          <w:numId w:val="39"/>
        </w:numPr>
        <w:ind w:left="357" w:hanging="357"/>
        <w:rPr>
          <w:rFonts w:cstheme="minorBidi"/>
          <w:szCs w:val="22"/>
        </w:rPr>
      </w:pPr>
      <w:bookmarkStart w:id="13" w:name="Reference7"/>
      <w:bookmarkEnd w:id="13"/>
      <w:r>
        <w:rPr>
          <w:rFonts w:cstheme="minorBidi"/>
          <w:szCs w:val="22"/>
        </w:rPr>
        <w:t xml:space="preserve">Bauer S, </w:t>
      </w:r>
      <w:proofErr w:type="spellStart"/>
      <w:r>
        <w:rPr>
          <w:rFonts w:cstheme="minorBidi"/>
          <w:szCs w:val="22"/>
        </w:rPr>
        <w:t>Krumbiegel</w:t>
      </w:r>
      <w:proofErr w:type="spellEnd"/>
      <w:r>
        <w:rPr>
          <w:rFonts w:cstheme="minorBidi"/>
          <w:szCs w:val="22"/>
        </w:rPr>
        <w:t xml:space="preserve"> P, Richter M, Richter T, </w:t>
      </w:r>
      <w:proofErr w:type="spellStart"/>
      <w:r>
        <w:rPr>
          <w:rFonts w:cstheme="minorBidi"/>
          <w:szCs w:val="22"/>
        </w:rPr>
        <w:t>Roder</w:t>
      </w:r>
      <w:proofErr w:type="spellEnd"/>
      <w:r>
        <w:rPr>
          <w:rFonts w:cstheme="minorBidi"/>
          <w:szCs w:val="22"/>
        </w:rPr>
        <w:t xml:space="preserve"> S, Rolle-</w:t>
      </w:r>
      <w:proofErr w:type="spellStart"/>
      <w:r>
        <w:rPr>
          <w:rFonts w:cstheme="minorBidi"/>
          <w:szCs w:val="22"/>
        </w:rPr>
        <w:t>Kampczyk</w:t>
      </w:r>
      <w:proofErr w:type="spellEnd"/>
      <w:r>
        <w:rPr>
          <w:rFonts w:cstheme="minorBidi"/>
          <w:szCs w:val="22"/>
        </w:rPr>
        <w:t xml:space="preserve"> U </w:t>
      </w:r>
      <w:proofErr w:type="gramStart"/>
      <w:r>
        <w:rPr>
          <w:rFonts w:cstheme="minorBidi"/>
          <w:szCs w:val="22"/>
        </w:rPr>
        <w:t>et al.</w:t>
      </w:r>
      <w:proofErr w:type="gramEnd"/>
      <w:r>
        <w:rPr>
          <w:rFonts w:cstheme="minorBidi"/>
          <w:szCs w:val="22"/>
        </w:rPr>
        <w:t xml:space="preserve"> Influence of sociodemographic factors on </w:t>
      </w:r>
      <w:r>
        <w:rPr>
          <w:rFonts w:cstheme="minorBidi"/>
          <w:i/>
          <w:szCs w:val="22"/>
        </w:rPr>
        <w:t>Helicobacter pylori</w:t>
      </w:r>
      <w:r>
        <w:rPr>
          <w:rFonts w:cstheme="minorBidi"/>
          <w:szCs w:val="22"/>
        </w:rPr>
        <w:t xml:space="preserve"> prevalence variability among school</w:t>
      </w:r>
      <w:r w:rsidR="008966A8">
        <w:rPr>
          <w:rFonts w:cstheme="minorBidi"/>
          <w:szCs w:val="22"/>
        </w:rPr>
        <w:t xml:space="preserve"> </w:t>
      </w:r>
      <w:r>
        <w:rPr>
          <w:rFonts w:cstheme="minorBidi"/>
          <w:szCs w:val="22"/>
        </w:rPr>
        <w:t xml:space="preserve">children </w:t>
      </w:r>
    </w:p>
    <w:p w14:paraId="47AF9B76" w14:textId="2768F57C" w:rsidR="008966A8" w:rsidRDefault="0055623A" w:rsidP="0057262C">
      <w:pPr>
        <w:pStyle w:val="PHEBulletpoint"/>
        <w:numPr>
          <w:ilvl w:val="0"/>
          <w:numId w:val="0"/>
        </w:numPr>
        <w:ind w:firstLine="357"/>
        <w:rPr>
          <w:rFonts w:cstheme="minorBidi"/>
          <w:szCs w:val="22"/>
        </w:rPr>
      </w:pPr>
      <w:r>
        <w:rPr>
          <w:rFonts w:cstheme="minorBidi"/>
          <w:szCs w:val="22"/>
        </w:rPr>
        <w:t xml:space="preserve">in Leipzig, Germany. A long-term follow-up study. </w:t>
      </w:r>
      <w:r>
        <w:rPr>
          <w:rFonts w:cstheme="minorBidi"/>
          <w:i/>
          <w:szCs w:val="22"/>
        </w:rPr>
        <w:t xml:space="preserve">Cent </w:t>
      </w:r>
      <w:proofErr w:type="spellStart"/>
      <w:r>
        <w:rPr>
          <w:rFonts w:cstheme="minorBidi"/>
          <w:i/>
          <w:szCs w:val="22"/>
        </w:rPr>
        <w:t>Eur</w:t>
      </w:r>
      <w:proofErr w:type="spellEnd"/>
      <w:r>
        <w:rPr>
          <w:rFonts w:cstheme="minorBidi"/>
          <w:i/>
          <w:szCs w:val="22"/>
        </w:rPr>
        <w:t xml:space="preserve"> J Public Health</w:t>
      </w:r>
      <w:r>
        <w:rPr>
          <w:rFonts w:cstheme="minorBidi"/>
          <w:szCs w:val="22"/>
        </w:rPr>
        <w:t>. 2011 Mar;</w:t>
      </w:r>
      <w:r w:rsidR="0057262C">
        <w:rPr>
          <w:rFonts w:cstheme="minorBidi"/>
          <w:szCs w:val="22"/>
        </w:rPr>
        <w:t xml:space="preserve"> </w:t>
      </w:r>
    </w:p>
    <w:p w14:paraId="0A68E99A" w14:textId="3EA855CB" w:rsidR="0055623A" w:rsidRDefault="0055623A" w:rsidP="009E1133">
      <w:pPr>
        <w:pStyle w:val="PHEBulletpoint"/>
        <w:numPr>
          <w:ilvl w:val="0"/>
          <w:numId w:val="0"/>
        </w:numPr>
        <w:ind w:left="357"/>
        <w:rPr>
          <w:rFonts w:cstheme="minorBidi"/>
          <w:szCs w:val="22"/>
        </w:rPr>
      </w:pPr>
      <w:r>
        <w:rPr>
          <w:rFonts w:cstheme="minorBidi"/>
          <w:szCs w:val="22"/>
        </w:rPr>
        <w:t xml:space="preserve">19(1):42-45. Available from: </w:t>
      </w:r>
      <w:hyperlink r:id="rId39" w:history="1">
        <w:r w:rsidRPr="00D503A6">
          <w:rPr>
            <w:rStyle w:val="Hyperlink"/>
            <w:rFonts w:cstheme="minorBidi"/>
            <w:color w:val="9C002A"/>
            <w:szCs w:val="22"/>
            <w:u w:val="none"/>
          </w:rPr>
          <w:t>http://www.ncbi.nlm.nih.gov/pubmed/21526656</w:t>
        </w:r>
      </w:hyperlink>
      <w:r>
        <w:rPr>
          <w:rFonts w:cstheme="minorBidi"/>
          <w:szCs w:val="22"/>
        </w:rPr>
        <w:t>.</w:t>
      </w:r>
    </w:p>
    <w:p w14:paraId="745088A3" w14:textId="77777777" w:rsidR="00531D26" w:rsidRDefault="00531D26" w:rsidP="0055623A">
      <w:pPr>
        <w:pStyle w:val="PHEBulletpoint"/>
        <w:numPr>
          <w:ilvl w:val="0"/>
          <w:numId w:val="0"/>
        </w:numPr>
        <w:ind w:left="720"/>
        <w:rPr>
          <w:rFonts w:cstheme="minorBidi"/>
          <w:szCs w:val="22"/>
        </w:rPr>
      </w:pPr>
    </w:p>
    <w:p w14:paraId="414D6C3F" w14:textId="77777777" w:rsidR="00531D26" w:rsidRDefault="00531D26" w:rsidP="0055623A">
      <w:pPr>
        <w:pStyle w:val="PHEBulletpoint"/>
        <w:numPr>
          <w:ilvl w:val="0"/>
          <w:numId w:val="0"/>
        </w:numPr>
        <w:ind w:left="720"/>
        <w:rPr>
          <w:rFonts w:cstheme="minorBidi"/>
          <w:szCs w:val="22"/>
        </w:rPr>
      </w:pPr>
    </w:p>
    <w:p w14:paraId="494A005B" w14:textId="5096B93E" w:rsidR="0055623A" w:rsidRDefault="0055623A" w:rsidP="0055623A">
      <w:pPr>
        <w:pStyle w:val="PHEBulletpoint"/>
        <w:numPr>
          <w:ilvl w:val="0"/>
          <w:numId w:val="0"/>
        </w:numPr>
        <w:ind w:left="720"/>
        <w:rPr>
          <w:rFonts w:cstheme="minorBidi"/>
          <w:szCs w:val="22"/>
        </w:rPr>
      </w:pPr>
      <w:r w:rsidRPr="00433A68">
        <w:rPr>
          <w:rFonts w:cstheme="minorBidi"/>
          <w:szCs w:val="22"/>
        </w:rPr>
        <w:t>RATIONALE:</w:t>
      </w:r>
      <w:r w:rsidRPr="0055623A">
        <w:rPr>
          <w:rFonts w:cstheme="minorBidi"/>
          <w:szCs w:val="22"/>
        </w:rPr>
        <w:t xml:space="preserve"> </w:t>
      </w:r>
      <w:r>
        <w:rPr>
          <w:rFonts w:cstheme="minorBidi"/>
          <w:szCs w:val="22"/>
        </w:rPr>
        <w:t>This German study outlines</w:t>
      </w:r>
      <w:r w:rsidRPr="00A259B3">
        <w:rPr>
          <w:rFonts w:cstheme="minorBidi"/>
          <w:szCs w:val="22"/>
        </w:rPr>
        <w:t xml:space="preserve"> overall </w:t>
      </w:r>
      <w:r w:rsidRPr="0055623A">
        <w:rPr>
          <w:rFonts w:cstheme="minorBidi"/>
          <w:i/>
          <w:szCs w:val="22"/>
        </w:rPr>
        <w:t>H. pylori</w:t>
      </w:r>
      <w:r w:rsidRPr="00A259B3">
        <w:rPr>
          <w:rFonts w:cstheme="minorBidi"/>
          <w:szCs w:val="22"/>
        </w:rPr>
        <w:t xml:space="preserve"> prevalence as 6.5%, having not significantly changed since 1998 (6.1%). Sugges</w:t>
      </w:r>
      <w:r>
        <w:rPr>
          <w:rFonts w:cstheme="minorBidi"/>
          <w:szCs w:val="22"/>
        </w:rPr>
        <w:t>ted risk factors for carriage a</w:t>
      </w:r>
      <w:r w:rsidRPr="00A259B3">
        <w:rPr>
          <w:rFonts w:cstheme="minorBidi"/>
          <w:szCs w:val="22"/>
        </w:rPr>
        <w:t>re: foreign nationality of at least one parent; birth outside of Germany; low parental education and unemployment; two or more older siblings.</w:t>
      </w:r>
    </w:p>
    <w:p w14:paraId="197B618E" w14:textId="77777777" w:rsidR="0055623A" w:rsidRPr="00DC0E18" w:rsidRDefault="0055623A" w:rsidP="0055623A">
      <w:pPr>
        <w:pStyle w:val="PHEBulletpoint"/>
        <w:numPr>
          <w:ilvl w:val="0"/>
          <w:numId w:val="0"/>
        </w:numPr>
        <w:rPr>
          <w:rFonts w:cstheme="minorBidi"/>
          <w:szCs w:val="22"/>
        </w:rPr>
      </w:pPr>
    </w:p>
    <w:p w14:paraId="2D5A5702" w14:textId="0129AA45" w:rsidR="0055623A" w:rsidRDefault="0055623A" w:rsidP="009E1133">
      <w:pPr>
        <w:pStyle w:val="PHEBulletpoint"/>
        <w:numPr>
          <w:ilvl w:val="0"/>
          <w:numId w:val="39"/>
        </w:numPr>
        <w:ind w:left="357" w:hanging="357"/>
        <w:rPr>
          <w:rFonts w:cstheme="minorBidi"/>
          <w:szCs w:val="22"/>
        </w:rPr>
      </w:pPr>
      <w:bookmarkStart w:id="14" w:name="Reference8"/>
      <w:bookmarkEnd w:id="14"/>
      <w:proofErr w:type="spellStart"/>
      <w:r>
        <w:rPr>
          <w:rFonts w:cstheme="minorBidi"/>
          <w:szCs w:val="22"/>
        </w:rPr>
        <w:t>Miendje</w:t>
      </w:r>
      <w:proofErr w:type="spellEnd"/>
      <w:r>
        <w:rPr>
          <w:rFonts w:cstheme="minorBidi"/>
          <w:szCs w:val="22"/>
        </w:rPr>
        <w:t xml:space="preserve"> </w:t>
      </w:r>
      <w:proofErr w:type="spellStart"/>
      <w:r>
        <w:rPr>
          <w:rFonts w:cstheme="minorBidi"/>
          <w:szCs w:val="22"/>
        </w:rPr>
        <w:t>Deyi</w:t>
      </w:r>
      <w:proofErr w:type="spellEnd"/>
      <w:r>
        <w:rPr>
          <w:rFonts w:cstheme="minorBidi"/>
          <w:szCs w:val="22"/>
        </w:rPr>
        <w:t xml:space="preserve"> VY, </w:t>
      </w:r>
      <w:proofErr w:type="spellStart"/>
      <w:r>
        <w:rPr>
          <w:rFonts w:cstheme="minorBidi"/>
          <w:szCs w:val="22"/>
        </w:rPr>
        <w:t>Vanderpas</w:t>
      </w:r>
      <w:proofErr w:type="spellEnd"/>
      <w:r>
        <w:rPr>
          <w:rFonts w:cstheme="minorBidi"/>
          <w:szCs w:val="22"/>
        </w:rPr>
        <w:t xml:space="preserve"> J, </w:t>
      </w:r>
      <w:proofErr w:type="spellStart"/>
      <w:r>
        <w:rPr>
          <w:rFonts w:cstheme="minorBidi"/>
          <w:szCs w:val="22"/>
        </w:rPr>
        <w:t>Bontems</w:t>
      </w:r>
      <w:proofErr w:type="spellEnd"/>
      <w:r>
        <w:rPr>
          <w:rFonts w:cstheme="minorBidi"/>
          <w:szCs w:val="22"/>
        </w:rPr>
        <w:t xml:space="preserve"> P, Van den </w:t>
      </w:r>
      <w:proofErr w:type="spellStart"/>
      <w:r>
        <w:rPr>
          <w:rFonts w:cstheme="minorBidi"/>
          <w:szCs w:val="22"/>
        </w:rPr>
        <w:t>Borre</w:t>
      </w:r>
      <w:proofErr w:type="spellEnd"/>
      <w:r>
        <w:rPr>
          <w:rFonts w:cstheme="minorBidi"/>
          <w:szCs w:val="22"/>
        </w:rPr>
        <w:t xml:space="preserve"> C, De </w:t>
      </w:r>
      <w:proofErr w:type="spellStart"/>
      <w:r>
        <w:rPr>
          <w:rFonts w:cstheme="minorBidi"/>
          <w:szCs w:val="22"/>
        </w:rPr>
        <w:t>Koster</w:t>
      </w:r>
      <w:proofErr w:type="spellEnd"/>
      <w:r>
        <w:rPr>
          <w:rFonts w:cstheme="minorBidi"/>
          <w:szCs w:val="22"/>
        </w:rPr>
        <w:t xml:space="preserve"> E, </w:t>
      </w:r>
      <w:proofErr w:type="spellStart"/>
      <w:r>
        <w:rPr>
          <w:rFonts w:cstheme="minorBidi"/>
          <w:szCs w:val="22"/>
        </w:rPr>
        <w:t>Cadranel</w:t>
      </w:r>
      <w:proofErr w:type="spellEnd"/>
      <w:r>
        <w:rPr>
          <w:rFonts w:cstheme="minorBidi"/>
          <w:szCs w:val="22"/>
        </w:rPr>
        <w:t xml:space="preserve"> S </w:t>
      </w:r>
      <w:proofErr w:type="gramStart"/>
      <w:r>
        <w:rPr>
          <w:rFonts w:cstheme="minorBidi"/>
          <w:szCs w:val="22"/>
        </w:rPr>
        <w:t>et al.</w:t>
      </w:r>
      <w:proofErr w:type="gramEnd"/>
      <w:r>
        <w:rPr>
          <w:rFonts w:cstheme="minorBidi"/>
          <w:szCs w:val="22"/>
        </w:rPr>
        <w:t xml:space="preserve"> Marching cohort of </w:t>
      </w:r>
      <w:r>
        <w:rPr>
          <w:rFonts w:cstheme="minorBidi"/>
          <w:i/>
          <w:szCs w:val="22"/>
        </w:rPr>
        <w:t>Helicobacter pylori</w:t>
      </w:r>
      <w:r>
        <w:rPr>
          <w:rFonts w:cstheme="minorBidi"/>
          <w:szCs w:val="22"/>
        </w:rPr>
        <w:t xml:space="preserve"> infection over two decades (1988-2007): combined effects of secular trend and population migration. </w:t>
      </w:r>
      <w:proofErr w:type="spellStart"/>
      <w:r>
        <w:rPr>
          <w:rFonts w:cstheme="minorBidi"/>
          <w:i/>
          <w:szCs w:val="22"/>
        </w:rPr>
        <w:t>Epidemiol</w:t>
      </w:r>
      <w:proofErr w:type="spellEnd"/>
      <w:r>
        <w:rPr>
          <w:rFonts w:cstheme="minorBidi"/>
          <w:i/>
          <w:szCs w:val="22"/>
        </w:rPr>
        <w:t xml:space="preserve"> Infect.</w:t>
      </w:r>
      <w:r>
        <w:rPr>
          <w:rFonts w:cstheme="minorBidi"/>
          <w:szCs w:val="22"/>
        </w:rPr>
        <w:t xml:space="preserve"> 2011 Apr; 139(4):572-580. Available from: </w:t>
      </w:r>
      <w:hyperlink r:id="rId40" w:history="1">
        <w:r w:rsidRPr="00E3479D">
          <w:rPr>
            <w:rStyle w:val="Hyperlink"/>
            <w:rFonts w:cstheme="minorBidi"/>
            <w:color w:val="9C002A"/>
            <w:szCs w:val="22"/>
            <w:u w:val="none"/>
          </w:rPr>
          <w:t>http://www.ncbi.nlm.nih.gov/pubmed/20525410</w:t>
        </w:r>
      </w:hyperlink>
      <w:r>
        <w:rPr>
          <w:rFonts w:cstheme="minorBidi"/>
          <w:szCs w:val="22"/>
        </w:rPr>
        <w:t>.</w:t>
      </w:r>
    </w:p>
    <w:p w14:paraId="5550EDA4" w14:textId="51BB1CCD" w:rsidR="0055623A" w:rsidRDefault="0055623A" w:rsidP="009E1133">
      <w:pPr>
        <w:pStyle w:val="PHEBulletpoint"/>
        <w:numPr>
          <w:ilvl w:val="0"/>
          <w:numId w:val="0"/>
        </w:numPr>
        <w:ind w:left="788" w:hanging="68"/>
        <w:rPr>
          <w:rFonts w:cstheme="minorBidi"/>
          <w:szCs w:val="22"/>
        </w:rPr>
      </w:pPr>
      <w:r w:rsidRPr="00433A68">
        <w:rPr>
          <w:rFonts w:cstheme="minorBidi"/>
          <w:szCs w:val="22"/>
        </w:rPr>
        <w:t>RATIONALE:</w:t>
      </w:r>
      <w:r>
        <w:rPr>
          <w:rFonts w:cstheme="minorBidi"/>
          <w:szCs w:val="22"/>
        </w:rPr>
        <w:t xml:space="preserve"> </w:t>
      </w:r>
      <w:r w:rsidRPr="00A259B3">
        <w:rPr>
          <w:rFonts w:cstheme="minorBidi"/>
          <w:szCs w:val="22"/>
        </w:rPr>
        <w:t xml:space="preserve">A long-term cohort study in Brussels involving </w:t>
      </w:r>
      <w:r>
        <w:rPr>
          <w:rFonts w:cstheme="minorBidi"/>
          <w:szCs w:val="22"/>
        </w:rPr>
        <w:t xml:space="preserve">22,612 patients in whom a first </w:t>
      </w:r>
      <w:r w:rsidRPr="00A259B3">
        <w:rPr>
          <w:rFonts w:cstheme="minorBidi"/>
          <w:szCs w:val="22"/>
        </w:rPr>
        <w:t>culture of gastric biopsy (routinely performed in medical centres) yielded an interpretable result. The lowest infection rate was observed in Western European patients (n=11,238), with 36.2% and 15.2% infected subjects in 1988 and 2007, respectively, compared to 71.7% and 40% in North African patients (n=3,200).</w:t>
      </w:r>
    </w:p>
    <w:p w14:paraId="124CC9A1" w14:textId="77777777" w:rsidR="0055623A" w:rsidRPr="00DC0E18" w:rsidRDefault="0055623A" w:rsidP="0055623A">
      <w:pPr>
        <w:pStyle w:val="PHEBulletpoint"/>
        <w:numPr>
          <w:ilvl w:val="0"/>
          <w:numId w:val="0"/>
        </w:numPr>
        <w:rPr>
          <w:rFonts w:cstheme="minorBidi"/>
          <w:szCs w:val="22"/>
        </w:rPr>
      </w:pPr>
    </w:p>
    <w:p w14:paraId="26DFE135" w14:textId="48C14410" w:rsidR="0055623A" w:rsidRDefault="0055623A" w:rsidP="009E1133">
      <w:pPr>
        <w:pStyle w:val="PHEBulletpoint"/>
        <w:numPr>
          <w:ilvl w:val="0"/>
          <w:numId w:val="39"/>
        </w:numPr>
        <w:ind w:left="357" w:hanging="357"/>
        <w:rPr>
          <w:rFonts w:cstheme="minorBidi"/>
          <w:szCs w:val="22"/>
        </w:rPr>
      </w:pPr>
      <w:bookmarkStart w:id="15" w:name="Reference9"/>
      <w:bookmarkEnd w:id="15"/>
      <w:proofErr w:type="spellStart"/>
      <w:r>
        <w:rPr>
          <w:rFonts w:cstheme="minorBidi"/>
          <w:szCs w:val="22"/>
        </w:rPr>
        <w:t>Moujaber</w:t>
      </w:r>
      <w:proofErr w:type="spellEnd"/>
      <w:r>
        <w:rPr>
          <w:rFonts w:cstheme="minorBidi"/>
          <w:szCs w:val="22"/>
        </w:rPr>
        <w:t xml:space="preserve"> T, </w:t>
      </w:r>
      <w:proofErr w:type="spellStart"/>
      <w:r>
        <w:rPr>
          <w:rFonts w:cstheme="minorBidi"/>
          <w:szCs w:val="22"/>
        </w:rPr>
        <w:t>MacIntyre</w:t>
      </w:r>
      <w:proofErr w:type="spellEnd"/>
      <w:r>
        <w:rPr>
          <w:rFonts w:cstheme="minorBidi"/>
          <w:szCs w:val="22"/>
        </w:rPr>
        <w:t xml:space="preserve"> CR, Backhouse J, </w:t>
      </w:r>
      <w:proofErr w:type="spellStart"/>
      <w:r>
        <w:rPr>
          <w:rFonts w:cstheme="minorBidi"/>
          <w:szCs w:val="22"/>
        </w:rPr>
        <w:t>Gidding</w:t>
      </w:r>
      <w:proofErr w:type="spellEnd"/>
      <w:r>
        <w:rPr>
          <w:rFonts w:cstheme="minorBidi"/>
          <w:szCs w:val="22"/>
        </w:rPr>
        <w:t xml:space="preserve"> H, Quinn H, Gilbert GL. The </w:t>
      </w:r>
      <w:proofErr w:type="spellStart"/>
      <w:r>
        <w:rPr>
          <w:rFonts w:cstheme="minorBidi"/>
          <w:szCs w:val="22"/>
        </w:rPr>
        <w:t>seroepidemiology</w:t>
      </w:r>
      <w:proofErr w:type="spellEnd"/>
      <w:r>
        <w:rPr>
          <w:rFonts w:cstheme="minorBidi"/>
          <w:szCs w:val="22"/>
        </w:rPr>
        <w:t xml:space="preserve"> of </w:t>
      </w:r>
      <w:r>
        <w:rPr>
          <w:rFonts w:cstheme="minorBidi"/>
          <w:i/>
          <w:szCs w:val="22"/>
        </w:rPr>
        <w:t>Helicobacter pylori</w:t>
      </w:r>
      <w:r>
        <w:rPr>
          <w:rFonts w:cstheme="minorBidi"/>
          <w:szCs w:val="22"/>
        </w:rPr>
        <w:t xml:space="preserve"> infection in Australia. </w:t>
      </w:r>
      <w:proofErr w:type="spellStart"/>
      <w:r>
        <w:rPr>
          <w:rFonts w:cstheme="minorBidi"/>
          <w:i/>
          <w:szCs w:val="22"/>
        </w:rPr>
        <w:t>Int</w:t>
      </w:r>
      <w:proofErr w:type="spellEnd"/>
      <w:r>
        <w:rPr>
          <w:rFonts w:cstheme="minorBidi"/>
          <w:i/>
          <w:szCs w:val="22"/>
        </w:rPr>
        <w:t xml:space="preserve"> J Infect Dis</w:t>
      </w:r>
      <w:r>
        <w:rPr>
          <w:rFonts w:cstheme="minorBidi"/>
          <w:szCs w:val="22"/>
        </w:rPr>
        <w:t xml:space="preserve">. 2008 Sep; 12(5):500-504. Available from: </w:t>
      </w:r>
      <w:hyperlink r:id="rId41" w:history="1">
        <w:r w:rsidRPr="009731AE">
          <w:rPr>
            <w:rStyle w:val="Hyperlink"/>
            <w:rFonts w:cstheme="minorBidi"/>
            <w:color w:val="9C002A"/>
            <w:szCs w:val="22"/>
            <w:u w:val="none"/>
          </w:rPr>
          <w:t>http://www.ncbi.nlm.nih.gov/pubmed/18400542</w:t>
        </w:r>
      </w:hyperlink>
      <w:r>
        <w:rPr>
          <w:rFonts w:cstheme="minorBidi"/>
          <w:szCs w:val="22"/>
        </w:rPr>
        <w:t>.</w:t>
      </w:r>
    </w:p>
    <w:p w14:paraId="395D05DC" w14:textId="3A36157A" w:rsidR="0055623A" w:rsidRDefault="0055623A" w:rsidP="0055623A">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A259B3">
        <w:rPr>
          <w:rFonts w:cstheme="minorBidi"/>
          <w:szCs w:val="22"/>
        </w:rPr>
        <w:t xml:space="preserve">A randomised study of a representative sample of 2,413 sera, reporting a </w:t>
      </w:r>
      <w:proofErr w:type="spellStart"/>
      <w:r w:rsidRPr="00A259B3">
        <w:rPr>
          <w:rFonts w:cstheme="minorBidi"/>
          <w:szCs w:val="22"/>
        </w:rPr>
        <w:t>seroprevalence</w:t>
      </w:r>
      <w:proofErr w:type="spellEnd"/>
      <w:r w:rsidRPr="00A259B3">
        <w:rPr>
          <w:rFonts w:cstheme="minorBidi"/>
          <w:szCs w:val="22"/>
        </w:rPr>
        <w:t xml:space="preserve"> of 15.1% using </w:t>
      </w:r>
      <w:r w:rsidRPr="0055623A">
        <w:rPr>
          <w:rFonts w:cstheme="minorBidi"/>
          <w:i/>
          <w:szCs w:val="22"/>
        </w:rPr>
        <w:t>H. pylori</w:t>
      </w:r>
      <w:r w:rsidRPr="00A259B3">
        <w:rPr>
          <w:rFonts w:cstheme="minorBidi"/>
          <w:szCs w:val="22"/>
        </w:rPr>
        <w:t>-specific ELISA for the presence of IgG antibodies.</w:t>
      </w:r>
      <w:r>
        <w:rPr>
          <w:rFonts w:cstheme="minorBidi"/>
          <w:szCs w:val="22"/>
        </w:rPr>
        <w:t xml:space="preserve"> This study </w:t>
      </w:r>
      <w:r w:rsidR="00440C32">
        <w:rPr>
          <w:rFonts w:cstheme="minorBidi"/>
          <w:szCs w:val="22"/>
        </w:rPr>
        <w:t>also discusses</w:t>
      </w:r>
      <w:r>
        <w:rPr>
          <w:rFonts w:cstheme="minorBidi"/>
          <w:szCs w:val="22"/>
        </w:rPr>
        <w:t xml:space="preserve"> the varying prevalence of </w:t>
      </w:r>
      <w:r>
        <w:rPr>
          <w:rFonts w:cstheme="minorBidi"/>
          <w:i/>
          <w:szCs w:val="22"/>
        </w:rPr>
        <w:t>H. pylori</w:t>
      </w:r>
      <w:r>
        <w:rPr>
          <w:rFonts w:cstheme="minorBidi"/>
          <w:szCs w:val="22"/>
        </w:rPr>
        <w:t xml:space="preserve"> across </w:t>
      </w:r>
      <w:r w:rsidR="00440C32">
        <w:rPr>
          <w:rFonts w:cstheme="minorBidi"/>
          <w:szCs w:val="22"/>
        </w:rPr>
        <w:t>different population groups internationally</w:t>
      </w:r>
      <w:r>
        <w:rPr>
          <w:rFonts w:cstheme="minorBidi"/>
          <w:szCs w:val="22"/>
        </w:rPr>
        <w:t>.</w:t>
      </w:r>
    </w:p>
    <w:p w14:paraId="47E2C688" w14:textId="77777777" w:rsidR="00440C32" w:rsidRPr="00DC0E18" w:rsidRDefault="00440C32" w:rsidP="00440C32">
      <w:pPr>
        <w:pStyle w:val="PHEBulletpoint"/>
        <w:numPr>
          <w:ilvl w:val="0"/>
          <w:numId w:val="0"/>
        </w:numPr>
        <w:rPr>
          <w:rFonts w:cstheme="minorBidi"/>
          <w:szCs w:val="22"/>
        </w:rPr>
      </w:pPr>
    </w:p>
    <w:p w14:paraId="61E727BF" w14:textId="08FF9990" w:rsidR="00440C32" w:rsidRDefault="00440C32" w:rsidP="009E1133">
      <w:pPr>
        <w:pStyle w:val="PHEBulletpoint"/>
        <w:numPr>
          <w:ilvl w:val="0"/>
          <w:numId w:val="39"/>
        </w:numPr>
        <w:ind w:left="357" w:hanging="357"/>
        <w:rPr>
          <w:rFonts w:cstheme="minorBidi"/>
          <w:szCs w:val="22"/>
        </w:rPr>
      </w:pPr>
      <w:bookmarkStart w:id="16" w:name="Reference10"/>
      <w:bookmarkEnd w:id="16"/>
      <w:r>
        <w:rPr>
          <w:rFonts w:cstheme="minorBidi"/>
          <w:szCs w:val="22"/>
        </w:rPr>
        <w:t xml:space="preserve">McNulty CA, Lasseter G, Shaw I, Nichols T, D’Arcy S, Lawson AJ et al. Is </w:t>
      </w:r>
      <w:r>
        <w:rPr>
          <w:rFonts w:cstheme="minorBidi"/>
          <w:i/>
          <w:szCs w:val="22"/>
        </w:rPr>
        <w:t>Helicobacter pylori</w:t>
      </w:r>
      <w:r>
        <w:rPr>
          <w:rFonts w:cstheme="minorBidi"/>
          <w:szCs w:val="22"/>
        </w:rPr>
        <w:t xml:space="preserve"> antibiotic resistance surveillance needed and how can it be delivered? </w:t>
      </w:r>
      <w:r>
        <w:rPr>
          <w:rFonts w:cstheme="minorBidi"/>
          <w:i/>
          <w:szCs w:val="22"/>
        </w:rPr>
        <w:t xml:space="preserve">Aliment </w:t>
      </w:r>
      <w:proofErr w:type="spellStart"/>
      <w:r>
        <w:rPr>
          <w:rFonts w:cstheme="minorBidi"/>
          <w:i/>
          <w:szCs w:val="22"/>
        </w:rPr>
        <w:t>Pharmacol</w:t>
      </w:r>
      <w:proofErr w:type="spellEnd"/>
      <w:r>
        <w:rPr>
          <w:rFonts w:cstheme="minorBidi"/>
          <w:i/>
          <w:szCs w:val="22"/>
        </w:rPr>
        <w:t xml:space="preserve"> </w:t>
      </w:r>
      <w:proofErr w:type="spellStart"/>
      <w:r>
        <w:rPr>
          <w:rFonts w:cstheme="minorBidi"/>
          <w:i/>
          <w:szCs w:val="22"/>
        </w:rPr>
        <w:t>Ther</w:t>
      </w:r>
      <w:proofErr w:type="spellEnd"/>
      <w:r>
        <w:rPr>
          <w:rFonts w:cstheme="minorBidi"/>
          <w:szCs w:val="22"/>
        </w:rPr>
        <w:t xml:space="preserve">. 2012 May; 35(10):1221-1230. Available from: </w:t>
      </w:r>
      <w:hyperlink r:id="rId42" w:history="1">
        <w:r w:rsidRPr="00497618">
          <w:rPr>
            <w:rStyle w:val="Hyperlink"/>
            <w:rFonts w:cstheme="minorBidi"/>
            <w:color w:val="9C002A"/>
            <w:szCs w:val="22"/>
            <w:u w:val="none"/>
          </w:rPr>
          <w:t>http://www.ncbi.nlm.nih.gov/pubmed/22469191</w:t>
        </w:r>
      </w:hyperlink>
      <w:r>
        <w:rPr>
          <w:rFonts w:cstheme="minorBidi"/>
          <w:szCs w:val="22"/>
        </w:rPr>
        <w:t>.</w:t>
      </w:r>
    </w:p>
    <w:p w14:paraId="50B2E6C1" w14:textId="7F8AB5A4" w:rsidR="00440C32" w:rsidRDefault="00440C32" w:rsidP="00440C32">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A259B3">
        <w:rPr>
          <w:rFonts w:cstheme="minorBidi"/>
          <w:szCs w:val="22"/>
        </w:rPr>
        <w:t xml:space="preserve">A 2009/2010 study of </w:t>
      </w:r>
      <w:r w:rsidRPr="00440C32">
        <w:rPr>
          <w:rFonts w:cstheme="minorBidi"/>
          <w:i/>
          <w:szCs w:val="22"/>
        </w:rPr>
        <w:t>Helicobacter pylori</w:t>
      </w:r>
      <w:r w:rsidRPr="00A259B3">
        <w:rPr>
          <w:rFonts w:cstheme="minorBidi"/>
          <w:szCs w:val="22"/>
        </w:rPr>
        <w:t xml:space="preserve"> antibiotic resistance surveillance in three centres across England and Wales. Biopsy specimens were taken from endoscopy patients in Gloucester, England and Bangor, Wales. Of 1,153 biopsy specimens in Gloucester, 11% were tested positive for </w:t>
      </w:r>
      <w:r w:rsidRPr="00440C32">
        <w:rPr>
          <w:rFonts w:cstheme="minorBidi"/>
          <w:i/>
          <w:szCs w:val="22"/>
        </w:rPr>
        <w:t>H. pylori</w:t>
      </w:r>
      <w:r w:rsidRPr="00A259B3">
        <w:rPr>
          <w:rFonts w:cstheme="minorBidi"/>
          <w:szCs w:val="22"/>
        </w:rPr>
        <w:t xml:space="preserve"> on culture or biopsy urease test, and 9% were tested positive by serology. Antibiotic resistance to amoxicillin, rifabutin and tetracycline remained very low, whereas each course of clarithromycin, metronidazole and levofloxacin was related to a 50% increase in resistance.</w:t>
      </w:r>
    </w:p>
    <w:p w14:paraId="07674C64" w14:textId="77777777" w:rsidR="00440C32" w:rsidRPr="00DC0E18" w:rsidRDefault="00440C32" w:rsidP="00440C32">
      <w:pPr>
        <w:pStyle w:val="PHEBulletpoint"/>
        <w:numPr>
          <w:ilvl w:val="0"/>
          <w:numId w:val="0"/>
        </w:numPr>
        <w:rPr>
          <w:rFonts w:cstheme="minorBidi"/>
          <w:szCs w:val="22"/>
        </w:rPr>
      </w:pPr>
    </w:p>
    <w:p w14:paraId="20EA5CE4" w14:textId="57B1835F" w:rsidR="00440C32" w:rsidRDefault="00440C32" w:rsidP="009E1133">
      <w:pPr>
        <w:pStyle w:val="PHEBulletpoint"/>
        <w:numPr>
          <w:ilvl w:val="0"/>
          <w:numId w:val="39"/>
        </w:numPr>
        <w:ind w:left="357" w:hanging="357"/>
        <w:rPr>
          <w:rFonts w:cstheme="minorBidi"/>
          <w:szCs w:val="22"/>
        </w:rPr>
      </w:pPr>
      <w:bookmarkStart w:id="17" w:name="Reference11"/>
      <w:bookmarkEnd w:id="17"/>
      <w:proofErr w:type="spellStart"/>
      <w:r>
        <w:rPr>
          <w:rFonts w:cstheme="minorBidi"/>
          <w:szCs w:val="22"/>
        </w:rPr>
        <w:t>Malfertheiner</w:t>
      </w:r>
      <w:proofErr w:type="spellEnd"/>
      <w:r>
        <w:rPr>
          <w:rFonts w:cstheme="minorBidi"/>
          <w:szCs w:val="22"/>
        </w:rPr>
        <w:t xml:space="preserve"> P, </w:t>
      </w:r>
      <w:proofErr w:type="spellStart"/>
      <w:r>
        <w:rPr>
          <w:rFonts w:cstheme="minorBidi"/>
          <w:szCs w:val="22"/>
        </w:rPr>
        <w:t>Megraud</w:t>
      </w:r>
      <w:proofErr w:type="spellEnd"/>
      <w:r>
        <w:rPr>
          <w:rFonts w:cstheme="minorBidi"/>
          <w:szCs w:val="22"/>
        </w:rPr>
        <w:t xml:space="preserve"> F, </w:t>
      </w:r>
      <w:proofErr w:type="spellStart"/>
      <w:r>
        <w:rPr>
          <w:rFonts w:cstheme="minorBidi"/>
          <w:szCs w:val="22"/>
        </w:rPr>
        <w:t>O’Morain</w:t>
      </w:r>
      <w:proofErr w:type="spellEnd"/>
      <w:r>
        <w:rPr>
          <w:rFonts w:cstheme="minorBidi"/>
          <w:szCs w:val="22"/>
        </w:rPr>
        <w:t xml:space="preserve"> CA, Atherton J, Axon AT, </w:t>
      </w:r>
      <w:proofErr w:type="spellStart"/>
      <w:r>
        <w:rPr>
          <w:rFonts w:cstheme="minorBidi"/>
          <w:szCs w:val="22"/>
        </w:rPr>
        <w:t>Bazzoli</w:t>
      </w:r>
      <w:proofErr w:type="spellEnd"/>
      <w:r>
        <w:rPr>
          <w:rFonts w:cstheme="minorBidi"/>
          <w:szCs w:val="22"/>
        </w:rPr>
        <w:t xml:space="preserve"> F </w:t>
      </w:r>
      <w:proofErr w:type="gramStart"/>
      <w:r>
        <w:rPr>
          <w:rFonts w:cstheme="minorBidi"/>
          <w:szCs w:val="22"/>
        </w:rPr>
        <w:t>et al.</w:t>
      </w:r>
      <w:proofErr w:type="gramEnd"/>
      <w:r>
        <w:rPr>
          <w:rFonts w:cstheme="minorBidi"/>
          <w:szCs w:val="22"/>
        </w:rPr>
        <w:t xml:space="preserve"> Management of </w:t>
      </w:r>
      <w:r>
        <w:rPr>
          <w:rFonts w:cstheme="minorBidi"/>
          <w:i/>
          <w:szCs w:val="22"/>
        </w:rPr>
        <w:t>Helicobacter pylori</w:t>
      </w:r>
      <w:r>
        <w:rPr>
          <w:rFonts w:cstheme="minorBidi"/>
          <w:szCs w:val="22"/>
        </w:rPr>
        <w:t xml:space="preserve"> infection – the Maastricht IV/Florence Consensus Report. </w:t>
      </w:r>
      <w:r>
        <w:rPr>
          <w:rFonts w:cstheme="minorBidi"/>
          <w:i/>
          <w:szCs w:val="22"/>
        </w:rPr>
        <w:t>Gut</w:t>
      </w:r>
      <w:r>
        <w:rPr>
          <w:rFonts w:cstheme="minorBidi"/>
          <w:szCs w:val="22"/>
        </w:rPr>
        <w:t xml:space="preserve">. 2012 </w:t>
      </w:r>
      <w:r w:rsidRPr="00440C32">
        <w:rPr>
          <w:rFonts w:cstheme="minorBidi"/>
          <w:szCs w:val="22"/>
        </w:rPr>
        <w:t xml:space="preserve">Feb; 61:646-664. Available from: </w:t>
      </w:r>
      <w:hyperlink r:id="rId43" w:history="1">
        <w:r w:rsidRPr="00440C32">
          <w:rPr>
            <w:rStyle w:val="Hyperlink"/>
            <w:rFonts w:cstheme="minorBidi"/>
            <w:color w:val="9C002A"/>
            <w:szCs w:val="22"/>
            <w:u w:val="none"/>
          </w:rPr>
          <w:t>http://gut.bmj.com/content/61/5/646.full.pdf</w:t>
        </w:r>
      </w:hyperlink>
      <w:r w:rsidRPr="00440C32">
        <w:rPr>
          <w:rFonts w:cstheme="minorBidi"/>
          <w:szCs w:val="22"/>
        </w:rPr>
        <w:t>.</w:t>
      </w:r>
    </w:p>
    <w:p w14:paraId="130D2BEE" w14:textId="009E4C39" w:rsidR="00DF27AA" w:rsidRDefault="00440C32" w:rsidP="0057262C">
      <w:pPr>
        <w:pStyle w:val="PHEBulletpoint"/>
        <w:numPr>
          <w:ilvl w:val="0"/>
          <w:numId w:val="0"/>
        </w:numPr>
        <w:ind w:left="720"/>
        <w:rPr>
          <w:rFonts w:cstheme="minorBidi"/>
          <w:szCs w:val="22"/>
        </w:rPr>
      </w:pPr>
      <w:r w:rsidRPr="00433A68">
        <w:rPr>
          <w:rFonts w:cstheme="minorBidi"/>
          <w:szCs w:val="22"/>
        </w:rPr>
        <w:t>RATIONALE:</w:t>
      </w:r>
      <w:r w:rsidRPr="00A275E2">
        <w:rPr>
          <w:rFonts w:cstheme="minorBidi"/>
          <w:szCs w:val="22"/>
        </w:rPr>
        <w:t xml:space="preserve"> </w:t>
      </w:r>
      <w:r w:rsidR="00DE310B" w:rsidRPr="00A275E2">
        <w:rPr>
          <w:rFonts w:cstheme="minorBidi"/>
          <w:szCs w:val="22"/>
        </w:rPr>
        <w:t xml:space="preserve">A consensus report providing expert opinion on the most appropriate management and diagnostic tests for </w:t>
      </w:r>
      <w:r w:rsidR="00DE310B" w:rsidRPr="00A275E2">
        <w:rPr>
          <w:rFonts w:cstheme="minorBidi"/>
          <w:i/>
          <w:szCs w:val="22"/>
        </w:rPr>
        <w:t>Helicobacter pylori</w:t>
      </w:r>
      <w:r w:rsidR="00DE310B" w:rsidRPr="00A275E2">
        <w:rPr>
          <w:rFonts w:cstheme="minorBidi"/>
          <w:szCs w:val="22"/>
        </w:rPr>
        <w:t xml:space="preserve">. The report advises that younger patients without alarm symptoms should be offered test and treat for </w:t>
      </w:r>
      <w:r w:rsidR="00DE310B" w:rsidRPr="00A275E2">
        <w:rPr>
          <w:rFonts w:cstheme="minorBidi"/>
          <w:i/>
          <w:szCs w:val="22"/>
        </w:rPr>
        <w:t>H. pylori</w:t>
      </w:r>
      <w:r w:rsidR="00DE310B" w:rsidRPr="00A275E2">
        <w:rPr>
          <w:rFonts w:cstheme="minorBidi"/>
          <w:szCs w:val="22"/>
        </w:rPr>
        <w:t xml:space="preserve"> if local prevalence is over 20%, </w:t>
      </w:r>
      <w:proofErr w:type="gramStart"/>
      <w:r w:rsidR="00DE310B" w:rsidRPr="00A275E2">
        <w:rPr>
          <w:rFonts w:cstheme="minorBidi"/>
          <w:szCs w:val="22"/>
        </w:rPr>
        <w:t>and also</w:t>
      </w:r>
      <w:proofErr w:type="gramEnd"/>
      <w:r w:rsidR="00DE310B" w:rsidRPr="00A275E2">
        <w:rPr>
          <w:rFonts w:cstheme="minorBidi"/>
          <w:szCs w:val="22"/>
        </w:rPr>
        <w:t xml:space="preserve"> states that </w:t>
      </w:r>
      <w:r w:rsidR="00DE310B" w:rsidRPr="00A275E2">
        <w:rPr>
          <w:rFonts w:cstheme="minorBidi"/>
          <w:i/>
          <w:szCs w:val="22"/>
        </w:rPr>
        <w:t>H. pylori</w:t>
      </w:r>
      <w:r w:rsidR="00DE310B" w:rsidRPr="00A275E2">
        <w:rPr>
          <w:rFonts w:cstheme="minorBidi"/>
          <w:szCs w:val="22"/>
        </w:rPr>
        <w:t xml:space="preserve"> era</w:t>
      </w:r>
      <w:r w:rsidR="00DF27AA">
        <w:rPr>
          <w:rFonts w:cstheme="minorBidi"/>
          <w:szCs w:val="22"/>
        </w:rPr>
        <w:t xml:space="preserve">dication is most beneficial in </w:t>
      </w:r>
      <w:r w:rsidR="00DE310B" w:rsidRPr="00A275E2">
        <w:rPr>
          <w:rFonts w:cstheme="minorBidi"/>
          <w:szCs w:val="22"/>
        </w:rPr>
        <w:t xml:space="preserve">patients with gastro-duodenal ulcer disease. Both </w:t>
      </w:r>
      <w:r w:rsidR="00DE310B" w:rsidRPr="00A275E2">
        <w:rPr>
          <w:rFonts w:cstheme="minorBidi"/>
          <w:i/>
          <w:szCs w:val="22"/>
        </w:rPr>
        <w:t>H. pylori</w:t>
      </w:r>
      <w:r w:rsidR="009E64F3" w:rsidRPr="00A275E2">
        <w:rPr>
          <w:rFonts w:cstheme="minorBidi"/>
          <w:szCs w:val="22"/>
        </w:rPr>
        <w:t xml:space="preserve"> infection and NSAID use are </w:t>
      </w:r>
    </w:p>
    <w:p w14:paraId="413C9C57" w14:textId="77777777" w:rsidR="00531D26" w:rsidRDefault="00DE310B" w:rsidP="005E1EA9">
      <w:pPr>
        <w:pStyle w:val="PHEBulletpoint"/>
        <w:numPr>
          <w:ilvl w:val="0"/>
          <w:numId w:val="0"/>
        </w:numPr>
        <w:ind w:left="720"/>
        <w:rPr>
          <w:rFonts w:cstheme="minorBidi"/>
          <w:szCs w:val="22"/>
        </w:rPr>
      </w:pPr>
      <w:r w:rsidRPr="00A275E2">
        <w:rPr>
          <w:rFonts w:cstheme="minorBidi"/>
          <w:szCs w:val="22"/>
        </w:rPr>
        <w:t xml:space="preserve">independent risk factors for the development of peptic ulcer disease and associated bleeding. These conditions are uncommon in those who do not have either risk factor, but </w:t>
      </w:r>
    </w:p>
    <w:p w14:paraId="27E2AF9D" w14:textId="77777777" w:rsidR="00531D26" w:rsidRDefault="00531D26" w:rsidP="005E1EA9">
      <w:pPr>
        <w:pStyle w:val="PHEBulletpoint"/>
        <w:numPr>
          <w:ilvl w:val="0"/>
          <w:numId w:val="0"/>
        </w:numPr>
        <w:ind w:left="720"/>
        <w:rPr>
          <w:rFonts w:cstheme="minorBidi"/>
          <w:szCs w:val="22"/>
        </w:rPr>
      </w:pPr>
    </w:p>
    <w:p w14:paraId="3E967DD1" w14:textId="4D469583" w:rsidR="005E1EA9" w:rsidRDefault="00DE310B" w:rsidP="005E1EA9">
      <w:pPr>
        <w:pStyle w:val="PHEBulletpoint"/>
        <w:numPr>
          <w:ilvl w:val="0"/>
          <w:numId w:val="0"/>
        </w:numPr>
        <w:ind w:left="720"/>
        <w:rPr>
          <w:rFonts w:cstheme="minorBidi"/>
          <w:szCs w:val="22"/>
        </w:rPr>
      </w:pPr>
      <w:r w:rsidRPr="00A275E2">
        <w:rPr>
          <w:rFonts w:cstheme="minorBidi"/>
          <w:szCs w:val="22"/>
        </w:rPr>
        <w:t xml:space="preserve">there is an increased risk when both factors are present. In naïve users, it is clearly beneficial to eradicate </w:t>
      </w:r>
      <w:r w:rsidRPr="00A275E2">
        <w:rPr>
          <w:rFonts w:cstheme="minorBidi"/>
          <w:i/>
          <w:szCs w:val="22"/>
        </w:rPr>
        <w:t>H. pylori</w:t>
      </w:r>
      <w:r w:rsidRPr="00A275E2">
        <w:rPr>
          <w:rFonts w:cstheme="minorBidi"/>
          <w:szCs w:val="22"/>
        </w:rPr>
        <w:t xml:space="preserve">, but there is no clear benefit for those who are already long-term users. However, results from a meta-analysis showed that eradication seems less effective than treatment with a maintenance PPI for preventing NSAID-associated ulcers. Clinicians should test for </w:t>
      </w:r>
      <w:r w:rsidRPr="00A275E2">
        <w:rPr>
          <w:rFonts w:cstheme="minorBidi"/>
          <w:i/>
          <w:szCs w:val="22"/>
        </w:rPr>
        <w:t>H. pylori</w:t>
      </w:r>
      <w:r w:rsidRPr="00A275E2">
        <w:rPr>
          <w:rFonts w:cstheme="minorBidi"/>
          <w:szCs w:val="22"/>
        </w:rPr>
        <w:t xml:space="preserve"> in patients with unexplained iron-deficiency anaemia, idiopathic thrombocytopenic purpura, and vitamin B12 deficiency. Two meta-analyses have supported the association between these conditions, with one illustrating a clear link between </w:t>
      </w:r>
      <w:r w:rsidRPr="00A275E2">
        <w:rPr>
          <w:rFonts w:cstheme="minorBidi"/>
          <w:i/>
          <w:szCs w:val="22"/>
        </w:rPr>
        <w:t>H. pylori</w:t>
      </w:r>
      <w:r w:rsidRPr="00A275E2">
        <w:rPr>
          <w:rFonts w:cstheme="minorBidi"/>
          <w:szCs w:val="22"/>
        </w:rPr>
        <w:t xml:space="preserve"> infection and iron-deficiency anaemia, and the other showing that </w:t>
      </w:r>
      <w:r w:rsidRPr="00A275E2">
        <w:rPr>
          <w:rFonts w:cstheme="minorBidi"/>
          <w:i/>
          <w:szCs w:val="22"/>
        </w:rPr>
        <w:t>H. pylori</w:t>
      </w:r>
      <w:r w:rsidRPr="00A275E2">
        <w:rPr>
          <w:rFonts w:cstheme="minorBidi"/>
          <w:szCs w:val="22"/>
        </w:rPr>
        <w:t xml:space="preserve"> eradication increases haemoglobin levels in patients with this condition.</w:t>
      </w:r>
      <w:r w:rsidR="005E1EA9" w:rsidRPr="00A275E2">
        <w:rPr>
          <w:rFonts w:cstheme="minorBidi"/>
          <w:szCs w:val="22"/>
        </w:rPr>
        <w:t xml:space="preserve"> Systematic reviews have demonstrated that an overall platelet response has been recorded in more than 50% of patients successfully treated for </w:t>
      </w:r>
      <w:r w:rsidR="005E1EA9" w:rsidRPr="00A275E2">
        <w:rPr>
          <w:rFonts w:cstheme="minorBidi"/>
          <w:i/>
          <w:szCs w:val="22"/>
        </w:rPr>
        <w:t>H. pylori</w:t>
      </w:r>
      <w:r w:rsidR="005E1EA9" w:rsidRPr="00A275E2">
        <w:rPr>
          <w:rFonts w:cstheme="minorBidi"/>
          <w:szCs w:val="22"/>
        </w:rPr>
        <w:t xml:space="preserve"> infection, and response rates are increasing in countries with a high prevalence of </w:t>
      </w:r>
      <w:r w:rsidR="005E1EA9" w:rsidRPr="00A275E2">
        <w:rPr>
          <w:rFonts w:cstheme="minorBidi"/>
          <w:i/>
          <w:szCs w:val="22"/>
        </w:rPr>
        <w:t>H. pylori</w:t>
      </w:r>
      <w:r w:rsidR="005E1EA9" w:rsidRPr="00A275E2">
        <w:rPr>
          <w:rFonts w:cstheme="minorBidi"/>
          <w:szCs w:val="22"/>
        </w:rPr>
        <w:t xml:space="preserve"> infection in background populations. This report states that there is a negative association between the prevalence of </w:t>
      </w:r>
      <w:r w:rsidR="005E1EA9" w:rsidRPr="00A275E2">
        <w:rPr>
          <w:rFonts w:cstheme="minorBidi"/>
          <w:i/>
          <w:szCs w:val="22"/>
        </w:rPr>
        <w:t>H. pylori</w:t>
      </w:r>
      <w:r w:rsidR="005E1EA9" w:rsidRPr="00A275E2">
        <w:rPr>
          <w:rFonts w:cstheme="minorBidi"/>
          <w:szCs w:val="22"/>
        </w:rPr>
        <w:t xml:space="preserve"> and GORD. The sequelae of GORD, such as Barrett’s oesophagus and oesophageal adenocarcinoma, are less common in infected individuals, and eradication of </w:t>
      </w:r>
      <w:r w:rsidR="005E1EA9" w:rsidRPr="00A275E2">
        <w:rPr>
          <w:rFonts w:cstheme="minorBidi"/>
          <w:i/>
          <w:szCs w:val="22"/>
        </w:rPr>
        <w:t>H. pylori</w:t>
      </w:r>
      <w:r w:rsidR="005E1EA9" w:rsidRPr="00A275E2">
        <w:rPr>
          <w:rFonts w:cstheme="minorBidi"/>
          <w:szCs w:val="22"/>
        </w:rPr>
        <w:t xml:space="preserve"> in populations of infected patients, on average, neither causes nor exacerbates symptoms of GORD. Therefore, the presence of GORD should not dissuade practitioners from </w:t>
      </w:r>
      <w:r w:rsidR="005E1EA9" w:rsidRPr="00A275E2">
        <w:rPr>
          <w:rFonts w:cstheme="minorBidi"/>
          <w:i/>
          <w:szCs w:val="22"/>
        </w:rPr>
        <w:t>H. pylori</w:t>
      </w:r>
      <w:r w:rsidR="005E1EA9" w:rsidRPr="00A275E2">
        <w:rPr>
          <w:rFonts w:cstheme="minorBidi"/>
          <w:szCs w:val="22"/>
        </w:rPr>
        <w:t xml:space="preserve"> eradication treatment, where indicated. Long-term treatment with PPIs in </w:t>
      </w:r>
      <w:r w:rsidR="005E1EA9" w:rsidRPr="00A275E2">
        <w:rPr>
          <w:rFonts w:cstheme="minorBidi"/>
          <w:i/>
          <w:szCs w:val="22"/>
        </w:rPr>
        <w:t>H. pylori</w:t>
      </w:r>
      <w:r w:rsidR="005E1EA9" w:rsidRPr="00A275E2">
        <w:rPr>
          <w:rFonts w:cstheme="minorBidi"/>
          <w:szCs w:val="22"/>
        </w:rPr>
        <w:t xml:space="preserve"> positive patients is associated with the development of corpus-predominant gastritis. This accelerates the process of losing specialised glands, leading to atrophic gastritis. Eradication of </w:t>
      </w:r>
      <w:r w:rsidR="005E1EA9" w:rsidRPr="00A275E2">
        <w:rPr>
          <w:rFonts w:cstheme="minorBidi"/>
          <w:i/>
          <w:szCs w:val="22"/>
        </w:rPr>
        <w:t>H. pylori</w:t>
      </w:r>
      <w:r w:rsidR="005E1EA9" w:rsidRPr="00A275E2">
        <w:rPr>
          <w:rFonts w:cstheme="minorBidi"/>
          <w:szCs w:val="22"/>
        </w:rPr>
        <w:t xml:space="preserve"> in patients receiving long-term PPI treatment heals gastritis and prevents the progression to atrophic gastritis. However, there is no evidence that this reduces the risk of gastric cancer. Finally, this report emphasises that urea breath tests (UBTs) and stool helicobacter antigen tests (SATs) are the most accurate tests and should be used in preference to serology, unless the latter has been locally validated.</w:t>
      </w:r>
    </w:p>
    <w:p w14:paraId="2E659644" w14:textId="77777777" w:rsidR="005E1EA9" w:rsidRDefault="005E1EA9" w:rsidP="005E1EA9">
      <w:pPr>
        <w:pStyle w:val="PHEBulletpoint"/>
        <w:numPr>
          <w:ilvl w:val="0"/>
          <w:numId w:val="0"/>
        </w:numPr>
        <w:rPr>
          <w:rFonts w:cstheme="minorBidi"/>
          <w:szCs w:val="22"/>
        </w:rPr>
      </w:pPr>
    </w:p>
    <w:p w14:paraId="0A42724B" w14:textId="61ABB524" w:rsidR="005E1EA9" w:rsidRDefault="005E1EA9" w:rsidP="009E1133">
      <w:pPr>
        <w:pStyle w:val="PHEBulletpoint"/>
        <w:numPr>
          <w:ilvl w:val="0"/>
          <w:numId w:val="39"/>
        </w:numPr>
        <w:ind w:left="357" w:hanging="357"/>
        <w:rPr>
          <w:rFonts w:cstheme="minorBidi"/>
          <w:szCs w:val="22"/>
        </w:rPr>
      </w:pPr>
      <w:bookmarkStart w:id="18" w:name="Reference12"/>
      <w:bookmarkEnd w:id="18"/>
      <w:r>
        <w:rPr>
          <w:rFonts w:cstheme="minorBidi"/>
          <w:szCs w:val="22"/>
        </w:rPr>
        <w:t xml:space="preserve">Ford AC, Delaney B, Forman D, </w:t>
      </w:r>
      <w:proofErr w:type="spellStart"/>
      <w:r>
        <w:rPr>
          <w:rFonts w:cstheme="minorBidi"/>
          <w:szCs w:val="22"/>
        </w:rPr>
        <w:t>Moayyedi</w:t>
      </w:r>
      <w:proofErr w:type="spellEnd"/>
      <w:r>
        <w:rPr>
          <w:rFonts w:cstheme="minorBidi"/>
          <w:szCs w:val="22"/>
        </w:rPr>
        <w:t xml:space="preserve"> P. Eradication therapy for peptic ulcer disease in </w:t>
      </w:r>
      <w:r>
        <w:rPr>
          <w:rFonts w:cstheme="minorBidi"/>
          <w:i/>
          <w:szCs w:val="22"/>
        </w:rPr>
        <w:t>Helicobacter pylori</w:t>
      </w:r>
      <w:r>
        <w:rPr>
          <w:rFonts w:cstheme="minorBidi"/>
          <w:szCs w:val="22"/>
        </w:rPr>
        <w:t xml:space="preserve"> positive patients (Review). </w:t>
      </w:r>
      <w:r>
        <w:rPr>
          <w:rFonts w:cstheme="minorBidi"/>
          <w:i/>
          <w:szCs w:val="22"/>
        </w:rPr>
        <w:t xml:space="preserve">Cochrane Database </w:t>
      </w:r>
      <w:proofErr w:type="spellStart"/>
      <w:r>
        <w:rPr>
          <w:rFonts w:cstheme="minorBidi"/>
          <w:i/>
          <w:szCs w:val="22"/>
        </w:rPr>
        <w:t>Syst</w:t>
      </w:r>
      <w:proofErr w:type="spellEnd"/>
      <w:r>
        <w:rPr>
          <w:rFonts w:cstheme="minorBidi"/>
          <w:i/>
          <w:szCs w:val="22"/>
        </w:rPr>
        <w:t xml:space="preserve"> Rev</w:t>
      </w:r>
      <w:r>
        <w:rPr>
          <w:rFonts w:cstheme="minorBidi"/>
          <w:szCs w:val="22"/>
        </w:rPr>
        <w:t xml:space="preserve">. 2011 Apr; 1:1-121. Available from: </w:t>
      </w:r>
      <w:hyperlink r:id="rId44" w:history="1">
        <w:r w:rsidRPr="000753E2">
          <w:rPr>
            <w:rStyle w:val="Hyperlink"/>
            <w:rFonts w:cstheme="minorBidi"/>
            <w:color w:val="9C002A"/>
            <w:szCs w:val="22"/>
            <w:u w:val="none"/>
          </w:rPr>
          <w:t>http://onlinelibrary.wiley.com/doi/10.1002/14651858.CD003840.pub4/pdf</w:t>
        </w:r>
      </w:hyperlink>
      <w:r>
        <w:rPr>
          <w:rFonts w:cstheme="minorBidi"/>
          <w:szCs w:val="22"/>
        </w:rPr>
        <w:t>.</w:t>
      </w:r>
    </w:p>
    <w:p w14:paraId="40ECA2BF" w14:textId="53DEE6B2" w:rsidR="00DF27AA" w:rsidRDefault="005E1EA9" w:rsidP="0057262C">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A259B3">
        <w:rPr>
          <w:rFonts w:cstheme="minorBidi"/>
          <w:szCs w:val="22"/>
        </w:rPr>
        <w:t xml:space="preserve">A Cochrane review examining duodenal ulcer healing in 3,910 patients across 34 trials. Findings indicated that </w:t>
      </w:r>
      <w:r w:rsidRPr="005E1EA9">
        <w:rPr>
          <w:rFonts w:cstheme="minorBidi"/>
          <w:i/>
          <w:szCs w:val="22"/>
        </w:rPr>
        <w:t>H. pylori</w:t>
      </w:r>
      <w:r w:rsidRPr="00A259B3">
        <w:rPr>
          <w:rFonts w:cstheme="minorBidi"/>
          <w:szCs w:val="22"/>
        </w:rPr>
        <w:t xml:space="preserve"> eradication therapy was superior to ulcer heali</w:t>
      </w:r>
      <w:r>
        <w:rPr>
          <w:rFonts w:cstheme="minorBidi"/>
          <w:szCs w:val="22"/>
        </w:rPr>
        <w:t>ng drugs (UHDs) (RR</w:t>
      </w:r>
      <w:r w:rsidRPr="00A259B3">
        <w:rPr>
          <w:rFonts w:cstheme="minorBidi"/>
          <w:szCs w:val="22"/>
        </w:rPr>
        <w:t xml:space="preserve"> of ulcer</w:t>
      </w:r>
      <w:r w:rsidR="005661AE">
        <w:rPr>
          <w:rFonts w:cstheme="minorBidi"/>
          <w:szCs w:val="22"/>
        </w:rPr>
        <w:t xml:space="preserve"> persisting = 0.66, 95% CI 0.58 to </w:t>
      </w:r>
      <w:r w:rsidRPr="00A259B3">
        <w:rPr>
          <w:rFonts w:cstheme="minorBidi"/>
          <w:szCs w:val="22"/>
        </w:rPr>
        <w:t>0.76) and no treatment (two trials, 207 p</w:t>
      </w:r>
      <w:r w:rsidR="005661AE">
        <w:rPr>
          <w:rFonts w:cstheme="minorBidi"/>
          <w:szCs w:val="22"/>
        </w:rPr>
        <w:t xml:space="preserve">atients, RR = 0.37, 95% CI 0.26 to </w:t>
      </w:r>
      <w:r w:rsidRPr="00A259B3">
        <w:rPr>
          <w:rFonts w:cstheme="minorBidi"/>
          <w:szCs w:val="22"/>
        </w:rPr>
        <w:t>0.53). In gastric ulcer healing, no significant differences were detected between eradication therapy and UHDs (15 trials, 1,974 patients, RR = 1.</w:t>
      </w:r>
      <w:r w:rsidR="005661AE">
        <w:rPr>
          <w:rFonts w:cstheme="minorBidi"/>
          <w:szCs w:val="22"/>
        </w:rPr>
        <w:t xml:space="preserve">23, 95% CI 0.90 to </w:t>
      </w:r>
      <w:r w:rsidRPr="00A259B3">
        <w:rPr>
          <w:rFonts w:cstheme="minorBidi"/>
          <w:szCs w:val="22"/>
        </w:rPr>
        <w:t>1.68). In preventing duodenal ulcer recurrence, no significant differences were detected between eradication therapy and maintenance therapy with UHDs (</w:t>
      </w:r>
      <w:r w:rsidR="00913150">
        <w:rPr>
          <w:rFonts w:cstheme="minorBidi"/>
          <w:szCs w:val="22"/>
        </w:rPr>
        <w:t>4</w:t>
      </w:r>
      <w:r w:rsidRPr="00A259B3">
        <w:rPr>
          <w:rFonts w:cstheme="minorBidi"/>
          <w:szCs w:val="22"/>
        </w:rPr>
        <w:t xml:space="preserve"> trials, 319 p</w:t>
      </w:r>
      <w:r w:rsidR="005661AE">
        <w:rPr>
          <w:rFonts w:cstheme="minorBidi"/>
          <w:szCs w:val="22"/>
        </w:rPr>
        <w:t xml:space="preserve">atients, RR = 0.73, 95% CI 0.42 to </w:t>
      </w:r>
      <w:r w:rsidRPr="00A259B3">
        <w:rPr>
          <w:rFonts w:cstheme="minorBidi"/>
          <w:szCs w:val="22"/>
        </w:rPr>
        <w:t>1.25), but eradication therapy was superior to no treatment (27 trials, 2,509 p</w:t>
      </w:r>
      <w:r w:rsidR="005661AE">
        <w:rPr>
          <w:rFonts w:cstheme="minorBidi"/>
          <w:szCs w:val="22"/>
        </w:rPr>
        <w:t xml:space="preserve">atients, RR = 0.20, 95% CI 0.15 to </w:t>
      </w:r>
      <w:r w:rsidRPr="00A259B3">
        <w:rPr>
          <w:rFonts w:cstheme="minorBidi"/>
          <w:szCs w:val="22"/>
        </w:rPr>
        <w:t>0.26). In preventing gastric ulcer recurrence, eradication therapy was superior to no treatment (12 trials, 1,476 patients, RR = 0.31, 95% CI 0.22</w:t>
      </w:r>
      <w:r w:rsidR="005661AE">
        <w:rPr>
          <w:rFonts w:cstheme="minorBidi"/>
          <w:szCs w:val="22"/>
        </w:rPr>
        <w:t xml:space="preserve"> to </w:t>
      </w:r>
      <w:r w:rsidRPr="00A259B3">
        <w:rPr>
          <w:rFonts w:cstheme="minorBidi"/>
          <w:szCs w:val="22"/>
        </w:rPr>
        <w:t>0</w:t>
      </w:r>
      <w:r w:rsidR="00DF27AA">
        <w:rPr>
          <w:rFonts w:cstheme="minorBidi"/>
          <w:szCs w:val="22"/>
        </w:rPr>
        <w:t xml:space="preserve">.45). Test </w:t>
      </w:r>
      <w:r w:rsidR="005661AE">
        <w:rPr>
          <w:rFonts w:cstheme="minorBidi"/>
          <w:szCs w:val="22"/>
        </w:rPr>
        <w:t xml:space="preserve">and treat </w:t>
      </w:r>
      <w:r w:rsidRPr="00A259B3">
        <w:rPr>
          <w:rFonts w:cstheme="minorBidi"/>
          <w:szCs w:val="22"/>
        </w:rPr>
        <w:t xml:space="preserve">for </w:t>
      </w:r>
      <w:r w:rsidRPr="005E1EA9">
        <w:rPr>
          <w:rFonts w:cstheme="minorBidi"/>
          <w:i/>
          <w:szCs w:val="22"/>
        </w:rPr>
        <w:t>H. pylori</w:t>
      </w:r>
      <w:r w:rsidRPr="00A259B3">
        <w:rPr>
          <w:rFonts w:cstheme="minorBidi"/>
          <w:szCs w:val="22"/>
        </w:rPr>
        <w:t xml:space="preserve"> is </w:t>
      </w:r>
      <w:r w:rsidR="005661AE">
        <w:rPr>
          <w:rFonts w:cstheme="minorBidi"/>
          <w:szCs w:val="22"/>
        </w:rPr>
        <w:t xml:space="preserve">therefore </w:t>
      </w:r>
      <w:r w:rsidRPr="00A259B3">
        <w:rPr>
          <w:rFonts w:cstheme="minorBidi"/>
          <w:szCs w:val="22"/>
        </w:rPr>
        <w:t xml:space="preserve">advised in patients with </w:t>
      </w:r>
      <w:proofErr w:type="gramStart"/>
      <w:r w:rsidRPr="00A259B3">
        <w:rPr>
          <w:rFonts w:cstheme="minorBidi"/>
          <w:szCs w:val="22"/>
        </w:rPr>
        <w:t>a past history</w:t>
      </w:r>
      <w:proofErr w:type="gramEnd"/>
      <w:r w:rsidRPr="00A259B3">
        <w:rPr>
          <w:rFonts w:cstheme="minorBidi"/>
          <w:szCs w:val="22"/>
        </w:rPr>
        <w:t xml:space="preserve"> of gastric ulcers.</w:t>
      </w:r>
    </w:p>
    <w:p w14:paraId="29451927" w14:textId="77777777" w:rsidR="0057262C" w:rsidRPr="00622838" w:rsidRDefault="0057262C" w:rsidP="0057262C">
      <w:pPr>
        <w:pStyle w:val="PHEBulletpoint"/>
        <w:numPr>
          <w:ilvl w:val="0"/>
          <w:numId w:val="0"/>
        </w:numPr>
        <w:ind w:left="720"/>
        <w:rPr>
          <w:rFonts w:cstheme="minorBidi"/>
          <w:szCs w:val="22"/>
        </w:rPr>
      </w:pPr>
    </w:p>
    <w:p w14:paraId="339512DE" w14:textId="29B48597" w:rsidR="00622838" w:rsidRDefault="00622838" w:rsidP="009E1133">
      <w:pPr>
        <w:pStyle w:val="PHEBulletpoint"/>
        <w:numPr>
          <w:ilvl w:val="0"/>
          <w:numId w:val="39"/>
        </w:numPr>
        <w:ind w:left="357" w:hanging="357"/>
        <w:rPr>
          <w:rFonts w:cstheme="minorBidi"/>
          <w:szCs w:val="22"/>
        </w:rPr>
      </w:pPr>
      <w:bookmarkStart w:id="19" w:name="Reference13"/>
      <w:bookmarkEnd w:id="19"/>
      <w:proofErr w:type="spellStart"/>
      <w:r>
        <w:rPr>
          <w:rFonts w:cstheme="minorBidi"/>
          <w:szCs w:val="22"/>
        </w:rPr>
        <w:t>Sykora</w:t>
      </w:r>
      <w:proofErr w:type="spellEnd"/>
      <w:r>
        <w:rPr>
          <w:rFonts w:cstheme="minorBidi"/>
          <w:szCs w:val="22"/>
        </w:rPr>
        <w:t xml:space="preserve"> J, Rowland M. </w:t>
      </w:r>
      <w:r>
        <w:rPr>
          <w:rFonts w:cstheme="minorBidi"/>
          <w:i/>
          <w:szCs w:val="22"/>
        </w:rPr>
        <w:t>Helicobacter pylori</w:t>
      </w:r>
      <w:r>
        <w:rPr>
          <w:rFonts w:cstheme="minorBidi"/>
          <w:szCs w:val="22"/>
        </w:rPr>
        <w:t xml:space="preserve"> in </w:t>
      </w:r>
      <w:proofErr w:type="spellStart"/>
      <w:r>
        <w:rPr>
          <w:rFonts w:cstheme="minorBidi"/>
          <w:szCs w:val="22"/>
        </w:rPr>
        <w:t>pediatrics</w:t>
      </w:r>
      <w:proofErr w:type="spellEnd"/>
      <w:r>
        <w:rPr>
          <w:rFonts w:cstheme="minorBidi"/>
          <w:szCs w:val="22"/>
        </w:rPr>
        <w:t xml:space="preserve">. </w:t>
      </w:r>
      <w:r>
        <w:rPr>
          <w:rFonts w:cstheme="minorBidi"/>
          <w:i/>
          <w:szCs w:val="22"/>
        </w:rPr>
        <w:t>Helicobacter</w:t>
      </w:r>
      <w:r>
        <w:rPr>
          <w:rFonts w:cstheme="minorBidi"/>
          <w:szCs w:val="22"/>
        </w:rPr>
        <w:t xml:space="preserve">. 2011 Sep; 16(1):59-64. Available from: </w:t>
      </w:r>
      <w:hyperlink r:id="rId45" w:history="1">
        <w:r w:rsidRPr="000B3F09">
          <w:rPr>
            <w:rStyle w:val="Hyperlink"/>
            <w:rFonts w:cstheme="minorBidi"/>
            <w:color w:val="9C002A"/>
            <w:szCs w:val="22"/>
            <w:u w:val="none"/>
          </w:rPr>
          <w:t>http://www.ncbi.nlm.nih.gov/pubmed/21896087</w:t>
        </w:r>
      </w:hyperlink>
      <w:r>
        <w:rPr>
          <w:rFonts w:cstheme="minorBidi"/>
          <w:szCs w:val="22"/>
        </w:rPr>
        <w:t>.</w:t>
      </w:r>
    </w:p>
    <w:p w14:paraId="16BA7941" w14:textId="77777777" w:rsidR="00531D26" w:rsidRDefault="00531D26" w:rsidP="00622838">
      <w:pPr>
        <w:pStyle w:val="PHEBulletpoint"/>
        <w:numPr>
          <w:ilvl w:val="0"/>
          <w:numId w:val="0"/>
        </w:numPr>
        <w:ind w:left="720"/>
        <w:rPr>
          <w:rFonts w:cstheme="minorBidi"/>
          <w:szCs w:val="22"/>
        </w:rPr>
      </w:pPr>
    </w:p>
    <w:p w14:paraId="3DB8DC15" w14:textId="3E77D887" w:rsidR="00622838" w:rsidRDefault="00622838" w:rsidP="00622838">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5E1CB9">
        <w:rPr>
          <w:rFonts w:cstheme="minorBidi"/>
          <w:szCs w:val="22"/>
        </w:rPr>
        <w:t xml:space="preserve">A systematic review suggesting that upper gastrointestinal endoscopy is not appropriate for children with dyspeptic symptoms. Upper gastrointestinal endoscopy should be reserved for children with a family history of peptic ulcer disease and/or </w:t>
      </w:r>
      <w:r w:rsidRPr="00622838">
        <w:rPr>
          <w:rFonts w:cstheme="minorBidi"/>
          <w:i/>
          <w:szCs w:val="22"/>
        </w:rPr>
        <w:t>H. pylori</w:t>
      </w:r>
      <w:r w:rsidRPr="005E1CB9">
        <w:rPr>
          <w:rFonts w:cstheme="minorBidi"/>
          <w:szCs w:val="22"/>
        </w:rPr>
        <w:t xml:space="preserve"> infection, or children over </w:t>
      </w:r>
      <w:r w:rsidR="00913150">
        <w:rPr>
          <w:rFonts w:cstheme="minorBidi"/>
          <w:szCs w:val="22"/>
        </w:rPr>
        <w:t>ten</w:t>
      </w:r>
      <w:r w:rsidRPr="005E1CB9">
        <w:rPr>
          <w:rFonts w:cstheme="minorBidi"/>
          <w:szCs w:val="22"/>
        </w:rPr>
        <w:t xml:space="preserve"> years of age with symptoms persisting for more than six months, which are severe enough to affect daily activities.</w:t>
      </w:r>
    </w:p>
    <w:p w14:paraId="77DFF581" w14:textId="77777777" w:rsidR="00622838" w:rsidRDefault="00622838" w:rsidP="00622838">
      <w:pPr>
        <w:pStyle w:val="PHEBulletpoint"/>
        <w:numPr>
          <w:ilvl w:val="0"/>
          <w:numId w:val="0"/>
        </w:numPr>
        <w:rPr>
          <w:rFonts w:cstheme="minorBidi"/>
          <w:szCs w:val="22"/>
        </w:rPr>
      </w:pPr>
    </w:p>
    <w:p w14:paraId="65DA5AEF" w14:textId="5D678A88" w:rsidR="00622838" w:rsidRDefault="00622838" w:rsidP="009E1133">
      <w:pPr>
        <w:pStyle w:val="PHEBulletpoint"/>
        <w:numPr>
          <w:ilvl w:val="0"/>
          <w:numId w:val="39"/>
        </w:numPr>
        <w:ind w:left="357" w:hanging="357"/>
        <w:rPr>
          <w:rFonts w:cstheme="minorBidi"/>
          <w:szCs w:val="22"/>
        </w:rPr>
      </w:pPr>
      <w:bookmarkStart w:id="20" w:name="Reference14"/>
      <w:bookmarkEnd w:id="20"/>
      <w:proofErr w:type="spellStart"/>
      <w:r>
        <w:rPr>
          <w:rFonts w:cstheme="minorBidi"/>
          <w:szCs w:val="22"/>
        </w:rPr>
        <w:t>Guarner</w:t>
      </w:r>
      <w:proofErr w:type="spellEnd"/>
      <w:r>
        <w:rPr>
          <w:rFonts w:cstheme="minorBidi"/>
          <w:szCs w:val="22"/>
        </w:rPr>
        <w:t xml:space="preserve"> J, Kalach N, </w:t>
      </w:r>
      <w:proofErr w:type="spellStart"/>
      <w:r>
        <w:rPr>
          <w:rFonts w:cstheme="minorBidi"/>
          <w:szCs w:val="22"/>
        </w:rPr>
        <w:t>Elitsur</w:t>
      </w:r>
      <w:proofErr w:type="spellEnd"/>
      <w:r>
        <w:rPr>
          <w:rFonts w:cstheme="minorBidi"/>
          <w:szCs w:val="22"/>
        </w:rPr>
        <w:t xml:space="preserve"> Y, </w:t>
      </w:r>
      <w:proofErr w:type="spellStart"/>
      <w:r>
        <w:rPr>
          <w:rFonts w:cstheme="minorBidi"/>
          <w:szCs w:val="22"/>
        </w:rPr>
        <w:t>Koletzko</w:t>
      </w:r>
      <w:proofErr w:type="spellEnd"/>
      <w:r>
        <w:rPr>
          <w:rFonts w:cstheme="minorBidi"/>
          <w:szCs w:val="22"/>
        </w:rPr>
        <w:t xml:space="preserve"> S. </w:t>
      </w:r>
      <w:r>
        <w:rPr>
          <w:rFonts w:cstheme="minorBidi"/>
          <w:i/>
          <w:szCs w:val="22"/>
        </w:rPr>
        <w:t>Helicobacter pylori</w:t>
      </w:r>
      <w:r>
        <w:rPr>
          <w:rFonts w:cstheme="minorBidi"/>
          <w:szCs w:val="22"/>
        </w:rPr>
        <w:t xml:space="preserve"> diagnostic tests in children: review of the literature from 1999 to 2009. </w:t>
      </w:r>
      <w:proofErr w:type="spellStart"/>
      <w:r>
        <w:rPr>
          <w:rFonts w:cstheme="minorBidi"/>
          <w:i/>
          <w:szCs w:val="22"/>
        </w:rPr>
        <w:t>Eur</w:t>
      </w:r>
      <w:proofErr w:type="spellEnd"/>
      <w:r>
        <w:rPr>
          <w:rFonts w:cstheme="minorBidi"/>
          <w:i/>
          <w:szCs w:val="22"/>
        </w:rPr>
        <w:t xml:space="preserve"> J </w:t>
      </w:r>
      <w:proofErr w:type="spellStart"/>
      <w:r>
        <w:rPr>
          <w:rFonts w:cstheme="minorBidi"/>
          <w:i/>
          <w:szCs w:val="22"/>
        </w:rPr>
        <w:t>Pediatr</w:t>
      </w:r>
      <w:proofErr w:type="spellEnd"/>
      <w:r>
        <w:rPr>
          <w:rFonts w:cstheme="minorBidi"/>
          <w:szCs w:val="22"/>
        </w:rPr>
        <w:t xml:space="preserve">. 2010 Jan; 169(1):15-25. Available from: </w:t>
      </w:r>
      <w:hyperlink r:id="rId46" w:history="1">
        <w:r w:rsidRPr="00D44C4A">
          <w:rPr>
            <w:rStyle w:val="Hyperlink"/>
            <w:rFonts w:cstheme="minorBidi"/>
            <w:color w:val="9C002A"/>
            <w:szCs w:val="22"/>
            <w:u w:val="none"/>
          </w:rPr>
          <w:t>http://www.ncbi.nlm.nih.gov/pubmed/19618211</w:t>
        </w:r>
      </w:hyperlink>
      <w:r>
        <w:rPr>
          <w:rFonts w:cstheme="minorBidi"/>
          <w:szCs w:val="22"/>
        </w:rPr>
        <w:t>.</w:t>
      </w:r>
    </w:p>
    <w:p w14:paraId="683A6004" w14:textId="305E62F6" w:rsidR="00622838" w:rsidRDefault="00622838" w:rsidP="00622838">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5E1CB9">
        <w:rPr>
          <w:rFonts w:cstheme="minorBidi"/>
          <w:szCs w:val="22"/>
        </w:rPr>
        <w:t xml:space="preserve">A systematic review concluding that SATs and UBTs have adequate sensitivity and specificity for the detection of </w:t>
      </w:r>
      <w:r w:rsidRPr="00622838">
        <w:rPr>
          <w:rFonts w:cstheme="minorBidi"/>
          <w:i/>
          <w:szCs w:val="22"/>
        </w:rPr>
        <w:t>H. pylori</w:t>
      </w:r>
      <w:r w:rsidRPr="005E1CB9">
        <w:rPr>
          <w:rFonts w:cstheme="minorBidi"/>
          <w:szCs w:val="22"/>
        </w:rPr>
        <w:t xml:space="preserve"> in children, but endoscopy is the gold standard.</w:t>
      </w:r>
    </w:p>
    <w:p w14:paraId="51C689D4" w14:textId="77777777" w:rsidR="001F083A" w:rsidRPr="00DC0E18" w:rsidRDefault="001F083A" w:rsidP="001F083A">
      <w:pPr>
        <w:pStyle w:val="PHEBulletpoint"/>
        <w:numPr>
          <w:ilvl w:val="0"/>
          <w:numId w:val="0"/>
        </w:numPr>
        <w:rPr>
          <w:rFonts w:cstheme="minorBidi"/>
          <w:szCs w:val="22"/>
        </w:rPr>
      </w:pPr>
    </w:p>
    <w:p w14:paraId="48A2673A" w14:textId="52939BAB" w:rsidR="001F083A" w:rsidRDefault="001F083A" w:rsidP="009E1133">
      <w:pPr>
        <w:pStyle w:val="PHEBulletpoint"/>
        <w:numPr>
          <w:ilvl w:val="0"/>
          <w:numId w:val="39"/>
        </w:numPr>
        <w:ind w:left="357" w:hanging="357"/>
        <w:rPr>
          <w:rFonts w:cstheme="minorBidi"/>
          <w:szCs w:val="22"/>
        </w:rPr>
      </w:pPr>
      <w:bookmarkStart w:id="21" w:name="Reference15"/>
      <w:bookmarkEnd w:id="21"/>
      <w:proofErr w:type="spellStart"/>
      <w:r>
        <w:rPr>
          <w:rFonts w:cstheme="minorBidi"/>
          <w:szCs w:val="22"/>
        </w:rPr>
        <w:t>Nocon</w:t>
      </w:r>
      <w:proofErr w:type="spellEnd"/>
      <w:r>
        <w:rPr>
          <w:rFonts w:cstheme="minorBidi"/>
          <w:szCs w:val="22"/>
        </w:rPr>
        <w:t xml:space="preserve"> M, </w:t>
      </w:r>
      <w:proofErr w:type="spellStart"/>
      <w:r>
        <w:rPr>
          <w:rFonts w:cstheme="minorBidi"/>
          <w:szCs w:val="22"/>
        </w:rPr>
        <w:t>Kuhlmann</w:t>
      </w:r>
      <w:proofErr w:type="spellEnd"/>
      <w:r>
        <w:rPr>
          <w:rFonts w:cstheme="minorBidi"/>
          <w:szCs w:val="22"/>
        </w:rPr>
        <w:t xml:space="preserve"> A, </w:t>
      </w:r>
      <w:proofErr w:type="spellStart"/>
      <w:r>
        <w:rPr>
          <w:rFonts w:cstheme="minorBidi"/>
          <w:szCs w:val="22"/>
        </w:rPr>
        <w:t>Leodolter</w:t>
      </w:r>
      <w:proofErr w:type="spellEnd"/>
      <w:r>
        <w:rPr>
          <w:rFonts w:cstheme="minorBidi"/>
          <w:szCs w:val="22"/>
        </w:rPr>
        <w:t xml:space="preserve"> A, Roll S, </w:t>
      </w:r>
      <w:proofErr w:type="spellStart"/>
      <w:r>
        <w:rPr>
          <w:rFonts w:cstheme="minorBidi"/>
          <w:szCs w:val="22"/>
        </w:rPr>
        <w:t>Vauth</w:t>
      </w:r>
      <w:proofErr w:type="spellEnd"/>
      <w:r>
        <w:rPr>
          <w:rFonts w:cstheme="minorBidi"/>
          <w:szCs w:val="22"/>
        </w:rPr>
        <w:t xml:space="preserve"> C, </w:t>
      </w:r>
      <w:proofErr w:type="spellStart"/>
      <w:r>
        <w:rPr>
          <w:rFonts w:cstheme="minorBidi"/>
          <w:szCs w:val="22"/>
        </w:rPr>
        <w:t>Willich</w:t>
      </w:r>
      <w:proofErr w:type="spellEnd"/>
      <w:r>
        <w:rPr>
          <w:rFonts w:cstheme="minorBidi"/>
          <w:szCs w:val="22"/>
        </w:rPr>
        <w:t xml:space="preserve"> SN et al. Efficacy and cost-effectiveness of the </w:t>
      </w:r>
      <w:r w:rsidRPr="00EC7E63">
        <w:rPr>
          <w:rFonts w:cstheme="minorBidi"/>
          <w:szCs w:val="22"/>
          <w:vertAlign w:val="superscript"/>
        </w:rPr>
        <w:t>13</w:t>
      </w:r>
      <w:r>
        <w:rPr>
          <w:rFonts w:cstheme="minorBidi"/>
          <w:szCs w:val="22"/>
        </w:rPr>
        <w:t xml:space="preserve">C-urea breath test as the primary diagnostic investigation for the detection of </w:t>
      </w:r>
      <w:r>
        <w:rPr>
          <w:rFonts w:cstheme="minorBidi"/>
          <w:i/>
          <w:szCs w:val="22"/>
        </w:rPr>
        <w:t>Helicobacter pylori</w:t>
      </w:r>
      <w:r>
        <w:rPr>
          <w:rFonts w:cstheme="minorBidi"/>
          <w:szCs w:val="22"/>
        </w:rPr>
        <w:t xml:space="preserve"> infection compared to invasive and non-invasive diagnostic tests. </w:t>
      </w:r>
      <w:r>
        <w:rPr>
          <w:rFonts w:cstheme="minorBidi"/>
          <w:i/>
          <w:szCs w:val="22"/>
        </w:rPr>
        <w:t xml:space="preserve">GMS Health </w:t>
      </w:r>
      <w:proofErr w:type="spellStart"/>
      <w:r>
        <w:rPr>
          <w:rFonts w:cstheme="minorBidi"/>
          <w:i/>
          <w:szCs w:val="22"/>
        </w:rPr>
        <w:t>Technol</w:t>
      </w:r>
      <w:proofErr w:type="spellEnd"/>
      <w:r>
        <w:rPr>
          <w:rFonts w:cstheme="minorBidi"/>
          <w:i/>
          <w:szCs w:val="22"/>
        </w:rPr>
        <w:t xml:space="preserve"> Assess</w:t>
      </w:r>
      <w:r>
        <w:rPr>
          <w:rFonts w:cstheme="minorBidi"/>
          <w:szCs w:val="22"/>
        </w:rPr>
        <w:t xml:space="preserve">. 2009 Oct; 21(5):1-12. Available from: </w:t>
      </w:r>
      <w:hyperlink r:id="rId47" w:history="1">
        <w:r w:rsidRPr="00647D17">
          <w:rPr>
            <w:rStyle w:val="Hyperlink"/>
            <w:rFonts w:cstheme="minorBidi"/>
            <w:color w:val="9C002A"/>
            <w:szCs w:val="22"/>
            <w:u w:val="none"/>
          </w:rPr>
          <w:t>http://www.ncbi.nlm.nih.gov/pubmed/21289901</w:t>
        </w:r>
      </w:hyperlink>
      <w:r>
        <w:rPr>
          <w:rFonts w:cstheme="minorBidi"/>
          <w:szCs w:val="22"/>
        </w:rPr>
        <w:t>.</w:t>
      </w:r>
    </w:p>
    <w:p w14:paraId="1E4D48ED" w14:textId="77777777" w:rsidR="001F083A" w:rsidRDefault="001F083A" w:rsidP="001F083A">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965747">
        <w:rPr>
          <w:rFonts w:cstheme="minorBidi"/>
          <w:szCs w:val="22"/>
        </w:rPr>
        <w:t xml:space="preserve">A systematic review of 30 studies (3,415 patients) directly comparing the </w:t>
      </w:r>
      <w:r w:rsidRPr="00965747">
        <w:rPr>
          <w:rFonts w:cstheme="minorBidi"/>
          <w:szCs w:val="22"/>
          <w:vertAlign w:val="superscript"/>
        </w:rPr>
        <w:t>13</w:t>
      </w:r>
      <w:r w:rsidRPr="00965747">
        <w:rPr>
          <w:rFonts w:cstheme="minorBidi"/>
          <w:szCs w:val="22"/>
        </w:rPr>
        <w:t xml:space="preserve">C-UBT and other non-invasive tests to biopsy-based tests as the gold standard for </w:t>
      </w:r>
      <w:r w:rsidRPr="001F083A">
        <w:rPr>
          <w:rFonts w:cstheme="minorBidi"/>
          <w:i/>
          <w:szCs w:val="22"/>
        </w:rPr>
        <w:t>H. pylori</w:t>
      </w:r>
      <w:r w:rsidRPr="00965747">
        <w:rPr>
          <w:rFonts w:cstheme="minorBidi"/>
          <w:szCs w:val="22"/>
        </w:rPr>
        <w:t xml:space="preserve"> testing. The </w:t>
      </w:r>
      <w:r w:rsidRPr="00965747">
        <w:rPr>
          <w:rFonts w:cstheme="minorBidi"/>
          <w:szCs w:val="22"/>
          <w:vertAlign w:val="superscript"/>
        </w:rPr>
        <w:t>13</w:t>
      </w:r>
      <w:r w:rsidRPr="00965747">
        <w:rPr>
          <w:rFonts w:cstheme="minorBidi"/>
          <w:szCs w:val="22"/>
        </w:rPr>
        <w:t xml:space="preserve">C-UBT showed higher sensitivity and specificity than IgG serology in 18 studies, and showed higher sensitivity and specificity than SATs in 13 studies (a 100% sensitive test correctly identifies all patients with </w:t>
      </w:r>
      <w:r w:rsidRPr="001F083A">
        <w:rPr>
          <w:rFonts w:cstheme="minorBidi"/>
          <w:i/>
          <w:szCs w:val="22"/>
        </w:rPr>
        <w:t>H. pylori</w:t>
      </w:r>
      <w:r w:rsidRPr="00965747">
        <w:rPr>
          <w:rFonts w:cstheme="minorBidi"/>
          <w:szCs w:val="22"/>
        </w:rPr>
        <w:t xml:space="preserve">, and a 100% specific test correctly identifies all patients without </w:t>
      </w:r>
      <w:r w:rsidRPr="001F083A">
        <w:rPr>
          <w:rFonts w:cstheme="minorBidi"/>
          <w:i/>
          <w:szCs w:val="22"/>
        </w:rPr>
        <w:t>H. pylori</w:t>
      </w:r>
      <w:r w:rsidRPr="00965747">
        <w:rPr>
          <w:rFonts w:cstheme="minorBidi"/>
          <w:szCs w:val="22"/>
        </w:rPr>
        <w:t xml:space="preserve">). Sensitivity and specificity higher than 90% was found in 84% of the studies for the </w:t>
      </w:r>
      <w:r w:rsidRPr="00965747">
        <w:rPr>
          <w:rFonts w:cstheme="minorBidi"/>
          <w:szCs w:val="22"/>
          <w:vertAlign w:val="superscript"/>
        </w:rPr>
        <w:t>13</w:t>
      </w:r>
      <w:r w:rsidRPr="00965747">
        <w:rPr>
          <w:rFonts w:cstheme="minorBidi"/>
          <w:szCs w:val="22"/>
        </w:rPr>
        <w:t xml:space="preserve">C-urea breath test. Sensitivity and specificity higher than 90% was found in 62% of the studies for the stool antigen test, and 56% sensitivity and 44% specificity for the IgG test. Nine health economic evaluations were included in this Health Technology Assessment (HTA) report. Test and treat strategies using the </w:t>
      </w:r>
      <w:r w:rsidRPr="00965747">
        <w:rPr>
          <w:rFonts w:cstheme="minorBidi"/>
          <w:szCs w:val="22"/>
          <w:vertAlign w:val="superscript"/>
        </w:rPr>
        <w:t>13</w:t>
      </w:r>
      <w:r w:rsidRPr="00965747">
        <w:rPr>
          <w:rFonts w:cstheme="minorBidi"/>
          <w:szCs w:val="22"/>
        </w:rPr>
        <w:t>C-UBT were more cost-effective than serology-based strategies in three of the nine, and was dominated by a test and treat strategy using the SAT in one of those three.</w:t>
      </w:r>
    </w:p>
    <w:p w14:paraId="2D5E17C2" w14:textId="77777777" w:rsidR="00C565D7" w:rsidRPr="00DC0E18" w:rsidRDefault="00C565D7" w:rsidP="00C565D7">
      <w:pPr>
        <w:pStyle w:val="PHEBulletpoint"/>
        <w:numPr>
          <w:ilvl w:val="0"/>
          <w:numId w:val="0"/>
        </w:numPr>
        <w:rPr>
          <w:rFonts w:cstheme="minorBidi"/>
          <w:szCs w:val="22"/>
        </w:rPr>
      </w:pPr>
    </w:p>
    <w:p w14:paraId="0DC233C3" w14:textId="3A6C45D5" w:rsidR="00C565D7" w:rsidRDefault="00C565D7" w:rsidP="009E1133">
      <w:pPr>
        <w:pStyle w:val="PHEBulletpoint"/>
        <w:numPr>
          <w:ilvl w:val="0"/>
          <w:numId w:val="39"/>
        </w:numPr>
        <w:ind w:left="357" w:hanging="357"/>
        <w:rPr>
          <w:rFonts w:cstheme="minorBidi"/>
          <w:szCs w:val="22"/>
        </w:rPr>
      </w:pPr>
      <w:bookmarkStart w:id="22" w:name="Reference16"/>
      <w:bookmarkEnd w:id="22"/>
      <w:proofErr w:type="spellStart"/>
      <w:r>
        <w:rPr>
          <w:rFonts w:cstheme="minorBidi"/>
          <w:szCs w:val="22"/>
        </w:rPr>
        <w:t>Vaira</w:t>
      </w:r>
      <w:proofErr w:type="spellEnd"/>
      <w:r>
        <w:rPr>
          <w:rFonts w:cstheme="minorBidi"/>
          <w:szCs w:val="22"/>
        </w:rPr>
        <w:t xml:space="preserve"> D, </w:t>
      </w:r>
      <w:proofErr w:type="spellStart"/>
      <w:r>
        <w:rPr>
          <w:rFonts w:cstheme="minorBidi"/>
          <w:szCs w:val="22"/>
        </w:rPr>
        <w:t>Vakil</w:t>
      </w:r>
      <w:proofErr w:type="spellEnd"/>
      <w:r>
        <w:rPr>
          <w:rFonts w:cstheme="minorBidi"/>
          <w:szCs w:val="22"/>
        </w:rPr>
        <w:t xml:space="preserve"> N. Blood, urine, stool, breath, money, and </w:t>
      </w:r>
      <w:r>
        <w:rPr>
          <w:rFonts w:cstheme="minorBidi"/>
          <w:i/>
          <w:szCs w:val="22"/>
        </w:rPr>
        <w:t>Helicobacter pylori</w:t>
      </w:r>
      <w:r>
        <w:rPr>
          <w:rFonts w:cstheme="minorBidi"/>
          <w:szCs w:val="22"/>
        </w:rPr>
        <w:t xml:space="preserve">. </w:t>
      </w:r>
      <w:r>
        <w:rPr>
          <w:rFonts w:cstheme="minorBidi"/>
          <w:i/>
          <w:szCs w:val="22"/>
        </w:rPr>
        <w:t>Gut</w:t>
      </w:r>
      <w:r>
        <w:rPr>
          <w:rFonts w:cstheme="minorBidi"/>
          <w:szCs w:val="22"/>
        </w:rPr>
        <w:t xml:space="preserve">. 2001 Mar; 48(3):287-289. Available from: </w:t>
      </w:r>
      <w:hyperlink r:id="rId48" w:history="1">
        <w:r w:rsidRPr="005174F5">
          <w:rPr>
            <w:rStyle w:val="Hyperlink"/>
            <w:rFonts w:cstheme="minorBidi"/>
            <w:color w:val="9C002A"/>
            <w:szCs w:val="22"/>
            <w:u w:val="none"/>
          </w:rPr>
          <w:t>http://www.ncbi.nlm.nih.gov/pmc/articles/PMC1760150/pdf/v048p00287.pdf</w:t>
        </w:r>
      </w:hyperlink>
      <w:r>
        <w:rPr>
          <w:rFonts w:cstheme="minorBidi"/>
          <w:szCs w:val="22"/>
        </w:rPr>
        <w:t>.</w:t>
      </w:r>
    </w:p>
    <w:p w14:paraId="66BFCC66" w14:textId="75AA7238" w:rsidR="00C565D7" w:rsidRDefault="00C565D7" w:rsidP="00C565D7">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965747">
        <w:rPr>
          <w:rFonts w:cstheme="minorBidi"/>
          <w:szCs w:val="22"/>
        </w:rPr>
        <w:t>A case report presenting data from eight studies, showing that the urea breath t</w:t>
      </w:r>
      <w:r>
        <w:rPr>
          <w:rFonts w:cstheme="minorBidi"/>
          <w:szCs w:val="22"/>
        </w:rPr>
        <w:t>est has</w:t>
      </w:r>
      <w:r w:rsidRPr="00965747">
        <w:rPr>
          <w:rFonts w:cstheme="minorBidi"/>
          <w:szCs w:val="22"/>
        </w:rPr>
        <w:t xml:space="preserve"> much higher accuracy (95% specificity and sensitivity) than the near patient serology test (71.1% sensitivity and 87.6% specificity)</w:t>
      </w:r>
      <w:r>
        <w:rPr>
          <w:rFonts w:cstheme="minorBidi"/>
          <w:szCs w:val="22"/>
        </w:rPr>
        <w:t xml:space="preserve"> in detecting </w:t>
      </w:r>
      <w:r>
        <w:rPr>
          <w:rFonts w:cstheme="minorBidi"/>
          <w:i/>
          <w:szCs w:val="22"/>
        </w:rPr>
        <w:t>H. pylori</w:t>
      </w:r>
      <w:r w:rsidRPr="00965747">
        <w:rPr>
          <w:rFonts w:cstheme="minorBidi"/>
          <w:szCs w:val="22"/>
        </w:rPr>
        <w:t>.</w:t>
      </w:r>
    </w:p>
    <w:p w14:paraId="26ECB60C" w14:textId="77777777" w:rsidR="00704D05" w:rsidRPr="00DC0E18" w:rsidRDefault="00704D05" w:rsidP="00704D05">
      <w:pPr>
        <w:pStyle w:val="PHEBulletpoint"/>
        <w:numPr>
          <w:ilvl w:val="0"/>
          <w:numId w:val="0"/>
        </w:numPr>
        <w:rPr>
          <w:rFonts w:cstheme="minorBidi"/>
          <w:szCs w:val="22"/>
        </w:rPr>
      </w:pPr>
    </w:p>
    <w:p w14:paraId="6210ACD2" w14:textId="42EE5111" w:rsidR="00704D05" w:rsidRPr="00DF27AA" w:rsidRDefault="00704D05" w:rsidP="00DF27AA">
      <w:pPr>
        <w:pStyle w:val="PHEBulletpoint"/>
        <w:numPr>
          <w:ilvl w:val="0"/>
          <w:numId w:val="39"/>
        </w:numPr>
        <w:ind w:left="357" w:hanging="357"/>
        <w:rPr>
          <w:rFonts w:cstheme="minorBidi"/>
          <w:szCs w:val="22"/>
        </w:rPr>
      </w:pPr>
      <w:bookmarkStart w:id="23" w:name="Reference17"/>
      <w:bookmarkEnd w:id="23"/>
      <w:proofErr w:type="spellStart"/>
      <w:r>
        <w:rPr>
          <w:rFonts w:cstheme="minorBidi"/>
          <w:szCs w:val="22"/>
        </w:rPr>
        <w:t>Vakil</w:t>
      </w:r>
      <w:proofErr w:type="spellEnd"/>
      <w:r>
        <w:rPr>
          <w:rFonts w:cstheme="minorBidi"/>
          <w:szCs w:val="22"/>
        </w:rPr>
        <w:t xml:space="preserve"> N, </w:t>
      </w:r>
      <w:proofErr w:type="spellStart"/>
      <w:r>
        <w:rPr>
          <w:rFonts w:cstheme="minorBidi"/>
          <w:szCs w:val="22"/>
        </w:rPr>
        <w:t>Zullo</w:t>
      </w:r>
      <w:proofErr w:type="spellEnd"/>
      <w:r>
        <w:rPr>
          <w:rFonts w:cstheme="minorBidi"/>
          <w:szCs w:val="22"/>
        </w:rPr>
        <w:t xml:space="preserve"> A, Ricci C, Hassan C, </w:t>
      </w:r>
      <w:proofErr w:type="spellStart"/>
      <w:r>
        <w:rPr>
          <w:rFonts w:cstheme="minorBidi"/>
          <w:szCs w:val="22"/>
        </w:rPr>
        <w:t>Vaira</w:t>
      </w:r>
      <w:proofErr w:type="spellEnd"/>
      <w:r>
        <w:rPr>
          <w:rFonts w:cstheme="minorBidi"/>
          <w:szCs w:val="22"/>
        </w:rPr>
        <w:t xml:space="preserve"> D. Duplicate breath testing to confirm eradication of </w:t>
      </w:r>
      <w:r>
        <w:rPr>
          <w:rFonts w:cstheme="minorBidi"/>
          <w:i/>
          <w:szCs w:val="22"/>
        </w:rPr>
        <w:t>Helicobacter pylori</w:t>
      </w:r>
      <w:r>
        <w:rPr>
          <w:rFonts w:cstheme="minorBidi"/>
          <w:szCs w:val="22"/>
        </w:rPr>
        <w:t xml:space="preserve">: incremental benefit and cost in 419 patients. </w:t>
      </w:r>
      <w:r>
        <w:rPr>
          <w:rFonts w:cstheme="minorBidi"/>
          <w:i/>
          <w:szCs w:val="22"/>
        </w:rPr>
        <w:t xml:space="preserve">Aliment </w:t>
      </w:r>
      <w:proofErr w:type="spellStart"/>
      <w:r>
        <w:rPr>
          <w:rFonts w:cstheme="minorBidi"/>
          <w:i/>
          <w:szCs w:val="22"/>
        </w:rPr>
        <w:t>Pharmacol</w:t>
      </w:r>
      <w:proofErr w:type="spellEnd"/>
      <w:r>
        <w:rPr>
          <w:rFonts w:cstheme="minorBidi"/>
          <w:i/>
          <w:szCs w:val="22"/>
        </w:rPr>
        <w:t xml:space="preserve"> </w:t>
      </w:r>
      <w:proofErr w:type="spellStart"/>
      <w:r>
        <w:rPr>
          <w:rFonts w:cstheme="minorBidi"/>
          <w:i/>
          <w:szCs w:val="22"/>
        </w:rPr>
        <w:t>Ther</w:t>
      </w:r>
      <w:proofErr w:type="spellEnd"/>
      <w:r>
        <w:rPr>
          <w:rFonts w:cstheme="minorBidi"/>
          <w:szCs w:val="22"/>
        </w:rPr>
        <w:t xml:space="preserve">. </w:t>
      </w:r>
      <w:r w:rsidRPr="00DF27AA">
        <w:rPr>
          <w:rFonts w:cstheme="minorBidi"/>
          <w:szCs w:val="22"/>
        </w:rPr>
        <w:t xml:space="preserve">2008 Dec; 1(28):1304-1308. Available from: </w:t>
      </w:r>
      <w:hyperlink r:id="rId49" w:history="1">
        <w:r w:rsidRPr="00DF27AA">
          <w:rPr>
            <w:rStyle w:val="Hyperlink"/>
            <w:rFonts w:cstheme="minorBidi"/>
            <w:color w:val="9C002A"/>
            <w:szCs w:val="22"/>
            <w:u w:val="none"/>
          </w:rPr>
          <w:t>http://www.ncbi.nlm.nih.gov/pubmed/18774949</w:t>
        </w:r>
      </w:hyperlink>
      <w:r w:rsidRPr="00DF27AA">
        <w:rPr>
          <w:rFonts w:cstheme="minorBidi"/>
          <w:szCs w:val="22"/>
        </w:rPr>
        <w:t>.</w:t>
      </w:r>
    </w:p>
    <w:p w14:paraId="196CDABA" w14:textId="5AE2ADFB" w:rsidR="00DF27AA" w:rsidRDefault="00704D05" w:rsidP="0057262C">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965747">
        <w:rPr>
          <w:rFonts w:cstheme="minorBidi"/>
          <w:szCs w:val="22"/>
        </w:rPr>
        <w:t xml:space="preserve">A prospective study following 419 patients with documented </w:t>
      </w:r>
      <w:r w:rsidRPr="00704D05">
        <w:rPr>
          <w:rFonts w:cstheme="minorBidi"/>
          <w:i/>
          <w:szCs w:val="22"/>
        </w:rPr>
        <w:t>H. pylori</w:t>
      </w:r>
      <w:r w:rsidR="009E64F3">
        <w:rPr>
          <w:rFonts w:cstheme="minorBidi"/>
          <w:szCs w:val="22"/>
        </w:rPr>
        <w:t xml:space="preserve"> </w:t>
      </w:r>
    </w:p>
    <w:p w14:paraId="12DDA4F8" w14:textId="77777777" w:rsidR="00531D26" w:rsidRDefault="00704D05" w:rsidP="00704D05">
      <w:pPr>
        <w:pStyle w:val="PHEBulletpoint"/>
        <w:numPr>
          <w:ilvl w:val="0"/>
          <w:numId w:val="0"/>
        </w:numPr>
        <w:ind w:left="720"/>
        <w:rPr>
          <w:rFonts w:cstheme="minorBidi"/>
          <w:szCs w:val="22"/>
        </w:rPr>
      </w:pPr>
      <w:r>
        <w:rPr>
          <w:rFonts w:cstheme="minorBidi"/>
          <w:szCs w:val="22"/>
        </w:rPr>
        <w:t>infection.</w:t>
      </w:r>
      <w:r w:rsidRPr="00704D05">
        <w:rPr>
          <w:rFonts w:cstheme="minorBidi"/>
          <w:szCs w:val="22"/>
        </w:rPr>
        <w:t xml:space="preserve"> </w:t>
      </w:r>
      <w:r w:rsidRPr="00965747">
        <w:rPr>
          <w:rFonts w:cstheme="minorBidi"/>
          <w:szCs w:val="22"/>
        </w:rPr>
        <w:t xml:space="preserve">Patients had two breath tests, one at four weeks, and the second at least eight weeks </w:t>
      </w:r>
      <w:r w:rsidRPr="00A275E2">
        <w:rPr>
          <w:rFonts w:cstheme="minorBidi"/>
          <w:szCs w:val="22"/>
        </w:rPr>
        <w:t xml:space="preserve">after completion of therapy. Following treatment, the results at one month were </w:t>
      </w:r>
      <w:proofErr w:type="gramStart"/>
      <w:r w:rsidRPr="00A275E2">
        <w:rPr>
          <w:rFonts w:cstheme="minorBidi"/>
          <w:szCs w:val="22"/>
        </w:rPr>
        <w:t>similar to</w:t>
      </w:r>
      <w:proofErr w:type="gramEnd"/>
      <w:r w:rsidRPr="00A275E2">
        <w:rPr>
          <w:rFonts w:cstheme="minorBidi"/>
          <w:szCs w:val="22"/>
        </w:rPr>
        <w:t xml:space="preserve"> the value obtained at the second breath test at two months. There were no </w:t>
      </w:r>
    </w:p>
    <w:p w14:paraId="31F3D688" w14:textId="77777777" w:rsidR="00531D26" w:rsidRDefault="00531D26" w:rsidP="00704D05">
      <w:pPr>
        <w:pStyle w:val="PHEBulletpoint"/>
        <w:numPr>
          <w:ilvl w:val="0"/>
          <w:numId w:val="0"/>
        </w:numPr>
        <w:ind w:left="720"/>
        <w:rPr>
          <w:rFonts w:cstheme="minorBidi"/>
          <w:szCs w:val="22"/>
        </w:rPr>
      </w:pPr>
    </w:p>
    <w:p w14:paraId="1846BED8" w14:textId="5C0E76E3" w:rsidR="00704D05" w:rsidRDefault="00704D05" w:rsidP="00704D05">
      <w:pPr>
        <w:pStyle w:val="PHEBulletpoint"/>
        <w:numPr>
          <w:ilvl w:val="0"/>
          <w:numId w:val="0"/>
        </w:numPr>
        <w:ind w:left="720"/>
        <w:rPr>
          <w:rFonts w:cstheme="minorBidi"/>
          <w:szCs w:val="22"/>
        </w:rPr>
      </w:pPr>
      <w:r w:rsidRPr="00A275E2">
        <w:rPr>
          <w:rFonts w:cstheme="minorBidi"/>
          <w:szCs w:val="22"/>
        </w:rPr>
        <w:t>discordant results.</w:t>
      </w:r>
      <w:r w:rsidR="00AB570B" w:rsidRPr="00A275E2">
        <w:rPr>
          <w:rFonts w:cstheme="minorBidi"/>
          <w:szCs w:val="22"/>
        </w:rPr>
        <w:t xml:space="preserve"> This indicates that the urea breath t</w:t>
      </w:r>
      <w:r w:rsidR="009E64F3" w:rsidRPr="00A275E2">
        <w:rPr>
          <w:rFonts w:cstheme="minorBidi"/>
          <w:szCs w:val="22"/>
        </w:rPr>
        <w:t>est can be undertaken four weeks after treatment is completed.</w:t>
      </w:r>
    </w:p>
    <w:p w14:paraId="74562DC2" w14:textId="77777777" w:rsidR="008E17D0" w:rsidRDefault="008E17D0" w:rsidP="008E17D0">
      <w:pPr>
        <w:pStyle w:val="PHEBulletpoint"/>
        <w:numPr>
          <w:ilvl w:val="0"/>
          <w:numId w:val="0"/>
        </w:numPr>
        <w:rPr>
          <w:rFonts w:cstheme="minorBidi"/>
          <w:szCs w:val="22"/>
        </w:rPr>
      </w:pPr>
    </w:p>
    <w:p w14:paraId="292667A2" w14:textId="0A0F3000" w:rsidR="008E17D0" w:rsidRDefault="008E17D0" w:rsidP="009E1133">
      <w:pPr>
        <w:pStyle w:val="PHEBulletpoint"/>
        <w:numPr>
          <w:ilvl w:val="0"/>
          <w:numId w:val="39"/>
        </w:numPr>
        <w:ind w:left="357" w:hanging="357"/>
        <w:rPr>
          <w:rFonts w:cstheme="minorBidi"/>
          <w:szCs w:val="22"/>
        </w:rPr>
      </w:pPr>
      <w:bookmarkStart w:id="24" w:name="Reference18"/>
      <w:bookmarkEnd w:id="24"/>
      <w:proofErr w:type="spellStart"/>
      <w:r>
        <w:rPr>
          <w:rFonts w:cstheme="minorBidi"/>
          <w:szCs w:val="22"/>
        </w:rPr>
        <w:t>Gisbert</w:t>
      </w:r>
      <w:proofErr w:type="spellEnd"/>
      <w:r>
        <w:rPr>
          <w:rFonts w:cstheme="minorBidi"/>
          <w:szCs w:val="22"/>
        </w:rPr>
        <w:t xml:space="preserve"> JP, de la </w:t>
      </w:r>
      <w:proofErr w:type="spellStart"/>
      <w:r>
        <w:rPr>
          <w:rFonts w:cstheme="minorBidi"/>
          <w:szCs w:val="22"/>
        </w:rPr>
        <w:t>Morena</w:t>
      </w:r>
      <w:proofErr w:type="spellEnd"/>
      <w:r>
        <w:rPr>
          <w:rFonts w:cstheme="minorBidi"/>
          <w:szCs w:val="22"/>
        </w:rPr>
        <w:t xml:space="preserve"> F, </w:t>
      </w:r>
      <w:proofErr w:type="spellStart"/>
      <w:r>
        <w:rPr>
          <w:rFonts w:cstheme="minorBidi"/>
          <w:szCs w:val="22"/>
        </w:rPr>
        <w:t>Abraira</w:t>
      </w:r>
      <w:proofErr w:type="spellEnd"/>
      <w:r>
        <w:rPr>
          <w:rFonts w:cstheme="minorBidi"/>
          <w:szCs w:val="22"/>
        </w:rPr>
        <w:t xml:space="preserve"> V. Accuracy of monoclonal stool antigen test for the diagnosis of </w:t>
      </w:r>
      <w:r>
        <w:rPr>
          <w:rFonts w:cstheme="minorBidi"/>
          <w:i/>
          <w:szCs w:val="22"/>
        </w:rPr>
        <w:t>H. pylori</w:t>
      </w:r>
      <w:r>
        <w:rPr>
          <w:rFonts w:cstheme="minorBidi"/>
          <w:szCs w:val="22"/>
        </w:rPr>
        <w:t xml:space="preserve"> infection: a systematic review and meta-analysis. </w:t>
      </w:r>
      <w:r>
        <w:rPr>
          <w:rFonts w:cstheme="minorBidi"/>
          <w:i/>
          <w:szCs w:val="22"/>
        </w:rPr>
        <w:t xml:space="preserve">Am J </w:t>
      </w:r>
      <w:proofErr w:type="spellStart"/>
      <w:r>
        <w:rPr>
          <w:rFonts w:cstheme="minorBidi"/>
          <w:i/>
          <w:szCs w:val="22"/>
        </w:rPr>
        <w:t>Gastroenterol</w:t>
      </w:r>
      <w:proofErr w:type="spellEnd"/>
      <w:r>
        <w:rPr>
          <w:rFonts w:cstheme="minorBidi"/>
          <w:szCs w:val="22"/>
        </w:rPr>
        <w:t xml:space="preserve">. 2006 Aug; 101(8):1921-1930. Available from: </w:t>
      </w:r>
      <w:hyperlink r:id="rId50" w:history="1">
        <w:r w:rsidRPr="00F04AB2">
          <w:rPr>
            <w:rStyle w:val="Hyperlink"/>
            <w:rFonts w:cstheme="minorBidi"/>
            <w:color w:val="9C002A"/>
            <w:szCs w:val="22"/>
            <w:u w:val="none"/>
          </w:rPr>
          <w:t>http://www.ncbi.nlm.nih.gov/pubmed/16780557</w:t>
        </w:r>
      </w:hyperlink>
      <w:r>
        <w:rPr>
          <w:rFonts w:cstheme="minorBidi"/>
          <w:szCs w:val="22"/>
        </w:rPr>
        <w:t>.</w:t>
      </w:r>
    </w:p>
    <w:p w14:paraId="7BA65BC6" w14:textId="33C5CC0A" w:rsidR="008E17D0" w:rsidRDefault="008E17D0" w:rsidP="008E17D0">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965747">
        <w:rPr>
          <w:rFonts w:cstheme="minorBidi"/>
          <w:szCs w:val="22"/>
        </w:rPr>
        <w:t xml:space="preserve">A systematic review of 22 studies (2,499 patients) showing </w:t>
      </w:r>
      <w:r w:rsidRPr="008E17D0">
        <w:rPr>
          <w:rFonts w:cstheme="minorBidi"/>
          <w:i/>
          <w:szCs w:val="22"/>
        </w:rPr>
        <w:t>H. pylori</w:t>
      </w:r>
      <w:r w:rsidRPr="00965747">
        <w:rPr>
          <w:rFonts w:cstheme="minorBidi"/>
          <w:szCs w:val="22"/>
        </w:rPr>
        <w:t xml:space="preserve"> monoclonal stool antigen tests as having a</w:t>
      </w:r>
      <w:r w:rsidR="005661AE">
        <w:rPr>
          <w:rFonts w:cstheme="minorBidi"/>
          <w:szCs w:val="22"/>
        </w:rPr>
        <w:t xml:space="preserve"> sensitivity of 94% (95% CI, 93 to </w:t>
      </w:r>
      <w:r w:rsidRPr="00965747">
        <w:rPr>
          <w:rFonts w:cstheme="minorBidi"/>
          <w:szCs w:val="22"/>
        </w:rPr>
        <w:t>95), and</w:t>
      </w:r>
      <w:r w:rsidR="005661AE">
        <w:rPr>
          <w:rFonts w:cstheme="minorBidi"/>
          <w:szCs w:val="22"/>
        </w:rPr>
        <w:t xml:space="preserve"> specificity of 97% (95% CI, 96 to </w:t>
      </w:r>
      <w:r w:rsidRPr="00965747">
        <w:rPr>
          <w:rFonts w:cstheme="minorBidi"/>
          <w:szCs w:val="22"/>
        </w:rPr>
        <w:t>98)</w:t>
      </w:r>
      <w:r w:rsidR="005661AE">
        <w:rPr>
          <w:rFonts w:cstheme="minorBidi"/>
          <w:szCs w:val="22"/>
        </w:rPr>
        <w:t xml:space="preserve">, with LR+ and LR- being 24 (15 to </w:t>
      </w:r>
      <w:r w:rsidRPr="00965747">
        <w:rPr>
          <w:rFonts w:cstheme="minorBidi"/>
          <w:szCs w:val="22"/>
        </w:rPr>
        <w:t xml:space="preserve">41) </w:t>
      </w:r>
      <w:r w:rsidR="005661AE">
        <w:rPr>
          <w:rFonts w:cstheme="minorBidi"/>
          <w:szCs w:val="22"/>
        </w:rPr>
        <w:t xml:space="preserve">and 0.07 (0.04 to </w:t>
      </w:r>
      <w:r w:rsidRPr="00965747">
        <w:rPr>
          <w:rFonts w:cstheme="minorBidi"/>
          <w:szCs w:val="22"/>
        </w:rPr>
        <w:t xml:space="preserve">0.12), respectively. Monoclonal tests were more sensitive than polyclonal tests (pooled sensitivity of 95% for monoclonal tests, and 83% for polyclonal tests). Post-treatment, the monoclonal stool antigen tests were evaluated in 957 patients, with </w:t>
      </w:r>
      <w:r w:rsidR="005661AE">
        <w:rPr>
          <w:rFonts w:cstheme="minorBidi"/>
          <w:szCs w:val="22"/>
        </w:rPr>
        <w:t xml:space="preserve">a sensitivity of 93% (95% CI 89 to </w:t>
      </w:r>
      <w:r w:rsidRPr="00965747">
        <w:rPr>
          <w:rFonts w:cstheme="minorBidi"/>
          <w:szCs w:val="22"/>
        </w:rPr>
        <w:t xml:space="preserve">96) and </w:t>
      </w:r>
      <w:r w:rsidR="005661AE">
        <w:rPr>
          <w:rFonts w:cstheme="minorBidi"/>
          <w:szCs w:val="22"/>
        </w:rPr>
        <w:t xml:space="preserve">a specificity of 96% (95% CI 94 to </w:t>
      </w:r>
      <w:r w:rsidRPr="00965747">
        <w:rPr>
          <w:rFonts w:cstheme="minorBidi"/>
          <w:szCs w:val="22"/>
        </w:rPr>
        <w:t>97), respectively. Pooled positi</w:t>
      </w:r>
      <w:r w:rsidR="005661AE">
        <w:rPr>
          <w:rFonts w:cstheme="minorBidi"/>
          <w:szCs w:val="22"/>
        </w:rPr>
        <w:t xml:space="preserve">ve and negative LRs were 17 (12 to </w:t>
      </w:r>
      <w:r w:rsidRPr="00965747">
        <w:rPr>
          <w:rFonts w:cstheme="minorBidi"/>
          <w:szCs w:val="22"/>
        </w:rPr>
        <w:t>23; non-heter</w:t>
      </w:r>
      <w:r w:rsidR="005661AE">
        <w:rPr>
          <w:rFonts w:cstheme="minorBidi"/>
          <w:szCs w:val="22"/>
        </w:rPr>
        <w:t xml:space="preserve">ogeneous results) and 0.1 (0.07 to </w:t>
      </w:r>
      <w:r w:rsidRPr="00965747">
        <w:rPr>
          <w:rFonts w:cstheme="minorBidi"/>
          <w:szCs w:val="22"/>
        </w:rPr>
        <w:t>0.15; non-heterogeneous results).</w:t>
      </w:r>
    </w:p>
    <w:p w14:paraId="381BB4FD" w14:textId="77777777" w:rsidR="008E17D0" w:rsidRPr="00DC0E18" w:rsidRDefault="008E17D0" w:rsidP="008E17D0">
      <w:pPr>
        <w:pStyle w:val="PHEBulletpoint"/>
        <w:numPr>
          <w:ilvl w:val="0"/>
          <w:numId w:val="0"/>
        </w:numPr>
        <w:rPr>
          <w:rFonts w:cstheme="minorBidi"/>
          <w:szCs w:val="22"/>
        </w:rPr>
      </w:pPr>
    </w:p>
    <w:p w14:paraId="19FB23B5" w14:textId="2D6C8656" w:rsidR="008E17D0" w:rsidRPr="00A275E2" w:rsidRDefault="008E17D0" w:rsidP="009E1133">
      <w:pPr>
        <w:pStyle w:val="PHEBulletpoint"/>
        <w:numPr>
          <w:ilvl w:val="0"/>
          <w:numId w:val="39"/>
        </w:numPr>
        <w:ind w:left="357" w:hanging="357"/>
        <w:rPr>
          <w:rFonts w:cstheme="minorBidi"/>
          <w:szCs w:val="22"/>
        </w:rPr>
      </w:pPr>
      <w:bookmarkStart w:id="25" w:name="Reference19"/>
      <w:bookmarkEnd w:id="25"/>
      <w:proofErr w:type="spellStart"/>
      <w:r>
        <w:rPr>
          <w:rFonts w:cstheme="minorBidi"/>
          <w:szCs w:val="22"/>
        </w:rPr>
        <w:t>Gisbert</w:t>
      </w:r>
      <w:proofErr w:type="spellEnd"/>
      <w:r>
        <w:rPr>
          <w:rFonts w:cstheme="minorBidi"/>
          <w:szCs w:val="22"/>
        </w:rPr>
        <w:t xml:space="preserve"> JP, </w:t>
      </w:r>
      <w:proofErr w:type="spellStart"/>
      <w:r>
        <w:rPr>
          <w:rFonts w:cstheme="minorBidi"/>
          <w:szCs w:val="22"/>
        </w:rPr>
        <w:t>Pajares</w:t>
      </w:r>
      <w:proofErr w:type="spellEnd"/>
      <w:r>
        <w:rPr>
          <w:rFonts w:cstheme="minorBidi"/>
          <w:szCs w:val="22"/>
        </w:rPr>
        <w:t xml:space="preserve"> JM. Stool antigen test for the diagnosis of </w:t>
      </w:r>
      <w:r>
        <w:rPr>
          <w:rFonts w:cstheme="minorBidi"/>
          <w:i/>
          <w:szCs w:val="22"/>
        </w:rPr>
        <w:t>Helicobacter pylori</w:t>
      </w:r>
      <w:r>
        <w:rPr>
          <w:rFonts w:cstheme="minorBidi"/>
          <w:szCs w:val="22"/>
        </w:rPr>
        <w:t xml:space="preserve"> infection: a systematic review. </w:t>
      </w:r>
      <w:r w:rsidRPr="00A275E2">
        <w:rPr>
          <w:rFonts w:cstheme="minorBidi"/>
          <w:i/>
          <w:szCs w:val="22"/>
        </w:rPr>
        <w:t>Helicobacter</w:t>
      </w:r>
      <w:r w:rsidRPr="00A275E2">
        <w:rPr>
          <w:rFonts w:cstheme="minorBidi"/>
          <w:szCs w:val="22"/>
        </w:rPr>
        <w:t xml:space="preserve">. 2004 Aug; 9(4):347-368. Available from: </w:t>
      </w:r>
      <w:hyperlink r:id="rId51" w:history="1">
        <w:r w:rsidRPr="00A275E2">
          <w:rPr>
            <w:rStyle w:val="Hyperlink"/>
            <w:rFonts w:cstheme="minorBidi"/>
            <w:color w:val="9C002A"/>
            <w:szCs w:val="22"/>
            <w:u w:val="none"/>
          </w:rPr>
          <w:t>http://www.ncbi.nlm.nih.gov/pubmed/15270750</w:t>
        </w:r>
      </w:hyperlink>
      <w:r w:rsidRPr="00A275E2">
        <w:rPr>
          <w:rFonts w:cstheme="minorBidi"/>
          <w:szCs w:val="22"/>
        </w:rPr>
        <w:t>.</w:t>
      </w:r>
    </w:p>
    <w:p w14:paraId="376A5401" w14:textId="749DDE90" w:rsidR="008E17D0" w:rsidRDefault="008E17D0" w:rsidP="008E17D0">
      <w:pPr>
        <w:pStyle w:val="PHEBulletpoint"/>
        <w:numPr>
          <w:ilvl w:val="0"/>
          <w:numId w:val="0"/>
        </w:numPr>
        <w:ind w:left="720"/>
        <w:rPr>
          <w:rFonts w:cstheme="minorBidi"/>
          <w:szCs w:val="22"/>
        </w:rPr>
      </w:pPr>
      <w:r w:rsidRPr="00433A68">
        <w:rPr>
          <w:rFonts w:cstheme="minorBidi"/>
          <w:szCs w:val="22"/>
        </w:rPr>
        <w:t>RATIONALE:</w:t>
      </w:r>
      <w:r w:rsidRPr="00A275E2">
        <w:rPr>
          <w:rFonts w:cstheme="minorBidi"/>
          <w:szCs w:val="22"/>
        </w:rPr>
        <w:t xml:space="preserve"> A systematic review evaluating all stool antigen test studie</w:t>
      </w:r>
      <w:r w:rsidR="009E64F3" w:rsidRPr="00A275E2">
        <w:rPr>
          <w:rFonts w:cstheme="minorBidi"/>
          <w:szCs w:val="22"/>
        </w:rPr>
        <w:t>s up to 2004. Findings indicate</w:t>
      </w:r>
      <w:r w:rsidRPr="00A275E2">
        <w:rPr>
          <w:rFonts w:cstheme="minorBidi"/>
          <w:szCs w:val="22"/>
        </w:rPr>
        <w:t xml:space="preserve"> that post-antibiotic treatment tests are </w:t>
      </w:r>
      <w:r w:rsidR="009E64F3" w:rsidRPr="00A275E2">
        <w:rPr>
          <w:rFonts w:cstheme="minorBidi"/>
          <w:szCs w:val="22"/>
        </w:rPr>
        <w:t xml:space="preserve">more accurate at four </w:t>
      </w:r>
      <w:proofErr w:type="gramStart"/>
      <w:r w:rsidR="009E64F3" w:rsidRPr="00A275E2">
        <w:rPr>
          <w:rFonts w:cstheme="minorBidi"/>
          <w:szCs w:val="22"/>
        </w:rPr>
        <w:t>weeks</w:t>
      </w:r>
      <w:proofErr w:type="gramEnd"/>
      <w:r w:rsidR="009E64F3" w:rsidRPr="00A275E2">
        <w:rPr>
          <w:rFonts w:cstheme="minorBidi"/>
          <w:szCs w:val="22"/>
        </w:rPr>
        <w:t xml:space="preserve"> post-treatment, than at two weeks, and eight weeks post-treatment, than at</w:t>
      </w:r>
      <w:r w:rsidRPr="00A275E2">
        <w:rPr>
          <w:rFonts w:cstheme="minorBidi"/>
          <w:szCs w:val="22"/>
        </w:rPr>
        <w:t xml:space="preserve"> four weeks. This review found that proton-pump inhibitors affect the accuracy of stool antigen tests</w:t>
      </w:r>
      <w:r w:rsidR="005907DA" w:rsidRPr="00A275E2">
        <w:rPr>
          <w:rFonts w:cstheme="minorBidi"/>
          <w:szCs w:val="22"/>
        </w:rPr>
        <w:t xml:space="preserve">, and that when PPIs are started in </w:t>
      </w:r>
      <w:r w:rsidR="005907DA" w:rsidRPr="00A275E2">
        <w:rPr>
          <w:rFonts w:cstheme="minorBidi"/>
          <w:i/>
          <w:szCs w:val="22"/>
        </w:rPr>
        <w:t>H. pylori</w:t>
      </w:r>
      <w:r w:rsidR="005907DA" w:rsidRPr="00A275E2">
        <w:rPr>
          <w:rFonts w:cstheme="minorBidi"/>
          <w:szCs w:val="22"/>
        </w:rPr>
        <w:t xml:space="preserve"> positive patients, SAT and UBT test values fall to negative figures at one week (in about 30% of patients), and revert to pos</w:t>
      </w:r>
      <w:r w:rsidR="007F0F27" w:rsidRPr="00A275E2">
        <w:rPr>
          <w:rFonts w:cstheme="minorBidi"/>
          <w:szCs w:val="22"/>
        </w:rPr>
        <w:t>itive two weeks after treatment. This paper also states that sensitivity and/or specificity of SATs in</w:t>
      </w:r>
      <w:r w:rsidR="007F0F27">
        <w:rPr>
          <w:rFonts w:cstheme="minorBidi"/>
          <w:szCs w:val="22"/>
        </w:rPr>
        <w:t xml:space="preserve"> patients with gastrointestinal bleeding is suboptimal. Studies of patients with upper gastrointestinal bleeding have produced very variable results. Negative UBTs in patients with upper gastrointestinal bleeding can be due to the interaction of blood with urea or </w:t>
      </w:r>
      <w:r w:rsidR="007F0F27">
        <w:rPr>
          <w:rFonts w:cstheme="minorBidi"/>
          <w:i/>
          <w:szCs w:val="22"/>
        </w:rPr>
        <w:t>H. pylori</w:t>
      </w:r>
      <w:r w:rsidR="007F0F27">
        <w:rPr>
          <w:rFonts w:cstheme="minorBidi"/>
          <w:szCs w:val="22"/>
        </w:rPr>
        <w:t xml:space="preserve"> urease in the stomach. Blood in the stool may also lead to false negatives.</w:t>
      </w:r>
    </w:p>
    <w:p w14:paraId="11E2E9BD" w14:textId="77777777" w:rsidR="007F0F27" w:rsidRPr="00DC0E18" w:rsidRDefault="007F0F27" w:rsidP="007F0F27">
      <w:pPr>
        <w:pStyle w:val="PHEBulletpoint"/>
        <w:numPr>
          <w:ilvl w:val="0"/>
          <w:numId w:val="0"/>
        </w:numPr>
        <w:rPr>
          <w:rFonts w:cstheme="minorBidi"/>
          <w:szCs w:val="22"/>
        </w:rPr>
      </w:pPr>
    </w:p>
    <w:p w14:paraId="492DA5E4" w14:textId="275D95DA" w:rsidR="007F0F27" w:rsidRDefault="007F0F27" w:rsidP="009E1133">
      <w:pPr>
        <w:pStyle w:val="PHEBulletpoint"/>
        <w:numPr>
          <w:ilvl w:val="0"/>
          <w:numId w:val="39"/>
        </w:numPr>
        <w:ind w:left="357" w:hanging="357"/>
        <w:rPr>
          <w:rFonts w:cstheme="minorBidi"/>
          <w:szCs w:val="22"/>
        </w:rPr>
      </w:pPr>
      <w:bookmarkStart w:id="26" w:name="Reference20"/>
      <w:bookmarkEnd w:id="26"/>
      <w:r>
        <w:rPr>
          <w:rFonts w:cstheme="minorBidi"/>
          <w:szCs w:val="22"/>
        </w:rPr>
        <w:t xml:space="preserve">Mana F, Van </w:t>
      </w:r>
      <w:proofErr w:type="spellStart"/>
      <w:r>
        <w:rPr>
          <w:rFonts w:cstheme="minorBidi"/>
          <w:szCs w:val="22"/>
        </w:rPr>
        <w:t>Laer</w:t>
      </w:r>
      <w:proofErr w:type="spellEnd"/>
      <w:r>
        <w:rPr>
          <w:rFonts w:cstheme="minorBidi"/>
          <w:szCs w:val="22"/>
        </w:rPr>
        <w:t xml:space="preserve"> W, </w:t>
      </w:r>
      <w:proofErr w:type="spellStart"/>
      <w:r>
        <w:rPr>
          <w:rFonts w:cstheme="minorBidi"/>
          <w:szCs w:val="22"/>
        </w:rPr>
        <w:t>Bossuyt</w:t>
      </w:r>
      <w:proofErr w:type="spellEnd"/>
      <w:r>
        <w:rPr>
          <w:rFonts w:cstheme="minorBidi"/>
          <w:szCs w:val="22"/>
        </w:rPr>
        <w:t xml:space="preserve"> A, </w:t>
      </w:r>
      <w:proofErr w:type="spellStart"/>
      <w:r>
        <w:rPr>
          <w:rFonts w:cstheme="minorBidi"/>
          <w:szCs w:val="22"/>
        </w:rPr>
        <w:t>Urbain</w:t>
      </w:r>
      <w:proofErr w:type="spellEnd"/>
      <w:r>
        <w:rPr>
          <w:rFonts w:cstheme="minorBidi"/>
          <w:szCs w:val="22"/>
        </w:rPr>
        <w:t xml:space="preserve"> D. The early effect of proton pump inhibitor therapy on the accuracy of the </w:t>
      </w:r>
      <w:r>
        <w:rPr>
          <w:rFonts w:cstheme="minorBidi"/>
          <w:szCs w:val="22"/>
          <w:vertAlign w:val="superscript"/>
        </w:rPr>
        <w:t>13</w:t>
      </w:r>
      <w:r>
        <w:rPr>
          <w:rFonts w:cstheme="minorBidi"/>
          <w:szCs w:val="22"/>
        </w:rPr>
        <w:t xml:space="preserve">C-urea breath test. </w:t>
      </w:r>
      <w:r>
        <w:rPr>
          <w:rFonts w:cstheme="minorBidi"/>
          <w:i/>
          <w:szCs w:val="22"/>
        </w:rPr>
        <w:t>Dig Liver Dis</w:t>
      </w:r>
      <w:r>
        <w:rPr>
          <w:rFonts w:cstheme="minorBidi"/>
          <w:szCs w:val="22"/>
        </w:rPr>
        <w:t xml:space="preserve">. 2005 Jan; 37(1):28-32. Available from: </w:t>
      </w:r>
      <w:hyperlink r:id="rId52" w:history="1">
        <w:r w:rsidRPr="00EB5731">
          <w:rPr>
            <w:rStyle w:val="Hyperlink"/>
            <w:rFonts w:cstheme="minorBidi"/>
            <w:color w:val="9C002A"/>
            <w:szCs w:val="22"/>
            <w:u w:val="none"/>
          </w:rPr>
          <w:t>http://www.ncbi.nlm.nih.gov/pubmed/15702856</w:t>
        </w:r>
      </w:hyperlink>
      <w:r>
        <w:rPr>
          <w:rFonts w:cstheme="minorBidi"/>
          <w:szCs w:val="22"/>
        </w:rPr>
        <w:t>.</w:t>
      </w:r>
    </w:p>
    <w:p w14:paraId="4C638A3A" w14:textId="45395498" w:rsidR="00DF27AA" w:rsidRDefault="007F0F27" w:rsidP="0057262C">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0C12EF">
        <w:rPr>
          <w:rFonts w:cstheme="minorBidi"/>
          <w:szCs w:val="22"/>
        </w:rPr>
        <w:t xml:space="preserve">A prospective study showing that the intake of proton pump inhibitors impairs the accuracy of the </w:t>
      </w:r>
      <w:r w:rsidRPr="000C12EF">
        <w:rPr>
          <w:rFonts w:cstheme="minorBidi"/>
          <w:szCs w:val="22"/>
          <w:vertAlign w:val="superscript"/>
        </w:rPr>
        <w:t>13</w:t>
      </w:r>
      <w:r w:rsidRPr="000C12EF">
        <w:rPr>
          <w:rFonts w:cstheme="minorBidi"/>
          <w:szCs w:val="22"/>
        </w:rPr>
        <w:t xml:space="preserve">C-urea breath test. 30 patients and 53 volunteers received a </w:t>
      </w:r>
      <w:r w:rsidRPr="000C12EF">
        <w:rPr>
          <w:rFonts w:cstheme="minorBidi"/>
          <w:szCs w:val="22"/>
          <w:vertAlign w:val="superscript"/>
        </w:rPr>
        <w:t>13</w:t>
      </w:r>
      <w:r w:rsidRPr="000C12EF">
        <w:rPr>
          <w:rFonts w:cstheme="minorBidi"/>
          <w:szCs w:val="22"/>
        </w:rPr>
        <w:t xml:space="preserve">C-urea breath test before starting PPI therapy, and every morning before the once-daily PPI dose, for ten days. 43% of </w:t>
      </w:r>
      <w:r w:rsidRPr="007F0F27">
        <w:rPr>
          <w:rFonts w:cstheme="minorBidi"/>
          <w:i/>
          <w:szCs w:val="22"/>
        </w:rPr>
        <w:t>H. pylori</w:t>
      </w:r>
      <w:r w:rsidRPr="000C12EF">
        <w:rPr>
          <w:rFonts w:cstheme="minorBidi"/>
          <w:szCs w:val="22"/>
        </w:rPr>
        <w:t xml:space="preserve"> positive patients developed false negative breath tests in the first ten days, with false positive results occurring in 37.5% of </w:t>
      </w:r>
      <w:r w:rsidRPr="007F0F27">
        <w:rPr>
          <w:rFonts w:cstheme="minorBidi"/>
          <w:i/>
          <w:szCs w:val="22"/>
        </w:rPr>
        <w:t>H. pylori</w:t>
      </w:r>
      <w:r w:rsidRPr="000C12EF">
        <w:rPr>
          <w:rFonts w:cstheme="minorBidi"/>
          <w:szCs w:val="22"/>
        </w:rPr>
        <w:t xml:space="preserve"> </w:t>
      </w:r>
      <w:r w:rsidR="00DF27AA" w:rsidRPr="000C12EF">
        <w:rPr>
          <w:rFonts w:cstheme="minorBidi"/>
          <w:szCs w:val="22"/>
        </w:rPr>
        <w:t xml:space="preserve">negative patients. False negative and false positive </w:t>
      </w:r>
      <w:r w:rsidR="00DF27AA" w:rsidRPr="000C12EF">
        <w:rPr>
          <w:rFonts w:cstheme="minorBidi"/>
          <w:szCs w:val="22"/>
          <w:vertAlign w:val="superscript"/>
        </w:rPr>
        <w:t>13</w:t>
      </w:r>
      <w:r w:rsidR="00DF27AA" w:rsidRPr="000C12EF">
        <w:rPr>
          <w:rFonts w:cstheme="minorBidi"/>
          <w:szCs w:val="22"/>
        </w:rPr>
        <w:t>C-urea breath tests are common in patients taking PPIs, occurring as</w:t>
      </w:r>
      <w:r w:rsidR="00DF27AA" w:rsidRPr="007F0F27">
        <w:rPr>
          <w:rFonts w:cstheme="minorBidi"/>
          <w:szCs w:val="22"/>
        </w:rPr>
        <w:t xml:space="preserve"> </w:t>
      </w:r>
      <w:r w:rsidR="00DF27AA" w:rsidRPr="000C12EF">
        <w:rPr>
          <w:rFonts w:cstheme="minorBidi"/>
          <w:szCs w:val="22"/>
        </w:rPr>
        <w:t xml:space="preserve">soon as one day after starting treatment, and increasing </w:t>
      </w:r>
    </w:p>
    <w:p w14:paraId="5209B9EA" w14:textId="7279E0BE" w:rsidR="00DF27AA" w:rsidRDefault="00DF27AA" w:rsidP="00DF27AA">
      <w:pPr>
        <w:pStyle w:val="PHEBulletpoint"/>
        <w:numPr>
          <w:ilvl w:val="0"/>
          <w:numId w:val="0"/>
        </w:numPr>
        <w:ind w:left="720"/>
        <w:rPr>
          <w:rFonts w:cstheme="minorBidi"/>
          <w:szCs w:val="22"/>
        </w:rPr>
      </w:pPr>
      <w:r w:rsidRPr="000C12EF">
        <w:rPr>
          <w:rFonts w:cstheme="minorBidi"/>
          <w:szCs w:val="22"/>
        </w:rPr>
        <w:t xml:space="preserve">with prolonged duration of treatment. The coefficient of reproducibility of the </w:t>
      </w:r>
      <w:r w:rsidRPr="000C12EF">
        <w:rPr>
          <w:rFonts w:cstheme="minorBidi"/>
          <w:szCs w:val="22"/>
          <w:vertAlign w:val="superscript"/>
        </w:rPr>
        <w:t>13</w:t>
      </w:r>
      <w:r w:rsidRPr="000C12EF">
        <w:rPr>
          <w:rFonts w:cstheme="minorBidi"/>
          <w:szCs w:val="22"/>
        </w:rPr>
        <w:t>C-urea breath test in patients receiving</w:t>
      </w:r>
      <w:r w:rsidRPr="007F0F27">
        <w:rPr>
          <w:rFonts w:cstheme="minorBidi"/>
          <w:szCs w:val="22"/>
        </w:rPr>
        <w:t xml:space="preserve"> </w:t>
      </w:r>
      <w:r w:rsidRPr="000C12EF">
        <w:rPr>
          <w:rFonts w:cstheme="minorBidi"/>
          <w:szCs w:val="22"/>
        </w:rPr>
        <w:t>PPIs is not acceptable for clinical purpose, so the test should not be performed once PPI medication has been started.</w:t>
      </w:r>
    </w:p>
    <w:p w14:paraId="48AFC1D9" w14:textId="77777777" w:rsidR="00531D26" w:rsidRDefault="00531D26" w:rsidP="00DF27AA">
      <w:pPr>
        <w:pStyle w:val="PHEBulletpoint"/>
        <w:numPr>
          <w:ilvl w:val="0"/>
          <w:numId w:val="0"/>
        </w:numPr>
        <w:ind w:left="720"/>
        <w:rPr>
          <w:rFonts w:cstheme="minorBidi"/>
          <w:szCs w:val="22"/>
        </w:rPr>
      </w:pPr>
    </w:p>
    <w:p w14:paraId="5B26BABC" w14:textId="77777777" w:rsidR="007F0F27" w:rsidRDefault="007F0F27" w:rsidP="007F0F27">
      <w:pPr>
        <w:pStyle w:val="PHEBulletpoint"/>
        <w:numPr>
          <w:ilvl w:val="0"/>
          <w:numId w:val="0"/>
        </w:numPr>
        <w:rPr>
          <w:rFonts w:cstheme="minorBidi"/>
          <w:szCs w:val="22"/>
        </w:rPr>
      </w:pPr>
    </w:p>
    <w:p w14:paraId="77D6AE16" w14:textId="61FDA0C4" w:rsidR="007F0F27" w:rsidRDefault="007F0F27" w:rsidP="009E1133">
      <w:pPr>
        <w:pStyle w:val="PHEBulletpoint"/>
        <w:numPr>
          <w:ilvl w:val="0"/>
          <w:numId w:val="39"/>
        </w:numPr>
        <w:ind w:left="357" w:hanging="357"/>
        <w:rPr>
          <w:rFonts w:cstheme="minorBidi"/>
          <w:szCs w:val="22"/>
        </w:rPr>
      </w:pPr>
      <w:bookmarkStart w:id="27" w:name="Reference21"/>
      <w:bookmarkEnd w:id="27"/>
      <w:r>
        <w:rPr>
          <w:rFonts w:cstheme="minorBidi"/>
          <w:szCs w:val="22"/>
        </w:rPr>
        <w:t xml:space="preserve">Graham DY, </w:t>
      </w:r>
      <w:proofErr w:type="spellStart"/>
      <w:r>
        <w:rPr>
          <w:rFonts w:cstheme="minorBidi"/>
          <w:szCs w:val="22"/>
        </w:rPr>
        <w:t>Opekun</w:t>
      </w:r>
      <w:proofErr w:type="spellEnd"/>
      <w:r>
        <w:rPr>
          <w:rFonts w:cstheme="minorBidi"/>
          <w:szCs w:val="22"/>
        </w:rPr>
        <w:t xml:space="preserve"> AR, </w:t>
      </w:r>
      <w:proofErr w:type="spellStart"/>
      <w:r>
        <w:rPr>
          <w:rFonts w:cstheme="minorBidi"/>
          <w:szCs w:val="22"/>
        </w:rPr>
        <w:t>Hammoud</w:t>
      </w:r>
      <w:proofErr w:type="spellEnd"/>
      <w:r>
        <w:rPr>
          <w:rFonts w:cstheme="minorBidi"/>
          <w:szCs w:val="22"/>
        </w:rPr>
        <w:t xml:space="preserve"> F, Yamaoka Y, Reddy R, </w:t>
      </w:r>
      <w:proofErr w:type="spellStart"/>
      <w:r>
        <w:rPr>
          <w:rFonts w:cstheme="minorBidi"/>
          <w:szCs w:val="22"/>
        </w:rPr>
        <w:t>Osato</w:t>
      </w:r>
      <w:proofErr w:type="spellEnd"/>
      <w:r>
        <w:rPr>
          <w:rFonts w:cstheme="minorBidi"/>
          <w:szCs w:val="22"/>
        </w:rPr>
        <w:t xml:space="preserve"> MS et al. Studies regarding the mechanism of false negative urea breath tests with proton pump inhibitors. </w:t>
      </w:r>
      <w:r>
        <w:rPr>
          <w:rFonts w:cstheme="minorBidi"/>
          <w:i/>
          <w:szCs w:val="22"/>
        </w:rPr>
        <w:t xml:space="preserve">Am J </w:t>
      </w:r>
      <w:proofErr w:type="spellStart"/>
      <w:r>
        <w:rPr>
          <w:rFonts w:cstheme="minorBidi"/>
          <w:i/>
          <w:szCs w:val="22"/>
        </w:rPr>
        <w:t>Gastroenterol</w:t>
      </w:r>
      <w:proofErr w:type="spellEnd"/>
      <w:r>
        <w:rPr>
          <w:rFonts w:cstheme="minorBidi"/>
          <w:szCs w:val="22"/>
        </w:rPr>
        <w:t xml:space="preserve">. 2003 May; 98(5):1005-1009. Available from: </w:t>
      </w:r>
      <w:hyperlink r:id="rId53" w:history="1">
        <w:r w:rsidRPr="00CD12CD">
          <w:rPr>
            <w:rStyle w:val="Hyperlink"/>
            <w:rFonts w:cstheme="minorBidi"/>
            <w:color w:val="9C002A"/>
            <w:szCs w:val="22"/>
            <w:u w:val="none"/>
          </w:rPr>
          <w:t>http://www.ncbi.nlm.nih.gov/pubmed/12809820</w:t>
        </w:r>
      </w:hyperlink>
      <w:r>
        <w:rPr>
          <w:rFonts w:cstheme="minorBidi"/>
          <w:szCs w:val="22"/>
        </w:rPr>
        <w:t>.</w:t>
      </w:r>
    </w:p>
    <w:p w14:paraId="7894901F" w14:textId="580BAA8E" w:rsidR="007F0F27" w:rsidRDefault="007F0F27" w:rsidP="007F0F27">
      <w:pPr>
        <w:pStyle w:val="PHEBulletpoint"/>
        <w:numPr>
          <w:ilvl w:val="0"/>
          <w:numId w:val="0"/>
        </w:numPr>
        <w:ind w:left="720"/>
        <w:rPr>
          <w:rFonts w:cstheme="minorBidi"/>
          <w:szCs w:val="22"/>
        </w:rPr>
      </w:pPr>
      <w:r w:rsidRPr="00433A68">
        <w:rPr>
          <w:rFonts w:cstheme="minorBidi"/>
          <w:szCs w:val="22"/>
        </w:rPr>
        <w:t>RATIONALE:</w:t>
      </w:r>
      <w:r w:rsidRPr="007F0F27">
        <w:rPr>
          <w:rFonts w:cstheme="minorBidi"/>
          <w:szCs w:val="22"/>
        </w:rPr>
        <w:t xml:space="preserve"> </w:t>
      </w:r>
      <w:r w:rsidRPr="000C12EF">
        <w:rPr>
          <w:rFonts w:cstheme="minorBidi"/>
          <w:szCs w:val="22"/>
        </w:rPr>
        <w:t xml:space="preserve">A prospective study in which the authors suggest the minimum of a </w:t>
      </w:r>
      <w:proofErr w:type="gramStart"/>
      <w:r w:rsidRPr="000C12EF">
        <w:rPr>
          <w:rFonts w:cstheme="minorBidi"/>
          <w:szCs w:val="22"/>
        </w:rPr>
        <w:t>three day</w:t>
      </w:r>
      <w:proofErr w:type="gramEnd"/>
      <w:r w:rsidRPr="000C12EF">
        <w:rPr>
          <w:rFonts w:cstheme="minorBidi"/>
          <w:szCs w:val="22"/>
        </w:rPr>
        <w:t xml:space="preserve"> delay between stopping PPI therapy and conducting a urea breath test, with the preference of a 14 day delay. In this study, 30 </w:t>
      </w:r>
      <w:r w:rsidRPr="007F0F27">
        <w:rPr>
          <w:rFonts w:cstheme="minorBidi"/>
          <w:i/>
          <w:szCs w:val="22"/>
        </w:rPr>
        <w:t>H. pylori</w:t>
      </w:r>
      <w:r w:rsidRPr="000C12EF">
        <w:rPr>
          <w:rFonts w:cstheme="minorBidi"/>
          <w:szCs w:val="22"/>
        </w:rPr>
        <w:t xml:space="preserve"> infected volunteers received omeprazole 20mg twice daily for 13.5 days. UBTs with citric acid were conducted before PPI, after 6.5 days of PPI, and at 1, 2, 4, 7, and 14 days after completion of therapy. Positive UBTs </w:t>
      </w:r>
      <w:r w:rsidRPr="00A275E2">
        <w:rPr>
          <w:rFonts w:cstheme="minorBidi"/>
          <w:szCs w:val="22"/>
        </w:rPr>
        <w:t>were significantly reduced by day 6, but 33% of subjects developed transient negative UBTs. The UBT recovered in all but one subject by the fourth day post-PPI, and in all subjects by day 14</w:t>
      </w:r>
      <w:r w:rsidR="009E64F3" w:rsidRPr="00A275E2">
        <w:rPr>
          <w:rFonts w:cstheme="minorBidi"/>
          <w:szCs w:val="22"/>
        </w:rPr>
        <w:t xml:space="preserve">, indicating that the UBT should be performed at 14 </w:t>
      </w:r>
      <w:proofErr w:type="gramStart"/>
      <w:r w:rsidR="009E64F3" w:rsidRPr="00A275E2">
        <w:rPr>
          <w:rFonts w:cstheme="minorBidi"/>
          <w:szCs w:val="22"/>
        </w:rPr>
        <w:t>days</w:t>
      </w:r>
      <w:proofErr w:type="gramEnd"/>
      <w:r w:rsidR="009E64F3" w:rsidRPr="00A275E2">
        <w:rPr>
          <w:rFonts w:cstheme="minorBidi"/>
          <w:szCs w:val="22"/>
        </w:rPr>
        <w:t xml:space="preserve"> post-treatment</w:t>
      </w:r>
      <w:r w:rsidRPr="00A275E2">
        <w:rPr>
          <w:rFonts w:cstheme="minorBidi"/>
          <w:szCs w:val="22"/>
        </w:rPr>
        <w:t>. PPI-induced negative UBT results were related to the anti-</w:t>
      </w:r>
      <w:r w:rsidRPr="00A275E2">
        <w:rPr>
          <w:rFonts w:cstheme="minorBidi"/>
          <w:i/>
          <w:szCs w:val="22"/>
        </w:rPr>
        <w:t>Helicobacter pylori</w:t>
      </w:r>
      <w:r w:rsidRPr="00A275E2">
        <w:rPr>
          <w:rFonts w:cstheme="minorBidi"/>
          <w:szCs w:val="22"/>
        </w:rPr>
        <w:t xml:space="preserve"> effect of the PPI, as </w:t>
      </w:r>
      <w:r w:rsidRPr="00A275E2">
        <w:rPr>
          <w:rFonts w:cstheme="minorBidi"/>
          <w:i/>
          <w:szCs w:val="22"/>
        </w:rPr>
        <w:t>H. pylori</w:t>
      </w:r>
      <w:r w:rsidRPr="00A275E2">
        <w:rPr>
          <w:rFonts w:cstheme="minorBidi"/>
          <w:szCs w:val="22"/>
        </w:rPr>
        <w:t xml:space="preserve"> density decreases with PPI therapy.</w:t>
      </w:r>
    </w:p>
    <w:p w14:paraId="59487B62" w14:textId="77777777" w:rsidR="007F0F27" w:rsidRPr="00DC0E18" w:rsidRDefault="007F0F27" w:rsidP="007F0F27">
      <w:pPr>
        <w:pStyle w:val="PHEBulletpoint"/>
        <w:numPr>
          <w:ilvl w:val="0"/>
          <w:numId w:val="0"/>
        </w:numPr>
        <w:rPr>
          <w:rFonts w:cstheme="minorBidi"/>
          <w:szCs w:val="22"/>
        </w:rPr>
      </w:pPr>
    </w:p>
    <w:p w14:paraId="4CB24960" w14:textId="79EC3F01" w:rsidR="007F0F27" w:rsidRDefault="007F0F27" w:rsidP="009E1133">
      <w:pPr>
        <w:pStyle w:val="PHEBulletpoint"/>
        <w:numPr>
          <w:ilvl w:val="0"/>
          <w:numId w:val="39"/>
        </w:numPr>
        <w:ind w:left="357" w:hanging="357"/>
        <w:rPr>
          <w:rFonts w:cstheme="minorBidi"/>
          <w:szCs w:val="22"/>
        </w:rPr>
      </w:pPr>
      <w:bookmarkStart w:id="28" w:name="Reference22"/>
      <w:bookmarkEnd w:id="28"/>
      <w:r>
        <w:rPr>
          <w:rFonts w:cstheme="minorBidi"/>
          <w:szCs w:val="22"/>
        </w:rPr>
        <w:t xml:space="preserve">O’Connor A, </w:t>
      </w:r>
      <w:proofErr w:type="spellStart"/>
      <w:r>
        <w:rPr>
          <w:rFonts w:cstheme="minorBidi"/>
          <w:szCs w:val="22"/>
        </w:rPr>
        <w:t>Gisbert</w:t>
      </w:r>
      <w:proofErr w:type="spellEnd"/>
      <w:r>
        <w:rPr>
          <w:rFonts w:cstheme="minorBidi"/>
          <w:szCs w:val="22"/>
        </w:rPr>
        <w:t xml:space="preserve"> JP, McNamara D, </w:t>
      </w:r>
      <w:proofErr w:type="spellStart"/>
      <w:r>
        <w:rPr>
          <w:rFonts w:cstheme="minorBidi"/>
          <w:szCs w:val="22"/>
        </w:rPr>
        <w:t>O’Morain</w:t>
      </w:r>
      <w:proofErr w:type="spellEnd"/>
      <w:r>
        <w:rPr>
          <w:rFonts w:cstheme="minorBidi"/>
          <w:szCs w:val="22"/>
        </w:rPr>
        <w:t xml:space="preserve"> C. Treatment of </w:t>
      </w:r>
      <w:r>
        <w:rPr>
          <w:rFonts w:cstheme="minorBidi"/>
          <w:i/>
          <w:szCs w:val="22"/>
        </w:rPr>
        <w:t>Helicobacter pylori</w:t>
      </w:r>
      <w:r>
        <w:rPr>
          <w:rFonts w:cstheme="minorBidi"/>
          <w:szCs w:val="22"/>
        </w:rPr>
        <w:t xml:space="preserve"> infection 2010. </w:t>
      </w:r>
      <w:r>
        <w:rPr>
          <w:rFonts w:cstheme="minorBidi"/>
          <w:i/>
          <w:szCs w:val="22"/>
        </w:rPr>
        <w:t>Helicobacter</w:t>
      </w:r>
      <w:r>
        <w:rPr>
          <w:rFonts w:cstheme="minorBidi"/>
          <w:szCs w:val="22"/>
        </w:rPr>
        <w:t xml:space="preserve">. 2010 Sep; 15(1):46-52. Available from: </w:t>
      </w:r>
      <w:hyperlink r:id="rId54" w:history="1">
        <w:r w:rsidRPr="00D91D41">
          <w:rPr>
            <w:rStyle w:val="Hyperlink"/>
            <w:rFonts w:cstheme="minorBidi"/>
            <w:color w:val="9C002A"/>
            <w:szCs w:val="22"/>
            <w:u w:val="none"/>
          </w:rPr>
          <w:t>http://www.ncbi.nlm.nih.gov/pubmed/21054653</w:t>
        </w:r>
      </w:hyperlink>
      <w:r>
        <w:rPr>
          <w:rFonts w:cstheme="minorBidi"/>
          <w:szCs w:val="22"/>
        </w:rPr>
        <w:t>.</w:t>
      </w:r>
    </w:p>
    <w:p w14:paraId="529AFA5A" w14:textId="7B9B23A9" w:rsidR="009E64F3" w:rsidRDefault="007F0F27" w:rsidP="00DF27AA">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0C12EF">
        <w:rPr>
          <w:rFonts w:cstheme="minorBidi"/>
          <w:szCs w:val="22"/>
        </w:rPr>
        <w:t xml:space="preserve">A review of all previously published trials regarding the treatment of </w:t>
      </w:r>
      <w:r w:rsidRPr="007F0F27">
        <w:rPr>
          <w:rFonts w:cstheme="minorBidi"/>
          <w:i/>
          <w:szCs w:val="22"/>
        </w:rPr>
        <w:t>H. pylori</w:t>
      </w:r>
      <w:r w:rsidRPr="000C12EF">
        <w:rPr>
          <w:rFonts w:cstheme="minorBidi"/>
          <w:szCs w:val="22"/>
        </w:rPr>
        <w:t xml:space="preserve">. Eradication rates have been falling over the past ten years, and is below 80% in Southern European countries. Resistance to clarithromycin is the single most important factor when considering treatment failures, however resistance to clarithromycin remains low in most Northern European countries and in EU populations with low rates of ethnicity. This review discusses the importance of individualising </w:t>
      </w:r>
      <w:r w:rsidRPr="007F0F27">
        <w:rPr>
          <w:rFonts w:cstheme="minorBidi"/>
          <w:i/>
          <w:szCs w:val="22"/>
        </w:rPr>
        <w:t>H. pylori</w:t>
      </w:r>
      <w:r w:rsidRPr="000C12EF">
        <w:rPr>
          <w:rFonts w:cstheme="minorBidi"/>
          <w:szCs w:val="22"/>
        </w:rPr>
        <w:t xml:space="preserve"> eradication treatment </w:t>
      </w:r>
      <w:proofErr w:type="gramStart"/>
      <w:r w:rsidRPr="000C12EF">
        <w:rPr>
          <w:rFonts w:cstheme="minorBidi"/>
          <w:szCs w:val="22"/>
        </w:rPr>
        <w:t>in order to</w:t>
      </w:r>
      <w:proofErr w:type="gramEnd"/>
      <w:r w:rsidRPr="000C12EF">
        <w:rPr>
          <w:rFonts w:cstheme="minorBidi"/>
          <w:szCs w:val="22"/>
        </w:rPr>
        <w:t xml:space="preserve"> maximise efficacy.</w:t>
      </w:r>
      <w:r>
        <w:rPr>
          <w:rFonts w:cstheme="minorBidi"/>
          <w:szCs w:val="22"/>
        </w:rPr>
        <w:t xml:space="preserve"> This </w:t>
      </w:r>
      <w:r w:rsidR="002A7447">
        <w:rPr>
          <w:rFonts w:cstheme="minorBidi"/>
          <w:szCs w:val="22"/>
        </w:rPr>
        <w:t xml:space="preserve">review emphasises the importance of: </w:t>
      </w:r>
      <w:r>
        <w:rPr>
          <w:rFonts w:cstheme="minorBidi"/>
          <w:szCs w:val="22"/>
        </w:rPr>
        <w:t>assessing previous antibiotic treatment for any other infection, as previous metronidazole, clarithromycin and quinolone use are all associated with increased resistance</w:t>
      </w:r>
      <w:r w:rsidR="002A7447">
        <w:rPr>
          <w:rFonts w:cstheme="minorBidi"/>
          <w:szCs w:val="22"/>
        </w:rPr>
        <w:t>; reviewing national resistance rates; considering patient ethnicity.</w:t>
      </w:r>
      <w:r w:rsidR="00F67363">
        <w:rPr>
          <w:rFonts w:cstheme="minorBidi"/>
          <w:szCs w:val="22"/>
        </w:rPr>
        <w:t xml:space="preserve"> Poor compliance also has an impact on eradication rates. Compliance with </w:t>
      </w:r>
      <w:r w:rsidR="00F67363">
        <w:rPr>
          <w:rFonts w:cstheme="minorBidi"/>
          <w:i/>
          <w:szCs w:val="22"/>
        </w:rPr>
        <w:t>H. pylori</w:t>
      </w:r>
      <w:r w:rsidR="00F67363">
        <w:rPr>
          <w:rFonts w:cstheme="minorBidi"/>
          <w:szCs w:val="22"/>
        </w:rPr>
        <w:t xml:space="preserve"> eradication therapy is a multifactorial process. Current evidence and published guidelines recommend complex and prolonged eradication regimens, using </w:t>
      </w:r>
      <w:proofErr w:type="gramStart"/>
      <w:r w:rsidR="00F67363">
        <w:rPr>
          <w:rFonts w:cstheme="minorBidi"/>
          <w:szCs w:val="22"/>
        </w:rPr>
        <w:t>a number of</w:t>
      </w:r>
      <w:proofErr w:type="gramEnd"/>
      <w:r w:rsidR="00F67363">
        <w:rPr>
          <w:rFonts w:cstheme="minorBidi"/>
          <w:szCs w:val="22"/>
        </w:rPr>
        <w:t xml:space="preserve"> antibiotics, and involving manipulation of gastric </w:t>
      </w:r>
      <w:proofErr w:type="spellStart"/>
      <w:r w:rsidR="00F67363">
        <w:rPr>
          <w:rFonts w:cstheme="minorBidi"/>
          <w:szCs w:val="22"/>
        </w:rPr>
        <w:t>pH.</w:t>
      </w:r>
      <w:proofErr w:type="spellEnd"/>
      <w:r w:rsidR="00F67363">
        <w:rPr>
          <w:rFonts w:cstheme="minorBidi"/>
          <w:szCs w:val="22"/>
        </w:rPr>
        <w:t xml:space="preserve"> It has been suggested that 10% of patients prescribed </w:t>
      </w:r>
      <w:r w:rsidR="00F67363">
        <w:rPr>
          <w:rFonts w:cstheme="minorBidi"/>
          <w:i/>
          <w:szCs w:val="22"/>
        </w:rPr>
        <w:t>H. pylori</w:t>
      </w:r>
      <w:r w:rsidR="00F67363">
        <w:rPr>
          <w:rFonts w:cstheme="minorBidi"/>
          <w:szCs w:val="22"/>
        </w:rPr>
        <w:t xml:space="preserve"> eradication therapy will fail to take even 60% of medications. Improvements with respect to compliance are likely to lead to higher levels of eradication and lower rates of resistance. Finally, this review states that PPIs should be carefully chosen</w:t>
      </w:r>
      <w:r w:rsidR="00695F1C">
        <w:rPr>
          <w:rFonts w:cstheme="minorBidi"/>
          <w:szCs w:val="22"/>
        </w:rPr>
        <w:t xml:space="preserve"> depending on the patient</w:t>
      </w:r>
      <w:r w:rsidR="00F67363">
        <w:rPr>
          <w:rFonts w:cstheme="minorBidi"/>
          <w:szCs w:val="22"/>
        </w:rPr>
        <w:t xml:space="preserve">. Most PPIs are metabolised in the liver, with 18-27% of Europeans, compared to only 1-3% of Asians being rapid </w:t>
      </w:r>
      <w:r w:rsidR="00695F1C">
        <w:rPr>
          <w:rFonts w:cstheme="minorBidi"/>
          <w:szCs w:val="22"/>
        </w:rPr>
        <w:t xml:space="preserve">PPI </w:t>
      </w:r>
      <w:r w:rsidR="00F67363">
        <w:rPr>
          <w:rFonts w:cstheme="minorBidi"/>
          <w:szCs w:val="22"/>
        </w:rPr>
        <w:t>metabolisers.</w:t>
      </w:r>
      <w:r w:rsidR="00695F1C" w:rsidRPr="00695F1C">
        <w:rPr>
          <w:rFonts w:cstheme="minorBidi"/>
          <w:szCs w:val="22"/>
        </w:rPr>
        <w:t xml:space="preserve"> </w:t>
      </w:r>
      <w:r w:rsidR="00695F1C" w:rsidRPr="000C12EF">
        <w:rPr>
          <w:rFonts w:cstheme="minorBidi"/>
          <w:szCs w:val="22"/>
        </w:rPr>
        <w:t>Rabeprazole is not metabolised in the liver and, therefore, may be a good choice in Caucasians with treatment relapse.</w:t>
      </w:r>
    </w:p>
    <w:p w14:paraId="09B3F4B9" w14:textId="77777777" w:rsidR="00DF27AA" w:rsidRPr="00DC0E18" w:rsidRDefault="00DF27AA" w:rsidP="00DF27AA">
      <w:pPr>
        <w:pStyle w:val="PHEBulletpoint"/>
        <w:numPr>
          <w:ilvl w:val="0"/>
          <w:numId w:val="0"/>
        </w:numPr>
        <w:ind w:left="720"/>
        <w:rPr>
          <w:rFonts w:cstheme="minorBidi"/>
          <w:szCs w:val="22"/>
        </w:rPr>
      </w:pPr>
    </w:p>
    <w:p w14:paraId="680B2D23" w14:textId="2E808241" w:rsidR="00DF27AA" w:rsidRPr="0057262C" w:rsidRDefault="00695F1C" w:rsidP="0057262C">
      <w:pPr>
        <w:pStyle w:val="PHEBulletpoint"/>
        <w:numPr>
          <w:ilvl w:val="0"/>
          <w:numId w:val="39"/>
        </w:numPr>
        <w:ind w:left="357" w:hanging="357"/>
        <w:rPr>
          <w:rFonts w:cstheme="minorBidi"/>
          <w:szCs w:val="22"/>
        </w:rPr>
      </w:pPr>
      <w:bookmarkStart w:id="29" w:name="Reference23"/>
      <w:bookmarkEnd w:id="29"/>
      <w:r>
        <w:rPr>
          <w:rFonts w:cstheme="minorBidi"/>
          <w:szCs w:val="22"/>
        </w:rPr>
        <w:t xml:space="preserve">Loy CT, </w:t>
      </w:r>
      <w:proofErr w:type="spellStart"/>
      <w:r>
        <w:rPr>
          <w:rFonts w:cstheme="minorBidi"/>
          <w:szCs w:val="22"/>
        </w:rPr>
        <w:t>Irwig</w:t>
      </w:r>
      <w:proofErr w:type="spellEnd"/>
      <w:r>
        <w:rPr>
          <w:rFonts w:cstheme="minorBidi"/>
          <w:szCs w:val="22"/>
        </w:rPr>
        <w:t xml:space="preserve"> LM, </w:t>
      </w:r>
      <w:proofErr w:type="spellStart"/>
      <w:r>
        <w:rPr>
          <w:rFonts w:cstheme="minorBidi"/>
          <w:szCs w:val="22"/>
        </w:rPr>
        <w:t>Katelaris</w:t>
      </w:r>
      <w:proofErr w:type="spellEnd"/>
      <w:r>
        <w:rPr>
          <w:rFonts w:cstheme="minorBidi"/>
          <w:szCs w:val="22"/>
        </w:rPr>
        <w:t xml:space="preserve"> PH, Talley NJ. Do commercial serological kits for </w:t>
      </w:r>
      <w:r>
        <w:rPr>
          <w:rFonts w:cstheme="minorBidi"/>
          <w:i/>
          <w:szCs w:val="22"/>
        </w:rPr>
        <w:t xml:space="preserve">Helicobacter </w:t>
      </w:r>
    </w:p>
    <w:p w14:paraId="4B3A35BA" w14:textId="7CDCEBCC" w:rsidR="00695F1C" w:rsidRPr="00DF27AA" w:rsidRDefault="00695F1C" w:rsidP="00DF27AA">
      <w:pPr>
        <w:pStyle w:val="PHEBulletpoint"/>
        <w:numPr>
          <w:ilvl w:val="0"/>
          <w:numId w:val="0"/>
        </w:numPr>
        <w:ind w:left="357"/>
        <w:rPr>
          <w:rFonts w:cstheme="minorBidi"/>
          <w:szCs w:val="22"/>
        </w:rPr>
      </w:pPr>
      <w:r>
        <w:rPr>
          <w:rFonts w:cstheme="minorBidi"/>
          <w:i/>
          <w:szCs w:val="22"/>
        </w:rPr>
        <w:t>pylori</w:t>
      </w:r>
      <w:r>
        <w:rPr>
          <w:rFonts w:cstheme="minorBidi"/>
          <w:szCs w:val="22"/>
        </w:rPr>
        <w:t xml:space="preserve"> infection </w:t>
      </w:r>
      <w:proofErr w:type="gramStart"/>
      <w:r>
        <w:rPr>
          <w:rFonts w:cstheme="minorBidi"/>
          <w:szCs w:val="22"/>
        </w:rPr>
        <w:t>differ</w:t>
      </w:r>
      <w:proofErr w:type="gramEnd"/>
      <w:r>
        <w:rPr>
          <w:rFonts w:cstheme="minorBidi"/>
          <w:szCs w:val="22"/>
        </w:rPr>
        <w:t xml:space="preserve"> in accuracy? A meta-analysis. </w:t>
      </w:r>
      <w:r>
        <w:rPr>
          <w:rFonts w:cstheme="minorBidi"/>
          <w:i/>
          <w:szCs w:val="22"/>
        </w:rPr>
        <w:t xml:space="preserve">Am J </w:t>
      </w:r>
      <w:proofErr w:type="spellStart"/>
      <w:r>
        <w:rPr>
          <w:rFonts w:cstheme="minorBidi"/>
          <w:i/>
          <w:szCs w:val="22"/>
        </w:rPr>
        <w:t>Gastroenterol</w:t>
      </w:r>
      <w:proofErr w:type="spellEnd"/>
      <w:r>
        <w:rPr>
          <w:rFonts w:cstheme="minorBidi"/>
          <w:szCs w:val="22"/>
        </w:rPr>
        <w:t xml:space="preserve">. 1996 Jun; </w:t>
      </w:r>
      <w:r w:rsidRPr="00DF27AA">
        <w:rPr>
          <w:rFonts w:cstheme="minorBidi"/>
          <w:szCs w:val="22"/>
        </w:rPr>
        <w:t xml:space="preserve">91(6):1138-1144. Available from: </w:t>
      </w:r>
      <w:hyperlink r:id="rId55" w:history="1">
        <w:r w:rsidRPr="00DF27AA">
          <w:rPr>
            <w:rStyle w:val="Hyperlink"/>
            <w:rFonts w:cstheme="minorBidi"/>
            <w:color w:val="9C002A"/>
            <w:szCs w:val="22"/>
            <w:u w:val="none"/>
          </w:rPr>
          <w:t>http://www.ncbi.nlm.nih.gov/pubmed/8651160</w:t>
        </w:r>
      </w:hyperlink>
      <w:r w:rsidRPr="00DF27AA">
        <w:rPr>
          <w:rFonts w:cstheme="minorBidi"/>
          <w:szCs w:val="22"/>
        </w:rPr>
        <w:t>.</w:t>
      </w:r>
    </w:p>
    <w:p w14:paraId="09BDBF66" w14:textId="77777777" w:rsidR="00531D26" w:rsidRDefault="00695F1C" w:rsidP="00695F1C">
      <w:pPr>
        <w:pStyle w:val="PHEBulletpoint"/>
        <w:numPr>
          <w:ilvl w:val="0"/>
          <w:numId w:val="0"/>
        </w:numPr>
        <w:ind w:left="720"/>
        <w:rPr>
          <w:rFonts w:cstheme="minorBidi"/>
          <w:szCs w:val="22"/>
        </w:rPr>
      </w:pPr>
      <w:r w:rsidRPr="00433A68">
        <w:rPr>
          <w:rFonts w:cstheme="minorBidi"/>
          <w:szCs w:val="22"/>
        </w:rPr>
        <w:t>RATIONALE:</w:t>
      </w:r>
      <w:r w:rsidRPr="00695F1C">
        <w:rPr>
          <w:rFonts w:cstheme="minorBidi"/>
          <w:szCs w:val="22"/>
        </w:rPr>
        <w:t xml:space="preserve"> </w:t>
      </w:r>
      <w:r w:rsidRPr="002348BA">
        <w:rPr>
          <w:rFonts w:cstheme="minorBidi"/>
          <w:szCs w:val="22"/>
        </w:rPr>
        <w:t xml:space="preserve">A meta-analysis of 21 laboratory-based studies comparing the accuracy of common commercial serological kits used for </w:t>
      </w:r>
      <w:r w:rsidRPr="00695F1C">
        <w:rPr>
          <w:rFonts w:cstheme="minorBidi"/>
          <w:i/>
          <w:szCs w:val="22"/>
        </w:rPr>
        <w:t>Helicobacter pylori</w:t>
      </w:r>
      <w:r w:rsidRPr="002348BA">
        <w:rPr>
          <w:rFonts w:cstheme="minorBidi"/>
          <w:szCs w:val="22"/>
        </w:rPr>
        <w:t xml:space="preserve">. There was no significant </w:t>
      </w:r>
    </w:p>
    <w:p w14:paraId="5BD0D220" w14:textId="77777777" w:rsidR="00531D26" w:rsidRDefault="00531D26" w:rsidP="00695F1C">
      <w:pPr>
        <w:pStyle w:val="PHEBulletpoint"/>
        <w:numPr>
          <w:ilvl w:val="0"/>
          <w:numId w:val="0"/>
        </w:numPr>
        <w:ind w:left="720"/>
        <w:rPr>
          <w:rFonts w:cstheme="minorBidi"/>
          <w:szCs w:val="22"/>
        </w:rPr>
      </w:pPr>
    </w:p>
    <w:p w14:paraId="7FBC719F" w14:textId="77777777" w:rsidR="00531D26" w:rsidRDefault="00531D26" w:rsidP="00695F1C">
      <w:pPr>
        <w:pStyle w:val="PHEBulletpoint"/>
        <w:numPr>
          <w:ilvl w:val="0"/>
          <w:numId w:val="0"/>
        </w:numPr>
        <w:ind w:left="720"/>
        <w:rPr>
          <w:rFonts w:cstheme="minorBidi"/>
          <w:szCs w:val="22"/>
        </w:rPr>
      </w:pPr>
    </w:p>
    <w:p w14:paraId="5B244DC9" w14:textId="7519F442" w:rsidR="00695F1C" w:rsidRDefault="00695F1C" w:rsidP="00695F1C">
      <w:pPr>
        <w:pStyle w:val="PHEBulletpoint"/>
        <w:numPr>
          <w:ilvl w:val="0"/>
          <w:numId w:val="0"/>
        </w:numPr>
        <w:ind w:left="720"/>
        <w:rPr>
          <w:rFonts w:cstheme="minorBidi"/>
          <w:szCs w:val="22"/>
        </w:rPr>
      </w:pPr>
      <w:r w:rsidRPr="002348BA">
        <w:rPr>
          <w:rFonts w:cstheme="minorBidi"/>
          <w:szCs w:val="22"/>
        </w:rPr>
        <w:t>difference between the accuracies of different kits, and an overall sensitivity and specificity was recorded at 85% and 79%, respectively, both of which are low for a diagnostic test.</w:t>
      </w:r>
    </w:p>
    <w:p w14:paraId="2E5A23E6" w14:textId="77777777" w:rsidR="00695F1C" w:rsidRPr="00695F1C" w:rsidRDefault="00695F1C" w:rsidP="00695F1C">
      <w:pPr>
        <w:pStyle w:val="PHEBulletpoint"/>
        <w:numPr>
          <w:ilvl w:val="0"/>
          <w:numId w:val="0"/>
        </w:numPr>
        <w:rPr>
          <w:rFonts w:cstheme="minorBidi"/>
          <w:szCs w:val="22"/>
        </w:rPr>
      </w:pPr>
    </w:p>
    <w:p w14:paraId="532003BF" w14:textId="72D06ED1" w:rsidR="00695F1C" w:rsidRDefault="00695F1C" w:rsidP="009E1133">
      <w:pPr>
        <w:pStyle w:val="PHEBulletpoint"/>
        <w:numPr>
          <w:ilvl w:val="0"/>
          <w:numId w:val="39"/>
        </w:numPr>
        <w:ind w:left="357" w:hanging="357"/>
        <w:rPr>
          <w:rFonts w:cstheme="minorBidi"/>
          <w:szCs w:val="22"/>
        </w:rPr>
      </w:pPr>
      <w:bookmarkStart w:id="30" w:name="Reference24"/>
      <w:bookmarkEnd w:id="30"/>
      <w:proofErr w:type="spellStart"/>
      <w:r>
        <w:rPr>
          <w:rFonts w:cstheme="minorBidi"/>
          <w:szCs w:val="22"/>
        </w:rPr>
        <w:t>PennState</w:t>
      </w:r>
      <w:proofErr w:type="spellEnd"/>
      <w:r>
        <w:rPr>
          <w:rFonts w:cstheme="minorBidi"/>
          <w:szCs w:val="22"/>
        </w:rPr>
        <w:t xml:space="preserve"> </w:t>
      </w:r>
      <w:proofErr w:type="spellStart"/>
      <w:r>
        <w:rPr>
          <w:rFonts w:cstheme="minorBidi"/>
          <w:szCs w:val="22"/>
        </w:rPr>
        <w:t>Eberly</w:t>
      </w:r>
      <w:proofErr w:type="spellEnd"/>
      <w:r>
        <w:rPr>
          <w:rFonts w:cstheme="minorBidi"/>
          <w:szCs w:val="22"/>
        </w:rPr>
        <w:t xml:space="preserve"> College of Science. </w:t>
      </w:r>
      <w:r w:rsidRPr="0022198D">
        <w:rPr>
          <w:rFonts w:cstheme="minorBidi"/>
          <w:i/>
          <w:szCs w:val="22"/>
        </w:rPr>
        <w:t>Sensitivity, specificity, positive predictive value, and negative predictive value</w:t>
      </w:r>
      <w:r w:rsidR="0022198D">
        <w:rPr>
          <w:rFonts w:cstheme="minorBidi"/>
          <w:szCs w:val="22"/>
        </w:rPr>
        <w:t xml:space="preserve">. </w:t>
      </w:r>
      <w:r>
        <w:rPr>
          <w:rFonts w:cstheme="minorBidi"/>
          <w:szCs w:val="22"/>
        </w:rPr>
        <w:t xml:space="preserve">Available from: </w:t>
      </w:r>
      <w:hyperlink r:id="rId56" w:history="1">
        <w:r w:rsidRPr="00CA5B58">
          <w:rPr>
            <w:rStyle w:val="Hyperlink"/>
            <w:rFonts w:cstheme="minorBidi"/>
            <w:color w:val="9C002A"/>
            <w:szCs w:val="22"/>
            <w:u w:val="none"/>
          </w:rPr>
          <w:t>https://onlinecourses.science.psu.edu/stat507/node/71</w:t>
        </w:r>
      </w:hyperlink>
      <w:r w:rsidR="0022198D">
        <w:rPr>
          <w:rFonts w:cstheme="minorBidi"/>
          <w:szCs w:val="22"/>
        </w:rPr>
        <w:t xml:space="preserve"> [Accessed: 15</w:t>
      </w:r>
      <w:r w:rsidR="0022198D" w:rsidRPr="0022198D">
        <w:rPr>
          <w:rFonts w:cstheme="minorBidi"/>
          <w:szCs w:val="22"/>
          <w:vertAlign w:val="superscript"/>
        </w:rPr>
        <w:t>th</w:t>
      </w:r>
      <w:r w:rsidR="0022198D">
        <w:rPr>
          <w:rFonts w:cstheme="minorBidi"/>
          <w:szCs w:val="22"/>
        </w:rPr>
        <w:t xml:space="preserve"> </w:t>
      </w:r>
      <w:proofErr w:type="gramStart"/>
      <w:r w:rsidR="0022198D">
        <w:rPr>
          <w:rFonts w:cstheme="minorBidi"/>
          <w:szCs w:val="22"/>
        </w:rPr>
        <w:t>April,</w:t>
      </w:r>
      <w:proofErr w:type="gramEnd"/>
      <w:r w:rsidR="0022198D">
        <w:rPr>
          <w:rFonts w:cstheme="minorBidi"/>
          <w:szCs w:val="22"/>
        </w:rPr>
        <w:t xml:space="preserve"> 2016].</w:t>
      </w:r>
    </w:p>
    <w:p w14:paraId="2EFD298B" w14:textId="2CD3E9DE" w:rsidR="00695F1C" w:rsidRDefault="00695F1C" w:rsidP="00695F1C">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2348BA">
        <w:rPr>
          <w:rFonts w:cstheme="minorBidi"/>
          <w:szCs w:val="22"/>
        </w:rPr>
        <w:t xml:space="preserve">A university publication, considering the importance of predictive values of diagnostic tests, and recognising the influence of these on the prevalence of disease. A figure is included, which depicts the relationship between disease prevalence and predictive value in a test with 95% sensitivity and 95% specificity. Using the same test in a population with lower prevalence decreases positive predictive value. The positive predictive value is low in </w:t>
      </w:r>
      <w:proofErr w:type="gramStart"/>
      <w:r w:rsidRPr="002348BA">
        <w:rPr>
          <w:rFonts w:cstheme="minorBidi"/>
          <w:szCs w:val="22"/>
        </w:rPr>
        <w:t>the majority of</w:t>
      </w:r>
      <w:proofErr w:type="gramEnd"/>
      <w:r w:rsidRPr="002348BA">
        <w:rPr>
          <w:rFonts w:cstheme="minorBidi"/>
          <w:szCs w:val="22"/>
        </w:rPr>
        <w:t xml:space="preserve"> the population in the UK. Therefore, a positive serology should be confirmed with another test; either a urea breath test (UBT) or stool antigen test (SAT).</w:t>
      </w:r>
    </w:p>
    <w:p w14:paraId="0D736E59" w14:textId="58BFB09B" w:rsidR="00695F1C" w:rsidRPr="00695F1C" w:rsidRDefault="0057262C" w:rsidP="00695F1C">
      <w:pPr>
        <w:pStyle w:val="PHEBulletpoint"/>
        <w:numPr>
          <w:ilvl w:val="0"/>
          <w:numId w:val="0"/>
        </w:numPr>
        <w:rPr>
          <w:rFonts w:cstheme="minorBidi"/>
          <w:szCs w:val="22"/>
        </w:rPr>
      </w:pPr>
      <w:r w:rsidRPr="002348BA">
        <w:rPr>
          <w:rFonts w:cstheme="minorBidi"/>
          <w:noProof/>
          <w:szCs w:val="22"/>
          <w:lang w:eastAsia="en-GB"/>
        </w:rPr>
        <w:drawing>
          <wp:anchor distT="0" distB="0" distL="114300" distR="114300" simplePos="0" relativeHeight="251765760" behindDoc="1" locked="0" layoutInCell="1" allowOverlap="1" wp14:anchorId="412F833A" wp14:editId="4CE704AC">
            <wp:simplePos x="0" y="0"/>
            <wp:positionH relativeFrom="column">
              <wp:posOffset>3857625</wp:posOffset>
            </wp:positionH>
            <wp:positionV relativeFrom="paragraph">
              <wp:posOffset>-1002665</wp:posOffset>
            </wp:positionV>
            <wp:extent cx="2472055" cy="1462405"/>
            <wp:effectExtent l="19050" t="19050" r="23495" b="2349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l="19800" t="30466" r="16931" b="19672"/>
                    <a:stretch>
                      <a:fillRect/>
                    </a:stretch>
                  </pic:blipFill>
                  <pic:spPr bwMode="auto">
                    <a:xfrm>
                      <a:off x="0" y="0"/>
                      <a:ext cx="2472055" cy="1462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05CF971" w14:textId="439621D9" w:rsidR="00695F1C" w:rsidRDefault="00695F1C" w:rsidP="009E1133">
      <w:pPr>
        <w:pStyle w:val="PHEBulletpoint"/>
        <w:numPr>
          <w:ilvl w:val="0"/>
          <w:numId w:val="39"/>
        </w:numPr>
        <w:ind w:left="357" w:hanging="357"/>
        <w:rPr>
          <w:rFonts w:cstheme="minorBidi"/>
          <w:szCs w:val="22"/>
        </w:rPr>
      </w:pPr>
      <w:bookmarkStart w:id="31" w:name="Reference25"/>
      <w:bookmarkEnd w:id="31"/>
      <w:proofErr w:type="spellStart"/>
      <w:r>
        <w:rPr>
          <w:rFonts w:cstheme="minorBidi"/>
          <w:szCs w:val="22"/>
        </w:rPr>
        <w:t>Laheij</w:t>
      </w:r>
      <w:proofErr w:type="spellEnd"/>
      <w:r>
        <w:rPr>
          <w:rFonts w:cstheme="minorBidi"/>
          <w:szCs w:val="22"/>
        </w:rPr>
        <w:t xml:space="preserve"> RJ, </w:t>
      </w:r>
      <w:proofErr w:type="spellStart"/>
      <w:r>
        <w:rPr>
          <w:rFonts w:cstheme="minorBidi"/>
          <w:szCs w:val="22"/>
        </w:rPr>
        <w:t>Straatman</w:t>
      </w:r>
      <w:proofErr w:type="spellEnd"/>
      <w:r>
        <w:rPr>
          <w:rFonts w:cstheme="minorBidi"/>
          <w:szCs w:val="22"/>
        </w:rPr>
        <w:t xml:space="preserve"> H, Jansen JB, Verbeek AL. Evaluation of commercially available </w:t>
      </w:r>
      <w:r>
        <w:rPr>
          <w:rFonts w:cstheme="minorBidi"/>
          <w:i/>
          <w:szCs w:val="22"/>
        </w:rPr>
        <w:t>Helicobacter pylori</w:t>
      </w:r>
      <w:r>
        <w:rPr>
          <w:rFonts w:cstheme="minorBidi"/>
          <w:szCs w:val="22"/>
        </w:rPr>
        <w:t xml:space="preserve"> serology kits: a review. </w:t>
      </w:r>
      <w:r>
        <w:rPr>
          <w:rFonts w:cstheme="minorBidi"/>
          <w:i/>
          <w:szCs w:val="22"/>
        </w:rPr>
        <w:t xml:space="preserve">J </w:t>
      </w:r>
      <w:proofErr w:type="spellStart"/>
      <w:r>
        <w:rPr>
          <w:rFonts w:cstheme="minorBidi"/>
          <w:i/>
          <w:szCs w:val="22"/>
        </w:rPr>
        <w:t>Clin</w:t>
      </w:r>
      <w:proofErr w:type="spellEnd"/>
      <w:r>
        <w:rPr>
          <w:rFonts w:cstheme="minorBidi"/>
          <w:i/>
          <w:szCs w:val="22"/>
        </w:rPr>
        <w:t xml:space="preserve"> </w:t>
      </w:r>
      <w:proofErr w:type="spellStart"/>
      <w:r>
        <w:rPr>
          <w:rFonts w:cstheme="minorBidi"/>
          <w:i/>
          <w:szCs w:val="22"/>
        </w:rPr>
        <w:t>Microbiol</w:t>
      </w:r>
      <w:proofErr w:type="spellEnd"/>
      <w:r>
        <w:rPr>
          <w:rFonts w:cstheme="minorBidi"/>
          <w:szCs w:val="22"/>
        </w:rPr>
        <w:t xml:space="preserve">. 1998 Oct; 36(10):2803-2809. Available from: </w:t>
      </w:r>
      <w:hyperlink r:id="rId58" w:history="1">
        <w:r w:rsidRPr="00354F45">
          <w:rPr>
            <w:rStyle w:val="Hyperlink"/>
            <w:rFonts w:cstheme="minorBidi"/>
            <w:color w:val="9C002A"/>
            <w:szCs w:val="22"/>
            <w:u w:val="none"/>
          </w:rPr>
          <w:t>http://www.ncbi.nlm.nih.gov/pmc/articles/PMC105068/pdf/jm002803.pdf</w:t>
        </w:r>
      </w:hyperlink>
      <w:r>
        <w:rPr>
          <w:rFonts w:cstheme="minorBidi"/>
          <w:szCs w:val="22"/>
        </w:rPr>
        <w:t>.</w:t>
      </w:r>
    </w:p>
    <w:p w14:paraId="5B9F544D" w14:textId="77777777" w:rsidR="00695F1C" w:rsidRDefault="00695F1C" w:rsidP="00695F1C">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905264">
        <w:rPr>
          <w:rFonts w:cstheme="minorBidi"/>
          <w:szCs w:val="22"/>
        </w:rPr>
        <w:t>A literature review providing a comparison of 36 laboratory-based serology kits in 26,812 patients. Median sensitivities and specificities were recorded at 92% (25% and 75% quartiles, 85% and 96%) and 83% (25% and 75% quartiles, 73% and 92%), respectively. Kits that measured IgG alone were more accurate than those using IgA, or a combination of IgM, IgG and IgA.</w:t>
      </w:r>
    </w:p>
    <w:p w14:paraId="0A71F23B" w14:textId="77777777" w:rsidR="00695F1C" w:rsidRPr="00695F1C" w:rsidRDefault="00695F1C" w:rsidP="00695F1C">
      <w:pPr>
        <w:pStyle w:val="PHEBulletpoint"/>
        <w:numPr>
          <w:ilvl w:val="0"/>
          <w:numId w:val="0"/>
        </w:numPr>
        <w:rPr>
          <w:rFonts w:cstheme="minorBidi"/>
          <w:szCs w:val="22"/>
        </w:rPr>
      </w:pPr>
    </w:p>
    <w:p w14:paraId="50667642" w14:textId="277AEB22" w:rsidR="00695F1C" w:rsidRDefault="00695F1C" w:rsidP="009E1133">
      <w:pPr>
        <w:pStyle w:val="PHEBulletpoint"/>
        <w:numPr>
          <w:ilvl w:val="0"/>
          <w:numId w:val="39"/>
        </w:numPr>
        <w:ind w:left="357" w:hanging="357"/>
        <w:rPr>
          <w:rFonts w:cstheme="minorBidi"/>
          <w:szCs w:val="22"/>
        </w:rPr>
      </w:pPr>
      <w:bookmarkStart w:id="32" w:name="Reference26"/>
      <w:bookmarkEnd w:id="32"/>
      <w:r>
        <w:rPr>
          <w:rFonts w:cstheme="minorBidi"/>
          <w:szCs w:val="22"/>
        </w:rPr>
        <w:t xml:space="preserve">Ford AC, </w:t>
      </w:r>
      <w:proofErr w:type="spellStart"/>
      <w:r>
        <w:rPr>
          <w:rFonts w:cstheme="minorBidi"/>
          <w:szCs w:val="22"/>
        </w:rPr>
        <w:t>Moayyedi</w:t>
      </w:r>
      <w:proofErr w:type="spellEnd"/>
      <w:r>
        <w:rPr>
          <w:rFonts w:cstheme="minorBidi"/>
          <w:szCs w:val="22"/>
        </w:rPr>
        <w:t xml:space="preserve"> P. Whom should we “test and treat” for </w:t>
      </w:r>
      <w:r>
        <w:rPr>
          <w:rFonts w:cstheme="minorBidi"/>
          <w:i/>
          <w:szCs w:val="22"/>
        </w:rPr>
        <w:t>Helicobacter pylori</w:t>
      </w:r>
      <w:r>
        <w:rPr>
          <w:rFonts w:cstheme="minorBidi"/>
          <w:szCs w:val="22"/>
        </w:rPr>
        <w:t xml:space="preserve">? </w:t>
      </w:r>
      <w:r>
        <w:rPr>
          <w:rFonts w:cstheme="minorBidi"/>
          <w:i/>
          <w:szCs w:val="22"/>
        </w:rPr>
        <w:t>BMJ</w:t>
      </w:r>
      <w:r>
        <w:rPr>
          <w:rFonts w:cstheme="minorBidi"/>
          <w:szCs w:val="22"/>
        </w:rPr>
        <w:t xml:space="preserve">. 2014 May; 20(348):332-335. Available from: </w:t>
      </w:r>
      <w:hyperlink r:id="rId59" w:history="1">
        <w:r w:rsidRPr="00530A54">
          <w:rPr>
            <w:rStyle w:val="Hyperlink"/>
            <w:rFonts w:cstheme="minorBidi"/>
            <w:color w:val="9C002A"/>
            <w:szCs w:val="22"/>
            <w:u w:val="none"/>
          </w:rPr>
          <w:t>http://www.bmj.com/content/bmj/348/bmj.g3320.full.pdf</w:t>
        </w:r>
      </w:hyperlink>
      <w:r>
        <w:rPr>
          <w:rFonts w:cstheme="minorBidi"/>
          <w:szCs w:val="22"/>
        </w:rPr>
        <w:t>.</w:t>
      </w:r>
    </w:p>
    <w:p w14:paraId="6E41694F" w14:textId="77777777" w:rsidR="00695F1C" w:rsidRDefault="00695F1C" w:rsidP="00695F1C">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905264">
        <w:rPr>
          <w:rFonts w:cstheme="minorBidi"/>
          <w:szCs w:val="22"/>
        </w:rPr>
        <w:t xml:space="preserve">A review article focusing on an area of practice where </w:t>
      </w:r>
      <w:r>
        <w:rPr>
          <w:rFonts w:cstheme="minorBidi"/>
          <w:szCs w:val="22"/>
        </w:rPr>
        <w:t xml:space="preserve">the </w:t>
      </w:r>
      <w:r w:rsidRPr="00905264">
        <w:rPr>
          <w:rFonts w:cstheme="minorBidi"/>
          <w:szCs w:val="22"/>
        </w:rPr>
        <w:t xml:space="preserve">management of </w:t>
      </w:r>
      <w:r w:rsidRPr="00695F1C">
        <w:rPr>
          <w:rFonts w:cstheme="minorBidi"/>
          <w:i/>
          <w:szCs w:val="22"/>
        </w:rPr>
        <w:t>H. pylori</w:t>
      </w:r>
      <w:r w:rsidRPr="00905264">
        <w:rPr>
          <w:rFonts w:cstheme="minorBidi"/>
          <w:szCs w:val="22"/>
        </w:rPr>
        <w:t xml:space="preserve"> is contentious, together with outlining the principles of standard eradication therapy. The authors conclude that clinicians should continue to test and treat for </w:t>
      </w:r>
      <w:r w:rsidRPr="00695F1C">
        <w:rPr>
          <w:rFonts w:cstheme="minorBidi"/>
          <w:i/>
          <w:szCs w:val="22"/>
        </w:rPr>
        <w:t>H. pylori</w:t>
      </w:r>
      <w:r w:rsidRPr="00905264">
        <w:rPr>
          <w:rFonts w:cstheme="minorBidi"/>
          <w:szCs w:val="22"/>
        </w:rPr>
        <w:t xml:space="preserve"> infection in patients presenting with symptoms of dyspepsia, those with peptic ulcer disease, and those with functional dyspepsia.</w:t>
      </w:r>
    </w:p>
    <w:p w14:paraId="706C6758" w14:textId="77777777" w:rsidR="00CD13F9" w:rsidRPr="00CD13F9" w:rsidRDefault="00CD13F9" w:rsidP="00CD13F9">
      <w:pPr>
        <w:pStyle w:val="PHEBulletpoint"/>
        <w:numPr>
          <w:ilvl w:val="0"/>
          <w:numId w:val="0"/>
        </w:numPr>
        <w:rPr>
          <w:rFonts w:cstheme="minorBidi"/>
          <w:szCs w:val="22"/>
        </w:rPr>
      </w:pPr>
    </w:p>
    <w:p w14:paraId="574C7D64" w14:textId="551ABC41" w:rsidR="009E64F3" w:rsidRPr="002673AC" w:rsidRDefault="00CD13F9" w:rsidP="002673AC">
      <w:pPr>
        <w:pStyle w:val="PHEBulletpoint"/>
        <w:numPr>
          <w:ilvl w:val="0"/>
          <w:numId w:val="39"/>
        </w:numPr>
        <w:ind w:left="357" w:hanging="357"/>
        <w:rPr>
          <w:rFonts w:cstheme="minorBidi"/>
          <w:szCs w:val="22"/>
        </w:rPr>
      </w:pPr>
      <w:bookmarkStart w:id="33" w:name="Reference27"/>
      <w:bookmarkEnd w:id="33"/>
      <w:r>
        <w:rPr>
          <w:rFonts w:cstheme="minorBidi"/>
          <w:szCs w:val="22"/>
        </w:rPr>
        <w:t xml:space="preserve">Braden B. Diagnosis of </w:t>
      </w:r>
      <w:r>
        <w:rPr>
          <w:rFonts w:cstheme="minorBidi"/>
          <w:i/>
          <w:szCs w:val="22"/>
        </w:rPr>
        <w:t>Helicobacter pylori</w:t>
      </w:r>
      <w:r>
        <w:rPr>
          <w:rFonts w:cstheme="minorBidi"/>
          <w:szCs w:val="22"/>
        </w:rPr>
        <w:t xml:space="preserve"> infection. </w:t>
      </w:r>
      <w:r>
        <w:rPr>
          <w:rFonts w:cstheme="minorBidi"/>
          <w:i/>
          <w:szCs w:val="22"/>
        </w:rPr>
        <w:t>BMJ</w:t>
      </w:r>
      <w:r>
        <w:rPr>
          <w:rFonts w:cstheme="minorBidi"/>
          <w:szCs w:val="22"/>
        </w:rPr>
        <w:t xml:space="preserve">. 2012 Feb; 24(344):82-87. Available from: </w:t>
      </w:r>
      <w:hyperlink r:id="rId60" w:history="1">
        <w:r w:rsidRPr="00B35C16">
          <w:rPr>
            <w:rStyle w:val="Hyperlink"/>
            <w:rFonts w:cstheme="minorBidi"/>
            <w:color w:val="9C002A"/>
            <w:szCs w:val="22"/>
            <w:u w:val="none"/>
          </w:rPr>
          <w:t>http://www.bmj.com/content/bmj/344/bmj.e828.full.pdf</w:t>
        </w:r>
      </w:hyperlink>
      <w:r>
        <w:rPr>
          <w:rFonts w:cstheme="minorBidi"/>
          <w:szCs w:val="22"/>
        </w:rPr>
        <w:t>.</w:t>
      </w:r>
    </w:p>
    <w:p w14:paraId="7526F3C2" w14:textId="55AB1692" w:rsidR="002673AC" w:rsidRDefault="00CD13F9" w:rsidP="0057262C">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905264">
        <w:rPr>
          <w:rFonts w:cstheme="minorBidi"/>
          <w:szCs w:val="22"/>
        </w:rPr>
        <w:t xml:space="preserve">A case report exploring how to test for </w:t>
      </w:r>
      <w:r w:rsidRPr="00CD13F9">
        <w:rPr>
          <w:rFonts w:cstheme="minorBidi"/>
          <w:i/>
          <w:szCs w:val="22"/>
        </w:rPr>
        <w:t>H. pylori</w:t>
      </w:r>
      <w:r w:rsidRPr="00905264">
        <w:rPr>
          <w:rFonts w:cstheme="minorBidi"/>
          <w:szCs w:val="22"/>
        </w:rPr>
        <w:t xml:space="preserve"> infection, which tests are </w:t>
      </w:r>
    </w:p>
    <w:p w14:paraId="71C13B30" w14:textId="1FE8666B" w:rsidR="00CD13F9" w:rsidRDefault="00CD13F9" w:rsidP="009E64F3">
      <w:pPr>
        <w:pStyle w:val="PHEBulletpoint"/>
        <w:numPr>
          <w:ilvl w:val="0"/>
          <w:numId w:val="0"/>
        </w:numPr>
        <w:ind w:left="720"/>
        <w:rPr>
          <w:rFonts w:cstheme="minorBidi"/>
          <w:szCs w:val="22"/>
        </w:rPr>
      </w:pPr>
      <w:r w:rsidRPr="00905264">
        <w:rPr>
          <w:rFonts w:cstheme="minorBidi"/>
          <w:szCs w:val="22"/>
        </w:rPr>
        <w:t xml:space="preserve">most effective, and when clinicians should retest. The author suggests that retesting is appropriate for patients with an associated ulcer or MALT lymphoma, after resection of an </w:t>
      </w:r>
    </w:p>
    <w:p w14:paraId="05DF4657" w14:textId="702C278D" w:rsidR="00CD13F9" w:rsidRDefault="00CD13F9" w:rsidP="00CD13F9">
      <w:pPr>
        <w:pStyle w:val="PHEBulletpoint"/>
        <w:numPr>
          <w:ilvl w:val="0"/>
          <w:numId w:val="0"/>
        </w:numPr>
        <w:ind w:left="720"/>
        <w:rPr>
          <w:rFonts w:cstheme="minorBidi"/>
          <w:szCs w:val="22"/>
        </w:rPr>
      </w:pPr>
      <w:r w:rsidRPr="00905264">
        <w:rPr>
          <w:rFonts w:cstheme="minorBidi"/>
          <w:szCs w:val="22"/>
        </w:rPr>
        <w:t>early gastric cancer, or in those with persistent dyspeptic symptoms.</w:t>
      </w:r>
    </w:p>
    <w:p w14:paraId="288A5205" w14:textId="7B5FE575" w:rsidR="00CD13F9" w:rsidRDefault="00CD13F9" w:rsidP="00CD13F9">
      <w:pPr>
        <w:pStyle w:val="PHEBulletpoint"/>
        <w:numPr>
          <w:ilvl w:val="0"/>
          <w:numId w:val="0"/>
        </w:numPr>
        <w:rPr>
          <w:rFonts w:cstheme="minorBidi"/>
          <w:szCs w:val="22"/>
        </w:rPr>
      </w:pPr>
    </w:p>
    <w:p w14:paraId="28F2ADB8" w14:textId="00FF3B32" w:rsidR="00531D26" w:rsidRDefault="00531D26" w:rsidP="00CD13F9">
      <w:pPr>
        <w:pStyle w:val="PHEBulletpoint"/>
        <w:numPr>
          <w:ilvl w:val="0"/>
          <w:numId w:val="0"/>
        </w:numPr>
        <w:rPr>
          <w:rFonts w:cstheme="minorBidi"/>
          <w:szCs w:val="22"/>
        </w:rPr>
      </w:pPr>
    </w:p>
    <w:p w14:paraId="5A8EAE5A" w14:textId="77777777" w:rsidR="00531D26" w:rsidRDefault="00531D26" w:rsidP="00CD13F9">
      <w:pPr>
        <w:pStyle w:val="PHEBulletpoint"/>
        <w:numPr>
          <w:ilvl w:val="0"/>
          <w:numId w:val="0"/>
        </w:numPr>
        <w:rPr>
          <w:rFonts w:cstheme="minorBidi"/>
          <w:szCs w:val="22"/>
        </w:rPr>
      </w:pPr>
    </w:p>
    <w:p w14:paraId="5D795558" w14:textId="7B244BE9" w:rsidR="00CD13F9" w:rsidRDefault="00CD13F9" w:rsidP="009E1133">
      <w:pPr>
        <w:pStyle w:val="PHEBulletpoint"/>
        <w:numPr>
          <w:ilvl w:val="0"/>
          <w:numId w:val="39"/>
        </w:numPr>
        <w:ind w:left="357" w:hanging="357"/>
        <w:rPr>
          <w:rFonts w:cstheme="minorBidi"/>
          <w:szCs w:val="22"/>
        </w:rPr>
      </w:pPr>
      <w:bookmarkStart w:id="34" w:name="Reference28"/>
      <w:bookmarkEnd w:id="34"/>
      <w:r>
        <w:rPr>
          <w:rFonts w:cstheme="minorBidi"/>
          <w:szCs w:val="22"/>
        </w:rPr>
        <w:t xml:space="preserve">Graham DY, Lee YC, Wu MS. Rational </w:t>
      </w:r>
      <w:r>
        <w:rPr>
          <w:rFonts w:cstheme="minorBidi"/>
          <w:i/>
          <w:szCs w:val="22"/>
        </w:rPr>
        <w:t>Helicobacter pylori</w:t>
      </w:r>
      <w:r>
        <w:rPr>
          <w:rFonts w:cstheme="minorBidi"/>
          <w:szCs w:val="22"/>
        </w:rPr>
        <w:t xml:space="preserve"> therapy: evidence-based medicine rather than medicine-based evidence. </w:t>
      </w:r>
      <w:proofErr w:type="spellStart"/>
      <w:r>
        <w:rPr>
          <w:rFonts w:cstheme="minorBidi"/>
          <w:i/>
          <w:szCs w:val="22"/>
        </w:rPr>
        <w:t>Clin</w:t>
      </w:r>
      <w:proofErr w:type="spellEnd"/>
      <w:r>
        <w:rPr>
          <w:rFonts w:cstheme="minorBidi"/>
          <w:i/>
          <w:szCs w:val="22"/>
        </w:rPr>
        <w:t xml:space="preserve"> </w:t>
      </w:r>
      <w:proofErr w:type="spellStart"/>
      <w:r>
        <w:rPr>
          <w:rFonts w:cstheme="minorBidi"/>
          <w:i/>
          <w:szCs w:val="22"/>
        </w:rPr>
        <w:t>Gastroenterol</w:t>
      </w:r>
      <w:proofErr w:type="spellEnd"/>
      <w:r>
        <w:rPr>
          <w:rFonts w:cstheme="minorBidi"/>
          <w:i/>
          <w:szCs w:val="22"/>
        </w:rPr>
        <w:t xml:space="preserve"> </w:t>
      </w:r>
      <w:proofErr w:type="spellStart"/>
      <w:r>
        <w:rPr>
          <w:rFonts w:cstheme="minorBidi"/>
          <w:i/>
          <w:szCs w:val="22"/>
        </w:rPr>
        <w:t>Hepatol</w:t>
      </w:r>
      <w:proofErr w:type="spellEnd"/>
      <w:r>
        <w:rPr>
          <w:rFonts w:cstheme="minorBidi"/>
          <w:szCs w:val="22"/>
        </w:rPr>
        <w:t xml:space="preserve">. 2014 Feb; 12(2):177-186. Available from: </w:t>
      </w:r>
      <w:hyperlink r:id="rId61" w:history="1">
        <w:r w:rsidRPr="00523323">
          <w:rPr>
            <w:rStyle w:val="Hyperlink"/>
            <w:rFonts w:cstheme="minorBidi"/>
            <w:color w:val="9C002A"/>
            <w:szCs w:val="22"/>
            <w:u w:val="none"/>
          </w:rPr>
          <w:t>http://www.cghjournal.org/article/S1542-3565(13)00773-8/pdf</w:t>
        </w:r>
      </w:hyperlink>
      <w:r>
        <w:rPr>
          <w:rFonts w:cstheme="minorBidi"/>
          <w:szCs w:val="22"/>
        </w:rPr>
        <w:t>.</w:t>
      </w:r>
    </w:p>
    <w:p w14:paraId="4E4C9BFA" w14:textId="77777777" w:rsidR="00CD13F9" w:rsidRDefault="00CD13F9" w:rsidP="00CD13F9">
      <w:pPr>
        <w:pStyle w:val="PHEBulletpoint"/>
        <w:numPr>
          <w:ilvl w:val="0"/>
          <w:numId w:val="0"/>
        </w:numPr>
        <w:ind w:left="720"/>
        <w:rPr>
          <w:rFonts w:cstheme="minorBidi"/>
          <w:szCs w:val="22"/>
        </w:rPr>
      </w:pPr>
      <w:r w:rsidRPr="00433A68">
        <w:rPr>
          <w:rFonts w:cstheme="minorBidi"/>
          <w:szCs w:val="22"/>
        </w:rPr>
        <w:t>RATIONALE:</w:t>
      </w:r>
      <w:r>
        <w:rPr>
          <w:rFonts w:cstheme="minorBidi"/>
          <w:szCs w:val="22"/>
        </w:rPr>
        <w:t xml:space="preserve"> </w:t>
      </w:r>
      <w:r w:rsidRPr="00905264">
        <w:rPr>
          <w:rFonts w:cstheme="minorBidi"/>
          <w:szCs w:val="22"/>
        </w:rPr>
        <w:t xml:space="preserve">A review article providing the rationale for prescribing antibiotic regimens in treating </w:t>
      </w:r>
      <w:r w:rsidRPr="00CD13F9">
        <w:rPr>
          <w:rFonts w:cstheme="minorBidi"/>
          <w:i/>
          <w:szCs w:val="22"/>
        </w:rPr>
        <w:t>H. pylori</w:t>
      </w:r>
      <w:r w:rsidRPr="00905264">
        <w:rPr>
          <w:rFonts w:cstheme="minorBidi"/>
          <w:szCs w:val="22"/>
        </w:rPr>
        <w:t>. Diagnostic and treatment pathways are provided in a step-wise progression, and success rates are outlined. Standard and alternative treatment regimens are discussed, and recommendations are provided for areas with high and low clarithromycin resistance. Salvage therapies (for patients where first line treatments have failed) are also detailed.</w:t>
      </w:r>
    </w:p>
    <w:p w14:paraId="6C08AE91" w14:textId="77777777" w:rsidR="00CD13F9" w:rsidRPr="00CD13F9" w:rsidRDefault="00CD13F9" w:rsidP="00CD13F9">
      <w:pPr>
        <w:pStyle w:val="PHEBulletpoint"/>
        <w:numPr>
          <w:ilvl w:val="0"/>
          <w:numId w:val="0"/>
        </w:numPr>
        <w:rPr>
          <w:rFonts w:cstheme="minorBidi"/>
          <w:szCs w:val="22"/>
        </w:rPr>
      </w:pPr>
    </w:p>
    <w:p w14:paraId="31519767" w14:textId="27D2FC17" w:rsidR="00CD13F9" w:rsidRPr="00CD13F9" w:rsidRDefault="00CD13F9" w:rsidP="009E1133">
      <w:pPr>
        <w:pStyle w:val="PHEBulletpoint"/>
        <w:numPr>
          <w:ilvl w:val="0"/>
          <w:numId w:val="39"/>
        </w:numPr>
        <w:ind w:left="357" w:hanging="357"/>
        <w:rPr>
          <w:rFonts w:cstheme="minorBidi"/>
          <w:i/>
          <w:szCs w:val="22"/>
        </w:rPr>
      </w:pPr>
      <w:bookmarkStart w:id="35" w:name="Reference29"/>
      <w:bookmarkEnd w:id="35"/>
      <w:proofErr w:type="spellStart"/>
      <w:r>
        <w:rPr>
          <w:rFonts w:cstheme="minorBidi"/>
          <w:szCs w:val="22"/>
        </w:rPr>
        <w:t>Megraud</w:t>
      </w:r>
      <w:proofErr w:type="spellEnd"/>
      <w:r>
        <w:rPr>
          <w:rFonts w:cstheme="minorBidi"/>
          <w:szCs w:val="22"/>
        </w:rPr>
        <w:t xml:space="preserve"> F, </w:t>
      </w:r>
      <w:proofErr w:type="spellStart"/>
      <w:r>
        <w:rPr>
          <w:rFonts w:cstheme="minorBidi"/>
          <w:szCs w:val="22"/>
        </w:rPr>
        <w:t>Coenen</w:t>
      </w:r>
      <w:proofErr w:type="spellEnd"/>
      <w:r>
        <w:rPr>
          <w:rFonts w:cstheme="minorBidi"/>
          <w:szCs w:val="22"/>
        </w:rPr>
        <w:t xml:space="preserve"> S, </w:t>
      </w:r>
      <w:proofErr w:type="spellStart"/>
      <w:r>
        <w:rPr>
          <w:rFonts w:cstheme="minorBidi"/>
          <w:szCs w:val="22"/>
        </w:rPr>
        <w:t>Versporten</w:t>
      </w:r>
      <w:proofErr w:type="spellEnd"/>
      <w:r>
        <w:rPr>
          <w:rFonts w:cstheme="minorBidi"/>
          <w:szCs w:val="22"/>
        </w:rPr>
        <w:t xml:space="preserve"> A, Kist M, Lopez-Brea M, </w:t>
      </w:r>
      <w:proofErr w:type="spellStart"/>
      <w:r>
        <w:rPr>
          <w:rFonts w:cstheme="minorBidi"/>
          <w:szCs w:val="22"/>
        </w:rPr>
        <w:t>Hirschl</w:t>
      </w:r>
      <w:proofErr w:type="spellEnd"/>
      <w:r>
        <w:rPr>
          <w:rFonts w:cstheme="minorBidi"/>
          <w:szCs w:val="22"/>
        </w:rPr>
        <w:t xml:space="preserve"> AM et al. </w:t>
      </w:r>
      <w:r>
        <w:rPr>
          <w:rFonts w:cstheme="minorBidi"/>
          <w:i/>
          <w:szCs w:val="22"/>
        </w:rPr>
        <w:t>Helicobacter pylori</w:t>
      </w:r>
      <w:r>
        <w:rPr>
          <w:rFonts w:cstheme="minorBidi"/>
          <w:szCs w:val="22"/>
        </w:rPr>
        <w:t xml:space="preserve"> resistance to antibiotics in Europe and its relationship to antibiotic consumption. </w:t>
      </w:r>
      <w:r>
        <w:rPr>
          <w:rFonts w:cstheme="minorBidi"/>
          <w:i/>
          <w:szCs w:val="22"/>
        </w:rPr>
        <w:t>Gut</w:t>
      </w:r>
      <w:r>
        <w:rPr>
          <w:rFonts w:cstheme="minorBidi"/>
          <w:szCs w:val="22"/>
        </w:rPr>
        <w:t xml:space="preserve">. 2013 Jan; 62(1):34-42. Available from: </w:t>
      </w:r>
      <w:hyperlink r:id="rId62" w:history="1">
        <w:r w:rsidRPr="002757D0">
          <w:rPr>
            <w:rStyle w:val="Hyperlink"/>
            <w:rFonts w:cstheme="minorBidi"/>
            <w:color w:val="9C002A"/>
            <w:szCs w:val="22"/>
            <w:u w:val="none"/>
          </w:rPr>
          <w:t>http://www.ncbi.nlm.nih.gov/pubmed/22580412</w:t>
        </w:r>
      </w:hyperlink>
      <w:r>
        <w:rPr>
          <w:rFonts w:cstheme="minorBidi"/>
          <w:szCs w:val="22"/>
        </w:rPr>
        <w:t>.</w:t>
      </w:r>
    </w:p>
    <w:p w14:paraId="702CC49A" w14:textId="77777777" w:rsidR="001B1273" w:rsidRDefault="00CD13F9" w:rsidP="001B1273">
      <w:pPr>
        <w:pStyle w:val="PHEBulletpoint"/>
        <w:numPr>
          <w:ilvl w:val="0"/>
          <w:numId w:val="0"/>
        </w:numPr>
        <w:ind w:left="720"/>
        <w:rPr>
          <w:rFonts w:cstheme="minorBidi"/>
          <w:szCs w:val="22"/>
        </w:rPr>
      </w:pPr>
      <w:r w:rsidRPr="000927FF">
        <w:rPr>
          <w:rFonts w:cstheme="minorBidi"/>
          <w:szCs w:val="22"/>
        </w:rPr>
        <w:t>RATIONALE:</w:t>
      </w:r>
      <w:r>
        <w:rPr>
          <w:rFonts w:cstheme="minorBidi"/>
          <w:szCs w:val="22"/>
        </w:rPr>
        <w:t xml:space="preserve"> </w:t>
      </w:r>
      <w:r w:rsidR="001B1273" w:rsidRPr="00905264">
        <w:rPr>
          <w:rFonts w:cstheme="minorBidi"/>
          <w:szCs w:val="22"/>
        </w:rPr>
        <w:t xml:space="preserve">EU surveillance study, in which the authors state that, of the 2,204 patients included, </w:t>
      </w:r>
      <w:r w:rsidR="001B1273" w:rsidRPr="00CD13F9">
        <w:rPr>
          <w:rFonts w:cstheme="minorBidi"/>
          <w:i/>
          <w:szCs w:val="22"/>
        </w:rPr>
        <w:t>H. pylori</w:t>
      </w:r>
      <w:r w:rsidR="001B1273" w:rsidRPr="00905264">
        <w:rPr>
          <w:rFonts w:cstheme="minorBidi"/>
          <w:szCs w:val="22"/>
        </w:rPr>
        <w:t xml:space="preserve"> resistance rates for adults were 17.5% for clarithromycin, 14.1% for levofloxacin, and 34.9% for metronidazole. Resistance rates were significantly higher for clarithromycin and levofloxacin in Western/Central and Southern Europe (&gt;20%) than in Northern European countries (&lt;10%). Model fit improved for each additional year of antibiotic use accumulated, but the best fit was obtained for 2005. A significant association was found between outpatient quinolone use and the proportion of levofloxacin resistance (p=0.0013), and between the use of long-acting macrolides only and clarithromycin resistance (p=0.036). The authors conclude that in many countries, the high rate of clarithromycin resistance no longer allows its empirical use in standard anti-</w:t>
      </w:r>
      <w:r w:rsidR="001B1273" w:rsidRPr="001B1273">
        <w:rPr>
          <w:rFonts w:cstheme="minorBidi"/>
          <w:i/>
          <w:szCs w:val="22"/>
        </w:rPr>
        <w:t>H. pylori</w:t>
      </w:r>
      <w:r w:rsidR="001B1273" w:rsidRPr="00905264">
        <w:rPr>
          <w:rFonts w:cstheme="minorBidi"/>
          <w:szCs w:val="22"/>
        </w:rPr>
        <w:t xml:space="preserve"> regimens. The knowledge of outpatient antibiotic consumption may provide a simple tool to predict the susceptibility of </w:t>
      </w:r>
      <w:r w:rsidR="001B1273" w:rsidRPr="001B1273">
        <w:rPr>
          <w:rFonts w:cstheme="minorBidi"/>
          <w:i/>
          <w:szCs w:val="22"/>
        </w:rPr>
        <w:t>H. pylori</w:t>
      </w:r>
      <w:r w:rsidR="001B1273" w:rsidRPr="00905264">
        <w:rPr>
          <w:rFonts w:cstheme="minorBidi"/>
          <w:szCs w:val="22"/>
        </w:rPr>
        <w:t xml:space="preserve"> to quinolones and to macrolides, and may permit the alteration of treatment strategies.</w:t>
      </w:r>
    </w:p>
    <w:p w14:paraId="007F40BC" w14:textId="77777777" w:rsidR="001B1273" w:rsidRDefault="001B1273" w:rsidP="001B1273">
      <w:pPr>
        <w:pStyle w:val="PHEBulletpoint"/>
        <w:numPr>
          <w:ilvl w:val="0"/>
          <w:numId w:val="0"/>
        </w:numPr>
        <w:rPr>
          <w:rFonts w:cstheme="minorBidi"/>
          <w:szCs w:val="22"/>
        </w:rPr>
      </w:pPr>
    </w:p>
    <w:p w14:paraId="2CE31848" w14:textId="7B5F7A47" w:rsidR="001B1273" w:rsidRDefault="001B1273" w:rsidP="009E1133">
      <w:pPr>
        <w:pStyle w:val="PHEBulletpoint"/>
        <w:numPr>
          <w:ilvl w:val="0"/>
          <w:numId w:val="39"/>
        </w:numPr>
        <w:ind w:left="357" w:hanging="357"/>
        <w:rPr>
          <w:rFonts w:cstheme="minorBidi"/>
          <w:szCs w:val="22"/>
        </w:rPr>
      </w:pPr>
      <w:bookmarkStart w:id="36" w:name="Reference30"/>
      <w:bookmarkEnd w:id="36"/>
      <w:proofErr w:type="spellStart"/>
      <w:r>
        <w:rPr>
          <w:rFonts w:cstheme="minorBidi"/>
          <w:szCs w:val="22"/>
        </w:rPr>
        <w:t>Malfertheiner</w:t>
      </w:r>
      <w:proofErr w:type="spellEnd"/>
      <w:r>
        <w:rPr>
          <w:rFonts w:cstheme="minorBidi"/>
          <w:szCs w:val="22"/>
        </w:rPr>
        <w:t xml:space="preserve"> P, </w:t>
      </w:r>
      <w:proofErr w:type="spellStart"/>
      <w:r>
        <w:rPr>
          <w:rFonts w:cstheme="minorBidi"/>
          <w:szCs w:val="22"/>
        </w:rPr>
        <w:t>Bazzoli</w:t>
      </w:r>
      <w:proofErr w:type="spellEnd"/>
      <w:r>
        <w:rPr>
          <w:rFonts w:cstheme="minorBidi"/>
          <w:szCs w:val="22"/>
        </w:rPr>
        <w:t xml:space="preserve"> F, </w:t>
      </w:r>
      <w:proofErr w:type="spellStart"/>
      <w:r>
        <w:rPr>
          <w:rFonts w:cstheme="minorBidi"/>
          <w:szCs w:val="22"/>
        </w:rPr>
        <w:t>Delchier</w:t>
      </w:r>
      <w:proofErr w:type="spellEnd"/>
      <w:r>
        <w:rPr>
          <w:rFonts w:cstheme="minorBidi"/>
          <w:szCs w:val="22"/>
        </w:rPr>
        <w:t xml:space="preserve"> JC, </w:t>
      </w:r>
      <w:proofErr w:type="spellStart"/>
      <w:r>
        <w:rPr>
          <w:rFonts w:cstheme="minorBidi"/>
          <w:szCs w:val="22"/>
        </w:rPr>
        <w:t>Celinski</w:t>
      </w:r>
      <w:proofErr w:type="spellEnd"/>
      <w:r>
        <w:rPr>
          <w:rFonts w:cstheme="minorBidi"/>
          <w:szCs w:val="22"/>
        </w:rPr>
        <w:t xml:space="preserve"> K, </w:t>
      </w:r>
      <w:proofErr w:type="spellStart"/>
      <w:r>
        <w:rPr>
          <w:rFonts w:cstheme="minorBidi"/>
          <w:szCs w:val="22"/>
        </w:rPr>
        <w:t>Giguere</w:t>
      </w:r>
      <w:proofErr w:type="spellEnd"/>
      <w:r>
        <w:rPr>
          <w:rFonts w:cstheme="minorBidi"/>
          <w:szCs w:val="22"/>
        </w:rPr>
        <w:t xml:space="preserve"> M, </w:t>
      </w:r>
      <w:proofErr w:type="spellStart"/>
      <w:r>
        <w:rPr>
          <w:rFonts w:cstheme="minorBidi"/>
          <w:szCs w:val="22"/>
        </w:rPr>
        <w:t>Riviere</w:t>
      </w:r>
      <w:proofErr w:type="spellEnd"/>
      <w:r>
        <w:rPr>
          <w:rFonts w:cstheme="minorBidi"/>
          <w:szCs w:val="22"/>
        </w:rPr>
        <w:t xml:space="preserve"> M </w:t>
      </w:r>
      <w:proofErr w:type="gramStart"/>
      <w:r>
        <w:rPr>
          <w:rFonts w:cstheme="minorBidi"/>
          <w:szCs w:val="22"/>
        </w:rPr>
        <w:t>et al.</w:t>
      </w:r>
      <w:proofErr w:type="gramEnd"/>
      <w:r>
        <w:rPr>
          <w:rFonts w:cstheme="minorBidi"/>
          <w:szCs w:val="22"/>
        </w:rPr>
        <w:t xml:space="preserve"> </w:t>
      </w:r>
      <w:r>
        <w:rPr>
          <w:rFonts w:cstheme="minorBidi"/>
          <w:i/>
          <w:szCs w:val="22"/>
        </w:rPr>
        <w:t>Helicobacter</w:t>
      </w:r>
      <w:r>
        <w:rPr>
          <w:rFonts w:cstheme="minorBidi"/>
          <w:szCs w:val="22"/>
        </w:rPr>
        <w:t xml:space="preserve"> </w:t>
      </w:r>
      <w:r w:rsidRPr="001B1273">
        <w:rPr>
          <w:rFonts w:cstheme="minorBidi"/>
          <w:i/>
          <w:szCs w:val="22"/>
        </w:rPr>
        <w:t>pylori</w:t>
      </w:r>
      <w:r w:rsidRPr="001B1273">
        <w:rPr>
          <w:rFonts w:cstheme="minorBidi"/>
          <w:szCs w:val="22"/>
        </w:rPr>
        <w:t xml:space="preserve"> eradication with a capsule containing bismuth </w:t>
      </w:r>
      <w:proofErr w:type="spellStart"/>
      <w:r w:rsidRPr="001B1273">
        <w:rPr>
          <w:rFonts w:cstheme="minorBidi"/>
          <w:szCs w:val="22"/>
        </w:rPr>
        <w:t>subcitrate</w:t>
      </w:r>
      <w:proofErr w:type="spellEnd"/>
      <w:r w:rsidRPr="001B1273">
        <w:rPr>
          <w:rFonts w:cstheme="minorBidi"/>
          <w:szCs w:val="22"/>
        </w:rPr>
        <w:t xml:space="preserve"> potassium, metronidazole, and tetracycline given with omeprazole versus clarithromycin-based triple therapy: a randomised, open-label, non-inferiority, phase 3 trial. </w:t>
      </w:r>
      <w:r w:rsidRPr="001B1273">
        <w:rPr>
          <w:rFonts w:cstheme="minorBidi"/>
          <w:i/>
          <w:szCs w:val="22"/>
        </w:rPr>
        <w:t>Lancet</w:t>
      </w:r>
      <w:r w:rsidRPr="001B1273">
        <w:rPr>
          <w:rFonts w:cstheme="minorBidi"/>
          <w:szCs w:val="22"/>
        </w:rPr>
        <w:t xml:space="preserve">. 2011 Mar; 377(9769):905-913. Available from: </w:t>
      </w:r>
      <w:hyperlink r:id="rId63" w:history="1">
        <w:r w:rsidRPr="001B1273">
          <w:rPr>
            <w:rStyle w:val="Hyperlink"/>
            <w:rFonts w:cstheme="minorBidi"/>
            <w:color w:val="9C002A"/>
            <w:szCs w:val="22"/>
            <w:u w:val="none"/>
          </w:rPr>
          <w:t>http://www.sciencedirect.com/science/article/pii/S0140673611600202</w:t>
        </w:r>
      </w:hyperlink>
      <w:r w:rsidRPr="001B1273">
        <w:rPr>
          <w:rFonts w:cstheme="minorBidi"/>
          <w:szCs w:val="22"/>
        </w:rPr>
        <w:t>.</w:t>
      </w:r>
    </w:p>
    <w:p w14:paraId="1E853C81" w14:textId="1F8DC1F2" w:rsidR="00FF2525" w:rsidRDefault="001B1273" w:rsidP="0057262C">
      <w:pPr>
        <w:pStyle w:val="PHEBulletpoint"/>
        <w:numPr>
          <w:ilvl w:val="0"/>
          <w:numId w:val="0"/>
        </w:numPr>
        <w:ind w:left="720"/>
        <w:rPr>
          <w:rFonts w:cstheme="minorBidi"/>
          <w:szCs w:val="22"/>
        </w:rPr>
      </w:pPr>
      <w:r w:rsidRPr="000927FF">
        <w:rPr>
          <w:rFonts w:cstheme="minorBidi"/>
          <w:szCs w:val="22"/>
        </w:rPr>
        <w:t>RATIONALE:</w:t>
      </w:r>
      <w:r>
        <w:rPr>
          <w:rFonts w:cstheme="minorBidi"/>
          <w:szCs w:val="22"/>
        </w:rPr>
        <w:t xml:space="preserve"> </w:t>
      </w:r>
      <w:r w:rsidRPr="008B7A8D">
        <w:rPr>
          <w:rFonts w:cstheme="minorBidi"/>
          <w:szCs w:val="22"/>
        </w:rPr>
        <w:t xml:space="preserve">A randomised controlled trial, in which 339 patients across the UK, Germany, France, Ireland, Poland, and Spain were allocated to either 10 </w:t>
      </w:r>
      <w:proofErr w:type="gramStart"/>
      <w:r w:rsidRPr="008B7A8D">
        <w:rPr>
          <w:rFonts w:cstheme="minorBidi"/>
          <w:szCs w:val="22"/>
        </w:rPr>
        <w:t>days</w:t>
      </w:r>
      <w:proofErr w:type="gramEnd"/>
      <w:r w:rsidRPr="008B7A8D">
        <w:rPr>
          <w:rFonts w:cstheme="minorBidi"/>
          <w:szCs w:val="22"/>
        </w:rPr>
        <w:t xml:space="preserve"> omeprazole 20mg BD plus three capsules containing bismuth 140mg, metronidazole 125mg, and tetracycline hydrochlo</w:t>
      </w:r>
      <w:r w:rsidR="002673AC">
        <w:rPr>
          <w:rFonts w:cstheme="minorBidi"/>
          <w:szCs w:val="22"/>
        </w:rPr>
        <w:t>ride 125mg QDS after meals, or seven</w:t>
      </w:r>
      <w:r w:rsidRPr="008B7A8D">
        <w:rPr>
          <w:rFonts w:cstheme="minorBidi"/>
          <w:szCs w:val="22"/>
        </w:rPr>
        <w:t xml:space="preserve"> days omeprazole 20mg BD plus 500mg amoxicillin and 500mg clarithromycin. According to intention to treat criteria, </w:t>
      </w:r>
      <w:r w:rsidR="00EC7E63">
        <w:rPr>
          <w:rFonts w:cstheme="minorBidi"/>
          <w:i/>
          <w:szCs w:val="22"/>
        </w:rPr>
        <w:t xml:space="preserve">H. </w:t>
      </w:r>
      <w:r w:rsidR="00EC7E63" w:rsidRPr="00EC7E63">
        <w:rPr>
          <w:rFonts w:cstheme="minorBidi"/>
          <w:i/>
          <w:szCs w:val="22"/>
        </w:rPr>
        <w:t>pylori</w:t>
      </w:r>
      <w:r w:rsidR="00EC7E63">
        <w:rPr>
          <w:rFonts w:cstheme="minorBidi"/>
          <w:szCs w:val="22"/>
        </w:rPr>
        <w:t xml:space="preserve"> </w:t>
      </w:r>
      <w:r w:rsidRPr="00EC7E63">
        <w:rPr>
          <w:rFonts w:cstheme="minorBidi"/>
          <w:szCs w:val="22"/>
        </w:rPr>
        <w:t>eradication</w:t>
      </w:r>
      <w:r w:rsidRPr="008B7A8D">
        <w:rPr>
          <w:rFonts w:cstheme="minorBidi"/>
          <w:szCs w:val="22"/>
        </w:rPr>
        <w:t xml:space="preserve"> was successful in 92% of patients on quadruple therapy, and 69% of patients on triple therapy. In clarithromycin resistance, eradication was reduced to </w:t>
      </w:r>
      <w:r w:rsidR="00FF2525" w:rsidRPr="008B7A8D">
        <w:rPr>
          <w:rFonts w:cstheme="minorBidi"/>
          <w:szCs w:val="22"/>
        </w:rPr>
        <w:t>8% of patients on triple</w:t>
      </w:r>
      <w:r w:rsidR="00FF2525" w:rsidRPr="001B1273">
        <w:rPr>
          <w:rFonts w:cstheme="minorBidi"/>
          <w:szCs w:val="22"/>
        </w:rPr>
        <w:t xml:space="preserve"> </w:t>
      </w:r>
      <w:r w:rsidR="00FF2525" w:rsidRPr="008B7A8D">
        <w:rPr>
          <w:rFonts w:cstheme="minorBidi"/>
          <w:szCs w:val="22"/>
        </w:rPr>
        <w:t xml:space="preserve">therapy, but it did not influence </w:t>
      </w:r>
    </w:p>
    <w:p w14:paraId="026A53E2" w14:textId="338CF784" w:rsidR="00FF2525" w:rsidRDefault="00FF2525" w:rsidP="00FF2525">
      <w:pPr>
        <w:pStyle w:val="PHEBulletpoint"/>
        <w:numPr>
          <w:ilvl w:val="0"/>
          <w:numId w:val="0"/>
        </w:numPr>
        <w:ind w:left="720"/>
        <w:rPr>
          <w:rFonts w:cstheme="minorBidi"/>
          <w:szCs w:val="22"/>
        </w:rPr>
      </w:pPr>
      <w:r w:rsidRPr="008B7A8D">
        <w:rPr>
          <w:rFonts w:cstheme="minorBidi"/>
          <w:szCs w:val="22"/>
        </w:rPr>
        <w:t xml:space="preserve">quadruple therapy. Quadruple therapy is effective as a second-line treatment, and should be considered if there is </w:t>
      </w:r>
      <w:proofErr w:type="gramStart"/>
      <w:r w:rsidRPr="008B7A8D">
        <w:rPr>
          <w:rFonts w:cstheme="minorBidi"/>
          <w:szCs w:val="22"/>
        </w:rPr>
        <w:t>a past history</w:t>
      </w:r>
      <w:proofErr w:type="gramEnd"/>
      <w:r w:rsidRPr="008B7A8D">
        <w:rPr>
          <w:rFonts w:cstheme="minorBidi"/>
          <w:szCs w:val="22"/>
        </w:rPr>
        <w:t xml:space="preserve"> of clarithromycin use.</w:t>
      </w:r>
    </w:p>
    <w:p w14:paraId="25BB230A" w14:textId="2EC38D96" w:rsidR="009E64F3" w:rsidRDefault="009E64F3" w:rsidP="009E64F3">
      <w:pPr>
        <w:pStyle w:val="PHEBulletpoint"/>
        <w:numPr>
          <w:ilvl w:val="0"/>
          <w:numId w:val="0"/>
        </w:numPr>
        <w:rPr>
          <w:rFonts w:cstheme="minorBidi"/>
          <w:szCs w:val="22"/>
        </w:rPr>
      </w:pPr>
    </w:p>
    <w:p w14:paraId="1F1B7F19" w14:textId="7CE7A01F" w:rsidR="00531D26" w:rsidRDefault="00531D26" w:rsidP="009E64F3">
      <w:pPr>
        <w:pStyle w:val="PHEBulletpoint"/>
        <w:numPr>
          <w:ilvl w:val="0"/>
          <w:numId w:val="0"/>
        </w:numPr>
        <w:rPr>
          <w:rFonts w:cstheme="minorBidi"/>
          <w:szCs w:val="22"/>
        </w:rPr>
      </w:pPr>
    </w:p>
    <w:p w14:paraId="5CF6AE62" w14:textId="7E8CDFCE" w:rsidR="00531D26" w:rsidRDefault="00531D26" w:rsidP="009E64F3">
      <w:pPr>
        <w:pStyle w:val="PHEBulletpoint"/>
        <w:numPr>
          <w:ilvl w:val="0"/>
          <w:numId w:val="0"/>
        </w:numPr>
        <w:rPr>
          <w:rFonts w:cstheme="minorBidi"/>
          <w:szCs w:val="22"/>
        </w:rPr>
      </w:pPr>
    </w:p>
    <w:p w14:paraId="7D72EBDA" w14:textId="77777777" w:rsidR="00531D26" w:rsidRDefault="00531D26" w:rsidP="009E64F3">
      <w:pPr>
        <w:pStyle w:val="PHEBulletpoint"/>
        <w:numPr>
          <w:ilvl w:val="0"/>
          <w:numId w:val="0"/>
        </w:numPr>
        <w:rPr>
          <w:rFonts w:cstheme="minorBidi"/>
          <w:szCs w:val="22"/>
        </w:rPr>
      </w:pPr>
    </w:p>
    <w:p w14:paraId="424BDFB1" w14:textId="48539AD6" w:rsidR="001B1273" w:rsidRDefault="001B1273" w:rsidP="009E1133">
      <w:pPr>
        <w:pStyle w:val="PHEBulletpoint"/>
        <w:numPr>
          <w:ilvl w:val="0"/>
          <w:numId w:val="39"/>
        </w:numPr>
        <w:ind w:left="357" w:hanging="357"/>
        <w:rPr>
          <w:rFonts w:cstheme="minorBidi"/>
          <w:szCs w:val="22"/>
        </w:rPr>
      </w:pPr>
      <w:bookmarkStart w:id="37" w:name="Reference31"/>
      <w:bookmarkEnd w:id="37"/>
      <w:r>
        <w:rPr>
          <w:rFonts w:cstheme="minorBidi"/>
          <w:szCs w:val="22"/>
        </w:rPr>
        <w:t xml:space="preserve">O’Connor A, </w:t>
      </w:r>
      <w:proofErr w:type="spellStart"/>
      <w:r>
        <w:rPr>
          <w:rFonts w:cstheme="minorBidi"/>
          <w:szCs w:val="22"/>
        </w:rPr>
        <w:t>Gisbert</w:t>
      </w:r>
      <w:proofErr w:type="spellEnd"/>
      <w:r>
        <w:rPr>
          <w:rFonts w:cstheme="minorBidi"/>
          <w:szCs w:val="22"/>
        </w:rPr>
        <w:t xml:space="preserve"> JP, McNamara D, </w:t>
      </w:r>
      <w:proofErr w:type="spellStart"/>
      <w:r>
        <w:rPr>
          <w:rFonts w:cstheme="minorBidi"/>
          <w:szCs w:val="22"/>
        </w:rPr>
        <w:t>O’Morain</w:t>
      </w:r>
      <w:proofErr w:type="spellEnd"/>
      <w:r>
        <w:rPr>
          <w:rFonts w:cstheme="minorBidi"/>
          <w:szCs w:val="22"/>
        </w:rPr>
        <w:t xml:space="preserve"> C. Treatment of </w:t>
      </w:r>
      <w:r>
        <w:rPr>
          <w:rFonts w:cstheme="minorBidi"/>
          <w:i/>
          <w:szCs w:val="22"/>
        </w:rPr>
        <w:t>Helicobacter pylori</w:t>
      </w:r>
      <w:r>
        <w:rPr>
          <w:rFonts w:cstheme="minorBidi"/>
          <w:szCs w:val="22"/>
        </w:rPr>
        <w:t xml:space="preserve"> infection 2011. </w:t>
      </w:r>
      <w:r>
        <w:rPr>
          <w:rFonts w:cstheme="minorBidi"/>
          <w:i/>
          <w:szCs w:val="22"/>
        </w:rPr>
        <w:t>Helicobacter</w:t>
      </w:r>
      <w:r>
        <w:rPr>
          <w:rFonts w:cstheme="minorBidi"/>
          <w:szCs w:val="22"/>
        </w:rPr>
        <w:t xml:space="preserve">. 2011 Sep; 16(1):53-58. Available from: </w:t>
      </w:r>
      <w:hyperlink r:id="rId64" w:history="1">
        <w:r w:rsidRPr="00316063">
          <w:rPr>
            <w:rStyle w:val="Hyperlink"/>
            <w:rFonts w:cstheme="minorBidi"/>
            <w:color w:val="9C002A"/>
            <w:szCs w:val="22"/>
            <w:u w:val="none"/>
          </w:rPr>
          <w:t>http://onlinelibrary.wiley.com/doi/10.1111/j.1523-5378.2011.00881.x/pdf</w:t>
        </w:r>
      </w:hyperlink>
      <w:r>
        <w:rPr>
          <w:rFonts w:cstheme="minorBidi"/>
          <w:szCs w:val="22"/>
        </w:rPr>
        <w:t>.</w:t>
      </w:r>
    </w:p>
    <w:p w14:paraId="0AC7FDF3" w14:textId="62EB3DAC" w:rsidR="001B1273" w:rsidRDefault="001B1273" w:rsidP="001B1273">
      <w:pPr>
        <w:pStyle w:val="PHEBulletpoint"/>
        <w:numPr>
          <w:ilvl w:val="0"/>
          <w:numId w:val="0"/>
        </w:numPr>
        <w:ind w:left="720"/>
        <w:rPr>
          <w:rFonts w:cstheme="minorBidi"/>
          <w:szCs w:val="22"/>
        </w:rPr>
      </w:pPr>
      <w:r w:rsidRPr="000927FF">
        <w:rPr>
          <w:rFonts w:cstheme="minorBidi"/>
          <w:szCs w:val="22"/>
        </w:rPr>
        <w:t>RATIONALE:</w:t>
      </w:r>
      <w:r>
        <w:rPr>
          <w:rFonts w:cstheme="minorBidi"/>
          <w:szCs w:val="22"/>
        </w:rPr>
        <w:tab/>
      </w:r>
      <w:r w:rsidRPr="008B7A8D">
        <w:rPr>
          <w:rFonts w:cstheme="minorBidi"/>
          <w:szCs w:val="22"/>
        </w:rPr>
        <w:t xml:space="preserve">A review of all previously published trials regarding the treatment of </w:t>
      </w:r>
      <w:r w:rsidRPr="001B1273">
        <w:rPr>
          <w:rFonts w:cstheme="minorBidi"/>
          <w:i/>
          <w:szCs w:val="22"/>
        </w:rPr>
        <w:t>H. pylori</w:t>
      </w:r>
      <w:r w:rsidR="009E64F3">
        <w:rPr>
          <w:rFonts w:cstheme="minorBidi"/>
          <w:szCs w:val="22"/>
        </w:rPr>
        <w:t xml:space="preserve">. </w:t>
      </w:r>
      <w:r w:rsidR="009E64F3" w:rsidRPr="00A275E2">
        <w:rPr>
          <w:rFonts w:cstheme="minorBidi"/>
          <w:szCs w:val="22"/>
        </w:rPr>
        <w:t>Seven</w:t>
      </w:r>
      <w:r w:rsidRPr="00A275E2">
        <w:rPr>
          <w:rFonts w:cstheme="minorBidi"/>
          <w:szCs w:val="22"/>
        </w:rPr>
        <w:t xml:space="preserve"> studies were cited</w:t>
      </w:r>
      <w:r w:rsidRPr="008B7A8D">
        <w:rPr>
          <w:rFonts w:cstheme="minorBidi"/>
          <w:szCs w:val="22"/>
        </w:rPr>
        <w:t xml:space="preserve"> describing the successful use of levofloxacin with amoxicillin or clarithromycin and a proton pump inhibitor as first-line treatment for </w:t>
      </w:r>
      <w:r w:rsidRPr="001B1273">
        <w:rPr>
          <w:rFonts w:cstheme="minorBidi"/>
          <w:i/>
          <w:szCs w:val="22"/>
        </w:rPr>
        <w:t>H. pylori</w:t>
      </w:r>
      <w:r w:rsidRPr="008B7A8D">
        <w:rPr>
          <w:rFonts w:cstheme="minorBidi"/>
          <w:szCs w:val="22"/>
        </w:rPr>
        <w:t xml:space="preserve"> (85% eradication). Rifabutin 150mg BD wit</w:t>
      </w:r>
      <w:r w:rsidR="00E26C1B">
        <w:rPr>
          <w:rFonts w:cstheme="minorBidi"/>
          <w:szCs w:val="22"/>
        </w:rPr>
        <w:t xml:space="preserve">h amoxicillin 1g BD achieved 79 to </w:t>
      </w:r>
      <w:r w:rsidRPr="008B7A8D">
        <w:rPr>
          <w:rFonts w:cstheme="minorBidi"/>
          <w:szCs w:val="22"/>
        </w:rPr>
        <w:t xml:space="preserve">85% eradication in patients who had failed other treatment regimens. A </w:t>
      </w:r>
      <w:proofErr w:type="gramStart"/>
      <w:r w:rsidRPr="008B7A8D">
        <w:rPr>
          <w:rFonts w:cstheme="minorBidi"/>
          <w:szCs w:val="22"/>
        </w:rPr>
        <w:t>14 day</w:t>
      </w:r>
      <w:proofErr w:type="gramEnd"/>
      <w:r w:rsidRPr="008B7A8D">
        <w:rPr>
          <w:rFonts w:cstheme="minorBidi"/>
          <w:szCs w:val="22"/>
        </w:rPr>
        <w:t xml:space="preserve"> quadruple, bismuth-based treatment</w:t>
      </w:r>
      <w:r>
        <w:rPr>
          <w:rFonts w:cstheme="minorBidi"/>
          <w:szCs w:val="22"/>
        </w:rPr>
        <w:t xml:space="preserve"> regimen</w:t>
      </w:r>
      <w:r w:rsidRPr="008B7A8D">
        <w:rPr>
          <w:rFonts w:cstheme="minorBidi"/>
          <w:szCs w:val="22"/>
        </w:rPr>
        <w:t xml:space="preserve"> using omeprazole, clarithromycin and amoxicillin attained </w:t>
      </w:r>
      <w:r w:rsidR="00E26C1B">
        <w:rPr>
          <w:rFonts w:cstheme="minorBidi"/>
          <w:szCs w:val="22"/>
        </w:rPr>
        <w:t xml:space="preserve">an eradication rate of </w:t>
      </w:r>
      <w:r w:rsidRPr="008B7A8D">
        <w:rPr>
          <w:rFonts w:cstheme="minorBidi"/>
          <w:szCs w:val="22"/>
        </w:rPr>
        <w:t>94%.</w:t>
      </w:r>
    </w:p>
    <w:p w14:paraId="35660A47" w14:textId="77777777" w:rsidR="001B1273" w:rsidRPr="001B1273" w:rsidRDefault="001B1273" w:rsidP="001B1273">
      <w:pPr>
        <w:pStyle w:val="PHEBulletpoint"/>
        <w:numPr>
          <w:ilvl w:val="0"/>
          <w:numId w:val="0"/>
        </w:numPr>
        <w:rPr>
          <w:rFonts w:cstheme="minorBidi"/>
          <w:szCs w:val="22"/>
        </w:rPr>
      </w:pPr>
    </w:p>
    <w:p w14:paraId="26A505B5" w14:textId="77D91901" w:rsidR="001B1273" w:rsidRDefault="001B1273" w:rsidP="009E1133">
      <w:pPr>
        <w:pStyle w:val="PHEBulletpoint"/>
        <w:numPr>
          <w:ilvl w:val="0"/>
          <w:numId w:val="39"/>
        </w:numPr>
        <w:ind w:left="357" w:hanging="357"/>
        <w:rPr>
          <w:rFonts w:cstheme="minorBidi"/>
          <w:szCs w:val="22"/>
        </w:rPr>
      </w:pPr>
      <w:bookmarkStart w:id="38" w:name="Reference32"/>
      <w:bookmarkEnd w:id="38"/>
      <w:r>
        <w:rPr>
          <w:rFonts w:cstheme="minorBidi"/>
          <w:szCs w:val="22"/>
        </w:rPr>
        <w:t xml:space="preserve">Lee M, Kemp JA, Canning A, Egan C, </w:t>
      </w:r>
      <w:proofErr w:type="spellStart"/>
      <w:r>
        <w:rPr>
          <w:rFonts w:cstheme="minorBidi"/>
          <w:szCs w:val="22"/>
        </w:rPr>
        <w:t>Tataronis</w:t>
      </w:r>
      <w:proofErr w:type="spellEnd"/>
      <w:r>
        <w:rPr>
          <w:rFonts w:cstheme="minorBidi"/>
          <w:szCs w:val="22"/>
        </w:rPr>
        <w:t xml:space="preserve"> G, </w:t>
      </w:r>
      <w:proofErr w:type="spellStart"/>
      <w:r>
        <w:rPr>
          <w:rFonts w:cstheme="minorBidi"/>
          <w:szCs w:val="22"/>
        </w:rPr>
        <w:t>Farraye</w:t>
      </w:r>
      <w:proofErr w:type="spellEnd"/>
      <w:r>
        <w:rPr>
          <w:rFonts w:cstheme="minorBidi"/>
          <w:szCs w:val="22"/>
        </w:rPr>
        <w:t xml:space="preserve"> FA. A randomized controlled trial of an enhanced patient compliance program for </w:t>
      </w:r>
      <w:r>
        <w:rPr>
          <w:rFonts w:cstheme="minorBidi"/>
          <w:i/>
          <w:szCs w:val="22"/>
        </w:rPr>
        <w:t>Helicobacter pylori</w:t>
      </w:r>
      <w:r>
        <w:rPr>
          <w:rFonts w:cstheme="minorBidi"/>
          <w:szCs w:val="22"/>
        </w:rPr>
        <w:t xml:space="preserve"> therapy. </w:t>
      </w:r>
      <w:r>
        <w:rPr>
          <w:rFonts w:cstheme="minorBidi"/>
          <w:i/>
          <w:szCs w:val="22"/>
        </w:rPr>
        <w:t>Arch Intern Med</w:t>
      </w:r>
      <w:r>
        <w:rPr>
          <w:rFonts w:cstheme="minorBidi"/>
          <w:szCs w:val="22"/>
        </w:rPr>
        <w:t xml:space="preserve">. 1999 Oct; 159(19):2312-2316. Available from: </w:t>
      </w:r>
      <w:hyperlink r:id="rId65" w:history="1">
        <w:r w:rsidRPr="00A81DA3">
          <w:rPr>
            <w:rStyle w:val="Hyperlink"/>
            <w:rFonts w:cstheme="minorBidi"/>
            <w:color w:val="9C002A"/>
            <w:szCs w:val="22"/>
            <w:u w:val="none"/>
          </w:rPr>
          <w:t>http://www.ncbi.nlm.nih.gov/pubmed/10547171</w:t>
        </w:r>
      </w:hyperlink>
      <w:r w:rsidRPr="00A81DA3">
        <w:rPr>
          <w:rFonts w:cstheme="minorBidi"/>
          <w:szCs w:val="22"/>
        </w:rPr>
        <w:t>.</w:t>
      </w:r>
    </w:p>
    <w:p w14:paraId="5EA138B7" w14:textId="3F2A272B" w:rsidR="001B1273" w:rsidRDefault="001B1273" w:rsidP="001B1273">
      <w:pPr>
        <w:pStyle w:val="PHEBulletpoint"/>
        <w:numPr>
          <w:ilvl w:val="0"/>
          <w:numId w:val="0"/>
        </w:numPr>
        <w:ind w:left="720"/>
        <w:rPr>
          <w:rFonts w:cstheme="minorBidi"/>
          <w:szCs w:val="22"/>
        </w:rPr>
      </w:pPr>
      <w:r w:rsidRPr="000927FF">
        <w:rPr>
          <w:rFonts w:cstheme="minorBidi"/>
          <w:szCs w:val="22"/>
        </w:rPr>
        <w:t>RATIONALE:</w:t>
      </w:r>
      <w:r>
        <w:rPr>
          <w:rFonts w:cstheme="minorBidi"/>
          <w:szCs w:val="22"/>
        </w:rPr>
        <w:t xml:space="preserve"> A randomised controlled trial assessing compliance with an enhanced compliance program (ECP) </w:t>
      </w:r>
      <w:r>
        <w:rPr>
          <w:rFonts w:cstheme="minorBidi"/>
          <w:i/>
          <w:szCs w:val="22"/>
        </w:rPr>
        <w:t>H. pylori</w:t>
      </w:r>
      <w:r>
        <w:rPr>
          <w:rFonts w:cstheme="minorBidi"/>
          <w:szCs w:val="22"/>
        </w:rPr>
        <w:t xml:space="preserve"> therapy regimen. The authors conclude that although patients were able to complete 60% or more of a </w:t>
      </w:r>
      <w:proofErr w:type="gramStart"/>
      <w:r>
        <w:rPr>
          <w:rFonts w:cstheme="minorBidi"/>
          <w:szCs w:val="22"/>
        </w:rPr>
        <w:t>two week</w:t>
      </w:r>
      <w:proofErr w:type="gramEnd"/>
      <w:r>
        <w:rPr>
          <w:rFonts w:cstheme="minorBidi"/>
          <w:szCs w:val="22"/>
        </w:rPr>
        <w:t xml:space="preserve"> regimen, the ECP improved the percentage of </w:t>
      </w:r>
      <w:r>
        <w:rPr>
          <w:rFonts w:cstheme="minorBidi"/>
          <w:i/>
          <w:szCs w:val="22"/>
        </w:rPr>
        <w:t>H. pylori</w:t>
      </w:r>
      <w:r>
        <w:rPr>
          <w:rFonts w:cstheme="minorBidi"/>
          <w:szCs w:val="22"/>
        </w:rPr>
        <w:t xml:space="preserve"> medications taken to almost 90%.</w:t>
      </w:r>
    </w:p>
    <w:p w14:paraId="4F2D65E6" w14:textId="77777777" w:rsidR="001B1273" w:rsidRPr="001B1273" w:rsidRDefault="001B1273" w:rsidP="001B1273">
      <w:pPr>
        <w:pStyle w:val="PHEBulletpoint"/>
        <w:numPr>
          <w:ilvl w:val="0"/>
          <w:numId w:val="0"/>
        </w:numPr>
        <w:rPr>
          <w:rFonts w:cstheme="minorBidi"/>
          <w:szCs w:val="22"/>
        </w:rPr>
      </w:pPr>
    </w:p>
    <w:p w14:paraId="1BAB1B1F" w14:textId="4EDCA67B" w:rsidR="001B1273" w:rsidRPr="00A275E2" w:rsidRDefault="00182465" w:rsidP="009E1133">
      <w:pPr>
        <w:pStyle w:val="PHEBulletpoint"/>
        <w:numPr>
          <w:ilvl w:val="0"/>
          <w:numId w:val="39"/>
        </w:numPr>
        <w:ind w:left="357" w:hanging="357"/>
        <w:rPr>
          <w:rFonts w:cstheme="minorBidi"/>
          <w:szCs w:val="22"/>
        </w:rPr>
      </w:pPr>
      <w:bookmarkStart w:id="39" w:name="Reference33"/>
      <w:bookmarkEnd w:id="39"/>
      <w:proofErr w:type="spellStart"/>
      <w:r>
        <w:rPr>
          <w:rFonts w:cstheme="minorBidi"/>
          <w:szCs w:val="22"/>
        </w:rPr>
        <w:t>Gisbert</w:t>
      </w:r>
      <w:proofErr w:type="spellEnd"/>
      <w:r>
        <w:rPr>
          <w:rFonts w:cstheme="minorBidi"/>
          <w:szCs w:val="22"/>
        </w:rPr>
        <w:t xml:space="preserve"> JP, de la </w:t>
      </w:r>
      <w:proofErr w:type="spellStart"/>
      <w:r>
        <w:rPr>
          <w:rFonts w:cstheme="minorBidi"/>
          <w:szCs w:val="22"/>
        </w:rPr>
        <w:t>Morena</w:t>
      </w:r>
      <w:proofErr w:type="spellEnd"/>
      <w:r>
        <w:rPr>
          <w:rFonts w:cstheme="minorBidi"/>
          <w:szCs w:val="22"/>
        </w:rPr>
        <w:t xml:space="preserve"> F. Systematic review </w:t>
      </w:r>
      <w:r w:rsidRPr="00A275E2">
        <w:rPr>
          <w:rFonts w:cstheme="minorBidi"/>
          <w:szCs w:val="22"/>
        </w:rPr>
        <w:t xml:space="preserve">and meta-analysis: levofloxacin-based rescue regimens after </w:t>
      </w:r>
      <w:r w:rsidRPr="00A275E2">
        <w:rPr>
          <w:rFonts w:cstheme="minorBidi"/>
          <w:i/>
          <w:szCs w:val="22"/>
        </w:rPr>
        <w:t>Helicobacter pylori</w:t>
      </w:r>
      <w:r w:rsidRPr="00A275E2">
        <w:rPr>
          <w:rFonts w:cstheme="minorBidi"/>
          <w:szCs w:val="22"/>
        </w:rPr>
        <w:t xml:space="preserve"> treatment failure. </w:t>
      </w:r>
      <w:r w:rsidRPr="00A275E2">
        <w:rPr>
          <w:rFonts w:cstheme="minorBidi"/>
          <w:i/>
          <w:szCs w:val="22"/>
        </w:rPr>
        <w:t xml:space="preserve">Aliment </w:t>
      </w:r>
      <w:proofErr w:type="spellStart"/>
      <w:r w:rsidRPr="00A275E2">
        <w:rPr>
          <w:rFonts w:cstheme="minorBidi"/>
          <w:i/>
          <w:szCs w:val="22"/>
        </w:rPr>
        <w:t>Pharmacol</w:t>
      </w:r>
      <w:proofErr w:type="spellEnd"/>
      <w:r w:rsidRPr="00A275E2">
        <w:rPr>
          <w:rFonts w:cstheme="minorBidi"/>
          <w:i/>
          <w:szCs w:val="22"/>
        </w:rPr>
        <w:t xml:space="preserve"> </w:t>
      </w:r>
      <w:proofErr w:type="spellStart"/>
      <w:r w:rsidRPr="00A275E2">
        <w:rPr>
          <w:rFonts w:cstheme="minorBidi"/>
          <w:i/>
          <w:szCs w:val="22"/>
        </w:rPr>
        <w:t>Ther</w:t>
      </w:r>
      <w:proofErr w:type="spellEnd"/>
      <w:r w:rsidRPr="00A275E2">
        <w:rPr>
          <w:rFonts w:cstheme="minorBidi"/>
          <w:szCs w:val="22"/>
        </w:rPr>
        <w:t xml:space="preserve">. 2006 Jan; 23(1):35-44. Available from: </w:t>
      </w:r>
      <w:hyperlink r:id="rId66" w:history="1">
        <w:r w:rsidRPr="00A275E2">
          <w:rPr>
            <w:rStyle w:val="Hyperlink"/>
            <w:rFonts w:cstheme="minorBidi"/>
            <w:color w:val="9C002A"/>
            <w:szCs w:val="22"/>
            <w:u w:val="none"/>
          </w:rPr>
          <w:t>http://www.ncbi.nlm.nih.gov/pubmed/16393278</w:t>
        </w:r>
      </w:hyperlink>
      <w:r w:rsidRPr="00A275E2">
        <w:rPr>
          <w:rFonts w:cstheme="minorBidi"/>
          <w:szCs w:val="22"/>
        </w:rPr>
        <w:t>.</w:t>
      </w:r>
    </w:p>
    <w:p w14:paraId="22E9C407" w14:textId="3C5F03AB" w:rsidR="00182465" w:rsidRDefault="00182465" w:rsidP="00182465">
      <w:pPr>
        <w:pStyle w:val="PHEBulletpoint"/>
        <w:numPr>
          <w:ilvl w:val="0"/>
          <w:numId w:val="0"/>
        </w:numPr>
        <w:ind w:left="720"/>
        <w:rPr>
          <w:rFonts w:cstheme="minorBidi"/>
          <w:szCs w:val="22"/>
        </w:rPr>
      </w:pPr>
      <w:r w:rsidRPr="000927FF">
        <w:rPr>
          <w:rFonts w:cstheme="minorBidi"/>
          <w:szCs w:val="22"/>
        </w:rPr>
        <w:t>RATIONALE:</w:t>
      </w:r>
      <w:r w:rsidRPr="00A275E2">
        <w:rPr>
          <w:rFonts w:cstheme="minorBidi"/>
          <w:szCs w:val="22"/>
        </w:rPr>
        <w:t xml:space="preserve"> A systematic review and meta-analysis </w:t>
      </w:r>
      <w:r w:rsidR="00AB570B" w:rsidRPr="00A275E2">
        <w:rPr>
          <w:rFonts w:cstheme="minorBidi"/>
          <w:szCs w:val="22"/>
        </w:rPr>
        <w:t xml:space="preserve">of 149 studies </w:t>
      </w:r>
      <w:r w:rsidRPr="00A275E2">
        <w:rPr>
          <w:rFonts w:cstheme="minorBidi"/>
          <w:szCs w:val="22"/>
        </w:rPr>
        <w:t>demonstrating an 80% mean eradication rate with levofloxacin 250mg BD containing regimens. 10 day regimens were more effective than seven days, and side-effects were lower</w:t>
      </w:r>
      <w:r w:rsidRPr="008B7A8D">
        <w:rPr>
          <w:rFonts w:cstheme="minorBidi"/>
          <w:szCs w:val="22"/>
        </w:rPr>
        <w:t xml:space="preserve"> than with bismuth treatment.</w:t>
      </w:r>
      <w:r w:rsidR="00974AA1">
        <w:rPr>
          <w:rFonts w:cstheme="minorBidi"/>
          <w:szCs w:val="22"/>
        </w:rPr>
        <w:t xml:space="preserve"> However, the authors conclude that this regimen should not be used if there has been previous use of a quinolone, as quinolone resistance develops easily.</w:t>
      </w:r>
    </w:p>
    <w:p w14:paraId="7D11F643" w14:textId="77777777" w:rsidR="00182465" w:rsidRPr="00DC0E18" w:rsidRDefault="00182465" w:rsidP="00182465">
      <w:pPr>
        <w:pStyle w:val="PHEBulletpoint"/>
        <w:numPr>
          <w:ilvl w:val="0"/>
          <w:numId w:val="0"/>
        </w:numPr>
        <w:rPr>
          <w:rFonts w:cstheme="minorBidi"/>
          <w:szCs w:val="22"/>
        </w:rPr>
      </w:pPr>
    </w:p>
    <w:p w14:paraId="3521719C" w14:textId="34B0B5CE" w:rsidR="00182465" w:rsidRDefault="00182465" w:rsidP="009E1133">
      <w:pPr>
        <w:pStyle w:val="PHEBulletpoint"/>
        <w:numPr>
          <w:ilvl w:val="0"/>
          <w:numId w:val="39"/>
        </w:numPr>
        <w:ind w:left="357" w:hanging="357"/>
        <w:rPr>
          <w:rFonts w:cstheme="minorBidi"/>
          <w:szCs w:val="22"/>
        </w:rPr>
      </w:pPr>
      <w:bookmarkStart w:id="40" w:name="Reference34"/>
      <w:bookmarkEnd w:id="40"/>
      <w:r>
        <w:rPr>
          <w:rFonts w:cstheme="minorBidi"/>
          <w:szCs w:val="22"/>
        </w:rPr>
        <w:t xml:space="preserve">Luther J, Higgins PD, </w:t>
      </w:r>
      <w:proofErr w:type="spellStart"/>
      <w:r>
        <w:rPr>
          <w:rFonts w:cstheme="minorBidi"/>
          <w:szCs w:val="22"/>
        </w:rPr>
        <w:t>Schoenfeld</w:t>
      </w:r>
      <w:proofErr w:type="spellEnd"/>
      <w:r>
        <w:rPr>
          <w:rFonts w:cstheme="minorBidi"/>
          <w:szCs w:val="22"/>
        </w:rPr>
        <w:t xml:space="preserve"> PS, </w:t>
      </w:r>
      <w:proofErr w:type="spellStart"/>
      <w:r>
        <w:rPr>
          <w:rFonts w:cstheme="minorBidi"/>
          <w:szCs w:val="22"/>
        </w:rPr>
        <w:t>Moayyedi</w:t>
      </w:r>
      <w:proofErr w:type="spellEnd"/>
      <w:r>
        <w:rPr>
          <w:rFonts w:cstheme="minorBidi"/>
          <w:szCs w:val="22"/>
        </w:rPr>
        <w:t xml:space="preserve"> P, </w:t>
      </w:r>
      <w:proofErr w:type="spellStart"/>
      <w:r>
        <w:rPr>
          <w:rFonts w:cstheme="minorBidi"/>
          <w:szCs w:val="22"/>
        </w:rPr>
        <w:t>Vakil</w:t>
      </w:r>
      <w:proofErr w:type="spellEnd"/>
      <w:r>
        <w:rPr>
          <w:rFonts w:cstheme="minorBidi"/>
          <w:szCs w:val="22"/>
        </w:rPr>
        <w:t xml:space="preserve"> N, Chey WD. Empiric quadruple vs. triple therapy for primary treatment of </w:t>
      </w:r>
      <w:r>
        <w:rPr>
          <w:rFonts w:cstheme="minorBidi"/>
          <w:i/>
          <w:szCs w:val="22"/>
        </w:rPr>
        <w:t>Helicobacter pylori</w:t>
      </w:r>
      <w:r>
        <w:rPr>
          <w:rFonts w:cstheme="minorBidi"/>
          <w:szCs w:val="22"/>
        </w:rPr>
        <w:t xml:space="preserve"> infection: systematic review and </w:t>
      </w:r>
      <w:r w:rsidRPr="00182465">
        <w:rPr>
          <w:rFonts w:cstheme="minorBidi"/>
          <w:szCs w:val="22"/>
        </w:rPr>
        <w:t xml:space="preserve">meta-analysis of efficacy and tolerability. </w:t>
      </w:r>
      <w:r w:rsidRPr="00182465">
        <w:rPr>
          <w:rFonts w:cstheme="minorBidi"/>
          <w:i/>
          <w:szCs w:val="22"/>
        </w:rPr>
        <w:t xml:space="preserve">Am J </w:t>
      </w:r>
      <w:proofErr w:type="spellStart"/>
      <w:r w:rsidRPr="00182465">
        <w:rPr>
          <w:rFonts w:cstheme="minorBidi"/>
          <w:i/>
          <w:szCs w:val="22"/>
        </w:rPr>
        <w:t>Gastroenterol</w:t>
      </w:r>
      <w:proofErr w:type="spellEnd"/>
      <w:r w:rsidRPr="00182465">
        <w:rPr>
          <w:rFonts w:cstheme="minorBidi"/>
          <w:szCs w:val="22"/>
        </w:rPr>
        <w:t xml:space="preserve">. 2010 Jan; 105(1):65-73. Available from: </w:t>
      </w:r>
      <w:hyperlink r:id="rId67" w:history="1">
        <w:r w:rsidRPr="00182465">
          <w:rPr>
            <w:rStyle w:val="Hyperlink"/>
            <w:rFonts w:cstheme="minorBidi"/>
            <w:color w:val="9C002A"/>
            <w:szCs w:val="22"/>
            <w:u w:val="none"/>
          </w:rPr>
          <w:t>http://www.nature.com/ajg/journal/v105/n1/pdf/ajg2009508a.pdf</w:t>
        </w:r>
      </w:hyperlink>
      <w:r w:rsidRPr="00182465">
        <w:rPr>
          <w:rFonts w:cstheme="minorBidi"/>
          <w:szCs w:val="22"/>
        </w:rPr>
        <w:t>.</w:t>
      </w:r>
    </w:p>
    <w:p w14:paraId="15683CD6" w14:textId="77777777" w:rsidR="00182465" w:rsidRDefault="00182465" w:rsidP="00182465">
      <w:pPr>
        <w:pStyle w:val="PHEBulletpoint"/>
        <w:numPr>
          <w:ilvl w:val="0"/>
          <w:numId w:val="0"/>
        </w:numPr>
        <w:ind w:left="720"/>
        <w:rPr>
          <w:rFonts w:cstheme="minorBidi"/>
          <w:szCs w:val="22"/>
        </w:rPr>
      </w:pPr>
      <w:r w:rsidRPr="000927FF">
        <w:rPr>
          <w:rFonts w:cstheme="minorBidi"/>
          <w:szCs w:val="22"/>
        </w:rPr>
        <w:t>RATIONALE:</w:t>
      </w:r>
      <w:r>
        <w:rPr>
          <w:rFonts w:cstheme="minorBidi"/>
          <w:szCs w:val="22"/>
        </w:rPr>
        <w:t xml:space="preserve"> </w:t>
      </w:r>
      <w:r w:rsidRPr="008B7A8D">
        <w:rPr>
          <w:rFonts w:cstheme="minorBidi"/>
          <w:szCs w:val="22"/>
        </w:rPr>
        <w:t xml:space="preserve">A systematic review and meta-analysis of nine randomised controlled trials (n=1,679), which found that eradication rates for </w:t>
      </w:r>
      <w:r w:rsidRPr="00182465">
        <w:rPr>
          <w:rFonts w:cstheme="minorBidi"/>
          <w:i/>
          <w:szCs w:val="22"/>
        </w:rPr>
        <w:t>H. pylori</w:t>
      </w:r>
      <w:r w:rsidRPr="008B7A8D">
        <w:rPr>
          <w:rFonts w:cstheme="minorBidi"/>
          <w:szCs w:val="22"/>
        </w:rPr>
        <w:t xml:space="preserve"> were comparable between clarithromycin triple therapy (77%) and bismuth-containing quadruple therapy (78%). Most of the trials were of 7-10 </w:t>
      </w:r>
      <w:proofErr w:type="gramStart"/>
      <w:r w:rsidRPr="008B7A8D">
        <w:rPr>
          <w:rFonts w:cstheme="minorBidi"/>
          <w:szCs w:val="22"/>
        </w:rPr>
        <w:t>days</w:t>
      </w:r>
      <w:proofErr w:type="gramEnd"/>
      <w:r w:rsidRPr="008B7A8D">
        <w:rPr>
          <w:rFonts w:cstheme="minorBidi"/>
          <w:szCs w:val="22"/>
        </w:rPr>
        <w:t xml:space="preserve"> duration, with 10 days treatment exceeding the authors’ baseline analysis (I</w:t>
      </w:r>
      <w:r w:rsidRPr="008B7A8D">
        <w:rPr>
          <w:rFonts w:cstheme="minorBidi"/>
          <w:szCs w:val="22"/>
          <w:vertAlign w:val="superscript"/>
        </w:rPr>
        <w:t>2</w:t>
      </w:r>
      <w:r w:rsidRPr="008B7A8D">
        <w:rPr>
          <w:rFonts w:cstheme="minorBidi"/>
          <w:szCs w:val="22"/>
        </w:rPr>
        <w:t xml:space="preserve"> = 65.2%).</w:t>
      </w:r>
    </w:p>
    <w:p w14:paraId="3B17C806" w14:textId="77777777" w:rsidR="003E6FEE" w:rsidRDefault="003E6FEE" w:rsidP="003E6FEE">
      <w:pPr>
        <w:pStyle w:val="PHEBulletpoint"/>
        <w:numPr>
          <w:ilvl w:val="0"/>
          <w:numId w:val="0"/>
        </w:numPr>
        <w:rPr>
          <w:szCs w:val="22"/>
        </w:rPr>
      </w:pPr>
    </w:p>
    <w:p w14:paraId="644CFEE1" w14:textId="77777777" w:rsidR="00F82363" w:rsidRDefault="00DC0E18" w:rsidP="009E1133">
      <w:pPr>
        <w:pStyle w:val="PHEBulletpoint"/>
        <w:numPr>
          <w:ilvl w:val="0"/>
          <w:numId w:val="39"/>
        </w:numPr>
        <w:ind w:left="357" w:hanging="357"/>
        <w:rPr>
          <w:rFonts w:cstheme="minorBidi"/>
          <w:szCs w:val="22"/>
        </w:rPr>
      </w:pPr>
      <w:bookmarkStart w:id="41" w:name="Reference35"/>
      <w:bookmarkEnd w:id="41"/>
      <w:r>
        <w:rPr>
          <w:rFonts w:cstheme="minorBidi"/>
          <w:szCs w:val="22"/>
        </w:rPr>
        <w:t xml:space="preserve">Dore MP, Lu H, Graham DY. Role of bismuth in improving </w:t>
      </w:r>
      <w:r>
        <w:rPr>
          <w:rFonts w:cstheme="minorBidi"/>
          <w:i/>
          <w:szCs w:val="22"/>
        </w:rPr>
        <w:t>Helicobacter pylori</w:t>
      </w:r>
      <w:r>
        <w:rPr>
          <w:rFonts w:cstheme="minorBidi"/>
          <w:szCs w:val="22"/>
        </w:rPr>
        <w:t xml:space="preserve"> eradication with </w:t>
      </w:r>
    </w:p>
    <w:p w14:paraId="69317118" w14:textId="1C5631C4" w:rsidR="00FF2525" w:rsidRPr="0057262C" w:rsidRDefault="00DC0E18" w:rsidP="0057262C">
      <w:pPr>
        <w:pStyle w:val="PHEBulletpoint"/>
        <w:numPr>
          <w:ilvl w:val="0"/>
          <w:numId w:val="0"/>
        </w:numPr>
        <w:ind w:left="357"/>
        <w:rPr>
          <w:rFonts w:cstheme="minorBidi"/>
          <w:szCs w:val="22"/>
        </w:rPr>
      </w:pPr>
      <w:r>
        <w:rPr>
          <w:rFonts w:cstheme="minorBidi"/>
          <w:szCs w:val="22"/>
        </w:rPr>
        <w:t xml:space="preserve">triple therapy. </w:t>
      </w:r>
      <w:r>
        <w:rPr>
          <w:rFonts w:cstheme="minorBidi"/>
          <w:i/>
          <w:szCs w:val="22"/>
        </w:rPr>
        <w:t>Gut</w:t>
      </w:r>
      <w:r>
        <w:rPr>
          <w:rFonts w:cstheme="minorBidi"/>
          <w:szCs w:val="22"/>
        </w:rPr>
        <w:t xml:space="preserve">. 2016 Feb; 1:1-9. Available from: </w:t>
      </w:r>
    </w:p>
    <w:p w14:paraId="337BE7AC" w14:textId="4B7A3CD6" w:rsidR="00DC0E18" w:rsidRDefault="003609F1" w:rsidP="00F82363">
      <w:pPr>
        <w:pStyle w:val="PHEBulletpoint"/>
        <w:numPr>
          <w:ilvl w:val="0"/>
          <w:numId w:val="0"/>
        </w:numPr>
        <w:ind w:left="357"/>
        <w:rPr>
          <w:rFonts w:cstheme="minorBidi"/>
          <w:szCs w:val="22"/>
        </w:rPr>
      </w:pPr>
      <w:hyperlink r:id="rId68" w:history="1">
        <w:r w:rsidR="00DC0E18" w:rsidRPr="00123182">
          <w:rPr>
            <w:rStyle w:val="Hyperlink"/>
            <w:rFonts w:cstheme="minorBidi"/>
            <w:color w:val="9C002A"/>
            <w:szCs w:val="22"/>
            <w:u w:val="none"/>
          </w:rPr>
          <w:t>http://gut.bmj.com/content/early/2016/02/04/gutjnl-2015-311019.full.pdf</w:t>
        </w:r>
      </w:hyperlink>
      <w:r w:rsidR="00DC0E18">
        <w:rPr>
          <w:rFonts w:cstheme="minorBidi"/>
          <w:szCs w:val="22"/>
        </w:rPr>
        <w:t>.</w:t>
      </w:r>
    </w:p>
    <w:p w14:paraId="6B6D5837" w14:textId="77777777" w:rsidR="00531D26" w:rsidRDefault="00DC0E18" w:rsidP="00DC0E18">
      <w:pPr>
        <w:pStyle w:val="PHEBulletpoint"/>
        <w:numPr>
          <w:ilvl w:val="0"/>
          <w:numId w:val="0"/>
        </w:numPr>
        <w:ind w:left="720"/>
        <w:rPr>
          <w:rFonts w:cstheme="minorBidi"/>
          <w:szCs w:val="22"/>
        </w:rPr>
      </w:pPr>
      <w:r w:rsidRPr="000927FF">
        <w:rPr>
          <w:rFonts w:cstheme="minorBidi"/>
          <w:szCs w:val="22"/>
        </w:rPr>
        <w:t>RATIONALE:</w:t>
      </w:r>
      <w:r>
        <w:rPr>
          <w:rFonts w:cstheme="minorBidi"/>
          <w:szCs w:val="22"/>
        </w:rPr>
        <w:t xml:space="preserve"> </w:t>
      </w:r>
      <w:r w:rsidRPr="005E1323">
        <w:rPr>
          <w:rFonts w:cstheme="minorBidi"/>
          <w:szCs w:val="22"/>
        </w:rPr>
        <w:t xml:space="preserve">A literature review describing the increasing antibiotic resistance to </w:t>
      </w:r>
      <w:r w:rsidRPr="00DC0E18">
        <w:rPr>
          <w:rFonts w:cstheme="minorBidi"/>
          <w:i/>
          <w:szCs w:val="22"/>
        </w:rPr>
        <w:t>H. pylori</w:t>
      </w:r>
      <w:r w:rsidRPr="005E1323">
        <w:rPr>
          <w:rFonts w:cstheme="minorBidi"/>
          <w:szCs w:val="22"/>
        </w:rPr>
        <w:t xml:space="preserve"> worldwide, and the added value of using bismuth in areas where resistance is high. This </w:t>
      </w:r>
    </w:p>
    <w:p w14:paraId="537E1EA5" w14:textId="77777777" w:rsidR="00531D26" w:rsidRDefault="00531D26" w:rsidP="00DC0E18">
      <w:pPr>
        <w:pStyle w:val="PHEBulletpoint"/>
        <w:numPr>
          <w:ilvl w:val="0"/>
          <w:numId w:val="0"/>
        </w:numPr>
        <w:ind w:left="720"/>
        <w:rPr>
          <w:rFonts w:cstheme="minorBidi"/>
          <w:szCs w:val="22"/>
        </w:rPr>
      </w:pPr>
    </w:p>
    <w:p w14:paraId="1A7DC06C" w14:textId="77777777" w:rsidR="00531D26" w:rsidRDefault="00531D26" w:rsidP="00DC0E18">
      <w:pPr>
        <w:pStyle w:val="PHEBulletpoint"/>
        <w:numPr>
          <w:ilvl w:val="0"/>
          <w:numId w:val="0"/>
        </w:numPr>
        <w:ind w:left="720"/>
        <w:rPr>
          <w:rFonts w:cstheme="minorBidi"/>
          <w:szCs w:val="22"/>
        </w:rPr>
      </w:pPr>
    </w:p>
    <w:p w14:paraId="3E516167" w14:textId="286A8BB1" w:rsidR="00DC0E18" w:rsidRDefault="00DC0E18" w:rsidP="00DC0E18">
      <w:pPr>
        <w:pStyle w:val="PHEBulletpoint"/>
        <w:numPr>
          <w:ilvl w:val="0"/>
          <w:numId w:val="0"/>
        </w:numPr>
        <w:ind w:left="720"/>
        <w:rPr>
          <w:rFonts w:cstheme="minorBidi"/>
          <w:szCs w:val="22"/>
        </w:rPr>
      </w:pPr>
      <w:r w:rsidRPr="005E1323">
        <w:rPr>
          <w:rFonts w:cstheme="minorBidi"/>
          <w:szCs w:val="22"/>
        </w:rPr>
        <w:t xml:space="preserve">review states that the addition of bismuth to form quadruple therapy can increase </w:t>
      </w:r>
      <w:r w:rsidRPr="00DC0E18">
        <w:rPr>
          <w:rFonts w:cstheme="minorBidi"/>
          <w:i/>
          <w:szCs w:val="22"/>
        </w:rPr>
        <w:t>H. pylori</w:t>
      </w:r>
      <w:r w:rsidRPr="005E1323">
        <w:rPr>
          <w:rFonts w:cstheme="minorBidi"/>
          <w:szCs w:val="22"/>
        </w:rPr>
        <w:t xml:space="preserve"> eradication by 30-40% in populations with high resistance.</w:t>
      </w:r>
    </w:p>
    <w:p w14:paraId="737EBA5A" w14:textId="77777777" w:rsidR="00DC0E18" w:rsidRPr="00DC0E18" w:rsidRDefault="00DC0E18" w:rsidP="00DC0E18">
      <w:pPr>
        <w:pStyle w:val="PHEBulletpoint"/>
        <w:numPr>
          <w:ilvl w:val="0"/>
          <w:numId w:val="0"/>
        </w:numPr>
        <w:rPr>
          <w:rFonts w:cstheme="minorBidi"/>
          <w:szCs w:val="22"/>
        </w:rPr>
      </w:pPr>
    </w:p>
    <w:p w14:paraId="5FC00455" w14:textId="6B503338" w:rsidR="00DC0E18" w:rsidRPr="00DC0E18" w:rsidRDefault="00DC0E18" w:rsidP="009E1133">
      <w:pPr>
        <w:pStyle w:val="PHEBulletpoint"/>
        <w:numPr>
          <w:ilvl w:val="0"/>
          <w:numId w:val="39"/>
        </w:numPr>
        <w:ind w:left="357" w:hanging="357"/>
        <w:rPr>
          <w:rFonts w:cstheme="minorBidi"/>
          <w:szCs w:val="22"/>
        </w:rPr>
      </w:pPr>
      <w:bookmarkStart w:id="42" w:name="Reference36"/>
      <w:bookmarkEnd w:id="42"/>
      <w:r>
        <w:rPr>
          <w:rFonts w:cstheme="minorBidi"/>
          <w:szCs w:val="22"/>
        </w:rPr>
        <w:t xml:space="preserve">Sun Q, Liang X, Zheng Q, Liu W, Xiao S, Gu W, Lu H. High efficacy of 14-day triple therapy-based, bismuth-containing quadruple therapy for initial </w:t>
      </w:r>
      <w:r>
        <w:rPr>
          <w:rFonts w:cstheme="minorBidi"/>
          <w:i/>
          <w:szCs w:val="22"/>
        </w:rPr>
        <w:t>Helicobacter pylori</w:t>
      </w:r>
      <w:r>
        <w:rPr>
          <w:rFonts w:cstheme="minorBidi"/>
          <w:szCs w:val="22"/>
        </w:rPr>
        <w:t xml:space="preserve"> eradication. </w:t>
      </w:r>
      <w:r>
        <w:rPr>
          <w:rFonts w:cstheme="minorBidi"/>
          <w:i/>
          <w:szCs w:val="22"/>
        </w:rPr>
        <w:t>Helicobacter</w:t>
      </w:r>
      <w:r>
        <w:rPr>
          <w:rFonts w:cstheme="minorBidi"/>
          <w:szCs w:val="22"/>
        </w:rPr>
        <w:t xml:space="preserve">. 2010 Jun; 15(3):233-238. Available from: </w:t>
      </w:r>
      <w:hyperlink r:id="rId69" w:history="1">
        <w:r w:rsidRPr="00DC0E18">
          <w:rPr>
            <w:rStyle w:val="Hyperlink"/>
            <w:color w:val="9C002A"/>
            <w:u w:val="none"/>
          </w:rPr>
          <w:t>http://www.ncbi.nlm.nih.gov/pubmed/20557366</w:t>
        </w:r>
      </w:hyperlink>
      <w:r>
        <w:t>.</w:t>
      </w:r>
    </w:p>
    <w:p w14:paraId="37078E59" w14:textId="767C06E1" w:rsidR="00523323" w:rsidRPr="00A275E2" w:rsidRDefault="00DC0E18" w:rsidP="00E1644D">
      <w:pPr>
        <w:pStyle w:val="PHEBulletpoint"/>
        <w:numPr>
          <w:ilvl w:val="0"/>
          <w:numId w:val="0"/>
        </w:numPr>
        <w:ind w:left="720"/>
        <w:rPr>
          <w:rFonts w:cstheme="minorBidi"/>
          <w:szCs w:val="22"/>
        </w:rPr>
      </w:pPr>
      <w:r w:rsidRPr="000927FF">
        <w:t>RATIONALE:</w:t>
      </w:r>
      <w:r>
        <w:t xml:space="preserve"> </w:t>
      </w:r>
      <w:r w:rsidR="00E1644D" w:rsidRPr="005E1323">
        <w:rPr>
          <w:rFonts w:cstheme="minorBidi"/>
          <w:szCs w:val="22"/>
        </w:rPr>
        <w:t xml:space="preserve">A randomised controlled trial, in which a total of 160 patients with functional dyspepsia who were </w:t>
      </w:r>
      <w:r w:rsidR="00E1644D" w:rsidRPr="00DC0E18">
        <w:rPr>
          <w:rFonts w:cstheme="minorBidi"/>
          <w:i/>
          <w:szCs w:val="22"/>
        </w:rPr>
        <w:t>H. pylori</w:t>
      </w:r>
      <w:r w:rsidR="00E1644D" w:rsidRPr="005E1323">
        <w:rPr>
          <w:rFonts w:cstheme="minorBidi"/>
          <w:szCs w:val="22"/>
        </w:rPr>
        <w:t xml:space="preserve"> positive were assigned to one of two groups. The treatment regimen was: omeprazole 20mg, amoxicillin 1g, clarithromycin 500mg, and bismuth potassium citrate 220mg, all twice daily. 80 patients received </w:t>
      </w:r>
      <w:proofErr w:type="gramStart"/>
      <w:r w:rsidR="00E1644D" w:rsidRPr="005E1323">
        <w:rPr>
          <w:rFonts w:cstheme="minorBidi"/>
          <w:szCs w:val="22"/>
        </w:rPr>
        <w:t>seven day</w:t>
      </w:r>
      <w:proofErr w:type="gramEnd"/>
      <w:r w:rsidR="00E1644D" w:rsidRPr="005E1323">
        <w:rPr>
          <w:rFonts w:cstheme="minorBidi"/>
          <w:szCs w:val="22"/>
        </w:rPr>
        <w:t xml:space="preserve"> quadruple therapy, and 80 patients received the same therapy for 14 days. Six weeks after treatment, </w:t>
      </w:r>
      <w:r w:rsidR="00E1644D" w:rsidRPr="00DC0E18">
        <w:rPr>
          <w:rFonts w:cstheme="minorBidi"/>
          <w:i/>
          <w:szCs w:val="22"/>
        </w:rPr>
        <w:t>H. pylori</w:t>
      </w:r>
      <w:r w:rsidR="00E1644D" w:rsidRPr="005E1323">
        <w:rPr>
          <w:rFonts w:cstheme="minorBidi"/>
          <w:szCs w:val="22"/>
        </w:rPr>
        <w:t xml:space="preserve"> eradication was assessed by the </w:t>
      </w:r>
      <w:r w:rsidR="00E1644D" w:rsidRPr="005E1323">
        <w:rPr>
          <w:rFonts w:cstheme="minorBidi"/>
          <w:szCs w:val="22"/>
          <w:vertAlign w:val="superscript"/>
        </w:rPr>
        <w:t>13</w:t>
      </w:r>
      <w:r w:rsidR="00E1644D" w:rsidRPr="005E1323">
        <w:rPr>
          <w:rFonts w:cstheme="minorBidi"/>
          <w:szCs w:val="22"/>
        </w:rPr>
        <w:t xml:space="preserve">C-urea breath test. Minimum Inhibitory Concentrations (MICs) of clinical isolates of metronidazole, clarithromycin and amoxicillin were determined by the twofold agar dilution method. The authors explain that the results show that </w:t>
      </w:r>
      <w:proofErr w:type="gramStart"/>
      <w:r w:rsidR="00E1644D" w:rsidRPr="005E1323">
        <w:rPr>
          <w:rFonts w:cstheme="minorBidi"/>
          <w:szCs w:val="22"/>
        </w:rPr>
        <w:t>14 day</w:t>
      </w:r>
      <w:proofErr w:type="gramEnd"/>
      <w:r w:rsidR="00E1644D" w:rsidRPr="005E1323">
        <w:rPr>
          <w:rFonts w:cstheme="minorBidi"/>
          <w:szCs w:val="22"/>
        </w:rPr>
        <w:t xml:space="preserve"> therapy leads to a significant increase in </w:t>
      </w:r>
      <w:r w:rsidR="00E1644D" w:rsidRPr="00DC0E18">
        <w:rPr>
          <w:rFonts w:cstheme="minorBidi"/>
          <w:i/>
          <w:szCs w:val="22"/>
        </w:rPr>
        <w:t>H. pylori</w:t>
      </w:r>
      <w:r w:rsidR="00E1644D" w:rsidRPr="005E1323">
        <w:rPr>
          <w:rFonts w:cstheme="minorBidi"/>
          <w:szCs w:val="22"/>
        </w:rPr>
        <w:t xml:space="preserve"> eradication success, when compared to seven day therapy, according to the intention-to-tre</w:t>
      </w:r>
      <w:r w:rsidR="00E26C1B">
        <w:rPr>
          <w:rFonts w:cstheme="minorBidi"/>
          <w:szCs w:val="22"/>
        </w:rPr>
        <w:t>at analysis (93.7% vs. 80.0%; p=</w:t>
      </w:r>
      <w:r w:rsidR="00E1644D" w:rsidRPr="005E1323">
        <w:rPr>
          <w:rFonts w:cstheme="minorBidi"/>
          <w:szCs w:val="22"/>
        </w:rPr>
        <w:t>.01), and the per-protoc</w:t>
      </w:r>
      <w:r w:rsidR="00E26C1B">
        <w:rPr>
          <w:rFonts w:cstheme="minorBidi"/>
          <w:szCs w:val="22"/>
        </w:rPr>
        <w:t>ol analysis (97.4% vs. 82.0%; p=</w:t>
      </w:r>
      <w:r w:rsidR="00E1644D" w:rsidRPr="005E1323">
        <w:rPr>
          <w:rFonts w:cstheme="minorBidi"/>
          <w:szCs w:val="22"/>
        </w:rPr>
        <w:t xml:space="preserve">.0016). The </w:t>
      </w:r>
      <w:r w:rsidR="00E1644D" w:rsidRPr="00E1644D">
        <w:rPr>
          <w:rFonts w:cstheme="minorBidi"/>
          <w:i/>
          <w:szCs w:val="22"/>
        </w:rPr>
        <w:t>H. pylori</w:t>
      </w:r>
      <w:r w:rsidR="00E1644D" w:rsidRPr="005E1323">
        <w:rPr>
          <w:rFonts w:cstheme="minorBidi"/>
          <w:szCs w:val="22"/>
        </w:rPr>
        <w:t xml:space="preserve"> resistance rates to metronidazole, clarithromycin and amoxicillin were recorded as 42.1%, 18.0%, and 0%, respectively. The authors conclude that </w:t>
      </w:r>
      <w:proofErr w:type="gramStart"/>
      <w:r w:rsidR="00E1644D" w:rsidRPr="005E1323">
        <w:rPr>
          <w:rFonts w:cstheme="minorBidi"/>
          <w:szCs w:val="22"/>
        </w:rPr>
        <w:t>14 day</w:t>
      </w:r>
      <w:proofErr w:type="gramEnd"/>
      <w:r w:rsidR="00E1644D" w:rsidRPr="005E1323">
        <w:rPr>
          <w:rFonts w:cstheme="minorBidi"/>
          <w:szCs w:val="22"/>
        </w:rPr>
        <w:t xml:space="preserve"> therapy is significantly more effective in patients with clarith</w:t>
      </w:r>
      <w:r w:rsidR="00E1644D">
        <w:rPr>
          <w:rFonts w:cstheme="minorBidi"/>
          <w:szCs w:val="22"/>
        </w:rPr>
        <w:t xml:space="preserve">romycin-resistant strains of </w:t>
      </w:r>
      <w:r w:rsidR="00E1644D">
        <w:rPr>
          <w:rFonts w:cstheme="minorBidi"/>
          <w:i/>
          <w:szCs w:val="22"/>
        </w:rPr>
        <w:t>H. pylori</w:t>
      </w:r>
      <w:r w:rsidR="00E1644D">
        <w:rPr>
          <w:rFonts w:cstheme="minorBidi"/>
          <w:szCs w:val="22"/>
        </w:rPr>
        <w:t xml:space="preserve">. The addition of bismuth, and prolonging treatment duration, can overcome </w:t>
      </w:r>
      <w:r w:rsidR="00E1644D">
        <w:rPr>
          <w:rFonts w:cstheme="minorBidi"/>
          <w:i/>
          <w:szCs w:val="22"/>
        </w:rPr>
        <w:t>H. pylori</w:t>
      </w:r>
      <w:r w:rsidR="00E1644D">
        <w:rPr>
          <w:rFonts w:cstheme="minorBidi"/>
          <w:szCs w:val="22"/>
        </w:rPr>
        <w:t xml:space="preserve"> </w:t>
      </w:r>
      <w:r w:rsidR="00E1644D" w:rsidRPr="00A275E2">
        <w:rPr>
          <w:rFonts w:cstheme="minorBidi"/>
          <w:szCs w:val="22"/>
        </w:rPr>
        <w:t xml:space="preserve">resistance to clarithromycin, and decrease bacterial load. </w:t>
      </w:r>
      <w:proofErr w:type="gramStart"/>
      <w:r w:rsidR="00E1644D" w:rsidRPr="00A275E2">
        <w:rPr>
          <w:rFonts w:cstheme="minorBidi"/>
          <w:szCs w:val="22"/>
        </w:rPr>
        <w:t>14 day</w:t>
      </w:r>
      <w:proofErr w:type="gramEnd"/>
      <w:r w:rsidR="00E1644D" w:rsidRPr="00A275E2">
        <w:rPr>
          <w:rFonts w:cstheme="minorBidi"/>
          <w:szCs w:val="22"/>
        </w:rPr>
        <w:t xml:space="preserve"> triple therapy-based, bismuth-containing quadruple therapy achieved an ITT success rate of 93%, and could be recommended as a first-line eradication regimen.</w:t>
      </w:r>
    </w:p>
    <w:p w14:paraId="708225D0" w14:textId="77777777" w:rsidR="0060085F" w:rsidRPr="00A275E2" w:rsidRDefault="0060085F" w:rsidP="0060085F">
      <w:pPr>
        <w:pStyle w:val="PHEBulletpoint"/>
        <w:numPr>
          <w:ilvl w:val="0"/>
          <w:numId w:val="0"/>
        </w:numPr>
      </w:pPr>
    </w:p>
    <w:p w14:paraId="4BF19619" w14:textId="62C1CDF6" w:rsidR="0060085F" w:rsidRPr="00A275E2" w:rsidRDefault="0060085F" w:rsidP="0060085F">
      <w:pPr>
        <w:pStyle w:val="PHEBulletpoint"/>
        <w:numPr>
          <w:ilvl w:val="0"/>
          <w:numId w:val="39"/>
        </w:numPr>
        <w:rPr>
          <w:rFonts w:cstheme="minorBidi"/>
          <w:szCs w:val="22"/>
        </w:rPr>
      </w:pPr>
      <w:bookmarkStart w:id="43" w:name="Reference37"/>
      <w:bookmarkEnd w:id="43"/>
      <w:r w:rsidRPr="00A275E2">
        <w:rPr>
          <w:rFonts w:cstheme="minorBidi"/>
          <w:szCs w:val="22"/>
        </w:rPr>
        <w:t xml:space="preserve">O’Connor A, </w:t>
      </w:r>
      <w:proofErr w:type="spellStart"/>
      <w:r w:rsidRPr="00A275E2">
        <w:rPr>
          <w:rFonts w:cstheme="minorBidi"/>
          <w:szCs w:val="22"/>
        </w:rPr>
        <w:t>Gisbert</w:t>
      </w:r>
      <w:proofErr w:type="spellEnd"/>
      <w:r w:rsidRPr="00A275E2">
        <w:rPr>
          <w:rFonts w:cstheme="minorBidi"/>
          <w:szCs w:val="22"/>
        </w:rPr>
        <w:t xml:space="preserve"> JP, </w:t>
      </w:r>
      <w:proofErr w:type="spellStart"/>
      <w:r w:rsidRPr="00A275E2">
        <w:rPr>
          <w:rFonts w:cstheme="minorBidi"/>
          <w:szCs w:val="22"/>
        </w:rPr>
        <w:t>O’Morain</w:t>
      </w:r>
      <w:proofErr w:type="spellEnd"/>
      <w:r w:rsidRPr="00A275E2">
        <w:rPr>
          <w:rFonts w:cstheme="minorBidi"/>
          <w:szCs w:val="22"/>
        </w:rPr>
        <w:t xml:space="preserve"> C, Ladas S. Treatment of </w:t>
      </w:r>
      <w:r w:rsidRPr="00A275E2">
        <w:rPr>
          <w:rFonts w:cstheme="minorBidi"/>
          <w:i/>
          <w:szCs w:val="22"/>
        </w:rPr>
        <w:t>Helicobacter pylori</w:t>
      </w:r>
      <w:r w:rsidRPr="00A275E2">
        <w:rPr>
          <w:rFonts w:cstheme="minorBidi"/>
          <w:szCs w:val="22"/>
        </w:rPr>
        <w:t xml:space="preserve"> infection 2015. </w:t>
      </w:r>
      <w:r w:rsidRPr="00A275E2">
        <w:rPr>
          <w:rFonts w:cstheme="minorBidi"/>
          <w:i/>
          <w:szCs w:val="22"/>
        </w:rPr>
        <w:t>Helicobacter</w:t>
      </w:r>
      <w:r w:rsidRPr="00A275E2">
        <w:rPr>
          <w:rFonts w:cstheme="minorBidi"/>
          <w:szCs w:val="22"/>
        </w:rPr>
        <w:t xml:space="preserve">. 2015 Sep; 20(1):54-61. Available from: </w:t>
      </w:r>
      <w:hyperlink r:id="rId70" w:history="1">
        <w:r w:rsidRPr="00A275E2">
          <w:rPr>
            <w:rStyle w:val="Hyperlink"/>
            <w:rFonts w:cstheme="minorBidi"/>
            <w:szCs w:val="22"/>
            <w:u w:val="none"/>
          </w:rPr>
          <w:t>http://onlinelibrary.wiley.com/doi/10.1111/hel.12258/epdf</w:t>
        </w:r>
      </w:hyperlink>
      <w:r w:rsidRPr="00A275E2">
        <w:rPr>
          <w:rFonts w:cstheme="minorBidi"/>
          <w:szCs w:val="22"/>
        </w:rPr>
        <w:t>.</w:t>
      </w:r>
    </w:p>
    <w:p w14:paraId="58AFF768" w14:textId="3EC642B4" w:rsidR="00F367A9" w:rsidRPr="00C73071" w:rsidRDefault="0060085F" w:rsidP="00C73071">
      <w:pPr>
        <w:pStyle w:val="PHEBulletpoint"/>
        <w:numPr>
          <w:ilvl w:val="0"/>
          <w:numId w:val="0"/>
        </w:numPr>
        <w:ind w:left="720"/>
        <w:rPr>
          <w:rFonts w:cstheme="minorBidi"/>
          <w:i/>
          <w:szCs w:val="22"/>
        </w:rPr>
      </w:pPr>
      <w:r w:rsidRPr="000927FF">
        <w:rPr>
          <w:rFonts w:cstheme="minorBidi"/>
          <w:szCs w:val="22"/>
        </w:rPr>
        <w:t>RATIONALE:</w:t>
      </w:r>
      <w:r w:rsidRPr="00A275E2">
        <w:rPr>
          <w:rFonts w:cstheme="minorBidi"/>
          <w:szCs w:val="22"/>
        </w:rPr>
        <w:t xml:space="preserve"> A review of all previously published trials regarding the treatment of </w:t>
      </w:r>
      <w:r w:rsidR="00C73071">
        <w:rPr>
          <w:rFonts w:cstheme="minorBidi"/>
          <w:i/>
          <w:szCs w:val="22"/>
        </w:rPr>
        <w:t>H.</w:t>
      </w:r>
    </w:p>
    <w:p w14:paraId="0AF0E45B" w14:textId="4DAEDF52" w:rsidR="004B3364" w:rsidRPr="00A275E2" w:rsidRDefault="0060085F" w:rsidP="00F367A9">
      <w:pPr>
        <w:pStyle w:val="PHEBulletpoint"/>
        <w:numPr>
          <w:ilvl w:val="0"/>
          <w:numId w:val="0"/>
        </w:numPr>
        <w:ind w:left="720"/>
        <w:rPr>
          <w:rFonts w:cstheme="minorBidi"/>
          <w:szCs w:val="22"/>
        </w:rPr>
      </w:pPr>
      <w:r w:rsidRPr="00A275E2">
        <w:rPr>
          <w:rFonts w:cstheme="minorBidi"/>
          <w:i/>
          <w:szCs w:val="22"/>
        </w:rPr>
        <w:t>pylori</w:t>
      </w:r>
      <w:r w:rsidRPr="00A275E2">
        <w:rPr>
          <w:rFonts w:cstheme="minorBidi"/>
          <w:szCs w:val="22"/>
        </w:rPr>
        <w:t>. This review</w:t>
      </w:r>
      <w:r w:rsidR="004B3364" w:rsidRPr="00A275E2">
        <w:rPr>
          <w:rFonts w:cstheme="minorBidi"/>
          <w:szCs w:val="22"/>
        </w:rPr>
        <w:t xml:space="preserve"> states that outcomes for standard triple therapy have been generally poor, and the most promising results have come from bismuth and non-bismuth containing quadruple therapies. The findings also indicate that levofloxacin-based therapies have performed well as both first- and second-line eradication regi</w:t>
      </w:r>
      <w:r w:rsidR="00F367A9" w:rsidRPr="00A275E2">
        <w:rPr>
          <w:rFonts w:cstheme="minorBidi"/>
          <w:szCs w:val="22"/>
        </w:rPr>
        <w:t xml:space="preserve">mens, and show promise </w:t>
      </w:r>
    </w:p>
    <w:p w14:paraId="2C73E576" w14:textId="6815FC1D" w:rsidR="0046303A" w:rsidRPr="00A275E2" w:rsidRDefault="004B3364" w:rsidP="0046303A">
      <w:pPr>
        <w:pStyle w:val="PHEBulletpoint"/>
        <w:numPr>
          <w:ilvl w:val="0"/>
          <w:numId w:val="0"/>
        </w:numPr>
        <w:ind w:left="720"/>
        <w:rPr>
          <w:rFonts w:cstheme="minorBidi"/>
          <w:szCs w:val="22"/>
        </w:rPr>
      </w:pPr>
      <w:r w:rsidRPr="00A275E2">
        <w:rPr>
          <w:rFonts w:cstheme="minorBidi"/>
          <w:szCs w:val="22"/>
        </w:rPr>
        <w:t>when used in combination as a second-line treatment. However, issues regarding resistance and availability may limit the adoption of these agents in treatment protocols.</w:t>
      </w:r>
    </w:p>
    <w:p w14:paraId="2E75D647" w14:textId="77777777" w:rsidR="0046303A" w:rsidRDefault="0046303A" w:rsidP="0046303A">
      <w:pPr>
        <w:pStyle w:val="PHEBulletpoint"/>
        <w:numPr>
          <w:ilvl w:val="0"/>
          <w:numId w:val="0"/>
        </w:numPr>
        <w:rPr>
          <w:rFonts w:cstheme="minorBidi"/>
          <w:szCs w:val="22"/>
        </w:rPr>
      </w:pPr>
    </w:p>
    <w:p w14:paraId="10FCCC88" w14:textId="634B7F8A" w:rsidR="00FF2525" w:rsidRPr="0057262C" w:rsidRDefault="00C73071" w:rsidP="0057262C">
      <w:pPr>
        <w:pStyle w:val="PHEBulletpoint"/>
        <w:numPr>
          <w:ilvl w:val="0"/>
          <w:numId w:val="39"/>
        </w:numPr>
        <w:rPr>
          <w:rFonts w:cstheme="minorBidi"/>
          <w:szCs w:val="22"/>
        </w:rPr>
      </w:pPr>
      <w:bookmarkStart w:id="44" w:name="Reference38"/>
      <w:bookmarkEnd w:id="44"/>
      <w:r>
        <w:rPr>
          <w:rFonts w:cstheme="minorBidi"/>
          <w:szCs w:val="22"/>
        </w:rPr>
        <w:t xml:space="preserve">Chey WD, Wong BC, Practice Parameters Committee of the American College of Gastroenterology. American College of Gastroenterology guideline on the management of </w:t>
      </w:r>
      <w:r>
        <w:rPr>
          <w:rFonts w:cstheme="minorBidi"/>
          <w:i/>
          <w:szCs w:val="22"/>
        </w:rPr>
        <w:t>Helicobacter pylori</w:t>
      </w:r>
      <w:r>
        <w:rPr>
          <w:rFonts w:cstheme="minorBidi"/>
          <w:szCs w:val="22"/>
        </w:rPr>
        <w:t xml:space="preserve"> infection. </w:t>
      </w:r>
      <w:r>
        <w:rPr>
          <w:rFonts w:cstheme="minorBidi"/>
          <w:i/>
          <w:szCs w:val="22"/>
        </w:rPr>
        <w:t>A</w:t>
      </w:r>
      <w:r w:rsidR="00FF2525">
        <w:rPr>
          <w:rFonts w:cstheme="minorBidi"/>
          <w:i/>
          <w:szCs w:val="22"/>
        </w:rPr>
        <w:t xml:space="preserve">m </w:t>
      </w:r>
      <w:r>
        <w:rPr>
          <w:rFonts w:cstheme="minorBidi"/>
          <w:i/>
          <w:szCs w:val="22"/>
        </w:rPr>
        <w:t>J</w:t>
      </w:r>
      <w:r w:rsidR="00FF2525">
        <w:rPr>
          <w:rFonts w:cstheme="minorBidi"/>
          <w:i/>
          <w:szCs w:val="22"/>
        </w:rPr>
        <w:t xml:space="preserve"> </w:t>
      </w:r>
      <w:proofErr w:type="spellStart"/>
      <w:r>
        <w:rPr>
          <w:rFonts w:cstheme="minorBidi"/>
          <w:i/>
          <w:szCs w:val="22"/>
        </w:rPr>
        <w:t>G</w:t>
      </w:r>
      <w:r w:rsidR="00FF2525">
        <w:rPr>
          <w:rFonts w:cstheme="minorBidi"/>
          <w:i/>
          <w:szCs w:val="22"/>
        </w:rPr>
        <w:t>astroenterol</w:t>
      </w:r>
      <w:proofErr w:type="spellEnd"/>
      <w:r w:rsidR="00FF2525">
        <w:rPr>
          <w:rFonts w:cstheme="minorBidi"/>
          <w:szCs w:val="22"/>
        </w:rPr>
        <w:t xml:space="preserve">. 2007 Aug; 102(8):1808-1825. Available from: </w:t>
      </w:r>
      <w:hyperlink r:id="rId71" w:history="1">
        <w:r w:rsidR="00FF2525" w:rsidRPr="00FF2525">
          <w:rPr>
            <w:rStyle w:val="Hyperlink"/>
            <w:u w:val="none"/>
          </w:rPr>
          <w:t>https://www.ncbi.nlm.nih.gov/pubmed/17608775</w:t>
        </w:r>
      </w:hyperlink>
      <w:r w:rsidRPr="00FF2525">
        <w:rPr>
          <w:rFonts w:cstheme="minorBidi"/>
          <w:szCs w:val="22"/>
        </w:rPr>
        <w:t>.</w:t>
      </w:r>
    </w:p>
    <w:p w14:paraId="237CBCF8" w14:textId="77777777" w:rsidR="00531D26" w:rsidRDefault="00C73071" w:rsidP="00C73071">
      <w:pPr>
        <w:pStyle w:val="PHEBulletpoint"/>
        <w:numPr>
          <w:ilvl w:val="0"/>
          <w:numId w:val="0"/>
        </w:numPr>
        <w:ind w:left="720"/>
        <w:rPr>
          <w:rFonts w:cstheme="minorBidi"/>
          <w:szCs w:val="22"/>
        </w:rPr>
      </w:pPr>
      <w:r w:rsidRPr="000927FF">
        <w:rPr>
          <w:rFonts w:cstheme="minorBidi"/>
          <w:szCs w:val="22"/>
        </w:rPr>
        <w:t>RATIONALE:</w:t>
      </w:r>
      <w:r>
        <w:rPr>
          <w:rFonts w:cstheme="minorBidi"/>
          <w:szCs w:val="22"/>
        </w:rPr>
        <w:t xml:space="preserve"> An American College of Gastroenterology guideline, providing details of first-line regimens for </w:t>
      </w:r>
      <w:r>
        <w:rPr>
          <w:rFonts w:cstheme="minorBidi"/>
          <w:i/>
          <w:szCs w:val="22"/>
        </w:rPr>
        <w:t>Helicobacter pylori</w:t>
      </w:r>
      <w:r>
        <w:rPr>
          <w:rFonts w:cstheme="minorBidi"/>
          <w:szCs w:val="22"/>
        </w:rPr>
        <w:t xml:space="preserve"> eradication. This guideline recommends that, for penicillin allergic patients, bismuth subsalicylate at a dose of 525mg QDS should be given alongside a PPI, tetracycline hydrochloride 500mg QDS, and metronidazole 250mg QDS. </w:t>
      </w:r>
    </w:p>
    <w:p w14:paraId="1EC609CD" w14:textId="77777777" w:rsidR="00531D26" w:rsidRDefault="00531D26" w:rsidP="00C73071">
      <w:pPr>
        <w:pStyle w:val="PHEBulletpoint"/>
        <w:numPr>
          <w:ilvl w:val="0"/>
          <w:numId w:val="0"/>
        </w:numPr>
        <w:ind w:left="720"/>
        <w:rPr>
          <w:rFonts w:cstheme="minorBidi"/>
          <w:szCs w:val="22"/>
        </w:rPr>
      </w:pPr>
    </w:p>
    <w:p w14:paraId="32AA259C" w14:textId="036A442C" w:rsidR="00C73071" w:rsidRDefault="00C73071" w:rsidP="00C73071">
      <w:pPr>
        <w:pStyle w:val="PHEBulletpoint"/>
        <w:numPr>
          <w:ilvl w:val="0"/>
          <w:numId w:val="0"/>
        </w:numPr>
        <w:ind w:left="720"/>
        <w:rPr>
          <w:rFonts w:cstheme="minorBidi"/>
          <w:szCs w:val="22"/>
        </w:rPr>
      </w:pPr>
      <w:r>
        <w:rPr>
          <w:rFonts w:cstheme="minorBidi"/>
          <w:szCs w:val="22"/>
        </w:rPr>
        <w:t>This guideline also provides standard doses for a range of PPIs, including: lansoprazole 30mg; omeprazole 20mg; pantoprazole 40mg; rabeprazole 20mg; esomeprazole 40mg.</w:t>
      </w:r>
    </w:p>
    <w:p w14:paraId="0D31B57B" w14:textId="77777777" w:rsidR="00F82363" w:rsidRPr="00F82363" w:rsidRDefault="00F82363" w:rsidP="00F82363">
      <w:pPr>
        <w:pStyle w:val="PHEBulletpoint"/>
        <w:numPr>
          <w:ilvl w:val="0"/>
          <w:numId w:val="0"/>
        </w:numPr>
        <w:rPr>
          <w:rFonts w:cstheme="minorBidi"/>
          <w:szCs w:val="22"/>
        </w:rPr>
      </w:pPr>
    </w:p>
    <w:p w14:paraId="49505014" w14:textId="62252C02" w:rsidR="00C73071" w:rsidRPr="00F82363" w:rsidRDefault="00C73071" w:rsidP="00F82363">
      <w:pPr>
        <w:pStyle w:val="PHEBulletpoint"/>
        <w:numPr>
          <w:ilvl w:val="0"/>
          <w:numId w:val="39"/>
        </w:numPr>
        <w:ind w:left="357" w:hanging="357"/>
        <w:rPr>
          <w:rFonts w:cstheme="minorBidi"/>
          <w:szCs w:val="22"/>
        </w:rPr>
      </w:pPr>
      <w:bookmarkStart w:id="45" w:name="Reference39"/>
      <w:bookmarkEnd w:id="45"/>
      <w:r>
        <w:rPr>
          <w:rFonts w:cstheme="minorBidi"/>
          <w:szCs w:val="22"/>
        </w:rPr>
        <w:t xml:space="preserve">Drugs.com. </w:t>
      </w:r>
      <w:proofErr w:type="spellStart"/>
      <w:r>
        <w:rPr>
          <w:rFonts w:cstheme="minorBidi"/>
          <w:i/>
          <w:szCs w:val="22"/>
        </w:rPr>
        <w:t>Helidac</w:t>
      </w:r>
      <w:proofErr w:type="spellEnd"/>
      <w:r>
        <w:rPr>
          <w:rFonts w:cstheme="minorBidi"/>
          <w:szCs w:val="22"/>
        </w:rPr>
        <w:t xml:space="preserve">. Available from: </w:t>
      </w:r>
      <w:hyperlink r:id="rId72" w:history="1">
        <w:r w:rsidRPr="0084256F">
          <w:rPr>
            <w:rStyle w:val="Hyperlink"/>
            <w:rFonts w:cstheme="minorBidi"/>
            <w:color w:val="9C002A"/>
            <w:szCs w:val="22"/>
            <w:u w:val="none"/>
          </w:rPr>
          <w:t>http://www.drugs.com/mtm/helidac.html</w:t>
        </w:r>
      </w:hyperlink>
      <w:r>
        <w:rPr>
          <w:rFonts w:cstheme="minorBidi"/>
          <w:szCs w:val="22"/>
        </w:rPr>
        <w:t xml:space="preserve"> [Accessed: 3</w:t>
      </w:r>
      <w:r w:rsidRPr="0084256F">
        <w:rPr>
          <w:rFonts w:cstheme="minorBidi"/>
          <w:szCs w:val="22"/>
          <w:vertAlign w:val="superscript"/>
        </w:rPr>
        <w:t>rd</w:t>
      </w:r>
    </w:p>
    <w:p w14:paraId="291CE30A" w14:textId="77777777" w:rsidR="00C73071" w:rsidRDefault="00C73071" w:rsidP="00C73071">
      <w:pPr>
        <w:pStyle w:val="PHEBulletpoint"/>
        <w:numPr>
          <w:ilvl w:val="0"/>
          <w:numId w:val="0"/>
        </w:numPr>
        <w:ind w:left="357"/>
        <w:rPr>
          <w:rFonts w:cstheme="minorBidi"/>
          <w:szCs w:val="22"/>
        </w:rPr>
      </w:pPr>
      <w:proofErr w:type="gramStart"/>
      <w:r>
        <w:rPr>
          <w:rFonts w:cstheme="minorBidi"/>
          <w:szCs w:val="22"/>
        </w:rPr>
        <w:t>June,</w:t>
      </w:r>
      <w:proofErr w:type="gramEnd"/>
      <w:r>
        <w:rPr>
          <w:rFonts w:cstheme="minorBidi"/>
          <w:szCs w:val="22"/>
        </w:rPr>
        <w:t xml:space="preserve"> 2016].</w:t>
      </w:r>
    </w:p>
    <w:p w14:paraId="543EACF4" w14:textId="67225A6C" w:rsidR="00C73071" w:rsidRDefault="00C73071" w:rsidP="00C73071">
      <w:pPr>
        <w:pStyle w:val="PHEBulletpoint"/>
        <w:numPr>
          <w:ilvl w:val="0"/>
          <w:numId w:val="0"/>
        </w:numPr>
        <w:ind w:left="720"/>
        <w:rPr>
          <w:szCs w:val="22"/>
        </w:rPr>
      </w:pPr>
      <w:r w:rsidRPr="000927FF">
        <w:rPr>
          <w:rFonts w:cstheme="minorBidi"/>
          <w:szCs w:val="22"/>
        </w:rPr>
        <w:t>RATIONALE:</w:t>
      </w:r>
      <w:r>
        <w:rPr>
          <w:rFonts w:cstheme="minorBidi"/>
          <w:szCs w:val="22"/>
        </w:rPr>
        <w:t xml:space="preserve"> The </w:t>
      </w:r>
      <w:proofErr w:type="spellStart"/>
      <w:r>
        <w:rPr>
          <w:rFonts w:cstheme="minorBidi"/>
          <w:szCs w:val="22"/>
        </w:rPr>
        <w:t>Helidac</w:t>
      </w:r>
      <w:proofErr w:type="spellEnd"/>
      <w:r>
        <w:rPr>
          <w:rFonts w:cstheme="minorBidi"/>
          <w:szCs w:val="22"/>
        </w:rPr>
        <w:t xml:space="preserve"> therapy pack consists of a </w:t>
      </w:r>
      <w:proofErr w:type="gramStart"/>
      <w:r>
        <w:rPr>
          <w:rFonts w:cstheme="minorBidi"/>
          <w:szCs w:val="22"/>
        </w:rPr>
        <w:t>14 day</w:t>
      </w:r>
      <w:proofErr w:type="gramEnd"/>
      <w:r>
        <w:rPr>
          <w:rFonts w:cstheme="minorBidi"/>
          <w:szCs w:val="22"/>
        </w:rPr>
        <w:t xml:space="preserve"> course of either </w:t>
      </w:r>
      <w:r w:rsidR="00E26C1B">
        <w:rPr>
          <w:szCs w:val="22"/>
        </w:rPr>
        <w:t xml:space="preserve">bismuth subsalicylate </w:t>
      </w:r>
      <w:r w:rsidR="00E26C1B" w:rsidRPr="008B7A8D">
        <w:rPr>
          <w:szCs w:val="22"/>
        </w:rPr>
        <w:t>(</w:t>
      </w:r>
      <w:proofErr w:type="spellStart"/>
      <w:r w:rsidR="00E26C1B" w:rsidRPr="008B7A8D">
        <w:rPr>
          <w:szCs w:val="22"/>
        </w:rPr>
        <w:t>Pepto</w:t>
      </w:r>
      <w:proofErr w:type="spellEnd"/>
      <w:r w:rsidR="00E26C1B" w:rsidRPr="008B7A8D">
        <w:rPr>
          <w:szCs w:val="22"/>
        </w:rPr>
        <w:t xml:space="preserve"> </w:t>
      </w:r>
      <w:proofErr w:type="spellStart"/>
      <w:r w:rsidR="00E26C1B" w:rsidRPr="008B7A8D">
        <w:rPr>
          <w:szCs w:val="22"/>
        </w:rPr>
        <w:t>Bismol</w:t>
      </w:r>
      <w:proofErr w:type="spellEnd"/>
      <w:r w:rsidR="00E26C1B" w:rsidRPr="008B7A8D">
        <w:rPr>
          <w:szCs w:val="22"/>
          <w:vertAlign w:val="superscript"/>
        </w:rPr>
        <w:t>®</w:t>
      </w:r>
      <w:r w:rsidR="00E26C1B" w:rsidRPr="008B7A8D">
        <w:rPr>
          <w:szCs w:val="22"/>
        </w:rPr>
        <w:t>)</w:t>
      </w:r>
      <w:r w:rsidR="00E26C1B">
        <w:rPr>
          <w:szCs w:val="22"/>
        </w:rPr>
        <w:t xml:space="preserve"> QDS</w:t>
      </w:r>
      <w:r w:rsidR="00E26C1B">
        <w:rPr>
          <w:rFonts w:cstheme="minorBidi"/>
          <w:szCs w:val="22"/>
        </w:rPr>
        <w:t xml:space="preserve"> or </w:t>
      </w:r>
      <w:proofErr w:type="spellStart"/>
      <w:r>
        <w:rPr>
          <w:rFonts w:cstheme="minorBidi"/>
          <w:szCs w:val="22"/>
        </w:rPr>
        <w:t>tripotassium</w:t>
      </w:r>
      <w:proofErr w:type="spellEnd"/>
      <w:r>
        <w:rPr>
          <w:rFonts w:cstheme="minorBidi"/>
          <w:szCs w:val="22"/>
        </w:rPr>
        <w:t xml:space="preserve"> </w:t>
      </w:r>
      <w:proofErr w:type="spellStart"/>
      <w:r>
        <w:rPr>
          <w:rFonts w:cstheme="minorBidi"/>
          <w:szCs w:val="22"/>
        </w:rPr>
        <w:t>dicitratobismuthate</w:t>
      </w:r>
      <w:proofErr w:type="spellEnd"/>
      <w:r>
        <w:rPr>
          <w:rFonts w:cstheme="minorBidi"/>
          <w:szCs w:val="22"/>
        </w:rPr>
        <w:t xml:space="preserve"> </w:t>
      </w:r>
      <w:r w:rsidRPr="008B7A8D">
        <w:rPr>
          <w:rFonts w:cstheme="minorBidi"/>
          <w:szCs w:val="22"/>
        </w:rPr>
        <w:t>(De-</w:t>
      </w:r>
      <w:proofErr w:type="spellStart"/>
      <w:r w:rsidRPr="008B7A8D">
        <w:rPr>
          <w:rFonts w:cstheme="minorBidi"/>
          <w:szCs w:val="22"/>
        </w:rPr>
        <w:t>Noltab</w:t>
      </w:r>
      <w:proofErr w:type="spellEnd"/>
      <w:r w:rsidRPr="008B7A8D">
        <w:rPr>
          <w:szCs w:val="22"/>
          <w:vertAlign w:val="superscript"/>
        </w:rPr>
        <w:t>®</w:t>
      </w:r>
      <w:r w:rsidRPr="008B7A8D">
        <w:rPr>
          <w:szCs w:val="22"/>
        </w:rPr>
        <w:t>)</w:t>
      </w:r>
      <w:r>
        <w:rPr>
          <w:szCs w:val="22"/>
        </w:rPr>
        <w:t xml:space="preserve">, metronidazole 250mg QDS, and tetracycline hydrochloride 500mg QDS, taken in </w:t>
      </w:r>
    </w:p>
    <w:p w14:paraId="037E00EF" w14:textId="3CFCCB2A" w:rsidR="00C73071" w:rsidRDefault="00C73071" w:rsidP="00C73071">
      <w:pPr>
        <w:pStyle w:val="PHEBulletpoint"/>
        <w:numPr>
          <w:ilvl w:val="0"/>
          <w:numId w:val="0"/>
        </w:numPr>
        <w:ind w:left="720"/>
        <w:rPr>
          <w:szCs w:val="22"/>
        </w:rPr>
      </w:pPr>
      <w:r>
        <w:rPr>
          <w:szCs w:val="22"/>
        </w:rPr>
        <w:t>conjunction with an H</w:t>
      </w:r>
      <w:r>
        <w:rPr>
          <w:szCs w:val="22"/>
          <w:vertAlign w:val="subscript"/>
        </w:rPr>
        <w:t>2</w:t>
      </w:r>
      <w:r>
        <w:rPr>
          <w:szCs w:val="22"/>
        </w:rPr>
        <w:t xml:space="preserve"> antagonist. </w:t>
      </w:r>
      <w:r>
        <w:rPr>
          <w:i/>
          <w:szCs w:val="22"/>
        </w:rPr>
        <w:t>H. pylori</w:t>
      </w:r>
      <w:r>
        <w:rPr>
          <w:szCs w:val="22"/>
        </w:rPr>
        <w:t xml:space="preserve"> eradication rates with </w:t>
      </w:r>
      <w:proofErr w:type="spellStart"/>
      <w:r>
        <w:rPr>
          <w:szCs w:val="22"/>
        </w:rPr>
        <w:t>Helidac</w:t>
      </w:r>
      <w:proofErr w:type="spellEnd"/>
      <w:r>
        <w:rPr>
          <w:szCs w:val="22"/>
        </w:rPr>
        <w:t xml:space="preserve"> in patients with a history of duodenal ulcer disease are reported to be around 80%, and in patients with active duodenal ulce</w:t>
      </w:r>
      <w:r w:rsidR="00E26C1B">
        <w:rPr>
          <w:szCs w:val="22"/>
        </w:rPr>
        <w:t xml:space="preserve">r disease are reported to be 77 to </w:t>
      </w:r>
      <w:r>
        <w:rPr>
          <w:szCs w:val="22"/>
        </w:rPr>
        <w:t>82%. A proton pump inhibitor may be preferred to an H</w:t>
      </w:r>
      <w:r>
        <w:rPr>
          <w:szCs w:val="22"/>
          <w:vertAlign w:val="subscript"/>
        </w:rPr>
        <w:t>2</w:t>
      </w:r>
      <w:r>
        <w:rPr>
          <w:szCs w:val="22"/>
        </w:rPr>
        <w:t xml:space="preserve"> antagonist for concomitant use with the </w:t>
      </w:r>
      <w:proofErr w:type="spellStart"/>
      <w:r w:rsidRPr="008B7A8D">
        <w:rPr>
          <w:szCs w:val="22"/>
        </w:rPr>
        <w:t>Pepto</w:t>
      </w:r>
      <w:proofErr w:type="spellEnd"/>
      <w:r w:rsidRPr="008B7A8D">
        <w:rPr>
          <w:szCs w:val="22"/>
        </w:rPr>
        <w:t xml:space="preserve"> </w:t>
      </w:r>
      <w:proofErr w:type="spellStart"/>
      <w:r w:rsidRPr="008B7A8D">
        <w:rPr>
          <w:szCs w:val="22"/>
        </w:rPr>
        <w:t>Bismol</w:t>
      </w:r>
      <w:proofErr w:type="spellEnd"/>
      <w:r w:rsidRPr="008B7A8D">
        <w:rPr>
          <w:szCs w:val="22"/>
          <w:vertAlign w:val="superscript"/>
        </w:rPr>
        <w:t>®</w:t>
      </w:r>
      <w:r>
        <w:rPr>
          <w:szCs w:val="22"/>
        </w:rPr>
        <w:t xml:space="preserve"> regimen.</w:t>
      </w:r>
    </w:p>
    <w:p w14:paraId="1D689905" w14:textId="77777777" w:rsidR="000927FF" w:rsidRDefault="000927FF" w:rsidP="000927FF">
      <w:pPr>
        <w:pStyle w:val="PHEBulletpoint"/>
        <w:numPr>
          <w:ilvl w:val="0"/>
          <w:numId w:val="0"/>
        </w:numPr>
        <w:rPr>
          <w:szCs w:val="22"/>
        </w:rPr>
      </w:pPr>
    </w:p>
    <w:p w14:paraId="50C324FD" w14:textId="78883A5E" w:rsidR="000927FF" w:rsidRPr="000927FF" w:rsidRDefault="000927FF" w:rsidP="000927FF">
      <w:pPr>
        <w:pStyle w:val="PHEBulletpoint"/>
        <w:numPr>
          <w:ilvl w:val="0"/>
          <w:numId w:val="39"/>
        </w:numPr>
        <w:rPr>
          <w:szCs w:val="22"/>
        </w:rPr>
      </w:pPr>
      <w:bookmarkStart w:id="46" w:name="Reference40"/>
      <w:bookmarkEnd w:id="46"/>
      <w:proofErr w:type="spellStart"/>
      <w:r>
        <w:rPr>
          <w:szCs w:val="22"/>
        </w:rPr>
        <w:t>Malfertheiner</w:t>
      </w:r>
      <w:proofErr w:type="spellEnd"/>
      <w:r>
        <w:rPr>
          <w:szCs w:val="22"/>
        </w:rPr>
        <w:t xml:space="preserve"> P, </w:t>
      </w:r>
      <w:proofErr w:type="spellStart"/>
      <w:r>
        <w:rPr>
          <w:szCs w:val="22"/>
        </w:rPr>
        <w:t>Megraud</w:t>
      </w:r>
      <w:proofErr w:type="spellEnd"/>
      <w:r>
        <w:rPr>
          <w:szCs w:val="22"/>
        </w:rPr>
        <w:t xml:space="preserve"> F, </w:t>
      </w:r>
      <w:proofErr w:type="spellStart"/>
      <w:r>
        <w:rPr>
          <w:szCs w:val="22"/>
        </w:rPr>
        <w:t>O’Morain</w:t>
      </w:r>
      <w:proofErr w:type="spellEnd"/>
      <w:r>
        <w:rPr>
          <w:szCs w:val="22"/>
        </w:rPr>
        <w:t xml:space="preserve"> CA, </w:t>
      </w:r>
      <w:proofErr w:type="spellStart"/>
      <w:r>
        <w:rPr>
          <w:szCs w:val="22"/>
        </w:rPr>
        <w:t>Gisbert</w:t>
      </w:r>
      <w:proofErr w:type="spellEnd"/>
      <w:r>
        <w:rPr>
          <w:szCs w:val="22"/>
        </w:rPr>
        <w:t xml:space="preserve"> JP, </w:t>
      </w:r>
      <w:proofErr w:type="spellStart"/>
      <w:r>
        <w:rPr>
          <w:szCs w:val="22"/>
        </w:rPr>
        <w:t>Kuipers</w:t>
      </w:r>
      <w:proofErr w:type="spellEnd"/>
      <w:r>
        <w:rPr>
          <w:szCs w:val="22"/>
        </w:rPr>
        <w:t xml:space="preserve"> EJ, Axon AT et al. Management of </w:t>
      </w:r>
      <w:r>
        <w:rPr>
          <w:i/>
          <w:szCs w:val="22"/>
        </w:rPr>
        <w:t>Helicobacter pylori</w:t>
      </w:r>
      <w:r>
        <w:rPr>
          <w:szCs w:val="22"/>
        </w:rPr>
        <w:t xml:space="preserve"> infection-the Maastricht V/Florence Consensus Report. </w:t>
      </w:r>
      <w:r>
        <w:rPr>
          <w:i/>
          <w:szCs w:val="22"/>
        </w:rPr>
        <w:t>Gut</w:t>
      </w:r>
      <w:r>
        <w:rPr>
          <w:szCs w:val="22"/>
        </w:rPr>
        <w:t xml:space="preserve">. 2017 Jan; 66(1):6-30. Available from: </w:t>
      </w:r>
      <w:hyperlink r:id="rId73" w:history="1">
        <w:r w:rsidRPr="000927FF">
          <w:rPr>
            <w:rStyle w:val="Hyperlink"/>
            <w:szCs w:val="22"/>
            <w:u w:val="none"/>
          </w:rPr>
          <w:t>http://gut.bmj.com/content/gutjnl/66/1/6.full.pdf</w:t>
        </w:r>
      </w:hyperlink>
      <w:r w:rsidRPr="000927FF">
        <w:rPr>
          <w:szCs w:val="22"/>
        </w:rPr>
        <w:t>.</w:t>
      </w:r>
    </w:p>
    <w:p w14:paraId="528C1020" w14:textId="5D391A26" w:rsidR="000927FF" w:rsidRPr="0047112E" w:rsidRDefault="000927FF" w:rsidP="000927FF">
      <w:pPr>
        <w:pStyle w:val="PHEBulletpoint"/>
        <w:numPr>
          <w:ilvl w:val="0"/>
          <w:numId w:val="0"/>
        </w:numPr>
        <w:ind w:left="720"/>
        <w:rPr>
          <w:szCs w:val="22"/>
        </w:rPr>
      </w:pPr>
      <w:r>
        <w:rPr>
          <w:szCs w:val="22"/>
        </w:rPr>
        <w:t xml:space="preserve">RATIONALE: </w:t>
      </w:r>
      <w:r w:rsidRPr="00A275E2">
        <w:rPr>
          <w:rFonts w:cstheme="minorBidi"/>
          <w:szCs w:val="22"/>
        </w:rPr>
        <w:t xml:space="preserve">A consensus report providing expert opinion on the most appropriate management and diagnostic tests for </w:t>
      </w:r>
      <w:r w:rsidRPr="00A275E2">
        <w:rPr>
          <w:rFonts w:cstheme="minorBidi"/>
          <w:i/>
          <w:szCs w:val="22"/>
        </w:rPr>
        <w:t>Helicobacter pylori</w:t>
      </w:r>
      <w:r w:rsidRPr="00A275E2">
        <w:rPr>
          <w:rFonts w:cstheme="minorBidi"/>
          <w:szCs w:val="22"/>
        </w:rPr>
        <w:t>.</w:t>
      </w:r>
      <w:r>
        <w:rPr>
          <w:rFonts w:cstheme="minorBidi"/>
          <w:szCs w:val="22"/>
        </w:rPr>
        <w:t xml:space="preserve"> This report states that, when alarm symptoms are present (weight loss; dysphagia; overt gastrointestinal bleeding; abdominal mass; iron deficiency anaemia), an </w:t>
      </w:r>
      <w:proofErr w:type="spellStart"/>
      <w:r>
        <w:rPr>
          <w:rFonts w:cstheme="minorBidi"/>
          <w:szCs w:val="22"/>
        </w:rPr>
        <w:t>oesophago</w:t>
      </w:r>
      <w:proofErr w:type="spellEnd"/>
      <w:r>
        <w:rPr>
          <w:rFonts w:cstheme="minorBidi"/>
          <w:szCs w:val="22"/>
        </w:rPr>
        <w:t>-gastro-duodenoscopy is needed.</w:t>
      </w:r>
      <w:r w:rsidR="0047112E">
        <w:rPr>
          <w:rFonts w:cstheme="minorBidi"/>
          <w:szCs w:val="22"/>
        </w:rPr>
        <w:t xml:space="preserve"> It is also stated that, if post-gastroduodenal bleed, </w:t>
      </w:r>
      <w:r w:rsidR="0047112E">
        <w:rPr>
          <w:rFonts w:cstheme="minorBidi"/>
          <w:i/>
          <w:szCs w:val="22"/>
        </w:rPr>
        <w:t>Helicobacter pylori</w:t>
      </w:r>
      <w:r w:rsidR="0047112E">
        <w:rPr>
          <w:rFonts w:cstheme="minorBidi"/>
          <w:szCs w:val="22"/>
        </w:rPr>
        <w:t xml:space="preserve"> treatment should only be started when the patient can take oral medication.</w:t>
      </w:r>
    </w:p>
    <w:p w14:paraId="13F680B5" w14:textId="77777777" w:rsidR="00C73071" w:rsidRDefault="00C73071" w:rsidP="00C73071">
      <w:pPr>
        <w:pStyle w:val="PHEBulletpoint"/>
        <w:numPr>
          <w:ilvl w:val="0"/>
          <w:numId w:val="0"/>
        </w:numPr>
        <w:rPr>
          <w:szCs w:val="22"/>
        </w:rPr>
      </w:pPr>
    </w:p>
    <w:p w14:paraId="79AA314A" w14:textId="29773674" w:rsidR="0046303A" w:rsidRPr="00A275E2" w:rsidRDefault="0046303A" w:rsidP="0046303A">
      <w:pPr>
        <w:pStyle w:val="PHEBulletpoint"/>
        <w:numPr>
          <w:ilvl w:val="0"/>
          <w:numId w:val="39"/>
        </w:numPr>
        <w:rPr>
          <w:rFonts w:cstheme="minorBidi"/>
          <w:szCs w:val="22"/>
        </w:rPr>
      </w:pPr>
      <w:bookmarkStart w:id="47" w:name="Reference41"/>
      <w:bookmarkEnd w:id="47"/>
      <w:r w:rsidRPr="00A275E2">
        <w:rPr>
          <w:rFonts w:cstheme="minorBidi"/>
          <w:szCs w:val="22"/>
        </w:rPr>
        <w:t xml:space="preserve">Dojo M, Azuma T, Saito T, </w:t>
      </w:r>
      <w:proofErr w:type="spellStart"/>
      <w:r w:rsidRPr="00A275E2">
        <w:rPr>
          <w:rFonts w:cstheme="minorBidi"/>
          <w:szCs w:val="22"/>
        </w:rPr>
        <w:t>Ohtani</w:t>
      </w:r>
      <w:proofErr w:type="spellEnd"/>
      <w:r w:rsidRPr="00A275E2">
        <w:rPr>
          <w:rFonts w:cstheme="minorBidi"/>
          <w:szCs w:val="22"/>
        </w:rPr>
        <w:t xml:space="preserve"> M, </w:t>
      </w:r>
      <w:proofErr w:type="spellStart"/>
      <w:r w:rsidRPr="00A275E2">
        <w:rPr>
          <w:rFonts w:cstheme="minorBidi"/>
          <w:szCs w:val="22"/>
        </w:rPr>
        <w:t>Muramatsu</w:t>
      </w:r>
      <w:proofErr w:type="spellEnd"/>
      <w:r w:rsidRPr="00A275E2">
        <w:rPr>
          <w:rFonts w:cstheme="minorBidi"/>
          <w:szCs w:val="22"/>
        </w:rPr>
        <w:t xml:space="preserve"> A, </w:t>
      </w:r>
      <w:proofErr w:type="spellStart"/>
      <w:r w:rsidRPr="00A275E2">
        <w:rPr>
          <w:rFonts w:cstheme="minorBidi"/>
          <w:szCs w:val="22"/>
        </w:rPr>
        <w:t>Kuriyama</w:t>
      </w:r>
      <w:proofErr w:type="spellEnd"/>
      <w:r w:rsidRPr="00A275E2">
        <w:rPr>
          <w:rFonts w:cstheme="minorBidi"/>
          <w:szCs w:val="22"/>
        </w:rPr>
        <w:t xml:space="preserve"> M. Effects of CYP2C19 gene polymorphism on cure rates for </w:t>
      </w:r>
      <w:r w:rsidRPr="00A275E2">
        <w:rPr>
          <w:rFonts w:cstheme="minorBidi"/>
          <w:i/>
          <w:szCs w:val="22"/>
        </w:rPr>
        <w:t>Helicobacter pylori</w:t>
      </w:r>
      <w:r w:rsidRPr="00A275E2">
        <w:rPr>
          <w:rFonts w:cstheme="minorBidi"/>
          <w:szCs w:val="22"/>
        </w:rPr>
        <w:t xml:space="preserve"> infection by triple therapy with proton pump inhibitor (omeprazole or rabeprazole), amoxicillin and clarithromycin in Japan. </w:t>
      </w:r>
      <w:r w:rsidRPr="00A275E2">
        <w:rPr>
          <w:rFonts w:cstheme="minorBidi"/>
          <w:i/>
          <w:szCs w:val="22"/>
        </w:rPr>
        <w:t>Dig Liver Dis</w:t>
      </w:r>
      <w:r w:rsidRPr="00A275E2">
        <w:rPr>
          <w:rFonts w:cstheme="minorBidi"/>
          <w:szCs w:val="22"/>
        </w:rPr>
        <w:t xml:space="preserve">. 2001 Nov; 33(8):671-675. Available from: </w:t>
      </w:r>
      <w:hyperlink r:id="rId74" w:history="1">
        <w:r w:rsidRPr="00A275E2">
          <w:rPr>
            <w:rStyle w:val="Hyperlink"/>
            <w:rFonts w:cstheme="minorBidi"/>
            <w:szCs w:val="22"/>
            <w:u w:val="none"/>
          </w:rPr>
          <w:t>http://www.ncbi.nlm.nih.gov/pubmed/11785712</w:t>
        </w:r>
      </w:hyperlink>
      <w:r w:rsidRPr="00A275E2">
        <w:rPr>
          <w:rFonts w:cstheme="minorBidi"/>
          <w:szCs w:val="22"/>
        </w:rPr>
        <w:t>.</w:t>
      </w:r>
    </w:p>
    <w:p w14:paraId="694B518A" w14:textId="60804978" w:rsidR="0046303A" w:rsidRPr="00A275E2" w:rsidRDefault="0046303A" w:rsidP="0046303A">
      <w:pPr>
        <w:pStyle w:val="PHEBulletpoint"/>
        <w:numPr>
          <w:ilvl w:val="0"/>
          <w:numId w:val="0"/>
        </w:numPr>
        <w:ind w:left="720"/>
        <w:rPr>
          <w:rFonts w:cstheme="minorBidi"/>
          <w:szCs w:val="22"/>
        </w:rPr>
      </w:pPr>
      <w:r w:rsidRPr="000927FF">
        <w:rPr>
          <w:rFonts w:cstheme="minorBidi"/>
          <w:szCs w:val="22"/>
        </w:rPr>
        <w:t>RATIONALE:</w:t>
      </w:r>
      <w:r w:rsidRPr="00A275E2">
        <w:rPr>
          <w:rFonts w:cstheme="minorBidi"/>
          <w:szCs w:val="22"/>
        </w:rPr>
        <w:t xml:space="preserve"> A randomised trial to investigate whether genetic polymorphism of CYP2C19 and selected proton pump inhibitors (omeprazole or rab</w:t>
      </w:r>
      <w:r w:rsidR="00C253A1" w:rsidRPr="00A275E2">
        <w:rPr>
          <w:rFonts w:cstheme="minorBidi"/>
          <w:szCs w:val="22"/>
        </w:rPr>
        <w:t>eprazole) a</w:t>
      </w:r>
      <w:r w:rsidRPr="00A275E2">
        <w:rPr>
          <w:rFonts w:cstheme="minorBidi"/>
          <w:szCs w:val="22"/>
        </w:rPr>
        <w:t xml:space="preserve">re associated with cure rates for </w:t>
      </w:r>
      <w:r w:rsidRPr="00A275E2">
        <w:rPr>
          <w:rFonts w:cstheme="minorBidi"/>
          <w:i/>
          <w:szCs w:val="22"/>
        </w:rPr>
        <w:t>H. pylori</w:t>
      </w:r>
      <w:r w:rsidR="00C253A1" w:rsidRPr="00A275E2">
        <w:rPr>
          <w:rFonts w:cstheme="minorBidi"/>
          <w:szCs w:val="22"/>
        </w:rPr>
        <w:t xml:space="preserve"> infection, when used in a triple therapy regimen. A total of </w:t>
      </w:r>
      <w:r w:rsidR="00C253A1" w:rsidRPr="00BA0600">
        <w:rPr>
          <w:rFonts w:cstheme="minorBidi"/>
          <w:szCs w:val="22"/>
        </w:rPr>
        <w:t>170 Helicobacter-positive</w:t>
      </w:r>
      <w:r w:rsidR="00C253A1" w:rsidRPr="00A275E2">
        <w:rPr>
          <w:rFonts w:cstheme="minorBidi"/>
          <w:szCs w:val="22"/>
        </w:rPr>
        <w:t xml:space="preserve"> patients with chronic gastritis were randomised to receive either omeprazole or rabeprazole, with amoxicillin and clarithromycin. Cure rates were not significantly different between the CYP2C19 genotypes. The authors conclude that triple therapy with proton pump inhibitor, amoxicillin and clarithromycin is sufficiently effective in the cure of </w:t>
      </w:r>
      <w:r w:rsidR="00C253A1" w:rsidRPr="00A275E2">
        <w:rPr>
          <w:rFonts w:cstheme="minorBidi"/>
          <w:i/>
          <w:szCs w:val="22"/>
        </w:rPr>
        <w:t>Helicobacter pylori</w:t>
      </w:r>
      <w:r w:rsidR="00C253A1" w:rsidRPr="00A275E2">
        <w:rPr>
          <w:rFonts w:cstheme="minorBidi"/>
          <w:szCs w:val="22"/>
        </w:rPr>
        <w:t xml:space="preserve"> infection regardless of CYP2C19 status. It is also noted that rabeprazole may be worth consideration for patients in which other treatment regimens have failed, but not necessarily as first-line therapy.</w:t>
      </w:r>
    </w:p>
    <w:p w14:paraId="17A44C64" w14:textId="77777777" w:rsidR="00ED79ED" w:rsidRPr="00A275E2" w:rsidRDefault="00ED79ED" w:rsidP="00ED79ED">
      <w:pPr>
        <w:pStyle w:val="PHEBulletpoint"/>
        <w:numPr>
          <w:ilvl w:val="0"/>
          <w:numId w:val="0"/>
        </w:numPr>
        <w:rPr>
          <w:rFonts w:cstheme="minorBidi"/>
          <w:szCs w:val="22"/>
        </w:rPr>
      </w:pPr>
    </w:p>
    <w:p w14:paraId="3564E537" w14:textId="312A5057" w:rsidR="0047112E" w:rsidRPr="0057262C" w:rsidRDefault="00ED79ED" w:rsidP="0057262C">
      <w:pPr>
        <w:pStyle w:val="PHEBulletpoint"/>
        <w:numPr>
          <w:ilvl w:val="0"/>
          <w:numId w:val="39"/>
        </w:numPr>
        <w:rPr>
          <w:rFonts w:cstheme="minorBidi"/>
          <w:szCs w:val="22"/>
        </w:rPr>
      </w:pPr>
      <w:bookmarkStart w:id="48" w:name="Reference42"/>
      <w:bookmarkEnd w:id="48"/>
      <w:proofErr w:type="spellStart"/>
      <w:r w:rsidRPr="00A275E2">
        <w:rPr>
          <w:rFonts w:cstheme="minorBidi"/>
          <w:szCs w:val="22"/>
        </w:rPr>
        <w:t>Buzas</w:t>
      </w:r>
      <w:proofErr w:type="spellEnd"/>
      <w:r w:rsidRPr="00A275E2">
        <w:rPr>
          <w:rFonts w:cstheme="minorBidi"/>
          <w:szCs w:val="22"/>
        </w:rPr>
        <w:t xml:space="preserve"> GM, </w:t>
      </w:r>
      <w:proofErr w:type="spellStart"/>
      <w:r w:rsidRPr="00A275E2">
        <w:rPr>
          <w:rFonts w:cstheme="minorBidi"/>
          <w:szCs w:val="22"/>
        </w:rPr>
        <w:t>Jozan</w:t>
      </w:r>
      <w:proofErr w:type="spellEnd"/>
      <w:r w:rsidRPr="00A275E2">
        <w:rPr>
          <w:rFonts w:cstheme="minorBidi"/>
          <w:szCs w:val="22"/>
        </w:rPr>
        <w:t xml:space="preserve"> J. Nitrofuran-based regimens for the eradication of </w:t>
      </w:r>
      <w:r w:rsidRPr="00A275E2">
        <w:rPr>
          <w:rFonts w:cstheme="minorBidi"/>
          <w:i/>
          <w:szCs w:val="22"/>
        </w:rPr>
        <w:t>Helicobacter pylori</w:t>
      </w:r>
      <w:r w:rsidRPr="00A275E2">
        <w:rPr>
          <w:rFonts w:cstheme="minorBidi"/>
          <w:szCs w:val="22"/>
        </w:rPr>
        <w:t xml:space="preserve"> </w:t>
      </w:r>
    </w:p>
    <w:p w14:paraId="1513509A" w14:textId="73E43995" w:rsidR="00ED79ED" w:rsidRPr="00A275E2" w:rsidRDefault="00ED79ED" w:rsidP="0047112E">
      <w:pPr>
        <w:pStyle w:val="PHEBulletpoint"/>
        <w:numPr>
          <w:ilvl w:val="0"/>
          <w:numId w:val="0"/>
        </w:numPr>
        <w:ind w:left="360"/>
        <w:rPr>
          <w:rFonts w:cstheme="minorBidi"/>
          <w:szCs w:val="22"/>
        </w:rPr>
      </w:pPr>
      <w:r w:rsidRPr="00A275E2">
        <w:rPr>
          <w:rFonts w:cstheme="minorBidi"/>
          <w:szCs w:val="22"/>
        </w:rPr>
        <w:t xml:space="preserve">infection. </w:t>
      </w:r>
      <w:r w:rsidRPr="00A275E2">
        <w:rPr>
          <w:rFonts w:cstheme="minorBidi"/>
          <w:i/>
          <w:szCs w:val="22"/>
        </w:rPr>
        <w:t xml:space="preserve">J </w:t>
      </w:r>
      <w:proofErr w:type="spellStart"/>
      <w:r w:rsidRPr="00A275E2">
        <w:rPr>
          <w:rFonts w:cstheme="minorBidi"/>
          <w:i/>
          <w:szCs w:val="22"/>
        </w:rPr>
        <w:t>Gastroenterol</w:t>
      </w:r>
      <w:proofErr w:type="spellEnd"/>
      <w:r w:rsidRPr="00A275E2">
        <w:rPr>
          <w:rFonts w:cstheme="minorBidi"/>
          <w:i/>
          <w:szCs w:val="22"/>
        </w:rPr>
        <w:t xml:space="preserve"> </w:t>
      </w:r>
      <w:proofErr w:type="spellStart"/>
      <w:r w:rsidRPr="00A275E2">
        <w:rPr>
          <w:rFonts w:cstheme="minorBidi"/>
          <w:i/>
          <w:szCs w:val="22"/>
        </w:rPr>
        <w:t>Hepatol</w:t>
      </w:r>
      <w:proofErr w:type="spellEnd"/>
      <w:r w:rsidRPr="00A275E2">
        <w:rPr>
          <w:rFonts w:cstheme="minorBidi"/>
          <w:szCs w:val="22"/>
        </w:rPr>
        <w:t xml:space="preserve">. 2007 Oct; 22(10):1571-1581. Available from: </w:t>
      </w:r>
      <w:hyperlink r:id="rId75" w:history="1">
        <w:r w:rsidRPr="00A275E2">
          <w:rPr>
            <w:rStyle w:val="Hyperlink"/>
            <w:rFonts w:cstheme="minorBidi"/>
            <w:szCs w:val="22"/>
            <w:u w:val="none"/>
          </w:rPr>
          <w:t>http://onlinelibrary.wiley.com/doi/10.1111/j.1440-1746.2007.05082.x/epdf</w:t>
        </w:r>
      </w:hyperlink>
      <w:r w:rsidRPr="00A275E2">
        <w:rPr>
          <w:rFonts w:cstheme="minorBidi"/>
          <w:szCs w:val="22"/>
        </w:rPr>
        <w:t>.</w:t>
      </w:r>
    </w:p>
    <w:p w14:paraId="05E35370" w14:textId="77777777" w:rsidR="00531D26" w:rsidRDefault="00ED79ED" w:rsidP="0047112E">
      <w:pPr>
        <w:pStyle w:val="PHEBulletpoint"/>
        <w:numPr>
          <w:ilvl w:val="0"/>
          <w:numId w:val="0"/>
        </w:numPr>
        <w:ind w:left="720"/>
        <w:rPr>
          <w:rFonts w:cstheme="minorBidi"/>
          <w:szCs w:val="22"/>
        </w:rPr>
      </w:pPr>
      <w:r w:rsidRPr="000927FF">
        <w:rPr>
          <w:rFonts w:cstheme="minorBidi"/>
          <w:szCs w:val="22"/>
        </w:rPr>
        <w:t>RATIONALE:</w:t>
      </w:r>
      <w:r w:rsidRPr="00A275E2">
        <w:rPr>
          <w:rFonts w:cstheme="minorBidi"/>
          <w:szCs w:val="22"/>
        </w:rPr>
        <w:t xml:space="preserve"> A systematic review and meta-analysis of 51 studies and 4,946 patients, examining furazolidone- and nitrofurantoin-based regimens in the eradication of infection. There have been some studies with small numbers of patients examining the </w:t>
      </w:r>
    </w:p>
    <w:p w14:paraId="363670F5" w14:textId="77777777" w:rsidR="00531D26" w:rsidRDefault="00531D26" w:rsidP="0047112E">
      <w:pPr>
        <w:pStyle w:val="PHEBulletpoint"/>
        <w:numPr>
          <w:ilvl w:val="0"/>
          <w:numId w:val="0"/>
        </w:numPr>
        <w:ind w:left="720"/>
        <w:rPr>
          <w:rFonts w:cstheme="minorBidi"/>
          <w:szCs w:val="22"/>
        </w:rPr>
      </w:pPr>
    </w:p>
    <w:p w14:paraId="4D1B74F8" w14:textId="7D04A4E2" w:rsidR="00BA0600" w:rsidRDefault="00ED79ED" w:rsidP="0047112E">
      <w:pPr>
        <w:pStyle w:val="PHEBulletpoint"/>
        <w:numPr>
          <w:ilvl w:val="0"/>
          <w:numId w:val="0"/>
        </w:numPr>
        <w:ind w:left="720"/>
        <w:rPr>
          <w:rFonts w:cstheme="minorBidi"/>
          <w:szCs w:val="22"/>
        </w:rPr>
      </w:pPr>
      <w:r w:rsidRPr="00A275E2">
        <w:rPr>
          <w:rFonts w:cstheme="minorBidi"/>
          <w:szCs w:val="22"/>
        </w:rPr>
        <w:t>effectiveness of furazolidone with amoxicillin (60% eradication) and furazolidone with levofloxacin (83% eradication) in patients on rescue treatment.</w:t>
      </w:r>
      <w:r w:rsidR="00D211D4" w:rsidRPr="00A275E2">
        <w:rPr>
          <w:rFonts w:cstheme="minorBidi"/>
          <w:szCs w:val="22"/>
        </w:rPr>
        <w:t xml:space="preserve"> The overall eradication rate of third-line rescue therapies was 65.5%, but side-effects of the regimens containing furazolidone were more frequent</w:t>
      </w:r>
      <w:r w:rsidR="00E26C1B">
        <w:rPr>
          <w:rFonts w:cstheme="minorBidi"/>
          <w:szCs w:val="22"/>
        </w:rPr>
        <w:t xml:space="preserve"> than in standard therapies. (p=</w:t>
      </w:r>
      <w:r w:rsidR="00D211D4" w:rsidRPr="00A275E2">
        <w:rPr>
          <w:rFonts w:cstheme="minorBidi"/>
          <w:szCs w:val="22"/>
        </w:rPr>
        <w:t xml:space="preserve">0.02). The authors </w:t>
      </w:r>
      <w:r w:rsidR="00BA0600" w:rsidRPr="00A275E2">
        <w:rPr>
          <w:rFonts w:cstheme="minorBidi"/>
          <w:szCs w:val="22"/>
        </w:rPr>
        <w:t>conclude that primary triple regimens containing furazolidone are slightly less eff</w:t>
      </w:r>
      <w:r w:rsidR="0047112E">
        <w:rPr>
          <w:rFonts w:cstheme="minorBidi"/>
          <w:szCs w:val="22"/>
        </w:rPr>
        <w:t>icient</w:t>
      </w:r>
    </w:p>
    <w:p w14:paraId="03B14EDC" w14:textId="3E5AB4D3" w:rsidR="00BA0600" w:rsidRPr="00A275E2" w:rsidRDefault="00BA0600" w:rsidP="00BA0600">
      <w:pPr>
        <w:pStyle w:val="PHEBulletpoint"/>
        <w:numPr>
          <w:ilvl w:val="0"/>
          <w:numId w:val="0"/>
        </w:numPr>
        <w:ind w:left="720"/>
        <w:rPr>
          <w:rFonts w:cstheme="minorBidi"/>
          <w:szCs w:val="22"/>
        </w:rPr>
      </w:pPr>
      <w:r w:rsidRPr="00A275E2">
        <w:rPr>
          <w:rFonts w:cstheme="minorBidi"/>
          <w:szCs w:val="22"/>
        </w:rPr>
        <w:t>than the standard primary combinations, and that it is the duration of treatment, not the dose, that has the largest influence on the treatment outcome.</w:t>
      </w:r>
    </w:p>
    <w:p w14:paraId="1548D022" w14:textId="77777777" w:rsidR="00F200CA" w:rsidRPr="00A275E2" w:rsidRDefault="00F200CA" w:rsidP="00BA0600">
      <w:pPr>
        <w:pStyle w:val="PHEBulletpoint"/>
        <w:numPr>
          <w:ilvl w:val="0"/>
          <w:numId w:val="0"/>
        </w:numPr>
        <w:contextualSpacing w:val="0"/>
        <w:rPr>
          <w:rFonts w:cstheme="minorBidi"/>
          <w:szCs w:val="22"/>
        </w:rPr>
      </w:pPr>
    </w:p>
    <w:p w14:paraId="256552B0" w14:textId="60ECE57E" w:rsidR="00F200CA" w:rsidRPr="00A275E2" w:rsidRDefault="00F200CA" w:rsidP="00F200CA">
      <w:pPr>
        <w:pStyle w:val="PHEBulletpoint"/>
        <w:numPr>
          <w:ilvl w:val="0"/>
          <w:numId w:val="39"/>
        </w:numPr>
        <w:rPr>
          <w:rFonts w:cstheme="minorBidi"/>
          <w:szCs w:val="22"/>
        </w:rPr>
      </w:pPr>
      <w:bookmarkStart w:id="49" w:name="Reference43"/>
      <w:bookmarkEnd w:id="49"/>
      <w:r w:rsidRPr="00A275E2">
        <w:rPr>
          <w:rFonts w:cstheme="minorBidi"/>
          <w:szCs w:val="22"/>
        </w:rPr>
        <w:t xml:space="preserve">Song M, Ang TL. Second and third line treatment options for </w:t>
      </w:r>
      <w:r w:rsidRPr="00A275E2">
        <w:rPr>
          <w:rFonts w:cstheme="minorBidi"/>
          <w:i/>
          <w:szCs w:val="22"/>
        </w:rPr>
        <w:t>Helicobacter pylori</w:t>
      </w:r>
      <w:r w:rsidRPr="00A275E2">
        <w:rPr>
          <w:rFonts w:cstheme="minorBidi"/>
          <w:szCs w:val="22"/>
        </w:rPr>
        <w:t xml:space="preserve"> eradication. </w:t>
      </w:r>
      <w:r w:rsidRPr="00A275E2">
        <w:rPr>
          <w:rFonts w:cstheme="minorBidi"/>
          <w:i/>
          <w:szCs w:val="22"/>
        </w:rPr>
        <w:t xml:space="preserve">World J </w:t>
      </w:r>
      <w:proofErr w:type="spellStart"/>
      <w:r w:rsidRPr="00A275E2">
        <w:rPr>
          <w:rFonts w:cstheme="minorBidi"/>
          <w:i/>
          <w:szCs w:val="22"/>
        </w:rPr>
        <w:t>Gastroenterol</w:t>
      </w:r>
      <w:proofErr w:type="spellEnd"/>
      <w:r w:rsidRPr="00A275E2">
        <w:rPr>
          <w:rFonts w:cstheme="minorBidi"/>
          <w:szCs w:val="22"/>
        </w:rPr>
        <w:t xml:space="preserve">. 2014 Feb; 20(6):1517-1528. Available from: </w:t>
      </w:r>
      <w:hyperlink r:id="rId76" w:history="1">
        <w:r w:rsidRPr="00A275E2">
          <w:rPr>
            <w:rStyle w:val="Hyperlink"/>
            <w:rFonts w:cstheme="minorBidi"/>
            <w:szCs w:val="22"/>
            <w:u w:val="none"/>
          </w:rPr>
          <w:t>http://www.ncbi.nlm.nih.gov/pmc/articles/PMC3925860/</w:t>
        </w:r>
      </w:hyperlink>
      <w:r w:rsidRPr="00A275E2">
        <w:rPr>
          <w:rFonts w:cstheme="minorBidi"/>
          <w:szCs w:val="22"/>
        </w:rPr>
        <w:t>.</w:t>
      </w:r>
    </w:p>
    <w:p w14:paraId="4CA24764" w14:textId="6B7B0A12" w:rsidR="00097412" w:rsidRPr="00A275E2" w:rsidRDefault="00F200CA" w:rsidP="00F82363">
      <w:pPr>
        <w:pStyle w:val="PHEBulletpoint"/>
        <w:numPr>
          <w:ilvl w:val="0"/>
          <w:numId w:val="0"/>
        </w:numPr>
        <w:ind w:left="720"/>
        <w:rPr>
          <w:rFonts w:cstheme="minorBidi"/>
          <w:szCs w:val="22"/>
        </w:rPr>
      </w:pPr>
      <w:r w:rsidRPr="000927FF">
        <w:rPr>
          <w:rFonts w:cstheme="minorBidi"/>
          <w:szCs w:val="22"/>
        </w:rPr>
        <w:t>RATIONALE:</w:t>
      </w:r>
      <w:r w:rsidRPr="00A275E2">
        <w:rPr>
          <w:rFonts w:cstheme="minorBidi"/>
          <w:szCs w:val="22"/>
        </w:rPr>
        <w:t xml:space="preserve"> A review article discussing the factors contributing to treatment failure, and reviewing the second- and third-line treatment strategies that have been investigated. This article suggests that antibiotic susceptibility testing should be conducted in the event of two treatment failures, as the choices of empiric</w:t>
      </w:r>
      <w:r w:rsidR="00F82363">
        <w:rPr>
          <w:rFonts w:cstheme="minorBidi"/>
          <w:szCs w:val="22"/>
        </w:rPr>
        <w:t>al antibiotics become much more</w:t>
      </w:r>
    </w:p>
    <w:p w14:paraId="5755B1AD" w14:textId="103DFB81" w:rsidR="00C20384" w:rsidRPr="00097412" w:rsidRDefault="00F200CA" w:rsidP="00C20384">
      <w:pPr>
        <w:pStyle w:val="PHEBulletpoint"/>
        <w:numPr>
          <w:ilvl w:val="0"/>
          <w:numId w:val="0"/>
        </w:numPr>
        <w:ind w:left="720"/>
        <w:rPr>
          <w:rFonts w:cstheme="minorBidi"/>
          <w:szCs w:val="22"/>
        </w:rPr>
      </w:pPr>
      <w:r w:rsidRPr="00A275E2">
        <w:rPr>
          <w:rFonts w:cstheme="minorBidi"/>
          <w:szCs w:val="22"/>
        </w:rPr>
        <w:t>restricted. Suggested antibiotics f</w:t>
      </w:r>
      <w:r w:rsidR="009938DD" w:rsidRPr="00A275E2">
        <w:rPr>
          <w:rFonts w:cstheme="minorBidi"/>
          <w:szCs w:val="22"/>
        </w:rPr>
        <w:t>or third-line treatment include:</w:t>
      </w:r>
      <w:r w:rsidRPr="00A275E2">
        <w:rPr>
          <w:rFonts w:cstheme="minorBidi"/>
          <w:szCs w:val="22"/>
        </w:rPr>
        <w:t xml:space="preserve"> rifabutin; </w:t>
      </w:r>
      <w:r w:rsidR="009938DD" w:rsidRPr="00A275E2">
        <w:rPr>
          <w:rFonts w:cstheme="minorBidi"/>
          <w:szCs w:val="22"/>
        </w:rPr>
        <w:t xml:space="preserve">rifaximin; </w:t>
      </w:r>
      <w:r w:rsidRPr="00A275E2">
        <w:rPr>
          <w:rFonts w:cstheme="minorBidi"/>
          <w:szCs w:val="22"/>
        </w:rPr>
        <w:t xml:space="preserve">levofloxacin; </w:t>
      </w:r>
      <w:proofErr w:type="spellStart"/>
      <w:r w:rsidRPr="00A275E2">
        <w:rPr>
          <w:rFonts w:cstheme="minorBidi"/>
          <w:szCs w:val="22"/>
        </w:rPr>
        <w:t>sitafloxacin</w:t>
      </w:r>
      <w:proofErr w:type="spellEnd"/>
      <w:r w:rsidRPr="00A275E2">
        <w:rPr>
          <w:rFonts w:cstheme="minorBidi"/>
          <w:szCs w:val="22"/>
        </w:rPr>
        <w:t>.</w:t>
      </w:r>
      <w:r w:rsidR="001C1A64" w:rsidRPr="00A275E2">
        <w:rPr>
          <w:rFonts w:cstheme="minorBidi"/>
          <w:szCs w:val="22"/>
        </w:rPr>
        <w:t xml:space="preserve"> Rifabutin has very high bactericidal activity against </w:t>
      </w:r>
      <w:r w:rsidR="001C1A64" w:rsidRPr="00A275E2">
        <w:rPr>
          <w:rFonts w:cstheme="minorBidi"/>
          <w:i/>
          <w:szCs w:val="22"/>
        </w:rPr>
        <w:t>H. pylori</w:t>
      </w:r>
      <w:r w:rsidR="001C1A64" w:rsidRPr="00A275E2">
        <w:rPr>
          <w:rFonts w:cstheme="minorBidi"/>
          <w:szCs w:val="22"/>
        </w:rPr>
        <w:t xml:space="preserve"> strains, and resistance in </w:t>
      </w:r>
      <w:r w:rsidR="001C1A64" w:rsidRPr="00A275E2">
        <w:rPr>
          <w:rFonts w:cstheme="minorBidi"/>
          <w:i/>
          <w:szCs w:val="22"/>
        </w:rPr>
        <w:t>H. pylori</w:t>
      </w:r>
      <w:r w:rsidR="00E26C1B">
        <w:rPr>
          <w:rFonts w:cstheme="minorBidi"/>
          <w:szCs w:val="22"/>
        </w:rPr>
        <w:t xml:space="preserve"> isolates is low (1.3 to </w:t>
      </w:r>
      <w:r w:rsidR="001C1A64" w:rsidRPr="00A275E2">
        <w:rPr>
          <w:rFonts w:cstheme="minorBidi"/>
          <w:szCs w:val="22"/>
        </w:rPr>
        <w:t xml:space="preserve">2.4%). Two studies (n=434) found that </w:t>
      </w:r>
      <w:r w:rsidR="00097412" w:rsidRPr="00A275E2">
        <w:rPr>
          <w:rFonts w:cstheme="minorBidi"/>
          <w:szCs w:val="22"/>
        </w:rPr>
        <w:t>eradication rates were higher</w:t>
      </w:r>
      <w:r w:rsidR="001C1A64" w:rsidRPr="00A275E2">
        <w:rPr>
          <w:rFonts w:cstheme="minorBidi"/>
          <w:szCs w:val="22"/>
        </w:rPr>
        <w:t xml:space="preserve"> for patients </w:t>
      </w:r>
      <w:r w:rsidR="00097412" w:rsidRPr="00A275E2">
        <w:rPr>
          <w:rFonts w:cstheme="minorBidi"/>
          <w:szCs w:val="22"/>
        </w:rPr>
        <w:t xml:space="preserve">when using rifabutin as “rescue” therapy, after amoxicillin, clarithromycin, metronidazole, tetracycline, and levofloxacin have failed to eradicate </w:t>
      </w:r>
      <w:r w:rsidR="00097412" w:rsidRPr="00A275E2">
        <w:rPr>
          <w:rFonts w:cstheme="minorBidi"/>
          <w:i/>
          <w:szCs w:val="22"/>
        </w:rPr>
        <w:t>H. pylori</w:t>
      </w:r>
      <w:r w:rsidR="009938DD" w:rsidRPr="00A275E2">
        <w:rPr>
          <w:rFonts w:cstheme="minorBidi"/>
          <w:szCs w:val="22"/>
        </w:rPr>
        <w:t>. One study (n=482) has shown that</w:t>
      </w:r>
      <w:r w:rsidR="007028F1" w:rsidRPr="00A275E2">
        <w:rPr>
          <w:rFonts w:cstheme="minorBidi"/>
          <w:szCs w:val="22"/>
        </w:rPr>
        <w:t xml:space="preserve"> rifaximin might have a role in patients who have failed two eradication therapies; however, it does have poor systemic absorption. In levofloxacin-based third-line treatment, 68.38% eradication has been recorded in one study (n=119), where a sequential regimen of PPI and amoxicillin was used for the first five days, then PPI, levofloxacin, and tetracycline was used for the remaining five days. </w:t>
      </w:r>
      <w:proofErr w:type="spellStart"/>
      <w:r w:rsidR="007028F1" w:rsidRPr="00A275E2">
        <w:rPr>
          <w:rFonts w:cstheme="minorBidi"/>
          <w:szCs w:val="22"/>
        </w:rPr>
        <w:t>Sitafloxacin</w:t>
      </w:r>
      <w:proofErr w:type="spellEnd"/>
      <w:r w:rsidR="007028F1" w:rsidRPr="00A275E2">
        <w:rPr>
          <w:rFonts w:cstheme="minorBidi"/>
          <w:szCs w:val="22"/>
        </w:rPr>
        <w:t xml:space="preserve"> has superior activity against </w:t>
      </w:r>
      <w:r w:rsidR="007028F1" w:rsidRPr="00A275E2">
        <w:rPr>
          <w:rFonts w:cstheme="minorBidi"/>
          <w:i/>
          <w:szCs w:val="22"/>
        </w:rPr>
        <w:t>H. pylori</w:t>
      </w:r>
      <w:r w:rsidR="007028F1" w:rsidRPr="00A275E2">
        <w:rPr>
          <w:rFonts w:cstheme="minorBidi"/>
          <w:szCs w:val="22"/>
        </w:rPr>
        <w:t xml:space="preserve"> </w:t>
      </w:r>
      <w:r w:rsidR="007028F1" w:rsidRPr="00D26DCE">
        <w:rPr>
          <w:rFonts w:cstheme="minorBidi"/>
          <w:szCs w:val="22"/>
        </w:rPr>
        <w:t xml:space="preserve">with </w:t>
      </w:r>
      <w:proofErr w:type="spellStart"/>
      <w:r w:rsidR="007028F1" w:rsidRPr="00D26DCE">
        <w:rPr>
          <w:rFonts w:cstheme="minorBidi"/>
          <w:szCs w:val="22"/>
        </w:rPr>
        <w:t>gyrA</w:t>
      </w:r>
      <w:proofErr w:type="spellEnd"/>
      <w:r w:rsidR="007028F1" w:rsidRPr="00D26DCE">
        <w:rPr>
          <w:rFonts w:cstheme="minorBidi"/>
          <w:szCs w:val="22"/>
        </w:rPr>
        <w:t xml:space="preserve"> </w:t>
      </w:r>
      <w:r w:rsidR="007028F1" w:rsidRPr="00A275E2">
        <w:rPr>
          <w:rFonts w:cstheme="minorBidi"/>
          <w:szCs w:val="22"/>
        </w:rPr>
        <w:t xml:space="preserve">mutations, and </w:t>
      </w:r>
      <w:r w:rsidR="00C20384" w:rsidRPr="00A275E2">
        <w:rPr>
          <w:rFonts w:cstheme="minorBidi"/>
          <w:szCs w:val="22"/>
        </w:rPr>
        <w:t>two studies have shown</w:t>
      </w:r>
      <w:r w:rsidR="007028F1" w:rsidRPr="00A275E2">
        <w:rPr>
          <w:rFonts w:cstheme="minorBidi"/>
          <w:szCs w:val="22"/>
        </w:rPr>
        <w:t xml:space="preserve"> better eradication rates as third-line therapy, compared </w:t>
      </w:r>
      <w:r w:rsidR="00C20384" w:rsidRPr="00A275E2">
        <w:rPr>
          <w:rFonts w:cstheme="minorBidi"/>
          <w:szCs w:val="22"/>
        </w:rPr>
        <w:t>to levofloxacin-based treatment (75%; 78.2%, respectively). The authors conclude that, in the event of treatment failure, the clinician should always check for poor patient compliance due to adverse reactions to the medications, or patient difficulties complying with the therapy regimen. Due to high resistance rates, an effort should be made before starting therapy to confirm if the patient has had several courses of antibiotics for other infections in the past.</w:t>
      </w:r>
    </w:p>
    <w:p w14:paraId="1272EB68" w14:textId="520EE513" w:rsidR="00C20384" w:rsidRPr="007028F1" w:rsidRDefault="00C20384" w:rsidP="00C20384">
      <w:pPr>
        <w:pStyle w:val="PHEBulletpoint"/>
        <w:numPr>
          <w:ilvl w:val="0"/>
          <w:numId w:val="0"/>
        </w:numPr>
        <w:ind w:left="720"/>
        <w:rPr>
          <w:rFonts w:cstheme="minorBidi"/>
          <w:szCs w:val="22"/>
        </w:rPr>
      </w:pPr>
    </w:p>
    <w:p w14:paraId="14CE9541" w14:textId="77777777" w:rsidR="009938DD" w:rsidRDefault="009938DD" w:rsidP="00F200CA">
      <w:pPr>
        <w:pStyle w:val="PHEBulletpoint"/>
        <w:numPr>
          <w:ilvl w:val="0"/>
          <w:numId w:val="0"/>
        </w:numPr>
        <w:ind w:left="720"/>
        <w:rPr>
          <w:rFonts w:cstheme="minorBidi"/>
          <w:szCs w:val="22"/>
        </w:rPr>
      </w:pPr>
    </w:p>
    <w:p w14:paraId="5440983B" w14:textId="77777777" w:rsidR="009938DD" w:rsidRDefault="009938DD" w:rsidP="00F200CA">
      <w:pPr>
        <w:pStyle w:val="PHEBulletpoint"/>
        <w:numPr>
          <w:ilvl w:val="0"/>
          <w:numId w:val="0"/>
        </w:numPr>
        <w:ind w:left="720"/>
        <w:rPr>
          <w:rFonts w:cstheme="minorBidi"/>
          <w:szCs w:val="22"/>
        </w:rPr>
      </w:pPr>
    </w:p>
    <w:p w14:paraId="37ECC7E5" w14:textId="77777777" w:rsidR="00523323" w:rsidRDefault="00523323" w:rsidP="009415BB"/>
    <w:p w14:paraId="11BD74AF" w14:textId="77777777" w:rsidR="00523323" w:rsidRDefault="00523323" w:rsidP="009415BB"/>
    <w:p w14:paraId="2C3224E8" w14:textId="77777777" w:rsidR="00523323" w:rsidRDefault="00523323" w:rsidP="009415BB"/>
    <w:p w14:paraId="1ABEAF20" w14:textId="77777777" w:rsidR="00523323" w:rsidRDefault="00523323" w:rsidP="009415BB"/>
    <w:p w14:paraId="09D701A0" w14:textId="77777777" w:rsidR="00BA0600" w:rsidRPr="00485EFA" w:rsidRDefault="00BA0600" w:rsidP="00F367A9">
      <w:pPr>
        <w:spacing w:line="280" w:lineRule="exact"/>
      </w:pPr>
    </w:p>
    <w:p w14:paraId="3F58E549" w14:textId="7401D142" w:rsidR="0057262C" w:rsidRDefault="0057262C" w:rsidP="007023CA">
      <w:pPr>
        <w:pStyle w:val="PHEHeading"/>
      </w:pPr>
      <w:bookmarkStart w:id="50" w:name="_Toc453254022"/>
    </w:p>
    <w:p w14:paraId="1C497AFE" w14:textId="4A00354B" w:rsidR="00531D26" w:rsidRDefault="00531D26" w:rsidP="00531D26">
      <w:pPr>
        <w:spacing w:line="280" w:lineRule="exact"/>
      </w:pPr>
    </w:p>
    <w:p w14:paraId="050961FB" w14:textId="77777777" w:rsidR="00531D26" w:rsidRDefault="00531D26" w:rsidP="00531D26">
      <w:pPr>
        <w:spacing w:line="280" w:lineRule="exact"/>
      </w:pPr>
    </w:p>
    <w:p w14:paraId="71E9883B" w14:textId="6DCAEACA" w:rsidR="007023CA" w:rsidRPr="007023CA" w:rsidRDefault="00485EFA" w:rsidP="007023CA">
      <w:pPr>
        <w:pStyle w:val="PHEHeading"/>
      </w:pPr>
      <w:r w:rsidRPr="00CB7304">
        <w:t>Acknowledgements</w:t>
      </w:r>
      <w:bookmarkEnd w:id="50"/>
    </w:p>
    <w:p w14:paraId="279A754E" w14:textId="77777777" w:rsidR="00485EFA" w:rsidRPr="00485EFA" w:rsidRDefault="00485EFA" w:rsidP="00D54A68">
      <w:pPr>
        <w:rPr>
          <w:b/>
          <w:color w:val="98002E"/>
          <w:szCs w:val="24"/>
        </w:rPr>
      </w:pPr>
      <w:r w:rsidRPr="00485EFA">
        <w:rPr>
          <w:b/>
          <w:color w:val="98002E"/>
          <w:szCs w:val="24"/>
        </w:rPr>
        <w:t>QUICK REFERENCE GUIDE AUTHORS</w:t>
      </w:r>
    </w:p>
    <w:p w14:paraId="6B92FBAA" w14:textId="77777777" w:rsidR="00485EFA" w:rsidRDefault="00485EFA" w:rsidP="00D54A68"/>
    <w:p w14:paraId="00CD89CB" w14:textId="77777777" w:rsidR="00485EFA" w:rsidRDefault="00485EFA" w:rsidP="00D54A68">
      <w:pPr>
        <w:spacing w:after="120"/>
      </w:pPr>
      <w:r>
        <w:rPr>
          <w:b/>
        </w:rPr>
        <w:t>Prof Cliodna McNulty</w:t>
      </w:r>
      <w:r>
        <w:t>, Head of Primary Care Unit and Honorary Visiting Professor, Public Health England and Cardiff University</w:t>
      </w:r>
    </w:p>
    <w:p w14:paraId="682BECE9" w14:textId="5CF4E2E6" w:rsidR="00485EFA" w:rsidRDefault="00485EFA" w:rsidP="00D54A68">
      <w:pPr>
        <w:spacing w:after="120"/>
      </w:pPr>
      <w:r>
        <w:rPr>
          <w:b/>
        </w:rPr>
        <w:t>Dr Philippa Moore</w:t>
      </w:r>
      <w:r>
        <w:t>, Consultant Microb</w:t>
      </w:r>
      <w:r w:rsidR="005F437A">
        <w:t xml:space="preserve">iologist, Gloucestershire </w:t>
      </w:r>
      <w:r>
        <w:t>Hospital</w:t>
      </w:r>
      <w:r w:rsidR="005F437A">
        <w:t>s NHS Foundation Trust</w:t>
      </w:r>
    </w:p>
    <w:p w14:paraId="782CA160" w14:textId="7AA0C644" w:rsidR="00115A7E" w:rsidRDefault="008A1058" w:rsidP="00D54A68">
      <w:pPr>
        <w:spacing w:after="120"/>
      </w:pPr>
      <w:r>
        <w:rPr>
          <w:b/>
        </w:rPr>
        <w:t xml:space="preserve">Dr </w:t>
      </w:r>
      <w:proofErr w:type="spellStart"/>
      <w:r>
        <w:rPr>
          <w:b/>
        </w:rPr>
        <w:t>Teh</w:t>
      </w:r>
      <w:proofErr w:type="spellEnd"/>
      <w:r>
        <w:rPr>
          <w:b/>
        </w:rPr>
        <w:t xml:space="preserve"> Li Chin</w:t>
      </w:r>
      <w:r>
        <w:t>, Consultant Microbiologist</w:t>
      </w:r>
      <w:r w:rsidR="00115A7E">
        <w:t xml:space="preserve">, </w:t>
      </w:r>
      <w:r w:rsidR="005F437A">
        <w:t>North Bristol NHS Trust</w:t>
      </w:r>
    </w:p>
    <w:p w14:paraId="709C5C98" w14:textId="77777777" w:rsidR="00485EFA" w:rsidRDefault="00485EFA" w:rsidP="00D54A68">
      <w:pPr>
        <w:spacing w:after="120"/>
      </w:pPr>
      <w:r>
        <w:rPr>
          <w:b/>
        </w:rPr>
        <w:t>Dr Gerry Morrow</w:t>
      </w:r>
      <w:r>
        <w:t>, Clinical Editor, Clinical Knowledge Summaries</w:t>
      </w:r>
    </w:p>
    <w:p w14:paraId="3999300D" w14:textId="77777777" w:rsidR="00485EFA" w:rsidRDefault="00D54A68" w:rsidP="00D54A68">
      <w:pPr>
        <w:spacing w:after="120"/>
      </w:pPr>
      <w:r>
        <w:rPr>
          <w:b/>
        </w:rPr>
        <w:t>Sarah Alton</w:t>
      </w:r>
      <w:r w:rsidR="00485EFA">
        <w:t>, Guidance Research Assistant, Public Health England</w:t>
      </w:r>
    </w:p>
    <w:p w14:paraId="414DCB55" w14:textId="77777777" w:rsidR="00485EFA" w:rsidRDefault="00485EFA" w:rsidP="00D54A68"/>
    <w:p w14:paraId="607E575D" w14:textId="77777777" w:rsidR="00485EFA" w:rsidRDefault="00485EFA" w:rsidP="00D54A68">
      <w:pPr>
        <w:rPr>
          <w:b/>
        </w:rPr>
      </w:pPr>
      <w:r w:rsidRPr="00485EFA">
        <w:rPr>
          <w:b/>
          <w:color w:val="98002E"/>
        </w:rPr>
        <w:t>QUICK REFERENCE GUIDE REVIEWERS</w:t>
      </w:r>
    </w:p>
    <w:p w14:paraId="69EA82AB" w14:textId="77777777" w:rsidR="00485EFA" w:rsidRDefault="00485EFA" w:rsidP="00D54A68"/>
    <w:p w14:paraId="6B3468E3" w14:textId="04336509" w:rsidR="00596646" w:rsidRPr="00596646" w:rsidRDefault="00596646" w:rsidP="00E733AF">
      <w:pPr>
        <w:tabs>
          <w:tab w:val="center" w:pos="5159"/>
        </w:tabs>
        <w:spacing w:after="120"/>
      </w:pPr>
      <w:r>
        <w:rPr>
          <w:b/>
        </w:rPr>
        <w:t xml:space="preserve">Dr </w:t>
      </w:r>
      <w:proofErr w:type="spellStart"/>
      <w:r>
        <w:rPr>
          <w:b/>
        </w:rPr>
        <w:t>Mahableshwar</w:t>
      </w:r>
      <w:proofErr w:type="spellEnd"/>
      <w:r>
        <w:rPr>
          <w:b/>
        </w:rPr>
        <w:t xml:space="preserve"> </w:t>
      </w:r>
      <w:proofErr w:type="spellStart"/>
      <w:r>
        <w:rPr>
          <w:b/>
        </w:rPr>
        <w:t>Albur</w:t>
      </w:r>
      <w:proofErr w:type="spellEnd"/>
      <w:r>
        <w:t>, Consultant Microbiologist, North Bristol NHS Trust</w:t>
      </w:r>
    </w:p>
    <w:p w14:paraId="2AEADF39" w14:textId="13FA0F04" w:rsidR="00E8443B" w:rsidRPr="00E8443B" w:rsidRDefault="00E8443B" w:rsidP="00E733AF">
      <w:pPr>
        <w:tabs>
          <w:tab w:val="center" w:pos="5159"/>
        </w:tabs>
        <w:spacing w:after="120"/>
      </w:pPr>
      <w:r>
        <w:rPr>
          <w:b/>
        </w:rPr>
        <w:t xml:space="preserve">Alice </w:t>
      </w:r>
      <w:proofErr w:type="spellStart"/>
      <w:r>
        <w:rPr>
          <w:b/>
        </w:rPr>
        <w:t>Alcock</w:t>
      </w:r>
      <w:proofErr w:type="spellEnd"/>
      <w:r>
        <w:t>, Senior Biomedical Scientist, University Hospitals of North Staffordshire NHS Trust</w:t>
      </w:r>
    </w:p>
    <w:p w14:paraId="52832AC5" w14:textId="74DDF49E" w:rsidR="00393263" w:rsidRPr="00393263" w:rsidRDefault="00393263" w:rsidP="00E733AF">
      <w:pPr>
        <w:tabs>
          <w:tab w:val="center" w:pos="5159"/>
        </w:tabs>
        <w:spacing w:after="120"/>
      </w:pPr>
      <w:r>
        <w:rPr>
          <w:b/>
        </w:rPr>
        <w:t>Ana Alves</w:t>
      </w:r>
      <w:r>
        <w:t>, Medicines Manager, Somerset C</w:t>
      </w:r>
      <w:r w:rsidR="006C6BDB">
        <w:t>linical Commissioning Group</w:t>
      </w:r>
    </w:p>
    <w:p w14:paraId="77630A3B" w14:textId="0FF06F3F" w:rsidR="00E733AF" w:rsidRPr="00E733AF" w:rsidRDefault="008A1058" w:rsidP="00E733AF">
      <w:pPr>
        <w:tabs>
          <w:tab w:val="center" w:pos="5159"/>
        </w:tabs>
        <w:spacing w:after="120"/>
      </w:pPr>
      <w:r>
        <w:rPr>
          <w:b/>
        </w:rPr>
        <w:t>Prof John Atherton</w:t>
      </w:r>
      <w:r w:rsidR="00E733AF">
        <w:t xml:space="preserve">, </w:t>
      </w:r>
      <w:r>
        <w:t>Professor of Gastroenterology, University of Nottingham</w:t>
      </w:r>
    </w:p>
    <w:p w14:paraId="63105A0B" w14:textId="172929B1" w:rsidR="00596646" w:rsidRPr="00596646" w:rsidRDefault="00596646" w:rsidP="00D54A68">
      <w:pPr>
        <w:spacing w:after="120"/>
      </w:pPr>
      <w:r>
        <w:rPr>
          <w:b/>
        </w:rPr>
        <w:t>Elizabeth Beech</w:t>
      </w:r>
      <w:r>
        <w:t>, Prescribing Advisor, NHS Bath and North East Somerset Clinical Commissioning Group</w:t>
      </w:r>
    </w:p>
    <w:p w14:paraId="4D495F81" w14:textId="0A2542DF" w:rsidR="00393263" w:rsidRPr="00393263" w:rsidRDefault="00393263" w:rsidP="00D54A68">
      <w:pPr>
        <w:spacing w:after="120"/>
      </w:pPr>
      <w:r>
        <w:rPr>
          <w:b/>
        </w:rPr>
        <w:t>Claire Brandish</w:t>
      </w:r>
      <w:r>
        <w:t>, Anti-</w:t>
      </w:r>
      <w:proofErr w:type="spellStart"/>
      <w:r>
        <w:t>Infectives</w:t>
      </w:r>
      <w:proofErr w:type="spellEnd"/>
      <w:r>
        <w:t xml:space="preserve"> Pharmacist, Buckinghamshire Healthcare NHS Trust</w:t>
      </w:r>
    </w:p>
    <w:p w14:paraId="2ADA1DEF" w14:textId="26F64A6D" w:rsidR="00E8443B" w:rsidRPr="00E8443B" w:rsidRDefault="00E8443B" w:rsidP="00D54A68">
      <w:pPr>
        <w:spacing w:after="120"/>
      </w:pPr>
      <w:r>
        <w:rPr>
          <w:b/>
        </w:rPr>
        <w:t xml:space="preserve">Dr John </w:t>
      </w:r>
      <w:proofErr w:type="spellStart"/>
      <w:r>
        <w:rPr>
          <w:b/>
        </w:rPr>
        <w:t>Cheesbrough</w:t>
      </w:r>
      <w:proofErr w:type="spellEnd"/>
      <w:r>
        <w:t>, Consultant Microbiologist, Teaching Hospitals NHS Foundation Trust</w:t>
      </w:r>
    </w:p>
    <w:p w14:paraId="6D9D681C" w14:textId="22A71B23" w:rsidR="000F71CC" w:rsidRPr="000F71CC" w:rsidRDefault="000F71CC" w:rsidP="00D54A68">
      <w:pPr>
        <w:spacing w:after="120"/>
      </w:pPr>
      <w:r>
        <w:rPr>
          <w:b/>
        </w:rPr>
        <w:t>EY Cheung</w:t>
      </w:r>
      <w:r>
        <w:t>, Deputy Head of Medicines Management, NHS Camden Clinical Commissioning Group</w:t>
      </w:r>
    </w:p>
    <w:p w14:paraId="42B7B98D" w14:textId="4DB11936" w:rsidR="00596646" w:rsidRPr="00596646" w:rsidRDefault="00596646" w:rsidP="00D54A68">
      <w:pPr>
        <w:spacing w:after="120"/>
      </w:pPr>
      <w:r>
        <w:rPr>
          <w:b/>
        </w:rPr>
        <w:t>Dr David Clements</w:t>
      </w:r>
      <w:r w:rsidR="000F71CC">
        <w:t>, Consultant Physician/</w:t>
      </w:r>
      <w:r>
        <w:t>Gastroenterologis</w:t>
      </w:r>
      <w:r w:rsidR="00C55FDF">
        <w:t>t, Airedale NHS Foundation Trust</w:t>
      </w:r>
    </w:p>
    <w:p w14:paraId="7202A9B3" w14:textId="6F3D34E8" w:rsidR="00596646" w:rsidRPr="00596646" w:rsidRDefault="00596646" w:rsidP="00D54A68">
      <w:pPr>
        <w:spacing w:after="120"/>
      </w:pPr>
      <w:r>
        <w:rPr>
          <w:b/>
        </w:rPr>
        <w:t xml:space="preserve">Alison </w:t>
      </w:r>
      <w:proofErr w:type="spellStart"/>
      <w:r>
        <w:rPr>
          <w:b/>
        </w:rPr>
        <w:t>Dossetter</w:t>
      </w:r>
      <w:proofErr w:type="spellEnd"/>
      <w:r>
        <w:t>, Senior Pharmaceutical Advisor, NHS East and North Hertfordshire Clinical Commissioning Group</w:t>
      </w:r>
    </w:p>
    <w:p w14:paraId="5178FC30" w14:textId="2B75FC3B" w:rsidR="00E8443B" w:rsidRPr="00E8443B" w:rsidRDefault="00E8443B" w:rsidP="00D54A68">
      <w:pPr>
        <w:spacing w:after="120"/>
      </w:pPr>
      <w:r>
        <w:rPr>
          <w:b/>
        </w:rPr>
        <w:t>Dr Paul Edelstein</w:t>
      </w:r>
      <w:r>
        <w:t>, Director of Clinical Microbiology, Hospital of the University of Pennsylvania</w:t>
      </w:r>
    </w:p>
    <w:p w14:paraId="4D3DA868" w14:textId="32BF59C4" w:rsidR="00414651" w:rsidRPr="00414651" w:rsidRDefault="00414651" w:rsidP="00D54A68">
      <w:pPr>
        <w:spacing w:after="120"/>
      </w:pPr>
      <w:r>
        <w:rPr>
          <w:b/>
        </w:rPr>
        <w:t>Prof Emad El-Omar</w:t>
      </w:r>
      <w:r>
        <w:t>, Professor of Gastroenterology, Aberdeen University</w:t>
      </w:r>
    </w:p>
    <w:p w14:paraId="781C7C0F" w14:textId="146D5130" w:rsidR="00505945" w:rsidRPr="00505945" w:rsidRDefault="00505945" w:rsidP="00D54A68">
      <w:pPr>
        <w:spacing w:after="120"/>
      </w:pPr>
      <w:r>
        <w:rPr>
          <w:b/>
        </w:rPr>
        <w:t>Dr Keith George</w:t>
      </w:r>
      <w:r>
        <w:t>, Senior Consultant Gastroenterologist, Torbay and South Devon NHS Foundation Trust</w:t>
      </w:r>
    </w:p>
    <w:p w14:paraId="356A542A" w14:textId="6211D7A3" w:rsidR="0075536A" w:rsidRPr="0075536A" w:rsidRDefault="0075536A" w:rsidP="00D54A68">
      <w:pPr>
        <w:spacing w:after="120"/>
      </w:pPr>
      <w:r>
        <w:rPr>
          <w:b/>
        </w:rPr>
        <w:t xml:space="preserve">Dr Gauri </w:t>
      </w:r>
      <w:proofErr w:type="spellStart"/>
      <w:r>
        <w:rPr>
          <w:b/>
        </w:rPr>
        <w:t>Godbole</w:t>
      </w:r>
      <w:proofErr w:type="spellEnd"/>
      <w:r>
        <w:t>, Consultant Medical Microbiologist, Public Health England</w:t>
      </w:r>
    </w:p>
    <w:p w14:paraId="64A3CBEF" w14:textId="55F1B99B" w:rsidR="0055534C" w:rsidRPr="0055534C" w:rsidRDefault="0055534C" w:rsidP="00D54A68">
      <w:pPr>
        <w:spacing w:after="120"/>
      </w:pPr>
      <w:r>
        <w:rPr>
          <w:b/>
        </w:rPr>
        <w:t xml:space="preserve">Dr </w:t>
      </w:r>
      <w:r w:rsidR="008A1058">
        <w:rPr>
          <w:b/>
        </w:rPr>
        <w:t>Andrew Goddard</w:t>
      </w:r>
      <w:r>
        <w:t xml:space="preserve">, Consultant </w:t>
      </w:r>
      <w:r w:rsidR="008A1058">
        <w:t>Gastr</w:t>
      </w:r>
      <w:r w:rsidR="0075536A">
        <w:t>oenterologist, Royal College of Physicians</w:t>
      </w:r>
    </w:p>
    <w:p w14:paraId="37A59667" w14:textId="7E8A27F6" w:rsidR="00E8443B" w:rsidRPr="00E8443B" w:rsidRDefault="00E8443B" w:rsidP="00B67AEC">
      <w:pPr>
        <w:spacing w:after="120"/>
      </w:pPr>
      <w:r>
        <w:rPr>
          <w:b/>
        </w:rPr>
        <w:t>Dr Stephen Grainger</w:t>
      </w:r>
      <w:r>
        <w:t>, Consultant Gastroenterologist, Spire Roding Hospital</w:t>
      </w:r>
    </w:p>
    <w:p w14:paraId="152BFAEF" w14:textId="509CA947" w:rsidR="00E8443B" w:rsidRPr="00E8443B" w:rsidRDefault="00E8443B" w:rsidP="00B67AEC">
      <w:pPr>
        <w:spacing w:after="120"/>
      </w:pPr>
      <w:r>
        <w:rPr>
          <w:b/>
        </w:rPr>
        <w:t>Dr Katherine Groves</w:t>
      </w:r>
      <w:r>
        <w:t xml:space="preserve">, Consultant Microbiologist, </w:t>
      </w:r>
      <w:proofErr w:type="spellStart"/>
      <w:r>
        <w:t>Homerton</w:t>
      </w:r>
      <w:proofErr w:type="spellEnd"/>
      <w:r>
        <w:t xml:space="preserve"> University Hospital Foundation Trust</w:t>
      </w:r>
    </w:p>
    <w:p w14:paraId="27C244AC" w14:textId="4F2753E5" w:rsidR="00EE13D3" w:rsidRPr="00EE13D3" w:rsidRDefault="00EE13D3" w:rsidP="00B67AEC">
      <w:pPr>
        <w:spacing w:after="120"/>
      </w:pPr>
      <w:r>
        <w:rPr>
          <w:b/>
        </w:rPr>
        <w:t>Jyoti Gupta</w:t>
      </w:r>
      <w:r>
        <w:t>, Senior Prescribing Advisor, NHS Camden Clinical Commissioning Group</w:t>
      </w:r>
    </w:p>
    <w:p w14:paraId="19D366C4" w14:textId="77777777" w:rsidR="00393263" w:rsidRPr="00393263" w:rsidRDefault="00393263" w:rsidP="00393263">
      <w:pPr>
        <w:spacing w:after="120" w:line="280" w:lineRule="exact"/>
      </w:pPr>
    </w:p>
    <w:p w14:paraId="0C2B73BE" w14:textId="2A2C3A50" w:rsidR="00245DD2" w:rsidRPr="00245DD2" w:rsidRDefault="00596646" w:rsidP="000F71CC">
      <w:pPr>
        <w:spacing w:after="120"/>
      </w:pPr>
      <w:r>
        <w:rPr>
          <w:b/>
        </w:rPr>
        <w:t>Dr Diane Harris</w:t>
      </w:r>
      <w:r>
        <w:t>, Lead Antimicrobial Pharmacist, NHS Southern Derbyshire Clinical Commissioning Group</w:t>
      </w:r>
    </w:p>
    <w:p w14:paraId="156F3D74" w14:textId="716A04DD" w:rsidR="00EE13D3" w:rsidRPr="000F71CC" w:rsidRDefault="007023CA" w:rsidP="000F71CC">
      <w:pPr>
        <w:spacing w:after="120"/>
      </w:pPr>
      <w:r>
        <w:rPr>
          <w:b/>
        </w:rPr>
        <w:t>Dr Brendan Healy</w:t>
      </w:r>
      <w:r>
        <w:t>, Consultant in Microbiology and Infectious Diseases, Public Health England</w:t>
      </w:r>
    </w:p>
    <w:p w14:paraId="4FBC9CFA" w14:textId="3DA5F2C7" w:rsidR="00596646" w:rsidRPr="00596646" w:rsidRDefault="00596646" w:rsidP="00B67AEC">
      <w:pPr>
        <w:spacing w:after="120"/>
      </w:pPr>
      <w:r>
        <w:rPr>
          <w:b/>
        </w:rPr>
        <w:t xml:space="preserve">Dr Mathis </w:t>
      </w:r>
      <w:proofErr w:type="spellStart"/>
      <w:r>
        <w:rPr>
          <w:b/>
        </w:rPr>
        <w:t>Heydtmann</w:t>
      </w:r>
      <w:proofErr w:type="spellEnd"/>
      <w:r>
        <w:t xml:space="preserve">, Consultant </w:t>
      </w:r>
      <w:proofErr w:type="spellStart"/>
      <w:r>
        <w:t>Hepatologist</w:t>
      </w:r>
      <w:proofErr w:type="spellEnd"/>
      <w:r>
        <w:t xml:space="preserve"> and Gastroen</w:t>
      </w:r>
      <w:r w:rsidR="00C55FDF">
        <w:t xml:space="preserve">terologist, NHS Greater Glasgow </w:t>
      </w:r>
      <w:r>
        <w:t>and Clyde</w:t>
      </w:r>
    </w:p>
    <w:p w14:paraId="16ED62A0" w14:textId="499E6815" w:rsidR="00E8443B" w:rsidRPr="00E8443B" w:rsidRDefault="00E8443B" w:rsidP="00B67AEC">
      <w:pPr>
        <w:spacing w:after="120"/>
      </w:pPr>
      <w:r>
        <w:rPr>
          <w:b/>
        </w:rPr>
        <w:t>Dr Simon Hill</w:t>
      </w:r>
      <w:r>
        <w:t>, Consultant Microbiologist/Director of Infection Prevention and Control, Poole Hospital NHS Foundation Trust</w:t>
      </w:r>
    </w:p>
    <w:p w14:paraId="2516DB71" w14:textId="40946291" w:rsidR="00E8443B" w:rsidRPr="00E8443B" w:rsidRDefault="00E8443B" w:rsidP="00B67AEC">
      <w:pPr>
        <w:spacing w:after="120"/>
      </w:pPr>
      <w:r>
        <w:rPr>
          <w:b/>
        </w:rPr>
        <w:t>Prof Amanda Howe</w:t>
      </w:r>
      <w:r>
        <w:t>, Professor of Primary Care, University of East Anglia</w:t>
      </w:r>
    </w:p>
    <w:p w14:paraId="7097D802" w14:textId="63441E09" w:rsidR="00393263" w:rsidRPr="00393263" w:rsidRDefault="00393263" w:rsidP="00B67AEC">
      <w:pPr>
        <w:spacing w:after="120"/>
      </w:pPr>
      <w:r>
        <w:rPr>
          <w:b/>
        </w:rPr>
        <w:t xml:space="preserve">Salma </w:t>
      </w:r>
      <w:proofErr w:type="spellStart"/>
      <w:r>
        <w:rPr>
          <w:b/>
        </w:rPr>
        <w:t>Jalil</w:t>
      </w:r>
      <w:proofErr w:type="spellEnd"/>
      <w:r>
        <w:t>, Primary Care Pharmacist, NHS Bromley C</w:t>
      </w:r>
      <w:r w:rsidR="006C6BDB">
        <w:t>linical Commissioning Group</w:t>
      </w:r>
    </w:p>
    <w:p w14:paraId="1A23ADE2" w14:textId="538C0A3B" w:rsidR="00596646" w:rsidRPr="00596646" w:rsidRDefault="00596646" w:rsidP="00B67AEC">
      <w:pPr>
        <w:spacing w:after="120"/>
      </w:pPr>
      <w:r>
        <w:rPr>
          <w:b/>
        </w:rPr>
        <w:t xml:space="preserve">Dr </w:t>
      </w:r>
      <w:proofErr w:type="spellStart"/>
      <w:r>
        <w:rPr>
          <w:b/>
        </w:rPr>
        <w:t>Subash</w:t>
      </w:r>
      <w:proofErr w:type="spellEnd"/>
      <w:r>
        <w:rPr>
          <w:b/>
        </w:rPr>
        <w:t xml:space="preserve"> Jayakumar</w:t>
      </w:r>
      <w:r>
        <w:t>, General Practitioner, NHS Brent Clinical Commissioning Group</w:t>
      </w:r>
    </w:p>
    <w:p w14:paraId="25F87138" w14:textId="1F050F38" w:rsidR="00693724" w:rsidRPr="00693724" w:rsidRDefault="00693724" w:rsidP="00B67AEC">
      <w:pPr>
        <w:spacing w:after="120"/>
      </w:pPr>
      <w:r>
        <w:rPr>
          <w:b/>
        </w:rPr>
        <w:t>Dr Gina Johnson</w:t>
      </w:r>
      <w:r>
        <w:t>, Clinical Tutor, National Minor Illness Centre</w:t>
      </w:r>
    </w:p>
    <w:p w14:paraId="7B1EC2B3" w14:textId="7D6B42C4" w:rsidR="00E8443B" w:rsidRPr="00E8443B" w:rsidRDefault="00E8443B" w:rsidP="00B67AEC">
      <w:pPr>
        <w:spacing w:after="120"/>
      </w:pPr>
      <w:r>
        <w:rPr>
          <w:b/>
        </w:rPr>
        <w:t>Hannah Jones</w:t>
      </w:r>
      <w:r>
        <w:t xml:space="preserve">, Practice Pharmacist, </w:t>
      </w:r>
      <w:proofErr w:type="spellStart"/>
      <w:r>
        <w:t>IntraHealth</w:t>
      </w:r>
      <w:proofErr w:type="spellEnd"/>
    </w:p>
    <w:p w14:paraId="503BB8A3" w14:textId="6020F3C3" w:rsidR="00596646" w:rsidRPr="00596646" w:rsidRDefault="00596646" w:rsidP="00B67AEC">
      <w:pPr>
        <w:spacing w:after="120"/>
      </w:pPr>
      <w:r>
        <w:rPr>
          <w:b/>
        </w:rPr>
        <w:t xml:space="preserve">Dr </w:t>
      </w:r>
      <w:proofErr w:type="spellStart"/>
      <w:r>
        <w:rPr>
          <w:b/>
        </w:rPr>
        <w:t>Priya</w:t>
      </w:r>
      <w:proofErr w:type="spellEnd"/>
      <w:r>
        <w:rPr>
          <w:b/>
        </w:rPr>
        <w:t xml:space="preserve"> Khanna</w:t>
      </w:r>
      <w:r>
        <w:t>, Consultant Microbiologist, London North West Healthcare NHS Trust</w:t>
      </w:r>
    </w:p>
    <w:p w14:paraId="0FABEDAA" w14:textId="693E66A6" w:rsidR="00952823" w:rsidRPr="00952823" w:rsidRDefault="00952823" w:rsidP="00B67AEC">
      <w:pPr>
        <w:spacing w:after="120"/>
      </w:pPr>
      <w:r>
        <w:rPr>
          <w:b/>
        </w:rPr>
        <w:t>Suzanne Lever</w:t>
      </w:r>
      <w:r>
        <w:t>, Pharmaceutical Advisor, Barnet Clinical Commissioning Group</w:t>
      </w:r>
    </w:p>
    <w:p w14:paraId="21312E37" w14:textId="336E531B" w:rsidR="00596646" w:rsidRPr="00596646" w:rsidRDefault="00596646" w:rsidP="00B67AEC">
      <w:pPr>
        <w:spacing w:after="120"/>
      </w:pPr>
      <w:r>
        <w:rPr>
          <w:b/>
        </w:rPr>
        <w:t>Michelle Liddy</w:t>
      </w:r>
      <w:r>
        <w:t>, Regional Technical Advisor, National Institute</w:t>
      </w:r>
      <w:r w:rsidR="00F45F7A">
        <w:t xml:space="preserve"> for Health and Care Excellence</w:t>
      </w:r>
    </w:p>
    <w:p w14:paraId="70DB8A61" w14:textId="30ECA8DA" w:rsidR="00596646" w:rsidRPr="00596646" w:rsidRDefault="00596646" w:rsidP="00B67AEC">
      <w:pPr>
        <w:spacing w:after="120"/>
      </w:pPr>
      <w:r>
        <w:rPr>
          <w:b/>
        </w:rPr>
        <w:t>Hao Lu</w:t>
      </w:r>
      <w:r>
        <w:t>, Pharmacy Manager, United Family Healthcare</w:t>
      </w:r>
    </w:p>
    <w:p w14:paraId="447B6C44" w14:textId="5B35D4C5" w:rsidR="00505945" w:rsidRPr="00505945" w:rsidRDefault="00505945" w:rsidP="00B67AEC">
      <w:pPr>
        <w:spacing w:after="120"/>
      </w:pPr>
      <w:proofErr w:type="spellStart"/>
      <w:r>
        <w:rPr>
          <w:b/>
        </w:rPr>
        <w:t>Ayuen</w:t>
      </w:r>
      <w:proofErr w:type="spellEnd"/>
      <w:r>
        <w:rPr>
          <w:b/>
        </w:rPr>
        <w:t xml:space="preserve"> </w:t>
      </w:r>
      <w:proofErr w:type="spellStart"/>
      <w:r>
        <w:rPr>
          <w:b/>
        </w:rPr>
        <w:t>Lual</w:t>
      </w:r>
      <w:proofErr w:type="spellEnd"/>
      <w:r>
        <w:t>, Features Editor, Society for Applied Microbiology</w:t>
      </w:r>
    </w:p>
    <w:p w14:paraId="3E715E83" w14:textId="23C5A870" w:rsidR="00596646" w:rsidRPr="00596646" w:rsidRDefault="00596646" w:rsidP="00B67AEC">
      <w:pPr>
        <w:spacing w:after="120"/>
      </w:pPr>
      <w:r>
        <w:rPr>
          <w:b/>
        </w:rPr>
        <w:t xml:space="preserve">Brian </w:t>
      </w:r>
      <w:proofErr w:type="spellStart"/>
      <w:r>
        <w:rPr>
          <w:b/>
        </w:rPr>
        <w:t>MacKenna</w:t>
      </w:r>
      <w:proofErr w:type="spellEnd"/>
      <w:r>
        <w:t>, Deputy Head of Medicines Management, NHS Islington Clinical Commissioning Group</w:t>
      </w:r>
    </w:p>
    <w:p w14:paraId="38470E30" w14:textId="10784A9F" w:rsidR="00C55FDF" w:rsidRPr="00C55FDF" w:rsidRDefault="00C55FDF" w:rsidP="00B67AEC">
      <w:pPr>
        <w:spacing w:after="120"/>
      </w:pPr>
      <w:r>
        <w:rPr>
          <w:b/>
        </w:rPr>
        <w:t xml:space="preserve">Dr Sarah </w:t>
      </w:r>
      <w:proofErr w:type="spellStart"/>
      <w:r>
        <w:rPr>
          <w:b/>
        </w:rPr>
        <w:t>Meisner</w:t>
      </w:r>
      <w:proofErr w:type="spellEnd"/>
      <w:r>
        <w:t>, Consultant Microbiologi</w:t>
      </w:r>
      <w:r w:rsidR="00245DD2">
        <w:t xml:space="preserve">st, Royal United Hospitals </w:t>
      </w:r>
      <w:r>
        <w:t>NHS Foundation Trust</w:t>
      </w:r>
    </w:p>
    <w:p w14:paraId="5A561DD3" w14:textId="3B6D0A4B" w:rsidR="005F437A" w:rsidRPr="005F437A" w:rsidRDefault="005F437A" w:rsidP="00B67AEC">
      <w:pPr>
        <w:spacing w:after="120"/>
      </w:pPr>
      <w:r>
        <w:rPr>
          <w:b/>
        </w:rPr>
        <w:t>Dr Alastair Miller</w:t>
      </w:r>
      <w:r>
        <w:t xml:space="preserve">, Consultant Physicians, Royal Liverpool and </w:t>
      </w:r>
      <w:proofErr w:type="spellStart"/>
      <w:proofErr w:type="gramStart"/>
      <w:r>
        <w:t>Broadgreen</w:t>
      </w:r>
      <w:proofErr w:type="spellEnd"/>
      <w:r>
        <w:t xml:space="preserve">  University</w:t>
      </w:r>
      <w:proofErr w:type="gramEnd"/>
      <w:r>
        <w:t xml:space="preserve"> Hospitals NHS Trust</w:t>
      </w:r>
    </w:p>
    <w:p w14:paraId="14E10B85" w14:textId="5562FC61" w:rsidR="00E8443B" w:rsidRPr="00E8443B" w:rsidRDefault="00E8443B" w:rsidP="00B67AEC">
      <w:pPr>
        <w:spacing w:after="120"/>
      </w:pPr>
      <w:r>
        <w:rPr>
          <w:b/>
        </w:rPr>
        <w:t xml:space="preserve">Layla </w:t>
      </w:r>
      <w:proofErr w:type="spellStart"/>
      <w:r>
        <w:rPr>
          <w:b/>
        </w:rPr>
        <w:t>Mohammadi</w:t>
      </w:r>
      <w:proofErr w:type="spellEnd"/>
      <w:r>
        <w:t>, Lead Pharmacist – Antimicrobials, Lewisham and Greenwich NHS Trust</w:t>
      </w:r>
    </w:p>
    <w:p w14:paraId="0DA1CF85" w14:textId="6A2331E6" w:rsidR="00393263" w:rsidRPr="00393263" w:rsidRDefault="00393263" w:rsidP="00B67AEC">
      <w:pPr>
        <w:spacing w:after="120"/>
      </w:pPr>
      <w:r>
        <w:rPr>
          <w:b/>
        </w:rPr>
        <w:t xml:space="preserve">Dr </w:t>
      </w:r>
      <w:proofErr w:type="spellStart"/>
      <w:r>
        <w:rPr>
          <w:b/>
        </w:rPr>
        <w:t>Busi</w:t>
      </w:r>
      <w:proofErr w:type="spellEnd"/>
      <w:r>
        <w:rPr>
          <w:b/>
        </w:rPr>
        <w:t xml:space="preserve"> </w:t>
      </w:r>
      <w:proofErr w:type="spellStart"/>
      <w:r>
        <w:rPr>
          <w:b/>
        </w:rPr>
        <w:t>Mooka</w:t>
      </w:r>
      <w:proofErr w:type="spellEnd"/>
      <w:r>
        <w:t>, Infectious Diseases Consultant, NHS Tayside</w:t>
      </w:r>
    </w:p>
    <w:p w14:paraId="32950CED" w14:textId="181B1C10" w:rsidR="00596646" w:rsidRPr="00596646" w:rsidRDefault="00596646" w:rsidP="00B67AEC">
      <w:pPr>
        <w:spacing w:after="120"/>
      </w:pPr>
      <w:r>
        <w:rPr>
          <w:b/>
        </w:rPr>
        <w:t xml:space="preserve">Dr </w:t>
      </w:r>
      <w:proofErr w:type="spellStart"/>
      <w:r>
        <w:rPr>
          <w:b/>
        </w:rPr>
        <w:t>Rohinton</w:t>
      </w:r>
      <w:proofErr w:type="spellEnd"/>
      <w:r>
        <w:rPr>
          <w:b/>
        </w:rPr>
        <w:t xml:space="preserve"> </w:t>
      </w:r>
      <w:proofErr w:type="spellStart"/>
      <w:r>
        <w:rPr>
          <w:b/>
        </w:rPr>
        <w:t>Mulla</w:t>
      </w:r>
      <w:proofErr w:type="spellEnd"/>
      <w:r>
        <w:t>, Lead Consultant Medical Microbiologist, Luton and Dunstable Hospital NHS Foundation Trust</w:t>
      </w:r>
    </w:p>
    <w:p w14:paraId="3B3064FB" w14:textId="5705F95A" w:rsidR="00505945" w:rsidRPr="00505945" w:rsidRDefault="00505945" w:rsidP="00B67AEC">
      <w:pPr>
        <w:spacing w:after="120"/>
      </w:pPr>
      <w:r>
        <w:rPr>
          <w:b/>
        </w:rPr>
        <w:t>Dr Aaron Nagar</w:t>
      </w:r>
      <w:r>
        <w:t>, Consultant Microbiologist, Belfast Health and Social Care Trust</w:t>
      </w:r>
    </w:p>
    <w:p w14:paraId="6BACE71A" w14:textId="66D59610" w:rsidR="00E8443B" w:rsidRPr="00E8443B" w:rsidRDefault="00E8443B" w:rsidP="00B67AEC">
      <w:pPr>
        <w:spacing w:after="120"/>
      </w:pPr>
      <w:r>
        <w:rPr>
          <w:b/>
        </w:rPr>
        <w:t xml:space="preserve">Dr John </w:t>
      </w:r>
      <w:proofErr w:type="spellStart"/>
      <w:r>
        <w:rPr>
          <w:b/>
        </w:rPr>
        <w:t>O’Donohue</w:t>
      </w:r>
      <w:proofErr w:type="spellEnd"/>
      <w:r>
        <w:t>, Consultant Physician and Gastroenterologist, Lewisham Healthcare NHS Trust</w:t>
      </w:r>
    </w:p>
    <w:p w14:paraId="17962560" w14:textId="76040FDA" w:rsidR="00E8443B" w:rsidRPr="00E8443B" w:rsidRDefault="00E8443B" w:rsidP="00B67AEC">
      <w:pPr>
        <w:spacing w:after="120"/>
      </w:pPr>
      <w:r>
        <w:rPr>
          <w:b/>
        </w:rPr>
        <w:t>Dr Ewan Olson</w:t>
      </w:r>
      <w:r>
        <w:t>, Consultant Microbiologist, NHS Lothian</w:t>
      </w:r>
    </w:p>
    <w:p w14:paraId="40D053F0" w14:textId="1434B11D" w:rsidR="00505945" w:rsidRPr="00505945" w:rsidRDefault="00505945" w:rsidP="00B67AEC">
      <w:pPr>
        <w:spacing w:after="120"/>
      </w:pPr>
      <w:r>
        <w:rPr>
          <w:b/>
        </w:rPr>
        <w:t>Dr Tamsin Oswald</w:t>
      </w:r>
      <w:r>
        <w:t>, Consultant Microbiologist, Northumbria Healthcare NHS Foundation Trust</w:t>
      </w:r>
    </w:p>
    <w:p w14:paraId="2FC6FCDE" w14:textId="4248F2D5" w:rsidR="00596646" w:rsidRPr="00596646" w:rsidRDefault="00596646" w:rsidP="00B67AEC">
      <w:pPr>
        <w:spacing w:after="120"/>
      </w:pPr>
      <w:r>
        <w:rPr>
          <w:b/>
        </w:rPr>
        <w:t xml:space="preserve">Elizabeth </w:t>
      </w:r>
      <w:proofErr w:type="spellStart"/>
      <w:r>
        <w:rPr>
          <w:b/>
        </w:rPr>
        <w:t>Ozogolu</w:t>
      </w:r>
      <w:proofErr w:type="spellEnd"/>
      <w:r>
        <w:t>, Senior Prescribing Advisor, City and Hackney Clinical Commissioning Group</w:t>
      </w:r>
    </w:p>
    <w:p w14:paraId="6E4D52A4" w14:textId="680568DE" w:rsidR="00596646" w:rsidRPr="00596646" w:rsidRDefault="00596646" w:rsidP="00B67AEC">
      <w:pPr>
        <w:spacing w:after="120"/>
      </w:pPr>
      <w:r>
        <w:rPr>
          <w:b/>
        </w:rPr>
        <w:t>Sarah Partridge</w:t>
      </w:r>
      <w:r>
        <w:t>, Antimicrobial Pharmacist, Nottingham University Hospitals NHS Trust</w:t>
      </w:r>
    </w:p>
    <w:p w14:paraId="7DC5DDCF" w14:textId="77777777" w:rsidR="00393263" w:rsidRDefault="00393263" w:rsidP="00B67AEC">
      <w:pPr>
        <w:spacing w:after="120"/>
        <w:rPr>
          <w:b/>
        </w:rPr>
      </w:pPr>
    </w:p>
    <w:p w14:paraId="2ADB4ABB" w14:textId="77777777" w:rsidR="00393263" w:rsidRPr="00BA0600" w:rsidRDefault="00393263" w:rsidP="00BA0600">
      <w:pPr>
        <w:spacing w:after="120" w:line="280" w:lineRule="exact"/>
      </w:pPr>
    </w:p>
    <w:p w14:paraId="711D7AAB" w14:textId="77777777" w:rsidR="00B67AEC" w:rsidRPr="0039600D" w:rsidRDefault="00B67AEC" w:rsidP="00B67AEC">
      <w:pPr>
        <w:spacing w:after="120"/>
      </w:pPr>
      <w:r>
        <w:rPr>
          <w:b/>
        </w:rPr>
        <w:t>Dr Terry Riordan</w:t>
      </w:r>
      <w:r>
        <w:t>, Consultant Medical Microbiologist, Royal Devon and Exeter Healthcare NHS Trust</w:t>
      </w:r>
    </w:p>
    <w:p w14:paraId="618A6726" w14:textId="3DE417BA" w:rsidR="0075536A" w:rsidRDefault="005F437A" w:rsidP="00D54A68">
      <w:pPr>
        <w:spacing w:after="120"/>
      </w:pPr>
      <w:r>
        <w:rPr>
          <w:b/>
        </w:rPr>
        <w:t>Dr Andrew Stacey</w:t>
      </w:r>
      <w:r>
        <w:t xml:space="preserve">, Consultant Microbiologist, </w:t>
      </w:r>
      <w:r w:rsidR="00A71394">
        <w:t>Royal Berkshire NHS Foundation Trust</w:t>
      </w:r>
    </w:p>
    <w:p w14:paraId="4AAFA6CB" w14:textId="5F9F4B9F" w:rsidR="00693724" w:rsidRDefault="00393263" w:rsidP="00393263">
      <w:pPr>
        <w:spacing w:after="120"/>
        <w:rPr>
          <w:b/>
        </w:rPr>
      </w:pPr>
      <w:r>
        <w:rPr>
          <w:b/>
        </w:rPr>
        <w:t>Hazel Steele</w:t>
      </w:r>
      <w:r>
        <w:t>, Specialist Pharmacist – Antimicrobials (Primary Care), NHS Tayside</w:t>
      </w:r>
    </w:p>
    <w:p w14:paraId="296EBB1B" w14:textId="62B6FAFA" w:rsidR="000F71CC" w:rsidRPr="00F45F7A" w:rsidRDefault="00E8443B" w:rsidP="00693724">
      <w:pPr>
        <w:spacing w:after="120"/>
      </w:pPr>
      <w:r>
        <w:rPr>
          <w:b/>
        </w:rPr>
        <w:t>Dr Rebecca Tilley</w:t>
      </w:r>
      <w:r>
        <w:t>, Consultant Microbiologist (Antibiotic Lead), West Suffolk NHS Foundation Trust</w:t>
      </w:r>
    </w:p>
    <w:p w14:paraId="62F90382" w14:textId="3DF6E098" w:rsidR="00EE13D3" w:rsidRPr="000F71CC" w:rsidRDefault="00E8443B" w:rsidP="000F71CC">
      <w:pPr>
        <w:spacing w:after="120"/>
      </w:pPr>
      <w:r>
        <w:rPr>
          <w:b/>
        </w:rPr>
        <w:t>Jane Usher</w:t>
      </w:r>
      <w:r>
        <w:t>, Biomedical Head of Serology/Virology, Public Health England</w:t>
      </w:r>
    </w:p>
    <w:p w14:paraId="02EC47E2" w14:textId="2050BD76" w:rsidR="00B61861" w:rsidRPr="00B61861" w:rsidRDefault="00B61861" w:rsidP="00D54A68">
      <w:pPr>
        <w:spacing w:after="120"/>
      </w:pPr>
      <w:r>
        <w:rPr>
          <w:b/>
        </w:rPr>
        <w:t>Dr Chloe Walsh</w:t>
      </w:r>
      <w:r>
        <w:t>, Microbiology Registrar, Leeds Teaching Hospitals NHS Trust</w:t>
      </w:r>
    </w:p>
    <w:p w14:paraId="0710811C" w14:textId="77B4CDEF" w:rsidR="00505945" w:rsidRPr="00505945" w:rsidRDefault="00505945" w:rsidP="00D54A68">
      <w:pPr>
        <w:spacing w:after="120"/>
      </w:pPr>
      <w:r>
        <w:rPr>
          <w:b/>
        </w:rPr>
        <w:t>Rob Wise</w:t>
      </w:r>
      <w:r>
        <w:t>, Medicines Management Pharmacist, NHS Bassetlaw C</w:t>
      </w:r>
      <w:r w:rsidR="00596646">
        <w:t xml:space="preserve">linical </w:t>
      </w:r>
      <w:r>
        <w:t>C</w:t>
      </w:r>
      <w:r w:rsidR="00596646">
        <w:t xml:space="preserve">ommissioning </w:t>
      </w:r>
      <w:r>
        <w:t>G</w:t>
      </w:r>
      <w:r w:rsidR="00596646">
        <w:t>roup</w:t>
      </w:r>
    </w:p>
    <w:p w14:paraId="71F32B99" w14:textId="18DC8E83" w:rsidR="00D86868" w:rsidRDefault="00D86868" w:rsidP="00D54A68">
      <w:pPr>
        <w:tabs>
          <w:tab w:val="center" w:pos="5159"/>
        </w:tabs>
        <w:spacing w:after="120"/>
        <w:rPr>
          <w:b/>
        </w:rPr>
      </w:pPr>
      <w:r>
        <w:rPr>
          <w:b/>
        </w:rPr>
        <w:t>Primary Care Clinicians from Concord Medical Centre, Bristol</w:t>
      </w:r>
    </w:p>
    <w:p w14:paraId="4DD3D8E9" w14:textId="31BF0D3D" w:rsidR="00D86868" w:rsidRDefault="00D86868" w:rsidP="00D54A68">
      <w:pPr>
        <w:tabs>
          <w:tab w:val="center" w:pos="5159"/>
        </w:tabs>
        <w:spacing w:after="120"/>
        <w:rPr>
          <w:b/>
        </w:rPr>
      </w:pPr>
      <w:r>
        <w:rPr>
          <w:b/>
        </w:rPr>
        <w:t xml:space="preserve">Primary Care Clinicians from </w:t>
      </w:r>
      <w:proofErr w:type="spellStart"/>
      <w:r>
        <w:rPr>
          <w:b/>
        </w:rPr>
        <w:t>Hanham</w:t>
      </w:r>
      <w:proofErr w:type="spellEnd"/>
      <w:r>
        <w:rPr>
          <w:b/>
        </w:rPr>
        <w:t xml:space="preserve"> Health Centre, Bristol</w:t>
      </w:r>
    </w:p>
    <w:p w14:paraId="489A5CC4" w14:textId="6288C9C1" w:rsidR="008F2E88" w:rsidRDefault="008F2E88" w:rsidP="00D54A68">
      <w:pPr>
        <w:tabs>
          <w:tab w:val="center" w:pos="5159"/>
        </w:tabs>
        <w:spacing w:after="120"/>
        <w:rPr>
          <w:b/>
        </w:rPr>
      </w:pPr>
      <w:r>
        <w:rPr>
          <w:b/>
        </w:rPr>
        <w:t>Members of the Advisory Committee on Antimicr</w:t>
      </w:r>
      <w:r w:rsidR="00D86868">
        <w:rPr>
          <w:b/>
        </w:rPr>
        <w:t xml:space="preserve">obial Resistance and Healthcare </w:t>
      </w:r>
      <w:r>
        <w:rPr>
          <w:b/>
        </w:rPr>
        <w:t>Associated Infection (ARHAI)</w:t>
      </w:r>
    </w:p>
    <w:p w14:paraId="64E5B320" w14:textId="77777777" w:rsidR="008F2E88" w:rsidRDefault="008F2E88" w:rsidP="00D54A68">
      <w:pPr>
        <w:tabs>
          <w:tab w:val="center" w:pos="5159"/>
        </w:tabs>
        <w:spacing w:after="120"/>
        <w:rPr>
          <w:b/>
        </w:rPr>
      </w:pPr>
      <w:r>
        <w:rPr>
          <w:b/>
        </w:rPr>
        <w:t>Members of the British Infection Association (BIA)</w:t>
      </w:r>
    </w:p>
    <w:p w14:paraId="5B15D05A" w14:textId="77777777" w:rsidR="008F2E88" w:rsidRDefault="008F2E88" w:rsidP="00D54A68">
      <w:pPr>
        <w:tabs>
          <w:tab w:val="center" w:pos="5159"/>
        </w:tabs>
        <w:spacing w:after="120"/>
        <w:rPr>
          <w:b/>
        </w:rPr>
      </w:pPr>
      <w:r>
        <w:rPr>
          <w:b/>
        </w:rPr>
        <w:t>Members of the British Society for Antimicrobial Chemotherapy (BSAC)</w:t>
      </w:r>
    </w:p>
    <w:p w14:paraId="0EC0A5CB" w14:textId="0FA50E94" w:rsidR="00D86868" w:rsidRDefault="00D86868" w:rsidP="00D54A68">
      <w:pPr>
        <w:tabs>
          <w:tab w:val="center" w:pos="5159"/>
        </w:tabs>
        <w:spacing w:after="120"/>
        <w:rPr>
          <w:b/>
        </w:rPr>
      </w:pPr>
      <w:r>
        <w:rPr>
          <w:b/>
        </w:rPr>
        <w:t>Members of the British Society of Gastroenterology (BSG)</w:t>
      </w:r>
    </w:p>
    <w:p w14:paraId="6EE704F4" w14:textId="77777777" w:rsidR="008F2E88" w:rsidRDefault="008F2E88" w:rsidP="00D54A68">
      <w:pPr>
        <w:tabs>
          <w:tab w:val="center" w:pos="5159"/>
        </w:tabs>
        <w:spacing w:after="120"/>
        <w:rPr>
          <w:b/>
        </w:rPr>
      </w:pPr>
      <w:r>
        <w:rPr>
          <w:b/>
        </w:rPr>
        <w:t>Members of the Public Health England (PHE) Standards Unit</w:t>
      </w:r>
    </w:p>
    <w:p w14:paraId="2FB5F2F0" w14:textId="77777777" w:rsidR="008F2E88" w:rsidRDefault="008F2E88" w:rsidP="00D54A68">
      <w:pPr>
        <w:tabs>
          <w:tab w:val="center" w:pos="5159"/>
        </w:tabs>
        <w:spacing w:after="120"/>
        <w:rPr>
          <w:b/>
        </w:rPr>
      </w:pPr>
      <w:r>
        <w:rPr>
          <w:b/>
        </w:rPr>
        <w:t>Members of the Royal College of General Practitioners (RCGP)</w:t>
      </w:r>
    </w:p>
    <w:p w14:paraId="7235A30C" w14:textId="77777777" w:rsidR="008F2E88" w:rsidRDefault="008F2E88" w:rsidP="00D54A68">
      <w:pPr>
        <w:tabs>
          <w:tab w:val="center" w:pos="5159"/>
        </w:tabs>
        <w:spacing w:after="120"/>
        <w:rPr>
          <w:b/>
        </w:rPr>
      </w:pPr>
      <w:r>
        <w:rPr>
          <w:b/>
        </w:rPr>
        <w:t>Members of the Royal College of Nursing (RCN)</w:t>
      </w:r>
    </w:p>
    <w:p w14:paraId="0EBCF69A" w14:textId="77777777" w:rsidR="008F2E88" w:rsidRPr="008F2E88" w:rsidRDefault="008F2E88" w:rsidP="00D54A68">
      <w:pPr>
        <w:tabs>
          <w:tab w:val="center" w:pos="5159"/>
        </w:tabs>
      </w:pPr>
    </w:p>
    <w:p w14:paraId="024D3383" w14:textId="77777777" w:rsidR="008F2E88" w:rsidRPr="008F2E88" w:rsidRDefault="008F2E88" w:rsidP="00242D64">
      <w:pPr>
        <w:tabs>
          <w:tab w:val="center" w:pos="5159"/>
        </w:tabs>
        <w:spacing w:after="120" w:line="280" w:lineRule="exact"/>
      </w:pPr>
    </w:p>
    <w:p w14:paraId="1EEEF5AC" w14:textId="57DE4AD3" w:rsidR="00393263" w:rsidRDefault="00393263" w:rsidP="00393263">
      <w:pPr>
        <w:tabs>
          <w:tab w:val="center" w:pos="5159"/>
        </w:tabs>
        <w:rPr>
          <w:i/>
        </w:rPr>
      </w:pPr>
      <w:r>
        <w:rPr>
          <w:i/>
        </w:rPr>
        <w:t xml:space="preserve">For any further information regarding the review process and those involved in the development of this guidance, please email </w:t>
      </w:r>
      <w:hyperlink r:id="rId77" w:history="1">
        <w:r w:rsidR="005D6938">
          <w:rPr>
            <w:rStyle w:val="Hyperlink"/>
            <w:i/>
            <w:u w:val="none"/>
          </w:rPr>
          <w:t>TARGETAntibiotics@phe.gov.uk</w:t>
        </w:r>
      </w:hyperlink>
      <w:r>
        <w:rPr>
          <w:i/>
        </w:rPr>
        <w:t>.</w:t>
      </w:r>
    </w:p>
    <w:p w14:paraId="505380CE" w14:textId="77777777" w:rsidR="00393263" w:rsidRDefault="00393263" w:rsidP="00393263">
      <w:pPr>
        <w:tabs>
          <w:tab w:val="center" w:pos="5159"/>
        </w:tabs>
        <w:rPr>
          <w:i/>
        </w:rPr>
      </w:pPr>
    </w:p>
    <w:p w14:paraId="2E8136F4" w14:textId="77777777" w:rsidR="00393263" w:rsidRDefault="00393263" w:rsidP="00393263">
      <w:pPr>
        <w:tabs>
          <w:tab w:val="center" w:pos="5159"/>
        </w:tabs>
        <w:rPr>
          <w:i/>
        </w:rPr>
      </w:pPr>
      <w:r>
        <w:rPr>
          <w:i/>
        </w:rPr>
        <w:t>Public Health England is an executive agency of the Department of Health, and is fully funded by the UK Government. The Primary Care Unit does not accept funding for the development of this guidance from pharmaceutical companies or other large businesses that could influence the development of the recommendations made.</w:t>
      </w:r>
    </w:p>
    <w:p w14:paraId="2E25F97F" w14:textId="77777777" w:rsidR="00393263" w:rsidRDefault="00393263" w:rsidP="00393263">
      <w:pPr>
        <w:tabs>
          <w:tab w:val="center" w:pos="5159"/>
        </w:tabs>
        <w:rPr>
          <w:i/>
        </w:rPr>
      </w:pPr>
    </w:p>
    <w:p w14:paraId="072FAA11" w14:textId="64BA2003" w:rsidR="00266F51" w:rsidRDefault="00393263" w:rsidP="00393263">
      <w:pPr>
        <w:tabs>
          <w:tab w:val="center" w:pos="5159"/>
        </w:tabs>
      </w:pPr>
      <w:r>
        <w:rPr>
          <w:i/>
        </w:rPr>
        <w:t xml:space="preserve">Any conflicts of interest have been declared and considered prior to the development and dissemination of this guidance. For any detailed information regarding declared conflicts of interest, please email </w:t>
      </w:r>
      <w:hyperlink r:id="rId78" w:history="1">
        <w:r w:rsidR="005D6938">
          <w:rPr>
            <w:rStyle w:val="Hyperlink"/>
            <w:i/>
            <w:u w:val="none"/>
          </w:rPr>
          <w:t>TARGETAntibiotics@phe.gov.uk</w:t>
        </w:r>
      </w:hyperlink>
      <w:r>
        <w:rPr>
          <w:i/>
        </w:rPr>
        <w:t>.</w:t>
      </w:r>
    </w:p>
    <w:p w14:paraId="4A9C0134" w14:textId="77777777" w:rsidR="00266F51" w:rsidRDefault="00266F51" w:rsidP="007023CA"/>
    <w:p w14:paraId="5DE6F61D" w14:textId="77777777" w:rsidR="00266F51" w:rsidRDefault="00266F51" w:rsidP="007023CA"/>
    <w:p w14:paraId="495EDAA5" w14:textId="77777777" w:rsidR="00266F51" w:rsidRDefault="00266F51" w:rsidP="007023CA"/>
    <w:p w14:paraId="45E59BAF" w14:textId="77777777" w:rsidR="007023CA" w:rsidRDefault="007023CA" w:rsidP="007023CA"/>
    <w:p w14:paraId="14925FCB" w14:textId="77777777" w:rsidR="007023CA" w:rsidRDefault="007023CA" w:rsidP="007023CA"/>
    <w:p w14:paraId="4E71B2B5" w14:textId="77777777" w:rsidR="007023CA" w:rsidRDefault="007023CA" w:rsidP="007023CA"/>
    <w:p w14:paraId="4A2CEF39" w14:textId="77777777" w:rsidR="00D86868" w:rsidRDefault="00D86868" w:rsidP="00B61861">
      <w:pPr>
        <w:spacing w:line="280" w:lineRule="exact"/>
      </w:pPr>
    </w:p>
    <w:p w14:paraId="6D557991" w14:textId="77777777" w:rsidR="00393263" w:rsidRPr="007023CA" w:rsidRDefault="00393263" w:rsidP="00393263">
      <w:pPr>
        <w:spacing w:line="280" w:lineRule="exact"/>
      </w:pPr>
    </w:p>
    <w:p w14:paraId="007CA8A8" w14:textId="1532C09F" w:rsidR="00266F51" w:rsidRDefault="00266F51" w:rsidP="007023CA">
      <w:pPr>
        <w:pStyle w:val="PHEHeading"/>
      </w:pPr>
      <w:bookmarkStart w:id="51" w:name="_Toc453254023"/>
      <w:r w:rsidRPr="00CB7304">
        <w:t>A</w:t>
      </w:r>
      <w:r>
        <w:t>bbreviation</w:t>
      </w:r>
      <w:r w:rsidRPr="00CB7304">
        <w:t>s</w:t>
      </w:r>
      <w:bookmarkEnd w:id="51"/>
    </w:p>
    <w:p w14:paraId="1D897DD3" w14:textId="062BB4CA" w:rsidR="00C55FDF" w:rsidRPr="00C55FDF" w:rsidRDefault="00C55FDF" w:rsidP="001C3ECA">
      <w:pPr>
        <w:spacing w:after="120"/>
      </w:pPr>
      <w:r w:rsidRPr="00C55FDF">
        <w:rPr>
          <w:b/>
          <w:vertAlign w:val="superscript"/>
        </w:rPr>
        <w:t>13</w:t>
      </w:r>
      <w:r>
        <w:rPr>
          <w:b/>
        </w:rPr>
        <w:t>C</w:t>
      </w:r>
      <w:r>
        <w:t xml:space="preserve"> = </w:t>
      </w:r>
      <w:r w:rsidRPr="00C55FDF">
        <w:rPr>
          <w:vertAlign w:val="superscript"/>
        </w:rPr>
        <w:t>13</w:t>
      </w:r>
      <w:r>
        <w:t>Carbon</w:t>
      </w:r>
    </w:p>
    <w:p w14:paraId="0EFC1021" w14:textId="5C5375AA" w:rsidR="007D7C10" w:rsidRPr="007D7C10" w:rsidRDefault="007D7C10" w:rsidP="001C3ECA">
      <w:pPr>
        <w:spacing w:after="120"/>
      </w:pPr>
      <w:r>
        <w:rPr>
          <w:b/>
        </w:rPr>
        <w:t>BD</w:t>
      </w:r>
      <w:r>
        <w:t xml:space="preserve"> = Twice daily</w:t>
      </w:r>
    </w:p>
    <w:p w14:paraId="1DFE08C3" w14:textId="46279186" w:rsidR="007D7C10" w:rsidRPr="007D7C10" w:rsidRDefault="007D7C10" w:rsidP="001C3ECA">
      <w:pPr>
        <w:spacing w:after="120"/>
      </w:pPr>
      <w:r>
        <w:rPr>
          <w:b/>
        </w:rPr>
        <w:t>CI</w:t>
      </w:r>
      <w:r>
        <w:t xml:space="preserve"> = Confidence interval</w:t>
      </w:r>
    </w:p>
    <w:p w14:paraId="07544230" w14:textId="19010A3C" w:rsidR="007D7C10" w:rsidRPr="007D7C10" w:rsidRDefault="007D7C10" w:rsidP="001C3ECA">
      <w:pPr>
        <w:spacing w:after="120"/>
      </w:pPr>
      <w:r>
        <w:rPr>
          <w:b/>
        </w:rPr>
        <w:t>CLAR</w:t>
      </w:r>
      <w:r>
        <w:t xml:space="preserve"> = Clarithromycin</w:t>
      </w:r>
    </w:p>
    <w:p w14:paraId="2175FC48" w14:textId="1BF5D27F" w:rsidR="00D26DCE" w:rsidRPr="00D26DCE" w:rsidRDefault="00D26DCE" w:rsidP="001C3ECA">
      <w:pPr>
        <w:spacing w:after="120"/>
      </w:pPr>
      <w:r>
        <w:rPr>
          <w:b/>
        </w:rPr>
        <w:t>CYP2C19</w:t>
      </w:r>
      <w:r>
        <w:t xml:space="preserve"> = Cytochrome P450 2C19</w:t>
      </w:r>
    </w:p>
    <w:p w14:paraId="57D0BCCF" w14:textId="52C18286" w:rsidR="00764620" w:rsidRPr="00764620" w:rsidRDefault="00764620" w:rsidP="001C3ECA">
      <w:pPr>
        <w:spacing w:after="120"/>
      </w:pPr>
      <w:r>
        <w:rPr>
          <w:b/>
        </w:rPr>
        <w:t>DU</w:t>
      </w:r>
      <w:r>
        <w:t xml:space="preserve"> = Duodenal ulcer</w:t>
      </w:r>
    </w:p>
    <w:p w14:paraId="2E661D3A" w14:textId="184B6C5F" w:rsidR="007D7C10" w:rsidRPr="007D7C10" w:rsidRDefault="007D7C10" w:rsidP="001C3ECA">
      <w:pPr>
        <w:spacing w:after="120"/>
      </w:pPr>
      <w:r>
        <w:rPr>
          <w:b/>
        </w:rPr>
        <w:t>ECP</w:t>
      </w:r>
      <w:r>
        <w:t xml:space="preserve"> = Enhanced compliance programme</w:t>
      </w:r>
    </w:p>
    <w:p w14:paraId="7706A003" w14:textId="2491AABE" w:rsidR="007D7C10" w:rsidRPr="007D7C10" w:rsidRDefault="007D7C10" w:rsidP="001C3ECA">
      <w:pPr>
        <w:spacing w:after="120"/>
      </w:pPr>
      <w:r>
        <w:rPr>
          <w:b/>
        </w:rPr>
        <w:t>ELISA</w:t>
      </w:r>
      <w:r>
        <w:t xml:space="preserve"> = Enzyme-linked immunosorbent assay</w:t>
      </w:r>
    </w:p>
    <w:p w14:paraId="21B58738" w14:textId="467AF4F9" w:rsidR="00C55FDF" w:rsidRPr="00C55FDF" w:rsidRDefault="00FB458B" w:rsidP="001C3ECA">
      <w:pPr>
        <w:spacing w:after="120"/>
      </w:pPr>
      <w:r>
        <w:rPr>
          <w:b/>
        </w:rPr>
        <w:t>g</w:t>
      </w:r>
      <w:r w:rsidR="00C55FDF">
        <w:t xml:space="preserve"> = Gram</w:t>
      </w:r>
    </w:p>
    <w:p w14:paraId="78DB5556" w14:textId="5D50A1BC" w:rsidR="00764620" w:rsidRPr="00764620" w:rsidRDefault="00764620" w:rsidP="001C3ECA">
      <w:pPr>
        <w:spacing w:after="120"/>
      </w:pPr>
      <w:r>
        <w:rPr>
          <w:b/>
        </w:rPr>
        <w:t>GORD</w:t>
      </w:r>
      <w:r>
        <w:t xml:space="preserve"> = Gastro-oesophageal reflux disease</w:t>
      </w:r>
    </w:p>
    <w:p w14:paraId="64B92705" w14:textId="54DA487C" w:rsidR="00764620" w:rsidRPr="00764620" w:rsidRDefault="00764620" w:rsidP="001C3ECA">
      <w:pPr>
        <w:spacing w:after="120"/>
      </w:pPr>
      <w:r>
        <w:rPr>
          <w:b/>
        </w:rPr>
        <w:t>GU</w:t>
      </w:r>
      <w:r>
        <w:t xml:space="preserve"> = Gastric ulcer</w:t>
      </w:r>
    </w:p>
    <w:p w14:paraId="47D8D9F5" w14:textId="3E0ED7C6" w:rsidR="00C20384" w:rsidRPr="00C20384" w:rsidRDefault="00C20384" w:rsidP="001C3ECA">
      <w:pPr>
        <w:spacing w:after="120"/>
      </w:pPr>
      <w:proofErr w:type="spellStart"/>
      <w:r>
        <w:rPr>
          <w:b/>
        </w:rPr>
        <w:t>gyrA</w:t>
      </w:r>
      <w:proofErr w:type="spellEnd"/>
      <w:r>
        <w:t xml:space="preserve"> = DNA gyrase subunit A</w:t>
      </w:r>
    </w:p>
    <w:p w14:paraId="52235FE6" w14:textId="32F8AD40" w:rsidR="00764620" w:rsidRPr="00764620" w:rsidRDefault="00764620" w:rsidP="001C3ECA">
      <w:pPr>
        <w:spacing w:after="120"/>
      </w:pPr>
      <w:r>
        <w:rPr>
          <w:b/>
        </w:rPr>
        <w:t>H</w:t>
      </w:r>
      <w:r>
        <w:rPr>
          <w:b/>
          <w:vertAlign w:val="subscript"/>
        </w:rPr>
        <w:t>2</w:t>
      </w:r>
      <w:r>
        <w:rPr>
          <w:b/>
        </w:rPr>
        <w:t>A</w:t>
      </w:r>
      <w:r>
        <w:t xml:space="preserve"> = Histamine H</w:t>
      </w:r>
      <w:r>
        <w:rPr>
          <w:vertAlign w:val="subscript"/>
        </w:rPr>
        <w:t>2</w:t>
      </w:r>
      <w:r>
        <w:t>-receptor antagonist</w:t>
      </w:r>
    </w:p>
    <w:p w14:paraId="0526647C" w14:textId="4F0CE1FD" w:rsidR="00764620" w:rsidRDefault="00764620" w:rsidP="001C3ECA">
      <w:pPr>
        <w:spacing w:after="120"/>
        <w:rPr>
          <w:i/>
        </w:rPr>
      </w:pPr>
      <w:r w:rsidRPr="00764620">
        <w:rPr>
          <w:b/>
        </w:rPr>
        <w:t>HP</w:t>
      </w:r>
      <w:r>
        <w:t xml:space="preserve"> = </w:t>
      </w:r>
      <w:r>
        <w:rPr>
          <w:i/>
        </w:rPr>
        <w:t>Helicobacter pylori</w:t>
      </w:r>
    </w:p>
    <w:p w14:paraId="4ACA6881" w14:textId="38E9736C" w:rsidR="007D7C10" w:rsidRPr="007D7C10" w:rsidRDefault="007D7C10" w:rsidP="001C3ECA">
      <w:pPr>
        <w:spacing w:after="120"/>
      </w:pPr>
      <w:r>
        <w:rPr>
          <w:b/>
        </w:rPr>
        <w:t>HTA</w:t>
      </w:r>
      <w:r>
        <w:t xml:space="preserve"> = Health technology assessment</w:t>
      </w:r>
    </w:p>
    <w:p w14:paraId="02A0ADAF" w14:textId="04107D94" w:rsidR="007D7C10" w:rsidRPr="007D7C10" w:rsidRDefault="007D7C10" w:rsidP="001C3ECA">
      <w:pPr>
        <w:spacing w:after="120"/>
      </w:pPr>
      <w:r>
        <w:rPr>
          <w:b/>
        </w:rPr>
        <w:t>IgA</w:t>
      </w:r>
      <w:r>
        <w:t xml:space="preserve"> = Immunoglobulin A</w:t>
      </w:r>
    </w:p>
    <w:p w14:paraId="36BF5BC2" w14:textId="568CED55" w:rsidR="00764620" w:rsidRPr="00764620" w:rsidRDefault="00764620" w:rsidP="001C3ECA">
      <w:pPr>
        <w:spacing w:after="120"/>
      </w:pPr>
      <w:r>
        <w:rPr>
          <w:b/>
        </w:rPr>
        <w:t>IgG</w:t>
      </w:r>
      <w:r>
        <w:t xml:space="preserve"> = Immunoglobulin G</w:t>
      </w:r>
    </w:p>
    <w:p w14:paraId="07AE557C" w14:textId="4200A927" w:rsidR="007D7C10" w:rsidRPr="007D7C10" w:rsidRDefault="007D7C10" w:rsidP="001C3ECA">
      <w:pPr>
        <w:spacing w:after="120"/>
      </w:pPr>
      <w:r>
        <w:rPr>
          <w:b/>
        </w:rPr>
        <w:t>IgM</w:t>
      </w:r>
      <w:r>
        <w:t xml:space="preserve"> = Immunoglobulin M</w:t>
      </w:r>
    </w:p>
    <w:p w14:paraId="1A413443" w14:textId="63796DE6" w:rsidR="007D7C10" w:rsidRPr="007D7C10" w:rsidRDefault="007D7C10" w:rsidP="001C3ECA">
      <w:pPr>
        <w:spacing w:after="120"/>
      </w:pPr>
      <w:r>
        <w:rPr>
          <w:b/>
        </w:rPr>
        <w:t>ITT</w:t>
      </w:r>
      <w:r>
        <w:t xml:space="preserve"> = Intention to treat</w:t>
      </w:r>
    </w:p>
    <w:p w14:paraId="6EFDC249" w14:textId="50807EA9" w:rsidR="007D7C10" w:rsidRDefault="007D7C10" w:rsidP="001C3ECA">
      <w:pPr>
        <w:spacing w:after="120"/>
      </w:pPr>
      <w:r>
        <w:rPr>
          <w:b/>
        </w:rPr>
        <w:t>LR+</w:t>
      </w:r>
      <w:r>
        <w:t xml:space="preserve"> = Positive likelihood ratio</w:t>
      </w:r>
    </w:p>
    <w:p w14:paraId="384BD6E9" w14:textId="398D73CF" w:rsidR="007D7C10" w:rsidRPr="007D7C10" w:rsidRDefault="007D7C10" w:rsidP="001C3ECA">
      <w:pPr>
        <w:spacing w:after="120"/>
      </w:pPr>
      <w:r w:rsidRPr="007D7C10">
        <w:rPr>
          <w:b/>
        </w:rPr>
        <w:t>LR-</w:t>
      </w:r>
      <w:r>
        <w:t xml:space="preserve"> = Negative likelihood ratio</w:t>
      </w:r>
    </w:p>
    <w:p w14:paraId="55C36387" w14:textId="5265B1E0" w:rsidR="00C55FDF" w:rsidRPr="00C55FDF" w:rsidRDefault="00C55FDF" w:rsidP="001C3ECA">
      <w:pPr>
        <w:spacing w:after="120"/>
      </w:pPr>
      <w:r>
        <w:rPr>
          <w:b/>
        </w:rPr>
        <w:t>LRs</w:t>
      </w:r>
      <w:r>
        <w:t xml:space="preserve"> = Likelihood ratios</w:t>
      </w:r>
    </w:p>
    <w:p w14:paraId="5E4E0A25" w14:textId="11284D1F" w:rsidR="00764620" w:rsidRPr="00764620" w:rsidRDefault="00764620" w:rsidP="001C3ECA">
      <w:pPr>
        <w:spacing w:after="120"/>
      </w:pPr>
      <w:r>
        <w:rPr>
          <w:b/>
        </w:rPr>
        <w:t>MALToma</w:t>
      </w:r>
      <w:r>
        <w:t xml:space="preserve"> = Mucosa-associated lymphoid tissue lymphoma</w:t>
      </w:r>
    </w:p>
    <w:p w14:paraId="20893F79" w14:textId="69486B17" w:rsidR="007D7C10" w:rsidRPr="007D7C10" w:rsidRDefault="007D7C10" w:rsidP="001C3ECA">
      <w:pPr>
        <w:spacing w:after="120"/>
      </w:pPr>
      <w:r>
        <w:rPr>
          <w:b/>
        </w:rPr>
        <w:t>MIC</w:t>
      </w:r>
      <w:r>
        <w:t xml:space="preserve"> = Minimum inhibitory concentration</w:t>
      </w:r>
    </w:p>
    <w:p w14:paraId="63860B21" w14:textId="461A39DF" w:rsidR="00C55FDF" w:rsidRPr="00C55FDF" w:rsidRDefault="00FB458B" w:rsidP="001C3ECA">
      <w:pPr>
        <w:spacing w:after="120"/>
      </w:pPr>
      <w:r>
        <w:rPr>
          <w:b/>
        </w:rPr>
        <w:t>mg</w:t>
      </w:r>
      <w:r w:rsidR="00C55FDF">
        <w:t xml:space="preserve"> = Milligram</w:t>
      </w:r>
    </w:p>
    <w:p w14:paraId="08D5F4F8" w14:textId="55A71EC5" w:rsidR="007D7C10" w:rsidRPr="007D7C10" w:rsidRDefault="007D7C10" w:rsidP="001C3ECA">
      <w:pPr>
        <w:spacing w:after="120"/>
      </w:pPr>
      <w:r>
        <w:rPr>
          <w:b/>
        </w:rPr>
        <w:t>MZ</w:t>
      </w:r>
      <w:r>
        <w:t xml:space="preserve"> = Metronidazole</w:t>
      </w:r>
    </w:p>
    <w:p w14:paraId="7779AAC5" w14:textId="3F3B0F8F" w:rsidR="00764620" w:rsidRPr="00764620" w:rsidRDefault="00764620" w:rsidP="001C3ECA">
      <w:pPr>
        <w:spacing w:after="120"/>
      </w:pPr>
      <w:r>
        <w:rPr>
          <w:b/>
        </w:rPr>
        <w:t>NPV</w:t>
      </w:r>
      <w:r>
        <w:t xml:space="preserve"> = Negative predictive value</w:t>
      </w:r>
    </w:p>
    <w:p w14:paraId="620F42A1" w14:textId="793B73ED" w:rsidR="00764620" w:rsidRPr="00764620" w:rsidRDefault="00764620" w:rsidP="001C3ECA">
      <w:pPr>
        <w:spacing w:after="120"/>
      </w:pPr>
      <w:r>
        <w:rPr>
          <w:b/>
        </w:rPr>
        <w:t>NSAID</w:t>
      </w:r>
      <w:r>
        <w:t xml:space="preserve"> = Non-steroidal anti-inflammatory drug</w:t>
      </w:r>
    </w:p>
    <w:p w14:paraId="7D6DFAB6" w14:textId="25D05620" w:rsidR="001C3ECA" w:rsidRPr="001C3ECA" w:rsidRDefault="001C3ECA" w:rsidP="001C3ECA">
      <w:pPr>
        <w:spacing w:after="120"/>
      </w:pPr>
      <w:r>
        <w:rPr>
          <w:b/>
        </w:rPr>
        <w:t>pH</w:t>
      </w:r>
      <w:r>
        <w:t xml:space="preserve"> = Potential of hydrogen</w:t>
      </w:r>
    </w:p>
    <w:p w14:paraId="5F832555" w14:textId="6ABC1A39" w:rsidR="00C20384" w:rsidRPr="007C6DE9" w:rsidRDefault="00764620" w:rsidP="007C6DE9">
      <w:pPr>
        <w:spacing w:after="120"/>
      </w:pPr>
      <w:r>
        <w:rPr>
          <w:b/>
        </w:rPr>
        <w:t>PPI</w:t>
      </w:r>
      <w:r>
        <w:t xml:space="preserve"> = Proton pump inhibitor</w:t>
      </w:r>
    </w:p>
    <w:p w14:paraId="4099096F" w14:textId="77777777" w:rsidR="00D26DCE" w:rsidRDefault="00D26DCE" w:rsidP="00C20384">
      <w:pPr>
        <w:spacing w:after="120"/>
        <w:rPr>
          <w:b/>
        </w:rPr>
      </w:pPr>
    </w:p>
    <w:p w14:paraId="4A0BC31C" w14:textId="77777777" w:rsidR="00D26DCE" w:rsidRPr="00D26DCE" w:rsidRDefault="00D26DCE" w:rsidP="00D26DCE">
      <w:pPr>
        <w:spacing w:after="120" w:line="280" w:lineRule="exact"/>
      </w:pPr>
    </w:p>
    <w:p w14:paraId="3710CBF0" w14:textId="4048F691" w:rsidR="007C6DE9" w:rsidRPr="007C6DE9" w:rsidRDefault="007D7C10" w:rsidP="00D26DCE">
      <w:pPr>
        <w:spacing w:after="120"/>
      </w:pPr>
      <w:r>
        <w:rPr>
          <w:b/>
        </w:rPr>
        <w:t>QALYs</w:t>
      </w:r>
      <w:r>
        <w:t xml:space="preserve"> = Quality adjusted life years</w:t>
      </w:r>
    </w:p>
    <w:p w14:paraId="4D650A43" w14:textId="2DEA423E" w:rsidR="007D7C10" w:rsidRPr="007D7C10" w:rsidRDefault="007D7C10" w:rsidP="001C3ECA">
      <w:pPr>
        <w:spacing w:after="120"/>
      </w:pPr>
      <w:r>
        <w:rPr>
          <w:b/>
        </w:rPr>
        <w:t>QDS</w:t>
      </w:r>
      <w:r>
        <w:t xml:space="preserve"> = Four times daily</w:t>
      </w:r>
    </w:p>
    <w:p w14:paraId="548BB965" w14:textId="2F279B9C" w:rsidR="00C55FDF" w:rsidRPr="00C55FDF" w:rsidRDefault="00C55FDF" w:rsidP="001C3ECA">
      <w:pPr>
        <w:spacing w:after="120"/>
      </w:pPr>
      <w:r>
        <w:rPr>
          <w:b/>
        </w:rPr>
        <w:t>RR</w:t>
      </w:r>
      <w:r>
        <w:t xml:space="preserve"> = Relative risk</w:t>
      </w:r>
    </w:p>
    <w:p w14:paraId="1C2CDDCC" w14:textId="06C10A93" w:rsidR="00764620" w:rsidRPr="00764620" w:rsidRDefault="00764620" w:rsidP="001C3ECA">
      <w:pPr>
        <w:spacing w:after="120"/>
      </w:pPr>
      <w:r>
        <w:rPr>
          <w:b/>
        </w:rPr>
        <w:t>SAT</w:t>
      </w:r>
      <w:r>
        <w:t xml:space="preserve"> = Stool antigen test</w:t>
      </w:r>
    </w:p>
    <w:p w14:paraId="7959A48D" w14:textId="57B6D597" w:rsidR="00764620" w:rsidRDefault="00764620" w:rsidP="001C3ECA">
      <w:pPr>
        <w:spacing w:after="120"/>
      </w:pPr>
      <w:r>
        <w:rPr>
          <w:b/>
        </w:rPr>
        <w:t>UBT</w:t>
      </w:r>
      <w:r>
        <w:t xml:space="preserve"> = Urea breath test</w:t>
      </w:r>
    </w:p>
    <w:p w14:paraId="034FF95E" w14:textId="5A0D4985" w:rsidR="007D7C10" w:rsidRPr="007D7C10" w:rsidRDefault="007D7C10" w:rsidP="001C3ECA">
      <w:pPr>
        <w:spacing w:after="120"/>
      </w:pPr>
      <w:r>
        <w:rPr>
          <w:b/>
        </w:rPr>
        <w:t>UHD</w:t>
      </w:r>
      <w:r>
        <w:t xml:space="preserve"> = Ulcer healing drug</w:t>
      </w:r>
    </w:p>
    <w:sectPr w:rsidR="007D7C10" w:rsidRPr="007D7C10" w:rsidSect="00C5760C">
      <w:headerReference w:type="default" r:id="rId79"/>
      <w:footerReference w:type="default" r:id="rId80"/>
      <w:pgSz w:w="11906" w:h="16838"/>
      <w:pgMar w:top="907" w:right="794" w:bottom="567" w:left="79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67ED1" w14:textId="77777777" w:rsidR="00443336" w:rsidRDefault="00443336" w:rsidP="00605685">
      <w:pPr>
        <w:spacing w:line="240" w:lineRule="auto"/>
      </w:pPr>
      <w:r>
        <w:separator/>
      </w:r>
    </w:p>
  </w:endnote>
  <w:endnote w:type="continuationSeparator" w:id="0">
    <w:p w14:paraId="723E034E" w14:textId="77777777" w:rsidR="00443336" w:rsidRDefault="00443336" w:rsidP="00605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112D2" w14:textId="77777777" w:rsidR="00452D42" w:rsidRDefault="00452D42">
    <w:pPr>
      <w:pStyle w:val="Footer"/>
    </w:pPr>
    <w:r w:rsidRPr="006A4642">
      <w:rPr>
        <w:noProof/>
        <w:lang w:eastAsia="en-GB"/>
      </w:rPr>
      <mc:AlternateContent>
        <mc:Choice Requires="wps">
          <w:drawing>
            <wp:anchor distT="0" distB="0" distL="114300" distR="114300" simplePos="0" relativeHeight="251670528" behindDoc="0" locked="0" layoutInCell="1" allowOverlap="1" wp14:anchorId="6B370F70" wp14:editId="3A5829D5">
              <wp:simplePos x="0" y="0"/>
              <wp:positionH relativeFrom="column">
                <wp:posOffset>-726440</wp:posOffset>
              </wp:positionH>
              <wp:positionV relativeFrom="paragraph">
                <wp:posOffset>-278765</wp:posOffset>
              </wp:positionV>
              <wp:extent cx="7572375" cy="0"/>
              <wp:effectExtent l="0" t="38100" r="9525" b="57150"/>
              <wp:wrapNone/>
              <wp:docPr id="7" name="Straight Connector 7"/>
              <wp:cNvGraphicFramePr/>
              <a:graphic xmlns:a="http://schemas.openxmlformats.org/drawingml/2006/main">
                <a:graphicData uri="http://schemas.microsoft.com/office/word/2010/wordprocessingShape">
                  <wps:wsp>
                    <wps:cNvCnPr/>
                    <wps:spPr>
                      <a:xfrm>
                        <a:off x="0" y="0"/>
                        <a:ext cx="7572375" cy="0"/>
                      </a:xfrm>
                      <a:prstGeom prst="line">
                        <a:avLst/>
                      </a:prstGeom>
                      <a:ln w="88900">
                        <a:solidFill>
                          <a:srgbClr val="00AE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ink="http://schemas.microsoft.com/office/drawing/2016/ink" xmlns:am3d="http://schemas.microsoft.com/office/drawing/2017/model3d" xmlns:w16cid="http://schemas.microsoft.com/office/word/2016/wordml/cid">
          <w:pict>
            <v:line w14:anchorId="48A1E17A"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pt,-21.95pt" to="539.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" strokecolor="#00ae9e" strokeweight="7pt"/>
          </w:pict>
        </mc:Fallback>
      </mc:AlternateContent>
    </w:r>
    <w:r w:rsidRPr="006A4642">
      <w:rPr>
        <w:noProof/>
        <w:lang w:eastAsia="en-GB"/>
      </w:rPr>
      <mc:AlternateContent>
        <mc:Choice Requires="wps">
          <w:drawing>
            <wp:anchor distT="0" distB="0" distL="114300" distR="114300" simplePos="0" relativeHeight="251669504" behindDoc="0" locked="0" layoutInCell="1" allowOverlap="1" wp14:anchorId="6349AAD1" wp14:editId="1C2AF6FC">
              <wp:simplePos x="0" y="0"/>
              <wp:positionH relativeFrom="column">
                <wp:posOffset>-724801</wp:posOffset>
              </wp:positionH>
              <wp:positionV relativeFrom="paragraph">
                <wp:posOffset>-235053</wp:posOffset>
              </wp:positionV>
              <wp:extent cx="7572375" cy="862641"/>
              <wp:effectExtent l="0" t="0" r="952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862641"/>
                      </a:xfrm>
                      <a:prstGeom prst="rect">
                        <a:avLst/>
                      </a:prstGeom>
                      <a:solidFill>
                        <a:srgbClr val="98002E"/>
                      </a:solidFill>
                      <a:ln w="82550">
                        <a:noFill/>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w16cid="http://schemas.microsoft.com/office/word/2016/wordml/cid">
          <w:pict>
            <v:rect w14:anchorId="73885E0D" id="Rectangle 6" o:spid="_x0000_s1026" style="position:absolute;margin-left:-57.05pt;margin-top:-18.5pt;width:596.25pt;height:6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" fillcolor="#98002e" stroked="f" strokeweight="6.5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129398"/>
      <w:docPartObj>
        <w:docPartGallery w:val="Page Numbers (Bottom of Page)"/>
        <w:docPartUnique/>
      </w:docPartObj>
    </w:sdtPr>
    <w:sdtEndPr>
      <w:rPr>
        <w:rFonts w:cs="Arial"/>
        <w:noProof/>
        <w:sz w:val="20"/>
        <w:szCs w:val="20"/>
      </w:rPr>
    </w:sdtEndPr>
    <w:sdtContent>
      <w:p w14:paraId="0E2F5587" w14:textId="77777777" w:rsidR="00452D42" w:rsidRPr="008E1AD6" w:rsidRDefault="00452D42" w:rsidP="00FB29FC">
        <w:pPr>
          <w:pStyle w:val="Footer"/>
          <w:spacing w:line="240" w:lineRule="exact"/>
          <w:jc w:val="center"/>
          <w:rPr>
            <w:rFonts w:cs="Arial"/>
            <w:sz w:val="20"/>
            <w:szCs w:val="20"/>
          </w:rPr>
        </w:pPr>
        <w:r w:rsidRPr="00D42454">
          <w:rPr>
            <w:noProof/>
            <w:sz w:val="16"/>
            <w:szCs w:val="16"/>
            <w:lang w:eastAsia="en-GB"/>
          </w:rPr>
          <w:drawing>
            <wp:anchor distT="0" distB="0" distL="114300" distR="114300" simplePos="0" relativeHeight="251671552" behindDoc="0" locked="0" layoutInCell="1" allowOverlap="1" wp14:anchorId="3751D9F8" wp14:editId="5A23D051">
              <wp:simplePos x="0" y="0"/>
              <wp:positionH relativeFrom="column">
                <wp:posOffset>4562475</wp:posOffset>
              </wp:positionH>
              <wp:positionV relativeFrom="paragraph">
                <wp:posOffset>144145</wp:posOffset>
              </wp:positionV>
              <wp:extent cx="827405" cy="237490"/>
              <wp:effectExtent l="0" t="0" r="0" b="0"/>
              <wp:wrapSquare wrapText="bothSides"/>
              <wp:docPr id="59" name="Picture 59" descr="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A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l="3458" t="8571" r="3703" b="12857"/>
                      <a:stretch>
                        <a:fillRect/>
                      </a:stretch>
                    </pic:blipFill>
                    <pic:spPr bwMode="auto">
                      <a:xfrm>
                        <a:off x="0" y="0"/>
                        <a:ext cx="82740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FE">
          <w:rPr>
            <w:rStyle w:val="PHEHeaderFooterChar"/>
            <w:noProof/>
            <w:lang w:eastAsia="en-GB"/>
          </w:rPr>
          <w:drawing>
            <wp:anchor distT="0" distB="0" distL="114300" distR="114300" simplePos="0" relativeHeight="251672576" behindDoc="0" locked="0" layoutInCell="1" allowOverlap="1" wp14:anchorId="2AFB895F" wp14:editId="0ED1C21A">
              <wp:simplePos x="0" y="0"/>
              <wp:positionH relativeFrom="column">
                <wp:posOffset>5473065</wp:posOffset>
              </wp:positionH>
              <wp:positionV relativeFrom="paragraph">
                <wp:posOffset>86995</wp:posOffset>
              </wp:positionV>
              <wp:extent cx="1130300" cy="356235"/>
              <wp:effectExtent l="0" t="0" r="0" b="5715"/>
              <wp:wrapSquare wrapText="bothSides"/>
              <wp:docPr id="58" name="Picture 58" descr="RCGP Logo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P Logo  Std -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303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FE">
          <w:rPr>
            <w:rStyle w:val="PHEHeaderFooterChar"/>
          </w:rPr>
          <w:fldChar w:fldCharType="begin"/>
        </w:r>
        <w:r w:rsidRPr="00124DFE">
          <w:rPr>
            <w:rStyle w:val="PHEHeaderFooterChar"/>
          </w:rPr>
          <w:instrText xml:space="preserve"> PAGE   \* MERGEFORMAT </w:instrText>
        </w:r>
        <w:r w:rsidRPr="00124DFE">
          <w:rPr>
            <w:rStyle w:val="PHEHeaderFooterChar"/>
          </w:rPr>
          <w:fldChar w:fldCharType="separate"/>
        </w:r>
        <w:r>
          <w:rPr>
            <w:rStyle w:val="PHEHeaderFooterChar"/>
            <w:noProof/>
          </w:rPr>
          <w:t>26</w:t>
        </w:r>
        <w:r w:rsidRPr="00124DFE">
          <w:rPr>
            <w:rStyle w:val="PHEHeaderFooterChar"/>
          </w:rPr>
          <w:fldChar w:fldCharType="end"/>
        </w:r>
      </w:p>
    </w:sdtContent>
  </w:sdt>
  <w:p w14:paraId="48F0CE65" w14:textId="77777777" w:rsidR="00452D42" w:rsidRPr="006D0BCD" w:rsidRDefault="00452D42" w:rsidP="00FB29FC">
    <w:pPr>
      <w:pStyle w:val="PHEHeaderFooter"/>
    </w:pPr>
    <w:r w:rsidRPr="00EA2E16">
      <w:t>Prod</w:t>
    </w:r>
    <w:r>
      <w:t>uced: 2006 – Latest Review</w:t>
    </w:r>
    <w:r w:rsidRPr="006D0BCD">
      <w:t xml:space="preserve">: </w:t>
    </w:r>
    <w:r w:rsidRPr="0040133D">
      <w:t>December 2015</w:t>
    </w:r>
    <w:r w:rsidRPr="006D0BCD">
      <w:t xml:space="preserve">                         Endorsed by:</w:t>
    </w:r>
    <w:r w:rsidRPr="006D0BCD">
      <w:rPr>
        <w:noProof/>
        <w:lang w:eastAsia="en-GB"/>
      </w:rPr>
      <w:t xml:space="preserve"> </w:t>
    </w:r>
  </w:p>
  <w:p w14:paraId="592AD4ED" w14:textId="77777777" w:rsidR="00452D42" w:rsidRPr="00EA2E16" w:rsidRDefault="00452D42" w:rsidP="00FB29FC">
    <w:pPr>
      <w:pStyle w:val="PHEHeaderFooter"/>
    </w:pPr>
    <w:r w:rsidRPr="006D0BCD">
      <w:t xml:space="preserve">Next Full Review: </w:t>
    </w:r>
    <w:r w:rsidRPr="0040133D">
      <w:t>December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818073"/>
      <w:docPartObj>
        <w:docPartGallery w:val="Page Numbers (Bottom of Page)"/>
        <w:docPartUnique/>
      </w:docPartObj>
    </w:sdtPr>
    <w:sdtEndPr>
      <w:rPr>
        <w:rFonts w:cs="Arial"/>
        <w:noProof/>
        <w:sz w:val="20"/>
        <w:szCs w:val="20"/>
        <w:highlight w:val="yellow"/>
      </w:rPr>
    </w:sdtEndPr>
    <w:sdtContent>
      <w:p w14:paraId="09D519EC" w14:textId="2D5E5BB6" w:rsidR="00452D42" w:rsidRDefault="00452D42" w:rsidP="007442D9">
        <w:pPr>
          <w:pStyle w:val="Footer"/>
          <w:jc w:val="center"/>
          <w:rPr>
            <w:rFonts w:cs="Arial"/>
            <w:noProof/>
            <w:sz w:val="20"/>
            <w:szCs w:val="20"/>
          </w:rPr>
        </w:pPr>
        <w:r>
          <w:rPr>
            <w:rFonts w:cs="Arial"/>
            <w:noProof/>
            <w:sz w:val="20"/>
            <w:szCs w:val="20"/>
            <w:lang w:eastAsia="en-GB"/>
          </w:rPr>
          <w:drawing>
            <wp:anchor distT="0" distB="0" distL="114300" distR="114300" simplePos="0" relativeHeight="251680768" behindDoc="0" locked="0" layoutInCell="1" allowOverlap="1" wp14:anchorId="4AC749C5" wp14:editId="10FC2345">
              <wp:simplePos x="0" y="0"/>
              <wp:positionH relativeFrom="column">
                <wp:posOffset>3484880</wp:posOffset>
              </wp:positionH>
              <wp:positionV relativeFrom="paragraph">
                <wp:posOffset>134620</wp:posOffset>
              </wp:positionV>
              <wp:extent cx="276225" cy="311785"/>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g-logo.jpg"/>
                      <pic:cNvPicPr/>
                    </pic:nvPicPr>
                    <pic:blipFill>
                      <a:blip r:embed="rId1">
                        <a:extLst>
                          <a:ext uri="{28A0092B-C50C-407E-A947-70E740481C1C}">
                            <a14:useLocalDpi xmlns:a14="http://schemas.microsoft.com/office/drawing/2010/main" val="0"/>
                          </a:ext>
                        </a:extLst>
                      </a:blip>
                      <a:stretch>
                        <a:fillRect/>
                      </a:stretch>
                    </pic:blipFill>
                    <pic:spPr>
                      <a:xfrm>
                        <a:off x="0" y="0"/>
                        <a:ext cx="276225" cy="31178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0"/>
            <w:szCs w:val="20"/>
            <w:lang w:eastAsia="en-GB"/>
          </w:rPr>
          <w:drawing>
            <wp:anchor distT="0" distB="0" distL="114300" distR="114300" simplePos="0" relativeHeight="251667455" behindDoc="0" locked="0" layoutInCell="1" allowOverlap="1" wp14:anchorId="5B0BBF95" wp14:editId="78D6BB0C">
              <wp:simplePos x="0" y="0"/>
              <wp:positionH relativeFrom="column">
                <wp:posOffset>3763645</wp:posOffset>
              </wp:positionH>
              <wp:positionV relativeFrom="paragraph">
                <wp:posOffset>140970</wp:posOffset>
              </wp:positionV>
              <wp:extent cx="838835" cy="2851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Society for Antimicrobial Chemotherapy logo.jpg"/>
                      <pic:cNvPicPr/>
                    </pic:nvPicPr>
                    <pic:blipFill>
                      <a:blip r:embed="rId2">
                        <a:extLst>
                          <a:ext uri="{28A0092B-C50C-407E-A947-70E740481C1C}">
                            <a14:useLocalDpi xmlns:a14="http://schemas.microsoft.com/office/drawing/2010/main" val="0"/>
                          </a:ext>
                        </a:extLst>
                      </a:blip>
                      <a:stretch>
                        <a:fillRect/>
                      </a:stretch>
                    </pic:blipFill>
                    <pic:spPr>
                      <a:xfrm>
                        <a:off x="0" y="0"/>
                        <a:ext cx="838835" cy="285115"/>
                      </a:xfrm>
                      <a:prstGeom prst="rect">
                        <a:avLst/>
                      </a:prstGeom>
                    </pic:spPr>
                  </pic:pic>
                </a:graphicData>
              </a:graphic>
              <wp14:sizeRelH relativeFrom="page">
                <wp14:pctWidth>0</wp14:pctWidth>
              </wp14:sizeRelH>
              <wp14:sizeRelV relativeFrom="page">
                <wp14:pctHeight>0</wp14:pctHeight>
              </wp14:sizeRelV>
            </wp:anchor>
          </w:drawing>
        </w:r>
        <w:r w:rsidRPr="00707874">
          <w:rPr>
            <w:rFonts w:cs="Arial"/>
            <w:sz w:val="20"/>
            <w:szCs w:val="20"/>
          </w:rPr>
          <w:fldChar w:fldCharType="begin"/>
        </w:r>
        <w:r w:rsidRPr="00707874">
          <w:rPr>
            <w:rFonts w:cs="Arial"/>
            <w:sz w:val="20"/>
            <w:szCs w:val="20"/>
          </w:rPr>
          <w:instrText xml:space="preserve"> PAGE   \* MERGEFORMAT </w:instrText>
        </w:r>
        <w:r w:rsidRPr="00707874">
          <w:rPr>
            <w:rFonts w:cs="Arial"/>
            <w:sz w:val="20"/>
            <w:szCs w:val="20"/>
          </w:rPr>
          <w:fldChar w:fldCharType="separate"/>
        </w:r>
        <w:r w:rsidR="003609F1">
          <w:rPr>
            <w:rFonts w:cs="Arial"/>
            <w:noProof/>
            <w:sz w:val="20"/>
            <w:szCs w:val="20"/>
          </w:rPr>
          <w:t>24</w:t>
        </w:r>
        <w:r w:rsidRPr="00707874">
          <w:rPr>
            <w:rFonts w:cs="Arial"/>
            <w:noProof/>
            <w:sz w:val="20"/>
            <w:szCs w:val="20"/>
          </w:rPr>
          <w:fldChar w:fldCharType="end"/>
        </w:r>
      </w:p>
      <w:p w14:paraId="4F501C78" w14:textId="71A4B3D1" w:rsidR="00452D42" w:rsidRDefault="00452D42" w:rsidP="00415376">
        <w:pPr>
          <w:pStyle w:val="Footer"/>
          <w:rPr>
            <w:rFonts w:cs="Arial"/>
            <w:noProof/>
            <w:sz w:val="20"/>
            <w:szCs w:val="20"/>
          </w:rPr>
        </w:pPr>
        <w:r w:rsidRPr="008957EC">
          <w:rPr>
            <w:rFonts w:cs="Arial"/>
            <w:noProof/>
            <w:sz w:val="20"/>
            <w:szCs w:val="20"/>
            <w:lang w:eastAsia="en-GB"/>
          </w:rPr>
          <w:drawing>
            <wp:anchor distT="0" distB="0" distL="114300" distR="114300" simplePos="0" relativeHeight="251675648" behindDoc="0" locked="0" layoutInCell="1" allowOverlap="1" wp14:anchorId="201028F4" wp14:editId="717B32F0">
              <wp:simplePos x="0" y="0"/>
              <wp:positionH relativeFrom="column">
                <wp:posOffset>5344160</wp:posOffset>
              </wp:positionH>
              <wp:positionV relativeFrom="paragraph">
                <wp:posOffset>20955</wp:posOffset>
              </wp:positionV>
              <wp:extent cx="701675" cy="220345"/>
              <wp:effectExtent l="0" t="0" r="3175" b="8255"/>
              <wp:wrapSquare wrapText="bothSides"/>
              <wp:docPr id="26" name="Picture 26" descr="RCGP Logo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P Logo  Std -JP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1675" cy="220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lang w:eastAsia="en-GB"/>
          </w:rPr>
          <w:drawing>
            <wp:anchor distT="0" distB="0" distL="114300" distR="114300" simplePos="0" relativeHeight="251678720" behindDoc="0" locked="0" layoutInCell="1" allowOverlap="1" wp14:anchorId="721888CC" wp14:editId="1275828F">
              <wp:simplePos x="0" y="0"/>
              <wp:positionH relativeFrom="column">
                <wp:posOffset>6092825</wp:posOffset>
              </wp:positionH>
              <wp:positionV relativeFrom="paragraph">
                <wp:posOffset>1905</wp:posOffset>
              </wp:positionV>
              <wp:extent cx="512445" cy="25590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College of Nursing logo.jpg"/>
                      <pic:cNvPicPr/>
                    </pic:nvPicPr>
                    <pic:blipFill>
                      <a:blip r:embed="rId4">
                        <a:extLst>
                          <a:ext uri="{28A0092B-C50C-407E-A947-70E740481C1C}">
                            <a14:useLocalDpi xmlns:a14="http://schemas.microsoft.com/office/drawing/2010/main" val="0"/>
                          </a:ext>
                        </a:extLst>
                      </a:blip>
                      <a:stretch>
                        <a:fillRect/>
                      </a:stretch>
                    </pic:blipFill>
                    <pic:spPr>
                      <a:xfrm>
                        <a:off x="0" y="0"/>
                        <a:ext cx="512445" cy="255905"/>
                      </a:xfrm>
                      <a:prstGeom prst="rect">
                        <a:avLst/>
                      </a:prstGeom>
                    </pic:spPr>
                  </pic:pic>
                </a:graphicData>
              </a:graphic>
              <wp14:sizeRelH relativeFrom="page">
                <wp14:pctWidth>0</wp14:pctWidth>
              </wp14:sizeRelH>
              <wp14:sizeRelV relativeFrom="page">
                <wp14:pctHeight>0</wp14:pctHeight>
              </wp14:sizeRelV>
            </wp:anchor>
          </w:drawing>
        </w:r>
        <w:r w:rsidRPr="008957EC">
          <w:rPr>
            <w:rFonts w:cs="Arial"/>
            <w:noProof/>
            <w:sz w:val="20"/>
            <w:szCs w:val="20"/>
            <w:lang w:eastAsia="en-GB"/>
          </w:rPr>
          <w:drawing>
            <wp:anchor distT="0" distB="0" distL="114300" distR="114300" simplePos="0" relativeHeight="251677696" behindDoc="0" locked="0" layoutInCell="1" allowOverlap="1" wp14:anchorId="3F5D4007" wp14:editId="7A3A5174">
              <wp:simplePos x="0" y="0"/>
              <wp:positionH relativeFrom="column">
                <wp:posOffset>4584065</wp:posOffset>
              </wp:positionH>
              <wp:positionV relativeFrom="paragraph">
                <wp:posOffset>38735</wp:posOffset>
              </wp:positionV>
              <wp:extent cx="716280" cy="205105"/>
              <wp:effectExtent l="0" t="0" r="7620" b="4445"/>
              <wp:wrapSquare wrapText="bothSides"/>
              <wp:docPr id="25" name="Picture 25" descr="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A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l="3458" t="8571" r="3703" b="12857"/>
                      <a:stretch>
                        <a:fillRect/>
                      </a:stretch>
                    </pic:blipFill>
                    <pic:spPr bwMode="auto">
                      <a:xfrm>
                        <a:off x="0" y="0"/>
                        <a:ext cx="716280" cy="205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rPr>
          <w:t>Produced: 2004 - Latest Review: July 2017</w:t>
        </w:r>
      </w:p>
      <w:p w14:paraId="4F61081A" w14:textId="6D7FA041" w:rsidR="00452D42" w:rsidRPr="009644F3" w:rsidRDefault="0028507C" w:rsidP="00415376">
        <w:pPr>
          <w:pStyle w:val="Footer"/>
          <w:rPr>
            <w:rFonts w:cs="Arial"/>
            <w:sz w:val="20"/>
            <w:szCs w:val="20"/>
          </w:rPr>
        </w:pPr>
        <w:r>
          <w:rPr>
            <w:rFonts w:cs="Arial"/>
            <w:sz w:val="20"/>
            <w:szCs w:val="20"/>
          </w:rPr>
          <w:t>Updated: August</w:t>
        </w:r>
        <w:r w:rsidR="00452D42">
          <w:rPr>
            <w:rFonts w:cs="Arial"/>
            <w:sz w:val="20"/>
            <w:szCs w:val="20"/>
          </w:rPr>
          <w:t xml:space="preserve"> 2019 - Next Full Review: October 2019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720EB" w14:textId="77777777" w:rsidR="00443336" w:rsidRDefault="00443336" w:rsidP="00605685">
      <w:pPr>
        <w:spacing w:line="240" w:lineRule="auto"/>
      </w:pPr>
      <w:r>
        <w:separator/>
      </w:r>
    </w:p>
  </w:footnote>
  <w:footnote w:type="continuationSeparator" w:id="0">
    <w:p w14:paraId="4210F81A" w14:textId="77777777" w:rsidR="00443336" w:rsidRDefault="00443336" w:rsidP="006056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3C072" w14:textId="77777777" w:rsidR="00452D42" w:rsidRDefault="00452D42">
    <w:pPr>
      <w:pStyle w:val="Header"/>
    </w:pPr>
    <w:r>
      <w:rPr>
        <w:noProof/>
        <w:lang w:eastAsia="en-GB"/>
      </w:rPr>
      <w:drawing>
        <wp:anchor distT="0" distB="0" distL="114300" distR="114300" simplePos="0" relativeHeight="251668480" behindDoc="0" locked="0" layoutInCell="1" allowOverlap="1" wp14:anchorId="3435DCD1" wp14:editId="1165032A">
          <wp:simplePos x="0" y="0"/>
          <wp:positionH relativeFrom="column">
            <wp:posOffset>-657225</wp:posOffset>
          </wp:positionH>
          <wp:positionV relativeFrom="paragraph">
            <wp:posOffset>-163653</wp:posOffset>
          </wp:positionV>
          <wp:extent cx="4064400" cy="2012400"/>
          <wp:effectExtent l="0" t="0" r="0" b="6985"/>
          <wp:wrapNone/>
          <wp:docPr id="57" name="Picture 57"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400" cy="201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76A48" w14:textId="77777777" w:rsidR="00452D42" w:rsidRPr="00EA2E16" w:rsidRDefault="00452D42" w:rsidP="00FB29FC">
    <w:pPr>
      <w:pStyle w:val="PHEHeaderFooter"/>
    </w:pPr>
    <w:r w:rsidRPr="00EA2E16">
      <w:t>Venous Leg Ulcers: Infe</w:t>
    </w:r>
    <w:r>
      <w:t>ction Diagnosis and Microbiological</w:t>
    </w:r>
    <w:r w:rsidRPr="00EA2E16">
      <w:t xml:space="preserve"> Investigation</w:t>
    </w:r>
  </w:p>
  <w:p w14:paraId="72054A2F" w14:textId="77777777" w:rsidR="00452D42" w:rsidRPr="00EA2E16" w:rsidRDefault="00452D42" w:rsidP="00FB29FC">
    <w:pPr>
      <w:pStyle w:val="PHEHeaderFooter"/>
    </w:pPr>
    <w:r w:rsidRPr="00EA2E16">
      <w:t>Quick R</w:t>
    </w:r>
    <w:r>
      <w:t>eference Guide for Primary Care:</w:t>
    </w:r>
    <w:r w:rsidRPr="00EA2E16">
      <w:t xml:space="preserve"> for Consultation and Local Adaptation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77E27" w14:textId="27FC67F1" w:rsidR="00452D42" w:rsidRPr="00551C93" w:rsidRDefault="00452D42" w:rsidP="00C5760C">
    <w:pPr>
      <w:pStyle w:val="Header"/>
      <w:spacing w:line="240" w:lineRule="exact"/>
      <w:rPr>
        <w:rFonts w:cs="Arial"/>
        <w:sz w:val="20"/>
        <w:szCs w:val="20"/>
      </w:rPr>
    </w:pPr>
    <w:r>
      <w:rPr>
        <w:rFonts w:cs="Arial"/>
        <w:sz w:val="20"/>
        <w:szCs w:val="20"/>
      </w:rPr>
      <w:t xml:space="preserve">Test and treat for </w:t>
    </w:r>
    <w:r>
      <w:rPr>
        <w:rFonts w:cs="Arial"/>
        <w:i/>
        <w:sz w:val="20"/>
        <w:szCs w:val="20"/>
      </w:rPr>
      <w:t xml:space="preserve">Helicobacter </w:t>
    </w:r>
    <w:r w:rsidRPr="005E226C">
      <w:rPr>
        <w:rFonts w:cs="Arial"/>
        <w:i/>
        <w:sz w:val="20"/>
        <w:szCs w:val="20"/>
      </w:rPr>
      <w:t xml:space="preserve">pylori </w:t>
    </w:r>
    <w:r w:rsidRPr="0060109F">
      <w:rPr>
        <w:rFonts w:cs="Arial"/>
        <w:sz w:val="20"/>
        <w:szCs w:val="20"/>
      </w:rPr>
      <w:t>(HP) in</w:t>
    </w:r>
    <w:r>
      <w:rPr>
        <w:rFonts w:cs="Arial"/>
        <w:sz w:val="20"/>
        <w:szCs w:val="20"/>
      </w:rPr>
      <w:t xml:space="preserve"> dyspepsia</w:t>
    </w:r>
  </w:p>
  <w:p w14:paraId="581F9EBE" w14:textId="23CFBE7E" w:rsidR="00452D42" w:rsidRPr="00C5760C" w:rsidRDefault="00452D42" w:rsidP="00C5760C">
    <w:pPr>
      <w:pStyle w:val="Header"/>
      <w:spacing w:line="240" w:lineRule="exact"/>
      <w:rPr>
        <w:rFonts w:cs="Arial"/>
        <w:sz w:val="20"/>
        <w:szCs w:val="20"/>
      </w:rPr>
    </w:pPr>
    <w:r>
      <w:rPr>
        <w:rFonts w:cs="Arial"/>
        <w:sz w:val="20"/>
        <w:szCs w:val="20"/>
      </w:rPr>
      <w:t>Quick reference guide for primary care: For consultation and local adaptation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231"/>
    <w:multiLevelType w:val="hybridMultilevel"/>
    <w:tmpl w:val="83666084"/>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E74AE9"/>
    <w:multiLevelType w:val="hybridMultilevel"/>
    <w:tmpl w:val="0E72693E"/>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12085"/>
    <w:multiLevelType w:val="hybridMultilevel"/>
    <w:tmpl w:val="AB66DC90"/>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E2690"/>
    <w:multiLevelType w:val="hybridMultilevel"/>
    <w:tmpl w:val="48127118"/>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933F2"/>
    <w:multiLevelType w:val="hybridMultilevel"/>
    <w:tmpl w:val="2FD2DA98"/>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0C6087"/>
    <w:multiLevelType w:val="hybridMultilevel"/>
    <w:tmpl w:val="0C348F38"/>
    <w:lvl w:ilvl="0" w:tplc="B030B0DE">
      <w:start w:val="1"/>
      <w:numFmt w:val="decimal"/>
      <w:lvlText w:val="%1."/>
      <w:lvlJc w:val="left"/>
      <w:pPr>
        <w:ind w:left="720" w:hanging="360"/>
      </w:pPr>
      <w:rPr>
        <w:rFonts w:ascii="Arial" w:hAnsi="Arial" w:cs="Arial" w:hint="default"/>
        <w:b w:val="0"/>
        <w:i w:val="0"/>
        <w:color w:val="auto"/>
        <w:sz w:val="22"/>
      </w:rPr>
    </w:lvl>
    <w:lvl w:ilvl="1" w:tplc="4A1C7BE4">
      <w:numFmt w:val="bullet"/>
      <w:lvlText w:val="-"/>
      <w:lvlJc w:val="left"/>
      <w:pPr>
        <w:ind w:left="1440" w:hanging="360"/>
      </w:pPr>
      <w:rPr>
        <w:rFonts w:ascii="Times New Roman" w:eastAsia="Times New Roman" w:hAnsi="Times New Roman" w:cs="Times New Roman" w:hint="default"/>
      </w:rPr>
    </w:lvl>
    <w:lvl w:ilvl="2" w:tplc="CA744C10">
      <w:start w:val="1"/>
      <w:numFmt w:val="lowerLetter"/>
      <w:lvlText w:val="(%3)"/>
      <w:lvlJc w:val="left"/>
      <w:pPr>
        <w:ind w:left="2340" w:hanging="360"/>
      </w:pPr>
      <w:rPr>
        <w:rFonts w:hint="default"/>
        <w:i w:val="0"/>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FC2E61"/>
    <w:multiLevelType w:val="hybridMultilevel"/>
    <w:tmpl w:val="57CC98AE"/>
    <w:lvl w:ilvl="0" w:tplc="B516A1EC">
      <w:start w:val="1"/>
      <w:numFmt w:val="bullet"/>
      <w:lvlText w:val=""/>
      <w:lvlJc w:val="left"/>
      <w:pPr>
        <w:ind w:left="360" w:hanging="360"/>
      </w:pPr>
      <w:rPr>
        <w:rFonts w:ascii="Wingdings" w:hAnsi="Wingdings" w:hint="default"/>
        <w:color w:val="98002E"/>
        <w:sz w:val="24"/>
        <w:szCs w:val="24"/>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310849"/>
    <w:multiLevelType w:val="hybridMultilevel"/>
    <w:tmpl w:val="A5AEB020"/>
    <w:lvl w:ilvl="0" w:tplc="9984D804">
      <w:start w:val="1"/>
      <w:numFmt w:val="bullet"/>
      <w:lvlText w:val=""/>
      <w:lvlJc w:val="left"/>
      <w:pPr>
        <w:ind w:left="1069" w:hanging="360"/>
      </w:pPr>
      <w:rPr>
        <w:rFonts w:ascii="Symbol" w:hAnsi="Symbol" w:hint="default"/>
        <w:color w:val="98002E"/>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1C4D6190"/>
    <w:multiLevelType w:val="hybridMultilevel"/>
    <w:tmpl w:val="2FC6041C"/>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7B520C"/>
    <w:multiLevelType w:val="hybridMultilevel"/>
    <w:tmpl w:val="990A90B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64DFC"/>
    <w:multiLevelType w:val="hybridMultilevel"/>
    <w:tmpl w:val="3956F448"/>
    <w:lvl w:ilvl="0" w:tplc="32D2F30C">
      <w:start w:val="1"/>
      <w:numFmt w:val="decimal"/>
      <w:lvlText w:val="%1."/>
      <w:lvlJc w:val="left"/>
      <w:pPr>
        <w:ind w:left="360" w:hanging="360"/>
      </w:pPr>
      <w:rPr>
        <w:rFonts w:hint="default"/>
        <w:i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F40569B"/>
    <w:multiLevelType w:val="hybridMultilevel"/>
    <w:tmpl w:val="A4C46BE6"/>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3320B"/>
    <w:multiLevelType w:val="hybridMultilevel"/>
    <w:tmpl w:val="35C2D622"/>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190DA5"/>
    <w:multiLevelType w:val="hybridMultilevel"/>
    <w:tmpl w:val="04EE74F2"/>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DF24D5"/>
    <w:multiLevelType w:val="hybridMultilevel"/>
    <w:tmpl w:val="157A473A"/>
    <w:lvl w:ilvl="0" w:tplc="E7C4D39E">
      <w:start w:val="1"/>
      <w:numFmt w:val="decimal"/>
      <w:lvlText w:val="%1."/>
      <w:lvlJc w:val="left"/>
      <w:pPr>
        <w:ind w:left="360" w:hanging="360"/>
      </w:pPr>
      <w:rPr>
        <w:rFonts w:hint="default"/>
        <w:i w:val="0"/>
        <w:color w:val="auto"/>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49080E"/>
    <w:multiLevelType w:val="hybridMultilevel"/>
    <w:tmpl w:val="5E06658C"/>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2845D7"/>
    <w:multiLevelType w:val="hybridMultilevel"/>
    <w:tmpl w:val="12F4703E"/>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632386"/>
    <w:multiLevelType w:val="hybridMultilevel"/>
    <w:tmpl w:val="E5544A00"/>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845C64"/>
    <w:multiLevelType w:val="hybridMultilevel"/>
    <w:tmpl w:val="74242A6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5DD6538"/>
    <w:multiLevelType w:val="hybridMultilevel"/>
    <w:tmpl w:val="DC401266"/>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F13EF5"/>
    <w:multiLevelType w:val="hybridMultilevel"/>
    <w:tmpl w:val="E9F030B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36E7C"/>
    <w:multiLevelType w:val="hybridMultilevel"/>
    <w:tmpl w:val="CE96D498"/>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4197C"/>
    <w:multiLevelType w:val="hybridMultilevel"/>
    <w:tmpl w:val="CBA03EC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0E35198"/>
    <w:multiLevelType w:val="hybridMultilevel"/>
    <w:tmpl w:val="FF4CCADC"/>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411D4F"/>
    <w:multiLevelType w:val="hybridMultilevel"/>
    <w:tmpl w:val="25F23D10"/>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9432F7"/>
    <w:multiLevelType w:val="hybridMultilevel"/>
    <w:tmpl w:val="05ACD65A"/>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0A18C2"/>
    <w:multiLevelType w:val="hybridMultilevel"/>
    <w:tmpl w:val="E67CD81C"/>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967418"/>
    <w:multiLevelType w:val="hybridMultilevel"/>
    <w:tmpl w:val="3D2AD67E"/>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E57448"/>
    <w:multiLevelType w:val="hybridMultilevel"/>
    <w:tmpl w:val="BA70F742"/>
    <w:lvl w:ilvl="0" w:tplc="51464052">
      <w:start w:val="1"/>
      <w:numFmt w:val="bullet"/>
      <w:lvlText w:val=""/>
      <w:lvlJc w:val="left"/>
      <w:pPr>
        <w:ind w:left="360" w:hanging="360"/>
      </w:pPr>
      <w:rPr>
        <w:rFonts w:ascii="Symbol" w:hAnsi="Symbol" w:hint="default"/>
        <w:color w:val="9C002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0" w15:restartNumberingAfterBreak="0">
    <w:nsid w:val="64AD0D7B"/>
    <w:multiLevelType w:val="hybridMultilevel"/>
    <w:tmpl w:val="B24C80C2"/>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126925"/>
    <w:multiLevelType w:val="hybridMultilevel"/>
    <w:tmpl w:val="D8721B3C"/>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522A85"/>
    <w:multiLevelType w:val="hybridMultilevel"/>
    <w:tmpl w:val="CA665FA4"/>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405B68"/>
    <w:multiLevelType w:val="hybridMultilevel"/>
    <w:tmpl w:val="F0662CCA"/>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84405B"/>
    <w:multiLevelType w:val="hybridMultilevel"/>
    <w:tmpl w:val="CEAADF22"/>
    <w:lvl w:ilvl="0" w:tplc="AD9846D4">
      <w:start w:val="1"/>
      <w:numFmt w:val="bullet"/>
      <w:lvlText w:val=""/>
      <w:lvlJc w:val="left"/>
      <w:pPr>
        <w:ind w:left="360" w:hanging="360"/>
      </w:pPr>
      <w:rPr>
        <w:rFonts w:ascii="Wingdings" w:hAnsi="Wingdings" w:hint="default"/>
        <w:color w:val="98002E"/>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746ECB"/>
    <w:multiLevelType w:val="hybridMultilevel"/>
    <w:tmpl w:val="F28C9D7E"/>
    <w:lvl w:ilvl="0" w:tplc="05640FF4">
      <w:start w:val="1"/>
      <w:numFmt w:val="bullet"/>
      <w:lvlText w:val=""/>
      <w:lvlJc w:val="left"/>
      <w:pPr>
        <w:ind w:left="360" w:hanging="360"/>
      </w:pPr>
      <w:rPr>
        <w:rFonts w:ascii="Wingdings" w:hAnsi="Wingdings" w:hint="default"/>
        <w:color w:val="98002E"/>
      </w:rPr>
    </w:lvl>
    <w:lvl w:ilvl="1" w:tplc="91E48234">
      <w:start w:val="1"/>
      <w:numFmt w:val="bullet"/>
      <w:lvlText w:val=""/>
      <w:lvlJc w:val="left"/>
      <w:pPr>
        <w:ind w:left="1069" w:hanging="360"/>
      </w:pPr>
      <w:rPr>
        <w:rFonts w:ascii="Symbol" w:hAnsi="Symbol" w:hint="default"/>
        <w:color w:val="98002E"/>
      </w:rPr>
    </w:lvl>
    <w:lvl w:ilvl="2" w:tplc="9984D804">
      <w:start w:val="1"/>
      <w:numFmt w:val="bullet"/>
      <w:lvlText w:val=""/>
      <w:lvlJc w:val="left"/>
      <w:pPr>
        <w:ind w:left="1494" w:hanging="360"/>
      </w:pPr>
      <w:rPr>
        <w:rFonts w:ascii="Symbol" w:hAnsi="Symbol" w:hint="default"/>
        <w:color w:val="98002E"/>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4D96DBF"/>
    <w:multiLevelType w:val="hybridMultilevel"/>
    <w:tmpl w:val="EA764A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EC2BDC"/>
    <w:multiLevelType w:val="hybridMultilevel"/>
    <w:tmpl w:val="BCF0FE00"/>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A0342E"/>
    <w:multiLevelType w:val="hybridMultilevel"/>
    <w:tmpl w:val="F08A785C"/>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32"/>
  </w:num>
  <w:num w:numId="3">
    <w:abstractNumId w:val="11"/>
  </w:num>
  <w:num w:numId="4">
    <w:abstractNumId w:val="9"/>
  </w:num>
  <w:num w:numId="5">
    <w:abstractNumId w:val="20"/>
  </w:num>
  <w:num w:numId="6">
    <w:abstractNumId w:val="27"/>
  </w:num>
  <w:num w:numId="7">
    <w:abstractNumId w:val="1"/>
  </w:num>
  <w:num w:numId="8">
    <w:abstractNumId w:val="2"/>
  </w:num>
  <w:num w:numId="9">
    <w:abstractNumId w:val="21"/>
  </w:num>
  <w:num w:numId="10">
    <w:abstractNumId w:val="29"/>
  </w:num>
  <w:num w:numId="11">
    <w:abstractNumId w:val="15"/>
  </w:num>
  <w:num w:numId="12">
    <w:abstractNumId w:val="23"/>
  </w:num>
  <w:num w:numId="13">
    <w:abstractNumId w:val="26"/>
  </w:num>
  <w:num w:numId="14">
    <w:abstractNumId w:val="38"/>
  </w:num>
  <w:num w:numId="15">
    <w:abstractNumId w:val="34"/>
  </w:num>
  <w:num w:numId="16">
    <w:abstractNumId w:val="24"/>
  </w:num>
  <w:num w:numId="17">
    <w:abstractNumId w:val="17"/>
  </w:num>
  <w:num w:numId="18">
    <w:abstractNumId w:val="30"/>
  </w:num>
  <w:num w:numId="19">
    <w:abstractNumId w:val="33"/>
  </w:num>
  <w:num w:numId="20">
    <w:abstractNumId w:val="19"/>
  </w:num>
  <w:num w:numId="21">
    <w:abstractNumId w:val="6"/>
  </w:num>
  <w:num w:numId="22">
    <w:abstractNumId w:val="8"/>
  </w:num>
  <w:num w:numId="23">
    <w:abstractNumId w:val="4"/>
  </w:num>
  <w:num w:numId="24">
    <w:abstractNumId w:val="35"/>
  </w:num>
  <w:num w:numId="25">
    <w:abstractNumId w:val="13"/>
  </w:num>
  <w:num w:numId="26">
    <w:abstractNumId w:val="31"/>
  </w:num>
  <w:num w:numId="27">
    <w:abstractNumId w:val="12"/>
  </w:num>
  <w:num w:numId="28">
    <w:abstractNumId w:val="0"/>
  </w:num>
  <w:num w:numId="29">
    <w:abstractNumId w:val="7"/>
  </w:num>
  <w:num w:numId="30">
    <w:abstractNumId w:val="37"/>
  </w:num>
  <w:num w:numId="31">
    <w:abstractNumId w:val="3"/>
  </w:num>
  <w:num w:numId="32">
    <w:abstractNumId w:val="14"/>
  </w:num>
  <w:num w:numId="33">
    <w:abstractNumId w:val="28"/>
  </w:num>
  <w:num w:numId="34">
    <w:abstractNumId w:val="5"/>
  </w:num>
  <w:num w:numId="35">
    <w:abstractNumId w:val="18"/>
  </w:num>
  <w:num w:numId="36">
    <w:abstractNumId w:val="22"/>
  </w:num>
  <w:num w:numId="37">
    <w:abstractNumId w:val="36"/>
  </w:num>
  <w:num w:numId="38">
    <w:abstractNumId w:val="16"/>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685"/>
    <w:rsid w:val="0000243A"/>
    <w:rsid w:val="0001279C"/>
    <w:rsid w:val="0002734B"/>
    <w:rsid w:val="000402FF"/>
    <w:rsid w:val="0004126B"/>
    <w:rsid w:val="00063650"/>
    <w:rsid w:val="0006367F"/>
    <w:rsid w:val="00071B87"/>
    <w:rsid w:val="000753E2"/>
    <w:rsid w:val="00080B73"/>
    <w:rsid w:val="0008120C"/>
    <w:rsid w:val="00082514"/>
    <w:rsid w:val="000874B4"/>
    <w:rsid w:val="00090CBD"/>
    <w:rsid w:val="000927FF"/>
    <w:rsid w:val="00097412"/>
    <w:rsid w:val="000A35A2"/>
    <w:rsid w:val="000B3F09"/>
    <w:rsid w:val="000C12EF"/>
    <w:rsid w:val="000C1491"/>
    <w:rsid w:val="000C47C6"/>
    <w:rsid w:val="000E14D4"/>
    <w:rsid w:val="000F71CC"/>
    <w:rsid w:val="0010407D"/>
    <w:rsid w:val="00111CDB"/>
    <w:rsid w:val="00112F5B"/>
    <w:rsid w:val="00115A7E"/>
    <w:rsid w:val="00116451"/>
    <w:rsid w:val="00122CBD"/>
    <w:rsid w:val="00123182"/>
    <w:rsid w:val="0012593C"/>
    <w:rsid w:val="00125CF4"/>
    <w:rsid w:val="00126ED7"/>
    <w:rsid w:val="00131DA6"/>
    <w:rsid w:val="00140232"/>
    <w:rsid w:val="00154737"/>
    <w:rsid w:val="0016196E"/>
    <w:rsid w:val="00161E5B"/>
    <w:rsid w:val="00163185"/>
    <w:rsid w:val="00163E36"/>
    <w:rsid w:val="0016609C"/>
    <w:rsid w:val="001660D6"/>
    <w:rsid w:val="00166A57"/>
    <w:rsid w:val="001677C3"/>
    <w:rsid w:val="001718C2"/>
    <w:rsid w:val="001760BD"/>
    <w:rsid w:val="00182465"/>
    <w:rsid w:val="00186FFC"/>
    <w:rsid w:val="0019549A"/>
    <w:rsid w:val="001958FA"/>
    <w:rsid w:val="001A282C"/>
    <w:rsid w:val="001A345A"/>
    <w:rsid w:val="001A3461"/>
    <w:rsid w:val="001B1273"/>
    <w:rsid w:val="001B48A0"/>
    <w:rsid w:val="001B79F9"/>
    <w:rsid w:val="001C1A64"/>
    <w:rsid w:val="001C3ECA"/>
    <w:rsid w:val="001D0614"/>
    <w:rsid w:val="001D0A92"/>
    <w:rsid w:val="001D2760"/>
    <w:rsid w:val="001D7EE8"/>
    <w:rsid w:val="001E79D4"/>
    <w:rsid w:val="001F083A"/>
    <w:rsid w:val="002033EE"/>
    <w:rsid w:val="0020461F"/>
    <w:rsid w:val="00206BEF"/>
    <w:rsid w:val="00207CBE"/>
    <w:rsid w:val="00210FEB"/>
    <w:rsid w:val="0021406C"/>
    <w:rsid w:val="0022198D"/>
    <w:rsid w:val="002229F5"/>
    <w:rsid w:val="00224EF5"/>
    <w:rsid w:val="0023206E"/>
    <w:rsid w:val="0023283E"/>
    <w:rsid w:val="002348BA"/>
    <w:rsid w:val="00242D64"/>
    <w:rsid w:val="00243005"/>
    <w:rsid w:val="00245DD2"/>
    <w:rsid w:val="00251AD3"/>
    <w:rsid w:val="002527EF"/>
    <w:rsid w:val="00257129"/>
    <w:rsid w:val="00257D48"/>
    <w:rsid w:val="00266F51"/>
    <w:rsid w:val="002673AC"/>
    <w:rsid w:val="002757D0"/>
    <w:rsid w:val="0027661D"/>
    <w:rsid w:val="0028507C"/>
    <w:rsid w:val="0029494A"/>
    <w:rsid w:val="002A7447"/>
    <w:rsid w:val="002B1208"/>
    <w:rsid w:val="002B3687"/>
    <w:rsid w:val="002B63FA"/>
    <w:rsid w:val="002D3A16"/>
    <w:rsid w:val="002D483F"/>
    <w:rsid w:val="002E0707"/>
    <w:rsid w:val="002F27A7"/>
    <w:rsid w:val="002F3653"/>
    <w:rsid w:val="002F662E"/>
    <w:rsid w:val="003001AA"/>
    <w:rsid w:val="00301DE8"/>
    <w:rsid w:val="00303156"/>
    <w:rsid w:val="00306E63"/>
    <w:rsid w:val="00316063"/>
    <w:rsid w:val="003253D6"/>
    <w:rsid w:val="0034137A"/>
    <w:rsid w:val="003475E4"/>
    <w:rsid w:val="003512D1"/>
    <w:rsid w:val="00351995"/>
    <w:rsid w:val="00354F45"/>
    <w:rsid w:val="00356A9A"/>
    <w:rsid w:val="003609F1"/>
    <w:rsid w:val="00361834"/>
    <w:rsid w:val="00362E87"/>
    <w:rsid w:val="00373065"/>
    <w:rsid w:val="00375C1B"/>
    <w:rsid w:val="00380058"/>
    <w:rsid w:val="00380947"/>
    <w:rsid w:val="00380FA7"/>
    <w:rsid w:val="00384E95"/>
    <w:rsid w:val="00391C05"/>
    <w:rsid w:val="00393263"/>
    <w:rsid w:val="0039600D"/>
    <w:rsid w:val="003A02FE"/>
    <w:rsid w:val="003B3072"/>
    <w:rsid w:val="003B3F24"/>
    <w:rsid w:val="003B5259"/>
    <w:rsid w:val="003B6FC1"/>
    <w:rsid w:val="003C6713"/>
    <w:rsid w:val="003C738D"/>
    <w:rsid w:val="003D119E"/>
    <w:rsid w:val="003E6FEE"/>
    <w:rsid w:val="00407B6D"/>
    <w:rsid w:val="0041246A"/>
    <w:rsid w:val="00414651"/>
    <w:rsid w:val="00415376"/>
    <w:rsid w:val="00422B9C"/>
    <w:rsid w:val="004276DA"/>
    <w:rsid w:val="00427B70"/>
    <w:rsid w:val="00433A68"/>
    <w:rsid w:val="00433C50"/>
    <w:rsid w:val="00435949"/>
    <w:rsid w:val="00440C32"/>
    <w:rsid w:val="00443336"/>
    <w:rsid w:val="004444E4"/>
    <w:rsid w:val="00451C95"/>
    <w:rsid w:val="00452D42"/>
    <w:rsid w:val="0046303A"/>
    <w:rsid w:val="0047112E"/>
    <w:rsid w:val="00474968"/>
    <w:rsid w:val="00474D6B"/>
    <w:rsid w:val="0048111E"/>
    <w:rsid w:val="00485EFA"/>
    <w:rsid w:val="00491D89"/>
    <w:rsid w:val="004960D4"/>
    <w:rsid w:val="00497618"/>
    <w:rsid w:val="004A0C22"/>
    <w:rsid w:val="004A40C4"/>
    <w:rsid w:val="004B3364"/>
    <w:rsid w:val="004B48CC"/>
    <w:rsid w:val="004B641B"/>
    <w:rsid w:val="004B7580"/>
    <w:rsid w:val="004C014B"/>
    <w:rsid w:val="004C22AB"/>
    <w:rsid w:val="004C68A2"/>
    <w:rsid w:val="004C73E1"/>
    <w:rsid w:val="004F0AC6"/>
    <w:rsid w:val="004F23C4"/>
    <w:rsid w:val="0050002D"/>
    <w:rsid w:val="00501540"/>
    <w:rsid w:val="005032F8"/>
    <w:rsid w:val="00505945"/>
    <w:rsid w:val="00511BB9"/>
    <w:rsid w:val="00516F59"/>
    <w:rsid w:val="005174F5"/>
    <w:rsid w:val="00520E65"/>
    <w:rsid w:val="00523323"/>
    <w:rsid w:val="00524504"/>
    <w:rsid w:val="00530A54"/>
    <w:rsid w:val="00531D26"/>
    <w:rsid w:val="00534E3D"/>
    <w:rsid w:val="00541738"/>
    <w:rsid w:val="00546D76"/>
    <w:rsid w:val="00551C93"/>
    <w:rsid w:val="00552067"/>
    <w:rsid w:val="00552315"/>
    <w:rsid w:val="00554B29"/>
    <w:rsid w:val="0055534C"/>
    <w:rsid w:val="0055623A"/>
    <w:rsid w:val="00563553"/>
    <w:rsid w:val="00564F37"/>
    <w:rsid w:val="005661AE"/>
    <w:rsid w:val="0057073D"/>
    <w:rsid w:val="0057262C"/>
    <w:rsid w:val="00577D86"/>
    <w:rsid w:val="00587317"/>
    <w:rsid w:val="005879D0"/>
    <w:rsid w:val="005907DA"/>
    <w:rsid w:val="00590B02"/>
    <w:rsid w:val="005917B9"/>
    <w:rsid w:val="00596646"/>
    <w:rsid w:val="005A215B"/>
    <w:rsid w:val="005B21E3"/>
    <w:rsid w:val="005B3409"/>
    <w:rsid w:val="005C26BC"/>
    <w:rsid w:val="005D139F"/>
    <w:rsid w:val="005D5EF6"/>
    <w:rsid w:val="005D6938"/>
    <w:rsid w:val="005E1323"/>
    <w:rsid w:val="005E1CB9"/>
    <w:rsid w:val="005E1EA9"/>
    <w:rsid w:val="005E226C"/>
    <w:rsid w:val="005E4C59"/>
    <w:rsid w:val="005F437A"/>
    <w:rsid w:val="005F4758"/>
    <w:rsid w:val="005F6D92"/>
    <w:rsid w:val="0060085F"/>
    <w:rsid w:val="0060109F"/>
    <w:rsid w:val="00605685"/>
    <w:rsid w:val="00622838"/>
    <w:rsid w:val="0062470A"/>
    <w:rsid w:val="00624B7E"/>
    <w:rsid w:val="00630D09"/>
    <w:rsid w:val="006327E7"/>
    <w:rsid w:val="00636EBD"/>
    <w:rsid w:val="00647D17"/>
    <w:rsid w:val="00652379"/>
    <w:rsid w:val="00653634"/>
    <w:rsid w:val="006571E8"/>
    <w:rsid w:val="00671BEA"/>
    <w:rsid w:val="0067343F"/>
    <w:rsid w:val="00693724"/>
    <w:rsid w:val="00695F1C"/>
    <w:rsid w:val="006A4412"/>
    <w:rsid w:val="006B3140"/>
    <w:rsid w:val="006B67D0"/>
    <w:rsid w:val="006C1C74"/>
    <w:rsid w:val="006C3875"/>
    <w:rsid w:val="006C6BDB"/>
    <w:rsid w:val="006D1208"/>
    <w:rsid w:val="006D4343"/>
    <w:rsid w:val="006E515B"/>
    <w:rsid w:val="006F112B"/>
    <w:rsid w:val="007023CA"/>
    <w:rsid w:val="007028F1"/>
    <w:rsid w:val="00704D05"/>
    <w:rsid w:val="00707874"/>
    <w:rsid w:val="00712F32"/>
    <w:rsid w:val="00715525"/>
    <w:rsid w:val="00717995"/>
    <w:rsid w:val="00722808"/>
    <w:rsid w:val="0073175C"/>
    <w:rsid w:val="00731E75"/>
    <w:rsid w:val="00732DD0"/>
    <w:rsid w:val="00733D89"/>
    <w:rsid w:val="00734883"/>
    <w:rsid w:val="007442D9"/>
    <w:rsid w:val="00753D82"/>
    <w:rsid w:val="0075536A"/>
    <w:rsid w:val="00764620"/>
    <w:rsid w:val="00786C9D"/>
    <w:rsid w:val="007A0EA9"/>
    <w:rsid w:val="007A7BD3"/>
    <w:rsid w:val="007C1F0A"/>
    <w:rsid w:val="007C6DE9"/>
    <w:rsid w:val="007D5641"/>
    <w:rsid w:val="007D7C10"/>
    <w:rsid w:val="007E50E3"/>
    <w:rsid w:val="007F0F27"/>
    <w:rsid w:val="007F6C8B"/>
    <w:rsid w:val="0080025E"/>
    <w:rsid w:val="008006EE"/>
    <w:rsid w:val="00804D31"/>
    <w:rsid w:val="008237E3"/>
    <w:rsid w:val="00827424"/>
    <w:rsid w:val="008275D6"/>
    <w:rsid w:val="00831EAE"/>
    <w:rsid w:val="0083245B"/>
    <w:rsid w:val="00836561"/>
    <w:rsid w:val="008376B6"/>
    <w:rsid w:val="0084256F"/>
    <w:rsid w:val="00845187"/>
    <w:rsid w:val="0085144C"/>
    <w:rsid w:val="00853896"/>
    <w:rsid w:val="0086150D"/>
    <w:rsid w:val="00864168"/>
    <w:rsid w:val="00866932"/>
    <w:rsid w:val="00867FF5"/>
    <w:rsid w:val="00877CFA"/>
    <w:rsid w:val="008813BD"/>
    <w:rsid w:val="00887BD8"/>
    <w:rsid w:val="008901DD"/>
    <w:rsid w:val="00892A5B"/>
    <w:rsid w:val="00892A87"/>
    <w:rsid w:val="008957EC"/>
    <w:rsid w:val="008966A8"/>
    <w:rsid w:val="008A1058"/>
    <w:rsid w:val="008A4ECE"/>
    <w:rsid w:val="008A60B5"/>
    <w:rsid w:val="008A6E4F"/>
    <w:rsid w:val="008A7219"/>
    <w:rsid w:val="008B4C20"/>
    <w:rsid w:val="008B7A8D"/>
    <w:rsid w:val="008C02AD"/>
    <w:rsid w:val="008C19B7"/>
    <w:rsid w:val="008C1A74"/>
    <w:rsid w:val="008C249F"/>
    <w:rsid w:val="008E03DD"/>
    <w:rsid w:val="008E17D0"/>
    <w:rsid w:val="008E3258"/>
    <w:rsid w:val="008F2876"/>
    <w:rsid w:val="008F2E88"/>
    <w:rsid w:val="008F51BB"/>
    <w:rsid w:val="008F5975"/>
    <w:rsid w:val="0090398D"/>
    <w:rsid w:val="00905264"/>
    <w:rsid w:val="0090701E"/>
    <w:rsid w:val="00910969"/>
    <w:rsid w:val="00913150"/>
    <w:rsid w:val="0092460E"/>
    <w:rsid w:val="0093381E"/>
    <w:rsid w:val="009365B4"/>
    <w:rsid w:val="009415BB"/>
    <w:rsid w:val="00941946"/>
    <w:rsid w:val="00952823"/>
    <w:rsid w:val="00955B58"/>
    <w:rsid w:val="00963A2C"/>
    <w:rsid w:val="009644F3"/>
    <w:rsid w:val="00965747"/>
    <w:rsid w:val="00965B48"/>
    <w:rsid w:val="009731AE"/>
    <w:rsid w:val="009746BB"/>
    <w:rsid w:val="00974AA1"/>
    <w:rsid w:val="00985E09"/>
    <w:rsid w:val="009863F5"/>
    <w:rsid w:val="009938DD"/>
    <w:rsid w:val="00995EF5"/>
    <w:rsid w:val="009962B8"/>
    <w:rsid w:val="009A1170"/>
    <w:rsid w:val="009A4DA7"/>
    <w:rsid w:val="009A6F2B"/>
    <w:rsid w:val="009A70DD"/>
    <w:rsid w:val="009B1F35"/>
    <w:rsid w:val="009B471D"/>
    <w:rsid w:val="009B7E0B"/>
    <w:rsid w:val="009C08F7"/>
    <w:rsid w:val="009C5F31"/>
    <w:rsid w:val="009C79BA"/>
    <w:rsid w:val="009D3EB3"/>
    <w:rsid w:val="009E0C89"/>
    <w:rsid w:val="009E1133"/>
    <w:rsid w:val="009E64F3"/>
    <w:rsid w:val="009E7B38"/>
    <w:rsid w:val="009F322C"/>
    <w:rsid w:val="00A13253"/>
    <w:rsid w:val="00A166D3"/>
    <w:rsid w:val="00A23435"/>
    <w:rsid w:val="00A259B3"/>
    <w:rsid w:val="00A26CBA"/>
    <w:rsid w:val="00A275E2"/>
    <w:rsid w:val="00A31689"/>
    <w:rsid w:val="00A37E91"/>
    <w:rsid w:val="00A447B8"/>
    <w:rsid w:val="00A45047"/>
    <w:rsid w:val="00A56895"/>
    <w:rsid w:val="00A61CAF"/>
    <w:rsid w:val="00A65D31"/>
    <w:rsid w:val="00A71394"/>
    <w:rsid w:val="00A81087"/>
    <w:rsid w:val="00A81DA3"/>
    <w:rsid w:val="00A91830"/>
    <w:rsid w:val="00A92061"/>
    <w:rsid w:val="00A94B92"/>
    <w:rsid w:val="00A97A26"/>
    <w:rsid w:val="00A97D66"/>
    <w:rsid w:val="00AA06F2"/>
    <w:rsid w:val="00AA0C1A"/>
    <w:rsid w:val="00AA6432"/>
    <w:rsid w:val="00AB095A"/>
    <w:rsid w:val="00AB26C2"/>
    <w:rsid w:val="00AB2B79"/>
    <w:rsid w:val="00AB570B"/>
    <w:rsid w:val="00AC1E5D"/>
    <w:rsid w:val="00AD20F4"/>
    <w:rsid w:val="00AF11E1"/>
    <w:rsid w:val="00AF23A7"/>
    <w:rsid w:val="00AF649B"/>
    <w:rsid w:val="00B008F4"/>
    <w:rsid w:val="00B03B74"/>
    <w:rsid w:val="00B10D07"/>
    <w:rsid w:val="00B175DB"/>
    <w:rsid w:val="00B219B9"/>
    <w:rsid w:val="00B2307A"/>
    <w:rsid w:val="00B35280"/>
    <w:rsid w:val="00B35C16"/>
    <w:rsid w:val="00B40E86"/>
    <w:rsid w:val="00B47E45"/>
    <w:rsid w:val="00B47EAD"/>
    <w:rsid w:val="00B61861"/>
    <w:rsid w:val="00B67AEC"/>
    <w:rsid w:val="00B725AC"/>
    <w:rsid w:val="00B752EA"/>
    <w:rsid w:val="00B76BE8"/>
    <w:rsid w:val="00B93282"/>
    <w:rsid w:val="00B94F1B"/>
    <w:rsid w:val="00B963DF"/>
    <w:rsid w:val="00BA0600"/>
    <w:rsid w:val="00BB4558"/>
    <w:rsid w:val="00BD3719"/>
    <w:rsid w:val="00BE087A"/>
    <w:rsid w:val="00BE5EF3"/>
    <w:rsid w:val="00BF17EA"/>
    <w:rsid w:val="00C03755"/>
    <w:rsid w:val="00C056FF"/>
    <w:rsid w:val="00C1255D"/>
    <w:rsid w:val="00C130FB"/>
    <w:rsid w:val="00C159FB"/>
    <w:rsid w:val="00C168B8"/>
    <w:rsid w:val="00C20384"/>
    <w:rsid w:val="00C253A1"/>
    <w:rsid w:val="00C313CC"/>
    <w:rsid w:val="00C327D4"/>
    <w:rsid w:val="00C41056"/>
    <w:rsid w:val="00C45A4B"/>
    <w:rsid w:val="00C47F09"/>
    <w:rsid w:val="00C55FDF"/>
    <w:rsid w:val="00C565D7"/>
    <w:rsid w:val="00C5760C"/>
    <w:rsid w:val="00C73071"/>
    <w:rsid w:val="00C846F7"/>
    <w:rsid w:val="00C86367"/>
    <w:rsid w:val="00C87116"/>
    <w:rsid w:val="00C97548"/>
    <w:rsid w:val="00CA24E5"/>
    <w:rsid w:val="00CA4B0C"/>
    <w:rsid w:val="00CA5B58"/>
    <w:rsid w:val="00CB46A7"/>
    <w:rsid w:val="00CB7653"/>
    <w:rsid w:val="00CC1353"/>
    <w:rsid w:val="00CC68CF"/>
    <w:rsid w:val="00CC7A70"/>
    <w:rsid w:val="00CD070D"/>
    <w:rsid w:val="00CD0F6C"/>
    <w:rsid w:val="00CD12CD"/>
    <w:rsid w:val="00CD13F9"/>
    <w:rsid w:val="00CD4C73"/>
    <w:rsid w:val="00CD53D1"/>
    <w:rsid w:val="00CD652B"/>
    <w:rsid w:val="00CD6DE1"/>
    <w:rsid w:val="00CD7F0D"/>
    <w:rsid w:val="00CE77CD"/>
    <w:rsid w:val="00CF6BC8"/>
    <w:rsid w:val="00D01060"/>
    <w:rsid w:val="00D04C8D"/>
    <w:rsid w:val="00D051C5"/>
    <w:rsid w:val="00D14635"/>
    <w:rsid w:val="00D164A1"/>
    <w:rsid w:val="00D211D4"/>
    <w:rsid w:val="00D26DCE"/>
    <w:rsid w:val="00D313E4"/>
    <w:rsid w:val="00D34312"/>
    <w:rsid w:val="00D40407"/>
    <w:rsid w:val="00D412D4"/>
    <w:rsid w:val="00D41AD9"/>
    <w:rsid w:val="00D44C4A"/>
    <w:rsid w:val="00D503A6"/>
    <w:rsid w:val="00D517F2"/>
    <w:rsid w:val="00D54A68"/>
    <w:rsid w:val="00D54E45"/>
    <w:rsid w:val="00D564B0"/>
    <w:rsid w:val="00D63535"/>
    <w:rsid w:val="00D65769"/>
    <w:rsid w:val="00D67CBE"/>
    <w:rsid w:val="00D86868"/>
    <w:rsid w:val="00D91D41"/>
    <w:rsid w:val="00DA0AFC"/>
    <w:rsid w:val="00DA2958"/>
    <w:rsid w:val="00DB3EF2"/>
    <w:rsid w:val="00DB557D"/>
    <w:rsid w:val="00DB756A"/>
    <w:rsid w:val="00DC0E18"/>
    <w:rsid w:val="00DE310B"/>
    <w:rsid w:val="00DE541D"/>
    <w:rsid w:val="00DF11CC"/>
    <w:rsid w:val="00DF27AA"/>
    <w:rsid w:val="00DF4F6D"/>
    <w:rsid w:val="00E10F5B"/>
    <w:rsid w:val="00E145DE"/>
    <w:rsid w:val="00E1644D"/>
    <w:rsid w:val="00E2120F"/>
    <w:rsid w:val="00E254A3"/>
    <w:rsid w:val="00E26C1B"/>
    <w:rsid w:val="00E330FA"/>
    <w:rsid w:val="00E3390E"/>
    <w:rsid w:val="00E3479D"/>
    <w:rsid w:val="00E40D13"/>
    <w:rsid w:val="00E54015"/>
    <w:rsid w:val="00E603B1"/>
    <w:rsid w:val="00E6197B"/>
    <w:rsid w:val="00E70C57"/>
    <w:rsid w:val="00E725D9"/>
    <w:rsid w:val="00E72F18"/>
    <w:rsid w:val="00E733AF"/>
    <w:rsid w:val="00E7521B"/>
    <w:rsid w:val="00E7794E"/>
    <w:rsid w:val="00E826BF"/>
    <w:rsid w:val="00E8443B"/>
    <w:rsid w:val="00E848F7"/>
    <w:rsid w:val="00E93A4D"/>
    <w:rsid w:val="00E9729B"/>
    <w:rsid w:val="00EA0063"/>
    <w:rsid w:val="00EB5731"/>
    <w:rsid w:val="00EC0AF3"/>
    <w:rsid w:val="00EC444B"/>
    <w:rsid w:val="00EC4C4B"/>
    <w:rsid w:val="00EC6A17"/>
    <w:rsid w:val="00EC7E63"/>
    <w:rsid w:val="00ED3D97"/>
    <w:rsid w:val="00ED43F2"/>
    <w:rsid w:val="00ED77AC"/>
    <w:rsid w:val="00ED79ED"/>
    <w:rsid w:val="00EE13D3"/>
    <w:rsid w:val="00EF1CD5"/>
    <w:rsid w:val="00F00D25"/>
    <w:rsid w:val="00F04AB2"/>
    <w:rsid w:val="00F0771B"/>
    <w:rsid w:val="00F200CA"/>
    <w:rsid w:val="00F21BF8"/>
    <w:rsid w:val="00F239EE"/>
    <w:rsid w:val="00F23A5C"/>
    <w:rsid w:val="00F24F29"/>
    <w:rsid w:val="00F31A4A"/>
    <w:rsid w:val="00F338EA"/>
    <w:rsid w:val="00F367A9"/>
    <w:rsid w:val="00F45F7A"/>
    <w:rsid w:val="00F537FE"/>
    <w:rsid w:val="00F67363"/>
    <w:rsid w:val="00F75658"/>
    <w:rsid w:val="00F76EA3"/>
    <w:rsid w:val="00F82363"/>
    <w:rsid w:val="00F82BF0"/>
    <w:rsid w:val="00F87024"/>
    <w:rsid w:val="00F94541"/>
    <w:rsid w:val="00FA0128"/>
    <w:rsid w:val="00FB29FC"/>
    <w:rsid w:val="00FB30F0"/>
    <w:rsid w:val="00FB458B"/>
    <w:rsid w:val="00FC3259"/>
    <w:rsid w:val="00FC4F09"/>
    <w:rsid w:val="00FE5026"/>
    <w:rsid w:val="00FE5A46"/>
    <w:rsid w:val="00FF1E6B"/>
    <w:rsid w:val="00FF2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FBA00F"/>
  <w15:docId w15:val="{52890CF5-A375-454E-8B23-4F0228EF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957EC"/>
    <w:pPr>
      <w:spacing w:after="0" w:line="320" w:lineRule="exact"/>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685"/>
    <w:pPr>
      <w:tabs>
        <w:tab w:val="center" w:pos="4513"/>
        <w:tab w:val="right" w:pos="9026"/>
      </w:tabs>
      <w:spacing w:line="240" w:lineRule="auto"/>
    </w:pPr>
  </w:style>
  <w:style w:type="character" w:customStyle="1" w:styleId="HeaderChar">
    <w:name w:val="Header Char"/>
    <w:basedOn w:val="DefaultParagraphFont"/>
    <w:link w:val="Header"/>
    <w:uiPriority w:val="99"/>
    <w:rsid w:val="00605685"/>
  </w:style>
  <w:style w:type="paragraph" w:styleId="Footer">
    <w:name w:val="footer"/>
    <w:basedOn w:val="Normal"/>
    <w:link w:val="FooterChar"/>
    <w:uiPriority w:val="99"/>
    <w:unhideWhenUsed/>
    <w:rsid w:val="00605685"/>
    <w:pPr>
      <w:tabs>
        <w:tab w:val="center" w:pos="4513"/>
        <w:tab w:val="right" w:pos="9026"/>
      </w:tabs>
      <w:spacing w:line="240" w:lineRule="auto"/>
    </w:pPr>
  </w:style>
  <w:style w:type="character" w:customStyle="1" w:styleId="FooterChar">
    <w:name w:val="Footer Char"/>
    <w:basedOn w:val="DefaultParagraphFont"/>
    <w:link w:val="Footer"/>
    <w:uiPriority w:val="99"/>
    <w:rsid w:val="00605685"/>
  </w:style>
  <w:style w:type="character" w:styleId="Hyperlink">
    <w:name w:val="Hyperlink"/>
    <w:basedOn w:val="DefaultParagraphFont"/>
    <w:uiPriority w:val="99"/>
    <w:unhideWhenUsed/>
    <w:rsid w:val="00EC4C4B"/>
    <w:rPr>
      <w:color w:val="98002E" w:themeColor="hyperlink"/>
      <w:u w:val="single"/>
    </w:rPr>
  </w:style>
  <w:style w:type="character" w:styleId="FollowedHyperlink">
    <w:name w:val="FollowedHyperlink"/>
    <w:basedOn w:val="DefaultParagraphFont"/>
    <w:uiPriority w:val="99"/>
    <w:semiHidden/>
    <w:unhideWhenUsed/>
    <w:rsid w:val="009644F3"/>
    <w:rPr>
      <w:color w:val="98002E" w:themeColor="followedHyperlink"/>
      <w:u w:val="single"/>
    </w:rPr>
  </w:style>
  <w:style w:type="paragraph" w:customStyle="1" w:styleId="PHEContentsTable">
    <w:name w:val="PHE Contents Table"/>
    <w:basedOn w:val="TOC1"/>
    <w:link w:val="PHEContentsTableChar"/>
    <w:rsid w:val="007442D9"/>
    <w:pPr>
      <w:tabs>
        <w:tab w:val="right" w:pos="9299"/>
      </w:tabs>
    </w:pPr>
    <w:rPr>
      <w:rFonts w:eastAsia="Times New Roman" w:cs="Times New Roman"/>
      <w:noProof/>
      <w:szCs w:val="20"/>
      <w:lang w:val="x-none"/>
    </w:rPr>
  </w:style>
  <w:style w:type="character" w:customStyle="1" w:styleId="PHEContentsTableChar">
    <w:name w:val="PHE Contents Table Char"/>
    <w:basedOn w:val="DefaultParagraphFont"/>
    <w:link w:val="PHEContentsTable"/>
    <w:rsid w:val="007442D9"/>
    <w:rPr>
      <w:rFonts w:ascii="Arial" w:eastAsia="Times New Roman" w:hAnsi="Arial" w:cs="Times New Roman"/>
      <w:noProof/>
      <w:sz w:val="24"/>
      <w:szCs w:val="20"/>
      <w:lang w:val="x-none"/>
    </w:rPr>
  </w:style>
  <w:style w:type="paragraph" w:styleId="TOC1">
    <w:name w:val="toc 1"/>
    <w:basedOn w:val="Normal"/>
    <w:next w:val="Normal"/>
    <w:autoRedefine/>
    <w:uiPriority w:val="39"/>
    <w:unhideWhenUsed/>
    <w:rsid w:val="00E254A3"/>
    <w:pPr>
      <w:tabs>
        <w:tab w:val="right" w:pos="10308"/>
      </w:tabs>
      <w:spacing w:after="120"/>
    </w:pPr>
  </w:style>
  <w:style w:type="paragraph" w:customStyle="1" w:styleId="PHEHeaderFooter">
    <w:name w:val="PHE Header / Footer"/>
    <w:basedOn w:val="Normal"/>
    <w:link w:val="PHEHeaderFooterChar"/>
    <w:rsid w:val="00415376"/>
    <w:rPr>
      <w:rFonts w:cs="Arial"/>
      <w:b/>
      <w:sz w:val="48"/>
      <w:szCs w:val="20"/>
    </w:rPr>
  </w:style>
  <w:style w:type="character" w:customStyle="1" w:styleId="PHEHeaderFooterChar">
    <w:name w:val="PHE Header / Footer Char"/>
    <w:basedOn w:val="DefaultParagraphFont"/>
    <w:link w:val="PHEHeaderFooter"/>
    <w:rsid w:val="00415376"/>
    <w:rPr>
      <w:rFonts w:ascii="Arial" w:hAnsi="Arial" w:cs="Arial"/>
      <w:b/>
      <w:sz w:val="48"/>
      <w:szCs w:val="20"/>
    </w:rPr>
  </w:style>
  <w:style w:type="paragraph" w:customStyle="1" w:styleId="PHEFrontPageMainTitle">
    <w:name w:val="PHE Front Page Main Title"/>
    <w:basedOn w:val="Normal"/>
    <w:link w:val="PHEFrontPageMainTitleChar"/>
    <w:rsid w:val="008957EC"/>
    <w:pPr>
      <w:spacing w:line="660" w:lineRule="exact"/>
    </w:pPr>
    <w:rPr>
      <w:rFonts w:cs="Arial"/>
      <w:b/>
      <w:color w:val="98002E"/>
      <w:sz w:val="52"/>
      <w:szCs w:val="52"/>
    </w:rPr>
  </w:style>
  <w:style w:type="character" w:customStyle="1" w:styleId="PHEFrontPageMainTitleChar">
    <w:name w:val="PHE Front Page Main Title Char"/>
    <w:basedOn w:val="DefaultParagraphFont"/>
    <w:link w:val="PHEFrontPageMainTitle"/>
    <w:rsid w:val="008957EC"/>
    <w:rPr>
      <w:rFonts w:ascii="Arial" w:hAnsi="Arial" w:cs="Arial"/>
      <w:b/>
      <w:color w:val="98002E"/>
      <w:sz w:val="52"/>
      <w:szCs w:val="52"/>
    </w:rPr>
  </w:style>
  <w:style w:type="paragraph" w:customStyle="1" w:styleId="PHEHeading">
    <w:name w:val="PHE Heading"/>
    <w:basedOn w:val="Normal"/>
    <w:link w:val="PHEHeadingChar"/>
    <w:rsid w:val="008957EC"/>
    <w:pPr>
      <w:spacing w:after="360" w:line="660" w:lineRule="exact"/>
      <w:ind w:right="794"/>
      <w:outlineLvl w:val="0"/>
    </w:pPr>
    <w:rPr>
      <w:rFonts w:eastAsia="Times New Roman" w:cs="Times New Roman"/>
      <w:color w:val="98002E"/>
      <w:sz w:val="48"/>
      <w:szCs w:val="48"/>
    </w:rPr>
  </w:style>
  <w:style w:type="character" w:customStyle="1" w:styleId="PHEHeadingChar">
    <w:name w:val="PHE Heading Char"/>
    <w:basedOn w:val="DefaultParagraphFont"/>
    <w:link w:val="PHEHeading"/>
    <w:rsid w:val="008957EC"/>
    <w:rPr>
      <w:rFonts w:ascii="Arial" w:eastAsia="Times New Roman" w:hAnsi="Arial" w:cs="Times New Roman"/>
      <w:color w:val="98002E"/>
      <w:sz w:val="48"/>
      <w:szCs w:val="48"/>
    </w:rPr>
  </w:style>
  <w:style w:type="paragraph" w:styleId="ListParagraph">
    <w:name w:val="List Paragraph"/>
    <w:basedOn w:val="Normal"/>
    <w:link w:val="ListParagraphChar"/>
    <w:uiPriority w:val="34"/>
    <w:qFormat/>
    <w:rsid w:val="008957EC"/>
    <w:pPr>
      <w:ind w:left="720"/>
      <w:contextualSpacing/>
    </w:pPr>
  </w:style>
  <w:style w:type="table" w:styleId="TableGrid">
    <w:name w:val="Table Grid"/>
    <w:basedOn w:val="TableNormal"/>
    <w:uiPriority w:val="59"/>
    <w:rsid w:val="0044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Hyperlink">
    <w:name w:val="PHE Hyperlink"/>
    <w:basedOn w:val="Normal"/>
    <w:link w:val="PHEHyperlinkChar"/>
    <w:rsid w:val="004444E4"/>
    <w:rPr>
      <w:color w:val="98002E"/>
    </w:rPr>
  </w:style>
  <w:style w:type="character" w:customStyle="1" w:styleId="PHEHyperlinkChar">
    <w:name w:val="PHE Hyperlink Char"/>
    <w:basedOn w:val="DefaultParagraphFont"/>
    <w:link w:val="PHEHyperlink"/>
    <w:rsid w:val="004444E4"/>
    <w:rPr>
      <w:rFonts w:ascii="Arial" w:hAnsi="Arial"/>
      <w:color w:val="98002E"/>
      <w:sz w:val="24"/>
    </w:rPr>
  </w:style>
  <w:style w:type="paragraph" w:customStyle="1" w:styleId="PHEBulletpoint">
    <w:name w:val="PHE Bulletpoint"/>
    <w:basedOn w:val="ListParagraph"/>
    <w:link w:val="PHEBulletpointChar"/>
    <w:rsid w:val="004444E4"/>
    <w:pPr>
      <w:numPr>
        <w:numId w:val="10"/>
      </w:numPr>
    </w:pPr>
    <w:rPr>
      <w:rFonts w:cs="Arial"/>
      <w:szCs w:val="24"/>
    </w:rPr>
  </w:style>
  <w:style w:type="character" w:customStyle="1" w:styleId="PHEBulletpointChar">
    <w:name w:val="PHE Bulletpoint Char"/>
    <w:basedOn w:val="DefaultParagraphFont"/>
    <w:link w:val="PHEBulletpoint"/>
    <w:rsid w:val="004444E4"/>
    <w:rPr>
      <w:rFonts w:ascii="Arial" w:hAnsi="Arial" w:cs="Arial"/>
      <w:sz w:val="24"/>
      <w:szCs w:val="24"/>
    </w:rPr>
  </w:style>
  <w:style w:type="character" w:customStyle="1" w:styleId="ListParagraphChar">
    <w:name w:val="List Paragraph Char"/>
    <w:basedOn w:val="DefaultParagraphFont"/>
    <w:link w:val="ListParagraph"/>
    <w:uiPriority w:val="34"/>
    <w:rsid w:val="00362E87"/>
    <w:rPr>
      <w:rFonts w:ascii="Arial" w:hAnsi="Arial"/>
      <w:sz w:val="24"/>
    </w:rPr>
  </w:style>
  <w:style w:type="paragraph" w:customStyle="1" w:styleId="PHESecondaryHeading">
    <w:name w:val="PHE Secondary Heading"/>
    <w:basedOn w:val="Normal"/>
    <w:link w:val="PHESecondaryHeadingChar"/>
    <w:rsid w:val="00485EFA"/>
    <w:rPr>
      <w:rFonts w:cs="Arial"/>
      <w:color w:val="98002E"/>
      <w:sz w:val="28"/>
      <w:szCs w:val="28"/>
    </w:rPr>
  </w:style>
  <w:style w:type="character" w:customStyle="1" w:styleId="PHESecondaryHeadingChar">
    <w:name w:val="PHE Secondary Heading Char"/>
    <w:basedOn w:val="DefaultParagraphFont"/>
    <w:link w:val="PHESecondaryHeading"/>
    <w:rsid w:val="00485EFA"/>
    <w:rPr>
      <w:rFonts w:ascii="Arial" w:hAnsi="Arial" w:cs="Arial"/>
      <w:color w:val="98002E"/>
      <w:sz w:val="28"/>
      <w:szCs w:val="28"/>
    </w:rPr>
  </w:style>
  <w:style w:type="character" w:styleId="CommentReference">
    <w:name w:val="annotation reference"/>
    <w:basedOn w:val="DefaultParagraphFont"/>
    <w:uiPriority w:val="99"/>
    <w:semiHidden/>
    <w:unhideWhenUsed/>
    <w:rsid w:val="00AF649B"/>
    <w:rPr>
      <w:sz w:val="16"/>
      <w:szCs w:val="16"/>
    </w:rPr>
  </w:style>
  <w:style w:type="paragraph" w:styleId="CommentText">
    <w:name w:val="annotation text"/>
    <w:basedOn w:val="Normal"/>
    <w:link w:val="CommentTextChar"/>
    <w:uiPriority w:val="99"/>
    <w:semiHidden/>
    <w:unhideWhenUsed/>
    <w:rsid w:val="00AF649B"/>
    <w:pPr>
      <w:spacing w:line="240" w:lineRule="auto"/>
    </w:pPr>
    <w:rPr>
      <w:sz w:val="20"/>
      <w:szCs w:val="20"/>
    </w:rPr>
  </w:style>
  <w:style w:type="character" w:customStyle="1" w:styleId="CommentTextChar">
    <w:name w:val="Comment Text Char"/>
    <w:basedOn w:val="DefaultParagraphFont"/>
    <w:link w:val="CommentText"/>
    <w:uiPriority w:val="99"/>
    <w:semiHidden/>
    <w:rsid w:val="00AF649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F649B"/>
    <w:rPr>
      <w:b/>
      <w:bCs/>
    </w:rPr>
  </w:style>
  <w:style w:type="character" w:customStyle="1" w:styleId="CommentSubjectChar">
    <w:name w:val="Comment Subject Char"/>
    <w:basedOn w:val="CommentTextChar"/>
    <w:link w:val="CommentSubject"/>
    <w:uiPriority w:val="99"/>
    <w:semiHidden/>
    <w:rsid w:val="00AF649B"/>
    <w:rPr>
      <w:rFonts w:ascii="Arial" w:hAnsi="Arial"/>
      <w:b/>
      <w:bCs/>
      <w:sz w:val="20"/>
      <w:szCs w:val="20"/>
    </w:rPr>
  </w:style>
  <w:style w:type="paragraph" w:styleId="BalloonText">
    <w:name w:val="Balloon Text"/>
    <w:basedOn w:val="Normal"/>
    <w:link w:val="BalloonTextChar"/>
    <w:uiPriority w:val="99"/>
    <w:semiHidden/>
    <w:unhideWhenUsed/>
    <w:rsid w:val="00AF64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PHE_uk" TargetMode="External"/><Relationship Id="rId18" Type="http://schemas.openxmlformats.org/officeDocument/2006/relationships/hyperlink" Target="mailto:TARGETAntibiotics@phe.gov.uk" TargetMode="External"/><Relationship Id="rId26" Type="http://schemas.openxmlformats.org/officeDocument/2006/relationships/hyperlink" Target="https://www.gov.uk/government/publications/infectious-diarrhoea-microbiological-examination-of-faeces" TargetMode="External"/><Relationship Id="rId39" Type="http://schemas.openxmlformats.org/officeDocument/2006/relationships/hyperlink" Target="http://www.ncbi.nlm.nih.gov/pubmed/21526656" TargetMode="External"/><Relationship Id="rId21" Type="http://schemas.openxmlformats.org/officeDocument/2006/relationships/hyperlink" Target="http://cks.nice.org.uk/" TargetMode="External"/><Relationship Id="rId34" Type="http://schemas.openxmlformats.org/officeDocument/2006/relationships/hyperlink" Target="https://www.nice.org.uk/guidance/cg184" TargetMode="External"/><Relationship Id="rId42" Type="http://schemas.openxmlformats.org/officeDocument/2006/relationships/hyperlink" Target="http://www.ncbi.nlm.nih.gov/pubmed/22469191" TargetMode="External"/><Relationship Id="rId47" Type="http://schemas.openxmlformats.org/officeDocument/2006/relationships/hyperlink" Target="http://www.ncbi.nlm.nih.gov/pubmed/21289901" TargetMode="External"/><Relationship Id="rId50" Type="http://schemas.openxmlformats.org/officeDocument/2006/relationships/hyperlink" Target="http://www.ncbi.nlm.nih.gov/pubmed/16780557" TargetMode="External"/><Relationship Id="rId55" Type="http://schemas.openxmlformats.org/officeDocument/2006/relationships/hyperlink" Target="http://www.ncbi.nlm.nih.gov/pubmed/8651160" TargetMode="External"/><Relationship Id="rId63" Type="http://schemas.openxmlformats.org/officeDocument/2006/relationships/hyperlink" Target="http://www.sciencedirect.com/science/article/pii/S0140673611600202" TargetMode="External"/><Relationship Id="rId68" Type="http://schemas.openxmlformats.org/officeDocument/2006/relationships/hyperlink" Target="http://gut.bmj.com/content/early/2016/02/04/gutjnl-2015-311019.full.pdf" TargetMode="External"/><Relationship Id="rId76" Type="http://schemas.openxmlformats.org/officeDocument/2006/relationships/hyperlink" Target="http://www.ncbi.nlm.nih.gov/pmc/articles/PMC3925860/" TargetMode="External"/><Relationship Id="rId7" Type="http://schemas.openxmlformats.org/officeDocument/2006/relationships/endnotes" Target="endnotes.xml"/><Relationship Id="rId71" Type="http://schemas.openxmlformats.org/officeDocument/2006/relationships/hyperlink" Target="https://www.ncbi.nlm.nih.gov/pubmed/17608775" TargetMode="External"/><Relationship Id="rId2" Type="http://schemas.openxmlformats.org/officeDocument/2006/relationships/numbering" Target="numbering.xml"/><Relationship Id="rId16" Type="http://schemas.openxmlformats.org/officeDocument/2006/relationships/hyperlink" Target="https://www.nationalarchives.gov.uk/doc/open-government-licence/version/2/" TargetMode="External"/><Relationship Id="rId29" Type="http://schemas.openxmlformats.org/officeDocument/2006/relationships/hyperlink" Target="mailto:sarah.alton@phe.gov.uk?subject=Received%20Comments:%20Helicobacter%20pylori" TargetMode="External"/><Relationship Id="rId11" Type="http://schemas.openxmlformats.org/officeDocument/2006/relationships/footer" Target="footer2.xml"/><Relationship Id="rId24" Type="http://schemas.openxmlformats.org/officeDocument/2006/relationships/hyperlink" Target="mailto:sarah.alton@phe.gov.uk?subject=Received%20Comments:%20Helicobacter%20pylori" TargetMode="External"/><Relationship Id="rId32" Type="http://schemas.openxmlformats.org/officeDocument/2006/relationships/hyperlink" Target="mailto:sarah.alton@phe.gov.uk?subject=Search%20Strategies:%20Helicobacter%20pylori" TargetMode="External"/><Relationship Id="rId37" Type="http://schemas.openxmlformats.org/officeDocument/2006/relationships/hyperlink" Target="http://gut.bmj.com/content/50/suppl_4/iv47.full.pdf+html" TargetMode="External"/><Relationship Id="rId40" Type="http://schemas.openxmlformats.org/officeDocument/2006/relationships/hyperlink" Target="http://www.ncbi.nlm.nih.gov/pubmed/20525410" TargetMode="External"/><Relationship Id="rId45" Type="http://schemas.openxmlformats.org/officeDocument/2006/relationships/hyperlink" Target="http://www.ncbi.nlm.nih.gov/pubmed/21896087" TargetMode="External"/><Relationship Id="rId53" Type="http://schemas.openxmlformats.org/officeDocument/2006/relationships/hyperlink" Target="http://www.ncbi.nlm.nih.gov/pubmed/12809820" TargetMode="External"/><Relationship Id="rId58" Type="http://schemas.openxmlformats.org/officeDocument/2006/relationships/hyperlink" Target="http://www.ncbi.nlm.nih.gov/pmc/articles/PMC105068/pdf/jm002803.pdf" TargetMode="External"/><Relationship Id="rId66" Type="http://schemas.openxmlformats.org/officeDocument/2006/relationships/hyperlink" Target="http://www.ncbi.nlm.nih.gov/pubmed/16393278" TargetMode="External"/><Relationship Id="rId74" Type="http://schemas.openxmlformats.org/officeDocument/2006/relationships/hyperlink" Target="http://www.ncbi.nlm.nih.gov/pubmed/11785712"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cghjournal.org/article/S1542-3565(13)00773-8/pdf" TargetMode="Externa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sarah.alton@phe.gov.uk?subject=Other%20Format:%20Helicobacter%20pylori" TargetMode="External"/><Relationship Id="rId31" Type="http://schemas.openxmlformats.org/officeDocument/2006/relationships/hyperlink" Target="mailto:sarah.alton@phe.gov.uk?subject=Highlighted%20Changes:%20Helicobacter%20pylori" TargetMode="External"/><Relationship Id="rId44" Type="http://schemas.openxmlformats.org/officeDocument/2006/relationships/hyperlink" Target="http://onlinelibrary.wiley.com/doi/10.1002/14651858.CD003840.pub4/pdf" TargetMode="External"/><Relationship Id="rId52" Type="http://schemas.openxmlformats.org/officeDocument/2006/relationships/hyperlink" Target="http://www.ncbi.nlm.nih.gov/pubmed/15702856" TargetMode="External"/><Relationship Id="rId60" Type="http://schemas.openxmlformats.org/officeDocument/2006/relationships/hyperlink" Target="http://www.bmj.com/content/bmj/344/bmj.e828.full.pdf" TargetMode="External"/><Relationship Id="rId65" Type="http://schemas.openxmlformats.org/officeDocument/2006/relationships/hyperlink" Target="http://www.ncbi.nlm.nih.gov/pubmed/10547171" TargetMode="External"/><Relationship Id="rId73" Type="http://schemas.openxmlformats.org/officeDocument/2006/relationships/hyperlink" Target="http://gut.bmj.com/content/gutjnl/66/1/6.full.pdf" TargetMode="External"/><Relationship Id="rId78" Type="http://schemas.openxmlformats.org/officeDocument/2006/relationships/hyperlink" Target="mailto:sarah.alton@phe.gov.uk?subject=Conflicts%20of%20Interest:%20Helicobacter%20pylori"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PublicHealthEngland" TargetMode="External"/><Relationship Id="rId22" Type="http://schemas.openxmlformats.org/officeDocument/2006/relationships/hyperlink" Target="http://www.sign.ac.uk/" TargetMode="External"/><Relationship Id="rId27" Type="http://schemas.openxmlformats.org/officeDocument/2006/relationships/hyperlink" Target="https://www.gov.uk/guidance/gbru-reference-and-diagnostic-services" TargetMode="External"/><Relationship Id="rId30" Type="http://schemas.openxmlformats.org/officeDocument/2006/relationships/hyperlink" Target="http://cks.nice.org.uk/" TargetMode="External"/><Relationship Id="rId35" Type="http://schemas.openxmlformats.org/officeDocument/2006/relationships/hyperlink" Target="http://www.nature.com/ctg/journal/v4/n3/pdf/ctg20133a.pdf" TargetMode="External"/><Relationship Id="rId43" Type="http://schemas.openxmlformats.org/officeDocument/2006/relationships/hyperlink" Target="http://gut.bmj.com/content/61/5/646.full.pdf" TargetMode="External"/><Relationship Id="rId48" Type="http://schemas.openxmlformats.org/officeDocument/2006/relationships/hyperlink" Target="http://www.ncbi.nlm.nih.gov/pmc/articles/PMC1760150/pdf/v048p00287.pdf" TargetMode="External"/><Relationship Id="rId56" Type="http://schemas.openxmlformats.org/officeDocument/2006/relationships/hyperlink" Target="https://onlinecourses.science.psu.edu/stat507/node/71" TargetMode="External"/><Relationship Id="rId64" Type="http://schemas.openxmlformats.org/officeDocument/2006/relationships/hyperlink" Target="http://onlinelibrary.wiley.com/doi/10.1111/j.1523-5378.2011.00881.x/pdf" TargetMode="External"/><Relationship Id="rId69" Type="http://schemas.openxmlformats.org/officeDocument/2006/relationships/hyperlink" Target="http://www.ncbi.nlm.nih.gov/pubmed/20557366" TargetMode="External"/><Relationship Id="rId77" Type="http://schemas.openxmlformats.org/officeDocument/2006/relationships/hyperlink" Target="mailto:sarah.alton@phe.gov.uk?subject=Review%20and%20Development:%20Helicobacter%20pylori" TargetMode="External"/><Relationship Id="rId8" Type="http://schemas.openxmlformats.org/officeDocument/2006/relationships/header" Target="header1.xml"/><Relationship Id="rId51" Type="http://schemas.openxmlformats.org/officeDocument/2006/relationships/hyperlink" Target="http://www.ncbi.nlm.nih.gov/pubmed/15270750" TargetMode="External"/><Relationship Id="rId72" Type="http://schemas.openxmlformats.org/officeDocument/2006/relationships/hyperlink" Target="http://www.drugs.com/mtm/helidac.html"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gov.uk/phe" TargetMode="External"/><Relationship Id="rId17" Type="http://schemas.openxmlformats.org/officeDocument/2006/relationships/hyperlink" Target="mailto:psi@nationalarchives.gsi.gov.uk?subject=Open%20Government%20License" TargetMode="External"/><Relationship Id="rId25" Type="http://schemas.openxmlformats.org/officeDocument/2006/relationships/hyperlink" Target="https://www.nice.org.uk/guidance/ng12" TargetMode="External"/><Relationship Id="rId33" Type="http://schemas.openxmlformats.org/officeDocument/2006/relationships/hyperlink" Target="https://www.nice.org.uk/guidance/ng12" TargetMode="External"/><Relationship Id="rId38" Type="http://schemas.openxmlformats.org/officeDocument/2006/relationships/hyperlink" Target="http://www.ncbi.nlm.nih.gov/pubmed/18310262" TargetMode="External"/><Relationship Id="rId46" Type="http://schemas.openxmlformats.org/officeDocument/2006/relationships/hyperlink" Target="http://www.ncbi.nlm.nih.gov/pubmed/19618211" TargetMode="External"/><Relationship Id="rId59" Type="http://schemas.openxmlformats.org/officeDocument/2006/relationships/hyperlink" Target="http://www.bmj.com/content/bmj/348/bmj.g3320.full.pdf" TargetMode="External"/><Relationship Id="rId67" Type="http://schemas.openxmlformats.org/officeDocument/2006/relationships/hyperlink" Target="http://www.nature.com/ajg/journal/v105/n1/pdf/ajg2009508a.pdf" TargetMode="External"/><Relationship Id="rId20" Type="http://schemas.openxmlformats.org/officeDocument/2006/relationships/image" Target="media/image4.jpeg"/><Relationship Id="rId41" Type="http://schemas.openxmlformats.org/officeDocument/2006/relationships/hyperlink" Target="http://www.ncbi.nlm.nih.gov/pubmed/18400542" TargetMode="External"/><Relationship Id="rId54" Type="http://schemas.openxmlformats.org/officeDocument/2006/relationships/hyperlink" Target="http://www.ncbi.nlm.nih.gov/pubmed/21054653" TargetMode="External"/><Relationship Id="rId62" Type="http://schemas.openxmlformats.org/officeDocument/2006/relationships/hyperlink" Target="http://www.ncbi.nlm.nih.gov/pubmed/22580412" TargetMode="External"/><Relationship Id="rId70" Type="http://schemas.openxmlformats.org/officeDocument/2006/relationships/hyperlink" Target="http://onlinelibrary.wiley.com/doi/10.1111/hel.12258/epdf" TargetMode="External"/><Relationship Id="rId75" Type="http://schemas.openxmlformats.org/officeDocument/2006/relationships/hyperlink" Target="http://onlinelibrary.wiley.com/doi/10.1111/j.1440-1746.2007.05082.x/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arah.alton@phe.gov.uk?subject=Received%20Comments:%20Helicobacter%20pylori" TargetMode="External"/><Relationship Id="rId23" Type="http://schemas.openxmlformats.org/officeDocument/2006/relationships/hyperlink" Target="http://www.nice.org.uk/" TargetMode="External"/><Relationship Id="rId28" Type="http://schemas.openxmlformats.org/officeDocument/2006/relationships/hyperlink" Target="http://www.sign.ac.uk/pdf/qrg50.pdf" TargetMode="External"/><Relationship Id="rId36" Type="http://schemas.openxmlformats.org/officeDocument/2006/relationships/hyperlink" Target="http://www.ncbi.nlm.nih.gov/pubmed/16771937" TargetMode="External"/><Relationship Id="rId49" Type="http://schemas.openxmlformats.org/officeDocument/2006/relationships/hyperlink" Target="http://www.ncbi.nlm.nih.gov/pubmed/18774949" TargetMode="External"/><Relationship Id="rId57"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2.jpe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98002E"/>
      </a:hlink>
      <a:folHlink>
        <a:srgbClr val="9800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6782B-74FD-41B0-8992-10E72AD7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10472</Words>
  <Characters>59694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Sarah.L Stevens</dc:creator>
  <cp:lastModifiedBy>Gemma Smith</cp:lastModifiedBy>
  <cp:revision>12</cp:revision>
  <cp:lastPrinted>2019-02-05T09:19:00Z</cp:lastPrinted>
  <dcterms:created xsi:type="dcterms:W3CDTF">2019-02-13T16:32:00Z</dcterms:created>
  <dcterms:modified xsi:type="dcterms:W3CDTF">2019-08-16T14:20:00Z</dcterms:modified>
</cp:coreProperties>
</file>