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A66" w:rsidRDefault="00D44A66" w:rsidP="00CD1444">
      <w:pPr>
        <w:spacing w:before="100" w:beforeAutospacing="1" w:after="100" w:afterAutospacing="1"/>
        <w:rPr>
          <w:rFonts w:ascii="CIDFont+F4" w:eastAsia="Times New Roman" w:hAnsi="CIDFont+F4" w:cs="Times New Roman"/>
          <w:sz w:val="22"/>
          <w:szCs w:val="22"/>
        </w:rPr>
      </w:pPr>
    </w:p>
    <w:p w:rsidR="00D44A66" w:rsidRDefault="00D44A66" w:rsidP="00D44A66"/>
    <w:p w:rsidR="00D44A66" w:rsidRPr="00BB027F" w:rsidRDefault="00D44A66" w:rsidP="00D44A66">
      <w:pPr>
        <w:tabs>
          <w:tab w:val="left" w:pos="1620"/>
          <w:tab w:val="center" w:pos="4678"/>
        </w:tabs>
        <w:ind w:left="3600" w:hanging="3600"/>
        <w:rPr>
          <w:rFonts w:ascii="Georgia" w:hAnsi="Georgia"/>
          <w:b/>
        </w:rPr>
      </w:pPr>
      <w:r>
        <w:rPr>
          <w:noProof/>
          <w:lang w:val="en-US"/>
        </w:rPr>
        <mc:AlternateContent>
          <mc:Choice Requires="wps">
            <w:drawing>
              <wp:anchor distT="0" distB="0" distL="114300" distR="114300" simplePos="0" relativeHeight="251660288" behindDoc="0" locked="0" layoutInCell="1" allowOverlap="1" wp14:anchorId="71D3C059" wp14:editId="63871C3A">
                <wp:simplePos x="0" y="0"/>
                <wp:positionH relativeFrom="column">
                  <wp:posOffset>2215515</wp:posOffset>
                </wp:positionH>
                <wp:positionV relativeFrom="paragraph">
                  <wp:posOffset>81915</wp:posOffset>
                </wp:positionV>
                <wp:extent cx="3200400" cy="779145"/>
                <wp:effectExtent l="0" t="25400" r="0" b="8255"/>
                <wp:wrapThrough wrapText="bothSides">
                  <wp:wrapPolygon edited="0">
                    <wp:start x="1" y="2399"/>
                    <wp:lineTo x="375" y="24173"/>
                    <wp:lineTo x="21408" y="18074"/>
                    <wp:lineTo x="21034" y="-3700"/>
                    <wp:lineTo x="1" y="2399"/>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42284">
                          <a:off x="0" y="0"/>
                          <a:ext cx="3200400" cy="7791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D44A66" w:rsidRPr="001A28FC" w:rsidRDefault="00D44A66" w:rsidP="00D44A66">
                            <w:pPr>
                              <w:pStyle w:val="Title"/>
                              <w:ind w:left="3600" w:hanging="3600"/>
                              <w:jc w:val="left"/>
                              <w:rPr>
                                <w:rFonts w:ascii="Georgia" w:hAnsi="Georgia"/>
                              </w:rPr>
                            </w:pPr>
                            <w:r w:rsidRPr="00BB027F">
                              <w:rPr>
                                <w:rFonts w:ascii="Georgia" w:hAnsi="Georgia"/>
                                <w:sz w:val="24"/>
                              </w:rPr>
                              <w:t xml:space="preserve">FIRST - TIER TRIBUNAL </w:t>
                            </w:r>
                          </w:p>
                          <w:p w:rsidR="00D44A66" w:rsidRDefault="00D44A66" w:rsidP="00D44A66">
                            <w:r w:rsidRPr="00BB027F">
                              <w:rPr>
                                <w:rFonts w:ascii="Georgia" w:hAnsi="Georgia"/>
                                <w:b/>
                              </w:rPr>
                              <w:t>PROPERTY CHAMBER        (RESIDENTIAL PROPERTY)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3C059" id="_x0000_t202" coordsize="21600,21600" o:spt="202" path="m,l,21600r21600,l21600,xe">
                <v:stroke joinstyle="miter"/>
                <v:path gradientshapeok="t" o:connecttype="rect"/>
              </v:shapetype>
              <v:shape id="Text Box 4" o:spid="_x0000_s1026" type="#_x0000_t202" style="position:absolute;left:0;text-align:left;margin-left:174.45pt;margin-top:6.45pt;width:252pt;height:61.35pt;rotation:26463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" filled="f" stroked="f">
                <v:textbox>
                  <w:txbxContent>
                    <w:p w:rsidR="00D44A66" w:rsidRPr="001A28FC" w:rsidRDefault="00D44A66" w:rsidP="00D44A66">
                      <w:pPr>
                        <w:pStyle w:val="Title"/>
                        <w:ind w:left="3600" w:hanging="3600"/>
                        <w:jc w:val="left"/>
                        <w:rPr>
                          <w:rFonts w:ascii="Georgia" w:hAnsi="Georgia"/>
                        </w:rPr>
                      </w:pPr>
                      <w:r w:rsidRPr="00BB027F">
                        <w:rPr>
                          <w:rFonts w:ascii="Georgia" w:hAnsi="Georgia"/>
                          <w:sz w:val="24"/>
                        </w:rPr>
                        <w:t xml:space="preserve">FIRST - TIER TRIBUNAL </w:t>
                      </w:r>
                    </w:p>
                    <w:p w:rsidR="00D44A66" w:rsidRDefault="00D44A66" w:rsidP="00D44A66">
                      <w:r w:rsidRPr="00BB027F">
                        <w:rPr>
                          <w:rFonts w:ascii="Georgia" w:hAnsi="Georgia"/>
                          <w:b/>
                        </w:rPr>
                        <w:t>PROPERTY CHAMBER        (RESIDENTIAL PROPERTY)</w:t>
                      </w:r>
                    </w:p>
                  </w:txbxContent>
                </v:textbox>
                <w10:wrap type="through"/>
              </v:shape>
            </w:pict>
          </mc:Fallback>
        </mc:AlternateContent>
      </w:r>
      <w:r>
        <w:rPr>
          <w:rFonts w:ascii="Georgia" w:hAnsi="Georgia"/>
          <w:noProof/>
          <w:lang w:val="en-US"/>
        </w:rPr>
        <w:drawing>
          <wp:inline distT="0" distB="0" distL="0" distR="0" wp14:anchorId="5152CDB0" wp14:editId="70A9B300">
            <wp:extent cx="914400" cy="770255"/>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770255"/>
                    </a:xfrm>
                    <a:prstGeom prst="rect">
                      <a:avLst/>
                    </a:prstGeom>
                    <a:noFill/>
                    <a:ln>
                      <a:noFill/>
                    </a:ln>
                  </pic:spPr>
                </pic:pic>
              </a:graphicData>
            </a:graphic>
          </wp:inline>
        </w:drawing>
      </w:r>
      <w:r>
        <w:rPr>
          <w:rFonts w:ascii="Georgia" w:hAnsi="Georgia"/>
          <w:noProof/>
          <w:lang w:val="en-US"/>
        </w:rPr>
        <mc:AlternateContent>
          <mc:Choice Requires="wps">
            <w:drawing>
              <wp:anchor distT="0" distB="0" distL="114300" distR="114300" simplePos="0" relativeHeight="251659264" behindDoc="0" locked="0" layoutInCell="1" allowOverlap="1" wp14:anchorId="3944ED94" wp14:editId="245B13DE">
                <wp:simplePos x="0" y="0"/>
                <wp:positionH relativeFrom="column">
                  <wp:posOffset>4457700</wp:posOffset>
                </wp:positionH>
                <wp:positionV relativeFrom="paragraph">
                  <wp:posOffset>-683895</wp:posOffset>
                </wp:positionV>
                <wp:extent cx="1714500" cy="571500"/>
                <wp:effectExtent l="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D44A66" w:rsidRPr="00B42F78" w:rsidRDefault="00D44A66" w:rsidP="00D44A6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4ED94" id="Text Box 3" o:spid="_x0000_s1027" type="#_x0000_t202" style="position:absolute;left:0;text-align:left;margin-left:351pt;margin-top:-53.85pt;width:13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" filled="f" stroked="f">
                <v:textbox>
                  <w:txbxContent>
                    <w:p w:rsidR="00D44A66" w:rsidRPr="00B42F78" w:rsidRDefault="00D44A66" w:rsidP="00D44A66">
                      <w:pPr>
                        <w:rPr>
                          <w:b/>
                        </w:rPr>
                      </w:pPr>
                    </w:p>
                  </w:txbxContent>
                </v:textbox>
              </v:shape>
            </w:pict>
          </mc:Fallback>
        </mc:AlternateContent>
      </w:r>
      <w:r>
        <w:rPr>
          <w:rFonts w:ascii="Georgia" w:hAnsi="Georgia"/>
        </w:rPr>
        <w:tab/>
        <w:t xml:space="preserve">       </w:t>
      </w:r>
      <w:r>
        <w:rPr>
          <w:rFonts w:ascii="Georgia" w:hAnsi="Georgia"/>
        </w:rPr>
        <w:tab/>
      </w:r>
      <w:r>
        <w:rPr>
          <w:rFonts w:ascii="Georgia" w:hAnsi="Georgia"/>
        </w:rPr>
        <w:tab/>
      </w:r>
    </w:p>
    <w:p w:rsidR="00D44A66" w:rsidRDefault="00D44A66" w:rsidP="00D44A66">
      <w:pPr>
        <w:rPr>
          <w:rFonts w:ascii="Georgia" w:hAnsi="Georgia"/>
        </w:rPr>
      </w:pPr>
    </w:p>
    <w:p w:rsidR="00D44A66" w:rsidRDefault="00D44A66" w:rsidP="00D44A66">
      <w:pPr>
        <w:tabs>
          <w:tab w:val="left" w:pos="2880"/>
        </w:tabs>
        <w:rPr>
          <w:rFonts w:ascii="Georgia" w:hAnsi="Georgia" w:cs="Arial"/>
          <w:b/>
          <w:bCs/>
        </w:rPr>
      </w:pPr>
    </w:p>
    <w:p w:rsidR="00D44A66" w:rsidRPr="00483DBD" w:rsidRDefault="00D44A66" w:rsidP="00D44A66">
      <w:pPr>
        <w:tabs>
          <w:tab w:val="left" w:pos="2880"/>
        </w:tabs>
        <w:rPr>
          <w:rFonts w:ascii="Georgia" w:hAnsi="Georgia" w:cs="Arial"/>
          <w:b/>
          <w:bCs/>
        </w:rPr>
      </w:pPr>
      <w:r>
        <w:rPr>
          <w:rFonts w:ascii="Georgia" w:hAnsi="Georgia" w:cs="Arial"/>
          <w:b/>
          <w:bCs/>
        </w:rPr>
        <w:t>Case Reference</w:t>
      </w:r>
      <w:r>
        <w:rPr>
          <w:rFonts w:ascii="Georgia" w:hAnsi="Georgia" w:cs="Arial"/>
          <w:b/>
          <w:bCs/>
        </w:rPr>
        <w:tab/>
        <w:t>:</w:t>
      </w:r>
      <w:r>
        <w:rPr>
          <w:rFonts w:ascii="Georgia" w:hAnsi="Georgia" w:cs="Arial"/>
          <w:b/>
          <w:bCs/>
        </w:rPr>
        <w:tab/>
      </w:r>
      <w:r>
        <w:rPr>
          <w:rFonts w:ascii="Georgia" w:hAnsi="Georgia"/>
          <w:b/>
        </w:rPr>
        <w:t>MAN/OOBY/LCP/20</w:t>
      </w:r>
      <w:r w:rsidR="0041294A">
        <w:rPr>
          <w:rFonts w:ascii="Georgia" w:hAnsi="Georgia"/>
          <w:b/>
        </w:rPr>
        <w:t>1</w:t>
      </w:r>
      <w:r>
        <w:rPr>
          <w:rFonts w:ascii="Georgia" w:hAnsi="Georgia"/>
          <w:b/>
        </w:rPr>
        <w:t>9/0002</w:t>
      </w:r>
    </w:p>
    <w:p w:rsidR="00D44A66" w:rsidRDefault="00D44A66" w:rsidP="00D44A66">
      <w:pPr>
        <w:tabs>
          <w:tab w:val="left" w:pos="2880"/>
        </w:tabs>
        <w:ind w:left="3600" w:hanging="3600"/>
        <w:jc w:val="both"/>
        <w:rPr>
          <w:rFonts w:ascii="Georgia" w:hAnsi="Georgia" w:cs="Arial"/>
          <w:b/>
          <w:bCs/>
        </w:rPr>
      </w:pPr>
    </w:p>
    <w:p w:rsidR="00D44A66" w:rsidRDefault="00D44A66" w:rsidP="00D44A66">
      <w:pPr>
        <w:tabs>
          <w:tab w:val="left" w:pos="2880"/>
        </w:tabs>
        <w:ind w:left="3600" w:hanging="3600"/>
        <w:jc w:val="both"/>
        <w:rPr>
          <w:rFonts w:ascii="Georgia" w:hAnsi="Georgia" w:cs="Arial"/>
          <w:b/>
          <w:bCs/>
        </w:rPr>
      </w:pPr>
      <w:r>
        <w:rPr>
          <w:rFonts w:ascii="Georgia" w:hAnsi="Georgia" w:cs="Arial"/>
          <w:b/>
          <w:bCs/>
        </w:rPr>
        <w:t xml:space="preserve">Property                             </w:t>
      </w:r>
      <w:r w:rsidRPr="00660DC6">
        <w:rPr>
          <w:rFonts w:ascii="Georgia" w:hAnsi="Georgia" w:cs="Arial"/>
          <w:b/>
          <w:bCs/>
        </w:rPr>
        <w:t>:</w:t>
      </w:r>
      <w:r w:rsidRPr="00660DC6">
        <w:rPr>
          <w:rFonts w:ascii="Georgia" w:hAnsi="Georgia" w:cs="Arial"/>
          <w:b/>
          <w:bCs/>
        </w:rPr>
        <w:tab/>
      </w:r>
      <w:r>
        <w:rPr>
          <w:rFonts w:ascii="Georgia" w:hAnsi="Georgia" w:cs="Arial"/>
          <w:b/>
          <w:bCs/>
        </w:rPr>
        <w:t>Mill View</w:t>
      </w:r>
      <w:r w:rsidR="009950BD">
        <w:rPr>
          <w:rFonts w:ascii="Georgia" w:hAnsi="Georgia" w:cs="Arial"/>
          <w:b/>
          <w:bCs/>
        </w:rPr>
        <w:t xml:space="preserve"> Tower</w:t>
      </w:r>
      <w:r>
        <w:rPr>
          <w:rFonts w:ascii="Georgia" w:hAnsi="Georgia" w:cs="Arial"/>
          <w:b/>
          <w:bCs/>
        </w:rPr>
        <w:t xml:space="preserve">, </w:t>
      </w:r>
      <w:r w:rsidR="009950BD">
        <w:rPr>
          <w:rFonts w:ascii="Georgia" w:hAnsi="Georgia" w:cs="Arial"/>
          <w:b/>
          <w:bCs/>
        </w:rPr>
        <w:t>Mill Street/</w:t>
      </w:r>
      <w:r>
        <w:rPr>
          <w:rFonts w:ascii="Georgia" w:hAnsi="Georgia" w:cs="Arial"/>
          <w:b/>
          <w:bCs/>
        </w:rPr>
        <w:t xml:space="preserve">Rutter Street, Liverpool L8 6AG </w:t>
      </w:r>
    </w:p>
    <w:p w:rsidR="00D44A66" w:rsidRDefault="00D44A66" w:rsidP="00D44A66">
      <w:pPr>
        <w:tabs>
          <w:tab w:val="left" w:pos="2880"/>
        </w:tabs>
        <w:ind w:right="757"/>
        <w:rPr>
          <w:rFonts w:ascii="Georgia" w:hAnsi="Georgia" w:cs="Arial"/>
          <w:b/>
          <w:bCs/>
        </w:rPr>
      </w:pPr>
    </w:p>
    <w:p w:rsidR="00D44A66" w:rsidRDefault="00D44A66" w:rsidP="00D44A66">
      <w:pPr>
        <w:tabs>
          <w:tab w:val="left" w:pos="2880"/>
        </w:tabs>
        <w:ind w:left="3600" w:right="757" w:hanging="3600"/>
        <w:rPr>
          <w:rFonts w:ascii="Georgia" w:hAnsi="Georgia" w:cs="Arial"/>
          <w:b/>
          <w:bCs/>
        </w:rPr>
      </w:pPr>
      <w:r>
        <w:rPr>
          <w:rFonts w:ascii="Georgia" w:hAnsi="Georgia" w:cs="Arial"/>
          <w:b/>
          <w:bCs/>
        </w:rPr>
        <w:t>Applicant</w:t>
      </w:r>
      <w:r>
        <w:rPr>
          <w:rFonts w:ascii="Georgia" w:hAnsi="Georgia" w:cs="Arial"/>
          <w:b/>
          <w:bCs/>
        </w:rPr>
        <w:tab/>
      </w:r>
      <w:r w:rsidRPr="00660DC6">
        <w:rPr>
          <w:rFonts w:ascii="Georgia" w:hAnsi="Georgia" w:cs="Arial"/>
          <w:b/>
          <w:bCs/>
        </w:rPr>
        <w:t>:</w:t>
      </w:r>
      <w:r>
        <w:rPr>
          <w:rFonts w:ascii="Georgia" w:hAnsi="Georgia" w:cs="Arial"/>
          <w:b/>
          <w:bCs/>
        </w:rPr>
        <w:tab/>
      </w:r>
      <w:r w:rsidR="00C65B8B">
        <w:rPr>
          <w:rFonts w:ascii="Georgia" w:hAnsi="Georgia" w:cs="Arial"/>
          <w:b/>
          <w:bCs/>
        </w:rPr>
        <w:t>Tuscola (FC101) Limited</w:t>
      </w:r>
    </w:p>
    <w:p w:rsidR="00C65B8B" w:rsidRDefault="00C65B8B" w:rsidP="00D44A66">
      <w:pPr>
        <w:tabs>
          <w:tab w:val="left" w:pos="2880"/>
        </w:tabs>
        <w:ind w:left="3600" w:right="757" w:hanging="3600"/>
        <w:rPr>
          <w:rFonts w:ascii="Georgia" w:hAnsi="Georgia" w:cs="Arial"/>
          <w:b/>
          <w:bCs/>
        </w:rPr>
      </w:pPr>
      <w:r>
        <w:rPr>
          <w:rFonts w:ascii="Georgia" w:hAnsi="Georgia" w:cs="Arial"/>
          <w:b/>
          <w:bCs/>
        </w:rPr>
        <w:t>Representative</w:t>
      </w:r>
      <w:r>
        <w:rPr>
          <w:rFonts w:ascii="Georgia" w:hAnsi="Georgia" w:cs="Arial"/>
          <w:b/>
          <w:bCs/>
        </w:rPr>
        <w:tab/>
        <w:t>:</w:t>
      </w:r>
      <w:r>
        <w:rPr>
          <w:rFonts w:ascii="Georgia" w:hAnsi="Georgia" w:cs="Arial"/>
          <w:b/>
          <w:bCs/>
        </w:rPr>
        <w:tab/>
        <w:t>Regent Property Management Limited</w:t>
      </w:r>
    </w:p>
    <w:p w:rsidR="00D44A66" w:rsidRDefault="00D44A66" w:rsidP="00D44A66">
      <w:pPr>
        <w:rPr>
          <w:rFonts w:ascii="Georgia" w:hAnsi="Georgia" w:cs="Arial"/>
          <w:b/>
          <w:bCs/>
        </w:rPr>
      </w:pPr>
    </w:p>
    <w:p w:rsidR="00D44A66" w:rsidRPr="001E2190" w:rsidRDefault="00D44A66" w:rsidP="00D44A66">
      <w:pPr>
        <w:tabs>
          <w:tab w:val="left" w:pos="2880"/>
        </w:tabs>
        <w:rPr>
          <w:rFonts w:ascii="Georgia" w:hAnsi="Georgia"/>
          <w:b/>
        </w:rPr>
      </w:pPr>
      <w:r>
        <w:rPr>
          <w:rFonts w:ascii="Georgia" w:hAnsi="Georgia" w:cs="Arial"/>
          <w:b/>
          <w:bCs/>
        </w:rPr>
        <w:t>Respondents</w:t>
      </w:r>
      <w:r>
        <w:rPr>
          <w:rFonts w:ascii="Georgia" w:hAnsi="Georgia" w:cs="Arial"/>
          <w:b/>
          <w:bCs/>
        </w:rPr>
        <w:tab/>
      </w:r>
      <w:r w:rsidRPr="00660DC6">
        <w:rPr>
          <w:rFonts w:ascii="Georgia" w:hAnsi="Georgia" w:cs="Arial"/>
          <w:b/>
          <w:bCs/>
        </w:rPr>
        <w:t>:</w:t>
      </w:r>
      <w:r w:rsidRPr="00660DC6">
        <w:rPr>
          <w:rFonts w:ascii="Georgia" w:hAnsi="Georgia" w:cs="Arial"/>
          <w:b/>
          <w:bCs/>
        </w:rPr>
        <w:tab/>
      </w:r>
      <w:r w:rsidR="00C65B8B">
        <w:rPr>
          <w:rFonts w:ascii="Georgia" w:hAnsi="Georgia" w:cs="Arial"/>
          <w:b/>
          <w:bCs/>
        </w:rPr>
        <w:t>L8 Inc RTM Company Limited</w:t>
      </w:r>
    </w:p>
    <w:p w:rsidR="00D44A66" w:rsidRPr="000E2AD5" w:rsidRDefault="00D44A66" w:rsidP="00D44A66">
      <w:pPr>
        <w:tabs>
          <w:tab w:val="right" w:pos="9180"/>
        </w:tabs>
        <w:ind w:right="-22"/>
        <w:rPr>
          <w:rFonts w:ascii="Georgia" w:hAnsi="Georgia"/>
        </w:rPr>
      </w:pPr>
      <w:r>
        <w:rPr>
          <w:rFonts w:ascii="Georgia" w:hAnsi="Georgia" w:cs="Arial"/>
          <w:b/>
          <w:bCs/>
        </w:rPr>
        <w:tab/>
      </w:r>
    </w:p>
    <w:p w:rsidR="00D44A66" w:rsidRDefault="00D44A66" w:rsidP="00D44A66">
      <w:pPr>
        <w:tabs>
          <w:tab w:val="left" w:pos="2880"/>
        </w:tabs>
        <w:ind w:left="3600" w:hanging="3600"/>
        <w:rPr>
          <w:rFonts w:ascii="Georgia" w:hAnsi="Georgia" w:cs="Arial"/>
          <w:b/>
          <w:bCs/>
        </w:rPr>
      </w:pPr>
      <w:r>
        <w:rPr>
          <w:rFonts w:ascii="Georgia" w:hAnsi="Georgia" w:cs="Arial"/>
          <w:b/>
          <w:bCs/>
        </w:rPr>
        <w:t xml:space="preserve">Type of Application        </w:t>
      </w:r>
      <w:r w:rsidRPr="00660DC6">
        <w:rPr>
          <w:rFonts w:ascii="Georgia" w:hAnsi="Georgia" w:cs="Arial"/>
          <w:b/>
          <w:bCs/>
        </w:rPr>
        <w:t>:</w:t>
      </w:r>
      <w:r w:rsidRPr="00660DC6">
        <w:rPr>
          <w:rFonts w:ascii="Georgia" w:hAnsi="Georgia" w:cs="Arial"/>
          <w:b/>
          <w:bCs/>
        </w:rPr>
        <w:tab/>
      </w:r>
      <w:r w:rsidR="00C65B8B">
        <w:rPr>
          <w:rFonts w:ascii="Georgia" w:hAnsi="Georgia"/>
          <w:b/>
        </w:rPr>
        <w:t xml:space="preserve">An application for a determination of costs under </w:t>
      </w:r>
      <w:r>
        <w:rPr>
          <w:rFonts w:ascii="Georgia" w:hAnsi="Georgia"/>
          <w:b/>
        </w:rPr>
        <w:t>Section</w:t>
      </w:r>
      <w:r w:rsidR="00C65B8B">
        <w:rPr>
          <w:rFonts w:ascii="Georgia" w:hAnsi="Georgia"/>
          <w:b/>
        </w:rPr>
        <w:t xml:space="preserve"> 88(4)</w:t>
      </w:r>
      <w:r>
        <w:rPr>
          <w:rFonts w:ascii="Georgia" w:hAnsi="Georgia"/>
          <w:b/>
        </w:rPr>
        <w:t xml:space="preserve"> </w:t>
      </w:r>
      <w:r w:rsidR="00C65B8B">
        <w:rPr>
          <w:rFonts w:ascii="Georgia" w:hAnsi="Georgia"/>
          <w:b/>
        </w:rPr>
        <w:t>of the Commonhold and Leasehold Reform Act 2002</w:t>
      </w:r>
    </w:p>
    <w:p w:rsidR="00D44A66" w:rsidRDefault="00D44A66" w:rsidP="00D44A66">
      <w:pPr>
        <w:rPr>
          <w:rFonts w:ascii="Georgia" w:hAnsi="Georgia" w:cs="Arial"/>
          <w:b/>
          <w:bCs/>
        </w:rPr>
      </w:pPr>
    </w:p>
    <w:p w:rsidR="00D44A66" w:rsidRDefault="00D44A66" w:rsidP="00D44A66">
      <w:pPr>
        <w:rPr>
          <w:rFonts w:ascii="Georgia" w:hAnsi="Georgia" w:cs="Arial"/>
          <w:b/>
          <w:bCs/>
        </w:rPr>
      </w:pPr>
      <w:r w:rsidRPr="00660DC6">
        <w:rPr>
          <w:rFonts w:ascii="Georgia" w:hAnsi="Georgia" w:cs="Arial"/>
          <w:b/>
          <w:bCs/>
        </w:rPr>
        <w:t>Tribunal</w:t>
      </w:r>
      <w:r>
        <w:rPr>
          <w:rFonts w:ascii="Georgia" w:hAnsi="Georgia" w:cs="Arial"/>
          <w:b/>
          <w:bCs/>
        </w:rPr>
        <w:t xml:space="preserve"> Members</w:t>
      </w:r>
      <w:r w:rsidRPr="00660DC6">
        <w:rPr>
          <w:rFonts w:ascii="Georgia" w:hAnsi="Georgia" w:cs="Arial"/>
          <w:b/>
          <w:bCs/>
        </w:rPr>
        <w:tab/>
      </w:r>
      <w:r>
        <w:rPr>
          <w:rFonts w:ascii="Georgia" w:hAnsi="Georgia" w:cs="Arial"/>
          <w:b/>
          <w:bCs/>
        </w:rPr>
        <w:t>:</w:t>
      </w:r>
      <w:r>
        <w:rPr>
          <w:rFonts w:ascii="Georgia" w:hAnsi="Georgia" w:cs="Arial"/>
          <w:b/>
          <w:bCs/>
        </w:rPr>
        <w:tab/>
        <w:t>Laurence Bennett (Tribunal Judge)</w:t>
      </w:r>
    </w:p>
    <w:p w:rsidR="00D44A66" w:rsidRDefault="00D44A66" w:rsidP="00D44A66">
      <w:pPr>
        <w:rPr>
          <w:rFonts w:ascii="Georgia" w:hAnsi="Georgia" w:cs="Arial"/>
          <w:b/>
          <w:bCs/>
        </w:rPr>
      </w:pPr>
      <w:r>
        <w:rPr>
          <w:rFonts w:ascii="Georgia" w:hAnsi="Georgia" w:cs="Arial"/>
          <w:b/>
          <w:bCs/>
        </w:rPr>
        <w:tab/>
      </w:r>
      <w:r>
        <w:rPr>
          <w:rFonts w:ascii="Georgia" w:hAnsi="Georgia" w:cs="Arial"/>
          <w:b/>
          <w:bCs/>
        </w:rPr>
        <w:tab/>
      </w:r>
      <w:r>
        <w:rPr>
          <w:rFonts w:ascii="Georgia" w:hAnsi="Georgia" w:cs="Arial"/>
          <w:b/>
          <w:bCs/>
        </w:rPr>
        <w:tab/>
      </w:r>
      <w:r>
        <w:rPr>
          <w:rFonts w:ascii="Georgia" w:hAnsi="Georgia" w:cs="Arial"/>
          <w:b/>
          <w:bCs/>
        </w:rPr>
        <w:tab/>
      </w:r>
      <w:r>
        <w:rPr>
          <w:rFonts w:ascii="Georgia" w:hAnsi="Georgia" w:cs="Arial"/>
          <w:b/>
          <w:bCs/>
        </w:rPr>
        <w:tab/>
      </w:r>
    </w:p>
    <w:p w:rsidR="00D44A66" w:rsidRDefault="00D44A66" w:rsidP="00D44A66">
      <w:pPr>
        <w:rPr>
          <w:rFonts w:ascii="Georgia" w:hAnsi="Georgia" w:cs="Arial"/>
          <w:b/>
          <w:bCs/>
        </w:rPr>
      </w:pPr>
    </w:p>
    <w:p w:rsidR="00D44A66" w:rsidRDefault="00D44A66" w:rsidP="00D44A66">
      <w:pPr>
        <w:rPr>
          <w:rFonts w:ascii="Georgia" w:hAnsi="Georgia" w:cs="Arial"/>
          <w:b/>
          <w:bCs/>
        </w:rPr>
      </w:pPr>
      <w:r w:rsidRPr="00660DC6">
        <w:rPr>
          <w:rFonts w:ascii="Georgia" w:hAnsi="Georgia" w:cs="Arial"/>
          <w:b/>
          <w:bCs/>
        </w:rPr>
        <w:t>Date</w:t>
      </w:r>
      <w:r>
        <w:rPr>
          <w:rFonts w:ascii="Georgia" w:hAnsi="Georgia" w:cs="Arial"/>
          <w:b/>
          <w:bCs/>
        </w:rPr>
        <w:t xml:space="preserve"> of determination</w:t>
      </w:r>
      <w:r>
        <w:rPr>
          <w:rFonts w:ascii="Georgia" w:hAnsi="Georgia" w:cs="Arial"/>
          <w:b/>
          <w:bCs/>
        </w:rPr>
        <w:tab/>
      </w:r>
      <w:r w:rsidRPr="00660DC6">
        <w:rPr>
          <w:rFonts w:ascii="Georgia" w:hAnsi="Georgia" w:cs="Arial"/>
          <w:b/>
          <w:bCs/>
        </w:rPr>
        <w:t>:</w:t>
      </w:r>
      <w:r w:rsidRPr="00660DC6">
        <w:rPr>
          <w:rFonts w:ascii="Georgia" w:hAnsi="Georgia" w:cs="Arial"/>
          <w:b/>
          <w:bCs/>
        </w:rPr>
        <w:tab/>
      </w:r>
      <w:r w:rsidR="00424806" w:rsidRPr="00424806">
        <w:rPr>
          <w:rFonts w:ascii="Georgia" w:hAnsi="Georgia" w:cs="Arial"/>
          <w:b/>
          <w:bCs/>
        </w:rPr>
        <w:t>2 August 2019</w:t>
      </w:r>
    </w:p>
    <w:p w:rsidR="00D44A66" w:rsidRDefault="00D44A66" w:rsidP="00D44A66">
      <w:pPr>
        <w:rPr>
          <w:rFonts w:ascii="Georgia" w:hAnsi="Georgia" w:cs="Arial"/>
          <w:b/>
          <w:bCs/>
        </w:rPr>
      </w:pPr>
    </w:p>
    <w:p w:rsidR="00D44A66" w:rsidRDefault="00D44A66" w:rsidP="00D44A66">
      <w:pPr>
        <w:tabs>
          <w:tab w:val="left" w:pos="2880"/>
        </w:tabs>
        <w:rPr>
          <w:rFonts w:ascii="Georgia" w:hAnsi="Georgia" w:cs="Arial"/>
          <w:b/>
          <w:bCs/>
        </w:rPr>
      </w:pPr>
      <w:r>
        <w:rPr>
          <w:rFonts w:ascii="Georgia" w:hAnsi="Georgia" w:cs="Arial"/>
          <w:b/>
          <w:bCs/>
        </w:rPr>
        <w:t xml:space="preserve">Date of Decision              :  </w:t>
      </w:r>
      <w:r>
        <w:rPr>
          <w:rFonts w:ascii="Georgia" w:hAnsi="Georgia" w:cs="Arial"/>
          <w:b/>
          <w:bCs/>
        </w:rPr>
        <w:tab/>
      </w:r>
      <w:r w:rsidR="0041294A">
        <w:rPr>
          <w:rFonts w:ascii="Georgia" w:hAnsi="Georgia" w:cs="Arial"/>
          <w:b/>
          <w:bCs/>
        </w:rPr>
        <w:t>7 August 2019</w:t>
      </w:r>
    </w:p>
    <w:p w:rsidR="00D44A66" w:rsidRPr="00660DC6" w:rsidRDefault="00D44A66" w:rsidP="00D44A66">
      <w:pPr>
        <w:rPr>
          <w:rFonts w:ascii="Georgia" w:hAnsi="Georgia" w:cs="Arial"/>
          <w:b/>
          <w:bCs/>
        </w:rPr>
      </w:pPr>
    </w:p>
    <w:p w:rsidR="00D44A66" w:rsidRPr="00660DC6" w:rsidRDefault="00D44A66" w:rsidP="00D44A66">
      <w:pPr>
        <w:jc w:val="center"/>
        <w:rPr>
          <w:rFonts w:ascii="Georgia" w:hAnsi="Georgia" w:cs="Arial"/>
          <w:b/>
          <w:bCs/>
          <w:sz w:val="32"/>
        </w:rPr>
      </w:pPr>
      <w:r>
        <w:rPr>
          <w:rFonts w:ascii="Georgia" w:hAnsi="Georgia" w:cs="Arial"/>
          <w:b/>
          <w:bCs/>
        </w:rPr>
        <w:t>_______________________________________________</w:t>
      </w:r>
    </w:p>
    <w:p w:rsidR="00D44A66" w:rsidRDefault="00D44A66" w:rsidP="00D44A66">
      <w:pPr>
        <w:pStyle w:val="Heading1"/>
        <w:rPr>
          <w:rFonts w:ascii="Georgia" w:hAnsi="Georgia" w:cs="Arial"/>
          <w:sz w:val="24"/>
        </w:rPr>
      </w:pPr>
    </w:p>
    <w:p w:rsidR="00D44A66" w:rsidRPr="00F543F9" w:rsidRDefault="00D44A66" w:rsidP="00D44A66">
      <w:pPr>
        <w:pStyle w:val="Heading1"/>
        <w:rPr>
          <w:rFonts w:ascii="Georgia" w:hAnsi="Georgia" w:cs="Arial"/>
          <w:sz w:val="24"/>
        </w:rPr>
      </w:pPr>
      <w:r w:rsidRPr="00F543F9">
        <w:rPr>
          <w:rFonts w:ascii="Georgia" w:hAnsi="Georgia" w:cs="Arial"/>
          <w:sz w:val="24"/>
        </w:rPr>
        <w:t>DECISION</w:t>
      </w:r>
    </w:p>
    <w:p w:rsidR="00D44A66" w:rsidRPr="00660DC6" w:rsidRDefault="00D44A66" w:rsidP="00D44A66">
      <w:pPr>
        <w:jc w:val="center"/>
        <w:rPr>
          <w:rFonts w:ascii="Georgia" w:hAnsi="Georgia" w:cs="Arial"/>
          <w:b/>
          <w:bCs/>
          <w:sz w:val="32"/>
        </w:rPr>
      </w:pPr>
      <w:r w:rsidRPr="00660DC6">
        <w:rPr>
          <w:rFonts w:ascii="Georgia" w:hAnsi="Georgia" w:cs="Arial"/>
          <w:b/>
          <w:bCs/>
          <w:sz w:val="32"/>
        </w:rPr>
        <w:t>_____________________</w:t>
      </w:r>
      <w:r>
        <w:rPr>
          <w:rFonts w:ascii="Georgia" w:hAnsi="Georgia" w:cs="Arial"/>
          <w:b/>
          <w:bCs/>
          <w:sz w:val="32"/>
        </w:rPr>
        <w:t>___</w:t>
      </w:r>
      <w:r w:rsidRPr="00660DC6">
        <w:rPr>
          <w:rFonts w:ascii="Georgia" w:hAnsi="Georgia" w:cs="Arial"/>
          <w:b/>
          <w:bCs/>
          <w:sz w:val="32"/>
        </w:rPr>
        <w:t>____________</w:t>
      </w:r>
    </w:p>
    <w:p w:rsidR="00D44A66" w:rsidRPr="00660DC6" w:rsidRDefault="00D44A66" w:rsidP="00D44A66">
      <w:pPr>
        <w:rPr>
          <w:rFonts w:ascii="Georgia" w:hAnsi="Georgia" w:cs="Arial"/>
          <w:bCs/>
        </w:rPr>
      </w:pPr>
    </w:p>
    <w:p w:rsidR="00D44A66" w:rsidRDefault="00D44A66" w:rsidP="00D44A66">
      <w:pPr>
        <w:pStyle w:val="Footer"/>
        <w:jc w:val="center"/>
        <w:rPr>
          <w:rFonts w:ascii="Georgia" w:hAnsi="Georgia"/>
          <w:b/>
          <w:szCs w:val="24"/>
        </w:rPr>
      </w:pPr>
    </w:p>
    <w:p w:rsidR="00D44A66" w:rsidRDefault="00D44A66" w:rsidP="00D44A66">
      <w:pPr>
        <w:pStyle w:val="Footer"/>
        <w:jc w:val="center"/>
        <w:rPr>
          <w:rFonts w:ascii="Georgia" w:hAnsi="Georgia"/>
          <w:b/>
          <w:szCs w:val="24"/>
        </w:rPr>
      </w:pPr>
    </w:p>
    <w:p w:rsidR="00D44A66" w:rsidRDefault="00D44A66" w:rsidP="00D44A66">
      <w:pPr>
        <w:pStyle w:val="Footer"/>
        <w:rPr>
          <w:rFonts w:ascii="Georgia" w:hAnsi="Georgia"/>
          <w:b/>
          <w:szCs w:val="24"/>
        </w:rPr>
      </w:pPr>
    </w:p>
    <w:p w:rsidR="00D44A66" w:rsidRDefault="00D44A66" w:rsidP="00D44A66">
      <w:pPr>
        <w:pStyle w:val="Footer"/>
        <w:jc w:val="center"/>
        <w:rPr>
          <w:rFonts w:ascii="Georgia" w:hAnsi="Georgia"/>
          <w:b/>
          <w:szCs w:val="24"/>
        </w:rPr>
      </w:pPr>
    </w:p>
    <w:p w:rsidR="00D44A66" w:rsidRPr="00D51D43" w:rsidRDefault="00D44A66" w:rsidP="00D44A66">
      <w:pPr>
        <w:pStyle w:val="Footer"/>
        <w:jc w:val="center"/>
        <w:rPr>
          <w:rFonts w:ascii="Georgia" w:hAnsi="Georgia"/>
          <w:b/>
          <w:szCs w:val="24"/>
        </w:rPr>
      </w:pPr>
      <w:r w:rsidRPr="00D51D43">
        <w:rPr>
          <w:rFonts w:ascii="Georgia" w:hAnsi="Georgia"/>
        </w:rPr>
        <w:t>© CROWN COPYRIGHT 201</w:t>
      </w:r>
      <w:r>
        <w:rPr>
          <w:rFonts w:ascii="Georgia" w:hAnsi="Georgia"/>
        </w:rPr>
        <w:t>9</w:t>
      </w:r>
      <w:r w:rsidR="00531FF5">
        <w:rPr>
          <w:rFonts w:ascii="Georgia" w:hAnsi="Georgia"/>
        </w:rPr>
        <w:t xml:space="preserve"> </w:t>
      </w:r>
    </w:p>
    <w:p w:rsidR="00D44A66" w:rsidRDefault="00D44A66" w:rsidP="00D44A66"/>
    <w:p w:rsidR="00D44A66" w:rsidRDefault="00D44A66" w:rsidP="00D44A66"/>
    <w:p w:rsidR="00D44A66" w:rsidRDefault="00D44A66" w:rsidP="00D44A66"/>
    <w:p w:rsidR="00D44A66" w:rsidRDefault="00D44A66" w:rsidP="00D44A66"/>
    <w:p w:rsidR="00D44A66" w:rsidRDefault="00D44A66" w:rsidP="00D44A66"/>
    <w:p w:rsidR="00E018DC" w:rsidRDefault="00E018DC" w:rsidP="00D44A66"/>
    <w:p w:rsidR="00D44A66" w:rsidRDefault="00D44A66" w:rsidP="00D44A66"/>
    <w:p w:rsidR="00D44A66" w:rsidRPr="00041EFB" w:rsidRDefault="00D44A66" w:rsidP="00F13F62">
      <w:pPr>
        <w:jc w:val="both"/>
        <w:rPr>
          <w:rFonts w:ascii="Georgia" w:hAnsi="Georgia" w:cs="Arial"/>
          <w:b/>
        </w:rPr>
      </w:pPr>
      <w:r w:rsidRPr="00041EFB">
        <w:rPr>
          <w:rFonts w:ascii="Georgia" w:hAnsi="Georgia" w:cs="Arial"/>
          <w:b/>
        </w:rPr>
        <w:lastRenderedPageBreak/>
        <w:t>Application</w:t>
      </w:r>
    </w:p>
    <w:p w:rsidR="00D44A66" w:rsidRPr="00041EFB" w:rsidRDefault="00D44A66" w:rsidP="00D44A66">
      <w:pPr>
        <w:ind w:left="720" w:hanging="720"/>
        <w:jc w:val="both"/>
        <w:rPr>
          <w:rFonts w:ascii="Georgia" w:hAnsi="Georgia" w:cs="Arial"/>
          <w:b/>
        </w:rPr>
      </w:pPr>
    </w:p>
    <w:p w:rsidR="00D44A66" w:rsidRPr="005F37A7" w:rsidRDefault="00311394" w:rsidP="00D44A66">
      <w:pPr>
        <w:numPr>
          <w:ilvl w:val="0"/>
          <w:numId w:val="5"/>
        </w:numPr>
        <w:ind w:hanging="720"/>
        <w:jc w:val="both"/>
        <w:rPr>
          <w:rFonts w:ascii="Georgia" w:hAnsi="Georgia" w:cs="Arial"/>
        </w:rPr>
      </w:pPr>
      <w:r>
        <w:rPr>
          <w:rFonts w:ascii="Georgia" w:hAnsi="Georgia"/>
        </w:rPr>
        <w:t>Tuscola (FC101) Limited applies for a determination of the costs payable by L8 Inc RTM Company Limited</w:t>
      </w:r>
      <w:r w:rsidR="00674C21">
        <w:rPr>
          <w:rFonts w:ascii="Georgia" w:hAnsi="Georgia"/>
        </w:rPr>
        <w:t xml:space="preserve"> </w:t>
      </w:r>
      <w:r w:rsidR="00D9327B">
        <w:rPr>
          <w:rFonts w:ascii="Georgia" w:hAnsi="Georgia"/>
        </w:rPr>
        <w:t>under Section 88</w:t>
      </w:r>
      <w:r w:rsidR="00674C21">
        <w:rPr>
          <w:rFonts w:ascii="Georgia" w:hAnsi="Georgia"/>
        </w:rPr>
        <w:t xml:space="preserve">(4) </w:t>
      </w:r>
      <w:r w:rsidR="00D9327B">
        <w:rPr>
          <w:rFonts w:ascii="Georgia" w:hAnsi="Georgia"/>
        </w:rPr>
        <w:t>of the Commonhold and Leasehold Reform Act 2002 (the Act)</w:t>
      </w:r>
      <w:r w:rsidR="005F37A7">
        <w:rPr>
          <w:rFonts w:ascii="Georgia" w:hAnsi="Georgia"/>
        </w:rPr>
        <w:t>.</w:t>
      </w:r>
    </w:p>
    <w:p w:rsidR="005F37A7" w:rsidRPr="005F37A7" w:rsidRDefault="005F37A7" w:rsidP="005F37A7">
      <w:pPr>
        <w:ind w:left="720"/>
        <w:jc w:val="both"/>
        <w:rPr>
          <w:rFonts w:ascii="Georgia" w:hAnsi="Georgia" w:cs="Arial"/>
        </w:rPr>
      </w:pPr>
    </w:p>
    <w:p w:rsidR="005F37A7" w:rsidRPr="005F37A7" w:rsidRDefault="005F37A7" w:rsidP="005F37A7">
      <w:pPr>
        <w:numPr>
          <w:ilvl w:val="0"/>
          <w:numId w:val="5"/>
        </w:numPr>
        <w:ind w:hanging="720"/>
        <w:jc w:val="both"/>
        <w:rPr>
          <w:rFonts w:ascii="Georgia" w:hAnsi="Georgia" w:cs="Arial"/>
        </w:rPr>
      </w:pPr>
      <w:r>
        <w:rPr>
          <w:rFonts w:ascii="Georgia" w:hAnsi="Georgia" w:cs="Arial"/>
        </w:rPr>
        <w:t xml:space="preserve">The Respondent is a Right to Manage Company formed to acquire the right to manage Mill View Tower, Mill Street/Rutter Street, Liverpool L8 6AG (the Property). </w:t>
      </w:r>
    </w:p>
    <w:p w:rsidR="00674C21" w:rsidRDefault="00674C21" w:rsidP="00674C21">
      <w:pPr>
        <w:jc w:val="both"/>
        <w:rPr>
          <w:rFonts w:ascii="Georgia" w:hAnsi="Georgia" w:cs="Arial"/>
        </w:rPr>
      </w:pPr>
    </w:p>
    <w:p w:rsidR="00674C21" w:rsidRDefault="00674C21" w:rsidP="00674C21">
      <w:pPr>
        <w:jc w:val="both"/>
        <w:rPr>
          <w:rFonts w:ascii="Georgia" w:hAnsi="Georgia" w:cs="Arial"/>
          <w:b/>
          <w:bCs/>
        </w:rPr>
      </w:pPr>
      <w:r>
        <w:rPr>
          <w:rFonts w:ascii="Georgia" w:hAnsi="Georgia" w:cs="Arial"/>
          <w:b/>
          <w:bCs/>
        </w:rPr>
        <w:t xml:space="preserve">Background </w:t>
      </w:r>
    </w:p>
    <w:p w:rsidR="00674C21" w:rsidRPr="00674C21" w:rsidRDefault="00674C21" w:rsidP="00674C21">
      <w:pPr>
        <w:jc w:val="both"/>
        <w:rPr>
          <w:rFonts w:ascii="Georgia" w:hAnsi="Georgia" w:cs="Arial"/>
          <w:b/>
          <w:bCs/>
        </w:rPr>
      </w:pPr>
    </w:p>
    <w:p w:rsidR="00674C21" w:rsidRDefault="00674C21" w:rsidP="00D44A66">
      <w:pPr>
        <w:numPr>
          <w:ilvl w:val="0"/>
          <w:numId w:val="5"/>
        </w:numPr>
        <w:ind w:hanging="720"/>
        <w:jc w:val="both"/>
        <w:rPr>
          <w:rFonts w:ascii="Georgia" w:hAnsi="Georgia" w:cs="Arial"/>
        </w:rPr>
      </w:pPr>
      <w:r>
        <w:rPr>
          <w:rFonts w:ascii="Georgia" w:hAnsi="Georgia" w:cs="Arial"/>
        </w:rPr>
        <w:t>The application was received by the Tribunal on 1 March 2019.</w:t>
      </w:r>
    </w:p>
    <w:p w:rsidR="00674C21" w:rsidRDefault="00674C21" w:rsidP="00674C21">
      <w:pPr>
        <w:ind w:left="720"/>
        <w:jc w:val="both"/>
        <w:rPr>
          <w:rFonts w:ascii="Georgia" w:hAnsi="Georgia" w:cs="Arial"/>
        </w:rPr>
      </w:pPr>
    </w:p>
    <w:p w:rsidR="00674C21" w:rsidRDefault="00674C21" w:rsidP="00D44A66">
      <w:pPr>
        <w:numPr>
          <w:ilvl w:val="0"/>
          <w:numId w:val="5"/>
        </w:numPr>
        <w:ind w:hanging="720"/>
        <w:jc w:val="both"/>
        <w:rPr>
          <w:rFonts w:ascii="Georgia" w:hAnsi="Georgia" w:cs="Arial"/>
        </w:rPr>
      </w:pPr>
      <w:r>
        <w:rPr>
          <w:rFonts w:ascii="Georgia" w:hAnsi="Georgia" w:cs="Arial"/>
        </w:rPr>
        <w:t>On 16 April 2019, Judge Holbrook made directions for the determination of the application which provided for service of statement of case and supporting documents and a Respondent’s statement of case.</w:t>
      </w:r>
      <w:r w:rsidR="00424806">
        <w:rPr>
          <w:rFonts w:ascii="Georgia" w:hAnsi="Georgia" w:cs="Arial"/>
        </w:rPr>
        <w:t xml:space="preserve">  the directions stated that the Tribunal would consider the application on the papers unless either party requested a hearin</w:t>
      </w:r>
      <w:r w:rsidR="005F37A7">
        <w:rPr>
          <w:rFonts w:ascii="Georgia" w:hAnsi="Georgia" w:cs="Arial"/>
        </w:rPr>
        <w:t>g.</w:t>
      </w:r>
    </w:p>
    <w:p w:rsidR="00424806" w:rsidRDefault="00424806" w:rsidP="00424806">
      <w:pPr>
        <w:pStyle w:val="ListParagraph"/>
        <w:rPr>
          <w:rFonts w:ascii="Georgia" w:hAnsi="Georgia" w:cs="Arial"/>
        </w:rPr>
      </w:pPr>
    </w:p>
    <w:p w:rsidR="00424806" w:rsidRDefault="00424806" w:rsidP="00D44A66">
      <w:pPr>
        <w:numPr>
          <w:ilvl w:val="0"/>
          <w:numId w:val="5"/>
        </w:numPr>
        <w:ind w:hanging="720"/>
        <w:jc w:val="both"/>
        <w:rPr>
          <w:rFonts w:ascii="Georgia" w:hAnsi="Georgia" w:cs="Arial"/>
        </w:rPr>
      </w:pPr>
      <w:r>
        <w:rPr>
          <w:rFonts w:ascii="Georgia" w:hAnsi="Georgia" w:cs="Arial"/>
        </w:rPr>
        <w:t xml:space="preserve">In compliance with directions the Applicant </w:t>
      </w:r>
      <w:r w:rsidR="00841DCB">
        <w:rPr>
          <w:rFonts w:ascii="Georgia" w:hAnsi="Georgia" w:cs="Arial"/>
        </w:rPr>
        <w:t xml:space="preserve">and Respondent </w:t>
      </w:r>
      <w:r>
        <w:rPr>
          <w:rFonts w:ascii="Georgia" w:hAnsi="Georgia" w:cs="Arial"/>
        </w:rPr>
        <w:t xml:space="preserve">provided </w:t>
      </w:r>
      <w:r w:rsidR="00841DCB">
        <w:rPr>
          <w:rFonts w:ascii="Georgia" w:hAnsi="Georgia" w:cs="Arial"/>
        </w:rPr>
        <w:t xml:space="preserve">a </w:t>
      </w:r>
      <w:r>
        <w:rPr>
          <w:rFonts w:ascii="Georgia" w:hAnsi="Georgia" w:cs="Arial"/>
        </w:rPr>
        <w:t>statement of case</w:t>
      </w:r>
      <w:r w:rsidR="00841DCB">
        <w:rPr>
          <w:rFonts w:ascii="Georgia" w:hAnsi="Georgia" w:cs="Arial"/>
        </w:rPr>
        <w:t>.  The Applicant also submitted a reply.</w:t>
      </w:r>
    </w:p>
    <w:p w:rsidR="00424806" w:rsidRDefault="00424806" w:rsidP="00424806">
      <w:pPr>
        <w:pStyle w:val="ListParagraph"/>
        <w:rPr>
          <w:rFonts w:ascii="Georgia" w:hAnsi="Georgia" w:cs="Arial"/>
        </w:rPr>
      </w:pPr>
    </w:p>
    <w:p w:rsidR="00D44A66" w:rsidRPr="005F37A7" w:rsidRDefault="00424806" w:rsidP="00D44A66">
      <w:pPr>
        <w:numPr>
          <w:ilvl w:val="0"/>
          <w:numId w:val="5"/>
        </w:numPr>
        <w:ind w:hanging="720"/>
        <w:jc w:val="both"/>
        <w:rPr>
          <w:rFonts w:ascii="Georgia" w:hAnsi="Georgia" w:cs="Arial"/>
        </w:rPr>
      </w:pPr>
      <w:r>
        <w:rPr>
          <w:rFonts w:ascii="Georgia" w:hAnsi="Georgia" w:cs="Arial"/>
        </w:rPr>
        <w:t>Neither party requested an oral hearing.  The Tribunal determined the application on the papers on 2 August 2019.</w:t>
      </w:r>
    </w:p>
    <w:p w:rsidR="006452A3" w:rsidRDefault="006452A3" w:rsidP="006452A3">
      <w:pPr>
        <w:rPr>
          <w:rFonts w:ascii="Georgia" w:hAnsi="Georgia" w:cs="Arial"/>
        </w:rPr>
      </w:pPr>
    </w:p>
    <w:p w:rsidR="00424806" w:rsidRDefault="00994781" w:rsidP="006452A3">
      <w:pPr>
        <w:rPr>
          <w:rFonts w:ascii="Georgia" w:hAnsi="Georgia" w:cs="Arial"/>
          <w:b/>
          <w:bCs/>
        </w:rPr>
      </w:pPr>
      <w:r>
        <w:rPr>
          <w:rFonts w:ascii="Georgia" w:hAnsi="Georgia" w:cs="Arial"/>
          <w:b/>
          <w:bCs/>
        </w:rPr>
        <w:t>The Law</w:t>
      </w:r>
    </w:p>
    <w:p w:rsidR="00424806" w:rsidRPr="00424806" w:rsidRDefault="00424806" w:rsidP="006452A3">
      <w:pPr>
        <w:rPr>
          <w:rFonts w:ascii="Georgia" w:hAnsi="Georgia" w:cs="Arial"/>
          <w:b/>
          <w:bCs/>
        </w:rPr>
      </w:pPr>
    </w:p>
    <w:p w:rsidR="00994781" w:rsidRPr="00994781" w:rsidRDefault="00994781" w:rsidP="00994781">
      <w:pPr>
        <w:numPr>
          <w:ilvl w:val="0"/>
          <w:numId w:val="5"/>
        </w:numPr>
        <w:ind w:hanging="720"/>
        <w:jc w:val="both"/>
        <w:rPr>
          <w:rFonts w:ascii="Georgia" w:hAnsi="Georgia" w:cs="Arial"/>
        </w:rPr>
      </w:pPr>
      <w:r w:rsidRPr="00994781">
        <w:rPr>
          <w:rFonts w:ascii="Georgia" w:hAnsi="Georgia"/>
        </w:rPr>
        <w:t xml:space="preserve">The relevant sections of the Act provide: </w:t>
      </w:r>
    </w:p>
    <w:p w:rsidR="00994781" w:rsidRPr="00994781" w:rsidRDefault="00994781" w:rsidP="00994781">
      <w:pPr>
        <w:ind w:left="720"/>
        <w:jc w:val="both"/>
        <w:rPr>
          <w:rFonts w:ascii="Georgia" w:hAnsi="Georgia" w:cs="Arial"/>
        </w:rPr>
      </w:pPr>
    </w:p>
    <w:p w:rsidR="00003E46" w:rsidRPr="00B92EF7" w:rsidRDefault="00D047F8" w:rsidP="00003E46">
      <w:pPr>
        <w:numPr>
          <w:ilvl w:val="0"/>
          <w:numId w:val="5"/>
        </w:numPr>
        <w:ind w:hanging="720"/>
        <w:rPr>
          <w:rFonts w:ascii="Georgia" w:hAnsi="Georgia" w:cs="Arial"/>
        </w:rPr>
      </w:pPr>
      <w:r>
        <w:rPr>
          <w:rFonts w:ascii="Georgia" w:hAnsi="Georgia"/>
        </w:rPr>
        <w:t>S</w:t>
      </w:r>
      <w:r w:rsidR="00994781" w:rsidRPr="00994781">
        <w:rPr>
          <w:rFonts w:ascii="Georgia" w:hAnsi="Georgia"/>
        </w:rPr>
        <w:t>88 Costs: general</w:t>
      </w:r>
    </w:p>
    <w:p w:rsidR="00B92EF7" w:rsidRPr="00B92EF7" w:rsidRDefault="00B92EF7" w:rsidP="00B92EF7">
      <w:pPr>
        <w:ind w:left="720"/>
        <w:jc w:val="both"/>
        <w:rPr>
          <w:rFonts w:ascii="Georgia" w:hAnsi="Georgia"/>
        </w:rPr>
      </w:pPr>
      <w:r w:rsidRPr="00994781">
        <w:rPr>
          <w:rFonts w:ascii="Georgia" w:hAnsi="Georgia"/>
        </w:rPr>
        <w:br/>
        <w:t>(1) A RTM company is liable for reasonable costs incurred by a person who is— (a) landlord under a lease of the whole or any part of any premises,</w:t>
      </w:r>
      <w:r>
        <w:rPr>
          <w:rFonts w:ascii="Georgia" w:hAnsi="Georgia"/>
        </w:rPr>
        <w:t xml:space="preserve"> </w:t>
      </w:r>
      <w:r w:rsidRPr="00994781">
        <w:rPr>
          <w:rFonts w:ascii="Georgia" w:hAnsi="Georgia"/>
        </w:rPr>
        <w:br/>
        <w:t xml:space="preserve">(b) party to such a lease otherwise than as landlord or tenant, or </w:t>
      </w:r>
    </w:p>
    <w:p w:rsidR="00B92EF7" w:rsidRPr="00003E46" w:rsidRDefault="00B92EF7" w:rsidP="00B92EF7">
      <w:pPr>
        <w:ind w:left="720"/>
        <w:jc w:val="both"/>
        <w:rPr>
          <w:rFonts w:ascii="Georgia" w:hAnsi="Georgia" w:cs="Arial"/>
        </w:rPr>
      </w:pPr>
      <w:r w:rsidRPr="00003E46">
        <w:rPr>
          <w:rFonts w:ascii="Georgia" w:hAnsi="Georgia"/>
        </w:rPr>
        <w:t>(c) a manager appointed under Part 2 of the 1987 Act to act in relation to the premises, or any premises containing or contained in the premises,</w:t>
      </w:r>
      <w:r w:rsidRPr="00003E46">
        <w:rPr>
          <w:rFonts w:ascii="Georgia" w:hAnsi="Georgia"/>
        </w:rPr>
        <w:br/>
        <w:t xml:space="preserve">in consequence of a claim notice given by the company in relation to the premises. </w:t>
      </w:r>
    </w:p>
    <w:p w:rsidR="00B92EF7" w:rsidRPr="00003E46" w:rsidRDefault="00B92EF7" w:rsidP="00B92EF7">
      <w:pPr>
        <w:ind w:left="720"/>
        <w:jc w:val="both"/>
        <w:rPr>
          <w:rFonts w:ascii="Georgia" w:hAnsi="Georgia" w:cs="Arial"/>
        </w:rPr>
      </w:pPr>
    </w:p>
    <w:p w:rsidR="00B92EF7" w:rsidRPr="00003E46" w:rsidRDefault="00B92EF7" w:rsidP="00B92EF7">
      <w:pPr>
        <w:ind w:left="720"/>
        <w:jc w:val="both"/>
        <w:rPr>
          <w:rFonts w:ascii="Georgia" w:hAnsi="Georgia" w:cs="Arial"/>
        </w:rPr>
      </w:pPr>
      <w:r w:rsidRPr="00003E46">
        <w:rPr>
          <w:rFonts w:ascii="Georgia" w:hAnsi="Georgia"/>
        </w:rPr>
        <w:t xml:space="preserve">(2) Any costs incurred by such a person in respect of professional services rendered to him by another are to be regarded as reasonable only if and to the extent that costs in respect of such services might reasonably be expected to have been incurred by him if the circumstances had been such that he was personally liable for all such costs. </w:t>
      </w:r>
    </w:p>
    <w:p w:rsidR="00B92EF7" w:rsidRDefault="00B92EF7" w:rsidP="00B92EF7">
      <w:pPr>
        <w:pStyle w:val="ListParagraph"/>
        <w:rPr>
          <w:rFonts w:ascii="Georgia" w:hAnsi="Georgia" w:cs="Arial"/>
        </w:rPr>
      </w:pPr>
    </w:p>
    <w:p w:rsidR="00B92EF7" w:rsidRPr="00003E46" w:rsidRDefault="00B92EF7" w:rsidP="00B92EF7">
      <w:pPr>
        <w:ind w:left="720"/>
        <w:jc w:val="both"/>
        <w:rPr>
          <w:rFonts w:ascii="Georgia" w:hAnsi="Georgia" w:cs="Arial"/>
        </w:rPr>
      </w:pPr>
      <w:r w:rsidRPr="00003E46">
        <w:rPr>
          <w:rFonts w:ascii="Georgia" w:hAnsi="Georgia"/>
        </w:rPr>
        <w:t xml:space="preserve">(3) A RTM company is liable for any costs which such a person incurs as party to any proceedings under this Chapter before [the appropriate tribunal] only if the tribunal dismisses an application by the company for a determination that it is entitled to acquire the right to manage the premises. </w:t>
      </w:r>
    </w:p>
    <w:p w:rsidR="00B92EF7" w:rsidRDefault="00B92EF7" w:rsidP="00B92EF7">
      <w:pPr>
        <w:pStyle w:val="ListParagraph"/>
        <w:rPr>
          <w:rFonts w:ascii="Georgia" w:hAnsi="Georgia" w:cs="Arial"/>
        </w:rPr>
      </w:pPr>
    </w:p>
    <w:p w:rsidR="00B92EF7" w:rsidRPr="00003E46" w:rsidRDefault="00B92EF7" w:rsidP="00B92EF7">
      <w:pPr>
        <w:ind w:left="720"/>
        <w:jc w:val="both"/>
        <w:rPr>
          <w:rFonts w:ascii="Georgia" w:hAnsi="Georgia" w:cs="Arial"/>
        </w:rPr>
      </w:pPr>
      <w:r w:rsidRPr="00003E46">
        <w:rPr>
          <w:rFonts w:ascii="Georgia" w:hAnsi="Georgia"/>
        </w:rPr>
        <w:lastRenderedPageBreak/>
        <w:t xml:space="preserve">(4) Any question arising in relation to the amount of any costs payable by a RTM company shall, in default of agreement, be determined by [the appropriate tribunal] </w:t>
      </w:r>
    </w:p>
    <w:p w:rsidR="00003E46" w:rsidRPr="00B92EF7" w:rsidRDefault="00003E46" w:rsidP="00B92EF7">
      <w:pPr>
        <w:rPr>
          <w:rFonts w:ascii="Georgia" w:hAnsi="Georgia" w:cs="Arial"/>
        </w:rPr>
      </w:pPr>
    </w:p>
    <w:p w:rsidR="00B92EF7" w:rsidRPr="00B92EF7" w:rsidRDefault="00B92EF7" w:rsidP="00B92EF7">
      <w:pPr>
        <w:numPr>
          <w:ilvl w:val="0"/>
          <w:numId w:val="5"/>
        </w:numPr>
        <w:ind w:hanging="720"/>
        <w:jc w:val="both"/>
        <w:rPr>
          <w:rFonts w:ascii="Georgia" w:hAnsi="Georgia" w:cs="Arial"/>
        </w:rPr>
      </w:pPr>
      <w:r>
        <w:rPr>
          <w:rFonts w:ascii="Georgia" w:hAnsi="Georgia"/>
        </w:rPr>
        <w:t>S</w:t>
      </w:r>
      <w:r w:rsidR="00994781" w:rsidRPr="00003E46">
        <w:rPr>
          <w:rFonts w:ascii="Georgia" w:hAnsi="Georgia"/>
        </w:rPr>
        <w:t>89 Costs where claim ceases</w:t>
      </w:r>
    </w:p>
    <w:p w:rsidR="00994781" w:rsidRPr="00003E46" w:rsidRDefault="00994781" w:rsidP="001344F7">
      <w:pPr>
        <w:ind w:left="720"/>
        <w:rPr>
          <w:rFonts w:ascii="Georgia" w:hAnsi="Georgia" w:cs="Arial"/>
        </w:rPr>
      </w:pPr>
      <w:r w:rsidRPr="00003E46">
        <w:rPr>
          <w:rFonts w:ascii="Georgia" w:hAnsi="Georgia"/>
        </w:rPr>
        <w:br/>
        <w:t>(1) This section applies where a claim notice given by a RTM company—</w:t>
      </w:r>
      <w:r w:rsidRPr="00003E46">
        <w:rPr>
          <w:rFonts w:ascii="Georgia" w:hAnsi="Georgia"/>
        </w:rPr>
        <w:br/>
        <w:t>(a) is at any time withdrawn or deemed to be withdrawn by virtue of any provision of this Chapter, or</w:t>
      </w:r>
      <w:r w:rsidRPr="00003E46">
        <w:rPr>
          <w:rFonts w:ascii="Georgia" w:hAnsi="Georgia"/>
        </w:rPr>
        <w:br/>
        <w:t>(b) at any time ceases to have effect by reason of any other provision of this Chapter.</w:t>
      </w:r>
      <w:r w:rsidRPr="00003E46">
        <w:rPr>
          <w:rFonts w:ascii="Georgia" w:hAnsi="Georgia"/>
        </w:rPr>
        <w:br/>
        <w:t>(2) The liability of the RTM company under section 88 for costs incurred by any person is a liability for costs incurred by him down to that time.</w:t>
      </w:r>
      <w:r w:rsidRPr="00003E46">
        <w:rPr>
          <w:rFonts w:ascii="Georgia" w:hAnsi="Georgia"/>
        </w:rPr>
        <w:br/>
        <w:t>(3) Each person who is or has been a member of the RTM company is also liable for those costs (jointly and severally with the RTM company and each other person who is so liable).</w:t>
      </w:r>
      <w:r w:rsidRPr="00003E46">
        <w:rPr>
          <w:rFonts w:ascii="Georgia" w:hAnsi="Georgia"/>
        </w:rPr>
        <w:br/>
        <w:t>(4) But subsection (3) does not make a person liable if—</w:t>
      </w:r>
      <w:r w:rsidRPr="00003E46">
        <w:rPr>
          <w:rFonts w:ascii="Georgia" w:hAnsi="Georgia"/>
        </w:rPr>
        <w:br/>
        <w:t>(a) the lease by virtue of which he was a qualifying tenant has been assigned to another person, and</w:t>
      </w:r>
      <w:r w:rsidRPr="00003E46">
        <w:rPr>
          <w:rFonts w:ascii="Georgia" w:hAnsi="Georgia"/>
        </w:rPr>
        <w:br/>
        <w:t>(b) that other person has become a member of the RTM company.</w:t>
      </w:r>
      <w:r w:rsidRPr="00003E46">
        <w:rPr>
          <w:rFonts w:ascii="Georgia" w:hAnsi="Georgia"/>
        </w:rPr>
        <w:br/>
        <w:t>(5) The reference in subsection (4) to an assignment includes—</w:t>
      </w:r>
      <w:r w:rsidRPr="00003E46">
        <w:rPr>
          <w:rFonts w:ascii="Georgia" w:hAnsi="Georgia"/>
        </w:rPr>
        <w:br/>
        <w:t xml:space="preserve">(a) an assent by personal representatives, and </w:t>
      </w:r>
    </w:p>
    <w:p w:rsidR="00994781" w:rsidRPr="00003E46" w:rsidRDefault="00994781" w:rsidP="000421F8">
      <w:pPr>
        <w:ind w:left="720"/>
        <w:jc w:val="both"/>
        <w:rPr>
          <w:rFonts w:ascii="Georgia" w:hAnsi="Georgia" w:cs="Arial"/>
        </w:rPr>
      </w:pPr>
      <w:r w:rsidRPr="00003E46">
        <w:rPr>
          <w:rFonts w:ascii="Georgia" w:hAnsi="Georgia"/>
        </w:rPr>
        <w:t xml:space="preserve">(b) assignment by operation of law where the assignment is to a trustee in bankruptcy or to a mortgagee under section 89(2) of the Law of Property Act 1925 (c. 20) (foreclosure of leasehold mortgage). </w:t>
      </w:r>
    </w:p>
    <w:p w:rsidR="00003E46" w:rsidRPr="00003E46" w:rsidRDefault="00003E46" w:rsidP="00003E46">
      <w:pPr>
        <w:jc w:val="both"/>
        <w:rPr>
          <w:rFonts w:ascii="Georgia" w:hAnsi="Georgia" w:cs="Arial"/>
        </w:rPr>
      </w:pPr>
    </w:p>
    <w:p w:rsidR="00994781" w:rsidRPr="00994781" w:rsidRDefault="00003E46" w:rsidP="00994781">
      <w:pPr>
        <w:jc w:val="both"/>
        <w:rPr>
          <w:rFonts w:ascii="Georgia" w:hAnsi="Georgia" w:cs="Arial"/>
          <w:b/>
          <w:bCs/>
        </w:rPr>
      </w:pPr>
      <w:r>
        <w:rPr>
          <w:rFonts w:ascii="Georgia" w:hAnsi="Georgia" w:cs="Arial"/>
          <w:b/>
          <w:bCs/>
        </w:rPr>
        <w:t>Background</w:t>
      </w:r>
    </w:p>
    <w:p w:rsidR="00D44A66" w:rsidRPr="00041EFB" w:rsidRDefault="00D44A66" w:rsidP="00994781">
      <w:pPr>
        <w:jc w:val="both"/>
        <w:rPr>
          <w:rFonts w:ascii="Georgia" w:hAnsi="Georgia" w:cs="Arial"/>
        </w:rPr>
      </w:pPr>
    </w:p>
    <w:p w:rsidR="00994781" w:rsidRDefault="00994781" w:rsidP="00994781">
      <w:pPr>
        <w:numPr>
          <w:ilvl w:val="0"/>
          <w:numId w:val="5"/>
        </w:numPr>
        <w:ind w:hanging="720"/>
        <w:jc w:val="both"/>
        <w:rPr>
          <w:rFonts w:ascii="Georgia" w:hAnsi="Georgia" w:cs="Arial"/>
        </w:rPr>
      </w:pPr>
      <w:r>
        <w:rPr>
          <w:rFonts w:ascii="Georgia" w:hAnsi="Georgia" w:cs="Arial"/>
        </w:rPr>
        <w:t>The Respondent</w:t>
      </w:r>
      <w:r w:rsidR="005378C0">
        <w:rPr>
          <w:rFonts w:ascii="Georgia" w:hAnsi="Georgia" w:cs="Arial"/>
        </w:rPr>
        <w:t xml:space="preserve"> sent</w:t>
      </w:r>
      <w:r>
        <w:rPr>
          <w:rFonts w:ascii="Georgia" w:hAnsi="Georgia" w:cs="Arial"/>
        </w:rPr>
        <w:t xml:space="preserve"> a claim notice dated 18 August 2018 to the Applicant</w:t>
      </w:r>
      <w:r w:rsidR="005378C0">
        <w:rPr>
          <w:rFonts w:ascii="Georgia" w:hAnsi="Georgia" w:cs="Arial"/>
        </w:rPr>
        <w:t xml:space="preserve"> </w:t>
      </w:r>
      <w:r>
        <w:rPr>
          <w:rFonts w:ascii="Georgia" w:hAnsi="Georgia" w:cs="Arial"/>
        </w:rPr>
        <w:t xml:space="preserve">in respect of the Property.  A counter notice was </w:t>
      </w:r>
      <w:r w:rsidR="005378C0">
        <w:rPr>
          <w:rFonts w:ascii="Georgia" w:hAnsi="Georgia" w:cs="Arial"/>
        </w:rPr>
        <w:t xml:space="preserve">sent </w:t>
      </w:r>
      <w:r>
        <w:rPr>
          <w:rFonts w:ascii="Georgia" w:hAnsi="Georgia" w:cs="Arial"/>
        </w:rPr>
        <w:t xml:space="preserve">on behalf of the Applicant on 13 September 2018 by the Applicant’s </w:t>
      </w:r>
      <w:r w:rsidR="00003E46">
        <w:rPr>
          <w:rFonts w:ascii="Georgia" w:hAnsi="Georgia" w:cs="Arial"/>
        </w:rPr>
        <w:t>S</w:t>
      </w:r>
      <w:r>
        <w:rPr>
          <w:rFonts w:ascii="Georgia" w:hAnsi="Georgia" w:cs="Arial"/>
        </w:rPr>
        <w:t xml:space="preserve">olicitors.  Both the claim notice and counter notice </w:t>
      </w:r>
      <w:r w:rsidR="005378C0">
        <w:rPr>
          <w:rFonts w:ascii="Georgia" w:hAnsi="Georgia" w:cs="Arial"/>
        </w:rPr>
        <w:t xml:space="preserve">bear </w:t>
      </w:r>
      <w:r>
        <w:rPr>
          <w:rFonts w:ascii="Georgia" w:hAnsi="Georgia" w:cs="Arial"/>
        </w:rPr>
        <w:t xml:space="preserve">the name LR8 Inc RTM Company </w:t>
      </w:r>
      <w:r w:rsidR="00BF01ED">
        <w:rPr>
          <w:rFonts w:ascii="Georgia" w:hAnsi="Georgia"/>
        </w:rPr>
        <w:t>Limited</w:t>
      </w:r>
      <w:r w:rsidR="00BF01ED">
        <w:rPr>
          <w:rFonts w:ascii="Georgia" w:hAnsi="Georgia" w:cs="Arial"/>
        </w:rPr>
        <w:t xml:space="preserve"> </w:t>
      </w:r>
      <w:r>
        <w:rPr>
          <w:rFonts w:ascii="Georgia" w:hAnsi="Georgia" w:cs="Arial"/>
        </w:rPr>
        <w:t xml:space="preserve">although the letter submitting the notice from the Respondent’s </w:t>
      </w:r>
      <w:r w:rsidR="00003E46">
        <w:rPr>
          <w:rFonts w:ascii="Georgia" w:hAnsi="Georgia" w:cs="Arial"/>
        </w:rPr>
        <w:t>S</w:t>
      </w:r>
      <w:r>
        <w:rPr>
          <w:rFonts w:ascii="Georgia" w:hAnsi="Georgia" w:cs="Arial"/>
        </w:rPr>
        <w:t>olicitors Messrs J B Le</w:t>
      </w:r>
      <w:r w:rsidR="005378C0">
        <w:rPr>
          <w:rFonts w:ascii="Georgia" w:hAnsi="Georgia" w:cs="Arial"/>
        </w:rPr>
        <w:t>it</w:t>
      </w:r>
      <w:r>
        <w:rPr>
          <w:rFonts w:ascii="Georgia" w:hAnsi="Georgia" w:cs="Arial"/>
        </w:rPr>
        <w:t xml:space="preserve">ch refers to their clients as L8 Inc RTM Company </w:t>
      </w:r>
      <w:r w:rsidR="00BF01ED">
        <w:rPr>
          <w:rFonts w:ascii="Georgia" w:hAnsi="Georgia"/>
        </w:rPr>
        <w:t>Limited</w:t>
      </w:r>
      <w:r>
        <w:rPr>
          <w:rFonts w:ascii="Georgia" w:hAnsi="Georgia" w:cs="Arial"/>
        </w:rPr>
        <w:t>.</w:t>
      </w:r>
    </w:p>
    <w:p w:rsidR="00994781" w:rsidRDefault="00994781" w:rsidP="00994781">
      <w:pPr>
        <w:ind w:left="720"/>
        <w:jc w:val="both"/>
        <w:rPr>
          <w:rFonts w:ascii="Georgia" w:hAnsi="Georgia" w:cs="Arial"/>
        </w:rPr>
      </w:pPr>
    </w:p>
    <w:p w:rsidR="00994781" w:rsidRDefault="00604B03" w:rsidP="00994781">
      <w:pPr>
        <w:numPr>
          <w:ilvl w:val="0"/>
          <w:numId w:val="5"/>
        </w:numPr>
        <w:ind w:hanging="720"/>
        <w:jc w:val="both"/>
        <w:rPr>
          <w:rFonts w:ascii="Georgia" w:hAnsi="Georgia" w:cs="Arial"/>
        </w:rPr>
      </w:pPr>
      <w:r>
        <w:rPr>
          <w:rFonts w:ascii="Georgia" w:hAnsi="Georgia" w:cs="Arial"/>
        </w:rPr>
        <w:t xml:space="preserve">By letter dated 9 January 2019 addressed to </w:t>
      </w:r>
      <w:r w:rsidRPr="00604B03">
        <w:rPr>
          <w:rFonts w:ascii="Georgia" w:hAnsi="Georgia" w:cs="Arial"/>
        </w:rPr>
        <w:t>L8 Inc RTM Company L</w:t>
      </w:r>
      <w:r>
        <w:rPr>
          <w:rFonts w:ascii="Georgia" w:hAnsi="Georgia" w:cs="Arial"/>
        </w:rPr>
        <w:t xml:space="preserve">td, Regent Property Management </w:t>
      </w:r>
      <w:r w:rsidR="00BF01ED">
        <w:rPr>
          <w:rFonts w:ascii="Georgia" w:hAnsi="Georgia"/>
        </w:rPr>
        <w:t>Limited</w:t>
      </w:r>
      <w:r>
        <w:rPr>
          <w:rFonts w:ascii="Georgia" w:hAnsi="Georgia" w:cs="Arial"/>
        </w:rPr>
        <w:t xml:space="preserve"> on behalf of the Applicant submitted an invoice totalling £6,581.74 including </w:t>
      </w:r>
      <w:r w:rsidR="00003E46">
        <w:rPr>
          <w:rFonts w:ascii="Georgia" w:hAnsi="Georgia" w:cs="Arial"/>
        </w:rPr>
        <w:t>S</w:t>
      </w:r>
      <w:r>
        <w:rPr>
          <w:rFonts w:ascii="Georgia" w:hAnsi="Georgia" w:cs="Arial"/>
        </w:rPr>
        <w:t>olicitors fees and disbursements</w:t>
      </w:r>
      <w:r w:rsidR="005378C0">
        <w:rPr>
          <w:rFonts w:ascii="Georgia" w:hAnsi="Georgia" w:cs="Arial"/>
        </w:rPr>
        <w:t xml:space="preserve">.  The invoice sets </w:t>
      </w:r>
      <w:r>
        <w:rPr>
          <w:rFonts w:ascii="Georgia" w:hAnsi="Georgia" w:cs="Arial"/>
        </w:rPr>
        <w:t xml:space="preserve">out work done by a Director of Regent Property Management </w:t>
      </w:r>
      <w:r w:rsidR="00BF01ED">
        <w:rPr>
          <w:rFonts w:ascii="Georgia" w:hAnsi="Georgia"/>
        </w:rPr>
        <w:t>Limited</w:t>
      </w:r>
      <w:r>
        <w:rPr>
          <w:rFonts w:ascii="Georgia" w:hAnsi="Georgia" w:cs="Arial"/>
        </w:rPr>
        <w:t xml:space="preserve"> </w:t>
      </w:r>
      <w:r w:rsidR="00EB1374">
        <w:rPr>
          <w:rFonts w:ascii="Georgia" w:hAnsi="Georgia" w:cs="Arial"/>
        </w:rPr>
        <w:t>consequent on receiving the notice includ</w:t>
      </w:r>
      <w:r w:rsidR="008F210A">
        <w:rPr>
          <w:rFonts w:ascii="Georgia" w:hAnsi="Georgia" w:cs="Arial"/>
        </w:rPr>
        <w:t xml:space="preserve">ing </w:t>
      </w:r>
      <w:r w:rsidR="00EB1374">
        <w:rPr>
          <w:rFonts w:ascii="Georgia" w:hAnsi="Georgia" w:cs="Arial"/>
        </w:rPr>
        <w:t xml:space="preserve">obtaining and reviewing leases, documents, claim form, travelling to Liverpool to visit the site, meeting local client to obtain instructions and liaising with Freeholders and </w:t>
      </w:r>
      <w:r w:rsidR="00003E46">
        <w:rPr>
          <w:rFonts w:ascii="Georgia" w:hAnsi="Georgia" w:cs="Arial"/>
        </w:rPr>
        <w:t>S</w:t>
      </w:r>
      <w:r w:rsidR="00EB1374">
        <w:rPr>
          <w:rFonts w:ascii="Georgia" w:hAnsi="Georgia" w:cs="Arial"/>
        </w:rPr>
        <w:t>olicitors</w:t>
      </w:r>
      <w:r w:rsidR="008F210A">
        <w:rPr>
          <w:rFonts w:ascii="Georgia" w:hAnsi="Georgia" w:cs="Arial"/>
        </w:rPr>
        <w:t xml:space="preserve">.  It </w:t>
      </w:r>
      <w:r w:rsidR="00003E46">
        <w:rPr>
          <w:rFonts w:ascii="Georgia" w:hAnsi="Georgia" w:cs="Arial"/>
        </w:rPr>
        <w:t xml:space="preserve">noted </w:t>
      </w:r>
      <w:r w:rsidR="008F210A">
        <w:rPr>
          <w:rFonts w:ascii="Georgia" w:hAnsi="Georgia" w:cs="Arial"/>
        </w:rPr>
        <w:t xml:space="preserve">that </w:t>
      </w:r>
      <w:r w:rsidR="00003E46">
        <w:rPr>
          <w:rFonts w:ascii="Georgia" w:hAnsi="Georgia" w:cs="Arial"/>
        </w:rPr>
        <w:t>its client is based in Israel.</w:t>
      </w:r>
    </w:p>
    <w:p w:rsidR="00003E46" w:rsidRDefault="00003E46" w:rsidP="00003E46">
      <w:pPr>
        <w:rPr>
          <w:rFonts w:ascii="Georgia" w:hAnsi="Georgia" w:cs="Arial"/>
        </w:rPr>
      </w:pPr>
    </w:p>
    <w:p w:rsidR="00003E46" w:rsidRDefault="00003E46" w:rsidP="00003E46">
      <w:pPr>
        <w:rPr>
          <w:rFonts w:ascii="Georgia" w:hAnsi="Georgia" w:cs="Arial"/>
          <w:b/>
          <w:bCs/>
        </w:rPr>
      </w:pPr>
      <w:r>
        <w:rPr>
          <w:rFonts w:ascii="Georgia" w:hAnsi="Georgia" w:cs="Arial"/>
          <w:b/>
          <w:bCs/>
        </w:rPr>
        <w:t>Applicant’s case</w:t>
      </w:r>
    </w:p>
    <w:p w:rsidR="00003E46" w:rsidRPr="00003E46" w:rsidRDefault="00003E46" w:rsidP="00003E46">
      <w:pPr>
        <w:rPr>
          <w:rFonts w:ascii="Georgia" w:hAnsi="Georgia" w:cs="Arial"/>
          <w:b/>
          <w:bCs/>
        </w:rPr>
      </w:pPr>
    </w:p>
    <w:p w:rsidR="00003E46" w:rsidRDefault="00003E46" w:rsidP="00994781">
      <w:pPr>
        <w:numPr>
          <w:ilvl w:val="0"/>
          <w:numId w:val="5"/>
        </w:numPr>
        <w:ind w:hanging="720"/>
        <w:jc w:val="both"/>
        <w:rPr>
          <w:rFonts w:ascii="Georgia" w:hAnsi="Georgia" w:cs="Arial"/>
        </w:rPr>
      </w:pPr>
      <w:r>
        <w:rPr>
          <w:rFonts w:ascii="Georgia" w:hAnsi="Georgia" w:cs="Arial"/>
        </w:rPr>
        <w:t xml:space="preserve">The Applicant’s case statement states that  as no further action was taken by the Respondent following the counter notice the invoice was issued.  The Applicant </w:t>
      </w:r>
      <w:r w:rsidR="00600B8B">
        <w:rPr>
          <w:rFonts w:ascii="Georgia" w:hAnsi="Georgia" w:cs="Arial"/>
        </w:rPr>
        <w:t>submits</w:t>
      </w:r>
      <w:r>
        <w:rPr>
          <w:rFonts w:ascii="Georgia" w:hAnsi="Georgia" w:cs="Arial"/>
        </w:rPr>
        <w:t xml:space="preserve"> that it was the clear intention of the Respondent to serve the notice on behalf of the correct company and that following that</w:t>
      </w:r>
      <w:r w:rsidR="00600B8B">
        <w:rPr>
          <w:rFonts w:ascii="Georgia" w:hAnsi="Georgia" w:cs="Arial"/>
        </w:rPr>
        <w:t xml:space="preserve"> notice</w:t>
      </w:r>
      <w:r>
        <w:rPr>
          <w:rFonts w:ascii="Georgia" w:hAnsi="Georgia" w:cs="Arial"/>
        </w:rPr>
        <w:t>, a second claim notice was served with the correct company name.</w:t>
      </w:r>
    </w:p>
    <w:p w:rsidR="00003E46" w:rsidRDefault="00003E46" w:rsidP="00003E46">
      <w:pPr>
        <w:ind w:left="720"/>
        <w:jc w:val="both"/>
        <w:rPr>
          <w:rFonts w:ascii="Georgia" w:hAnsi="Georgia" w:cs="Arial"/>
        </w:rPr>
      </w:pPr>
    </w:p>
    <w:p w:rsidR="00003E46" w:rsidRDefault="00003E46" w:rsidP="00994781">
      <w:pPr>
        <w:numPr>
          <w:ilvl w:val="0"/>
          <w:numId w:val="5"/>
        </w:numPr>
        <w:ind w:hanging="720"/>
        <w:jc w:val="both"/>
        <w:rPr>
          <w:rFonts w:ascii="Georgia" w:hAnsi="Georgia" w:cs="Arial"/>
        </w:rPr>
      </w:pPr>
      <w:r>
        <w:rPr>
          <w:rFonts w:ascii="Georgia" w:hAnsi="Georgia" w:cs="Arial"/>
        </w:rPr>
        <w:t xml:space="preserve">The Applicant </w:t>
      </w:r>
      <w:r w:rsidR="0007352F">
        <w:rPr>
          <w:rFonts w:ascii="Georgia" w:hAnsi="Georgia" w:cs="Arial"/>
        </w:rPr>
        <w:t xml:space="preserve">has responded in respect of </w:t>
      </w:r>
      <w:r w:rsidR="00600B8B">
        <w:rPr>
          <w:rFonts w:ascii="Georgia" w:hAnsi="Georgia" w:cs="Arial"/>
        </w:rPr>
        <w:t xml:space="preserve">specific </w:t>
      </w:r>
      <w:r w:rsidR="0007352F">
        <w:rPr>
          <w:rFonts w:ascii="Georgia" w:hAnsi="Georgia" w:cs="Arial"/>
        </w:rPr>
        <w:t xml:space="preserve">invoiced items </w:t>
      </w:r>
      <w:r w:rsidR="00600B8B">
        <w:rPr>
          <w:rFonts w:ascii="Georgia" w:hAnsi="Georgia" w:cs="Arial"/>
        </w:rPr>
        <w:t xml:space="preserve">raised </w:t>
      </w:r>
      <w:r w:rsidR="0007352F">
        <w:rPr>
          <w:rFonts w:ascii="Georgia" w:hAnsi="Georgia" w:cs="Arial"/>
        </w:rPr>
        <w:t>by the Respondent.</w:t>
      </w:r>
    </w:p>
    <w:p w:rsidR="0007352F" w:rsidRDefault="0007352F" w:rsidP="0007352F">
      <w:pPr>
        <w:rPr>
          <w:rFonts w:ascii="Georgia" w:hAnsi="Georgia" w:cs="Arial"/>
        </w:rPr>
      </w:pPr>
    </w:p>
    <w:p w:rsidR="0007352F" w:rsidRDefault="0007352F" w:rsidP="0007352F">
      <w:pPr>
        <w:rPr>
          <w:rFonts w:ascii="Georgia" w:hAnsi="Georgia" w:cs="Arial"/>
          <w:b/>
          <w:bCs/>
        </w:rPr>
      </w:pPr>
      <w:r>
        <w:rPr>
          <w:rFonts w:ascii="Georgia" w:hAnsi="Georgia" w:cs="Arial"/>
          <w:b/>
          <w:bCs/>
        </w:rPr>
        <w:t>Respondent’s case</w:t>
      </w:r>
    </w:p>
    <w:p w:rsidR="0007352F" w:rsidRPr="0007352F" w:rsidRDefault="0007352F" w:rsidP="0007352F">
      <w:pPr>
        <w:rPr>
          <w:rFonts w:ascii="Georgia" w:hAnsi="Georgia" w:cs="Arial"/>
          <w:b/>
          <w:bCs/>
        </w:rPr>
      </w:pPr>
    </w:p>
    <w:p w:rsidR="0007352F" w:rsidRDefault="0007352F" w:rsidP="00994781">
      <w:pPr>
        <w:numPr>
          <w:ilvl w:val="0"/>
          <w:numId w:val="5"/>
        </w:numPr>
        <w:ind w:hanging="720"/>
        <w:jc w:val="both"/>
        <w:rPr>
          <w:rFonts w:ascii="Georgia" w:hAnsi="Georgia" w:cs="Arial"/>
        </w:rPr>
      </w:pPr>
      <w:r>
        <w:rPr>
          <w:rFonts w:ascii="Georgia" w:hAnsi="Georgia" w:cs="Arial"/>
        </w:rPr>
        <w:t>The Respondent state</w:t>
      </w:r>
      <w:r w:rsidR="00600B8B">
        <w:rPr>
          <w:rFonts w:ascii="Georgia" w:hAnsi="Georgia" w:cs="Arial"/>
        </w:rPr>
        <w:t>s</w:t>
      </w:r>
      <w:r>
        <w:rPr>
          <w:rFonts w:ascii="Georgia" w:hAnsi="Georgia" w:cs="Arial"/>
        </w:rPr>
        <w:t xml:space="preserve"> that as the claim notice was purported to have been given by a company that did not exist, it cannot be deemed </w:t>
      </w:r>
      <w:r w:rsidR="00600B8B">
        <w:rPr>
          <w:rFonts w:ascii="Georgia" w:hAnsi="Georgia" w:cs="Arial"/>
        </w:rPr>
        <w:t xml:space="preserve">that an </w:t>
      </w:r>
      <w:r>
        <w:rPr>
          <w:rFonts w:ascii="Georgia" w:hAnsi="Georgia" w:cs="Arial"/>
        </w:rPr>
        <w:t xml:space="preserve">initial notice has been served and any costs </w:t>
      </w:r>
      <w:r w:rsidR="00600B8B">
        <w:rPr>
          <w:rFonts w:ascii="Georgia" w:hAnsi="Georgia" w:cs="Arial"/>
        </w:rPr>
        <w:t xml:space="preserve">for </w:t>
      </w:r>
      <w:r>
        <w:rPr>
          <w:rFonts w:ascii="Georgia" w:hAnsi="Georgia" w:cs="Arial"/>
        </w:rPr>
        <w:t>work undertaken by the Applicant is not the responsibility of the Respondent.</w:t>
      </w:r>
      <w:r w:rsidR="00BF01ED">
        <w:rPr>
          <w:rFonts w:ascii="Georgia" w:hAnsi="Georgia" w:cs="Arial"/>
        </w:rPr>
        <w:t xml:space="preserve">  The Respondent is </w:t>
      </w:r>
      <w:r w:rsidR="00BF01ED" w:rsidRPr="00BF01ED">
        <w:rPr>
          <w:rFonts w:ascii="Georgia" w:hAnsi="Georgia" w:cs="Arial"/>
        </w:rPr>
        <w:t>L8 Inc RTM Company Limited</w:t>
      </w:r>
      <w:r w:rsidR="00BF01ED">
        <w:rPr>
          <w:rFonts w:ascii="Georgia" w:hAnsi="Georgia" w:cs="Arial"/>
        </w:rPr>
        <w:t xml:space="preserve"> and not LR8 Inc RTM Company Limited.</w:t>
      </w:r>
    </w:p>
    <w:p w:rsidR="00A9421A" w:rsidRDefault="00A9421A" w:rsidP="00A9421A">
      <w:pPr>
        <w:ind w:left="720"/>
        <w:jc w:val="both"/>
        <w:rPr>
          <w:rFonts w:ascii="Georgia" w:hAnsi="Georgia" w:cs="Arial"/>
        </w:rPr>
      </w:pPr>
    </w:p>
    <w:p w:rsidR="00A9421A" w:rsidRDefault="00A9421A" w:rsidP="00994781">
      <w:pPr>
        <w:numPr>
          <w:ilvl w:val="0"/>
          <w:numId w:val="5"/>
        </w:numPr>
        <w:ind w:hanging="720"/>
        <w:jc w:val="both"/>
        <w:rPr>
          <w:rFonts w:ascii="Georgia" w:hAnsi="Georgia" w:cs="Arial"/>
        </w:rPr>
      </w:pPr>
      <w:r>
        <w:rPr>
          <w:rFonts w:ascii="Georgia" w:hAnsi="Georgia" w:cs="Arial"/>
        </w:rPr>
        <w:t>The Respondent makes comments in respect of individual items within the invoice.</w:t>
      </w:r>
      <w:r w:rsidR="00600B8B">
        <w:rPr>
          <w:rFonts w:ascii="Georgia" w:hAnsi="Georgia" w:cs="Arial"/>
        </w:rPr>
        <w:t xml:space="preserve">  These are considered in the Tribunal’s determination below.</w:t>
      </w:r>
    </w:p>
    <w:p w:rsidR="00D44A66" w:rsidRPr="00041EFB" w:rsidRDefault="00D44A66" w:rsidP="00D44A66">
      <w:pPr>
        <w:jc w:val="both"/>
        <w:rPr>
          <w:rFonts w:ascii="Georgia" w:hAnsi="Georgia" w:cs="Arial"/>
        </w:rPr>
      </w:pPr>
    </w:p>
    <w:p w:rsidR="00D44A66" w:rsidRPr="00041EFB" w:rsidRDefault="00D44A66" w:rsidP="00D44A66">
      <w:pPr>
        <w:jc w:val="both"/>
        <w:rPr>
          <w:rFonts w:ascii="Georgia" w:hAnsi="Georgia" w:cs="Arial"/>
          <w:b/>
        </w:rPr>
      </w:pPr>
      <w:r w:rsidRPr="00041EFB">
        <w:rPr>
          <w:rFonts w:ascii="Georgia" w:hAnsi="Georgia" w:cs="Arial"/>
          <w:b/>
        </w:rPr>
        <w:t>Tribunal’s Conclusions with Reasons</w:t>
      </w:r>
    </w:p>
    <w:p w:rsidR="00D44A66" w:rsidRDefault="00D44A66" w:rsidP="00D44A66">
      <w:pPr>
        <w:jc w:val="both"/>
        <w:rPr>
          <w:rFonts w:ascii="Georgia" w:hAnsi="Georgia" w:cs="Arial"/>
        </w:rPr>
      </w:pPr>
    </w:p>
    <w:p w:rsidR="002A728E" w:rsidRPr="00041EFB" w:rsidRDefault="002A728E" w:rsidP="00D44A66">
      <w:pPr>
        <w:jc w:val="both"/>
        <w:rPr>
          <w:rFonts w:ascii="Georgia" w:hAnsi="Georgia" w:cs="Arial"/>
        </w:rPr>
      </w:pPr>
      <w:r>
        <w:rPr>
          <w:rFonts w:ascii="Georgia" w:hAnsi="Georgia" w:cs="Arial"/>
        </w:rPr>
        <w:tab/>
        <w:t>Claimant Company</w:t>
      </w:r>
    </w:p>
    <w:p w:rsidR="00D44A66" w:rsidRDefault="002A728E" w:rsidP="00D44A66">
      <w:pPr>
        <w:numPr>
          <w:ilvl w:val="0"/>
          <w:numId w:val="5"/>
        </w:numPr>
        <w:ind w:hanging="720"/>
        <w:jc w:val="both"/>
        <w:rPr>
          <w:rFonts w:ascii="Georgia" w:hAnsi="Georgia" w:cs="Arial"/>
        </w:rPr>
      </w:pPr>
      <w:r>
        <w:rPr>
          <w:rFonts w:ascii="Georgia" w:hAnsi="Georgia" w:cs="Arial"/>
        </w:rPr>
        <w:t xml:space="preserve">The Tribunal finds </w:t>
      </w:r>
      <w:r w:rsidR="00600B8B">
        <w:rPr>
          <w:rFonts w:ascii="Georgia" w:hAnsi="Georgia" w:cs="Arial"/>
        </w:rPr>
        <w:t xml:space="preserve">that </w:t>
      </w:r>
      <w:r>
        <w:rPr>
          <w:rFonts w:ascii="Georgia" w:hAnsi="Georgia" w:cs="Arial"/>
        </w:rPr>
        <w:t>it was the clear intention that the notice giving rise to the costs was intended to be a valid notice on behalf of the correct claimant RTM Company.</w:t>
      </w:r>
      <w:r w:rsidR="00A448F3">
        <w:rPr>
          <w:rFonts w:ascii="Georgia" w:hAnsi="Georgia" w:cs="Arial"/>
        </w:rPr>
        <w:t xml:space="preserve">  This is clear not only from ensuing events which included a notice </w:t>
      </w:r>
      <w:r w:rsidR="00600B8B">
        <w:rPr>
          <w:rFonts w:ascii="Georgia" w:hAnsi="Georgia" w:cs="Arial"/>
        </w:rPr>
        <w:t xml:space="preserve">with the accurate company name </w:t>
      </w:r>
      <w:r w:rsidR="00A448F3">
        <w:rPr>
          <w:rFonts w:ascii="Georgia" w:hAnsi="Georgia" w:cs="Arial"/>
        </w:rPr>
        <w:t xml:space="preserve">but also from the accompanying letter </w:t>
      </w:r>
      <w:r w:rsidR="00600B8B">
        <w:rPr>
          <w:rFonts w:ascii="Georgia" w:hAnsi="Georgia" w:cs="Arial"/>
        </w:rPr>
        <w:t xml:space="preserve">of </w:t>
      </w:r>
      <w:r w:rsidR="00A448F3" w:rsidRPr="00BF01ED">
        <w:rPr>
          <w:rFonts w:ascii="Georgia" w:hAnsi="Georgia" w:cs="Arial"/>
        </w:rPr>
        <w:t>L8 Inc RTM Company Limited</w:t>
      </w:r>
      <w:r w:rsidR="00A448F3">
        <w:rPr>
          <w:rFonts w:ascii="Georgia" w:hAnsi="Georgia" w:cs="Arial"/>
        </w:rPr>
        <w:t xml:space="preserve">’s Solicitors which carries the </w:t>
      </w:r>
      <w:r w:rsidR="00600B8B">
        <w:rPr>
          <w:rFonts w:ascii="Georgia" w:hAnsi="Georgia" w:cs="Arial"/>
        </w:rPr>
        <w:t xml:space="preserve">accurate </w:t>
      </w:r>
      <w:r w:rsidR="00A448F3">
        <w:rPr>
          <w:rFonts w:ascii="Georgia" w:hAnsi="Georgia" w:cs="Arial"/>
        </w:rPr>
        <w:t>company name.</w:t>
      </w:r>
      <w:r w:rsidR="002F2879">
        <w:rPr>
          <w:rFonts w:ascii="Georgia" w:hAnsi="Georgia" w:cs="Arial"/>
        </w:rPr>
        <w:t xml:space="preserve">  We </w:t>
      </w:r>
      <w:r w:rsidR="00600B8B">
        <w:rPr>
          <w:rFonts w:ascii="Georgia" w:hAnsi="Georgia" w:cs="Arial"/>
        </w:rPr>
        <w:t xml:space="preserve">conclude that </w:t>
      </w:r>
      <w:r w:rsidR="002F2879">
        <w:rPr>
          <w:rFonts w:ascii="Georgia" w:hAnsi="Georgia" w:cs="Arial"/>
        </w:rPr>
        <w:t xml:space="preserve">the notice which proved defective was a notice intended </w:t>
      </w:r>
      <w:r w:rsidR="00431EB7">
        <w:rPr>
          <w:rFonts w:ascii="Georgia" w:hAnsi="Georgia" w:cs="Arial"/>
        </w:rPr>
        <w:t>to be</w:t>
      </w:r>
      <w:r w:rsidR="002F2879">
        <w:rPr>
          <w:rFonts w:ascii="Georgia" w:hAnsi="Georgia" w:cs="Arial"/>
        </w:rPr>
        <w:t xml:space="preserve"> sent on behalf of L8 which bore an error.  Accordingly, we find L8 the appropriate Respondent to th</w:t>
      </w:r>
      <w:r w:rsidR="00600B8B">
        <w:rPr>
          <w:rFonts w:ascii="Georgia" w:hAnsi="Georgia" w:cs="Arial"/>
        </w:rPr>
        <w:t>is</w:t>
      </w:r>
      <w:r w:rsidR="002F2879">
        <w:rPr>
          <w:rFonts w:ascii="Georgia" w:hAnsi="Georgia" w:cs="Arial"/>
        </w:rPr>
        <w:t xml:space="preserve"> application.</w:t>
      </w:r>
    </w:p>
    <w:p w:rsidR="002F2879" w:rsidRDefault="002F2879" w:rsidP="002F2879">
      <w:pPr>
        <w:ind w:left="720"/>
        <w:jc w:val="both"/>
        <w:rPr>
          <w:rFonts w:ascii="Georgia" w:hAnsi="Georgia" w:cs="Arial"/>
        </w:rPr>
      </w:pPr>
    </w:p>
    <w:p w:rsidR="002A728E" w:rsidRPr="002F2879" w:rsidRDefault="00E922F8" w:rsidP="002A728E">
      <w:pPr>
        <w:ind w:left="720"/>
        <w:jc w:val="both"/>
        <w:rPr>
          <w:rFonts w:ascii="Georgia" w:hAnsi="Georgia" w:cs="Arial"/>
        </w:rPr>
      </w:pPr>
      <w:r>
        <w:rPr>
          <w:rFonts w:ascii="Georgia" w:hAnsi="Georgia" w:cs="Arial"/>
        </w:rPr>
        <w:t>Regent’s i</w:t>
      </w:r>
      <w:r w:rsidR="002F2879" w:rsidRPr="002F2879">
        <w:rPr>
          <w:rFonts w:ascii="Georgia" w:hAnsi="Georgia" w:cs="Arial"/>
        </w:rPr>
        <w:t xml:space="preserve">nvoice </w:t>
      </w:r>
    </w:p>
    <w:p w:rsidR="002A728E" w:rsidRDefault="002F2879" w:rsidP="00D44A66">
      <w:pPr>
        <w:numPr>
          <w:ilvl w:val="0"/>
          <w:numId w:val="5"/>
        </w:numPr>
        <w:ind w:hanging="720"/>
        <w:jc w:val="both"/>
        <w:rPr>
          <w:rFonts w:ascii="Georgia" w:hAnsi="Georgia" w:cs="Arial"/>
        </w:rPr>
      </w:pPr>
      <w:r>
        <w:rPr>
          <w:rFonts w:ascii="Georgia" w:hAnsi="Georgia" w:cs="Arial"/>
        </w:rPr>
        <w:t xml:space="preserve">In reaching our </w:t>
      </w:r>
      <w:r w:rsidR="00431EB7">
        <w:rPr>
          <w:rFonts w:ascii="Georgia" w:hAnsi="Georgia" w:cs="Arial"/>
        </w:rPr>
        <w:t>decision</w:t>
      </w:r>
      <w:r>
        <w:rPr>
          <w:rFonts w:ascii="Georgia" w:hAnsi="Georgia" w:cs="Arial"/>
        </w:rPr>
        <w:t xml:space="preserve"> we have borne in mind Section 88(2).  We note there is a degree of duplication in Regent Property Management Limited’s description of work and that of Messrs Brethertons</w:t>
      </w:r>
      <w:r w:rsidR="00E922F8">
        <w:rPr>
          <w:rFonts w:ascii="Georgia" w:hAnsi="Georgia" w:cs="Arial"/>
        </w:rPr>
        <w:t>, the Applicant’s Solicitors</w:t>
      </w:r>
      <w:r>
        <w:rPr>
          <w:rFonts w:ascii="Georgia" w:hAnsi="Georgia" w:cs="Arial"/>
        </w:rPr>
        <w:t>.  O</w:t>
      </w:r>
      <w:r w:rsidR="00E922F8">
        <w:rPr>
          <w:rFonts w:ascii="Georgia" w:hAnsi="Georgia" w:cs="Arial"/>
        </w:rPr>
        <w:t xml:space="preserve">ne </w:t>
      </w:r>
      <w:r>
        <w:rPr>
          <w:rFonts w:ascii="Georgia" w:hAnsi="Georgia" w:cs="Arial"/>
        </w:rPr>
        <w:t xml:space="preserve">example </w:t>
      </w:r>
      <w:r w:rsidR="00E922F8">
        <w:rPr>
          <w:rFonts w:ascii="Georgia" w:hAnsi="Georgia" w:cs="Arial"/>
        </w:rPr>
        <w:t xml:space="preserve">relates to </w:t>
      </w:r>
      <w:r>
        <w:rPr>
          <w:rFonts w:ascii="Georgia" w:hAnsi="Georgia" w:cs="Arial"/>
        </w:rPr>
        <w:t>perusing leases and title documents and obtaining office copies.</w:t>
      </w:r>
    </w:p>
    <w:p w:rsidR="002A728E" w:rsidRDefault="002A728E" w:rsidP="002A728E">
      <w:pPr>
        <w:pStyle w:val="ListParagraph"/>
        <w:rPr>
          <w:rFonts w:ascii="Georgia" w:hAnsi="Georgia" w:cs="Arial"/>
        </w:rPr>
      </w:pPr>
    </w:p>
    <w:p w:rsidR="002A728E" w:rsidRDefault="002F2879" w:rsidP="00D44A66">
      <w:pPr>
        <w:numPr>
          <w:ilvl w:val="0"/>
          <w:numId w:val="5"/>
        </w:numPr>
        <w:ind w:hanging="720"/>
        <w:jc w:val="both"/>
        <w:rPr>
          <w:rFonts w:ascii="Georgia" w:hAnsi="Georgia" w:cs="Arial"/>
        </w:rPr>
      </w:pPr>
      <w:r>
        <w:rPr>
          <w:rFonts w:ascii="Georgia" w:hAnsi="Georgia" w:cs="Arial"/>
        </w:rPr>
        <w:t xml:space="preserve">We have reservations whether it was necessary for either Regent or Brethertons to obtain documents </w:t>
      </w:r>
      <w:r w:rsidR="00E922F8">
        <w:rPr>
          <w:rFonts w:ascii="Georgia" w:hAnsi="Georgia" w:cs="Arial"/>
        </w:rPr>
        <w:t xml:space="preserve">which </w:t>
      </w:r>
      <w:r>
        <w:rPr>
          <w:rFonts w:ascii="Georgia" w:hAnsi="Georgia" w:cs="Arial"/>
        </w:rPr>
        <w:t xml:space="preserve">should have </w:t>
      </w:r>
      <w:r w:rsidR="00E922F8">
        <w:rPr>
          <w:rFonts w:ascii="Georgia" w:hAnsi="Georgia" w:cs="Arial"/>
        </w:rPr>
        <w:t xml:space="preserve">reasonably </w:t>
      </w:r>
      <w:r>
        <w:rPr>
          <w:rFonts w:ascii="Georgia" w:hAnsi="Georgia" w:cs="Arial"/>
        </w:rPr>
        <w:t>been in their possession as agents for their clients a</w:t>
      </w:r>
      <w:r w:rsidR="00E922F8">
        <w:rPr>
          <w:rFonts w:ascii="Georgia" w:hAnsi="Georgia" w:cs="Arial"/>
        </w:rPr>
        <w:t xml:space="preserve">s </w:t>
      </w:r>
      <w:r>
        <w:rPr>
          <w:rFonts w:ascii="Georgia" w:hAnsi="Georgia" w:cs="Arial"/>
        </w:rPr>
        <w:t>responsible Landlords/Managers and accordingly disallow office copies at £192 within the Regent invoice and £540</w:t>
      </w:r>
      <w:r w:rsidR="002E2736">
        <w:rPr>
          <w:rFonts w:ascii="Georgia" w:hAnsi="Georgia" w:cs="Arial"/>
        </w:rPr>
        <w:t xml:space="preserve"> for viewing same within that invoice.  </w:t>
      </w:r>
    </w:p>
    <w:p w:rsidR="002E2736" w:rsidRDefault="002E2736" w:rsidP="002E2736">
      <w:pPr>
        <w:pStyle w:val="ListParagraph"/>
        <w:rPr>
          <w:rFonts w:ascii="Georgia" w:hAnsi="Georgia" w:cs="Arial"/>
        </w:rPr>
      </w:pPr>
    </w:p>
    <w:p w:rsidR="005501A5" w:rsidRDefault="002E2736" w:rsidP="00D44A66">
      <w:pPr>
        <w:numPr>
          <w:ilvl w:val="0"/>
          <w:numId w:val="5"/>
        </w:numPr>
        <w:ind w:hanging="720"/>
        <w:jc w:val="both"/>
        <w:rPr>
          <w:rFonts w:ascii="Georgia" w:hAnsi="Georgia" w:cs="Arial"/>
        </w:rPr>
      </w:pPr>
      <w:r>
        <w:rPr>
          <w:rFonts w:ascii="Georgia" w:hAnsi="Georgia" w:cs="Arial"/>
        </w:rPr>
        <w:t xml:space="preserve">Bearing in mind solicitors </w:t>
      </w:r>
      <w:r w:rsidR="00E922F8">
        <w:rPr>
          <w:rFonts w:ascii="Georgia" w:hAnsi="Georgia" w:cs="Arial"/>
        </w:rPr>
        <w:t xml:space="preserve">were </w:t>
      </w:r>
      <w:r>
        <w:rPr>
          <w:rFonts w:ascii="Georgia" w:hAnsi="Georgia" w:cs="Arial"/>
        </w:rPr>
        <w:t xml:space="preserve">instructed we do not find a person who </w:t>
      </w:r>
      <w:r w:rsidR="00E922F8">
        <w:rPr>
          <w:rFonts w:ascii="Georgia" w:hAnsi="Georgia" w:cs="Arial"/>
        </w:rPr>
        <w:t xml:space="preserve">was </w:t>
      </w:r>
      <w:r>
        <w:rPr>
          <w:rFonts w:ascii="Georgia" w:hAnsi="Georgia" w:cs="Arial"/>
        </w:rPr>
        <w:t>personally incurring costs would require nor do we see the purpose of a</w:t>
      </w:r>
      <w:r w:rsidR="00E922F8">
        <w:rPr>
          <w:rFonts w:ascii="Georgia" w:hAnsi="Georgia" w:cs="Arial"/>
        </w:rPr>
        <w:t xml:space="preserve">dditional </w:t>
      </w:r>
      <w:r>
        <w:rPr>
          <w:rFonts w:ascii="Georgia" w:hAnsi="Georgia" w:cs="Arial"/>
        </w:rPr>
        <w:t>review by a Regent director nor further duplication in respect of meetings and technical review.  Accordingly, we disallow the sums of £740 and £1,680</w:t>
      </w:r>
      <w:r w:rsidR="009A7BEB">
        <w:rPr>
          <w:rFonts w:ascii="Georgia" w:hAnsi="Georgia" w:cs="Arial"/>
        </w:rPr>
        <w:t xml:space="preserve"> as invoiced amounting to £2,960.  </w:t>
      </w:r>
    </w:p>
    <w:p w:rsidR="005501A5" w:rsidRDefault="005501A5" w:rsidP="005501A5">
      <w:pPr>
        <w:pStyle w:val="ListParagraph"/>
        <w:rPr>
          <w:rFonts w:ascii="Georgia" w:hAnsi="Georgia" w:cs="Arial"/>
        </w:rPr>
      </w:pPr>
    </w:p>
    <w:p w:rsidR="002E2736" w:rsidRDefault="009A7BEB" w:rsidP="00D44A66">
      <w:pPr>
        <w:numPr>
          <w:ilvl w:val="0"/>
          <w:numId w:val="5"/>
        </w:numPr>
        <w:ind w:hanging="720"/>
        <w:jc w:val="both"/>
        <w:rPr>
          <w:rFonts w:ascii="Georgia" w:hAnsi="Georgia" w:cs="Arial"/>
        </w:rPr>
      </w:pPr>
      <w:r>
        <w:rPr>
          <w:rFonts w:ascii="Georgia" w:hAnsi="Georgia" w:cs="Arial"/>
        </w:rPr>
        <w:t xml:space="preserve">We accept that it was necessary for </w:t>
      </w:r>
      <w:r w:rsidR="005501A5">
        <w:rPr>
          <w:rFonts w:ascii="Georgia" w:hAnsi="Georgia" w:cs="Arial"/>
        </w:rPr>
        <w:t xml:space="preserve">Regent’s </w:t>
      </w:r>
      <w:r>
        <w:rPr>
          <w:rFonts w:ascii="Georgia" w:hAnsi="Georgia" w:cs="Arial"/>
        </w:rPr>
        <w:t>administrative oversight and liaison with solicitors which we consider</w:t>
      </w:r>
      <w:r w:rsidR="005501A5">
        <w:rPr>
          <w:rFonts w:ascii="Georgia" w:hAnsi="Georgia" w:cs="Arial"/>
        </w:rPr>
        <w:t xml:space="preserve">, </w:t>
      </w:r>
      <w:r>
        <w:rPr>
          <w:rFonts w:ascii="Georgia" w:hAnsi="Georgia" w:cs="Arial"/>
        </w:rPr>
        <w:t xml:space="preserve">based on our experience of similar matters would </w:t>
      </w:r>
      <w:r w:rsidR="005501A5">
        <w:rPr>
          <w:rFonts w:ascii="Georgia" w:hAnsi="Georgia" w:cs="Arial"/>
        </w:rPr>
        <w:t xml:space="preserve">require </w:t>
      </w:r>
      <w:r>
        <w:rPr>
          <w:rFonts w:ascii="Georgia" w:hAnsi="Georgia" w:cs="Arial"/>
        </w:rPr>
        <w:t>2 hours work at the level of administrative staff in the sum of £180 + VAT.</w:t>
      </w:r>
    </w:p>
    <w:p w:rsidR="009A7BEB" w:rsidRDefault="009A7BEB" w:rsidP="009A7BEB">
      <w:pPr>
        <w:pStyle w:val="ListParagraph"/>
        <w:rPr>
          <w:rFonts w:ascii="Georgia" w:hAnsi="Georgia" w:cs="Arial"/>
        </w:rPr>
      </w:pPr>
    </w:p>
    <w:p w:rsidR="009A7BEB" w:rsidRDefault="009A7BEB" w:rsidP="00D44A66">
      <w:pPr>
        <w:numPr>
          <w:ilvl w:val="0"/>
          <w:numId w:val="5"/>
        </w:numPr>
        <w:ind w:hanging="720"/>
        <w:jc w:val="both"/>
        <w:rPr>
          <w:rFonts w:ascii="Georgia" w:hAnsi="Georgia" w:cs="Arial"/>
        </w:rPr>
      </w:pPr>
      <w:r>
        <w:rPr>
          <w:rFonts w:ascii="Georgia" w:hAnsi="Georgia" w:cs="Arial"/>
        </w:rPr>
        <w:lastRenderedPageBreak/>
        <w:t xml:space="preserve">We note that travel to London has been charged.  No detail is given why a meeting in person was necessary and if so, why this would require hotel expenses.  We do not consider this would have been personally incurred within the terms of Section 88(2) and </w:t>
      </w:r>
      <w:r w:rsidR="005501A5">
        <w:rPr>
          <w:rFonts w:ascii="Georgia" w:hAnsi="Georgia" w:cs="Arial"/>
        </w:rPr>
        <w:t xml:space="preserve">it </w:t>
      </w:r>
      <w:r>
        <w:rPr>
          <w:rFonts w:ascii="Georgia" w:hAnsi="Georgia" w:cs="Arial"/>
        </w:rPr>
        <w:t>does not reflect modern or appropriate practice</w:t>
      </w:r>
      <w:r w:rsidR="005501A5">
        <w:rPr>
          <w:rFonts w:ascii="Georgia" w:hAnsi="Georgia" w:cs="Arial"/>
        </w:rPr>
        <w:t xml:space="preserve"> and methods of communication.</w:t>
      </w:r>
    </w:p>
    <w:p w:rsidR="009A7BEB" w:rsidRDefault="009A7BEB" w:rsidP="009A7BEB">
      <w:pPr>
        <w:pStyle w:val="ListParagraph"/>
        <w:rPr>
          <w:rFonts w:ascii="Georgia" w:hAnsi="Georgia" w:cs="Arial"/>
        </w:rPr>
      </w:pPr>
    </w:p>
    <w:p w:rsidR="009A7BEB" w:rsidRDefault="009A7BEB" w:rsidP="00D44A66">
      <w:pPr>
        <w:numPr>
          <w:ilvl w:val="0"/>
          <w:numId w:val="5"/>
        </w:numPr>
        <w:ind w:hanging="720"/>
        <w:jc w:val="both"/>
        <w:rPr>
          <w:rFonts w:ascii="Georgia" w:hAnsi="Georgia" w:cs="Arial"/>
        </w:rPr>
      </w:pPr>
      <w:r>
        <w:rPr>
          <w:rFonts w:ascii="Georgia" w:hAnsi="Georgia" w:cs="Arial"/>
        </w:rPr>
        <w:t>In summary, we find that the appropriate sum for work carried out by Regent is £180 + VAT.</w:t>
      </w:r>
    </w:p>
    <w:p w:rsidR="009A7BEB" w:rsidRDefault="009A7BEB" w:rsidP="009A7BEB">
      <w:pPr>
        <w:pStyle w:val="ListParagraph"/>
        <w:rPr>
          <w:rFonts w:ascii="Georgia" w:hAnsi="Georgia" w:cs="Arial"/>
        </w:rPr>
      </w:pPr>
    </w:p>
    <w:p w:rsidR="003F34F9" w:rsidRDefault="003F34F9" w:rsidP="009A7BEB">
      <w:pPr>
        <w:pStyle w:val="ListParagraph"/>
        <w:rPr>
          <w:rFonts w:ascii="Georgia" w:hAnsi="Georgia" w:cs="Arial"/>
        </w:rPr>
      </w:pPr>
      <w:r>
        <w:rPr>
          <w:rFonts w:ascii="Georgia" w:hAnsi="Georgia" w:cs="Arial"/>
        </w:rPr>
        <w:t>Bretherton’s invoice</w:t>
      </w:r>
    </w:p>
    <w:p w:rsidR="009A7BEB" w:rsidRDefault="009A7BEB" w:rsidP="00D44A66">
      <w:pPr>
        <w:numPr>
          <w:ilvl w:val="0"/>
          <w:numId w:val="5"/>
        </w:numPr>
        <w:ind w:hanging="720"/>
        <w:jc w:val="both"/>
        <w:rPr>
          <w:rFonts w:ascii="Georgia" w:hAnsi="Georgia" w:cs="Arial"/>
        </w:rPr>
      </w:pPr>
      <w:r>
        <w:rPr>
          <w:rFonts w:ascii="Georgia" w:hAnsi="Georgia" w:cs="Arial"/>
        </w:rPr>
        <w:t>Messrs Brethertons</w:t>
      </w:r>
      <w:r w:rsidR="003B539F">
        <w:rPr>
          <w:rFonts w:ascii="Georgia" w:hAnsi="Georgia" w:cs="Arial"/>
        </w:rPr>
        <w:t xml:space="preserve">’ invoice is not broken down and does not state the hourly rate or identify the particular category of fee earner.  This may be explained by the fact </w:t>
      </w:r>
      <w:r w:rsidR="003F34F9">
        <w:rPr>
          <w:rFonts w:ascii="Georgia" w:hAnsi="Georgia" w:cs="Arial"/>
        </w:rPr>
        <w:t xml:space="preserve">that in </w:t>
      </w:r>
      <w:r w:rsidR="003B539F">
        <w:rPr>
          <w:rFonts w:ascii="Georgia" w:hAnsi="Georgia" w:cs="Arial"/>
        </w:rPr>
        <w:t xml:space="preserve">the invoice </w:t>
      </w:r>
      <w:r w:rsidR="003F34F9">
        <w:rPr>
          <w:rFonts w:ascii="Georgia" w:hAnsi="Georgia" w:cs="Arial"/>
        </w:rPr>
        <w:t xml:space="preserve">it </w:t>
      </w:r>
      <w:r w:rsidR="003B539F">
        <w:rPr>
          <w:rFonts w:ascii="Georgia" w:hAnsi="Georgia" w:cs="Arial"/>
        </w:rPr>
        <w:t>is referred to as work in progress.  It does not, however, comply with the direction made by the Tribunal.</w:t>
      </w:r>
    </w:p>
    <w:p w:rsidR="00DA63A9" w:rsidRPr="003F34F9" w:rsidRDefault="00DA63A9" w:rsidP="003F34F9">
      <w:pPr>
        <w:rPr>
          <w:rFonts w:ascii="Georgia" w:hAnsi="Georgia" w:cs="Arial"/>
        </w:rPr>
      </w:pPr>
    </w:p>
    <w:p w:rsidR="00DA63A9" w:rsidRDefault="00DA63A9" w:rsidP="00D44A66">
      <w:pPr>
        <w:numPr>
          <w:ilvl w:val="0"/>
          <w:numId w:val="5"/>
        </w:numPr>
        <w:ind w:hanging="720"/>
        <w:jc w:val="both"/>
        <w:rPr>
          <w:rFonts w:ascii="Georgia" w:hAnsi="Georgia" w:cs="Arial"/>
        </w:rPr>
      </w:pPr>
      <w:r>
        <w:rPr>
          <w:rFonts w:ascii="Georgia" w:hAnsi="Georgia" w:cs="Arial"/>
        </w:rPr>
        <w:t>The Respondent does not challenge Messrs Brethertons’ fees, however, we must consider whether they fall within the Respondent’s liability.</w:t>
      </w:r>
    </w:p>
    <w:p w:rsidR="00DA63A9" w:rsidRDefault="00DA63A9" w:rsidP="00DA63A9">
      <w:pPr>
        <w:ind w:left="720"/>
        <w:jc w:val="both"/>
        <w:rPr>
          <w:rFonts w:ascii="Georgia" w:hAnsi="Georgia" w:cs="Arial"/>
        </w:rPr>
      </w:pPr>
    </w:p>
    <w:p w:rsidR="00DA63A9" w:rsidRDefault="00DA63A9" w:rsidP="00D44A66">
      <w:pPr>
        <w:numPr>
          <w:ilvl w:val="0"/>
          <w:numId w:val="5"/>
        </w:numPr>
        <w:ind w:hanging="720"/>
        <w:jc w:val="both"/>
        <w:rPr>
          <w:rFonts w:ascii="Georgia" w:hAnsi="Georgia" w:cs="Arial"/>
        </w:rPr>
      </w:pPr>
      <w:r>
        <w:rPr>
          <w:rFonts w:ascii="Georgia" w:hAnsi="Georgia" w:cs="Arial"/>
        </w:rPr>
        <w:t>Interestingly, the invoice bears an address in Oxfordshire and not London as would have been expected from Regent’s invoice</w:t>
      </w:r>
      <w:r w:rsidR="003F34F9">
        <w:rPr>
          <w:rFonts w:ascii="Georgia" w:hAnsi="Georgia" w:cs="Arial"/>
        </w:rPr>
        <w:t xml:space="preserve"> although this may reflect an Accounts Centre.  </w:t>
      </w:r>
      <w:r>
        <w:rPr>
          <w:rFonts w:ascii="Georgia" w:hAnsi="Georgia" w:cs="Arial"/>
        </w:rPr>
        <w:t xml:space="preserve">We have further difficulty in identifying </w:t>
      </w:r>
      <w:r w:rsidR="003F34F9">
        <w:rPr>
          <w:rFonts w:ascii="Georgia" w:hAnsi="Georgia" w:cs="Arial"/>
        </w:rPr>
        <w:t xml:space="preserve">the </w:t>
      </w:r>
      <w:r>
        <w:rPr>
          <w:rFonts w:ascii="Georgia" w:hAnsi="Georgia" w:cs="Arial"/>
        </w:rPr>
        <w:t>hourly rate</w:t>
      </w:r>
      <w:r w:rsidR="003F34F9">
        <w:rPr>
          <w:rFonts w:ascii="Georgia" w:hAnsi="Georgia" w:cs="Arial"/>
        </w:rPr>
        <w:t xml:space="preserve"> applied</w:t>
      </w:r>
      <w:r>
        <w:rPr>
          <w:rFonts w:ascii="Georgia" w:hAnsi="Georgia" w:cs="Arial"/>
        </w:rPr>
        <w:t xml:space="preserve">. </w:t>
      </w:r>
    </w:p>
    <w:p w:rsidR="00DA63A9" w:rsidRDefault="00DA63A9" w:rsidP="00DA63A9">
      <w:pPr>
        <w:pStyle w:val="ListParagraph"/>
        <w:rPr>
          <w:rFonts w:ascii="Georgia" w:hAnsi="Georgia" w:cs="Arial"/>
        </w:rPr>
      </w:pPr>
    </w:p>
    <w:p w:rsidR="00DA63A9" w:rsidRDefault="00DA63A9" w:rsidP="00D44A66">
      <w:pPr>
        <w:numPr>
          <w:ilvl w:val="0"/>
          <w:numId w:val="5"/>
        </w:numPr>
        <w:ind w:hanging="720"/>
        <w:jc w:val="both"/>
        <w:rPr>
          <w:rFonts w:ascii="Georgia" w:hAnsi="Georgia" w:cs="Arial"/>
        </w:rPr>
      </w:pPr>
      <w:r>
        <w:rPr>
          <w:rFonts w:ascii="Georgia" w:hAnsi="Georgia" w:cs="Arial"/>
        </w:rPr>
        <w:t>Hampered by the lack of information, we have considered a likely hourly rate</w:t>
      </w:r>
      <w:r w:rsidR="003F34F9">
        <w:rPr>
          <w:rFonts w:ascii="Georgia" w:hAnsi="Georgia" w:cs="Arial"/>
        </w:rPr>
        <w:t>, time</w:t>
      </w:r>
      <w:r>
        <w:rPr>
          <w:rFonts w:ascii="Georgia" w:hAnsi="Georgia" w:cs="Arial"/>
        </w:rPr>
        <w:t xml:space="preserve"> and amount of work in respect of the claim and counter notice provided with the application.  </w:t>
      </w:r>
      <w:r w:rsidR="00041964">
        <w:rPr>
          <w:rFonts w:ascii="Georgia" w:hAnsi="Georgia" w:cs="Arial"/>
        </w:rPr>
        <w:t>On that basis, we conclude an appropriate solicitor’s cost would be £400 + VAT and disbursements as invoiced in the sum of £42.</w:t>
      </w:r>
    </w:p>
    <w:p w:rsidR="00041964" w:rsidRDefault="00041964" w:rsidP="00041964">
      <w:pPr>
        <w:pStyle w:val="ListParagraph"/>
        <w:rPr>
          <w:rFonts w:ascii="Georgia" w:hAnsi="Georgia" w:cs="Arial"/>
        </w:rPr>
      </w:pPr>
    </w:p>
    <w:p w:rsidR="00041964" w:rsidRDefault="00041964" w:rsidP="00041964">
      <w:pPr>
        <w:pStyle w:val="ListParagraph"/>
        <w:rPr>
          <w:rFonts w:ascii="Georgia" w:hAnsi="Georgia" w:cs="Arial"/>
        </w:rPr>
      </w:pPr>
      <w:r>
        <w:rPr>
          <w:rFonts w:ascii="Georgia" w:hAnsi="Georgia" w:cs="Arial"/>
        </w:rPr>
        <w:t xml:space="preserve">Summary </w:t>
      </w:r>
    </w:p>
    <w:p w:rsidR="00041964" w:rsidRPr="00041EFB" w:rsidRDefault="00041964" w:rsidP="00D44A66">
      <w:pPr>
        <w:numPr>
          <w:ilvl w:val="0"/>
          <w:numId w:val="5"/>
        </w:numPr>
        <w:ind w:hanging="720"/>
        <w:jc w:val="both"/>
        <w:rPr>
          <w:rFonts w:ascii="Georgia" w:hAnsi="Georgia" w:cs="Arial"/>
        </w:rPr>
      </w:pPr>
      <w:r>
        <w:rPr>
          <w:rFonts w:ascii="Georgia" w:hAnsi="Georgia" w:cs="Arial"/>
        </w:rPr>
        <w:t>Accordingly, we conclude that the Respondent is liable to the Applicant in the sum of £</w:t>
      </w:r>
      <w:r w:rsidR="003F34F9">
        <w:rPr>
          <w:rFonts w:ascii="Georgia" w:hAnsi="Georgia" w:cs="Arial"/>
        </w:rPr>
        <w:t>580 + VAT</w:t>
      </w:r>
      <w:r>
        <w:rPr>
          <w:rFonts w:ascii="Georgia" w:hAnsi="Georgia" w:cs="Arial"/>
        </w:rPr>
        <w:t xml:space="preserve"> </w:t>
      </w:r>
      <w:r w:rsidR="003F34F9">
        <w:rPr>
          <w:rFonts w:ascii="Georgia" w:hAnsi="Georgia" w:cs="Arial"/>
        </w:rPr>
        <w:t xml:space="preserve">and disbursements of £42 </w:t>
      </w:r>
      <w:r>
        <w:rPr>
          <w:rFonts w:ascii="Georgia" w:hAnsi="Georgia" w:cs="Arial"/>
        </w:rPr>
        <w:t xml:space="preserve">in respect of costs arising from the </w:t>
      </w:r>
      <w:r w:rsidR="003F34F9">
        <w:rPr>
          <w:rFonts w:ascii="Georgia" w:hAnsi="Georgia" w:cs="Arial"/>
        </w:rPr>
        <w:t>claim notice.</w:t>
      </w:r>
    </w:p>
    <w:p w:rsidR="003F34F9" w:rsidRPr="00041EFB" w:rsidRDefault="003F34F9" w:rsidP="00D44A66">
      <w:pPr>
        <w:jc w:val="both"/>
        <w:rPr>
          <w:rFonts w:ascii="Georgia" w:hAnsi="Georgia" w:cs="Arial"/>
        </w:rPr>
      </w:pPr>
    </w:p>
    <w:p w:rsidR="00D44A66" w:rsidRPr="00041EFB" w:rsidRDefault="00D44A66" w:rsidP="00D44A66">
      <w:pPr>
        <w:jc w:val="both"/>
        <w:rPr>
          <w:rFonts w:ascii="Georgia" w:hAnsi="Georgia" w:cs="Arial"/>
          <w:b/>
        </w:rPr>
      </w:pPr>
      <w:r w:rsidRPr="00041EFB">
        <w:rPr>
          <w:rFonts w:ascii="Georgia" w:hAnsi="Georgia" w:cs="Arial"/>
          <w:b/>
        </w:rPr>
        <w:t>Order</w:t>
      </w:r>
    </w:p>
    <w:p w:rsidR="00D44A66" w:rsidRPr="00041EFB" w:rsidRDefault="00D44A66" w:rsidP="00D44A66">
      <w:pPr>
        <w:jc w:val="both"/>
        <w:rPr>
          <w:rFonts w:ascii="Georgia" w:hAnsi="Georgia" w:cs="Arial"/>
        </w:rPr>
      </w:pPr>
    </w:p>
    <w:p w:rsidR="00D44A66" w:rsidRDefault="00D44A66" w:rsidP="00D44A66">
      <w:pPr>
        <w:numPr>
          <w:ilvl w:val="0"/>
          <w:numId w:val="5"/>
        </w:numPr>
        <w:ind w:hanging="720"/>
        <w:jc w:val="both"/>
        <w:rPr>
          <w:rFonts w:ascii="Georgia" w:hAnsi="Georgia" w:cs="Arial"/>
        </w:rPr>
      </w:pPr>
      <w:r w:rsidRPr="00041EFB">
        <w:rPr>
          <w:rFonts w:ascii="Georgia" w:hAnsi="Georgia" w:cs="Arial"/>
        </w:rPr>
        <w:t xml:space="preserve">The </w:t>
      </w:r>
      <w:r w:rsidR="003F34F9">
        <w:rPr>
          <w:rFonts w:ascii="Georgia" w:hAnsi="Georgia" w:cs="Arial"/>
        </w:rPr>
        <w:t>costs determined payable by the Respondent to the Applicant are £580 + VAT and disbursements of £42 in respect of costs arising from the claim notice.</w:t>
      </w:r>
    </w:p>
    <w:p w:rsidR="000324FB" w:rsidRDefault="000324FB" w:rsidP="000324FB">
      <w:pPr>
        <w:jc w:val="both"/>
        <w:rPr>
          <w:rFonts w:ascii="Georgia" w:hAnsi="Georgia" w:cs="Arial"/>
        </w:rPr>
      </w:pPr>
    </w:p>
    <w:p w:rsidR="000324FB" w:rsidRDefault="000324FB" w:rsidP="000324FB">
      <w:pPr>
        <w:jc w:val="both"/>
        <w:rPr>
          <w:rFonts w:ascii="Georgia" w:hAnsi="Georgia" w:cs="Arial"/>
        </w:rPr>
      </w:pPr>
    </w:p>
    <w:p w:rsidR="000324FB" w:rsidRPr="00041EFB" w:rsidRDefault="000324FB" w:rsidP="000324FB">
      <w:pPr>
        <w:jc w:val="both"/>
        <w:rPr>
          <w:rFonts w:ascii="Georgia" w:hAnsi="Georgia" w:cs="Arial"/>
          <w:b/>
        </w:rPr>
      </w:pPr>
      <w:r w:rsidRPr="00041EFB">
        <w:rPr>
          <w:rFonts w:ascii="Georgia" w:hAnsi="Georgia" w:cs="Arial"/>
          <w:b/>
        </w:rPr>
        <w:t>L J Bennett</w:t>
      </w:r>
    </w:p>
    <w:p w:rsidR="000324FB" w:rsidRDefault="000324FB" w:rsidP="000324FB">
      <w:pPr>
        <w:jc w:val="both"/>
        <w:rPr>
          <w:rFonts w:ascii="Georgia" w:hAnsi="Georgia" w:cs="Arial"/>
          <w:b/>
        </w:rPr>
      </w:pPr>
      <w:r>
        <w:rPr>
          <w:rFonts w:ascii="Georgia" w:hAnsi="Georgia" w:cs="Arial"/>
          <w:b/>
        </w:rPr>
        <w:t>Tribunal Judge</w:t>
      </w:r>
    </w:p>
    <w:p w:rsidR="000324FB" w:rsidRPr="00424806" w:rsidRDefault="000324FB" w:rsidP="000324FB">
      <w:pPr>
        <w:jc w:val="both"/>
        <w:rPr>
          <w:rFonts w:ascii="Georgia" w:hAnsi="Georgia" w:cs="Arial"/>
          <w:b/>
        </w:rPr>
      </w:pPr>
      <w:r w:rsidRPr="00424806">
        <w:rPr>
          <w:rFonts w:ascii="Georgia" w:hAnsi="Georgia" w:cs="Arial"/>
          <w:b/>
          <w:bCs/>
        </w:rPr>
        <w:t>2 August 2019</w:t>
      </w:r>
    </w:p>
    <w:p w:rsidR="000324FB" w:rsidRDefault="000324FB" w:rsidP="000324FB">
      <w:pPr>
        <w:jc w:val="both"/>
        <w:rPr>
          <w:rFonts w:ascii="Georgia" w:hAnsi="Georgia" w:cs="Arial"/>
        </w:rPr>
      </w:pPr>
    </w:p>
    <w:p w:rsidR="000324FB" w:rsidRDefault="000324FB" w:rsidP="000324FB">
      <w:pPr>
        <w:jc w:val="both"/>
        <w:rPr>
          <w:rFonts w:ascii="Georgia" w:hAnsi="Georgia" w:cs="Arial"/>
          <w:b/>
          <w:bCs/>
        </w:rPr>
      </w:pPr>
      <w:r>
        <w:rPr>
          <w:rFonts w:ascii="Georgia" w:hAnsi="Georgia" w:cs="Arial"/>
          <w:b/>
          <w:bCs/>
        </w:rPr>
        <w:t>Appeal</w:t>
      </w:r>
    </w:p>
    <w:p w:rsidR="000324FB" w:rsidRPr="000324FB" w:rsidRDefault="000324FB" w:rsidP="000324FB">
      <w:pPr>
        <w:jc w:val="both"/>
        <w:rPr>
          <w:rFonts w:ascii="Georgia" w:hAnsi="Georgia" w:cs="Arial"/>
          <w:b/>
          <w:bCs/>
        </w:rPr>
      </w:pPr>
    </w:p>
    <w:p w:rsidR="00CD1444" w:rsidRPr="0041294A" w:rsidRDefault="00CD1444" w:rsidP="00FF7ED2">
      <w:pPr>
        <w:numPr>
          <w:ilvl w:val="0"/>
          <w:numId w:val="5"/>
        </w:numPr>
        <w:ind w:hanging="720"/>
        <w:jc w:val="both"/>
        <w:rPr>
          <w:rFonts w:ascii="Georgia" w:hAnsi="Georgia"/>
        </w:rPr>
      </w:pPr>
      <w:r w:rsidRPr="0041294A">
        <w:rPr>
          <w:rFonts w:ascii="Georgia" w:eastAsia="Times New Roman" w:hAnsi="Georgia" w:cs="Times New Roman"/>
        </w:rPr>
        <w:t xml:space="preserve">A party seeking permission to appeal this decision must make a written application to the Tribunal for permission to appeal. This application must be received by the Tribunal no later than 28 days after the date this decision is sent to the parties. Further information is contained within Part 6 of The Tribunal Procedure (First-tier Tribunal) (Property Chamber) Rules 2013 (S.I. 2013 No. 1169). </w:t>
      </w:r>
      <w:bookmarkStart w:id="0" w:name="_GoBack"/>
      <w:bookmarkEnd w:id="0"/>
    </w:p>
    <w:sectPr w:rsidR="00CD1444" w:rsidRPr="0041294A" w:rsidSect="0007352F">
      <w:footerReference w:type="even" r:id="rId8"/>
      <w:footerReference w:type="default" r:id="rId9"/>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EC2" w:rsidRDefault="001F1EC2" w:rsidP="0007352F">
      <w:r>
        <w:separator/>
      </w:r>
    </w:p>
  </w:endnote>
  <w:endnote w:type="continuationSeparator" w:id="0">
    <w:p w:rsidR="001F1EC2" w:rsidRDefault="001F1EC2" w:rsidP="0007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IDFont+F4">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399320"/>
      <w:docPartObj>
        <w:docPartGallery w:val="Page Numbers (Bottom of Page)"/>
        <w:docPartUnique/>
      </w:docPartObj>
    </w:sdtPr>
    <w:sdtEndPr>
      <w:rPr>
        <w:rStyle w:val="PageNumber"/>
      </w:rPr>
    </w:sdtEndPr>
    <w:sdtContent>
      <w:p w:rsidR="0007352F" w:rsidRDefault="0007352F" w:rsidP="00185B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7352F" w:rsidRDefault="0007352F" w:rsidP="00073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5524547"/>
      <w:docPartObj>
        <w:docPartGallery w:val="Page Numbers (Bottom of Page)"/>
        <w:docPartUnique/>
      </w:docPartObj>
    </w:sdtPr>
    <w:sdtEndPr>
      <w:rPr>
        <w:rStyle w:val="PageNumber"/>
        <w:sz w:val="18"/>
        <w:szCs w:val="14"/>
      </w:rPr>
    </w:sdtEndPr>
    <w:sdtContent>
      <w:p w:rsidR="0007352F" w:rsidRPr="0007352F" w:rsidRDefault="0007352F" w:rsidP="00185B09">
        <w:pPr>
          <w:pStyle w:val="Footer"/>
          <w:framePr w:wrap="none" w:vAnchor="text" w:hAnchor="margin" w:xAlign="right" w:y="1"/>
          <w:rPr>
            <w:rStyle w:val="PageNumber"/>
            <w:sz w:val="18"/>
            <w:szCs w:val="14"/>
          </w:rPr>
        </w:pPr>
        <w:r w:rsidRPr="0007352F">
          <w:rPr>
            <w:rStyle w:val="PageNumber"/>
            <w:sz w:val="18"/>
            <w:szCs w:val="14"/>
          </w:rPr>
          <w:fldChar w:fldCharType="begin"/>
        </w:r>
        <w:r w:rsidRPr="0007352F">
          <w:rPr>
            <w:rStyle w:val="PageNumber"/>
            <w:sz w:val="18"/>
            <w:szCs w:val="14"/>
          </w:rPr>
          <w:instrText xml:space="preserve"> PAGE </w:instrText>
        </w:r>
        <w:r w:rsidRPr="0007352F">
          <w:rPr>
            <w:rStyle w:val="PageNumber"/>
            <w:sz w:val="18"/>
            <w:szCs w:val="14"/>
          </w:rPr>
          <w:fldChar w:fldCharType="separate"/>
        </w:r>
        <w:r w:rsidR="0041294A">
          <w:rPr>
            <w:rStyle w:val="PageNumber"/>
            <w:noProof/>
            <w:sz w:val="18"/>
            <w:szCs w:val="14"/>
          </w:rPr>
          <w:t>5</w:t>
        </w:r>
        <w:r w:rsidRPr="0007352F">
          <w:rPr>
            <w:rStyle w:val="PageNumber"/>
            <w:sz w:val="18"/>
            <w:szCs w:val="14"/>
          </w:rPr>
          <w:fldChar w:fldCharType="end"/>
        </w:r>
      </w:p>
    </w:sdtContent>
  </w:sdt>
  <w:p w:rsidR="0007352F" w:rsidRDefault="0007352F" w:rsidP="00073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EC2" w:rsidRDefault="001F1EC2" w:rsidP="0007352F">
      <w:r>
        <w:separator/>
      </w:r>
    </w:p>
  </w:footnote>
  <w:footnote w:type="continuationSeparator" w:id="0">
    <w:p w:rsidR="001F1EC2" w:rsidRDefault="001F1EC2" w:rsidP="00073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3676"/>
    <w:multiLevelType w:val="multilevel"/>
    <w:tmpl w:val="28CEC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E2586C"/>
    <w:multiLevelType w:val="hybridMultilevel"/>
    <w:tmpl w:val="137AA4C2"/>
    <w:lvl w:ilvl="0" w:tplc="3E34C83A">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36F8786E"/>
    <w:multiLevelType w:val="multilevel"/>
    <w:tmpl w:val="C1080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490C28"/>
    <w:multiLevelType w:val="hybridMultilevel"/>
    <w:tmpl w:val="1D720E30"/>
    <w:lvl w:ilvl="0" w:tplc="0809000F">
      <w:start w:val="1"/>
      <w:numFmt w:val="decimal"/>
      <w:lvlText w:val="%1."/>
      <w:lvlJc w:val="left"/>
      <w:pPr>
        <w:tabs>
          <w:tab w:val="num" w:pos="720"/>
        </w:tabs>
        <w:ind w:left="720" w:hanging="360"/>
      </w:pPr>
    </w:lvl>
    <w:lvl w:ilvl="1" w:tplc="6D326FCC">
      <w:start w:val="1"/>
      <w:numFmt w:val="bullet"/>
      <w:lvlText w:val=""/>
      <w:lvlJc w:val="left"/>
      <w:pPr>
        <w:tabs>
          <w:tab w:val="num" w:pos="1418"/>
        </w:tabs>
        <w:ind w:left="1418" w:hanging="338"/>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19B6866"/>
    <w:multiLevelType w:val="multilevel"/>
    <w:tmpl w:val="B86A73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44"/>
    <w:rsid w:val="00003E46"/>
    <w:rsid w:val="000324FB"/>
    <w:rsid w:val="00041964"/>
    <w:rsid w:val="000421F8"/>
    <w:rsid w:val="0007352F"/>
    <w:rsid w:val="001344F7"/>
    <w:rsid w:val="001663D3"/>
    <w:rsid w:val="001F1EC2"/>
    <w:rsid w:val="002A728E"/>
    <w:rsid w:val="002D00E0"/>
    <w:rsid w:val="002E2736"/>
    <w:rsid w:val="002F2879"/>
    <w:rsid w:val="00311394"/>
    <w:rsid w:val="003A3FE7"/>
    <w:rsid w:val="003B539F"/>
    <w:rsid w:val="003F34F9"/>
    <w:rsid w:val="0041294A"/>
    <w:rsid w:val="00424806"/>
    <w:rsid w:val="00431EB7"/>
    <w:rsid w:val="004F23B1"/>
    <w:rsid w:val="00531FF5"/>
    <w:rsid w:val="005378C0"/>
    <w:rsid w:val="005501A5"/>
    <w:rsid w:val="00574FEF"/>
    <w:rsid w:val="005F37A7"/>
    <w:rsid w:val="00600B8B"/>
    <w:rsid w:val="00604B03"/>
    <w:rsid w:val="006452A3"/>
    <w:rsid w:val="00655583"/>
    <w:rsid w:val="00674C21"/>
    <w:rsid w:val="00841DCB"/>
    <w:rsid w:val="008F210A"/>
    <w:rsid w:val="00994781"/>
    <w:rsid w:val="009950BD"/>
    <w:rsid w:val="009A7BEB"/>
    <w:rsid w:val="00A448F3"/>
    <w:rsid w:val="00A9421A"/>
    <w:rsid w:val="00B53E58"/>
    <w:rsid w:val="00B92EF7"/>
    <w:rsid w:val="00BC61B6"/>
    <w:rsid w:val="00BF01ED"/>
    <w:rsid w:val="00C65B8B"/>
    <w:rsid w:val="00CA508B"/>
    <w:rsid w:val="00CD1444"/>
    <w:rsid w:val="00CD5C08"/>
    <w:rsid w:val="00D047F8"/>
    <w:rsid w:val="00D44A66"/>
    <w:rsid w:val="00D65E26"/>
    <w:rsid w:val="00D9327B"/>
    <w:rsid w:val="00DA63A9"/>
    <w:rsid w:val="00E018DC"/>
    <w:rsid w:val="00E922F8"/>
    <w:rsid w:val="00EB1374"/>
    <w:rsid w:val="00ED00BE"/>
    <w:rsid w:val="00EF74A5"/>
    <w:rsid w:val="00F13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10D6"/>
  <w14:defaultImageDpi w14:val="32767"/>
  <w15:chartTrackingRefBased/>
  <w15:docId w15:val="{0328F16C-A1CA-9947-BA24-AB31282E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D44A66"/>
    <w:pPr>
      <w:keepNext/>
      <w:jc w:val="center"/>
      <w:outlineLvl w:val="0"/>
    </w:pPr>
    <w:rPr>
      <w:rFonts w:ascii="Arial" w:eastAsia="Times New Roman" w:hAnsi="Arial" w:cs="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444"/>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CD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D1444"/>
    <w:rPr>
      <w:rFonts w:ascii="Courier New" w:eastAsia="Times New Roman" w:hAnsi="Courier New" w:cs="Courier New"/>
      <w:sz w:val="20"/>
      <w:szCs w:val="20"/>
    </w:rPr>
  </w:style>
  <w:style w:type="character" w:customStyle="1" w:styleId="Heading1Char">
    <w:name w:val="Heading 1 Char"/>
    <w:basedOn w:val="DefaultParagraphFont"/>
    <w:link w:val="Heading1"/>
    <w:rsid w:val="00D44A66"/>
    <w:rPr>
      <w:rFonts w:ascii="Arial" w:eastAsia="Times New Roman" w:hAnsi="Arial" w:cs="Times New Roman"/>
      <w:b/>
      <w:bCs/>
      <w:sz w:val="32"/>
    </w:rPr>
  </w:style>
  <w:style w:type="paragraph" w:styleId="Footer">
    <w:name w:val="footer"/>
    <w:basedOn w:val="Normal"/>
    <w:link w:val="FooterChar"/>
    <w:rsid w:val="00D44A66"/>
    <w:pPr>
      <w:tabs>
        <w:tab w:val="center" w:pos="4153"/>
        <w:tab w:val="right" w:pos="8306"/>
      </w:tabs>
    </w:pPr>
    <w:rPr>
      <w:rFonts w:ascii="Times New Roman" w:eastAsia="Times New Roman" w:hAnsi="Times New Roman" w:cs="Times New Roman"/>
      <w:spacing w:val="-3"/>
      <w:szCs w:val="20"/>
    </w:rPr>
  </w:style>
  <w:style w:type="character" w:customStyle="1" w:styleId="FooterChar">
    <w:name w:val="Footer Char"/>
    <w:basedOn w:val="DefaultParagraphFont"/>
    <w:link w:val="Footer"/>
    <w:rsid w:val="00D44A66"/>
    <w:rPr>
      <w:rFonts w:ascii="Times New Roman" w:eastAsia="Times New Roman" w:hAnsi="Times New Roman" w:cs="Times New Roman"/>
      <w:spacing w:val="-3"/>
      <w:szCs w:val="20"/>
    </w:rPr>
  </w:style>
  <w:style w:type="paragraph" w:styleId="Title">
    <w:name w:val="Title"/>
    <w:basedOn w:val="Normal"/>
    <w:link w:val="TitleChar"/>
    <w:qFormat/>
    <w:rsid w:val="00D44A66"/>
    <w:pPr>
      <w:jc w:val="center"/>
    </w:pPr>
    <w:rPr>
      <w:rFonts w:ascii="Arial" w:eastAsia="Times New Roman" w:hAnsi="Arial" w:cs="Times New Roman"/>
      <w:b/>
      <w:bCs/>
      <w:sz w:val="32"/>
    </w:rPr>
  </w:style>
  <w:style w:type="character" w:customStyle="1" w:styleId="TitleChar">
    <w:name w:val="Title Char"/>
    <w:basedOn w:val="DefaultParagraphFont"/>
    <w:link w:val="Title"/>
    <w:rsid w:val="00D44A66"/>
    <w:rPr>
      <w:rFonts w:ascii="Arial" w:eastAsia="Times New Roman" w:hAnsi="Arial" w:cs="Times New Roman"/>
      <w:b/>
      <w:bCs/>
      <w:sz w:val="32"/>
    </w:rPr>
  </w:style>
  <w:style w:type="paragraph" w:styleId="ListParagraph">
    <w:name w:val="List Paragraph"/>
    <w:basedOn w:val="Normal"/>
    <w:uiPriority w:val="34"/>
    <w:qFormat/>
    <w:rsid w:val="00D44A66"/>
    <w:pPr>
      <w:ind w:left="720"/>
      <w:contextualSpacing/>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07352F"/>
  </w:style>
  <w:style w:type="paragraph" w:styleId="Header">
    <w:name w:val="header"/>
    <w:basedOn w:val="Normal"/>
    <w:link w:val="HeaderChar"/>
    <w:uiPriority w:val="99"/>
    <w:unhideWhenUsed/>
    <w:rsid w:val="0007352F"/>
    <w:pPr>
      <w:tabs>
        <w:tab w:val="center" w:pos="4513"/>
        <w:tab w:val="right" w:pos="9026"/>
      </w:tabs>
    </w:pPr>
  </w:style>
  <w:style w:type="character" w:customStyle="1" w:styleId="HeaderChar">
    <w:name w:val="Header Char"/>
    <w:basedOn w:val="DefaultParagraphFont"/>
    <w:link w:val="Header"/>
    <w:uiPriority w:val="99"/>
    <w:rsid w:val="00073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021871">
      <w:bodyDiv w:val="1"/>
      <w:marLeft w:val="0"/>
      <w:marRight w:val="0"/>
      <w:marTop w:val="0"/>
      <w:marBottom w:val="0"/>
      <w:divBdr>
        <w:top w:val="none" w:sz="0" w:space="0" w:color="auto"/>
        <w:left w:val="none" w:sz="0" w:space="0" w:color="auto"/>
        <w:bottom w:val="none" w:sz="0" w:space="0" w:color="auto"/>
        <w:right w:val="none" w:sz="0" w:space="0" w:color="auto"/>
      </w:divBdr>
      <w:divsChild>
        <w:div w:id="927544290">
          <w:marLeft w:val="0"/>
          <w:marRight w:val="0"/>
          <w:marTop w:val="0"/>
          <w:marBottom w:val="0"/>
          <w:divBdr>
            <w:top w:val="none" w:sz="0" w:space="0" w:color="auto"/>
            <w:left w:val="none" w:sz="0" w:space="0" w:color="auto"/>
            <w:bottom w:val="none" w:sz="0" w:space="0" w:color="auto"/>
            <w:right w:val="none" w:sz="0" w:space="0" w:color="auto"/>
          </w:divBdr>
          <w:divsChild>
            <w:div w:id="1406801406">
              <w:marLeft w:val="0"/>
              <w:marRight w:val="0"/>
              <w:marTop w:val="0"/>
              <w:marBottom w:val="0"/>
              <w:divBdr>
                <w:top w:val="none" w:sz="0" w:space="0" w:color="auto"/>
                <w:left w:val="none" w:sz="0" w:space="0" w:color="auto"/>
                <w:bottom w:val="none" w:sz="0" w:space="0" w:color="auto"/>
                <w:right w:val="none" w:sz="0" w:space="0" w:color="auto"/>
              </w:divBdr>
              <w:divsChild>
                <w:div w:id="515392311">
                  <w:marLeft w:val="0"/>
                  <w:marRight w:val="0"/>
                  <w:marTop w:val="0"/>
                  <w:marBottom w:val="0"/>
                  <w:divBdr>
                    <w:top w:val="none" w:sz="0" w:space="0" w:color="auto"/>
                    <w:left w:val="none" w:sz="0" w:space="0" w:color="auto"/>
                    <w:bottom w:val="none" w:sz="0" w:space="0" w:color="auto"/>
                    <w:right w:val="none" w:sz="0" w:space="0" w:color="auto"/>
                  </w:divBdr>
                </w:div>
                <w:div w:id="766777598">
                  <w:marLeft w:val="0"/>
                  <w:marRight w:val="0"/>
                  <w:marTop w:val="0"/>
                  <w:marBottom w:val="0"/>
                  <w:divBdr>
                    <w:top w:val="none" w:sz="0" w:space="0" w:color="auto"/>
                    <w:left w:val="none" w:sz="0" w:space="0" w:color="auto"/>
                    <w:bottom w:val="none" w:sz="0" w:space="0" w:color="auto"/>
                    <w:right w:val="none" w:sz="0" w:space="0" w:color="auto"/>
                  </w:divBdr>
                </w:div>
              </w:divsChild>
            </w:div>
            <w:div w:id="201136367">
              <w:marLeft w:val="0"/>
              <w:marRight w:val="0"/>
              <w:marTop w:val="0"/>
              <w:marBottom w:val="0"/>
              <w:divBdr>
                <w:top w:val="none" w:sz="0" w:space="0" w:color="auto"/>
                <w:left w:val="none" w:sz="0" w:space="0" w:color="auto"/>
                <w:bottom w:val="none" w:sz="0" w:space="0" w:color="auto"/>
                <w:right w:val="none" w:sz="0" w:space="0" w:color="auto"/>
              </w:divBdr>
              <w:divsChild>
                <w:div w:id="924656075">
                  <w:marLeft w:val="0"/>
                  <w:marRight w:val="0"/>
                  <w:marTop w:val="0"/>
                  <w:marBottom w:val="0"/>
                  <w:divBdr>
                    <w:top w:val="none" w:sz="0" w:space="0" w:color="auto"/>
                    <w:left w:val="none" w:sz="0" w:space="0" w:color="auto"/>
                    <w:bottom w:val="none" w:sz="0" w:space="0" w:color="auto"/>
                    <w:right w:val="none" w:sz="0" w:space="0" w:color="auto"/>
                  </w:divBdr>
                </w:div>
              </w:divsChild>
            </w:div>
            <w:div w:id="1559125460">
              <w:marLeft w:val="0"/>
              <w:marRight w:val="0"/>
              <w:marTop w:val="0"/>
              <w:marBottom w:val="0"/>
              <w:divBdr>
                <w:top w:val="none" w:sz="0" w:space="0" w:color="auto"/>
                <w:left w:val="none" w:sz="0" w:space="0" w:color="auto"/>
                <w:bottom w:val="none" w:sz="0" w:space="0" w:color="auto"/>
                <w:right w:val="none" w:sz="0" w:space="0" w:color="auto"/>
              </w:divBdr>
              <w:divsChild>
                <w:div w:id="4455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8616">
          <w:marLeft w:val="0"/>
          <w:marRight w:val="0"/>
          <w:marTop w:val="0"/>
          <w:marBottom w:val="0"/>
          <w:divBdr>
            <w:top w:val="none" w:sz="0" w:space="0" w:color="auto"/>
            <w:left w:val="none" w:sz="0" w:space="0" w:color="auto"/>
            <w:bottom w:val="none" w:sz="0" w:space="0" w:color="auto"/>
            <w:right w:val="none" w:sz="0" w:space="0" w:color="auto"/>
          </w:divBdr>
          <w:divsChild>
            <w:div w:id="599681843">
              <w:marLeft w:val="0"/>
              <w:marRight w:val="0"/>
              <w:marTop w:val="0"/>
              <w:marBottom w:val="0"/>
              <w:divBdr>
                <w:top w:val="none" w:sz="0" w:space="0" w:color="auto"/>
                <w:left w:val="none" w:sz="0" w:space="0" w:color="auto"/>
                <w:bottom w:val="none" w:sz="0" w:space="0" w:color="auto"/>
                <w:right w:val="none" w:sz="0" w:space="0" w:color="auto"/>
              </w:divBdr>
              <w:divsChild>
                <w:div w:id="1957784087">
                  <w:marLeft w:val="0"/>
                  <w:marRight w:val="0"/>
                  <w:marTop w:val="0"/>
                  <w:marBottom w:val="0"/>
                  <w:divBdr>
                    <w:top w:val="none" w:sz="0" w:space="0" w:color="auto"/>
                    <w:left w:val="none" w:sz="0" w:space="0" w:color="auto"/>
                    <w:bottom w:val="none" w:sz="0" w:space="0" w:color="auto"/>
                    <w:right w:val="none" w:sz="0" w:space="0" w:color="auto"/>
                  </w:divBdr>
                </w:div>
              </w:divsChild>
            </w:div>
            <w:div w:id="2109349962">
              <w:marLeft w:val="0"/>
              <w:marRight w:val="0"/>
              <w:marTop w:val="0"/>
              <w:marBottom w:val="0"/>
              <w:divBdr>
                <w:top w:val="none" w:sz="0" w:space="0" w:color="auto"/>
                <w:left w:val="none" w:sz="0" w:space="0" w:color="auto"/>
                <w:bottom w:val="none" w:sz="0" w:space="0" w:color="auto"/>
                <w:right w:val="none" w:sz="0" w:space="0" w:color="auto"/>
              </w:divBdr>
              <w:divsChild>
                <w:div w:id="1180045830">
                  <w:marLeft w:val="0"/>
                  <w:marRight w:val="0"/>
                  <w:marTop w:val="0"/>
                  <w:marBottom w:val="0"/>
                  <w:divBdr>
                    <w:top w:val="none" w:sz="0" w:space="0" w:color="auto"/>
                    <w:left w:val="none" w:sz="0" w:space="0" w:color="auto"/>
                    <w:bottom w:val="none" w:sz="0" w:space="0" w:color="auto"/>
                    <w:right w:val="none" w:sz="0" w:space="0" w:color="auto"/>
                  </w:divBdr>
                </w:div>
              </w:divsChild>
            </w:div>
            <w:div w:id="259606746">
              <w:marLeft w:val="0"/>
              <w:marRight w:val="0"/>
              <w:marTop w:val="0"/>
              <w:marBottom w:val="0"/>
              <w:divBdr>
                <w:top w:val="none" w:sz="0" w:space="0" w:color="auto"/>
                <w:left w:val="none" w:sz="0" w:space="0" w:color="auto"/>
                <w:bottom w:val="none" w:sz="0" w:space="0" w:color="auto"/>
                <w:right w:val="none" w:sz="0" w:space="0" w:color="auto"/>
              </w:divBdr>
              <w:divsChild>
                <w:div w:id="13901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4169">
          <w:marLeft w:val="0"/>
          <w:marRight w:val="0"/>
          <w:marTop w:val="0"/>
          <w:marBottom w:val="0"/>
          <w:divBdr>
            <w:top w:val="none" w:sz="0" w:space="0" w:color="auto"/>
            <w:left w:val="none" w:sz="0" w:space="0" w:color="auto"/>
            <w:bottom w:val="none" w:sz="0" w:space="0" w:color="auto"/>
            <w:right w:val="none" w:sz="0" w:space="0" w:color="auto"/>
          </w:divBdr>
          <w:divsChild>
            <w:div w:id="1443919385">
              <w:marLeft w:val="0"/>
              <w:marRight w:val="0"/>
              <w:marTop w:val="0"/>
              <w:marBottom w:val="0"/>
              <w:divBdr>
                <w:top w:val="none" w:sz="0" w:space="0" w:color="auto"/>
                <w:left w:val="none" w:sz="0" w:space="0" w:color="auto"/>
                <w:bottom w:val="none" w:sz="0" w:space="0" w:color="auto"/>
                <w:right w:val="none" w:sz="0" w:space="0" w:color="auto"/>
              </w:divBdr>
              <w:divsChild>
                <w:div w:id="1439912838">
                  <w:marLeft w:val="0"/>
                  <w:marRight w:val="0"/>
                  <w:marTop w:val="0"/>
                  <w:marBottom w:val="0"/>
                  <w:divBdr>
                    <w:top w:val="none" w:sz="0" w:space="0" w:color="auto"/>
                    <w:left w:val="none" w:sz="0" w:space="0" w:color="auto"/>
                    <w:bottom w:val="none" w:sz="0" w:space="0" w:color="auto"/>
                    <w:right w:val="none" w:sz="0" w:space="0" w:color="auto"/>
                  </w:divBdr>
                </w:div>
              </w:divsChild>
            </w:div>
            <w:div w:id="76053300">
              <w:marLeft w:val="0"/>
              <w:marRight w:val="0"/>
              <w:marTop w:val="0"/>
              <w:marBottom w:val="0"/>
              <w:divBdr>
                <w:top w:val="none" w:sz="0" w:space="0" w:color="auto"/>
                <w:left w:val="none" w:sz="0" w:space="0" w:color="auto"/>
                <w:bottom w:val="none" w:sz="0" w:space="0" w:color="auto"/>
                <w:right w:val="none" w:sz="0" w:space="0" w:color="auto"/>
              </w:divBdr>
              <w:divsChild>
                <w:div w:id="1278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29421">
          <w:marLeft w:val="0"/>
          <w:marRight w:val="0"/>
          <w:marTop w:val="0"/>
          <w:marBottom w:val="0"/>
          <w:divBdr>
            <w:top w:val="none" w:sz="0" w:space="0" w:color="auto"/>
            <w:left w:val="none" w:sz="0" w:space="0" w:color="auto"/>
            <w:bottom w:val="none" w:sz="0" w:space="0" w:color="auto"/>
            <w:right w:val="none" w:sz="0" w:space="0" w:color="auto"/>
          </w:divBdr>
          <w:divsChild>
            <w:div w:id="165559204">
              <w:marLeft w:val="0"/>
              <w:marRight w:val="0"/>
              <w:marTop w:val="0"/>
              <w:marBottom w:val="0"/>
              <w:divBdr>
                <w:top w:val="none" w:sz="0" w:space="0" w:color="auto"/>
                <w:left w:val="none" w:sz="0" w:space="0" w:color="auto"/>
                <w:bottom w:val="none" w:sz="0" w:space="0" w:color="auto"/>
                <w:right w:val="none" w:sz="0" w:space="0" w:color="auto"/>
              </w:divBdr>
              <w:divsChild>
                <w:div w:id="1192764028">
                  <w:marLeft w:val="0"/>
                  <w:marRight w:val="0"/>
                  <w:marTop w:val="0"/>
                  <w:marBottom w:val="0"/>
                  <w:divBdr>
                    <w:top w:val="none" w:sz="0" w:space="0" w:color="auto"/>
                    <w:left w:val="none" w:sz="0" w:space="0" w:color="auto"/>
                    <w:bottom w:val="none" w:sz="0" w:space="0" w:color="auto"/>
                    <w:right w:val="none" w:sz="0" w:space="0" w:color="auto"/>
                  </w:divBdr>
                </w:div>
              </w:divsChild>
            </w:div>
            <w:div w:id="722217862">
              <w:marLeft w:val="0"/>
              <w:marRight w:val="0"/>
              <w:marTop w:val="0"/>
              <w:marBottom w:val="0"/>
              <w:divBdr>
                <w:top w:val="none" w:sz="0" w:space="0" w:color="auto"/>
                <w:left w:val="none" w:sz="0" w:space="0" w:color="auto"/>
                <w:bottom w:val="none" w:sz="0" w:space="0" w:color="auto"/>
                <w:right w:val="none" w:sz="0" w:space="0" w:color="auto"/>
              </w:divBdr>
              <w:divsChild>
                <w:div w:id="361592920">
                  <w:marLeft w:val="0"/>
                  <w:marRight w:val="0"/>
                  <w:marTop w:val="0"/>
                  <w:marBottom w:val="0"/>
                  <w:divBdr>
                    <w:top w:val="none" w:sz="0" w:space="0" w:color="auto"/>
                    <w:left w:val="none" w:sz="0" w:space="0" w:color="auto"/>
                    <w:bottom w:val="none" w:sz="0" w:space="0" w:color="auto"/>
                    <w:right w:val="none" w:sz="0" w:space="0" w:color="auto"/>
                  </w:divBdr>
                </w:div>
                <w:div w:id="486751931">
                  <w:marLeft w:val="0"/>
                  <w:marRight w:val="0"/>
                  <w:marTop w:val="0"/>
                  <w:marBottom w:val="0"/>
                  <w:divBdr>
                    <w:top w:val="none" w:sz="0" w:space="0" w:color="auto"/>
                    <w:left w:val="none" w:sz="0" w:space="0" w:color="auto"/>
                    <w:bottom w:val="none" w:sz="0" w:space="0" w:color="auto"/>
                    <w:right w:val="none" w:sz="0" w:space="0" w:color="auto"/>
                  </w:divBdr>
                </w:div>
              </w:divsChild>
            </w:div>
            <w:div w:id="282882240">
              <w:marLeft w:val="0"/>
              <w:marRight w:val="0"/>
              <w:marTop w:val="0"/>
              <w:marBottom w:val="0"/>
              <w:divBdr>
                <w:top w:val="none" w:sz="0" w:space="0" w:color="auto"/>
                <w:left w:val="none" w:sz="0" w:space="0" w:color="auto"/>
                <w:bottom w:val="none" w:sz="0" w:space="0" w:color="auto"/>
                <w:right w:val="none" w:sz="0" w:space="0" w:color="auto"/>
              </w:divBdr>
              <w:divsChild>
                <w:div w:id="1342048630">
                  <w:marLeft w:val="0"/>
                  <w:marRight w:val="0"/>
                  <w:marTop w:val="0"/>
                  <w:marBottom w:val="0"/>
                  <w:divBdr>
                    <w:top w:val="none" w:sz="0" w:space="0" w:color="auto"/>
                    <w:left w:val="none" w:sz="0" w:space="0" w:color="auto"/>
                    <w:bottom w:val="none" w:sz="0" w:space="0" w:color="auto"/>
                    <w:right w:val="none" w:sz="0" w:space="0" w:color="auto"/>
                  </w:divBdr>
                </w:div>
              </w:divsChild>
            </w:div>
            <w:div w:id="216741403">
              <w:marLeft w:val="0"/>
              <w:marRight w:val="0"/>
              <w:marTop w:val="0"/>
              <w:marBottom w:val="0"/>
              <w:divBdr>
                <w:top w:val="none" w:sz="0" w:space="0" w:color="auto"/>
                <w:left w:val="none" w:sz="0" w:space="0" w:color="auto"/>
                <w:bottom w:val="none" w:sz="0" w:space="0" w:color="auto"/>
                <w:right w:val="none" w:sz="0" w:space="0" w:color="auto"/>
              </w:divBdr>
              <w:divsChild>
                <w:div w:id="7956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60391">
          <w:marLeft w:val="0"/>
          <w:marRight w:val="0"/>
          <w:marTop w:val="0"/>
          <w:marBottom w:val="0"/>
          <w:divBdr>
            <w:top w:val="none" w:sz="0" w:space="0" w:color="auto"/>
            <w:left w:val="none" w:sz="0" w:space="0" w:color="auto"/>
            <w:bottom w:val="none" w:sz="0" w:space="0" w:color="auto"/>
            <w:right w:val="none" w:sz="0" w:space="0" w:color="auto"/>
          </w:divBdr>
          <w:divsChild>
            <w:div w:id="942223085">
              <w:marLeft w:val="0"/>
              <w:marRight w:val="0"/>
              <w:marTop w:val="0"/>
              <w:marBottom w:val="0"/>
              <w:divBdr>
                <w:top w:val="none" w:sz="0" w:space="0" w:color="auto"/>
                <w:left w:val="none" w:sz="0" w:space="0" w:color="auto"/>
                <w:bottom w:val="none" w:sz="0" w:space="0" w:color="auto"/>
                <w:right w:val="none" w:sz="0" w:space="0" w:color="auto"/>
              </w:divBdr>
              <w:divsChild>
                <w:div w:id="1074277621">
                  <w:marLeft w:val="0"/>
                  <w:marRight w:val="0"/>
                  <w:marTop w:val="0"/>
                  <w:marBottom w:val="0"/>
                  <w:divBdr>
                    <w:top w:val="none" w:sz="0" w:space="0" w:color="auto"/>
                    <w:left w:val="none" w:sz="0" w:space="0" w:color="auto"/>
                    <w:bottom w:val="none" w:sz="0" w:space="0" w:color="auto"/>
                    <w:right w:val="none" w:sz="0" w:space="0" w:color="auto"/>
                  </w:divBdr>
                </w:div>
              </w:divsChild>
            </w:div>
            <w:div w:id="888885802">
              <w:marLeft w:val="0"/>
              <w:marRight w:val="0"/>
              <w:marTop w:val="0"/>
              <w:marBottom w:val="0"/>
              <w:divBdr>
                <w:top w:val="none" w:sz="0" w:space="0" w:color="auto"/>
                <w:left w:val="none" w:sz="0" w:space="0" w:color="auto"/>
                <w:bottom w:val="none" w:sz="0" w:space="0" w:color="auto"/>
                <w:right w:val="none" w:sz="0" w:space="0" w:color="auto"/>
              </w:divBdr>
              <w:divsChild>
                <w:div w:id="1258363163">
                  <w:marLeft w:val="0"/>
                  <w:marRight w:val="0"/>
                  <w:marTop w:val="0"/>
                  <w:marBottom w:val="0"/>
                  <w:divBdr>
                    <w:top w:val="none" w:sz="0" w:space="0" w:color="auto"/>
                    <w:left w:val="none" w:sz="0" w:space="0" w:color="auto"/>
                    <w:bottom w:val="none" w:sz="0" w:space="0" w:color="auto"/>
                    <w:right w:val="none" w:sz="0" w:space="0" w:color="auto"/>
                  </w:divBdr>
                </w:div>
              </w:divsChild>
            </w:div>
            <w:div w:id="761487940">
              <w:marLeft w:val="0"/>
              <w:marRight w:val="0"/>
              <w:marTop w:val="0"/>
              <w:marBottom w:val="0"/>
              <w:divBdr>
                <w:top w:val="none" w:sz="0" w:space="0" w:color="auto"/>
                <w:left w:val="none" w:sz="0" w:space="0" w:color="auto"/>
                <w:bottom w:val="none" w:sz="0" w:space="0" w:color="auto"/>
                <w:right w:val="none" w:sz="0" w:space="0" w:color="auto"/>
              </w:divBdr>
              <w:divsChild>
                <w:div w:id="6748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1547</Words>
  <Characters>8819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b1@dsl.pipex.com</dc:creator>
  <cp:keywords/>
  <dc:description/>
  <cp:lastModifiedBy>Fawcett, Sylvia</cp:lastModifiedBy>
  <cp:revision>2</cp:revision>
  <cp:lastPrinted>2019-08-03T10:40:00Z</cp:lastPrinted>
  <dcterms:created xsi:type="dcterms:W3CDTF">2019-08-07T13:37:00Z</dcterms:created>
  <dcterms:modified xsi:type="dcterms:W3CDTF">2019-08-07T13:37:00Z</dcterms:modified>
</cp:coreProperties>
</file>