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80" w:rsidRPr="00C60C76" w:rsidRDefault="0032489D" w:rsidP="006030B1">
      <w:pPr>
        <w:rPr>
          <w:color w:val="FF0000"/>
        </w:rPr>
      </w:pPr>
      <w:r w:rsidRPr="00E161EA">
        <w:rPr>
          <w:rFonts w:cs="Arial"/>
          <w:b/>
          <w:noProof/>
          <w:szCs w:val="24"/>
        </w:rPr>
        <mc:AlternateContent>
          <mc:Choice Requires="wps">
            <w:drawing>
              <wp:anchor distT="0" distB="0" distL="114300" distR="114300" simplePos="0" relativeHeight="251660288" behindDoc="0" locked="0" layoutInCell="1" allowOverlap="1" wp14:anchorId="04FFFFDF" wp14:editId="6C07C036">
                <wp:simplePos x="0" y="0"/>
                <wp:positionH relativeFrom="column">
                  <wp:posOffset>8890</wp:posOffset>
                </wp:positionH>
                <wp:positionV relativeFrom="paragraph">
                  <wp:posOffset>229870</wp:posOffset>
                </wp:positionV>
                <wp:extent cx="6248400" cy="134302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43025"/>
                        </a:xfrm>
                        <a:prstGeom prst="rect">
                          <a:avLst/>
                        </a:prstGeom>
                        <a:solidFill>
                          <a:srgbClr val="FFFFFF"/>
                        </a:solidFill>
                        <a:ln w="38100" cmpd="dbl">
                          <a:solidFill>
                            <a:srgbClr val="000000"/>
                          </a:solidFill>
                          <a:miter lim="800000"/>
                          <a:headEnd/>
                          <a:tailEnd/>
                        </a:ln>
                      </wps:spPr>
                      <wps:txbx>
                        <w:txbxContent>
                          <w:p w:rsidR="00285A34" w:rsidRDefault="00285A34"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285A34" w:rsidRPr="00C30D80" w:rsidRDefault="00285A34" w:rsidP="0032489D">
                            <w:pPr>
                              <w:jc w:val="center"/>
                              <w:rPr>
                                <w:sz w:val="16"/>
                                <w:szCs w:val="16"/>
                              </w:rPr>
                            </w:pPr>
                          </w:p>
                          <w:p w:rsidR="00285A34" w:rsidRPr="006B2FA2" w:rsidRDefault="00285A34" w:rsidP="00D63C3C">
                            <w:pPr>
                              <w:shd w:val="clear" w:color="auto" w:fill="FFFFFF"/>
                              <w:jc w:val="center"/>
                            </w:pPr>
                            <w:r>
                              <w:t xml:space="preserve">Administration </w:t>
                            </w:r>
                            <w:r w:rsidRPr="002A15A4">
                              <w:t>o</w:t>
                            </w:r>
                            <w:r>
                              <w:t xml:space="preserve">f diphtheria, tetanus, acellular pertussis, inactivated poliomyelitis and </w:t>
                            </w:r>
                            <w:r w:rsidRPr="000B12D3">
                              <w:rPr>
                                <w:i/>
                              </w:rPr>
                              <w:t>Haemophilus influenzae</w:t>
                            </w:r>
                            <w:r w:rsidRPr="000B12D3">
                              <w:t xml:space="preserve"> type b conjugate vaccine</w:t>
                            </w:r>
                            <w:r>
                              <w:t xml:space="preserve"> (DTaP/IPV/Hib) </w:t>
                            </w:r>
                            <w:r>
                              <w:rPr>
                                <w:rFonts w:cs="Arial"/>
                              </w:rPr>
                              <w:t>to i</w:t>
                            </w:r>
                            <w:r>
                              <w:t>ndividual</w:t>
                            </w:r>
                            <w:r w:rsidRPr="002A15A4">
                              <w:t>s</w:t>
                            </w:r>
                            <w:r>
                              <w:t xml:space="preserve"> from 3 years 4 months to under 10 years of age</w:t>
                            </w:r>
                            <w:r w:rsidRPr="002A15A4">
                              <w:t xml:space="preserve"> in accorda</w:t>
                            </w:r>
                            <w:r>
                              <w:t>nce with the n</w:t>
                            </w:r>
                            <w:r w:rsidRPr="002A15A4">
                              <w:t xml:space="preserve">ational </w:t>
                            </w:r>
                            <w:r>
                              <w:t>immunisation p</w:t>
                            </w:r>
                            <w:r w:rsidRPr="002A15A4">
                              <w:t>rogramme</w:t>
                            </w:r>
                            <w:r>
                              <w:t xml:space="preserve"> for a pre-school booster of DTaP/IPV.</w:t>
                            </w:r>
                          </w:p>
                          <w:p w:rsidR="00285A34" w:rsidRPr="00A404F3" w:rsidRDefault="00285A34" w:rsidP="00A404F3">
                            <w:pPr>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FFDF" id="Rectangle 2" o:spid="_x0000_s1026" style="position:absolute;margin-left:.7pt;margin-top:18.1pt;width:492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4ZLQIAAFQEAAAOAAAAZHJzL2Uyb0RvYy54bWysVNuO0zAQfUfiHyy/0yRtdil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" strokeweight="3pt">
                <v:stroke linestyle="thinThin"/>
                <v:textbox>
                  <w:txbxContent>
                    <w:p w:rsidR="00285A34" w:rsidRDefault="00285A34"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285A34" w:rsidRPr="00C30D80" w:rsidRDefault="00285A34" w:rsidP="0032489D">
                      <w:pPr>
                        <w:jc w:val="center"/>
                        <w:rPr>
                          <w:sz w:val="16"/>
                          <w:szCs w:val="16"/>
                        </w:rPr>
                      </w:pPr>
                    </w:p>
                    <w:p w:rsidR="00285A34" w:rsidRPr="006B2FA2" w:rsidRDefault="00285A34" w:rsidP="00D63C3C">
                      <w:pPr>
                        <w:shd w:val="clear" w:color="auto" w:fill="FFFFFF"/>
                        <w:jc w:val="center"/>
                      </w:pPr>
                      <w:r>
                        <w:t xml:space="preserve">Administration </w:t>
                      </w:r>
                      <w:r w:rsidRPr="002A15A4">
                        <w:t>o</w:t>
                      </w:r>
                      <w:r>
                        <w:t xml:space="preserve">f diphtheria, tetanus, acellular pertussis, inactivated poliomyelitis and </w:t>
                      </w:r>
                      <w:r w:rsidRPr="000B12D3">
                        <w:rPr>
                          <w:i/>
                        </w:rPr>
                        <w:t>Haemophilus influenzae</w:t>
                      </w:r>
                      <w:r w:rsidRPr="000B12D3">
                        <w:t xml:space="preserve"> type b conjugate vaccine</w:t>
                      </w:r>
                      <w:r>
                        <w:t xml:space="preserve"> (DTaP/IPV/Hib) </w:t>
                      </w:r>
                      <w:r>
                        <w:rPr>
                          <w:rFonts w:cs="Arial"/>
                        </w:rPr>
                        <w:t>to i</w:t>
                      </w:r>
                      <w:r>
                        <w:t>ndividual</w:t>
                      </w:r>
                      <w:r w:rsidRPr="002A15A4">
                        <w:t>s</w:t>
                      </w:r>
                      <w:r>
                        <w:t xml:space="preserve"> from 3 years 4 months to under 10 years of age</w:t>
                      </w:r>
                      <w:r w:rsidRPr="002A15A4">
                        <w:t xml:space="preserve"> in accorda</w:t>
                      </w:r>
                      <w:r>
                        <w:t>nce with the n</w:t>
                      </w:r>
                      <w:r w:rsidRPr="002A15A4">
                        <w:t xml:space="preserve">ational </w:t>
                      </w:r>
                      <w:r>
                        <w:t>immunisation p</w:t>
                      </w:r>
                      <w:r w:rsidRPr="002A15A4">
                        <w:t>rogramme</w:t>
                      </w:r>
                      <w:r>
                        <w:t xml:space="preserve"> for a pre-school booster of DTaP/IPV.</w:t>
                      </w:r>
                    </w:p>
                    <w:p w:rsidR="00285A34" w:rsidRPr="00A404F3" w:rsidRDefault="00285A34" w:rsidP="00A404F3">
                      <w:pPr>
                        <w:contextualSpacing/>
                        <w:jc w:val="center"/>
                      </w:pP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073716">
        <w:rPr>
          <w:b/>
          <w:szCs w:val="24"/>
        </w:rPr>
        <w:t xml:space="preserve"> </w:t>
      </w:r>
      <w:r w:rsidR="00285A34">
        <w:rPr>
          <w:b/>
          <w:szCs w:val="24"/>
        </w:rPr>
        <w:t>2017178</w:t>
      </w:r>
    </w:p>
    <w:p w:rsidR="00D63C3C" w:rsidRPr="002A15A4" w:rsidRDefault="00D63C3C" w:rsidP="00D63C3C">
      <w:r>
        <w:t>This PGD is f</w:t>
      </w:r>
      <w:r w:rsidRPr="006B2FA2">
        <w:t xml:space="preserve">or the </w:t>
      </w:r>
      <w:r>
        <w:t xml:space="preserve">administration </w:t>
      </w:r>
      <w:r w:rsidRPr="002A15A4">
        <w:t>o</w:t>
      </w:r>
      <w:r>
        <w:t xml:space="preserve">f diphtheria, tetanus, acellular pertussis, inactivated poliomyelitis and </w:t>
      </w:r>
      <w:r w:rsidRPr="000B12D3">
        <w:rPr>
          <w:i/>
        </w:rPr>
        <w:t>Haemophilus influenzae</w:t>
      </w:r>
      <w:r w:rsidRPr="000B12D3">
        <w:t xml:space="preserve"> type b conjugate vaccin</w:t>
      </w:r>
      <w:bookmarkStart w:id="0" w:name="_GoBack"/>
      <w:bookmarkEnd w:id="0"/>
      <w:r w:rsidRPr="000B12D3">
        <w:t>e</w:t>
      </w:r>
      <w:r>
        <w:t xml:space="preserve"> (DTaP/IPV/Hib)</w:t>
      </w:r>
      <w:r w:rsidRPr="00270FC2">
        <w:rPr>
          <w:i/>
        </w:rPr>
        <w:t xml:space="preserve"> </w:t>
      </w:r>
      <w:r>
        <w:t xml:space="preserve">by </w:t>
      </w:r>
      <w:r w:rsidRPr="00E161EA">
        <w:rPr>
          <w:rFonts w:cs="Arial"/>
          <w:szCs w:val="24"/>
        </w:rPr>
        <w:t xml:space="preserve">currently </w:t>
      </w:r>
      <w:r w:rsidRPr="00345EDE">
        <w:rPr>
          <w:rFonts w:cs="Arial"/>
          <w:szCs w:val="24"/>
        </w:rPr>
        <w:t>registered nurses</w:t>
      </w:r>
      <w:r>
        <w:rPr>
          <w:rFonts w:cs="Arial"/>
          <w:szCs w:val="24"/>
        </w:rPr>
        <w:t xml:space="preserve"> or paramedics.</w:t>
      </w:r>
      <w:r w:rsidRPr="00270FC2">
        <w:t xml:space="preserve"> </w:t>
      </w:r>
    </w:p>
    <w:p w:rsidR="00815487" w:rsidRPr="00E161EA" w:rsidRDefault="00815487" w:rsidP="00E161EA">
      <w:pPr>
        <w:ind w:rightChars="-375" w:right="-900"/>
        <w:rPr>
          <w:color w:val="000000"/>
          <w:szCs w:val="24"/>
        </w:rPr>
      </w:pPr>
      <w:r w:rsidRPr="00E161EA">
        <w:rPr>
          <w:color w:val="000000"/>
          <w:szCs w:val="24"/>
        </w:rPr>
        <w:tab/>
      </w:r>
    </w:p>
    <w:p w:rsidR="00815487" w:rsidRPr="00E07F27" w:rsidRDefault="00A440DE" w:rsidP="006030B1">
      <w:pPr>
        <w:ind w:rightChars="-375" w:right="-900"/>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D63C3C">
        <w:rPr>
          <w:rFonts w:cs="Arial"/>
          <w:szCs w:val="24"/>
        </w:rPr>
        <w:t>DTaP/IPV/Hib Booster</w:t>
      </w:r>
      <w:r w:rsidR="00A564C2" w:rsidRPr="00381BA0">
        <w:rPr>
          <w:rFonts w:cs="Arial"/>
          <w:szCs w:val="24"/>
        </w:rPr>
        <w:t xml:space="preserve"> PGD</w:t>
      </w:r>
    </w:p>
    <w:p w:rsidR="00A564C2" w:rsidRPr="004B251B" w:rsidRDefault="00815487" w:rsidP="00E161EA">
      <w:pPr>
        <w:spacing w:line="320" w:lineRule="exact"/>
        <w:ind w:rightChars="-375" w:right="-900"/>
        <w:rPr>
          <w:rFonts w:cs="Arial"/>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D21F87">
        <w:rPr>
          <w:rFonts w:cs="Arial"/>
          <w:szCs w:val="24"/>
        </w:rPr>
        <w:t>v01</w:t>
      </w:r>
      <w:r w:rsidR="00A564C2" w:rsidRPr="00381BA0">
        <w:rPr>
          <w:rFonts w:cs="Arial"/>
          <w:szCs w:val="24"/>
        </w:rPr>
        <w:t>.0</w:t>
      </w:r>
      <w:r w:rsidR="00D21F87">
        <w:rPr>
          <w:rFonts w:cs="Arial"/>
          <w:szCs w:val="24"/>
        </w:rPr>
        <w:t>0</w:t>
      </w:r>
    </w:p>
    <w:p w:rsidR="00815487" w:rsidRPr="004B251B" w:rsidRDefault="00815487" w:rsidP="00E161EA">
      <w:pPr>
        <w:spacing w:line="320" w:lineRule="exact"/>
        <w:ind w:rightChars="-375" w:right="-900"/>
        <w:rPr>
          <w:rFonts w:cs="Arial"/>
          <w:szCs w:val="24"/>
        </w:rPr>
      </w:pPr>
      <w:r w:rsidRPr="004B251B">
        <w:rPr>
          <w:rFonts w:cs="Arial"/>
          <w:szCs w:val="24"/>
        </w:rPr>
        <w:t>Valid from:</w:t>
      </w:r>
      <w:r w:rsidRPr="004B251B">
        <w:rPr>
          <w:rFonts w:cs="Arial"/>
          <w:szCs w:val="24"/>
        </w:rPr>
        <w:tab/>
      </w:r>
      <w:r w:rsidRPr="004B251B">
        <w:rPr>
          <w:rFonts w:cs="Arial"/>
          <w:szCs w:val="24"/>
        </w:rPr>
        <w:tab/>
      </w:r>
      <w:r w:rsidR="00D21F87">
        <w:rPr>
          <w:rFonts w:cs="Arial"/>
          <w:szCs w:val="24"/>
        </w:rPr>
        <w:t xml:space="preserve">12 September </w:t>
      </w:r>
      <w:r w:rsidR="004B251B" w:rsidRPr="004B251B">
        <w:rPr>
          <w:rFonts w:cs="Arial"/>
          <w:szCs w:val="24"/>
        </w:rPr>
        <w:t>2017</w:t>
      </w:r>
    </w:p>
    <w:p w:rsidR="00815487" w:rsidRPr="004B251B" w:rsidRDefault="00815487" w:rsidP="00E161EA">
      <w:pPr>
        <w:spacing w:line="320" w:lineRule="exact"/>
        <w:ind w:rightChars="-375" w:right="-900"/>
        <w:rPr>
          <w:rFonts w:cs="Arial"/>
          <w:szCs w:val="24"/>
        </w:rPr>
      </w:pPr>
      <w:r w:rsidRPr="004B251B">
        <w:rPr>
          <w:rFonts w:cs="Arial"/>
          <w:szCs w:val="24"/>
        </w:rPr>
        <w:t>Review date:</w:t>
      </w:r>
      <w:r w:rsidRPr="004B251B">
        <w:rPr>
          <w:rFonts w:cs="Arial"/>
          <w:szCs w:val="24"/>
        </w:rPr>
        <w:tab/>
      </w:r>
      <w:r w:rsidRPr="004B251B">
        <w:rPr>
          <w:rFonts w:cs="Arial"/>
          <w:szCs w:val="24"/>
        </w:rPr>
        <w:tab/>
      </w:r>
      <w:r w:rsidR="004B251B" w:rsidRPr="004B251B">
        <w:rPr>
          <w:rFonts w:cs="Arial"/>
          <w:szCs w:val="24"/>
        </w:rPr>
        <w:t xml:space="preserve">01 </w:t>
      </w:r>
      <w:r w:rsidR="00D21F87">
        <w:rPr>
          <w:rFonts w:cs="Arial"/>
          <w:szCs w:val="24"/>
        </w:rPr>
        <w:t>March</w:t>
      </w:r>
      <w:r w:rsidR="00796949">
        <w:rPr>
          <w:rFonts w:cs="Arial"/>
          <w:szCs w:val="24"/>
        </w:rPr>
        <w:t xml:space="preserve"> 2019</w:t>
      </w:r>
    </w:p>
    <w:p w:rsidR="00815487" w:rsidRPr="004B251B" w:rsidRDefault="00815487" w:rsidP="00E161EA">
      <w:pPr>
        <w:spacing w:line="320" w:lineRule="exact"/>
        <w:ind w:rightChars="-375" w:right="-900"/>
        <w:rPr>
          <w:rFonts w:cs="Arial"/>
          <w:szCs w:val="24"/>
        </w:rPr>
      </w:pPr>
      <w:r w:rsidRPr="004B251B">
        <w:rPr>
          <w:rFonts w:cs="Arial"/>
          <w:szCs w:val="24"/>
        </w:rPr>
        <w:t>Expiry date:</w:t>
      </w:r>
      <w:r w:rsidRPr="004B251B">
        <w:rPr>
          <w:rFonts w:cs="Arial"/>
          <w:szCs w:val="24"/>
        </w:rPr>
        <w:tab/>
      </w:r>
      <w:r w:rsidRPr="004B251B">
        <w:rPr>
          <w:rFonts w:cs="Arial"/>
          <w:szCs w:val="24"/>
        </w:rPr>
        <w:tab/>
      </w:r>
      <w:r w:rsidR="00D63C3C">
        <w:rPr>
          <w:rFonts w:cs="Arial"/>
          <w:szCs w:val="24"/>
        </w:rPr>
        <w:t>31</w:t>
      </w:r>
      <w:r w:rsidR="00E07F27" w:rsidRPr="004B251B">
        <w:rPr>
          <w:rFonts w:cs="Arial"/>
          <w:szCs w:val="24"/>
        </w:rPr>
        <w:t xml:space="preserve"> </w:t>
      </w:r>
      <w:r w:rsidR="00D21F87">
        <w:rPr>
          <w:rFonts w:cs="Arial"/>
          <w:szCs w:val="24"/>
        </w:rPr>
        <w:t xml:space="preserve">August </w:t>
      </w:r>
      <w:r w:rsidR="00A564C2" w:rsidRPr="004B251B">
        <w:rPr>
          <w:rFonts w:cs="Arial"/>
          <w:szCs w:val="24"/>
        </w:rPr>
        <w:t>201</w:t>
      </w:r>
      <w:r w:rsidR="00D4372E">
        <w:rPr>
          <w:rFonts w:cs="Arial"/>
          <w:szCs w:val="24"/>
        </w:rPr>
        <w:t>9</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immunisations in </w:t>
      </w:r>
      <w:r w:rsidR="0051753E" w:rsidRPr="0051753E">
        <w:rPr>
          <w:b/>
          <w:bCs/>
        </w:rPr>
        <w:t xml:space="preserve">the NHS </w:t>
      </w:r>
      <w:r w:rsidR="0051753E">
        <w:rPr>
          <w:b/>
          <w:bCs/>
        </w:rPr>
        <w:t xml:space="preserve">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 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section 3 ‘Characteristics of staff’. Only sections 2 and 7 can be amende</w:t>
      </w:r>
      <w:r w:rsidR="003260D6">
        <w:t>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0C0B13"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0C0B13"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D63C3C" w:rsidRPr="0000799E" w:rsidRDefault="00E07F27" w:rsidP="00D63C3C">
            <w:pPr>
              <w:pStyle w:val="Tabletext"/>
              <w:spacing w:before="120"/>
            </w:pPr>
            <w:r>
              <w:t xml:space="preserve">New </w:t>
            </w:r>
            <w:r w:rsidR="00D63C3C">
              <w:t>DTaP/IPV/Hib Booster</w:t>
            </w:r>
            <w:r>
              <w:t xml:space="preserve"> PHE PGD Template</w:t>
            </w:r>
            <w:r w:rsidR="00D63C3C">
              <w:t xml:space="preserve"> to allow for reallocation of DTaP/IPV/Hib vaccine stocks to be used for pre-school boosters following the introduction of </w:t>
            </w:r>
            <w:r w:rsidR="00F43926">
              <w:t xml:space="preserve">hexavalent vaccine (DTaP/IPV/Hib/HepB) </w:t>
            </w:r>
            <w:r w:rsidR="00D63C3C">
              <w:t>into the routine infant immunisation programme</w:t>
            </w:r>
            <w:r w:rsidR="00C131F3">
              <w:t>.</w:t>
            </w:r>
          </w:p>
        </w:tc>
        <w:tc>
          <w:tcPr>
            <w:tcW w:w="917" w:type="pct"/>
            <w:tcBorders>
              <w:top w:val="single" w:sz="4" w:space="0" w:color="auto"/>
              <w:left w:val="single" w:sz="4" w:space="0" w:color="auto"/>
              <w:bottom w:val="single" w:sz="4" w:space="0" w:color="auto"/>
              <w:right w:val="single" w:sz="4" w:space="0" w:color="auto"/>
            </w:tcBorders>
          </w:tcPr>
          <w:p w:rsidR="00E07F27" w:rsidRPr="007A1448" w:rsidRDefault="000D78CC" w:rsidP="00913D3F">
            <w:pPr>
              <w:pStyle w:val="Tabletext"/>
              <w:spacing w:before="120"/>
            </w:pPr>
            <w:r>
              <w:t>30</w:t>
            </w:r>
            <w:r w:rsidR="0052582D">
              <w:t xml:space="preserve"> June</w:t>
            </w:r>
            <w:r w:rsidR="00D63C3C">
              <w:t xml:space="preserve"> 2017</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3402"/>
        <w:gridCol w:w="2126"/>
        <w:gridCol w:w="1985"/>
      </w:tblGrid>
      <w:tr w:rsidR="00B32ECD" w:rsidRPr="0036347F" w:rsidTr="00F43926">
        <w:trPr>
          <w:trHeight w:val="549"/>
        </w:trPr>
        <w:tc>
          <w:tcPr>
            <w:tcW w:w="2410" w:type="dxa"/>
            <w:shd w:val="clear" w:color="auto" w:fill="F2F2F2" w:themeFill="background1" w:themeFillShade="F2"/>
            <w:vAlign w:val="center"/>
          </w:tcPr>
          <w:p w:rsidR="00B32ECD" w:rsidRPr="00D21F87" w:rsidRDefault="00B32ECD" w:rsidP="009D13A5">
            <w:pPr>
              <w:rPr>
                <w:rFonts w:cs="Arial"/>
                <w:color w:val="FF0000"/>
                <w:sz w:val="22"/>
                <w:szCs w:val="22"/>
              </w:rPr>
            </w:pPr>
            <w:r w:rsidRPr="00D21F87">
              <w:rPr>
                <w:rFonts w:cs="Arial"/>
                <w:b/>
                <w:sz w:val="22"/>
                <w:szCs w:val="22"/>
              </w:rPr>
              <w:t>Developed by:</w:t>
            </w:r>
          </w:p>
        </w:tc>
        <w:tc>
          <w:tcPr>
            <w:tcW w:w="3402" w:type="dxa"/>
            <w:shd w:val="clear" w:color="auto" w:fill="F2F2F2" w:themeFill="background1" w:themeFillShade="F2"/>
            <w:vAlign w:val="center"/>
          </w:tcPr>
          <w:p w:rsidR="00B32ECD" w:rsidRPr="00D21F87" w:rsidRDefault="00B32ECD" w:rsidP="009D13A5">
            <w:pPr>
              <w:rPr>
                <w:rFonts w:cs="Arial"/>
                <w:b/>
                <w:sz w:val="22"/>
                <w:szCs w:val="22"/>
              </w:rPr>
            </w:pPr>
            <w:r w:rsidRPr="00D21F87">
              <w:rPr>
                <w:rFonts w:cs="Arial"/>
                <w:b/>
                <w:sz w:val="22"/>
                <w:szCs w:val="22"/>
              </w:rPr>
              <w:t>Name</w:t>
            </w:r>
          </w:p>
        </w:tc>
        <w:tc>
          <w:tcPr>
            <w:tcW w:w="2126" w:type="dxa"/>
            <w:shd w:val="clear" w:color="auto" w:fill="F2F2F2" w:themeFill="background1" w:themeFillShade="F2"/>
            <w:vAlign w:val="center"/>
          </w:tcPr>
          <w:p w:rsidR="00B32ECD" w:rsidRPr="00D21F87" w:rsidRDefault="00B32ECD" w:rsidP="009D13A5">
            <w:pPr>
              <w:rPr>
                <w:rFonts w:cs="Arial"/>
                <w:b/>
                <w:sz w:val="22"/>
                <w:szCs w:val="22"/>
              </w:rPr>
            </w:pPr>
            <w:r w:rsidRPr="00D21F87">
              <w:rPr>
                <w:rFonts w:cs="Arial"/>
                <w:b/>
                <w:sz w:val="22"/>
                <w:szCs w:val="22"/>
              </w:rPr>
              <w:t>Signature</w:t>
            </w:r>
          </w:p>
        </w:tc>
        <w:tc>
          <w:tcPr>
            <w:tcW w:w="1985" w:type="dxa"/>
            <w:shd w:val="clear" w:color="auto" w:fill="F2F2F2" w:themeFill="background1" w:themeFillShade="F2"/>
            <w:vAlign w:val="center"/>
          </w:tcPr>
          <w:p w:rsidR="00B32ECD" w:rsidRPr="00D21F87" w:rsidRDefault="00B32ECD" w:rsidP="009D13A5">
            <w:pPr>
              <w:rPr>
                <w:rFonts w:cs="Arial"/>
                <w:b/>
                <w:sz w:val="22"/>
                <w:szCs w:val="22"/>
              </w:rPr>
            </w:pPr>
            <w:r w:rsidRPr="00D21F87">
              <w:rPr>
                <w:rFonts w:cs="Arial"/>
                <w:b/>
                <w:sz w:val="22"/>
                <w:szCs w:val="22"/>
              </w:rPr>
              <w:t>Date</w:t>
            </w:r>
          </w:p>
        </w:tc>
      </w:tr>
      <w:tr w:rsidR="008E4B0C" w:rsidRPr="0036347F" w:rsidTr="00F43926">
        <w:trPr>
          <w:trHeight w:val="720"/>
        </w:trPr>
        <w:tc>
          <w:tcPr>
            <w:tcW w:w="2410" w:type="dxa"/>
          </w:tcPr>
          <w:p w:rsidR="008E4B0C" w:rsidRPr="00D21F87" w:rsidRDefault="008E4B0C" w:rsidP="009D13A5">
            <w:pPr>
              <w:pStyle w:val="Heading6"/>
              <w:spacing w:before="0" w:after="0"/>
              <w:jc w:val="left"/>
              <w:rPr>
                <w:rFonts w:ascii="Arial" w:hAnsi="Arial" w:cs="Arial"/>
                <w:i w:val="0"/>
                <w:sz w:val="22"/>
                <w:szCs w:val="22"/>
              </w:rPr>
            </w:pPr>
          </w:p>
          <w:p w:rsidR="008E4B0C" w:rsidRPr="00D21F87" w:rsidRDefault="008E4B0C" w:rsidP="009D13A5">
            <w:pPr>
              <w:pStyle w:val="Heading6"/>
              <w:spacing w:before="0" w:after="0"/>
              <w:jc w:val="left"/>
              <w:rPr>
                <w:rFonts w:ascii="Arial" w:hAnsi="Arial" w:cs="Arial"/>
                <w:i w:val="0"/>
                <w:sz w:val="22"/>
                <w:szCs w:val="22"/>
              </w:rPr>
            </w:pPr>
            <w:r w:rsidRPr="00D21F87">
              <w:rPr>
                <w:rFonts w:ascii="Arial" w:hAnsi="Arial" w:cs="Arial"/>
                <w:i w:val="0"/>
                <w:sz w:val="22"/>
                <w:szCs w:val="22"/>
              </w:rPr>
              <w:t>Pharmacist</w:t>
            </w:r>
          </w:p>
          <w:p w:rsidR="008E4B0C" w:rsidRPr="00D21F87" w:rsidRDefault="008E4B0C" w:rsidP="009D13A5">
            <w:pPr>
              <w:rPr>
                <w:rFonts w:cs="Arial"/>
                <w:sz w:val="22"/>
                <w:szCs w:val="22"/>
              </w:rPr>
            </w:pPr>
            <w:r w:rsidRPr="00D21F87">
              <w:rPr>
                <w:rFonts w:cs="Arial"/>
                <w:sz w:val="22"/>
                <w:szCs w:val="22"/>
              </w:rPr>
              <w:t>(Lead Author)</w:t>
            </w:r>
          </w:p>
        </w:tc>
        <w:tc>
          <w:tcPr>
            <w:tcW w:w="3402" w:type="dxa"/>
            <w:shd w:val="clear" w:color="auto" w:fill="auto"/>
            <w:vAlign w:val="center"/>
          </w:tcPr>
          <w:p w:rsidR="008E4B0C" w:rsidRPr="00D21F87" w:rsidRDefault="008E4B0C" w:rsidP="00A9535E">
            <w:pPr>
              <w:rPr>
                <w:rFonts w:cs="Arial"/>
                <w:sz w:val="22"/>
                <w:szCs w:val="22"/>
              </w:rPr>
            </w:pPr>
            <w:r w:rsidRPr="00D21F87">
              <w:rPr>
                <w:rFonts w:cs="Arial"/>
                <w:sz w:val="22"/>
                <w:szCs w:val="22"/>
              </w:rPr>
              <w:t>Elizabeth Graham</w:t>
            </w:r>
          </w:p>
          <w:p w:rsidR="008E4B0C" w:rsidRPr="00A22165" w:rsidRDefault="008E4B0C" w:rsidP="009D13A5">
            <w:pPr>
              <w:rPr>
                <w:rFonts w:cs="Arial"/>
                <w:sz w:val="18"/>
                <w:szCs w:val="18"/>
              </w:rPr>
            </w:pPr>
            <w:r w:rsidRPr="00A22165">
              <w:rPr>
                <w:rFonts w:cs="Arial"/>
                <w:sz w:val="18"/>
                <w:szCs w:val="18"/>
              </w:rPr>
              <w:t>Lead Pharmacist Immunisation Services, PHE</w:t>
            </w:r>
          </w:p>
        </w:tc>
        <w:tc>
          <w:tcPr>
            <w:tcW w:w="2126" w:type="dxa"/>
          </w:tcPr>
          <w:p w:rsidR="008E4B0C" w:rsidRPr="0036347F" w:rsidRDefault="008E4B0C" w:rsidP="00285A34">
            <w:pPr>
              <w:ind w:left="-108"/>
              <w:rPr>
                <w:rFonts w:cs="Arial"/>
                <w:i/>
                <w:color w:val="FF0000"/>
                <w:sz w:val="22"/>
                <w:szCs w:val="22"/>
              </w:rPr>
            </w:pPr>
            <w:r>
              <w:rPr>
                <w:noProof/>
              </w:rPr>
              <w:drawing>
                <wp:anchor distT="0" distB="0" distL="114300" distR="114300" simplePos="0" relativeHeight="251662336" behindDoc="1" locked="0" layoutInCell="1" allowOverlap="1" wp14:anchorId="492C8BF5" wp14:editId="4D02061A">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8E4B0C" w:rsidRPr="0036347F" w:rsidRDefault="008E4B0C" w:rsidP="00285A34">
            <w:pPr>
              <w:rPr>
                <w:rFonts w:cs="Arial"/>
              </w:rPr>
            </w:pPr>
            <w:r>
              <w:rPr>
                <w:rFonts w:cs="Arial"/>
              </w:rPr>
              <w:t>03/07/2017</w:t>
            </w:r>
          </w:p>
        </w:tc>
      </w:tr>
      <w:tr w:rsidR="008E4B0C" w:rsidRPr="0036347F" w:rsidTr="00F43926">
        <w:trPr>
          <w:trHeight w:val="621"/>
        </w:trPr>
        <w:tc>
          <w:tcPr>
            <w:tcW w:w="2410" w:type="dxa"/>
          </w:tcPr>
          <w:p w:rsidR="008E4B0C" w:rsidRPr="00D21F87" w:rsidRDefault="008E4B0C" w:rsidP="009D13A5">
            <w:pPr>
              <w:pStyle w:val="Heading5"/>
              <w:spacing w:before="0" w:after="0"/>
              <w:rPr>
                <w:rFonts w:ascii="Arial" w:hAnsi="Arial" w:cs="Arial"/>
                <w:i w:val="0"/>
                <w:sz w:val="22"/>
                <w:szCs w:val="22"/>
              </w:rPr>
            </w:pPr>
          </w:p>
          <w:p w:rsidR="008E4B0C" w:rsidRPr="00D21F87" w:rsidRDefault="008E4B0C" w:rsidP="009D13A5">
            <w:pPr>
              <w:pStyle w:val="Heading5"/>
              <w:spacing w:before="0" w:after="0"/>
              <w:rPr>
                <w:rFonts w:ascii="Arial" w:hAnsi="Arial" w:cs="Arial"/>
                <w:i w:val="0"/>
                <w:sz w:val="22"/>
                <w:szCs w:val="22"/>
              </w:rPr>
            </w:pPr>
            <w:r w:rsidRPr="00D21F87">
              <w:rPr>
                <w:rFonts w:ascii="Arial" w:hAnsi="Arial" w:cs="Arial"/>
                <w:i w:val="0"/>
                <w:sz w:val="22"/>
                <w:szCs w:val="22"/>
              </w:rPr>
              <w:t>Doctor</w:t>
            </w:r>
          </w:p>
          <w:p w:rsidR="008E4B0C" w:rsidRPr="00D21F87" w:rsidRDefault="008E4B0C" w:rsidP="009D13A5">
            <w:pPr>
              <w:rPr>
                <w:rFonts w:cs="Arial"/>
                <w:sz w:val="22"/>
                <w:szCs w:val="22"/>
              </w:rPr>
            </w:pPr>
          </w:p>
        </w:tc>
        <w:tc>
          <w:tcPr>
            <w:tcW w:w="3402" w:type="dxa"/>
            <w:vAlign w:val="center"/>
          </w:tcPr>
          <w:p w:rsidR="008E4B0C" w:rsidRPr="00D21F87" w:rsidRDefault="008E4B0C" w:rsidP="00A9535E">
            <w:pPr>
              <w:rPr>
                <w:rFonts w:cs="Arial"/>
                <w:sz w:val="22"/>
                <w:szCs w:val="22"/>
              </w:rPr>
            </w:pPr>
            <w:r w:rsidRPr="00D21F87">
              <w:rPr>
                <w:rFonts w:cs="Arial"/>
                <w:sz w:val="22"/>
                <w:szCs w:val="22"/>
              </w:rPr>
              <w:t>Mary Ramsay</w:t>
            </w:r>
          </w:p>
          <w:p w:rsidR="008E4B0C" w:rsidRPr="00A22165" w:rsidRDefault="008E4B0C"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8E4B0C" w:rsidRPr="0036347F" w:rsidRDefault="008E4B0C" w:rsidP="00285A34">
            <w:pPr>
              <w:rPr>
                <w:rFonts w:cs="Arial"/>
                <w:i/>
                <w:color w:val="FF0000"/>
                <w:sz w:val="22"/>
                <w:szCs w:val="22"/>
              </w:rPr>
            </w:pPr>
            <w:r>
              <w:rPr>
                <w:rFonts w:ascii="Calibri" w:hAnsi="Calibri"/>
                <w:noProof/>
                <w:color w:val="1F497D"/>
              </w:rPr>
              <w:drawing>
                <wp:anchor distT="0" distB="0" distL="114300" distR="114300" simplePos="0" relativeHeight="251663360" behindDoc="1" locked="0" layoutInCell="1" allowOverlap="1" wp14:anchorId="75DF9075" wp14:editId="1CB5C813">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8E4B0C" w:rsidRPr="0036347F" w:rsidRDefault="008E4B0C" w:rsidP="00285A34">
            <w:pPr>
              <w:rPr>
                <w:rFonts w:cs="Arial"/>
              </w:rPr>
            </w:pPr>
            <w:r>
              <w:rPr>
                <w:rFonts w:cs="Arial"/>
              </w:rPr>
              <w:t>30/06/2017</w:t>
            </w:r>
          </w:p>
        </w:tc>
      </w:tr>
      <w:tr w:rsidR="008E4B0C" w:rsidRPr="0036347F" w:rsidTr="00F43926">
        <w:trPr>
          <w:trHeight w:val="621"/>
        </w:trPr>
        <w:tc>
          <w:tcPr>
            <w:tcW w:w="2410" w:type="dxa"/>
          </w:tcPr>
          <w:p w:rsidR="008E4B0C" w:rsidRPr="00D21F87" w:rsidRDefault="008E4B0C" w:rsidP="009D13A5">
            <w:pPr>
              <w:pStyle w:val="Heading5"/>
              <w:spacing w:before="0" w:after="0"/>
              <w:rPr>
                <w:rFonts w:ascii="Arial" w:hAnsi="Arial" w:cs="Arial"/>
                <w:i w:val="0"/>
                <w:color w:val="FF0000"/>
                <w:sz w:val="22"/>
                <w:szCs w:val="22"/>
              </w:rPr>
            </w:pPr>
          </w:p>
          <w:p w:rsidR="008E4B0C" w:rsidRPr="00D21F87" w:rsidRDefault="008E4B0C" w:rsidP="009D13A5">
            <w:pPr>
              <w:pStyle w:val="Heading5"/>
              <w:spacing w:before="0" w:after="0"/>
              <w:rPr>
                <w:rFonts w:ascii="Arial" w:hAnsi="Arial" w:cs="Arial"/>
                <w:i w:val="0"/>
                <w:sz w:val="22"/>
                <w:szCs w:val="22"/>
              </w:rPr>
            </w:pPr>
            <w:r w:rsidRPr="00D21F87">
              <w:rPr>
                <w:rFonts w:ascii="Arial" w:hAnsi="Arial" w:cs="Arial"/>
                <w:i w:val="0"/>
                <w:sz w:val="22"/>
                <w:szCs w:val="22"/>
              </w:rPr>
              <w:t>Registered Nurse</w:t>
            </w:r>
          </w:p>
          <w:p w:rsidR="008E4B0C" w:rsidRPr="00D21F87" w:rsidRDefault="008E4B0C" w:rsidP="009D13A5">
            <w:pPr>
              <w:rPr>
                <w:rFonts w:cs="Arial"/>
                <w:sz w:val="22"/>
                <w:szCs w:val="22"/>
              </w:rPr>
            </w:pPr>
            <w:r w:rsidRPr="00D21F87">
              <w:rPr>
                <w:rFonts w:cs="Arial"/>
                <w:sz w:val="22"/>
                <w:szCs w:val="22"/>
              </w:rPr>
              <w:t>(Expert Panel Chair)</w:t>
            </w:r>
          </w:p>
        </w:tc>
        <w:tc>
          <w:tcPr>
            <w:tcW w:w="3402" w:type="dxa"/>
            <w:vAlign w:val="center"/>
          </w:tcPr>
          <w:p w:rsidR="008E4B0C" w:rsidRPr="00D21F87" w:rsidRDefault="008E4B0C" w:rsidP="00A9535E">
            <w:pPr>
              <w:rPr>
                <w:rFonts w:cs="Arial"/>
                <w:sz w:val="22"/>
                <w:szCs w:val="22"/>
              </w:rPr>
            </w:pPr>
            <w:r w:rsidRPr="00D21F87">
              <w:rPr>
                <w:rFonts w:cs="Arial"/>
                <w:sz w:val="22"/>
                <w:szCs w:val="22"/>
              </w:rPr>
              <w:t>David Green</w:t>
            </w:r>
          </w:p>
          <w:p w:rsidR="008E4B0C" w:rsidRPr="00A22165" w:rsidRDefault="008E4B0C"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8E4B0C" w:rsidRPr="0036347F" w:rsidRDefault="008E4B0C" w:rsidP="00285A34">
            <w:pPr>
              <w:ind w:left="-108"/>
              <w:rPr>
                <w:rFonts w:cs="Arial"/>
                <w:i/>
                <w:color w:val="FF0000"/>
                <w:sz w:val="22"/>
                <w:szCs w:val="22"/>
              </w:rPr>
            </w:pPr>
            <w:r>
              <w:rPr>
                <w:rFonts w:cs="Arial"/>
                <w:noProof/>
                <w:sz w:val="20"/>
              </w:rPr>
              <w:drawing>
                <wp:anchor distT="0" distB="0" distL="114300" distR="114300" simplePos="0" relativeHeight="251664384" behindDoc="1" locked="0" layoutInCell="1" allowOverlap="1" wp14:anchorId="224FBC04" wp14:editId="67EC99C0">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8E4B0C" w:rsidRPr="0036347F" w:rsidRDefault="008E4B0C" w:rsidP="00285A34">
            <w:pPr>
              <w:rPr>
                <w:rFonts w:cs="Arial"/>
              </w:rPr>
            </w:pPr>
            <w:r>
              <w:rPr>
                <w:rFonts w:cs="Arial"/>
              </w:rPr>
              <w:t>03/07/2017</w:t>
            </w:r>
          </w:p>
        </w:tc>
      </w:tr>
    </w:tbl>
    <w:p w:rsidR="00BC6F32" w:rsidRDefault="00BC6F32" w:rsidP="00BC6F32">
      <w:pPr>
        <w:rPr>
          <w:rFonts w:cs="Arial"/>
          <w:i/>
          <w:sz w:val="16"/>
          <w:szCs w:val="16"/>
        </w:rPr>
      </w:pPr>
    </w:p>
    <w:p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D21F87">
        <w:rPr>
          <w:rFonts w:cs="Arial"/>
          <w:szCs w:val="24"/>
        </w:rPr>
        <w:t xml:space="preserve">the </w:t>
      </w:r>
      <w:r w:rsidRPr="00E161EA">
        <w:rPr>
          <w:rFonts w:cs="Arial"/>
          <w:szCs w:val="24"/>
        </w:rPr>
        <w:t xml:space="preserve">PHE Medicines Management Group and </w:t>
      </w:r>
      <w:r w:rsidR="00D21F87">
        <w:rPr>
          <w:rFonts w:cs="Arial"/>
          <w:szCs w:val="24"/>
        </w:rPr>
        <w:t xml:space="preserve">the </w:t>
      </w:r>
      <w:r w:rsidR="009A2DE4" w:rsidRPr="009A2DE4">
        <w:rPr>
          <w:rFonts w:cs="Arial"/>
          <w:szCs w:val="24"/>
        </w:rPr>
        <w:t>PHE Quality and Clinical Governance Steering Group</w:t>
      </w:r>
      <w:r w:rsidRPr="00E161EA">
        <w:rPr>
          <w:rFonts w:cs="Arial"/>
          <w:szCs w:val="24"/>
        </w:rPr>
        <w:t>.</w:t>
      </w:r>
    </w:p>
    <w:p w:rsidR="00BC6F32" w:rsidRPr="00E161EA" w:rsidRDefault="00BC6F32" w:rsidP="00BC6F32">
      <w:pPr>
        <w:rPr>
          <w:szCs w:val="24"/>
        </w:rPr>
      </w:pPr>
    </w:p>
    <w:p w:rsidR="00BC6F32" w:rsidRPr="00E161EA" w:rsidRDefault="00FC1218" w:rsidP="00BC6F32">
      <w:pPr>
        <w:spacing w:line="276" w:lineRule="auto"/>
        <w:rPr>
          <w:rFonts w:cs="Arial"/>
          <w:b/>
          <w:szCs w:val="24"/>
        </w:rPr>
      </w:pPr>
      <w:r>
        <w:rPr>
          <w:rFonts w:cs="Arial"/>
          <w:b/>
          <w:szCs w:val="24"/>
        </w:rPr>
        <w:t>Expert Panel</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BC6F32" w:rsidRPr="009E0FB8" w:rsidTr="00F43926">
        <w:trPr>
          <w:trHeight w:val="254"/>
        </w:trPr>
        <w:tc>
          <w:tcPr>
            <w:tcW w:w="2410" w:type="dxa"/>
            <w:vAlign w:val="center"/>
          </w:tcPr>
          <w:p w:rsidR="00BC6F32" w:rsidRPr="00D21F87" w:rsidRDefault="00BC6F32" w:rsidP="009E0FB8">
            <w:pPr>
              <w:rPr>
                <w:rFonts w:cs="Arial"/>
                <w:b/>
                <w:sz w:val="22"/>
                <w:szCs w:val="22"/>
              </w:rPr>
            </w:pPr>
            <w:r w:rsidRPr="00D21F87">
              <w:rPr>
                <w:rFonts w:cs="Arial"/>
                <w:b/>
                <w:sz w:val="22"/>
                <w:szCs w:val="22"/>
              </w:rPr>
              <w:t>Name</w:t>
            </w:r>
          </w:p>
        </w:tc>
        <w:tc>
          <w:tcPr>
            <w:tcW w:w="7513" w:type="dxa"/>
            <w:vAlign w:val="center"/>
          </w:tcPr>
          <w:p w:rsidR="00BC6F32" w:rsidRPr="00D21F87" w:rsidRDefault="00BC6F32" w:rsidP="009E0FB8">
            <w:pPr>
              <w:rPr>
                <w:rFonts w:cs="Arial"/>
                <w:b/>
                <w:sz w:val="22"/>
                <w:szCs w:val="22"/>
              </w:rPr>
            </w:pPr>
            <w:r w:rsidRPr="00D21F87">
              <w:rPr>
                <w:rFonts w:cs="Arial"/>
                <w:b/>
                <w:sz w:val="22"/>
                <w:szCs w:val="22"/>
              </w:rPr>
              <w:t>Designation</w:t>
            </w:r>
          </w:p>
        </w:tc>
      </w:tr>
      <w:tr w:rsidR="00E07F27" w:rsidRPr="009E0FB8" w:rsidTr="00F43926">
        <w:trPr>
          <w:trHeight w:val="254"/>
        </w:trPr>
        <w:tc>
          <w:tcPr>
            <w:tcW w:w="2410" w:type="dxa"/>
            <w:vAlign w:val="center"/>
          </w:tcPr>
          <w:p w:rsidR="00E07F27" w:rsidRPr="00D21F87" w:rsidRDefault="00E07F27" w:rsidP="00E07F27">
            <w:pPr>
              <w:spacing w:before="60" w:after="60" w:line="276" w:lineRule="auto"/>
              <w:rPr>
                <w:rFonts w:cs="Arial"/>
                <w:sz w:val="22"/>
                <w:szCs w:val="22"/>
              </w:rPr>
            </w:pPr>
            <w:r w:rsidRPr="00D21F87">
              <w:rPr>
                <w:rFonts w:cs="Arial"/>
                <w:sz w:val="22"/>
                <w:szCs w:val="22"/>
              </w:rPr>
              <w:t>Shamez Ladhani</w:t>
            </w:r>
          </w:p>
        </w:tc>
        <w:tc>
          <w:tcPr>
            <w:tcW w:w="7513" w:type="dxa"/>
            <w:vAlign w:val="center"/>
          </w:tcPr>
          <w:p w:rsidR="00E07F27" w:rsidRPr="00D21F87" w:rsidRDefault="00E07F27" w:rsidP="00E07F27">
            <w:pPr>
              <w:spacing w:before="60" w:after="60"/>
              <w:rPr>
                <w:rFonts w:cs="Arial"/>
                <w:sz w:val="22"/>
                <w:szCs w:val="22"/>
              </w:rPr>
            </w:pPr>
            <w:r w:rsidRPr="00D21F87">
              <w:rPr>
                <w:rFonts w:cs="Arial"/>
                <w:sz w:val="22"/>
                <w:szCs w:val="22"/>
              </w:rPr>
              <w:t>Paediatric Infectious Disease Consultant, Public Health England</w:t>
            </w:r>
          </w:p>
        </w:tc>
      </w:tr>
      <w:tr w:rsidR="00D63C3C" w:rsidRPr="009E0FB8" w:rsidTr="00F43926">
        <w:trPr>
          <w:trHeight w:val="254"/>
        </w:trPr>
        <w:tc>
          <w:tcPr>
            <w:tcW w:w="2410" w:type="dxa"/>
            <w:vAlign w:val="center"/>
          </w:tcPr>
          <w:p w:rsidR="00D63C3C" w:rsidRPr="00D21F87" w:rsidRDefault="00D63C3C" w:rsidP="00D63C3C">
            <w:pPr>
              <w:pStyle w:val="Default"/>
              <w:spacing w:before="60" w:after="60"/>
              <w:rPr>
                <w:sz w:val="22"/>
                <w:szCs w:val="22"/>
              </w:rPr>
            </w:pPr>
            <w:r w:rsidRPr="00D21F87">
              <w:rPr>
                <w:sz w:val="22"/>
                <w:szCs w:val="22"/>
              </w:rPr>
              <w:t>Ed Gardner</w:t>
            </w:r>
          </w:p>
        </w:tc>
        <w:tc>
          <w:tcPr>
            <w:tcW w:w="7513" w:type="dxa"/>
            <w:vAlign w:val="center"/>
          </w:tcPr>
          <w:p w:rsidR="00D63C3C" w:rsidRPr="00D21F87" w:rsidRDefault="00D63C3C" w:rsidP="00D63C3C">
            <w:pPr>
              <w:pStyle w:val="Default"/>
              <w:spacing w:before="60" w:after="60"/>
              <w:rPr>
                <w:color w:val="auto"/>
                <w:sz w:val="22"/>
                <w:szCs w:val="22"/>
              </w:rPr>
            </w:pPr>
            <w:r w:rsidRPr="00D21F87">
              <w:rPr>
                <w:sz w:val="22"/>
                <w:szCs w:val="22"/>
              </w:rPr>
              <w:t>Advanced Paramedic Practitioner/Emergency Care Practitioner, Medicines Manager, Proactive Care Lead</w:t>
            </w:r>
          </w:p>
        </w:tc>
      </w:tr>
      <w:tr w:rsidR="00D63C3C" w:rsidRPr="009E0FB8" w:rsidTr="00F43926">
        <w:trPr>
          <w:trHeight w:val="254"/>
        </w:trPr>
        <w:tc>
          <w:tcPr>
            <w:tcW w:w="2410" w:type="dxa"/>
          </w:tcPr>
          <w:p w:rsidR="00D63C3C" w:rsidRPr="00D21F87" w:rsidRDefault="00D63C3C" w:rsidP="00D63C3C">
            <w:pPr>
              <w:pStyle w:val="Default"/>
              <w:spacing w:before="60" w:after="60"/>
              <w:rPr>
                <w:color w:val="auto"/>
                <w:sz w:val="22"/>
                <w:szCs w:val="22"/>
              </w:rPr>
            </w:pPr>
            <w:r w:rsidRPr="00D21F87">
              <w:rPr>
                <w:color w:val="auto"/>
                <w:sz w:val="22"/>
                <w:szCs w:val="22"/>
              </w:rPr>
              <w:t>Jacqueline Lamberty</w:t>
            </w:r>
          </w:p>
        </w:tc>
        <w:tc>
          <w:tcPr>
            <w:tcW w:w="7513" w:type="dxa"/>
          </w:tcPr>
          <w:p w:rsidR="00D63C3C" w:rsidRPr="00D21F87" w:rsidRDefault="00D63C3C" w:rsidP="00D63C3C">
            <w:pPr>
              <w:pStyle w:val="Default"/>
              <w:spacing w:before="60" w:after="60"/>
              <w:rPr>
                <w:color w:val="auto"/>
                <w:sz w:val="22"/>
                <w:szCs w:val="22"/>
              </w:rPr>
            </w:pPr>
            <w:r w:rsidRPr="00D21F87">
              <w:rPr>
                <w:rStyle w:val="st1"/>
                <w:color w:val="auto"/>
                <w:sz w:val="22"/>
                <w:szCs w:val="22"/>
              </w:rPr>
              <w:t>Lead Pharmacist Medicines Management Services, Public Health England</w:t>
            </w:r>
          </w:p>
        </w:tc>
      </w:tr>
      <w:tr w:rsidR="00D63C3C" w:rsidRPr="009E0FB8" w:rsidTr="00F43926">
        <w:trPr>
          <w:trHeight w:val="254"/>
        </w:trPr>
        <w:tc>
          <w:tcPr>
            <w:tcW w:w="2410" w:type="dxa"/>
          </w:tcPr>
          <w:p w:rsidR="00D63C3C" w:rsidRPr="00D21F87" w:rsidRDefault="00D63C3C" w:rsidP="00D63C3C">
            <w:pPr>
              <w:pStyle w:val="Default"/>
              <w:spacing w:before="60" w:after="60"/>
              <w:rPr>
                <w:color w:val="auto"/>
                <w:sz w:val="22"/>
                <w:szCs w:val="22"/>
              </w:rPr>
            </w:pPr>
            <w:r w:rsidRPr="00D21F87">
              <w:rPr>
                <w:color w:val="auto"/>
                <w:sz w:val="22"/>
                <w:szCs w:val="22"/>
              </w:rPr>
              <w:t>Vanessa MacGregor</w:t>
            </w:r>
          </w:p>
        </w:tc>
        <w:tc>
          <w:tcPr>
            <w:tcW w:w="7513" w:type="dxa"/>
          </w:tcPr>
          <w:p w:rsidR="00D63C3C" w:rsidRPr="00D21F87" w:rsidRDefault="00D63C3C" w:rsidP="00D63C3C">
            <w:pPr>
              <w:pStyle w:val="Default"/>
              <w:spacing w:before="60" w:after="60"/>
              <w:rPr>
                <w:color w:val="auto"/>
                <w:sz w:val="22"/>
                <w:szCs w:val="22"/>
              </w:rPr>
            </w:pPr>
            <w:r w:rsidRPr="00D21F87">
              <w:rPr>
                <w:rStyle w:val="st1"/>
                <w:sz w:val="22"/>
                <w:szCs w:val="22"/>
                <w:lang w:eastAsia="en-US"/>
              </w:rPr>
              <w:t>Consultant in Communicable Disease Control, Public Health England, East Midlands Health Protection Team</w:t>
            </w:r>
          </w:p>
        </w:tc>
      </w:tr>
      <w:tr w:rsidR="00D63C3C" w:rsidRPr="009E0FB8" w:rsidTr="00F43926">
        <w:trPr>
          <w:trHeight w:val="267"/>
        </w:trPr>
        <w:tc>
          <w:tcPr>
            <w:tcW w:w="2410" w:type="dxa"/>
          </w:tcPr>
          <w:p w:rsidR="00D63C3C" w:rsidRPr="00D21F87" w:rsidRDefault="00D63C3C" w:rsidP="00D63C3C">
            <w:pPr>
              <w:pStyle w:val="Default"/>
              <w:spacing w:before="60" w:after="60"/>
              <w:rPr>
                <w:color w:val="auto"/>
                <w:sz w:val="22"/>
                <w:szCs w:val="22"/>
              </w:rPr>
            </w:pPr>
            <w:r w:rsidRPr="00D21F87">
              <w:rPr>
                <w:color w:val="auto"/>
                <w:sz w:val="22"/>
                <w:szCs w:val="22"/>
              </w:rPr>
              <w:t>Alison Mackenzie</w:t>
            </w:r>
          </w:p>
        </w:tc>
        <w:tc>
          <w:tcPr>
            <w:tcW w:w="7513" w:type="dxa"/>
          </w:tcPr>
          <w:p w:rsidR="00D63C3C" w:rsidRPr="00D21F87" w:rsidRDefault="00D63C3C" w:rsidP="00D63C3C">
            <w:pPr>
              <w:spacing w:before="60" w:after="60"/>
              <w:rPr>
                <w:rFonts w:cs="Arial"/>
                <w:bCs/>
                <w:sz w:val="22"/>
                <w:szCs w:val="22"/>
              </w:rPr>
            </w:pPr>
            <w:r w:rsidRPr="00D21F87">
              <w:rPr>
                <w:rStyle w:val="st1"/>
                <w:sz w:val="22"/>
                <w:szCs w:val="22"/>
                <w:lang w:eastAsia="en-US"/>
              </w:rPr>
              <w:t>Consultant in Public Health Medicine, Screening and Immunisation Lead, Public Health England / NHS England South (South West)</w:t>
            </w:r>
          </w:p>
        </w:tc>
      </w:tr>
      <w:tr w:rsidR="00D63C3C" w:rsidRPr="009E0FB8" w:rsidTr="00F43926">
        <w:trPr>
          <w:trHeight w:val="267"/>
        </w:trPr>
        <w:tc>
          <w:tcPr>
            <w:tcW w:w="2410" w:type="dxa"/>
            <w:vAlign w:val="center"/>
          </w:tcPr>
          <w:p w:rsidR="00D63C3C" w:rsidRPr="00D21F87" w:rsidRDefault="00D63C3C" w:rsidP="00D63C3C">
            <w:pPr>
              <w:pStyle w:val="Default"/>
              <w:spacing w:before="60" w:after="60"/>
              <w:rPr>
                <w:color w:val="auto"/>
                <w:sz w:val="22"/>
                <w:szCs w:val="22"/>
              </w:rPr>
            </w:pPr>
            <w:r w:rsidRPr="00D21F87">
              <w:rPr>
                <w:sz w:val="22"/>
                <w:szCs w:val="22"/>
              </w:rPr>
              <w:t>Sema Mandal</w:t>
            </w:r>
          </w:p>
        </w:tc>
        <w:tc>
          <w:tcPr>
            <w:tcW w:w="7513" w:type="dxa"/>
            <w:vAlign w:val="center"/>
          </w:tcPr>
          <w:p w:rsidR="00D63C3C" w:rsidRPr="00D21F87" w:rsidRDefault="00D63C3C" w:rsidP="00D63C3C">
            <w:pPr>
              <w:pStyle w:val="Default"/>
              <w:spacing w:before="60" w:after="60"/>
              <w:rPr>
                <w:color w:val="auto"/>
                <w:sz w:val="22"/>
                <w:szCs w:val="22"/>
              </w:rPr>
            </w:pPr>
            <w:r w:rsidRPr="00D21F87">
              <w:rPr>
                <w:color w:val="auto"/>
                <w:sz w:val="22"/>
                <w:szCs w:val="22"/>
              </w:rPr>
              <w:t>Medical Consultant Epidemiologist, Public Health England</w:t>
            </w:r>
          </w:p>
        </w:tc>
      </w:tr>
      <w:tr w:rsidR="00D63C3C" w:rsidRPr="009E0FB8" w:rsidTr="00F43926">
        <w:trPr>
          <w:trHeight w:val="267"/>
        </w:trPr>
        <w:tc>
          <w:tcPr>
            <w:tcW w:w="2410" w:type="dxa"/>
          </w:tcPr>
          <w:p w:rsidR="00D63C3C" w:rsidRPr="00D21F87" w:rsidRDefault="00D63C3C" w:rsidP="00D63C3C">
            <w:pPr>
              <w:pStyle w:val="Default"/>
              <w:spacing w:before="60" w:after="60"/>
              <w:rPr>
                <w:color w:val="auto"/>
                <w:sz w:val="22"/>
                <w:szCs w:val="22"/>
              </w:rPr>
            </w:pPr>
            <w:r w:rsidRPr="00D21F87">
              <w:rPr>
                <w:color w:val="auto"/>
                <w:sz w:val="22"/>
                <w:szCs w:val="22"/>
              </w:rPr>
              <w:t>Gill Marsh</w:t>
            </w:r>
          </w:p>
        </w:tc>
        <w:tc>
          <w:tcPr>
            <w:tcW w:w="7513" w:type="dxa"/>
          </w:tcPr>
          <w:p w:rsidR="00D63C3C" w:rsidRPr="00D21F87" w:rsidRDefault="00D63C3C" w:rsidP="00D63C3C">
            <w:pPr>
              <w:spacing w:before="60" w:after="60"/>
              <w:rPr>
                <w:rFonts w:cs="Arial"/>
                <w:sz w:val="22"/>
                <w:szCs w:val="22"/>
              </w:rPr>
            </w:pPr>
            <w:r w:rsidRPr="00D21F87">
              <w:rPr>
                <w:sz w:val="22"/>
                <w:szCs w:val="22"/>
              </w:rPr>
              <w:t>Senior Screening and Immunisation Manager Public Health England / NHS England Lancashire and South Cumbria</w:t>
            </w:r>
          </w:p>
        </w:tc>
      </w:tr>
      <w:tr w:rsidR="00D63C3C" w:rsidRPr="009E0FB8" w:rsidTr="00F43926">
        <w:trPr>
          <w:trHeight w:val="267"/>
        </w:trPr>
        <w:tc>
          <w:tcPr>
            <w:tcW w:w="2410" w:type="dxa"/>
          </w:tcPr>
          <w:p w:rsidR="00D63C3C" w:rsidRPr="00D21F87" w:rsidRDefault="00D63C3C" w:rsidP="00D63C3C">
            <w:pPr>
              <w:pStyle w:val="Default"/>
              <w:spacing w:before="60" w:after="60"/>
              <w:rPr>
                <w:color w:val="auto"/>
                <w:sz w:val="22"/>
                <w:szCs w:val="22"/>
              </w:rPr>
            </w:pPr>
            <w:r w:rsidRPr="00D21F87">
              <w:rPr>
                <w:color w:val="auto"/>
                <w:sz w:val="22"/>
                <w:szCs w:val="22"/>
              </w:rPr>
              <w:t>Lesley McFarlane</w:t>
            </w:r>
          </w:p>
        </w:tc>
        <w:tc>
          <w:tcPr>
            <w:tcW w:w="7513" w:type="dxa"/>
          </w:tcPr>
          <w:p w:rsidR="00D63C3C" w:rsidRPr="00D21F87" w:rsidRDefault="00D63C3C" w:rsidP="00D63C3C">
            <w:pPr>
              <w:spacing w:before="60" w:after="60"/>
              <w:rPr>
                <w:rFonts w:cs="Arial"/>
                <w:bCs/>
                <w:sz w:val="22"/>
                <w:szCs w:val="22"/>
              </w:rPr>
            </w:pPr>
            <w:r w:rsidRPr="00D21F87">
              <w:rPr>
                <w:rFonts w:cs="Arial"/>
                <w:sz w:val="22"/>
                <w:szCs w:val="22"/>
              </w:rPr>
              <w:t xml:space="preserve">Screening and Immunisation Co-ordinator (SIC) </w:t>
            </w:r>
            <w:r w:rsidRPr="00D21F87">
              <w:rPr>
                <w:color w:val="000000"/>
                <w:sz w:val="22"/>
                <w:szCs w:val="22"/>
              </w:rPr>
              <w:t xml:space="preserve">NHS England Leicestershire, Lincolnshire and </w:t>
            </w:r>
            <w:r w:rsidRPr="00D21F87">
              <w:rPr>
                <w:sz w:val="22"/>
                <w:szCs w:val="22"/>
              </w:rPr>
              <w:t>Northamptonshire</w:t>
            </w:r>
          </w:p>
        </w:tc>
      </w:tr>
      <w:tr w:rsidR="00D63C3C" w:rsidRPr="009E0FB8" w:rsidTr="00F43926">
        <w:trPr>
          <w:trHeight w:val="267"/>
        </w:trPr>
        <w:tc>
          <w:tcPr>
            <w:tcW w:w="2410" w:type="dxa"/>
          </w:tcPr>
          <w:p w:rsidR="00D63C3C" w:rsidRPr="00D21F87" w:rsidRDefault="00D63C3C" w:rsidP="00D63C3C">
            <w:pPr>
              <w:spacing w:before="60" w:after="60"/>
              <w:rPr>
                <w:rFonts w:cs="Arial"/>
                <w:sz w:val="22"/>
                <w:szCs w:val="22"/>
              </w:rPr>
            </w:pPr>
            <w:r w:rsidRPr="00D21F87">
              <w:rPr>
                <w:sz w:val="22"/>
                <w:szCs w:val="22"/>
              </w:rPr>
              <w:t>Sally Millership</w:t>
            </w:r>
          </w:p>
        </w:tc>
        <w:tc>
          <w:tcPr>
            <w:tcW w:w="7513" w:type="dxa"/>
          </w:tcPr>
          <w:p w:rsidR="00D63C3C" w:rsidRPr="00D21F87" w:rsidRDefault="00D63C3C" w:rsidP="00D63C3C">
            <w:pPr>
              <w:tabs>
                <w:tab w:val="left" w:pos="2320"/>
              </w:tabs>
              <w:spacing w:before="60" w:after="60"/>
              <w:rPr>
                <w:rFonts w:cs="Arial"/>
                <w:sz w:val="22"/>
                <w:szCs w:val="22"/>
              </w:rPr>
            </w:pPr>
            <w:r w:rsidRPr="00D21F87">
              <w:rPr>
                <w:color w:val="000000"/>
                <w:sz w:val="22"/>
                <w:szCs w:val="22"/>
              </w:rPr>
              <w:t>Consultant in Communicable Disease Control, Public Health England, East of England Health Protection Team</w:t>
            </w:r>
          </w:p>
        </w:tc>
      </w:tr>
      <w:tr w:rsidR="00D63C3C" w:rsidRPr="009E0FB8" w:rsidTr="00F43926">
        <w:trPr>
          <w:trHeight w:val="267"/>
        </w:trPr>
        <w:tc>
          <w:tcPr>
            <w:tcW w:w="2410" w:type="dxa"/>
          </w:tcPr>
          <w:p w:rsidR="00D63C3C" w:rsidRPr="00D21F87" w:rsidRDefault="00D63C3C" w:rsidP="00D63C3C">
            <w:pPr>
              <w:spacing w:before="60" w:after="60"/>
              <w:rPr>
                <w:sz w:val="22"/>
                <w:szCs w:val="22"/>
              </w:rPr>
            </w:pPr>
            <w:r w:rsidRPr="00D21F87">
              <w:rPr>
                <w:sz w:val="22"/>
                <w:szCs w:val="22"/>
              </w:rPr>
              <w:t>Matthew Olley</w:t>
            </w:r>
          </w:p>
        </w:tc>
        <w:tc>
          <w:tcPr>
            <w:tcW w:w="7513" w:type="dxa"/>
          </w:tcPr>
          <w:p w:rsidR="00D63C3C" w:rsidRPr="00D21F87" w:rsidRDefault="00D63C3C" w:rsidP="00D63C3C">
            <w:pPr>
              <w:tabs>
                <w:tab w:val="left" w:pos="2320"/>
              </w:tabs>
              <w:spacing w:before="60" w:after="60"/>
              <w:rPr>
                <w:rFonts w:cs="Arial"/>
                <w:sz w:val="22"/>
                <w:szCs w:val="22"/>
              </w:rPr>
            </w:pPr>
            <w:r w:rsidRPr="00D21F87">
              <w:rPr>
                <w:rFonts w:cs="Arial"/>
                <w:sz w:val="22"/>
                <w:szCs w:val="22"/>
              </w:rPr>
              <w:t>Immunisation Manager, Public Health England / NHS England London Region</w:t>
            </w:r>
          </w:p>
        </w:tc>
      </w:tr>
      <w:tr w:rsidR="00D63C3C" w:rsidRPr="009E0FB8" w:rsidTr="00F43926">
        <w:trPr>
          <w:trHeight w:val="267"/>
        </w:trPr>
        <w:tc>
          <w:tcPr>
            <w:tcW w:w="2410" w:type="dxa"/>
          </w:tcPr>
          <w:p w:rsidR="00D63C3C" w:rsidRPr="00D21F87" w:rsidRDefault="00D63C3C" w:rsidP="00D63C3C">
            <w:pPr>
              <w:spacing w:before="60" w:after="60"/>
              <w:rPr>
                <w:sz w:val="22"/>
                <w:szCs w:val="22"/>
              </w:rPr>
            </w:pPr>
            <w:r w:rsidRPr="00D21F87">
              <w:rPr>
                <w:sz w:val="22"/>
                <w:szCs w:val="22"/>
              </w:rPr>
              <w:t>Lisa Rees</w:t>
            </w:r>
          </w:p>
        </w:tc>
        <w:tc>
          <w:tcPr>
            <w:tcW w:w="7513" w:type="dxa"/>
          </w:tcPr>
          <w:p w:rsidR="00D63C3C" w:rsidRPr="00D21F87" w:rsidRDefault="00D63C3C" w:rsidP="00D63C3C">
            <w:pPr>
              <w:tabs>
                <w:tab w:val="left" w:pos="2320"/>
              </w:tabs>
              <w:spacing w:before="60" w:after="60"/>
              <w:rPr>
                <w:rFonts w:cs="Arial"/>
                <w:sz w:val="22"/>
                <w:szCs w:val="22"/>
              </w:rPr>
            </w:pPr>
            <w:r w:rsidRPr="00D21F87">
              <w:rPr>
                <w:rFonts w:cs="Arial"/>
                <w:sz w:val="22"/>
                <w:szCs w:val="22"/>
              </w:rPr>
              <w:t>Medicines Management Pharmacist, Bristol Clinical Commissioning Group</w:t>
            </w:r>
          </w:p>
        </w:tc>
      </w:tr>
      <w:tr w:rsidR="00C4438C" w:rsidRPr="009E0FB8" w:rsidTr="00F43926">
        <w:trPr>
          <w:trHeight w:val="267"/>
        </w:trPr>
        <w:tc>
          <w:tcPr>
            <w:tcW w:w="2410" w:type="dxa"/>
          </w:tcPr>
          <w:p w:rsidR="00C4438C" w:rsidRPr="00D21F87" w:rsidRDefault="00C4438C" w:rsidP="0052582D">
            <w:pPr>
              <w:spacing w:before="60" w:after="60"/>
              <w:rPr>
                <w:sz w:val="22"/>
                <w:szCs w:val="22"/>
              </w:rPr>
            </w:pPr>
            <w:r w:rsidRPr="00D21F87">
              <w:rPr>
                <w:sz w:val="22"/>
                <w:szCs w:val="22"/>
              </w:rPr>
              <w:t>Tushar Shah</w:t>
            </w:r>
          </w:p>
        </w:tc>
        <w:tc>
          <w:tcPr>
            <w:tcW w:w="7513" w:type="dxa"/>
          </w:tcPr>
          <w:p w:rsidR="00C4438C" w:rsidRPr="00D21F87" w:rsidRDefault="00C4438C" w:rsidP="0052582D">
            <w:pPr>
              <w:tabs>
                <w:tab w:val="left" w:pos="2320"/>
              </w:tabs>
              <w:spacing w:before="60" w:after="60"/>
              <w:rPr>
                <w:rFonts w:cs="Arial"/>
                <w:sz w:val="22"/>
                <w:szCs w:val="22"/>
              </w:rPr>
            </w:pPr>
            <w:r w:rsidRPr="00D21F87">
              <w:rPr>
                <w:color w:val="000000"/>
                <w:sz w:val="22"/>
                <w:szCs w:val="22"/>
              </w:rPr>
              <w:t>Pharmacy Advisor, NHS England London Region</w:t>
            </w:r>
            <w:r w:rsidRPr="00D21F87">
              <w:rPr>
                <w:color w:val="1F497D"/>
                <w:sz w:val="22"/>
                <w:szCs w:val="22"/>
              </w:rPr>
              <w:t xml:space="preserve"> </w:t>
            </w:r>
          </w:p>
        </w:tc>
      </w:tr>
      <w:tr w:rsidR="00D63C3C" w:rsidRPr="009E0FB8" w:rsidTr="00F43926">
        <w:trPr>
          <w:trHeight w:val="267"/>
        </w:trPr>
        <w:tc>
          <w:tcPr>
            <w:tcW w:w="2410" w:type="dxa"/>
          </w:tcPr>
          <w:p w:rsidR="00D63C3C" w:rsidRPr="00D21F87" w:rsidRDefault="00D63C3C" w:rsidP="00D63C3C">
            <w:pPr>
              <w:spacing w:before="60" w:after="60"/>
              <w:rPr>
                <w:sz w:val="22"/>
                <w:szCs w:val="22"/>
              </w:rPr>
            </w:pPr>
            <w:r w:rsidRPr="00D21F87">
              <w:rPr>
                <w:sz w:val="22"/>
                <w:szCs w:val="22"/>
              </w:rPr>
              <w:t>Kelly Stoker</w:t>
            </w:r>
          </w:p>
        </w:tc>
        <w:tc>
          <w:tcPr>
            <w:tcW w:w="7513" w:type="dxa"/>
          </w:tcPr>
          <w:p w:rsidR="00D63C3C" w:rsidRPr="00D21F87" w:rsidRDefault="00D63C3C" w:rsidP="00D63C3C">
            <w:pPr>
              <w:tabs>
                <w:tab w:val="left" w:pos="2320"/>
              </w:tabs>
              <w:spacing w:before="60" w:after="60"/>
              <w:rPr>
                <w:rFonts w:cs="Arial"/>
                <w:sz w:val="22"/>
                <w:szCs w:val="22"/>
              </w:rPr>
            </w:pPr>
            <w:r w:rsidRPr="00D21F87">
              <w:rPr>
                <w:rFonts w:cs="Arial"/>
                <w:sz w:val="22"/>
                <w:szCs w:val="22"/>
              </w:rPr>
              <w:t>Senior Health Protection Nurse, North East Health Protection Team, Public Health England Centre North East</w:t>
            </w:r>
          </w:p>
        </w:tc>
      </w:tr>
      <w:tr w:rsidR="003260D6" w:rsidRPr="009E0FB8" w:rsidTr="00F43926">
        <w:trPr>
          <w:trHeight w:val="267"/>
        </w:trPr>
        <w:tc>
          <w:tcPr>
            <w:tcW w:w="2410" w:type="dxa"/>
          </w:tcPr>
          <w:p w:rsidR="003260D6" w:rsidRPr="00D21F87" w:rsidRDefault="003260D6" w:rsidP="00D63C3C">
            <w:pPr>
              <w:spacing w:before="60" w:after="60"/>
              <w:rPr>
                <w:sz w:val="22"/>
                <w:szCs w:val="22"/>
              </w:rPr>
            </w:pPr>
            <w:r w:rsidRPr="00D21F87">
              <w:rPr>
                <w:sz w:val="22"/>
                <w:szCs w:val="22"/>
              </w:rPr>
              <w:t>Sharon Webb</w:t>
            </w:r>
          </w:p>
        </w:tc>
        <w:tc>
          <w:tcPr>
            <w:tcW w:w="7513" w:type="dxa"/>
          </w:tcPr>
          <w:p w:rsidR="003260D6" w:rsidRPr="00D21F87" w:rsidRDefault="003260D6" w:rsidP="00D63C3C">
            <w:pPr>
              <w:tabs>
                <w:tab w:val="left" w:pos="2320"/>
              </w:tabs>
              <w:spacing w:before="60" w:after="60"/>
              <w:rPr>
                <w:sz w:val="22"/>
                <w:szCs w:val="22"/>
              </w:rPr>
            </w:pPr>
            <w:r w:rsidRPr="00D21F87">
              <w:rPr>
                <w:sz w:val="22"/>
                <w:szCs w:val="22"/>
              </w:rPr>
              <w:t>Programme Manager - Infectious Diseases in Pregnancy Screening (IDPS), NHS Screening Programmes, Public Health England (Midwife)</w:t>
            </w:r>
          </w:p>
        </w:tc>
      </w:tr>
    </w:tbl>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1485066243" w:edGrp="everyone"/>
      <w:r w:rsidRPr="00E161EA">
        <w:rPr>
          <w:rStyle w:val="yiv436687422763514114-05042013"/>
          <w:rFonts w:ascii="Arial" w:hAnsi="Arial" w:cs="Arial"/>
          <w:szCs w:val="24"/>
        </w:rPr>
        <w:t xml:space="preserve">INSERT AUTHORISING BODY </w:t>
      </w:r>
      <w:proofErr w:type="gramStart"/>
      <w:r w:rsidRPr="00E161EA">
        <w:rPr>
          <w:rStyle w:val="yiv436687422763514114-05042013"/>
          <w:rFonts w:ascii="Arial" w:hAnsi="Arial" w:cs="Arial"/>
          <w:szCs w:val="24"/>
        </w:rPr>
        <w:t xml:space="preserve">NAME </w:t>
      </w:r>
      <w:r w:rsidR="00BC6F32" w:rsidRPr="00E161EA">
        <w:rPr>
          <w:rStyle w:val="yiv436687422763514114-05042013"/>
          <w:rFonts w:ascii="Arial" w:hAnsi="Arial" w:cs="Arial"/>
          <w:b w:val="0"/>
          <w:szCs w:val="24"/>
        </w:rPr>
        <w:t xml:space="preserve"> </w:t>
      </w:r>
      <w:permEnd w:id="1485066243"/>
      <w:r w:rsidR="00BC6F32" w:rsidRPr="00E161EA">
        <w:rPr>
          <w:rStyle w:val="yiv436687422763514114-05042013"/>
          <w:rFonts w:ascii="Arial" w:hAnsi="Arial" w:cs="Arial"/>
          <w:b w:val="0"/>
          <w:szCs w:val="24"/>
        </w:rPr>
        <w:t>authorise</w:t>
      </w:r>
      <w:r w:rsidR="00FC1218">
        <w:rPr>
          <w:rStyle w:val="yiv436687422763514114-05042013"/>
          <w:rFonts w:ascii="Arial" w:hAnsi="Arial" w:cs="Arial"/>
          <w:b w:val="0"/>
          <w:szCs w:val="24"/>
        </w:rPr>
        <w:t>s</w:t>
      </w:r>
      <w:proofErr w:type="gramEnd"/>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373756525" w:edGrp="everyone"/>
            <w:permStart w:id="779313462"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373756525"/>
      <w:permEnd w:id="779313462"/>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1001267416" w:edGrp="everyone"/>
            <w:permStart w:id="1104622426"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1001267416"/>
      <w:permEnd w:id="1104622426"/>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1108282903" w:edGrp="everyone"/>
            <w:permStart w:id="1298888763" w:edGrp="everyone"/>
            <w:permStart w:id="2067740341" w:edGrp="everyone"/>
            <w:permStart w:id="1600285588" w:edGrp="everyone"/>
            <w:permStart w:id="857701975" w:edGrp="everyone"/>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108282903"/>
      <w:permEnd w:id="1298888763"/>
      <w:permEnd w:id="2067740341"/>
      <w:permEnd w:id="1600285588"/>
      <w:permEnd w:id="857701975"/>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818767329" w:edGrp="everyone"/>
            <w:permStart w:id="1893686627" w:edGrp="everyone"/>
            <w:permStart w:id="839278459" w:edGrp="everyone"/>
            <w:permStart w:id="766527066" w:edGrp="everyone"/>
            <w:permStart w:id="1737848011"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62467263" w:edGrp="everyone"/>
            <w:permStart w:id="524236366" w:edGrp="everyone"/>
            <w:permStart w:id="492202264" w:edGrp="everyone"/>
            <w:permStart w:id="929440914" w:edGrp="everyone"/>
            <w:permStart w:id="931232827" w:edGrp="everyone"/>
            <w:permEnd w:id="818767329"/>
            <w:permEnd w:id="1893686627"/>
            <w:permEnd w:id="839278459"/>
            <w:permEnd w:id="766527066"/>
            <w:permEnd w:id="1737848011"/>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434901576" w:edGrp="everyone"/>
            <w:permStart w:id="123675953" w:edGrp="everyone"/>
            <w:permStart w:id="1160472174" w:edGrp="everyone"/>
            <w:permStart w:id="1319851148" w:edGrp="everyone"/>
            <w:permStart w:id="287326072" w:edGrp="everyone"/>
            <w:permEnd w:id="162467263"/>
            <w:permEnd w:id="524236366"/>
            <w:permEnd w:id="492202264"/>
            <w:permEnd w:id="929440914"/>
            <w:permEnd w:id="931232827"/>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2003708199" w:edGrp="everyone"/>
            <w:permStart w:id="1291941357" w:edGrp="everyone"/>
            <w:permStart w:id="700209375" w:edGrp="everyone"/>
            <w:permStart w:id="2135446810" w:edGrp="everyone"/>
            <w:permStart w:id="593381871" w:edGrp="everyone"/>
            <w:permEnd w:id="434901576"/>
            <w:permEnd w:id="123675953"/>
            <w:permEnd w:id="1160472174"/>
            <w:permEnd w:id="1319851148"/>
            <w:permEnd w:id="287326072"/>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2003708199"/>
      <w:permEnd w:id="1291941357"/>
      <w:permEnd w:id="700209375"/>
      <w:permEnd w:id="2135446810"/>
      <w:permEnd w:id="593381871"/>
    </w:tbl>
    <w:p w:rsidR="00BC6F32" w:rsidRDefault="00BC6F32" w:rsidP="00BC6F32">
      <w:pPr>
        <w:jc w:val="both"/>
        <w:rPr>
          <w:rFonts w:cs="Arial"/>
          <w:sz w:val="22"/>
          <w:szCs w:val="22"/>
        </w:rPr>
      </w:pPr>
    </w:p>
    <w:p w:rsidR="0054483C" w:rsidRPr="00080471" w:rsidRDefault="0054483C" w:rsidP="00080471">
      <w:pPr>
        <w:rPr>
          <w:rFonts w:cs="Arial"/>
          <w:szCs w:val="24"/>
        </w:rPr>
      </w:pPr>
      <w:permStart w:id="62789613" w:edGrp="everyone"/>
      <w:r w:rsidRPr="00080471">
        <w:rPr>
          <w:rFonts w:cs="Arial"/>
          <w:szCs w:val="24"/>
        </w:rPr>
        <w:t>Local enquiries regarding the use of this PGD may be directed to…………….</w:t>
      </w:r>
      <w:permEnd w:id="62789613"/>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Individual practitioners must be authorised by name to work to this PGD. Alternative practitioner authorisation sheets may be</w:t>
      </w:r>
      <w:r w:rsidR="00F43926">
        <w:rPr>
          <w:rFonts w:ascii="Arial" w:hAnsi="Arial" w:cs="Arial"/>
          <w:szCs w:val="24"/>
        </w:rPr>
        <w:t xml:space="preserve"> </w:t>
      </w:r>
      <w:r>
        <w:rPr>
          <w:rFonts w:ascii="Arial" w:hAnsi="Arial" w:cs="Arial"/>
          <w:szCs w:val="24"/>
        </w:rPr>
        <w:t xml:space="preserve">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EC3131" w:rsidRPr="009C55F0" w:rsidRDefault="00EC3131" w:rsidP="00EC3131">
            <w:pPr>
              <w:pStyle w:val="Header"/>
              <w:tabs>
                <w:tab w:val="left" w:pos="317"/>
              </w:tabs>
              <w:spacing w:before="120"/>
              <w:rPr>
                <w:rFonts w:ascii="Arial" w:hAnsi="Arial" w:cs="Arial"/>
                <w:sz w:val="22"/>
                <w:szCs w:val="22"/>
              </w:rPr>
            </w:pPr>
            <w:r w:rsidRPr="009C55F0">
              <w:rPr>
                <w:rFonts w:ascii="Arial" w:hAnsi="Arial" w:cs="Arial"/>
                <w:sz w:val="22"/>
                <w:szCs w:val="22"/>
              </w:rPr>
              <w:t>Registered professional with one of the following bodies:</w:t>
            </w:r>
          </w:p>
          <w:p w:rsidR="007373E0" w:rsidRDefault="00E5241F" w:rsidP="00E07F27">
            <w:pPr>
              <w:pStyle w:val="Header"/>
              <w:numPr>
                <w:ilvl w:val="0"/>
                <w:numId w:val="13"/>
              </w:numPr>
              <w:tabs>
                <w:tab w:val="left" w:pos="1317"/>
              </w:tabs>
              <w:spacing w:after="120"/>
              <w:ind w:left="324" w:hanging="324"/>
              <w:contextualSpacing/>
              <w:rPr>
                <w:rFonts w:ascii="Arial" w:hAnsi="Arial" w:cs="Arial"/>
                <w:sz w:val="22"/>
                <w:szCs w:val="22"/>
              </w:rPr>
            </w:pPr>
            <w:r w:rsidRPr="009C55F0">
              <w:rPr>
                <w:rFonts w:ascii="Arial" w:hAnsi="Arial" w:cs="Arial"/>
                <w:sz w:val="22"/>
                <w:szCs w:val="22"/>
              </w:rPr>
              <w:t>nurses currently registered with the Nursing and Midwifery Council (NMC)</w:t>
            </w:r>
          </w:p>
          <w:p w:rsidR="00FC1218" w:rsidRPr="00E07F27" w:rsidRDefault="00FC1218" w:rsidP="00E07F27">
            <w:pPr>
              <w:pStyle w:val="Header"/>
              <w:numPr>
                <w:ilvl w:val="0"/>
                <w:numId w:val="13"/>
              </w:numPr>
              <w:tabs>
                <w:tab w:val="left" w:pos="1317"/>
              </w:tabs>
              <w:spacing w:after="120"/>
              <w:ind w:left="324" w:hanging="324"/>
              <w:contextualSpacing/>
              <w:rPr>
                <w:rFonts w:ascii="Arial" w:hAnsi="Arial" w:cs="Arial"/>
                <w:sz w:val="22"/>
                <w:szCs w:val="22"/>
              </w:rPr>
            </w:pPr>
            <w:r>
              <w:rPr>
                <w:rFonts w:ascii="Arial" w:hAnsi="Arial" w:cs="Arial"/>
                <w:sz w:val="22"/>
                <w:szCs w:val="22"/>
              </w:rPr>
              <w:t>paramedics currently registered with the Health and Care Professions Council (HCPC)</w:t>
            </w:r>
          </w:p>
        </w:tc>
      </w:tr>
      <w:tr w:rsidR="00FC1218" w:rsidRPr="00CB5D91" w:rsidTr="003225CC">
        <w:tc>
          <w:tcPr>
            <w:tcW w:w="2970" w:type="dxa"/>
          </w:tcPr>
          <w:p w:rsidR="00FC1218" w:rsidRPr="00DF40E8" w:rsidRDefault="00FC1218"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FC1218" w:rsidRPr="004C634B" w:rsidRDefault="00FC1218" w:rsidP="00C131F3">
            <w:pPr>
              <w:spacing w:before="120"/>
              <w:contextualSpacing/>
              <w:rPr>
                <w:rFonts w:cs="Arial"/>
                <w:sz w:val="22"/>
              </w:rPr>
            </w:pPr>
            <w:r>
              <w:rPr>
                <w:rFonts w:cs="Arial"/>
                <w:sz w:val="22"/>
              </w:rPr>
              <w:t>Additionally practitioners:</w:t>
            </w:r>
          </w:p>
          <w:p w:rsidR="00FC1218" w:rsidRPr="00AF5164" w:rsidRDefault="00FC1218" w:rsidP="00FC1218">
            <w:pPr>
              <w:pStyle w:val="ListParagraph"/>
              <w:numPr>
                <w:ilvl w:val="0"/>
                <w:numId w:val="1"/>
              </w:numPr>
              <w:ind w:left="323" w:hanging="323"/>
              <w:rPr>
                <w:rFonts w:cs="Arial"/>
                <w:sz w:val="22"/>
              </w:rPr>
            </w:pPr>
            <w:r>
              <w:rPr>
                <w:rFonts w:cs="Arial"/>
                <w:sz w:val="22"/>
              </w:rPr>
              <w:t>m</w:t>
            </w:r>
            <w:r w:rsidRPr="00AF5164">
              <w:rPr>
                <w:rFonts w:cs="Arial"/>
                <w:sz w:val="22"/>
              </w:rPr>
              <w:t>ust be authorised by name as an approved practitioner under the current terms of this Patient Group Direction before working to it</w:t>
            </w:r>
          </w:p>
          <w:p w:rsidR="00FC1218"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rsidR="00FC1218" w:rsidRPr="00E54F90"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4"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ing patient group directions)</w:t>
            </w:r>
          </w:p>
          <w:p w:rsidR="00FC1218"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15" w:history="1">
              <w:r w:rsidRPr="009B50EB">
                <w:rPr>
                  <w:rStyle w:val="Hyperlink"/>
                  <w:rFonts w:ascii="Arial" w:hAnsi="Arial" w:cs="Arial"/>
                  <w:sz w:val="22"/>
                  <w:szCs w:val="22"/>
                </w:rPr>
                <w:t>The Green Book</w:t>
              </w:r>
            </w:hyperlink>
            <w:r>
              <w:rPr>
                <w:rFonts w:ascii="Arial" w:hAnsi="Arial" w:cs="Arial"/>
                <w:sz w:val="22"/>
                <w:szCs w:val="22"/>
              </w:rPr>
              <w:t>”), and national and local immunisation programmes</w:t>
            </w:r>
          </w:p>
          <w:p w:rsidR="00FC1218" w:rsidRPr="00D04B35"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16" w:history="1">
              <w:r w:rsidRPr="004C5E8A">
                <w:rPr>
                  <w:rStyle w:val="Hyperlink"/>
                  <w:rFonts w:ascii="Arial" w:hAnsi="Arial" w:cs="Arial"/>
                  <w:sz w:val="22"/>
                  <w:szCs w:val="22"/>
                </w:rPr>
                <w:t>National Minimum Standards for Immunisation Training (2005)</w:t>
              </w:r>
            </w:hyperlink>
          </w:p>
          <w:p w:rsidR="00FC1218" w:rsidRPr="006318C5"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rsidR="00FC1218" w:rsidRPr="006318C5"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rsidR="00FC1218"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rsidR="00FC1218" w:rsidRPr="00B7770B"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ust have access to the Patient Group Direction and associated online resources</w:t>
            </w:r>
          </w:p>
          <w:p w:rsidR="00FC1218" w:rsidRPr="002D2A15" w:rsidRDefault="00FC1218" w:rsidP="00FC1218">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rsidR="00FC1218" w:rsidRPr="007914FD" w:rsidRDefault="00FC1218" w:rsidP="00C131F3">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FC1218" w:rsidRPr="00CB5D91" w:rsidTr="003225CC">
        <w:tc>
          <w:tcPr>
            <w:tcW w:w="2970" w:type="dxa"/>
          </w:tcPr>
          <w:p w:rsidR="00FC1218" w:rsidRPr="00DF40E8" w:rsidRDefault="00FC1218" w:rsidP="003225CC">
            <w:pPr>
              <w:spacing w:before="120" w:after="120"/>
              <w:rPr>
                <w:rFonts w:cs="Arial"/>
                <w:b/>
                <w:sz w:val="22"/>
                <w:szCs w:val="22"/>
              </w:rPr>
            </w:pPr>
            <w:r w:rsidRPr="00DF40E8">
              <w:rPr>
                <w:rFonts w:cs="Arial"/>
                <w:b/>
                <w:sz w:val="22"/>
                <w:szCs w:val="22"/>
              </w:rPr>
              <w:t>Continued training requirements</w:t>
            </w:r>
          </w:p>
        </w:tc>
        <w:tc>
          <w:tcPr>
            <w:tcW w:w="6953" w:type="dxa"/>
          </w:tcPr>
          <w:p w:rsidR="00FC1218" w:rsidRDefault="00FC1218" w:rsidP="00C131F3">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rsidR="00FC1218" w:rsidRDefault="00FC1218" w:rsidP="00C131F3">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FC1218" w:rsidRPr="002059FF" w:rsidRDefault="00FC1218" w:rsidP="00C131F3">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rsidTr="00E47B6D">
        <w:tc>
          <w:tcPr>
            <w:tcW w:w="2977" w:type="dxa"/>
          </w:tcPr>
          <w:p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rsidR="004631DE" w:rsidRDefault="004631DE" w:rsidP="00AE69FF">
            <w:pPr>
              <w:spacing w:before="120" w:after="120"/>
              <w:rPr>
                <w:rFonts w:cs="Arial"/>
                <w:sz w:val="22"/>
                <w:szCs w:val="22"/>
              </w:rPr>
            </w:pPr>
            <w:r>
              <w:rPr>
                <w:rFonts w:cs="Arial"/>
                <w:sz w:val="22"/>
                <w:szCs w:val="22"/>
              </w:rPr>
              <w:t>This PGD supports the use of DTaP/IPV/Hib as an alternative to DTaP/IPV for the pre-school booster to utilise remaining national stocks of pentavalent vaccine following the introduction of hexavalent vaccine (DTaP/IPV/Hib/HepB) into the routine childhood immunisation schedule.</w:t>
            </w:r>
          </w:p>
          <w:p w:rsidR="00E07F27" w:rsidRPr="004631DE" w:rsidRDefault="00FC1218" w:rsidP="00AE69FF">
            <w:pPr>
              <w:spacing w:before="120" w:after="120"/>
              <w:rPr>
                <w:rFonts w:cs="Arial"/>
                <w:sz w:val="22"/>
                <w:szCs w:val="22"/>
              </w:rPr>
            </w:pPr>
            <w:r w:rsidRPr="00F52244">
              <w:rPr>
                <w:rFonts w:cs="Arial"/>
                <w:sz w:val="22"/>
                <w:szCs w:val="22"/>
              </w:rPr>
              <w:t xml:space="preserve">Indicated for the active immunisation of individuals from </w:t>
            </w:r>
            <w:r>
              <w:rPr>
                <w:rFonts w:cs="Arial"/>
                <w:sz w:val="22"/>
                <w:szCs w:val="22"/>
              </w:rPr>
              <w:t>3 years</w:t>
            </w:r>
            <w:r w:rsidRPr="00F52244">
              <w:rPr>
                <w:rFonts w:cs="Arial"/>
                <w:sz w:val="22"/>
                <w:szCs w:val="22"/>
              </w:rPr>
              <w:t xml:space="preserve"> </w:t>
            </w:r>
            <w:r>
              <w:rPr>
                <w:rFonts w:cs="Arial"/>
                <w:sz w:val="22"/>
                <w:szCs w:val="22"/>
              </w:rPr>
              <w:t xml:space="preserve">4 months </w:t>
            </w:r>
            <w:r w:rsidRPr="00F52244">
              <w:rPr>
                <w:rFonts w:cs="Arial"/>
                <w:sz w:val="22"/>
                <w:szCs w:val="22"/>
              </w:rPr>
              <w:t xml:space="preserve">to </w:t>
            </w:r>
            <w:r>
              <w:rPr>
                <w:rFonts w:cs="Arial"/>
                <w:sz w:val="22"/>
                <w:szCs w:val="22"/>
              </w:rPr>
              <w:t xml:space="preserve">under </w:t>
            </w:r>
            <w:r w:rsidRPr="00F52244">
              <w:rPr>
                <w:rFonts w:cs="Arial"/>
                <w:sz w:val="22"/>
                <w:szCs w:val="22"/>
              </w:rPr>
              <w:t>10 years of age for the prevention of diphtheria, tetanus</w:t>
            </w:r>
            <w:r>
              <w:rPr>
                <w:rFonts w:cs="Arial"/>
                <w:sz w:val="22"/>
                <w:szCs w:val="22"/>
              </w:rPr>
              <w:t>, pertussis</w:t>
            </w:r>
            <w:r w:rsidRPr="00F52244">
              <w:rPr>
                <w:rFonts w:cs="Arial"/>
                <w:sz w:val="22"/>
                <w:szCs w:val="22"/>
              </w:rPr>
              <w:t xml:space="preserve"> and poliomyelitis, in accordance with the national immunisation programme and recommendations given in </w:t>
            </w:r>
            <w:hyperlink r:id="rId17" w:history="1">
              <w:r w:rsidRPr="008F7669">
                <w:rPr>
                  <w:rStyle w:val="Hyperlink"/>
                  <w:rFonts w:cs="Arial"/>
                  <w:sz w:val="22"/>
                  <w:szCs w:val="22"/>
                </w:rPr>
                <w:t>Chapter 15</w:t>
              </w:r>
            </w:hyperlink>
            <w:r w:rsidRPr="00F52244">
              <w:rPr>
                <w:rFonts w:cs="Arial"/>
                <w:sz w:val="22"/>
                <w:szCs w:val="22"/>
              </w:rPr>
              <w:t xml:space="preserve">, </w:t>
            </w:r>
            <w:hyperlink r:id="rId18" w:history="1">
              <w:r w:rsidRPr="008F7669">
                <w:rPr>
                  <w:rStyle w:val="Hyperlink"/>
                  <w:rFonts w:cs="Arial"/>
                  <w:sz w:val="22"/>
                  <w:szCs w:val="22"/>
                </w:rPr>
                <w:t>Chapter 24</w:t>
              </w:r>
            </w:hyperlink>
            <w:r w:rsidRPr="00F52244">
              <w:rPr>
                <w:rFonts w:cs="Arial"/>
                <w:sz w:val="22"/>
                <w:szCs w:val="22"/>
              </w:rPr>
              <w:t xml:space="preserve">, </w:t>
            </w:r>
            <w:hyperlink r:id="rId19" w:history="1">
              <w:r w:rsidRPr="008F7669">
                <w:rPr>
                  <w:rStyle w:val="Hyperlink"/>
                  <w:rFonts w:cs="Arial"/>
                  <w:sz w:val="22"/>
                  <w:szCs w:val="22"/>
                </w:rPr>
                <w:t>Chapter 26</w:t>
              </w:r>
            </w:hyperlink>
            <w:r w:rsidRPr="00F52244">
              <w:rPr>
                <w:rFonts w:cs="Arial"/>
                <w:sz w:val="22"/>
                <w:szCs w:val="22"/>
              </w:rPr>
              <w:t xml:space="preserve"> and </w:t>
            </w:r>
            <w:hyperlink r:id="rId20" w:history="1">
              <w:r w:rsidRPr="008F7669">
                <w:rPr>
                  <w:rStyle w:val="Hyperlink"/>
                  <w:rFonts w:cs="Arial"/>
                  <w:sz w:val="22"/>
                  <w:szCs w:val="22"/>
                </w:rPr>
                <w:t>Chapter 30</w:t>
              </w:r>
            </w:hyperlink>
            <w:r w:rsidRPr="00F52244">
              <w:rPr>
                <w:rFonts w:cs="Arial"/>
                <w:sz w:val="22"/>
                <w:szCs w:val="22"/>
              </w:rPr>
              <w:t xml:space="preserve"> of Immunisation Against Infectious Disease: “The Green Book”. </w:t>
            </w:r>
          </w:p>
        </w:tc>
      </w:tr>
      <w:tr w:rsidR="00A956FD" w:rsidRPr="00FA5A5F" w:rsidTr="00D7770B">
        <w:tc>
          <w:tcPr>
            <w:tcW w:w="2977" w:type="dxa"/>
            <w:tcBorders>
              <w:bottom w:val="single" w:sz="6" w:space="0" w:color="auto"/>
            </w:tcBorders>
          </w:tcPr>
          <w:p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rsidR="004631DE" w:rsidRPr="00F52244" w:rsidRDefault="004631DE" w:rsidP="004631DE">
            <w:pPr>
              <w:overflowPunct/>
              <w:spacing w:before="120"/>
              <w:textAlignment w:val="auto"/>
              <w:rPr>
                <w:rFonts w:cs="Arial"/>
                <w:sz w:val="22"/>
                <w:szCs w:val="22"/>
              </w:rPr>
            </w:pPr>
            <w:r w:rsidRPr="00F52244">
              <w:rPr>
                <w:rFonts w:cs="Arial"/>
                <w:sz w:val="22"/>
                <w:szCs w:val="22"/>
              </w:rPr>
              <w:t xml:space="preserve">Individuals </w:t>
            </w:r>
            <w:r>
              <w:rPr>
                <w:rFonts w:cs="Arial"/>
                <w:sz w:val="22"/>
                <w:szCs w:val="22"/>
              </w:rPr>
              <w:t>from</w:t>
            </w:r>
            <w:r w:rsidRPr="00F52244">
              <w:rPr>
                <w:rFonts w:cs="Arial"/>
                <w:sz w:val="22"/>
                <w:szCs w:val="22"/>
              </w:rPr>
              <w:t xml:space="preserve"> </w:t>
            </w:r>
            <w:r>
              <w:rPr>
                <w:rFonts w:cs="Arial"/>
                <w:sz w:val="22"/>
                <w:szCs w:val="22"/>
              </w:rPr>
              <w:t>3 years 4 months</w:t>
            </w:r>
            <w:r w:rsidRPr="00F52244">
              <w:rPr>
                <w:rFonts w:cs="Arial"/>
                <w:sz w:val="22"/>
                <w:szCs w:val="22"/>
              </w:rPr>
              <w:t xml:space="preserve"> </w:t>
            </w:r>
            <w:r>
              <w:rPr>
                <w:rFonts w:cs="Arial"/>
                <w:sz w:val="22"/>
                <w:szCs w:val="22"/>
              </w:rPr>
              <w:t>to under</w:t>
            </w:r>
            <w:r w:rsidRPr="00F52244">
              <w:rPr>
                <w:rFonts w:cs="Arial"/>
                <w:sz w:val="22"/>
                <w:szCs w:val="22"/>
              </w:rPr>
              <w:t xml:space="preserve"> 10 years of age who:</w:t>
            </w:r>
          </w:p>
          <w:p w:rsidR="004631DE" w:rsidRDefault="004631DE" w:rsidP="004631DE">
            <w:pPr>
              <w:pStyle w:val="ListParagraph"/>
              <w:numPr>
                <w:ilvl w:val="0"/>
                <w:numId w:val="8"/>
              </w:numPr>
              <w:overflowPunct/>
              <w:spacing w:after="64"/>
              <w:ind w:left="317" w:hanging="283"/>
              <w:textAlignment w:val="auto"/>
              <w:rPr>
                <w:rFonts w:eastAsiaTheme="minorHAnsi" w:cs="Arial"/>
                <w:sz w:val="22"/>
                <w:szCs w:val="22"/>
                <w:lang w:eastAsia="en-US"/>
              </w:rPr>
            </w:pPr>
            <w:r w:rsidRPr="00F52244">
              <w:rPr>
                <w:rFonts w:eastAsiaTheme="minorHAnsi" w:cs="Arial"/>
                <w:sz w:val="22"/>
                <w:szCs w:val="22"/>
                <w:lang w:eastAsia="en-US"/>
              </w:rPr>
              <w:t xml:space="preserve">require a booster following a primary course of immunisation against diphtheria, tetanus, pertussis and </w:t>
            </w:r>
            <w:r w:rsidRPr="00C362D3">
              <w:rPr>
                <w:rFonts w:eastAsiaTheme="minorHAnsi" w:cs="Arial"/>
                <w:sz w:val="22"/>
                <w:szCs w:val="22"/>
                <w:lang w:eastAsia="en-US"/>
              </w:rPr>
              <w:t xml:space="preserve">poliomyelitis (this </w:t>
            </w:r>
            <w:r w:rsidRPr="00CF735B">
              <w:rPr>
                <w:rFonts w:eastAsiaTheme="minorHAnsi" w:cs="Arial"/>
                <w:sz w:val="22"/>
                <w:szCs w:val="22"/>
                <w:lang w:eastAsia="en-US"/>
              </w:rPr>
              <w:t xml:space="preserve">booster is usually offered from 3 years 4 months of age) </w:t>
            </w:r>
          </w:p>
          <w:p w:rsidR="0093470B" w:rsidRPr="004631DE" w:rsidRDefault="004631DE" w:rsidP="004631DE">
            <w:pPr>
              <w:pStyle w:val="ListParagraph"/>
              <w:numPr>
                <w:ilvl w:val="0"/>
                <w:numId w:val="8"/>
              </w:numPr>
              <w:overflowPunct/>
              <w:spacing w:after="64"/>
              <w:ind w:left="317" w:hanging="283"/>
              <w:textAlignment w:val="auto"/>
              <w:rPr>
                <w:rFonts w:eastAsiaTheme="minorHAnsi" w:cs="Arial"/>
                <w:sz w:val="22"/>
                <w:szCs w:val="22"/>
                <w:lang w:eastAsia="en-US"/>
              </w:rPr>
            </w:pPr>
            <w:r w:rsidRPr="004631DE">
              <w:rPr>
                <w:rFonts w:eastAsiaTheme="minorHAnsi" w:cs="Arial"/>
                <w:sz w:val="22"/>
                <w:szCs w:val="22"/>
                <w:lang w:eastAsia="en-US"/>
              </w:rPr>
              <w:t xml:space="preserve">have a tetanus prone wound and tetanus boosters are not up to date or are due soon and convenient to give now (See “The Green Book” </w:t>
            </w:r>
            <w:hyperlink r:id="rId21" w:history="1">
              <w:r w:rsidRPr="004631DE">
                <w:rPr>
                  <w:rStyle w:val="Hyperlink"/>
                  <w:rFonts w:cs="Arial"/>
                  <w:sz w:val="22"/>
                  <w:szCs w:val="22"/>
                </w:rPr>
                <w:t>Chapter 30</w:t>
              </w:r>
            </w:hyperlink>
            <w:r w:rsidRPr="004631DE">
              <w:rPr>
                <w:rFonts w:eastAsiaTheme="minorHAnsi" w:cs="Arial"/>
                <w:sz w:val="22"/>
                <w:szCs w:val="22"/>
                <w:lang w:eastAsia="en-US"/>
              </w:rPr>
              <w:t>)</w:t>
            </w:r>
          </w:p>
        </w:tc>
      </w:tr>
      <w:tr w:rsidR="00A956FD" w:rsidRPr="00FA5A5F" w:rsidTr="00D7770B">
        <w:tc>
          <w:tcPr>
            <w:tcW w:w="2977" w:type="dxa"/>
            <w:tcBorders>
              <w:bottom w:val="single" w:sz="4" w:space="0" w:color="auto"/>
            </w:tcBorders>
          </w:tcPr>
          <w:p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6946" w:type="dxa"/>
            <w:tcBorders>
              <w:bottom w:val="single" w:sz="4" w:space="0" w:color="auto"/>
            </w:tcBorders>
          </w:tcPr>
          <w:p w:rsidR="004631DE" w:rsidRPr="00F52244" w:rsidRDefault="004631DE" w:rsidP="004631DE">
            <w:pPr>
              <w:pStyle w:val="Pa4"/>
              <w:spacing w:before="120" w:after="120" w:line="240" w:lineRule="auto"/>
              <w:contextualSpacing/>
              <w:rPr>
                <w:rFonts w:ascii="Arial" w:hAnsi="Arial" w:cs="Arial"/>
                <w:sz w:val="22"/>
                <w:szCs w:val="22"/>
              </w:rPr>
            </w:pPr>
            <w:r w:rsidRPr="00F52244">
              <w:rPr>
                <w:rFonts w:ascii="Arial" w:hAnsi="Arial" w:cs="Arial"/>
                <w:sz w:val="22"/>
                <w:szCs w:val="22"/>
              </w:rPr>
              <w:t>Individuals for whom no valid consent has been received.</w:t>
            </w:r>
          </w:p>
          <w:p w:rsidR="004631DE" w:rsidRPr="00F52244" w:rsidRDefault="004631DE" w:rsidP="004631DE">
            <w:pPr>
              <w:pStyle w:val="Default"/>
              <w:spacing w:before="120"/>
              <w:contextualSpacing/>
              <w:rPr>
                <w:color w:val="auto"/>
                <w:sz w:val="22"/>
                <w:szCs w:val="22"/>
                <w:lang w:eastAsia="en-US"/>
              </w:rPr>
            </w:pPr>
            <w:r w:rsidRPr="00F52244">
              <w:rPr>
                <w:color w:val="auto"/>
                <w:sz w:val="22"/>
                <w:szCs w:val="22"/>
                <w:lang w:eastAsia="en-US"/>
              </w:rPr>
              <w:t>Individuals who:</w:t>
            </w:r>
          </w:p>
          <w:p w:rsidR="004631DE" w:rsidRPr="00F52244" w:rsidRDefault="004631DE" w:rsidP="004631DE">
            <w:pPr>
              <w:numPr>
                <w:ilvl w:val="0"/>
                <w:numId w:val="30"/>
              </w:numPr>
              <w:overflowPunct/>
              <w:spacing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a</w:t>
            </w:r>
            <w:r>
              <w:rPr>
                <w:rFonts w:eastAsiaTheme="minorHAnsi" w:cs="Arial"/>
                <w:sz w:val="22"/>
                <w:szCs w:val="22"/>
                <w:lang w:eastAsia="en-US"/>
              </w:rPr>
              <w:t>re</w:t>
            </w:r>
            <w:r w:rsidRPr="00F52244">
              <w:rPr>
                <w:rFonts w:eastAsiaTheme="minorHAnsi" w:cs="Arial"/>
                <w:sz w:val="22"/>
                <w:szCs w:val="22"/>
                <w:lang w:eastAsia="en-US"/>
              </w:rPr>
              <w:t xml:space="preserve"> less than </w:t>
            </w:r>
            <w:r>
              <w:rPr>
                <w:rFonts w:eastAsiaTheme="minorHAnsi" w:cs="Arial"/>
                <w:sz w:val="22"/>
                <w:szCs w:val="22"/>
                <w:lang w:eastAsia="en-US"/>
              </w:rPr>
              <w:t>3 years 4 months of age</w:t>
            </w:r>
          </w:p>
          <w:p w:rsidR="004631DE" w:rsidRPr="00F52244" w:rsidRDefault="004631DE" w:rsidP="004631DE">
            <w:pPr>
              <w:numPr>
                <w:ilvl w:val="0"/>
                <w:numId w:val="30"/>
              </w:numPr>
              <w:overflowPunct/>
              <w:spacing w:after="120"/>
              <w:ind w:left="317" w:hanging="283"/>
              <w:contextualSpacing/>
              <w:textAlignment w:val="auto"/>
              <w:rPr>
                <w:rFonts w:eastAsiaTheme="minorHAnsi" w:cs="Arial"/>
                <w:sz w:val="22"/>
                <w:szCs w:val="22"/>
                <w:lang w:eastAsia="en-US"/>
              </w:rPr>
            </w:pPr>
            <w:r>
              <w:rPr>
                <w:rFonts w:eastAsiaTheme="minorHAnsi" w:cs="Arial"/>
                <w:sz w:val="22"/>
                <w:szCs w:val="22"/>
                <w:lang w:eastAsia="en-US"/>
              </w:rPr>
              <w:t>are aged 10</w:t>
            </w:r>
            <w:r w:rsidRPr="00F52244">
              <w:rPr>
                <w:rFonts w:eastAsiaTheme="minorHAnsi" w:cs="Arial"/>
                <w:sz w:val="22"/>
                <w:szCs w:val="22"/>
                <w:lang w:eastAsia="en-US"/>
              </w:rPr>
              <w:t xml:space="preserve"> years</w:t>
            </w:r>
            <w:r>
              <w:rPr>
                <w:rFonts w:eastAsiaTheme="minorHAnsi" w:cs="Arial"/>
                <w:sz w:val="22"/>
                <w:szCs w:val="22"/>
                <w:lang w:eastAsia="en-US"/>
              </w:rPr>
              <w:t xml:space="preserve"> and over</w:t>
            </w:r>
          </w:p>
          <w:p w:rsidR="004631DE" w:rsidRPr="00F52244" w:rsidRDefault="004631DE" w:rsidP="004631DE">
            <w:pPr>
              <w:numPr>
                <w:ilvl w:val="0"/>
                <w:numId w:val="30"/>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w:t>
            </w:r>
            <w:r w:rsidR="003260D6">
              <w:rPr>
                <w:rFonts w:eastAsiaTheme="minorHAnsi" w:cs="Arial"/>
                <w:sz w:val="22"/>
                <w:szCs w:val="22"/>
                <w:lang w:eastAsia="en-US"/>
              </w:rPr>
              <w:t>,</w:t>
            </w:r>
            <w:r w:rsidRPr="00F52244">
              <w:rPr>
                <w:rFonts w:eastAsiaTheme="minorHAnsi" w:cs="Arial"/>
                <w:sz w:val="22"/>
                <w:szCs w:val="22"/>
                <w:lang w:eastAsia="en-US"/>
              </w:rPr>
              <w:t xml:space="preserve"> poliomyelitis </w:t>
            </w:r>
            <w:r w:rsidR="003260D6">
              <w:rPr>
                <w:rFonts w:eastAsiaTheme="minorHAnsi" w:cs="Arial"/>
                <w:sz w:val="22"/>
                <w:szCs w:val="22"/>
                <w:lang w:eastAsia="en-US"/>
              </w:rPr>
              <w:t xml:space="preserve">or </w:t>
            </w:r>
            <w:r w:rsidR="003260D6" w:rsidRPr="003B60A8">
              <w:rPr>
                <w:rFonts w:cs="Arial"/>
                <w:i/>
                <w:sz w:val="22"/>
                <w:szCs w:val="22"/>
              </w:rPr>
              <w:t>Haemophilus influenzae</w:t>
            </w:r>
            <w:r w:rsidR="003260D6" w:rsidRPr="003B60A8">
              <w:rPr>
                <w:rFonts w:cs="Arial"/>
                <w:sz w:val="22"/>
                <w:szCs w:val="22"/>
              </w:rPr>
              <w:t xml:space="preserve"> type b</w:t>
            </w:r>
            <w:r w:rsidR="003260D6" w:rsidRPr="00F52244">
              <w:rPr>
                <w:rFonts w:eastAsiaTheme="minorHAnsi" w:cs="Arial"/>
                <w:sz w:val="22"/>
                <w:szCs w:val="22"/>
                <w:lang w:eastAsia="en-US"/>
              </w:rPr>
              <w:t xml:space="preserve"> </w:t>
            </w:r>
            <w:r w:rsidRPr="00F52244">
              <w:rPr>
                <w:rFonts w:eastAsiaTheme="minorHAnsi" w:cs="Arial"/>
                <w:sz w:val="22"/>
                <w:szCs w:val="22"/>
                <w:lang w:eastAsia="en-US"/>
              </w:rPr>
              <w:t>containing vaccine, including any conjugate vaccines where diphtheria or tetanus toxoid is used in the conjugate</w:t>
            </w:r>
          </w:p>
          <w:p w:rsidR="004631DE" w:rsidRDefault="004631DE" w:rsidP="004631DE">
            <w:pPr>
              <w:numPr>
                <w:ilvl w:val="0"/>
                <w:numId w:val="30"/>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any component of the vaccine</w:t>
            </w:r>
            <w:r w:rsidRPr="00F9795C">
              <w:rPr>
                <w:rFonts w:eastAsiaTheme="minorHAnsi" w:cs="Arial"/>
                <w:sz w:val="22"/>
                <w:szCs w:val="22"/>
                <w:lang w:eastAsia="en-US"/>
              </w:rPr>
              <w:t xml:space="preserve"> or residual products from manufacture, </w:t>
            </w:r>
            <w:r w:rsidRPr="00465505">
              <w:rPr>
                <w:rFonts w:eastAsiaTheme="minorHAnsi" w:cs="Arial"/>
                <w:sz w:val="22"/>
                <w:szCs w:val="22"/>
                <w:lang w:eastAsia="en-US"/>
              </w:rPr>
              <w:t>these may include</w:t>
            </w:r>
            <w:r>
              <w:rPr>
                <w:rFonts w:eastAsiaTheme="minorHAnsi" w:cs="Arial"/>
                <w:sz w:val="22"/>
                <w:szCs w:val="22"/>
                <w:lang w:eastAsia="en-US"/>
              </w:rPr>
              <w:t xml:space="preserve"> neomycin, polymyxin,</w:t>
            </w:r>
            <w:r w:rsidRPr="00465505">
              <w:rPr>
                <w:rFonts w:eastAsiaTheme="minorHAnsi" w:cs="Arial"/>
                <w:sz w:val="22"/>
                <w:szCs w:val="22"/>
                <w:lang w:eastAsia="en-US"/>
              </w:rPr>
              <w:t xml:space="preserve"> polysorbate 80</w:t>
            </w:r>
            <w:r>
              <w:rPr>
                <w:rFonts w:eastAsiaTheme="minorHAnsi" w:cs="Arial"/>
                <w:sz w:val="22"/>
                <w:szCs w:val="22"/>
                <w:lang w:eastAsia="en-US"/>
              </w:rPr>
              <w:t xml:space="preserve">, </w:t>
            </w:r>
            <w:r w:rsidRPr="00465505">
              <w:rPr>
                <w:rFonts w:eastAsiaTheme="minorHAnsi" w:cs="Arial"/>
                <w:sz w:val="22"/>
                <w:szCs w:val="22"/>
                <w:lang w:eastAsia="en-US"/>
              </w:rPr>
              <w:t>streptomycin, glutaraldehyde, formaldehyde and bovine serum albumin (refer to relevant SPC)</w:t>
            </w:r>
          </w:p>
          <w:p w:rsidR="004631DE" w:rsidRDefault="004631DE" w:rsidP="004631DE">
            <w:pPr>
              <w:numPr>
                <w:ilvl w:val="0"/>
                <w:numId w:val="30"/>
              </w:numPr>
              <w:overflowPunct/>
              <w:spacing w:before="120" w:after="120"/>
              <w:ind w:left="317" w:hanging="283"/>
              <w:contextualSpacing/>
              <w:textAlignment w:val="auto"/>
              <w:rPr>
                <w:rFonts w:eastAsiaTheme="minorHAnsi" w:cs="Arial"/>
                <w:sz w:val="22"/>
                <w:szCs w:val="22"/>
                <w:lang w:eastAsia="en-US"/>
              </w:rPr>
            </w:pPr>
            <w:r w:rsidRPr="00436E06">
              <w:rPr>
                <w:rFonts w:eastAsiaTheme="minorHAnsi" w:cs="Arial"/>
                <w:sz w:val="22"/>
                <w:szCs w:val="22"/>
                <w:lang w:eastAsia="en-US"/>
              </w:rPr>
              <w:t>have not yet completed primary immunisation with three doses of diphtheria, tetanus,</w:t>
            </w:r>
            <w:r>
              <w:rPr>
                <w:rFonts w:eastAsiaTheme="minorHAnsi" w:cs="Arial"/>
                <w:sz w:val="22"/>
                <w:szCs w:val="22"/>
                <w:lang w:eastAsia="en-US"/>
              </w:rPr>
              <w:t xml:space="preserve"> pertussis</w:t>
            </w:r>
            <w:r w:rsidRPr="00436E06">
              <w:rPr>
                <w:rFonts w:eastAsiaTheme="minorHAnsi" w:cs="Arial"/>
                <w:sz w:val="22"/>
                <w:szCs w:val="22"/>
                <w:lang w:eastAsia="en-US"/>
              </w:rPr>
              <w:t xml:space="preserve"> and poliomyelitis</w:t>
            </w:r>
            <w:r>
              <w:rPr>
                <w:rFonts w:eastAsiaTheme="minorHAnsi" w:cs="Arial"/>
                <w:sz w:val="22"/>
                <w:szCs w:val="22"/>
                <w:lang w:eastAsia="en-US"/>
              </w:rPr>
              <w:t xml:space="preserve"> antigen</w:t>
            </w:r>
          </w:p>
          <w:p w:rsidR="004631DE" w:rsidRPr="00613F53" w:rsidRDefault="004631DE" w:rsidP="004631DE">
            <w:pPr>
              <w:numPr>
                <w:ilvl w:val="0"/>
                <w:numId w:val="30"/>
              </w:numPr>
              <w:overflowPunct/>
              <w:spacing w:before="120" w:after="120"/>
              <w:ind w:left="317" w:hanging="283"/>
              <w:contextualSpacing/>
              <w:textAlignment w:val="auto"/>
              <w:rPr>
                <w:rFonts w:eastAsiaTheme="minorHAnsi" w:cs="Arial"/>
                <w:sz w:val="22"/>
                <w:szCs w:val="22"/>
                <w:lang w:eastAsia="en-US"/>
              </w:rPr>
            </w:pPr>
            <w:r w:rsidRPr="00613F53">
              <w:rPr>
                <w:rFonts w:eastAsiaTheme="minorHAnsi" w:cs="Arial"/>
                <w:sz w:val="22"/>
                <w:szCs w:val="22"/>
                <w:lang w:eastAsia="en-US"/>
              </w:rPr>
              <w:t xml:space="preserve">received a dose of </w:t>
            </w:r>
            <w:r w:rsidRPr="00F52244">
              <w:rPr>
                <w:rFonts w:eastAsiaTheme="minorHAnsi" w:cs="Arial"/>
                <w:sz w:val="22"/>
                <w:szCs w:val="22"/>
                <w:lang w:eastAsia="en-US"/>
              </w:rPr>
              <w:t>diphtheria, tetanus, pertussis</w:t>
            </w:r>
            <w:r>
              <w:rPr>
                <w:rFonts w:eastAsiaTheme="minorHAnsi" w:cs="Arial"/>
                <w:sz w:val="22"/>
                <w:szCs w:val="22"/>
                <w:lang w:eastAsia="en-US"/>
              </w:rPr>
              <w:t xml:space="preserve"> and</w:t>
            </w:r>
            <w:r w:rsidRPr="00F52244">
              <w:rPr>
                <w:rFonts w:eastAsiaTheme="minorHAnsi" w:cs="Arial"/>
                <w:sz w:val="22"/>
                <w:szCs w:val="22"/>
                <w:lang w:eastAsia="en-US"/>
              </w:rPr>
              <w:t xml:space="preserve"> poliomyelitis containing vaccine</w:t>
            </w:r>
            <w:r w:rsidRPr="00613F53" w:rsidDel="00D90694">
              <w:rPr>
                <w:rFonts w:eastAsiaTheme="minorHAnsi" w:cs="Arial"/>
                <w:sz w:val="22"/>
                <w:szCs w:val="22"/>
                <w:lang w:eastAsia="en-US"/>
              </w:rPr>
              <w:t xml:space="preserve"> </w:t>
            </w:r>
            <w:r w:rsidRPr="00613F53">
              <w:rPr>
                <w:rFonts w:eastAsiaTheme="minorHAnsi" w:cs="Arial"/>
                <w:sz w:val="22"/>
                <w:szCs w:val="22"/>
                <w:lang w:eastAsia="en-US"/>
              </w:rPr>
              <w:t>within the last 12 months</w:t>
            </w:r>
            <w:r w:rsidRPr="00613F53" w:rsidDel="00613F53">
              <w:rPr>
                <w:rFonts w:eastAsiaTheme="minorHAnsi" w:cs="Arial"/>
                <w:sz w:val="22"/>
                <w:szCs w:val="22"/>
                <w:lang w:eastAsia="en-US"/>
              </w:rPr>
              <w:t xml:space="preserve"> </w:t>
            </w:r>
          </w:p>
          <w:p w:rsidR="008D7758" w:rsidRPr="004631DE" w:rsidRDefault="004631DE" w:rsidP="004631DE">
            <w:pPr>
              <w:numPr>
                <w:ilvl w:val="0"/>
                <w:numId w:val="30"/>
              </w:numPr>
              <w:overflowPunct/>
              <w:spacing w:after="120"/>
              <w:ind w:left="318" w:hanging="284"/>
              <w:textAlignment w:val="auto"/>
              <w:rPr>
                <w:rFonts w:eastAsiaTheme="minorHAnsi" w:cs="Arial"/>
                <w:sz w:val="22"/>
                <w:szCs w:val="22"/>
                <w:lang w:eastAsia="en-US"/>
              </w:rPr>
            </w:pPr>
            <w:r>
              <w:rPr>
                <w:rStyle w:val="Hyperlink"/>
                <w:rFonts w:cs="Arial"/>
                <w:color w:val="auto"/>
                <w:sz w:val="22"/>
                <w:szCs w:val="22"/>
                <w:u w:val="none"/>
              </w:rPr>
              <w:t xml:space="preserve">are </w:t>
            </w:r>
            <w:r w:rsidRPr="004631DE">
              <w:rPr>
                <w:rFonts w:eastAsiaTheme="minorHAnsi" w:cs="Arial"/>
                <w:sz w:val="22"/>
                <w:szCs w:val="22"/>
              </w:rPr>
              <w:t>suffering from acute severe febrile illness (the presence of a minor infection is not a contraindication for immuni</w:t>
            </w:r>
            <w:r>
              <w:rPr>
                <w:rFonts w:eastAsiaTheme="minorHAnsi" w:cs="Arial"/>
                <w:sz w:val="22"/>
                <w:szCs w:val="22"/>
              </w:rPr>
              <w:t>sation)</w:t>
            </w:r>
          </w:p>
        </w:tc>
      </w:tr>
      <w:tr w:rsidR="00A956FD" w:rsidRPr="00FA5A5F" w:rsidTr="00046C83">
        <w:trPr>
          <w:trHeight w:val="552"/>
        </w:trPr>
        <w:tc>
          <w:tcPr>
            <w:tcW w:w="2977" w:type="dxa"/>
          </w:tcPr>
          <w:p w:rsidR="00077D61" w:rsidRPr="00046C83" w:rsidRDefault="00032A94" w:rsidP="00046C83">
            <w:pPr>
              <w:spacing w:before="120" w:after="120"/>
              <w:rPr>
                <w:sz w:val="22"/>
              </w:rPr>
            </w:pPr>
            <w:bookmarkStart w:id="1" w:name="Cautions"/>
            <w:r w:rsidRPr="009357DC">
              <w:rPr>
                <w:rFonts w:cs="Arial"/>
                <w:b/>
                <w:sz w:val="22"/>
                <w:szCs w:val="22"/>
              </w:rPr>
              <w:t>Cautions including any relevant action</w:t>
            </w:r>
            <w:r w:rsidRPr="00333017">
              <w:rPr>
                <w:b/>
                <w:sz w:val="22"/>
              </w:rPr>
              <w:t xml:space="preserve"> to be taken</w:t>
            </w:r>
          </w:p>
          <w:bookmarkEnd w:id="1"/>
          <w:p w:rsidR="00077D61" w:rsidRDefault="00077D61" w:rsidP="00046C83">
            <w:pPr>
              <w:spacing w:before="120" w:after="120"/>
              <w:contextualSpacing/>
              <w:rPr>
                <w:color w:val="FF0000"/>
                <w:sz w:val="22"/>
              </w:rPr>
            </w:pPr>
          </w:p>
          <w:p w:rsidR="00F42E92" w:rsidRDefault="00F42E92" w:rsidP="00046C83">
            <w:pPr>
              <w:spacing w:before="120" w:after="120"/>
              <w:contextualSpacing/>
              <w:rPr>
                <w:color w:val="FF0000"/>
                <w:sz w:val="22"/>
              </w:rPr>
            </w:pPr>
          </w:p>
          <w:p w:rsidR="00545822" w:rsidRDefault="00545822" w:rsidP="00046C83">
            <w:pPr>
              <w:spacing w:before="120" w:after="120"/>
              <w:contextualSpacing/>
              <w:rPr>
                <w:color w:val="FF0000"/>
                <w:sz w:val="22"/>
              </w:rPr>
            </w:pPr>
          </w:p>
          <w:p w:rsidR="00545822" w:rsidRDefault="00F43926" w:rsidP="00046C83">
            <w:pPr>
              <w:spacing w:before="120" w:after="120"/>
              <w:contextualSpacing/>
              <w:rPr>
                <w:sz w:val="22"/>
              </w:rPr>
            </w:pPr>
            <w:r w:rsidRPr="00F43926">
              <w:rPr>
                <w:sz w:val="22"/>
              </w:rPr>
              <w:t>Continued over page</w:t>
            </w:r>
          </w:p>
          <w:p w:rsidR="00F43926" w:rsidRPr="00F43926" w:rsidRDefault="00F43926" w:rsidP="00046C83">
            <w:pPr>
              <w:spacing w:before="120" w:after="120"/>
              <w:contextualSpacing/>
              <w:rPr>
                <w:sz w:val="22"/>
              </w:rPr>
            </w:pPr>
          </w:p>
          <w:p w:rsidR="00F43926" w:rsidRPr="00F43926" w:rsidRDefault="00F43926" w:rsidP="00F43926">
            <w:pPr>
              <w:spacing w:before="120" w:after="120"/>
              <w:contextualSpacing/>
              <w:rPr>
                <w:sz w:val="22"/>
              </w:rPr>
            </w:pPr>
            <w:r w:rsidRPr="00F43926">
              <w:rPr>
                <w:rFonts w:cs="Arial"/>
                <w:b/>
                <w:sz w:val="22"/>
                <w:szCs w:val="22"/>
              </w:rPr>
              <w:lastRenderedPageBreak/>
              <w:t>Cautions including any relevant action</w:t>
            </w:r>
            <w:r w:rsidRPr="00F43926">
              <w:rPr>
                <w:b/>
                <w:sz w:val="22"/>
              </w:rPr>
              <w:t xml:space="preserve"> to be taken</w:t>
            </w:r>
          </w:p>
          <w:p w:rsidR="00F43926" w:rsidRPr="00F43926" w:rsidRDefault="00F43926" w:rsidP="00F43926">
            <w:pPr>
              <w:spacing w:before="120" w:after="120"/>
              <w:contextualSpacing/>
              <w:rPr>
                <w:sz w:val="22"/>
              </w:rPr>
            </w:pPr>
            <w:r w:rsidRPr="00F43926">
              <w:rPr>
                <w:sz w:val="22"/>
              </w:rPr>
              <w:t>(continued)</w:t>
            </w:r>
          </w:p>
          <w:p w:rsidR="00545822" w:rsidRDefault="00545822" w:rsidP="00046C83">
            <w:pPr>
              <w:spacing w:before="120" w:after="120"/>
              <w:contextualSpacing/>
              <w:rPr>
                <w:color w:val="FF0000"/>
                <w:sz w:val="22"/>
              </w:rPr>
            </w:pPr>
          </w:p>
          <w:p w:rsidR="00545822" w:rsidRDefault="00545822" w:rsidP="00046C83">
            <w:pPr>
              <w:spacing w:before="120" w:after="120"/>
              <w:contextualSpacing/>
              <w:rPr>
                <w:color w:val="FF0000"/>
                <w:sz w:val="22"/>
              </w:rPr>
            </w:pPr>
          </w:p>
          <w:p w:rsidR="00545822" w:rsidRDefault="00545822" w:rsidP="00046C83">
            <w:pPr>
              <w:spacing w:before="120" w:after="120"/>
              <w:contextualSpacing/>
              <w:rPr>
                <w:color w:val="FF0000"/>
                <w:sz w:val="22"/>
              </w:rPr>
            </w:pPr>
          </w:p>
          <w:p w:rsidR="00F42E92" w:rsidRDefault="00F42E92" w:rsidP="00046C83">
            <w:pPr>
              <w:spacing w:before="120" w:after="120"/>
              <w:contextualSpacing/>
              <w:rPr>
                <w:color w:val="FF0000"/>
                <w:sz w:val="22"/>
              </w:rPr>
            </w:pPr>
          </w:p>
          <w:p w:rsidR="00807571" w:rsidRDefault="00807571" w:rsidP="00046C83">
            <w:pPr>
              <w:spacing w:before="120" w:after="120"/>
              <w:contextualSpacing/>
              <w:rPr>
                <w:color w:val="FF0000"/>
                <w:sz w:val="22"/>
              </w:rPr>
            </w:pPr>
          </w:p>
          <w:p w:rsidR="00807571" w:rsidRDefault="00807571" w:rsidP="00046C83">
            <w:pPr>
              <w:spacing w:before="120" w:after="120"/>
              <w:contextualSpacing/>
              <w:rPr>
                <w:color w:val="FF0000"/>
                <w:sz w:val="22"/>
              </w:rPr>
            </w:pPr>
          </w:p>
          <w:p w:rsidR="00807571" w:rsidRDefault="00807571" w:rsidP="00046C83">
            <w:pPr>
              <w:spacing w:before="120" w:after="120"/>
              <w:contextualSpacing/>
              <w:rPr>
                <w:color w:val="FF0000"/>
                <w:sz w:val="22"/>
              </w:rPr>
            </w:pPr>
          </w:p>
          <w:p w:rsidR="00F42E92" w:rsidRPr="003B1FF7" w:rsidRDefault="00F42E92" w:rsidP="00046C83">
            <w:pPr>
              <w:spacing w:before="120" w:after="120"/>
              <w:contextualSpacing/>
              <w:rPr>
                <w:sz w:val="22"/>
              </w:rPr>
            </w:pPr>
          </w:p>
        </w:tc>
        <w:tc>
          <w:tcPr>
            <w:tcW w:w="6946" w:type="dxa"/>
          </w:tcPr>
          <w:p w:rsidR="00001CB9" w:rsidRDefault="00001CB9" w:rsidP="00001CB9">
            <w:pPr>
              <w:shd w:val="clear" w:color="auto" w:fill="FFFFFF"/>
              <w:overflowPunct/>
              <w:autoSpaceDE/>
              <w:autoSpaceDN/>
              <w:adjustRightInd/>
              <w:spacing w:before="120" w:after="120"/>
              <w:textAlignment w:val="auto"/>
              <w:rPr>
                <w:rFonts w:cs="Arial"/>
                <w:sz w:val="22"/>
                <w:szCs w:val="22"/>
              </w:rPr>
            </w:pPr>
            <w:r w:rsidRPr="00550944">
              <w:rPr>
                <w:rFonts w:cs="Arial"/>
                <w:sz w:val="22"/>
                <w:szCs w:val="22"/>
              </w:rPr>
              <w:lastRenderedPageBreak/>
              <w:t>The presence of a neurological condition is not a contraindication to immunisation but if there is evidence of current neurological deterioration, deferral of vaccination may be considered, to avoid incorrect attribution of any change in the underlying condition. The risk of such deferral should be balanced against the risk of the preventable infection, and vaccination should be promptly given once the diagnosis and/or the expected course of the condition becomes clear.</w:t>
            </w:r>
          </w:p>
          <w:p w:rsidR="0052582D" w:rsidRPr="0052582D" w:rsidRDefault="0052582D" w:rsidP="0052582D">
            <w:pPr>
              <w:overflowPunct/>
              <w:spacing w:before="120" w:after="120"/>
              <w:textAlignment w:val="auto"/>
              <w:rPr>
                <w:rFonts w:cs="TimesNewRomanPS"/>
                <w:sz w:val="22"/>
                <w:szCs w:val="22"/>
              </w:rPr>
            </w:pPr>
            <w:r w:rsidRPr="000E6C2B">
              <w:rPr>
                <w:rFonts w:cs="TimesNewRomanPS"/>
                <w:sz w:val="22"/>
                <w:szCs w:val="22"/>
              </w:rPr>
              <w:lastRenderedPageBreak/>
              <w:t xml:space="preserve">If a child </w:t>
            </w:r>
            <w:r>
              <w:rPr>
                <w:rFonts w:cs="TimesNewRomanPS"/>
                <w:sz w:val="22"/>
                <w:szCs w:val="22"/>
              </w:rPr>
              <w:t>has experienced</w:t>
            </w:r>
            <w:r w:rsidRPr="000E6C2B">
              <w:rPr>
                <w:rFonts w:cs="TimesNewRomanPS"/>
                <w:sz w:val="22"/>
                <w:szCs w:val="22"/>
              </w:rPr>
              <w:t xml:space="preserve"> encephalopathy or encephalitis within seven days of immunisation, </w:t>
            </w:r>
            <w:r>
              <w:rPr>
                <w:rFonts w:cs="TimesNewRomanPS"/>
                <w:sz w:val="22"/>
                <w:szCs w:val="22"/>
              </w:rPr>
              <w:t>i</w:t>
            </w:r>
            <w:r w:rsidRPr="000E6C2B">
              <w:rPr>
                <w:rFonts w:cs="TimesNewRomanPS"/>
                <w:sz w:val="22"/>
                <w:szCs w:val="22"/>
              </w:rPr>
              <w:t xml:space="preserve">t is unlikely that these conditions will have been caused by the vaccine and they should be investigated by a specialist. If a cause is </w:t>
            </w:r>
            <w:r>
              <w:rPr>
                <w:rFonts w:cs="TimesNewRomanPS"/>
                <w:sz w:val="22"/>
                <w:szCs w:val="22"/>
              </w:rPr>
              <w:t>identified or the child recovered</w:t>
            </w:r>
            <w:r w:rsidRPr="000E6C2B">
              <w:rPr>
                <w:rFonts w:cs="TimesNewRomanPS"/>
                <w:sz w:val="22"/>
                <w:szCs w:val="22"/>
              </w:rPr>
              <w:t xml:space="preserve"> within seven days, immunisation should proceed as recommended. In children where no underlying cause was found and the child did not recover completely within seven days, immunisation should be deferred unt</w:t>
            </w:r>
            <w:r w:rsidR="00193510">
              <w:rPr>
                <w:rFonts w:cs="TimesNewRomanPS"/>
                <w:sz w:val="22"/>
                <w:szCs w:val="22"/>
              </w:rPr>
              <w:t>il the condition has stabiliz</w:t>
            </w:r>
            <w:r>
              <w:rPr>
                <w:rFonts w:cs="TimesNewRomanPS"/>
                <w:sz w:val="22"/>
                <w:szCs w:val="22"/>
              </w:rPr>
              <w:t xml:space="preserve">ed </w:t>
            </w:r>
            <w:r w:rsidRPr="00550944">
              <w:rPr>
                <w:rFonts w:cs="Arial"/>
                <w:sz w:val="22"/>
                <w:szCs w:val="22"/>
              </w:rPr>
              <w:t>or the expected course of the condition becomes clear.</w:t>
            </w:r>
          </w:p>
          <w:p w:rsidR="004631DE" w:rsidRPr="00451AAE" w:rsidRDefault="004631DE" w:rsidP="004631DE">
            <w:pPr>
              <w:shd w:val="clear" w:color="auto" w:fill="FFFFFF"/>
              <w:overflowPunct/>
              <w:autoSpaceDE/>
              <w:autoSpaceDN/>
              <w:adjustRightInd/>
              <w:spacing w:before="120"/>
              <w:textAlignment w:val="auto"/>
              <w:rPr>
                <w:rFonts w:cs="Arial"/>
                <w:sz w:val="22"/>
                <w:szCs w:val="22"/>
              </w:rPr>
            </w:pPr>
            <w:r w:rsidRPr="00451AAE">
              <w:rPr>
                <w:rFonts w:cs="Arial"/>
                <w:sz w:val="22"/>
                <w:szCs w:val="22"/>
              </w:rPr>
              <w:t>If a seizure associated with a fever occurred within 72 hours of a previous immunisation wi</w:t>
            </w:r>
            <w:r>
              <w:rPr>
                <w:rFonts w:cs="Arial"/>
                <w:sz w:val="22"/>
                <w:szCs w:val="22"/>
              </w:rPr>
              <w:t>th pertussis containing vaccine</w:t>
            </w:r>
            <w:r w:rsidRPr="00451AAE">
              <w:rPr>
                <w:rFonts w:cs="Arial"/>
                <w:sz w:val="22"/>
                <w:szCs w:val="22"/>
              </w:rPr>
              <w:t xml:space="preserve">, immunisation should continue as recommended if a cause is identified or the child recovers within 24 hours. However, if no underlying cause has been found and the child did not recover completely within 24 hours, further immunisation should be deferred until the condition is stable. </w:t>
            </w:r>
          </w:p>
          <w:p w:rsidR="00A77B34" w:rsidRPr="00C27037" w:rsidRDefault="004631DE" w:rsidP="004631DE">
            <w:pPr>
              <w:shd w:val="clear" w:color="auto" w:fill="FFFFFF"/>
              <w:overflowPunct/>
              <w:autoSpaceDE/>
              <w:autoSpaceDN/>
              <w:adjustRightInd/>
              <w:spacing w:before="120" w:after="120"/>
              <w:textAlignment w:val="auto"/>
              <w:rPr>
                <w:rFonts w:eastAsiaTheme="minorHAnsi" w:cs="Arial"/>
                <w:sz w:val="22"/>
                <w:szCs w:val="22"/>
                <w:lang w:eastAsia="en-US"/>
              </w:rPr>
            </w:pPr>
            <w:r w:rsidRPr="00E34432">
              <w:rPr>
                <w:rFonts w:eastAsiaTheme="minorHAnsi" w:cs="Arial"/>
                <w:sz w:val="22"/>
                <w:szCs w:val="22"/>
                <w:lang w:eastAsia="en-US"/>
              </w:rPr>
              <w:t>The immunogenicity of the vaccine could be reduced in immunosuppressed subjects.</w:t>
            </w:r>
            <w:r>
              <w:rPr>
                <w:rFonts w:eastAsiaTheme="minorHAnsi" w:cs="Arial"/>
                <w:sz w:val="22"/>
                <w:szCs w:val="22"/>
                <w:lang w:eastAsia="en-US"/>
              </w:rPr>
              <w:t xml:space="preserve"> Vaccination should proceed in accordance with the national recommendations. However, re-immunisation may need to be considered. Seek medical advice as appropriate. </w:t>
            </w:r>
          </w:p>
        </w:tc>
      </w:tr>
      <w:tr w:rsidR="00A956FD" w:rsidRPr="00FA5A5F" w:rsidTr="00BA2EE8">
        <w:tc>
          <w:tcPr>
            <w:tcW w:w="2977" w:type="dxa"/>
          </w:tcPr>
          <w:p w:rsidR="0077518F" w:rsidRPr="004F19F2"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rsidR="003260D6" w:rsidRPr="003260D6" w:rsidRDefault="003260D6" w:rsidP="00D21F87">
            <w:pPr>
              <w:spacing w:before="120" w:after="120"/>
              <w:contextualSpacing/>
              <w:rPr>
                <w:rFonts w:cs="Arial"/>
                <w:sz w:val="22"/>
                <w:szCs w:val="22"/>
              </w:rPr>
            </w:pPr>
            <w:r w:rsidRPr="003260D6">
              <w:rPr>
                <w:rFonts w:cs="Arial"/>
                <w:sz w:val="22"/>
                <w:szCs w:val="22"/>
              </w:rPr>
              <w:t xml:space="preserve">If </w:t>
            </w:r>
            <w:r>
              <w:rPr>
                <w:rFonts w:cs="Arial"/>
                <w:sz w:val="22"/>
                <w:szCs w:val="22"/>
              </w:rPr>
              <w:t xml:space="preserve">the </w:t>
            </w:r>
            <w:r w:rsidRPr="003260D6">
              <w:rPr>
                <w:rFonts w:cs="Arial"/>
                <w:sz w:val="22"/>
                <w:szCs w:val="22"/>
              </w:rPr>
              <w:t xml:space="preserve">individual is aged less than 3 years 4 months assess for immunisation with DTaP/IPV/Hib/HepB or DTaP/IPV/Hib (see DTaP/IPV/Hib/HepB </w:t>
            </w:r>
            <w:r>
              <w:rPr>
                <w:rFonts w:cs="Arial"/>
                <w:sz w:val="22"/>
                <w:szCs w:val="22"/>
              </w:rPr>
              <w:t xml:space="preserve">PGD and </w:t>
            </w:r>
            <w:r w:rsidRPr="003260D6">
              <w:rPr>
                <w:rFonts w:cs="Arial"/>
                <w:sz w:val="22"/>
                <w:szCs w:val="22"/>
              </w:rPr>
              <w:t>DTaP/IPV/Hib PGD for</w:t>
            </w:r>
            <w:r>
              <w:rPr>
                <w:rFonts w:cs="Arial"/>
                <w:sz w:val="22"/>
                <w:szCs w:val="22"/>
              </w:rPr>
              <w:t xml:space="preserve"> the</w:t>
            </w:r>
            <w:r w:rsidRPr="003260D6">
              <w:rPr>
                <w:rFonts w:cs="Arial"/>
                <w:sz w:val="22"/>
                <w:szCs w:val="22"/>
              </w:rPr>
              <w:t xml:space="preserve"> primary immunisation series)</w:t>
            </w:r>
            <w:r w:rsidR="00D21F87">
              <w:rPr>
                <w:rFonts w:cs="Arial"/>
                <w:sz w:val="22"/>
                <w:szCs w:val="22"/>
              </w:rPr>
              <w:t>.</w:t>
            </w:r>
            <w:r w:rsidRPr="003260D6">
              <w:rPr>
                <w:rFonts w:cs="Arial"/>
                <w:sz w:val="22"/>
                <w:szCs w:val="22"/>
              </w:rPr>
              <w:t xml:space="preserve"> </w:t>
            </w:r>
          </w:p>
          <w:p w:rsidR="003260D6" w:rsidRPr="003260D6" w:rsidRDefault="003260D6" w:rsidP="003260D6">
            <w:pPr>
              <w:pStyle w:val="TableParagraph"/>
              <w:spacing w:before="120" w:after="120"/>
              <w:rPr>
                <w:rFonts w:ascii="Arial" w:eastAsiaTheme="minorHAnsi" w:hAnsi="Arial" w:cs="Arial"/>
                <w:lang w:val="en-GB"/>
              </w:rPr>
            </w:pPr>
            <w:r w:rsidRPr="003260D6">
              <w:rPr>
                <w:rFonts w:ascii="Arial" w:hAnsi="Arial" w:cs="Arial"/>
              </w:rPr>
              <w:t xml:space="preserve">If </w:t>
            </w:r>
            <w:r>
              <w:rPr>
                <w:rFonts w:ascii="Arial" w:hAnsi="Arial" w:cs="Arial"/>
              </w:rPr>
              <w:t xml:space="preserve">the </w:t>
            </w:r>
            <w:r w:rsidRPr="003260D6">
              <w:rPr>
                <w:rFonts w:ascii="Arial" w:hAnsi="Arial" w:cs="Arial"/>
              </w:rPr>
              <w:t>individual is aged 10 years or over assess for immunisation with Td/IPV as required.</w:t>
            </w:r>
          </w:p>
          <w:p w:rsidR="004631DE" w:rsidRPr="00F9795C" w:rsidRDefault="004631DE" w:rsidP="004631DE">
            <w:pPr>
              <w:pStyle w:val="TableParagraph"/>
              <w:spacing w:before="120" w:after="120"/>
              <w:rPr>
                <w:rFonts w:ascii="Arial" w:eastAsiaTheme="minorHAnsi" w:hAnsi="Arial" w:cs="Arial"/>
                <w:lang w:val="en-GB"/>
              </w:rPr>
            </w:pPr>
            <w:r>
              <w:rPr>
                <w:rFonts w:ascii="Arial" w:eastAsiaTheme="minorHAnsi" w:hAnsi="Arial" w:cs="Arial"/>
                <w:lang w:val="en-GB"/>
              </w:rPr>
              <w:t>If the individual has</w:t>
            </w:r>
            <w:r w:rsidRPr="00B771C0">
              <w:rPr>
                <w:rFonts w:ascii="Arial" w:eastAsiaTheme="minorHAnsi" w:hAnsi="Arial" w:cs="Arial"/>
                <w:lang w:val="en-GB"/>
              </w:rPr>
              <w:t xml:space="preserve"> not yet completed primary immunisation with three doses of diphtheria, tetanus, pertussis and poliomyelitis antigen provide priming doses of </w:t>
            </w:r>
            <w:r w:rsidR="00805E92">
              <w:rPr>
                <w:rFonts w:ascii="Arial" w:eastAsiaTheme="minorHAnsi" w:hAnsi="Arial" w:cs="Arial"/>
                <w:lang w:val="en-GB"/>
              </w:rPr>
              <w:t xml:space="preserve">DTaP/IPV/Hib/HepB, </w:t>
            </w:r>
            <w:r w:rsidRPr="00B771C0">
              <w:rPr>
                <w:rFonts w:ascii="Arial" w:eastAsiaTheme="minorHAnsi" w:hAnsi="Arial" w:cs="Arial"/>
                <w:lang w:val="en-GB"/>
              </w:rPr>
              <w:t>DTaP/IPV/Hib or DTaP/IPV as required</w:t>
            </w:r>
            <w:r w:rsidR="00001CB9">
              <w:rPr>
                <w:rFonts w:ascii="Arial" w:eastAsiaTheme="minorHAnsi" w:hAnsi="Arial" w:cs="Arial"/>
                <w:lang w:val="en-GB"/>
              </w:rPr>
              <w:t>.</w:t>
            </w:r>
            <w:r w:rsidRPr="00B771C0">
              <w:rPr>
                <w:rFonts w:ascii="Arial" w:eastAsiaTheme="minorHAnsi" w:hAnsi="Arial" w:cs="Arial"/>
                <w:lang w:val="en-GB"/>
              </w:rPr>
              <w:t xml:space="preserve"> Note: this is outside the remit of this PGD.</w:t>
            </w:r>
          </w:p>
          <w:p w:rsidR="004631DE" w:rsidRPr="00F9795C" w:rsidRDefault="004631DE" w:rsidP="004631DE">
            <w:pPr>
              <w:overflowPunct/>
              <w:spacing w:before="120" w:after="120"/>
              <w:textAlignment w:val="auto"/>
              <w:rPr>
                <w:rFonts w:eastAsiaTheme="minorHAnsi" w:cs="Arial"/>
                <w:sz w:val="22"/>
                <w:szCs w:val="22"/>
                <w:lang w:eastAsia="en-US"/>
              </w:rPr>
            </w:pPr>
            <w:r w:rsidRPr="00F9795C">
              <w:rPr>
                <w:rFonts w:eastAsiaTheme="minorHAnsi" w:cs="Arial"/>
                <w:sz w:val="22"/>
                <w:szCs w:val="22"/>
                <w:lang w:eastAsia="en-US"/>
              </w:rPr>
              <w:t xml:space="preserve">If </w:t>
            </w:r>
            <w:r w:rsidRPr="00613F53">
              <w:rPr>
                <w:rFonts w:eastAsiaTheme="minorHAnsi" w:cs="Arial"/>
                <w:sz w:val="22"/>
                <w:szCs w:val="22"/>
                <w:lang w:eastAsia="en-US"/>
              </w:rPr>
              <w:t xml:space="preserve">a dose of </w:t>
            </w:r>
            <w:r w:rsidRPr="00F52244">
              <w:rPr>
                <w:rFonts w:eastAsiaTheme="minorHAnsi" w:cs="Arial"/>
                <w:sz w:val="22"/>
                <w:szCs w:val="22"/>
                <w:lang w:eastAsia="en-US"/>
              </w:rPr>
              <w:t>diphtheria, tetanus, pertussis</w:t>
            </w:r>
            <w:r>
              <w:rPr>
                <w:rFonts w:eastAsiaTheme="minorHAnsi" w:cs="Arial"/>
                <w:sz w:val="22"/>
                <w:szCs w:val="22"/>
                <w:lang w:eastAsia="en-US"/>
              </w:rPr>
              <w:t xml:space="preserve"> and</w:t>
            </w:r>
            <w:r w:rsidRPr="00F52244">
              <w:rPr>
                <w:rFonts w:eastAsiaTheme="minorHAnsi" w:cs="Arial"/>
                <w:sz w:val="22"/>
                <w:szCs w:val="22"/>
                <w:lang w:eastAsia="en-US"/>
              </w:rPr>
              <w:t xml:space="preserve"> poliomyelitis containing vaccine</w:t>
            </w:r>
            <w:r>
              <w:rPr>
                <w:rFonts w:eastAsiaTheme="minorHAnsi" w:cs="Arial"/>
                <w:sz w:val="22"/>
                <w:szCs w:val="22"/>
                <w:lang w:eastAsia="en-US"/>
              </w:rPr>
              <w:t xml:space="preserve"> has been received</w:t>
            </w:r>
            <w:r w:rsidRPr="00613F53">
              <w:rPr>
                <w:rFonts w:eastAsiaTheme="minorHAnsi" w:cs="Arial"/>
                <w:sz w:val="22"/>
                <w:szCs w:val="22"/>
                <w:lang w:eastAsia="en-US"/>
              </w:rPr>
              <w:t xml:space="preserve"> within the last 12 months</w:t>
            </w:r>
            <w:r>
              <w:rPr>
                <w:rFonts w:eastAsiaTheme="minorHAnsi" w:cs="Arial"/>
                <w:sz w:val="22"/>
                <w:szCs w:val="22"/>
                <w:lang w:eastAsia="en-US"/>
              </w:rPr>
              <w:t>, defer immunisation until appropriate interval.</w:t>
            </w:r>
          </w:p>
          <w:p w:rsidR="004631DE" w:rsidRPr="004631DE" w:rsidRDefault="004631DE" w:rsidP="004631DE">
            <w:pPr>
              <w:overflowPunct/>
              <w:spacing w:before="120" w:after="120"/>
              <w:textAlignment w:val="auto"/>
              <w:rPr>
                <w:rFonts w:eastAsiaTheme="minorHAnsi" w:cs="Arial"/>
                <w:sz w:val="22"/>
                <w:szCs w:val="22"/>
                <w:lang w:eastAsia="en-US"/>
              </w:rPr>
            </w:pPr>
            <w:r w:rsidRPr="004631DE">
              <w:rPr>
                <w:rFonts w:eastAsiaTheme="minorHAnsi" w:cs="Arial"/>
                <w:sz w:val="22"/>
                <w:szCs w:val="22"/>
                <w:lang w:eastAsia="en-US"/>
              </w:rPr>
              <w:t>In case of postponement due to acute severe febrile illness, advise when the individual can be vaccinated and ensure another appointment is arranged.</w:t>
            </w:r>
          </w:p>
          <w:p w:rsidR="00EB6EF3" w:rsidRPr="004631DE" w:rsidRDefault="00EB6EF3" w:rsidP="00EB6EF3">
            <w:pPr>
              <w:ind w:left="34"/>
              <w:rPr>
                <w:rFonts w:cs="Arial"/>
                <w:sz w:val="22"/>
                <w:szCs w:val="22"/>
              </w:rPr>
            </w:pPr>
            <w:r w:rsidRPr="004631DE">
              <w:rPr>
                <w:rFonts w:cs="Arial"/>
                <w:sz w:val="22"/>
                <w:szCs w:val="22"/>
              </w:rPr>
              <w:t xml:space="preserve">Seek appropriate advice from the local Screening and Immunisation Team, </w:t>
            </w:r>
            <w:r w:rsidR="004631DE">
              <w:rPr>
                <w:rFonts w:cs="Arial"/>
                <w:sz w:val="22"/>
                <w:szCs w:val="22"/>
              </w:rPr>
              <w:t>local</w:t>
            </w:r>
            <w:r w:rsidRPr="004631DE">
              <w:rPr>
                <w:rFonts w:cs="Arial"/>
                <w:sz w:val="22"/>
                <w:szCs w:val="22"/>
              </w:rPr>
              <w:t xml:space="preserve"> Health Protection</w:t>
            </w:r>
            <w:r w:rsidR="004631DE">
              <w:rPr>
                <w:rFonts w:cs="Arial"/>
                <w:sz w:val="22"/>
                <w:szCs w:val="22"/>
              </w:rPr>
              <w:t xml:space="preserve"> Team</w:t>
            </w:r>
            <w:r w:rsidRPr="004631DE">
              <w:rPr>
                <w:rFonts w:cs="Arial"/>
                <w:sz w:val="22"/>
                <w:szCs w:val="22"/>
              </w:rPr>
              <w:t xml:space="preserve"> or the individual’s clinician </w:t>
            </w:r>
            <w:r w:rsidR="00D21F87">
              <w:rPr>
                <w:rFonts w:cs="Arial"/>
                <w:sz w:val="22"/>
                <w:szCs w:val="22"/>
              </w:rPr>
              <w:t>as required</w:t>
            </w:r>
            <w:r w:rsidRPr="004631DE">
              <w:rPr>
                <w:rFonts w:cs="Arial"/>
                <w:sz w:val="22"/>
                <w:szCs w:val="22"/>
              </w:rPr>
              <w:t xml:space="preserve"> rather than delay immunisation. </w:t>
            </w:r>
          </w:p>
          <w:p w:rsidR="00AD442F" w:rsidRPr="004631DE" w:rsidRDefault="00AD442F" w:rsidP="00AD442F">
            <w:pPr>
              <w:pStyle w:val="TableParagraph"/>
              <w:spacing w:before="120" w:after="120"/>
              <w:ind w:right="164"/>
              <w:rPr>
                <w:rFonts w:ascii="Arial" w:eastAsia="Arial" w:hAnsi="Arial" w:cs="Arial"/>
              </w:rPr>
            </w:pPr>
            <w:r w:rsidRPr="004631DE">
              <w:rPr>
                <w:rFonts w:ascii="Arial" w:eastAsia="Arial" w:hAnsi="Arial" w:cs="Arial"/>
              </w:rPr>
              <w:t>The</w:t>
            </w:r>
            <w:r w:rsidRPr="004631DE">
              <w:rPr>
                <w:rFonts w:ascii="Arial" w:eastAsia="Arial" w:hAnsi="Arial" w:cs="Arial"/>
                <w:spacing w:val="23"/>
              </w:rPr>
              <w:t xml:space="preserve"> </w:t>
            </w:r>
            <w:r w:rsidRPr="004631DE">
              <w:rPr>
                <w:rFonts w:ascii="Arial" w:eastAsia="Arial" w:hAnsi="Arial" w:cs="Arial"/>
              </w:rPr>
              <w:t>risk</w:t>
            </w:r>
            <w:r w:rsidRPr="004631DE">
              <w:rPr>
                <w:rFonts w:ascii="Arial" w:eastAsia="Arial" w:hAnsi="Arial" w:cs="Arial"/>
                <w:spacing w:val="4"/>
              </w:rPr>
              <w:t xml:space="preserve"> </w:t>
            </w:r>
            <w:r w:rsidRPr="004631DE">
              <w:rPr>
                <w:rFonts w:ascii="Arial" w:eastAsia="Arial" w:hAnsi="Arial" w:cs="Arial"/>
              </w:rPr>
              <w:t>to</w:t>
            </w:r>
            <w:r w:rsidRPr="004631DE">
              <w:rPr>
                <w:rFonts w:ascii="Arial" w:eastAsia="Arial" w:hAnsi="Arial" w:cs="Arial"/>
                <w:spacing w:val="8"/>
              </w:rPr>
              <w:t xml:space="preserve"> </w:t>
            </w:r>
            <w:r w:rsidRPr="004631DE">
              <w:rPr>
                <w:rFonts w:ascii="Arial" w:eastAsia="Arial" w:hAnsi="Arial" w:cs="Arial"/>
              </w:rPr>
              <w:t>the</w:t>
            </w:r>
            <w:r w:rsidRPr="004631DE">
              <w:rPr>
                <w:rFonts w:ascii="Arial" w:eastAsia="Arial" w:hAnsi="Arial" w:cs="Arial"/>
                <w:spacing w:val="20"/>
              </w:rPr>
              <w:t xml:space="preserve"> </w:t>
            </w:r>
            <w:r w:rsidR="004F19F2" w:rsidRPr="004631DE">
              <w:rPr>
                <w:rFonts w:ascii="Arial" w:eastAsia="Arial" w:hAnsi="Arial" w:cs="Arial"/>
              </w:rPr>
              <w:t>individual</w:t>
            </w:r>
            <w:r w:rsidRPr="004631DE">
              <w:rPr>
                <w:rFonts w:ascii="Arial" w:eastAsia="Arial" w:hAnsi="Arial" w:cs="Arial"/>
              </w:rPr>
              <w:t xml:space="preserve"> of</w:t>
            </w:r>
            <w:r w:rsidRPr="004631DE">
              <w:rPr>
                <w:rFonts w:ascii="Arial" w:eastAsia="Arial" w:hAnsi="Arial" w:cs="Arial"/>
                <w:spacing w:val="15"/>
              </w:rPr>
              <w:t xml:space="preserve"> </w:t>
            </w:r>
            <w:r w:rsidRPr="004631DE">
              <w:rPr>
                <w:rFonts w:ascii="Arial" w:eastAsia="Arial" w:hAnsi="Arial" w:cs="Arial"/>
              </w:rPr>
              <w:t>not</w:t>
            </w:r>
            <w:r w:rsidRPr="004631DE">
              <w:rPr>
                <w:rFonts w:ascii="Arial" w:eastAsia="Arial" w:hAnsi="Arial" w:cs="Arial"/>
                <w:spacing w:val="12"/>
              </w:rPr>
              <w:t xml:space="preserve"> </w:t>
            </w:r>
            <w:r w:rsidRPr="004631DE">
              <w:rPr>
                <w:rFonts w:ascii="Arial" w:eastAsia="Arial" w:hAnsi="Arial" w:cs="Arial"/>
              </w:rPr>
              <w:t>being</w:t>
            </w:r>
            <w:r w:rsidRPr="004631DE">
              <w:rPr>
                <w:rFonts w:ascii="Arial" w:eastAsia="Arial" w:hAnsi="Arial" w:cs="Arial"/>
                <w:spacing w:val="12"/>
              </w:rPr>
              <w:t xml:space="preserve"> </w:t>
            </w:r>
            <w:r w:rsidRPr="004631DE">
              <w:rPr>
                <w:rFonts w:ascii="Arial" w:eastAsia="Arial" w:hAnsi="Arial" w:cs="Arial"/>
              </w:rPr>
              <w:t>immunised</w:t>
            </w:r>
            <w:r w:rsidRPr="004631DE">
              <w:rPr>
                <w:rFonts w:ascii="Arial" w:eastAsia="Arial" w:hAnsi="Arial" w:cs="Arial"/>
                <w:spacing w:val="20"/>
              </w:rPr>
              <w:t xml:space="preserve"> </w:t>
            </w:r>
            <w:r w:rsidRPr="004631DE">
              <w:rPr>
                <w:rFonts w:ascii="Arial" w:eastAsia="Arial" w:hAnsi="Arial" w:cs="Arial"/>
              </w:rPr>
              <w:t>must</w:t>
            </w:r>
            <w:r w:rsidRPr="004631DE">
              <w:rPr>
                <w:rFonts w:ascii="Arial" w:eastAsia="Arial" w:hAnsi="Arial" w:cs="Arial"/>
                <w:spacing w:val="15"/>
              </w:rPr>
              <w:t xml:space="preserve"> </w:t>
            </w:r>
            <w:r w:rsidRPr="004631DE">
              <w:rPr>
                <w:rFonts w:ascii="Arial" w:eastAsia="Arial" w:hAnsi="Arial" w:cs="Arial"/>
              </w:rPr>
              <w:t>be</w:t>
            </w:r>
            <w:r w:rsidRPr="004631DE">
              <w:rPr>
                <w:rFonts w:ascii="Arial" w:eastAsia="Arial" w:hAnsi="Arial" w:cs="Arial"/>
                <w:spacing w:val="5"/>
              </w:rPr>
              <w:t xml:space="preserve"> </w:t>
            </w:r>
            <w:r w:rsidRPr="004631DE">
              <w:rPr>
                <w:rFonts w:ascii="Arial" w:eastAsia="Arial" w:hAnsi="Arial" w:cs="Arial"/>
              </w:rPr>
              <w:t>taken</w:t>
            </w:r>
            <w:r w:rsidRPr="004631DE">
              <w:rPr>
                <w:rFonts w:ascii="Arial" w:eastAsia="Arial" w:hAnsi="Arial" w:cs="Arial"/>
                <w:spacing w:val="21"/>
              </w:rPr>
              <w:t xml:space="preserve"> </w:t>
            </w:r>
            <w:r w:rsidRPr="004631DE">
              <w:rPr>
                <w:rFonts w:ascii="Arial" w:eastAsia="Arial" w:hAnsi="Arial" w:cs="Arial"/>
              </w:rPr>
              <w:t>into account.</w:t>
            </w:r>
          </w:p>
          <w:p w:rsidR="00AD442F" w:rsidRPr="004631DE" w:rsidRDefault="00AD442F" w:rsidP="00AD442F">
            <w:pPr>
              <w:pStyle w:val="Header"/>
              <w:spacing w:before="120" w:after="120"/>
              <w:rPr>
                <w:rFonts w:ascii="Arial" w:eastAsia="Arial" w:hAnsi="Arial" w:cs="Arial"/>
                <w:spacing w:val="-37"/>
                <w:sz w:val="22"/>
                <w:szCs w:val="22"/>
              </w:rPr>
            </w:pPr>
            <w:r w:rsidRPr="004631DE">
              <w:rPr>
                <w:rFonts w:ascii="Arial" w:eastAsia="Arial" w:hAnsi="Arial" w:cs="Arial"/>
                <w:sz w:val="22"/>
                <w:szCs w:val="22"/>
              </w:rPr>
              <w:t>Document reason for exclusion and any action taken</w:t>
            </w:r>
            <w:r w:rsidRPr="004631DE">
              <w:rPr>
                <w:rFonts w:ascii="Arial" w:eastAsia="Arial" w:hAnsi="Arial" w:cs="Arial"/>
                <w:spacing w:val="21"/>
                <w:sz w:val="22"/>
                <w:szCs w:val="22"/>
              </w:rPr>
              <w:t xml:space="preserve"> </w:t>
            </w:r>
            <w:r w:rsidRPr="004631DE">
              <w:rPr>
                <w:rFonts w:ascii="Arial" w:eastAsia="Arial" w:hAnsi="Arial" w:cs="Arial"/>
                <w:sz w:val="22"/>
                <w:szCs w:val="22"/>
              </w:rPr>
              <w:t xml:space="preserve">in </w:t>
            </w:r>
            <w:r w:rsidR="004F19F2" w:rsidRPr="004631DE">
              <w:rPr>
                <w:rFonts w:ascii="Arial" w:eastAsia="Arial" w:hAnsi="Arial" w:cs="Arial"/>
                <w:sz w:val="22"/>
                <w:szCs w:val="22"/>
              </w:rPr>
              <w:t>the individual’s</w:t>
            </w:r>
            <w:r w:rsidR="004F19F2" w:rsidRPr="004631DE">
              <w:rPr>
                <w:rFonts w:ascii="Arial" w:eastAsia="Arial" w:hAnsi="Arial" w:cs="Arial"/>
                <w:spacing w:val="9"/>
                <w:sz w:val="22"/>
                <w:szCs w:val="22"/>
              </w:rPr>
              <w:t xml:space="preserve"> </w:t>
            </w:r>
            <w:r w:rsidRPr="004631DE">
              <w:rPr>
                <w:rFonts w:ascii="Arial" w:eastAsia="Arial" w:hAnsi="Arial" w:cs="Arial"/>
                <w:sz w:val="22"/>
                <w:szCs w:val="22"/>
              </w:rPr>
              <w:t>clinical</w:t>
            </w:r>
            <w:r w:rsidRPr="004631DE">
              <w:rPr>
                <w:rFonts w:ascii="Arial" w:eastAsia="Arial" w:hAnsi="Arial" w:cs="Arial"/>
                <w:spacing w:val="24"/>
                <w:sz w:val="22"/>
                <w:szCs w:val="22"/>
              </w:rPr>
              <w:t xml:space="preserve"> </w:t>
            </w:r>
            <w:r w:rsidRPr="004631DE">
              <w:rPr>
                <w:rFonts w:ascii="Arial" w:eastAsia="Arial" w:hAnsi="Arial" w:cs="Arial"/>
                <w:sz w:val="22"/>
                <w:szCs w:val="22"/>
              </w:rPr>
              <w:t>records</w:t>
            </w:r>
            <w:r w:rsidRPr="004631DE">
              <w:rPr>
                <w:rFonts w:ascii="Arial" w:eastAsia="Arial" w:hAnsi="Arial" w:cs="Arial"/>
                <w:spacing w:val="-37"/>
                <w:sz w:val="22"/>
                <w:szCs w:val="22"/>
              </w:rPr>
              <w:t>.</w:t>
            </w:r>
          </w:p>
          <w:p w:rsidR="00E275E0" w:rsidRPr="00FC1218" w:rsidRDefault="00AD442F" w:rsidP="00D21F87">
            <w:pPr>
              <w:pStyle w:val="TableParagraph"/>
              <w:spacing w:before="120" w:after="60"/>
              <w:ind w:right="164"/>
              <w:rPr>
                <w:color w:val="FF0000"/>
                <w:lang w:eastAsia="en-GB"/>
              </w:rPr>
            </w:pPr>
            <w:r w:rsidRPr="004631DE">
              <w:rPr>
                <w:rFonts w:ascii="Arial" w:hAnsi="Arial" w:cs="Arial"/>
              </w:rPr>
              <w:t>In a GP practice setting, inform or refer to the GP or prescriber</w:t>
            </w:r>
            <w:r w:rsidR="004F19F2" w:rsidRPr="004631DE">
              <w:rPr>
                <w:rFonts w:ascii="Arial" w:hAnsi="Arial" w:cs="Arial"/>
              </w:rPr>
              <w:t xml:space="preserve"> as appropriate</w:t>
            </w:r>
            <w:r w:rsidRPr="004631DE">
              <w:rPr>
                <w:rFonts w:ascii="Arial" w:hAnsi="Arial" w:cs="Arial"/>
              </w:rPr>
              <w:t>.</w:t>
            </w:r>
          </w:p>
        </w:tc>
      </w:tr>
    </w:tbl>
    <w:p w:rsidR="00C27037" w:rsidRDefault="00C27037"/>
    <w:p w:rsidR="00C27037" w:rsidRDefault="00C27037" w:rsidP="00C27037">
      <w:pPr>
        <w:jc w:val="center"/>
      </w:pPr>
    </w:p>
    <w:p w:rsidR="00C27037" w:rsidRDefault="00C27037" w:rsidP="00C27037">
      <w:pPr>
        <w:jc w:val="center"/>
      </w:pPr>
      <w:r>
        <w:t>Continued over page</w:t>
      </w:r>
    </w:p>
    <w:p w:rsidR="00C27037" w:rsidRDefault="00C27037" w:rsidP="00C27037">
      <w:pPr>
        <w:jc w:val="cente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rsidTr="00E47B6D">
        <w:tc>
          <w:tcPr>
            <w:tcW w:w="2977" w:type="dxa"/>
          </w:tcPr>
          <w:p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lastRenderedPageBreak/>
              <w:br w:type="page"/>
            </w:r>
            <w:r w:rsidR="00BA16C1" w:rsidRPr="000D502B">
              <w:rPr>
                <w:rFonts w:ascii="Arial" w:hAnsi="Arial" w:cs="Arial"/>
                <w:b/>
                <w:sz w:val="22"/>
                <w:szCs w:val="22"/>
              </w:rPr>
              <w:t>Action to be taken if the patient or carer declines treatment</w:t>
            </w:r>
          </w:p>
        </w:tc>
        <w:tc>
          <w:tcPr>
            <w:tcW w:w="6946" w:type="dxa"/>
          </w:tcPr>
          <w:p w:rsidR="000D502B" w:rsidRPr="00AF091B" w:rsidRDefault="000D502B" w:rsidP="000D502B">
            <w:pPr>
              <w:spacing w:before="120" w:after="120"/>
              <w:rPr>
                <w:rFonts w:cs="Arial"/>
                <w:sz w:val="22"/>
                <w:szCs w:val="22"/>
                <w:lang w:val="en-US"/>
              </w:rPr>
            </w:pPr>
            <w:r w:rsidRPr="00AF091B">
              <w:rPr>
                <w:rFonts w:cs="Arial"/>
                <w:sz w:val="22"/>
                <w:szCs w:val="22"/>
                <w:lang w:val="en-US"/>
              </w:rPr>
              <w:t>Informed consent, from the individual or a person legally able to act on the person’s behalf, must be obtained for each administration.</w:t>
            </w:r>
          </w:p>
          <w:p w:rsidR="000D502B" w:rsidRPr="00AF091B" w:rsidRDefault="000D502B" w:rsidP="000D502B">
            <w:pPr>
              <w:spacing w:after="120"/>
              <w:rPr>
                <w:rFonts w:cs="Arial"/>
                <w:sz w:val="22"/>
                <w:szCs w:val="22"/>
                <w:lang w:val="en-US"/>
              </w:rPr>
            </w:pPr>
            <w:r w:rsidRPr="00AF091B">
              <w:rPr>
                <w:rFonts w:cs="Arial"/>
                <w:sz w:val="22"/>
                <w:szCs w:val="22"/>
                <w:lang w:val="en-US"/>
              </w:rPr>
              <w:t>Advise the individual/parent/carer about the protective effects of the vaccine, the risks of infection and potential complications of disease.</w:t>
            </w:r>
          </w:p>
          <w:p w:rsidR="000D502B" w:rsidRPr="00AF091B" w:rsidRDefault="000D502B" w:rsidP="000D502B">
            <w:pPr>
              <w:spacing w:after="120"/>
              <w:rPr>
                <w:rFonts w:cs="Arial"/>
                <w:sz w:val="22"/>
                <w:szCs w:val="22"/>
              </w:rPr>
            </w:pPr>
            <w:r w:rsidRPr="00AF091B">
              <w:rPr>
                <w:rFonts w:cs="Arial"/>
                <w:sz w:val="22"/>
                <w:szCs w:val="22"/>
              </w:rPr>
              <w:t xml:space="preserve">Document advice given and the decision reached. </w:t>
            </w:r>
          </w:p>
          <w:p w:rsidR="00AF091B" w:rsidRPr="00AF091B" w:rsidRDefault="000D502B" w:rsidP="00AF091B">
            <w:pPr>
              <w:spacing w:after="120"/>
              <w:rPr>
                <w:rFonts w:cs="Arial"/>
                <w:sz w:val="22"/>
                <w:szCs w:val="22"/>
              </w:rPr>
            </w:pPr>
            <w:r w:rsidRPr="00AF091B">
              <w:rPr>
                <w:rFonts w:cs="Arial"/>
                <w:sz w:val="22"/>
                <w:szCs w:val="22"/>
              </w:rPr>
              <w:t>In a GP practice setting, inform or refer to the GP as appropriate.</w:t>
            </w:r>
          </w:p>
        </w:tc>
      </w:tr>
      <w:tr w:rsidR="00032A94" w:rsidRPr="00FA5A5F" w:rsidTr="00E47B6D">
        <w:tc>
          <w:tcPr>
            <w:tcW w:w="2977" w:type="dxa"/>
          </w:tcPr>
          <w:p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rsidR="00032A94" w:rsidRPr="00AF091B" w:rsidRDefault="00E5241F" w:rsidP="00B4381D">
            <w:pPr>
              <w:spacing w:before="120" w:after="120"/>
              <w:rPr>
                <w:rFonts w:cs="Arial"/>
                <w:sz w:val="22"/>
                <w:szCs w:val="22"/>
              </w:rPr>
            </w:pPr>
            <w:r w:rsidRPr="00AF091B">
              <w:rPr>
                <w:rFonts w:cs="Arial"/>
                <w:sz w:val="22"/>
                <w:szCs w:val="22"/>
              </w:rPr>
              <w:t>As per local policy</w:t>
            </w:r>
          </w:p>
        </w:tc>
      </w:tr>
    </w:tbl>
    <w:p w:rsidR="003B1FF7" w:rsidRDefault="003B1FF7" w:rsidP="003B1FF7">
      <w:pPr>
        <w:pStyle w:val="ListParagraph"/>
        <w:rPr>
          <w:b/>
          <w:szCs w:val="24"/>
        </w:rPr>
      </w:pPr>
    </w:p>
    <w:p w:rsidR="003B1FF7" w:rsidRDefault="003B1FF7">
      <w:pPr>
        <w:overflowPunct/>
        <w:autoSpaceDE/>
        <w:autoSpaceDN/>
        <w:adjustRightInd/>
        <w:jc w:val="center"/>
        <w:textAlignment w:val="auto"/>
        <w:rPr>
          <w:b/>
          <w:szCs w:val="24"/>
        </w:rPr>
      </w:pPr>
      <w:r>
        <w:rPr>
          <w:b/>
          <w:szCs w:val="24"/>
        </w:rPr>
        <w:br w:type="page"/>
      </w:r>
    </w:p>
    <w:p w:rsidR="008431D2" w:rsidRPr="00807571" w:rsidRDefault="00B37C58" w:rsidP="00063BEF">
      <w:pPr>
        <w:pStyle w:val="ListParagraph"/>
        <w:numPr>
          <w:ilvl w:val="0"/>
          <w:numId w:val="5"/>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FA5A5F" w:rsidTr="0087180E">
        <w:tc>
          <w:tcPr>
            <w:tcW w:w="2977" w:type="dxa"/>
          </w:tcPr>
          <w:p w:rsidR="00B37C58" w:rsidRPr="000D502B" w:rsidRDefault="00B37C58" w:rsidP="007E045E">
            <w:pPr>
              <w:spacing w:before="120" w:after="120"/>
              <w:rPr>
                <w:rFonts w:cs="Arial"/>
                <w:b/>
                <w:sz w:val="22"/>
                <w:szCs w:val="22"/>
              </w:rPr>
            </w:pPr>
            <w:r w:rsidRPr="000D502B">
              <w:rPr>
                <w:rFonts w:cs="Arial"/>
                <w:b/>
                <w:sz w:val="22"/>
                <w:szCs w:val="22"/>
              </w:rPr>
              <w:t>Name, strength &amp; formulation of drug</w:t>
            </w:r>
          </w:p>
        </w:tc>
        <w:tc>
          <w:tcPr>
            <w:tcW w:w="6946" w:type="dxa"/>
          </w:tcPr>
          <w:p w:rsidR="00AF091B" w:rsidRPr="001D7C84" w:rsidRDefault="00AF091B" w:rsidP="001D7C84">
            <w:pPr>
              <w:shd w:val="clear" w:color="auto" w:fill="FFFFFF"/>
              <w:spacing w:before="120"/>
              <w:rPr>
                <w:sz w:val="22"/>
                <w:szCs w:val="22"/>
              </w:rPr>
            </w:pPr>
            <w:r w:rsidRPr="004C6821">
              <w:rPr>
                <w:rFonts w:cs="Arial"/>
                <w:sz w:val="22"/>
                <w:szCs w:val="22"/>
                <w:lang w:val="en"/>
              </w:rPr>
              <w:t xml:space="preserve">Diphtheria, tetanus, pertussis (acellular, component), poliomyelitis (inactivated) </w:t>
            </w:r>
            <w:r w:rsidRPr="004C6821">
              <w:rPr>
                <w:sz w:val="22"/>
                <w:szCs w:val="22"/>
              </w:rPr>
              <w:t xml:space="preserve">and </w:t>
            </w:r>
            <w:r w:rsidRPr="004C6821">
              <w:rPr>
                <w:i/>
                <w:sz w:val="22"/>
                <w:szCs w:val="22"/>
              </w:rPr>
              <w:t>Haemophilus influenzae</w:t>
            </w:r>
            <w:r w:rsidRPr="004C6821">
              <w:rPr>
                <w:sz w:val="22"/>
                <w:szCs w:val="22"/>
              </w:rPr>
              <w:t xml:space="preserve"> type b conjugate v</w:t>
            </w:r>
            <w:r w:rsidR="001D7C84">
              <w:rPr>
                <w:sz w:val="22"/>
                <w:szCs w:val="22"/>
              </w:rPr>
              <w:t>accine (adsorbed), DTaP/IPV/Hib, e</w:t>
            </w:r>
            <w:r w:rsidRPr="004C6821">
              <w:rPr>
                <w:rFonts w:cs="Arial"/>
                <w:sz w:val="22"/>
                <w:szCs w:val="22"/>
                <w:lang w:val="en"/>
              </w:rPr>
              <w:t>g:</w:t>
            </w:r>
          </w:p>
          <w:p w:rsidR="00AF091B" w:rsidRPr="004C6821" w:rsidRDefault="00AF091B" w:rsidP="00AF091B">
            <w:pPr>
              <w:pStyle w:val="ListParagraph"/>
              <w:numPr>
                <w:ilvl w:val="0"/>
                <w:numId w:val="25"/>
              </w:numPr>
              <w:shd w:val="clear" w:color="auto" w:fill="FFFFFF"/>
              <w:overflowPunct/>
              <w:autoSpaceDE/>
              <w:autoSpaceDN/>
              <w:adjustRightInd/>
              <w:spacing w:after="120"/>
              <w:textAlignment w:val="auto"/>
              <w:rPr>
                <w:rFonts w:cs="Arial"/>
                <w:sz w:val="22"/>
                <w:szCs w:val="22"/>
                <w:lang w:val="en"/>
              </w:rPr>
            </w:pPr>
            <w:r w:rsidRPr="004C6821">
              <w:rPr>
                <w:rFonts w:cs="Arial"/>
                <w:sz w:val="22"/>
                <w:szCs w:val="22"/>
                <w:lang w:val="en"/>
              </w:rPr>
              <w:t>Infanrix</w:t>
            </w:r>
            <w:r w:rsidRPr="004C6821">
              <w:rPr>
                <w:rFonts w:cs="Arial"/>
                <w:sz w:val="22"/>
                <w:szCs w:val="22"/>
                <w:vertAlign w:val="superscript"/>
                <w:lang w:val="en"/>
              </w:rPr>
              <w:t>®</w:t>
            </w:r>
            <w:r w:rsidRPr="004C6821">
              <w:rPr>
                <w:rFonts w:cs="Arial"/>
                <w:sz w:val="22"/>
                <w:szCs w:val="22"/>
                <w:lang w:val="en"/>
              </w:rPr>
              <w:t xml:space="preserve">-IPV+Hib, powder (Hib) in vial and suspension (DTaP/IPV) for </w:t>
            </w:r>
            <w:r>
              <w:rPr>
                <w:rFonts w:cs="Arial"/>
                <w:sz w:val="22"/>
                <w:szCs w:val="22"/>
                <w:lang w:val="en"/>
              </w:rPr>
              <w:t xml:space="preserve">suspension for </w:t>
            </w:r>
            <w:r w:rsidRPr="004C6821">
              <w:rPr>
                <w:rFonts w:cs="Arial"/>
                <w:sz w:val="22"/>
                <w:szCs w:val="22"/>
                <w:lang w:val="en"/>
              </w:rPr>
              <w:t>injection in pre-filled syringe</w:t>
            </w:r>
          </w:p>
          <w:p w:rsidR="001E2011" w:rsidRPr="00FC1218" w:rsidRDefault="00AF091B" w:rsidP="00AF091B">
            <w:pPr>
              <w:pStyle w:val="ListParagraph"/>
              <w:numPr>
                <w:ilvl w:val="0"/>
                <w:numId w:val="25"/>
              </w:numPr>
              <w:shd w:val="clear" w:color="auto" w:fill="FFFFFF"/>
              <w:overflowPunct/>
              <w:autoSpaceDE/>
              <w:autoSpaceDN/>
              <w:adjustRightInd/>
              <w:spacing w:after="120"/>
              <w:contextualSpacing w:val="0"/>
              <w:textAlignment w:val="auto"/>
              <w:rPr>
                <w:rFonts w:cs="Arial"/>
                <w:color w:val="FF0000"/>
                <w:sz w:val="22"/>
                <w:szCs w:val="22"/>
                <w:lang w:val="en"/>
              </w:rPr>
            </w:pPr>
            <w:r w:rsidRPr="004C6821">
              <w:rPr>
                <w:rFonts w:cs="Arial"/>
                <w:sz w:val="22"/>
                <w:szCs w:val="22"/>
                <w:lang w:val="en"/>
              </w:rPr>
              <w:t>Pediacel</w:t>
            </w:r>
            <w:r w:rsidRPr="004C6821">
              <w:rPr>
                <w:rFonts w:cs="Arial"/>
                <w:sz w:val="22"/>
                <w:szCs w:val="22"/>
                <w:vertAlign w:val="superscript"/>
                <w:lang w:val="en"/>
              </w:rPr>
              <w:t>®</w:t>
            </w:r>
            <w:r w:rsidRPr="004C6821">
              <w:rPr>
                <w:rFonts w:cs="Arial"/>
                <w:sz w:val="22"/>
                <w:szCs w:val="22"/>
                <w:lang w:val="en"/>
              </w:rPr>
              <w:t>,</w:t>
            </w:r>
            <w:r w:rsidRPr="004C6821">
              <w:rPr>
                <w:rFonts w:cs="Arial"/>
                <w:sz w:val="22"/>
                <w:szCs w:val="22"/>
                <w:vertAlign w:val="superscript"/>
                <w:lang w:val="en"/>
              </w:rPr>
              <w:t xml:space="preserve"> </w:t>
            </w:r>
            <w:r w:rsidRPr="004C6821">
              <w:rPr>
                <w:rFonts w:cs="Arial"/>
                <w:sz w:val="22"/>
                <w:szCs w:val="22"/>
                <w:lang w:val="en"/>
              </w:rPr>
              <w:t>suspension for injection in pre-filled syringe</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6946" w:type="dxa"/>
          </w:tcPr>
          <w:p w:rsidR="00E5241F" w:rsidRPr="00AF091B" w:rsidRDefault="00E5241F" w:rsidP="00BE1835">
            <w:pPr>
              <w:spacing w:before="120" w:after="120"/>
            </w:pPr>
            <w:r w:rsidRPr="00AF091B">
              <w:rPr>
                <w:rFonts w:eastAsia="Arial" w:cs="Arial"/>
                <w:w w:val="105"/>
                <w:sz w:val="22"/>
                <w:szCs w:val="22"/>
              </w:rPr>
              <w:t>Prescription</w:t>
            </w:r>
            <w:r w:rsidRPr="00AF091B">
              <w:rPr>
                <w:rFonts w:eastAsia="Arial" w:cs="Arial"/>
                <w:spacing w:val="-3"/>
                <w:w w:val="105"/>
                <w:sz w:val="22"/>
                <w:szCs w:val="22"/>
              </w:rPr>
              <w:t xml:space="preserve"> o</w:t>
            </w:r>
            <w:r w:rsidRPr="00AF091B">
              <w:rPr>
                <w:rFonts w:eastAsia="Arial" w:cs="Arial"/>
                <w:w w:val="105"/>
                <w:sz w:val="22"/>
                <w:szCs w:val="22"/>
              </w:rPr>
              <w:t>nly</w:t>
            </w:r>
            <w:r w:rsidRPr="00AF091B">
              <w:rPr>
                <w:rFonts w:eastAsia="Arial" w:cs="Arial"/>
                <w:spacing w:val="-2"/>
                <w:w w:val="105"/>
                <w:sz w:val="22"/>
                <w:szCs w:val="22"/>
              </w:rPr>
              <w:t xml:space="preserve"> m</w:t>
            </w:r>
            <w:r w:rsidRPr="00AF091B">
              <w:rPr>
                <w:rFonts w:eastAsia="Arial" w:cs="Arial"/>
                <w:w w:val="105"/>
                <w:sz w:val="22"/>
                <w:szCs w:val="22"/>
              </w:rPr>
              <w:t>edicine (POM)</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6946" w:type="dxa"/>
          </w:tcPr>
          <w:p w:rsidR="00E5241F" w:rsidRPr="00FC1218" w:rsidRDefault="00184B43" w:rsidP="00BE1835">
            <w:pPr>
              <w:spacing w:before="120" w:after="120"/>
              <w:rPr>
                <w:color w:val="FF0000"/>
              </w:rPr>
            </w:pPr>
            <w:r w:rsidRPr="00184B43">
              <w:rPr>
                <w:sz w:val="22"/>
                <w:szCs w:val="22"/>
              </w:rPr>
              <w:t>No</w:t>
            </w:r>
          </w:p>
        </w:tc>
      </w:tr>
      <w:tr w:rsidR="00E5241F" w:rsidRPr="00FA5A5F" w:rsidTr="00B529E6">
        <w:tc>
          <w:tcPr>
            <w:tcW w:w="2977" w:type="dxa"/>
            <w:shd w:val="clear" w:color="auto" w:fill="auto"/>
          </w:tcPr>
          <w:p w:rsidR="001B0931" w:rsidRDefault="00E5241F" w:rsidP="007E045E">
            <w:pPr>
              <w:spacing w:before="120" w:after="120"/>
              <w:rPr>
                <w:rFonts w:cs="Arial"/>
                <w:b/>
                <w:color w:val="FF0000"/>
                <w:sz w:val="22"/>
                <w:szCs w:val="22"/>
              </w:rPr>
            </w:pPr>
            <w:r w:rsidRPr="000D502B">
              <w:rPr>
                <w:rFonts w:cs="Arial"/>
                <w:b/>
                <w:sz w:val="22"/>
                <w:szCs w:val="22"/>
              </w:rPr>
              <w:t>Off-label use</w:t>
            </w:r>
          </w:p>
          <w:p w:rsidR="001B0931" w:rsidRPr="001B0931" w:rsidRDefault="001B0931" w:rsidP="001B0931">
            <w:pPr>
              <w:rPr>
                <w:rFonts w:cs="Arial"/>
                <w:sz w:val="22"/>
                <w:szCs w:val="22"/>
              </w:rPr>
            </w:pPr>
          </w:p>
          <w:p w:rsidR="001B0931" w:rsidRPr="001B0931" w:rsidRDefault="001B0931" w:rsidP="001B0931">
            <w:pPr>
              <w:rPr>
                <w:rFonts w:cs="Arial"/>
                <w:sz w:val="22"/>
                <w:szCs w:val="22"/>
              </w:rPr>
            </w:pPr>
          </w:p>
          <w:p w:rsidR="00E5241F" w:rsidRPr="001B0931" w:rsidRDefault="00E5241F" w:rsidP="001B0931">
            <w:pPr>
              <w:rPr>
                <w:rFonts w:cs="Arial"/>
                <w:sz w:val="22"/>
                <w:szCs w:val="22"/>
              </w:rPr>
            </w:pPr>
          </w:p>
        </w:tc>
        <w:tc>
          <w:tcPr>
            <w:tcW w:w="6946" w:type="dxa"/>
          </w:tcPr>
          <w:p w:rsidR="00AF091B" w:rsidRDefault="00AF091B" w:rsidP="00AF091B">
            <w:pPr>
              <w:spacing w:before="120"/>
              <w:rPr>
                <w:rFonts w:cs="Arial"/>
                <w:sz w:val="22"/>
                <w:szCs w:val="22"/>
                <w:lang w:val="en"/>
              </w:rPr>
            </w:pPr>
            <w:r w:rsidRPr="004C6821">
              <w:rPr>
                <w:rFonts w:cs="Arial"/>
                <w:sz w:val="22"/>
                <w:szCs w:val="22"/>
                <w:lang w:val="en"/>
              </w:rPr>
              <w:t>Administration of Infanrix</w:t>
            </w:r>
            <w:r w:rsidRPr="004C6821">
              <w:rPr>
                <w:rFonts w:cs="Arial"/>
                <w:sz w:val="22"/>
                <w:szCs w:val="22"/>
                <w:vertAlign w:val="superscript"/>
                <w:lang w:val="en"/>
              </w:rPr>
              <w:t>®</w:t>
            </w:r>
            <w:r w:rsidRPr="004C6821">
              <w:rPr>
                <w:rFonts w:cs="Arial"/>
                <w:sz w:val="22"/>
                <w:szCs w:val="22"/>
                <w:lang w:val="en"/>
              </w:rPr>
              <w:t>-IPV+Hib to individuals over 3 years of age and Pediacel</w:t>
            </w:r>
            <w:r w:rsidRPr="005C0178">
              <w:rPr>
                <w:rFonts w:cs="Arial"/>
                <w:sz w:val="22"/>
                <w:szCs w:val="22"/>
                <w:vertAlign w:val="superscript"/>
                <w:lang w:val="en"/>
              </w:rPr>
              <w:t>®</w:t>
            </w:r>
            <w:r w:rsidRPr="004C6821">
              <w:rPr>
                <w:rFonts w:cs="Arial"/>
                <w:sz w:val="22"/>
                <w:szCs w:val="22"/>
                <w:lang w:val="en"/>
              </w:rPr>
              <w:t xml:space="preserve"> to individuals aged 4 years and over is off-label but </w:t>
            </w:r>
            <w:r>
              <w:rPr>
                <w:rFonts w:cs="Arial"/>
                <w:sz w:val="22"/>
                <w:szCs w:val="22"/>
                <w:lang w:val="en"/>
              </w:rPr>
              <w:t>is</w:t>
            </w:r>
            <w:r w:rsidRPr="004C6821">
              <w:rPr>
                <w:rFonts w:cs="Arial"/>
                <w:sz w:val="22"/>
                <w:szCs w:val="22"/>
                <w:lang w:val="en"/>
              </w:rPr>
              <w:t xml:space="preserve"> indicated </w:t>
            </w:r>
            <w:r>
              <w:rPr>
                <w:rFonts w:cs="Arial"/>
                <w:sz w:val="22"/>
                <w:szCs w:val="22"/>
                <w:lang w:val="en"/>
              </w:rPr>
              <w:t xml:space="preserve">until 10 years of age </w:t>
            </w:r>
            <w:r w:rsidRPr="004C6821">
              <w:rPr>
                <w:rFonts w:cs="Arial"/>
                <w:sz w:val="22"/>
                <w:szCs w:val="22"/>
                <w:lang w:val="en"/>
              </w:rPr>
              <w:t xml:space="preserve">under this PGD in accordance with PHE recommendations for the </w:t>
            </w:r>
            <w:hyperlink r:id="rId22" w:history="1">
              <w:r w:rsidRPr="00A3218C">
                <w:rPr>
                  <w:rStyle w:val="Hyperlink"/>
                  <w:sz w:val="22"/>
                  <w:szCs w:val="22"/>
                </w:rPr>
                <w:t>vaccination of individuals with uncertain or incomplete immunisation status</w:t>
              </w:r>
            </w:hyperlink>
            <w:r w:rsidR="00CF22F7">
              <w:rPr>
                <w:rFonts w:cs="Arial"/>
                <w:lang w:val="en"/>
              </w:rPr>
              <w:t>,</w:t>
            </w:r>
            <w:r>
              <w:rPr>
                <w:rFonts w:cs="Arial"/>
                <w:sz w:val="22"/>
                <w:szCs w:val="22"/>
                <w:lang w:val="en"/>
              </w:rPr>
              <w:t xml:space="preserve"> the relevant chapters of “</w:t>
            </w:r>
            <w:hyperlink r:id="rId23" w:history="1">
              <w:r w:rsidRPr="00C5344A">
                <w:rPr>
                  <w:rStyle w:val="Hyperlink"/>
                  <w:rFonts w:cs="Arial"/>
                  <w:sz w:val="22"/>
                  <w:szCs w:val="22"/>
                  <w:lang w:val="en"/>
                </w:rPr>
                <w:t>The Green Book</w:t>
              </w:r>
            </w:hyperlink>
            <w:r>
              <w:rPr>
                <w:rFonts w:cs="Arial"/>
                <w:sz w:val="22"/>
                <w:szCs w:val="22"/>
                <w:lang w:val="en"/>
              </w:rPr>
              <w:t>”</w:t>
            </w:r>
            <w:r w:rsidR="0062212D">
              <w:rPr>
                <w:rFonts w:cs="Arial"/>
                <w:sz w:val="22"/>
                <w:szCs w:val="22"/>
                <w:lang w:val="en"/>
              </w:rPr>
              <w:t xml:space="preserve"> and </w:t>
            </w:r>
            <w:hyperlink r:id="rId24" w:history="1">
              <w:r w:rsidR="00CF22F7" w:rsidRPr="00285A34">
                <w:rPr>
                  <w:rStyle w:val="Hyperlink"/>
                  <w:sz w:val="22"/>
                  <w:szCs w:val="22"/>
                </w:rPr>
                <w:t>The hexavalent DTaP/IPV/Hib/HepB combination vaccine</w:t>
              </w:r>
              <w:r w:rsidR="00285A34" w:rsidRPr="00285A34">
                <w:rPr>
                  <w:rStyle w:val="Hyperlink"/>
                  <w:rFonts w:cs="Arial"/>
                  <w:sz w:val="22"/>
                  <w:szCs w:val="22"/>
                  <w:lang w:val="en"/>
                </w:rPr>
                <w:t xml:space="preserve"> information for healthcare professionals</w:t>
              </w:r>
            </w:hyperlink>
            <w:r w:rsidR="00CF22F7" w:rsidRPr="00CF22F7">
              <w:rPr>
                <w:rStyle w:val="PHEFrontpagemaintitle"/>
                <w:b w:val="0"/>
                <w:color w:val="auto"/>
                <w:sz w:val="22"/>
                <w:szCs w:val="22"/>
              </w:rPr>
              <w:t>.</w:t>
            </w:r>
          </w:p>
          <w:p w:rsidR="00C5344A" w:rsidRDefault="0052582D" w:rsidP="00AF091B">
            <w:pPr>
              <w:spacing w:before="120" w:after="120"/>
              <w:rPr>
                <w:rFonts w:cs="Arial"/>
                <w:sz w:val="22"/>
                <w:szCs w:val="22"/>
                <w:lang w:val="en"/>
              </w:rPr>
            </w:pPr>
            <w:r w:rsidRPr="00C5344A">
              <w:rPr>
                <w:rFonts w:cs="Arial"/>
                <w:sz w:val="22"/>
                <w:szCs w:val="22"/>
                <w:lang w:val="en"/>
              </w:rPr>
              <w:t xml:space="preserve">Administration of </w:t>
            </w:r>
            <w:r w:rsidR="006D475C" w:rsidRPr="004C6821">
              <w:rPr>
                <w:sz w:val="22"/>
                <w:szCs w:val="22"/>
              </w:rPr>
              <w:t>DTaP/IPV/Hib</w:t>
            </w:r>
            <w:r w:rsidRPr="00C5344A">
              <w:rPr>
                <w:rFonts w:cs="Arial"/>
                <w:sz w:val="22"/>
                <w:szCs w:val="22"/>
                <w:lang w:val="en"/>
              </w:rPr>
              <w:t xml:space="preserve"> to </w:t>
            </w:r>
            <w:r w:rsidR="00C5344A" w:rsidRPr="00C5344A">
              <w:rPr>
                <w:rFonts w:cs="Arial"/>
                <w:sz w:val="22"/>
                <w:szCs w:val="22"/>
                <w:lang w:val="en"/>
              </w:rPr>
              <w:t>individuals</w:t>
            </w:r>
            <w:r w:rsidRPr="00C5344A">
              <w:rPr>
                <w:rFonts w:cs="Arial"/>
                <w:sz w:val="22"/>
                <w:szCs w:val="22"/>
                <w:lang w:val="en"/>
              </w:rPr>
              <w:t xml:space="preserve"> who experienced an </w:t>
            </w:r>
            <w:r w:rsidR="00C5344A">
              <w:rPr>
                <w:rFonts w:cs="Arial"/>
                <w:sz w:val="22"/>
                <w:szCs w:val="22"/>
                <w:lang w:val="en"/>
              </w:rPr>
              <w:t>encephalopathy of unknown cause</w:t>
            </w:r>
            <w:r w:rsidRPr="00C5344A">
              <w:rPr>
                <w:rFonts w:cs="Arial"/>
                <w:sz w:val="22"/>
                <w:szCs w:val="22"/>
                <w:lang w:val="en"/>
              </w:rPr>
              <w:t xml:space="preserve"> occurring within 7 days following previous vaccination with pertussis containing vaccine</w:t>
            </w:r>
            <w:r w:rsidR="00C5344A" w:rsidRPr="00C5344A">
              <w:rPr>
                <w:rFonts w:cs="Arial"/>
                <w:sz w:val="22"/>
                <w:szCs w:val="22"/>
                <w:lang w:val="en"/>
              </w:rPr>
              <w:t xml:space="preserve"> </w:t>
            </w:r>
            <w:r w:rsidRPr="00C5344A">
              <w:rPr>
                <w:rFonts w:cs="Arial"/>
                <w:sz w:val="22"/>
                <w:szCs w:val="22"/>
                <w:lang w:val="en"/>
              </w:rPr>
              <w:t>is off-label</w:t>
            </w:r>
            <w:r w:rsidR="00C5344A" w:rsidRPr="00C5344A">
              <w:rPr>
                <w:rFonts w:cs="Arial"/>
                <w:sz w:val="22"/>
                <w:szCs w:val="22"/>
                <w:lang w:val="en"/>
              </w:rPr>
              <w:t>. I</w:t>
            </w:r>
            <w:r w:rsidRPr="00C5344A">
              <w:rPr>
                <w:rFonts w:cs="Arial"/>
                <w:sz w:val="22"/>
                <w:szCs w:val="22"/>
                <w:lang w:val="en"/>
              </w:rPr>
              <w:t>ndividuals may be vaccinated</w:t>
            </w:r>
            <w:r w:rsidR="00C5344A" w:rsidRPr="00C5344A">
              <w:rPr>
                <w:rFonts w:cs="Arial"/>
                <w:sz w:val="22"/>
                <w:szCs w:val="22"/>
                <w:lang w:val="en"/>
              </w:rPr>
              <w:t xml:space="preserve"> under this PGD</w:t>
            </w:r>
            <w:r w:rsidRPr="00C5344A">
              <w:rPr>
                <w:rFonts w:cs="Arial"/>
                <w:sz w:val="22"/>
                <w:szCs w:val="22"/>
                <w:lang w:val="en"/>
              </w:rPr>
              <w:t xml:space="preserve"> once </w:t>
            </w:r>
            <w:r w:rsidR="00193510">
              <w:rPr>
                <w:rFonts w:cs="Arial"/>
                <w:sz w:val="22"/>
                <w:szCs w:val="22"/>
                <w:lang w:val="en"/>
              </w:rPr>
              <w:t>the condition has stabiliz</w:t>
            </w:r>
            <w:r w:rsidR="00C5344A" w:rsidRPr="00C5344A">
              <w:rPr>
                <w:rFonts w:cs="Arial"/>
                <w:sz w:val="22"/>
                <w:szCs w:val="22"/>
                <w:lang w:val="en"/>
              </w:rPr>
              <w:t xml:space="preserve">ed or the expected course of the condition becomes clear (see </w:t>
            </w:r>
            <w:hyperlink w:anchor="Cautions" w:history="1">
              <w:r w:rsidR="00C5344A" w:rsidRPr="00C5344A">
                <w:rPr>
                  <w:rStyle w:val="Hyperlink"/>
                  <w:rFonts w:cs="Arial"/>
                  <w:sz w:val="22"/>
                  <w:szCs w:val="22"/>
                  <w:lang w:val="en"/>
                </w:rPr>
                <w:t>Cautions</w:t>
              </w:r>
            </w:hyperlink>
            <w:r w:rsidR="00C5344A" w:rsidRPr="00C5344A">
              <w:rPr>
                <w:rFonts w:cs="Arial"/>
                <w:sz w:val="22"/>
                <w:szCs w:val="22"/>
                <w:lang w:val="en"/>
              </w:rPr>
              <w:t>), in line with the recommendations in the associated chapters of “</w:t>
            </w:r>
            <w:hyperlink r:id="rId25" w:history="1">
              <w:r w:rsidR="00C5344A" w:rsidRPr="00C5344A">
                <w:rPr>
                  <w:rStyle w:val="Hyperlink"/>
                  <w:rFonts w:cs="Arial"/>
                  <w:sz w:val="22"/>
                  <w:szCs w:val="22"/>
                  <w:lang w:val="en"/>
                </w:rPr>
                <w:t>The Green Book</w:t>
              </w:r>
            </w:hyperlink>
            <w:r w:rsidR="00C5344A" w:rsidRPr="00C5344A">
              <w:rPr>
                <w:rFonts w:cs="Arial"/>
                <w:sz w:val="22"/>
                <w:szCs w:val="22"/>
                <w:lang w:val="en"/>
              </w:rPr>
              <w:t>”.</w:t>
            </w:r>
          </w:p>
          <w:p w:rsidR="009E3042" w:rsidRPr="00FC1218" w:rsidRDefault="00AF091B" w:rsidP="00AF091B">
            <w:pPr>
              <w:spacing w:before="120" w:after="120"/>
              <w:rPr>
                <w:rFonts w:cs="Arial"/>
                <w:color w:val="FF0000"/>
                <w:sz w:val="22"/>
                <w:szCs w:val="22"/>
                <w:lang w:val="en"/>
              </w:rPr>
            </w:pPr>
            <w:r w:rsidRPr="004C6821">
              <w:rPr>
                <w:rFonts w:cs="Arial"/>
                <w:sz w:val="22"/>
                <w:szCs w:val="22"/>
                <w:lang w:val="en"/>
              </w:rPr>
              <w:t xml:space="preserve">Administration by deep subcutaneous injection to patients with a bleeding disorder is off-label administration in line with advice in </w:t>
            </w:r>
            <w:hyperlink r:id="rId26" w:history="1">
              <w:r w:rsidRPr="00A3218C">
                <w:rPr>
                  <w:rStyle w:val="Hyperlink"/>
                  <w:sz w:val="22"/>
                  <w:szCs w:val="22"/>
                </w:rPr>
                <w:t>Chapter 4</w:t>
              </w:r>
            </w:hyperlink>
            <w:r w:rsidRPr="004C6821">
              <w:rPr>
                <w:rFonts w:cs="Arial"/>
                <w:sz w:val="22"/>
                <w:szCs w:val="22"/>
                <w:lang w:val="en"/>
              </w:rPr>
              <w:t xml:space="preserve"> of “</w:t>
            </w:r>
            <w:hyperlink r:id="rId27" w:history="1">
              <w:r w:rsidR="00C5344A" w:rsidRPr="00C5344A">
                <w:rPr>
                  <w:rStyle w:val="Hyperlink"/>
                  <w:rFonts w:cs="Arial"/>
                  <w:sz w:val="22"/>
                  <w:szCs w:val="22"/>
                  <w:lang w:val="en"/>
                </w:rPr>
                <w:t>The Green Book</w:t>
              </w:r>
            </w:hyperlink>
            <w:r w:rsidRPr="004C6821">
              <w:rPr>
                <w:rFonts w:cs="Arial"/>
                <w:sz w:val="22"/>
                <w:szCs w:val="22"/>
                <w:lang w:val="en"/>
              </w:rPr>
              <w:t>”.</w:t>
            </w:r>
          </w:p>
          <w:p w:rsidR="000074AF" w:rsidRPr="00FC1218" w:rsidRDefault="009E3042" w:rsidP="00AF091B">
            <w:pPr>
              <w:spacing w:before="120" w:after="120"/>
              <w:rPr>
                <w:rFonts w:cs="Arial"/>
                <w:color w:val="FF0000"/>
                <w:sz w:val="22"/>
                <w:szCs w:val="22"/>
              </w:rPr>
            </w:pPr>
            <w:r w:rsidRPr="00AF091B">
              <w:rPr>
                <w:rFonts w:cs="Arial"/>
                <w:iCs/>
                <w:sz w:val="22"/>
                <w:szCs w:val="22"/>
              </w:rPr>
              <w:t>Where a vaccine is recommended off-label consider, as part of the consent process, informing the individual/</w:t>
            </w:r>
            <w:r w:rsidR="003260D6">
              <w:rPr>
                <w:rFonts w:cs="Arial"/>
                <w:iCs/>
                <w:sz w:val="22"/>
                <w:szCs w:val="22"/>
              </w:rPr>
              <w:t>parent</w:t>
            </w:r>
            <w:r w:rsidRPr="00AF091B">
              <w:rPr>
                <w:rFonts w:cs="Arial"/>
                <w:iCs/>
                <w:sz w:val="22"/>
                <w:szCs w:val="22"/>
              </w:rPr>
              <w:t xml:space="preserve">/carer that the vaccine is being offered in accordance with national guidance but that this is outside the product licence. </w:t>
            </w:r>
          </w:p>
        </w:tc>
      </w:tr>
      <w:tr w:rsidR="00E5241F" w:rsidRPr="00FA5A5F" w:rsidTr="00B529E6">
        <w:tc>
          <w:tcPr>
            <w:tcW w:w="2977" w:type="dxa"/>
            <w:shd w:val="clear" w:color="auto" w:fill="auto"/>
          </w:tcPr>
          <w:p w:rsidR="00E5241F" w:rsidRPr="00B529E6" w:rsidRDefault="00E5241F" w:rsidP="007E045E">
            <w:pPr>
              <w:spacing w:before="120" w:after="120"/>
              <w:rPr>
                <w:rFonts w:cs="Arial"/>
                <w:b/>
                <w:sz w:val="22"/>
                <w:szCs w:val="22"/>
              </w:rPr>
            </w:pPr>
            <w:r w:rsidRPr="00B529E6">
              <w:rPr>
                <w:rFonts w:cs="Arial"/>
                <w:b/>
                <w:sz w:val="22"/>
                <w:szCs w:val="22"/>
              </w:rPr>
              <w:t>Route / method of administration</w:t>
            </w: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Default="007204C5" w:rsidP="007E045E">
            <w:pPr>
              <w:spacing w:before="120" w:after="120"/>
              <w:rPr>
                <w:rFonts w:cs="Arial"/>
                <w:b/>
                <w:color w:val="FF0000"/>
                <w:sz w:val="22"/>
                <w:szCs w:val="22"/>
                <w:highlight w:val="yellow"/>
              </w:rPr>
            </w:pPr>
          </w:p>
          <w:p w:rsidR="001D7C84" w:rsidRDefault="001D7C84" w:rsidP="007E045E">
            <w:pPr>
              <w:spacing w:before="120" w:after="120"/>
              <w:rPr>
                <w:rFonts w:cs="Arial"/>
                <w:b/>
                <w:color w:val="FF0000"/>
                <w:sz w:val="22"/>
                <w:szCs w:val="22"/>
                <w:highlight w:val="yellow"/>
              </w:rPr>
            </w:pPr>
          </w:p>
          <w:p w:rsidR="0015732D" w:rsidRPr="00F43926" w:rsidRDefault="0015732D" w:rsidP="007E045E">
            <w:pPr>
              <w:spacing w:before="120" w:after="120"/>
              <w:rPr>
                <w:rFonts w:cs="Arial"/>
                <w:sz w:val="22"/>
                <w:szCs w:val="22"/>
              </w:rPr>
            </w:pPr>
          </w:p>
          <w:p w:rsidR="0015732D" w:rsidRPr="00F43926" w:rsidRDefault="0015732D" w:rsidP="007E045E">
            <w:pPr>
              <w:spacing w:before="120" w:after="120"/>
              <w:rPr>
                <w:rFonts w:cs="Arial"/>
                <w:sz w:val="22"/>
                <w:szCs w:val="22"/>
              </w:rPr>
            </w:pPr>
          </w:p>
          <w:p w:rsidR="0015732D" w:rsidRPr="00F43926" w:rsidRDefault="00F43926" w:rsidP="007E045E">
            <w:pPr>
              <w:spacing w:before="120" w:after="120"/>
              <w:rPr>
                <w:rFonts w:cs="Arial"/>
                <w:sz w:val="22"/>
                <w:szCs w:val="22"/>
              </w:rPr>
            </w:pPr>
            <w:r w:rsidRPr="00F43926">
              <w:rPr>
                <w:rFonts w:cs="Arial"/>
                <w:sz w:val="22"/>
                <w:szCs w:val="22"/>
              </w:rPr>
              <w:t>Continued over page</w:t>
            </w:r>
          </w:p>
          <w:p w:rsidR="00F43926" w:rsidRPr="00B529E6" w:rsidRDefault="00F43926" w:rsidP="00F43926">
            <w:pPr>
              <w:spacing w:before="120" w:after="120"/>
              <w:contextualSpacing/>
              <w:rPr>
                <w:rFonts w:cs="Arial"/>
                <w:b/>
                <w:sz w:val="22"/>
                <w:szCs w:val="22"/>
              </w:rPr>
            </w:pPr>
            <w:r w:rsidRPr="00B529E6">
              <w:rPr>
                <w:rFonts w:cs="Arial"/>
                <w:b/>
                <w:sz w:val="22"/>
                <w:szCs w:val="22"/>
              </w:rPr>
              <w:lastRenderedPageBreak/>
              <w:t>Route / method of administration</w:t>
            </w:r>
          </w:p>
          <w:p w:rsidR="00F43926" w:rsidRPr="00F43926" w:rsidRDefault="00F43926" w:rsidP="00F43926">
            <w:pPr>
              <w:spacing w:before="120" w:after="120"/>
              <w:contextualSpacing/>
              <w:rPr>
                <w:rFonts w:cs="Arial"/>
                <w:sz w:val="22"/>
                <w:szCs w:val="22"/>
              </w:rPr>
            </w:pPr>
            <w:r>
              <w:rPr>
                <w:rFonts w:cs="Arial"/>
                <w:sz w:val="22"/>
                <w:szCs w:val="22"/>
              </w:rPr>
              <w:t>(c</w:t>
            </w:r>
            <w:r w:rsidRPr="00F43926">
              <w:rPr>
                <w:rFonts w:cs="Arial"/>
                <w:sz w:val="22"/>
                <w:szCs w:val="22"/>
              </w:rPr>
              <w:t>ontinued</w:t>
            </w:r>
            <w:r>
              <w:rPr>
                <w:rFonts w:cs="Arial"/>
                <w:sz w:val="22"/>
                <w:szCs w:val="22"/>
              </w:rPr>
              <w:t>)</w:t>
            </w: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7204C5" w:rsidRPr="000074AF" w:rsidRDefault="007204C5" w:rsidP="0015732D">
            <w:pPr>
              <w:spacing w:before="120" w:after="120"/>
              <w:rPr>
                <w:rFonts w:cs="Arial"/>
                <w:color w:val="FF0000"/>
                <w:sz w:val="22"/>
                <w:szCs w:val="22"/>
                <w:highlight w:val="yellow"/>
              </w:rPr>
            </w:pPr>
          </w:p>
        </w:tc>
        <w:tc>
          <w:tcPr>
            <w:tcW w:w="6946" w:type="dxa"/>
          </w:tcPr>
          <w:p w:rsidR="00F87213" w:rsidRDefault="00F87213" w:rsidP="00F87213">
            <w:pPr>
              <w:shd w:val="clear" w:color="auto" w:fill="FFFFFF"/>
              <w:overflowPunct/>
              <w:autoSpaceDE/>
              <w:autoSpaceDN/>
              <w:adjustRightInd/>
              <w:spacing w:before="120" w:after="120"/>
              <w:textAlignment w:val="auto"/>
              <w:rPr>
                <w:rFonts w:cs="Arial"/>
                <w:sz w:val="22"/>
                <w:szCs w:val="22"/>
              </w:rPr>
            </w:pPr>
            <w:r>
              <w:rPr>
                <w:rFonts w:cs="Arial"/>
                <w:sz w:val="22"/>
                <w:szCs w:val="22"/>
              </w:rPr>
              <w:lastRenderedPageBreak/>
              <w:t xml:space="preserve">Some vaccine products (eg </w:t>
            </w:r>
            <w:r w:rsidRPr="004C6821">
              <w:rPr>
                <w:rFonts w:cs="Arial"/>
                <w:sz w:val="22"/>
                <w:szCs w:val="22"/>
                <w:lang w:val="en"/>
              </w:rPr>
              <w:t>Infanrix</w:t>
            </w:r>
            <w:r w:rsidRPr="004C6821">
              <w:rPr>
                <w:rFonts w:cs="Arial"/>
                <w:sz w:val="22"/>
                <w:szCs w:val="22"/>
                <w:vertAlign w:val="superscript"/>
                <w:lang w:val="en"/>
              </w:rPr>
              <w:t>®</w:t>
            </w:r>
            <w:r w:rsidRPr="004C6821">
              <w:rPr>
                <w:rFonts w:cs="Arial"/>
                <w:sz w:val="22"/>
                <w:szCs w:val="22"/>
                <w:lang w:val="en"/>
              </w:rPr>
              <w:t>-IPV+Hib</w:t>
            </w:r>
            <w:r>
              <w:rPr>
                <w:rFonts w:cs="Arial"/>
                <w:sz w:val="22"/>
                <w:szCs w:val="22"/>
                <w:lang w:val="en"/>
              </w:rPr>
              <w:t>)</w:t>
            </w:r>
            <w:r w:rsidRPr="00D54D16">
              <w:rPr>
                <w:rFonts w:cs="Arial"/>
                <w:sz w:val="22"/>
                <w:szCs w:val="22"/>
              </w:rPr>
              <w:t xml:space="preserve"> </w:t>
            </w:r>
            <w:r w:rsidRPr="00F87213">
              <w:rPr>
                <w:rFonts w:cs="Arial"/>
                <w:sz w:val="22"/>
                <w:szCs w:val="22"/>
              </w:rPr>
              <w:t xml:space="preserve">must be reconstituted </w:t>
            </w:r>
            <w:r w:rsidRPr="00D54D16">
              <w:rPr>
                <w:rFonts w:cs="Arial"/>
                <w:sz w:val="22"/>
                <w:szCs w:val="22"/>
              </w:rPr>
              <w:t>in accordance with the manufacturers’ instructions prior to administration</w:t>
            </w:r>
            <w:r>
              <w:rPr>
                <w:rFonts w:cs="Arial"/>
                <w:sz w:val="22"/>
                <w:szCs w:val="22"/>
              </w:rPr>
              <w:t>.</w:t>
            </w:r>
          </w:p>
          <w:p w:rsidR="00AF091B" w:rsidRPr="008F5E52" w:rsidRDefault="00AF091B" w:rsidP="00AF091B">
            <w:pPr>
              <w:shd w:val="clear" w:color="auto" w:fill="FFFFFF"/>
              <w:overflowPunct/>
              <w:autoSpaceDE/>
              <w:autoSpaceDN/>
              <w:adjustRightInd/>
              <w:spacing w:before="120" w:after="120"/>
              <w:textAlignment w:val="auto"/>
              <w:rPr>
                <w:rFonts w:cs="Arial"/>
                <w:sz w:val="22"/>
                <w:szCs w:val="22"/>
              </w:rPr>
            </w:pPr>
            <w:r w:rsidRPr="008F5E52">
              <w:rPr>
                <w:rFonts w:cs="Arial"/>
                <w:sz w:val="22"/>
                <w:szCs w:val="22"/>
              </w:rPr>
              <w:t xml:space="preserve">Administer </w:t>
            </w:r>
            <w:r w:rsidRPr="00805E92">
              <w:rPr>
                <w:rFonts w:cs="Arial"/>
                <w:sz w:val="22"/>
                <w:szCs w:val="22"/>
              </w:rPr>
              <w:t>by intramuscular injection, preferably</w:t>
            </w:r>
            <w:r w:rsidRPr="008F5E52">
              <w:rPr>
                <w:rFonts w:cs="Arial"/>
                <w:sz w:val="22"/>
                <w:szCs w:val="22"/>
              </w:rPr>
              <w:t xml:space="preserve"> into deltoid region of the upper arm. </w:t>
            </w:r>
          </w:p>
          <w:p w:rsidR="00AF091B" w:rsidRPr="008F5E52" w:rsidRDefault="00AF091B" w:rsidP="00AF091B">
            <w:pPr>
              <w:spacing w:before="120" w:after="120"/>
              <w:rPr>
                <w:rFonts w:cs="Arial"/>
                <w:sz w:val="22"/>
                <w:szCs w:val="22"/>
              </w:rPr>
            </w:pPr>
            <w:r w:rsidRPr="008F5E52">
              <w:rPr>
                <w:rFonts w:cs="Arial"/>
                <w:sz w:val="22"/>
                <w:szCs w:val="22"/>
              </w:rPr>
              <w:t>When administering at the same time as other vaccines care should be taken to ensure that the appropriate route of injection is used for all the vaccinations.</w:t>
            </w:r>
            <w:r>
              <w:rPr>
                <w:rFonts w:cs="Arial"/>
                <w:sz w:val="22"/>
                <w:szCs w:val="22"/>
              </w:rPr>
              <w:t xml:space="preserve"> </w:t>
            </w:r>
            <w:r w:rsidRPr="008F5E52">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rsidR="00AF091B" w:rsidRPr="007E487A" w:rsidRDefault="00AF091B" w:rsidP="00AF091B">
            <w:pPr>
              <w:spacing w:before="120" w:after="120"/>
              <w:rPr>
                <w:rFonts w:cs="Arial"/>
                <w:sz w:val="22"/>
                <w:szCs w:val="22"/>
              </w:rPr>
            </w:pPr>
            <w:r w:rsidRPr="008F5E52">
              <w:rPr>
                <w:rFonts w:cs="Arial"/>
                <w:sz w:val="22"/>
                <w:szCs w:val="22"/>
              </w:rPr>
              <w:t xml:space="preserve">For individuals with a bleeding disorder, vaccines normally given by an intramuscular route should be given by deep subcutaneous </w:t>
            </w:r>
            <w:r w:rsidRPr="007E487A">
              <w:rPr>
                <w:rFonts w:cs="Arial"/>
                <w:sz w:val="22"/>
                <w:szCs w:val="22"/>
              </w:rPr>
              <w:t xml:space="preserve">injection to reduce the risk of bleeding (see </w:t>
            </w:r>
            <w:r>
              <w:rPr>
                <w:rFonts w:cs="Arial"/>
                <w:sz w:val="22"/>
                <w:szCs w:val="22"/>
              </w:rPr>
              <w:t xml:space="preserve">“The </w:t>
            </w:r>
            <w:r w:rsidRPr="007E487A">
              <w:rPr>
                <w:rFonts w:cs="Arial"/>
                <w:sz w:val="22"/>
                <w:szCs w:val="22"/>
              </w:rPr>
              <w:t>Green Book</w:t>
            </w:r>
            <w:r>
              <w:rPr>
                <w:rFonts w:cs="Arial"/>
                <w:sz w:val="22"/>
                <w:szCs w:val="22"/>
              </w:rPr>
              <w:t>”</w:t>
            </w:r>
            <w:r w:rsidRPr="007E487A">
              <w:rPr>
                <w:rFonts w:cs="Arial"/>
                <w:sz w:val="22"/>
                <w:szCs w:val="22"/>
              </w:rPr>
              <w:t xml:space="preserve"> </w:t>
            </w:r>
            <w:hyperlink r:id="rId28" w:history="1">
              <w:r w:rsidRPr="008F7669">
                <w:rPr>
                  <w:rStyle w:val="Hyperlink"/>
                  <w:rFonts w:cs="Arial"/>
                  <w:sz w:val="22"/>
                  <w:szCs w:val="22"/>
                  <w:lang w:val="en"/>
                </w:rPr>
                <w:t>Chapter 4</w:t>
              </w:r>
            </w:hyperlink>
            <w:r w:rsidRPr="007E487A">
              <w:rPr>
                <w:rFonts w:cs="Arial"/>
                <w:sz w:val="22"/>
                <w:szCs w:val="22"/>
              </w:rPr>
              <w:t>).</w:t>
            </w:r>
          </w:p>
          <w:p w:rsidR="00AF091B" w:rsidRPr="007E487A" w:rsidRDefault="00AF091B" w:rsidP="00AF091B">
            <w:pPr>
              <w:shd w:val="clear" w:color="auto" w:fill="FFFFFF"/>
              <w:overflowPunct/>
              <w:autoSpaceDE/>
              <w:autoSpaceDN/>
              <w:adjustRightInd/>
              <w:spacing w:before="120" w:after="120"/>
              <w:textAlignment w:val="auto"/>
              <w:rPr>
                <w:rFonts w:cs="Arial"/>
                <w:sz w:val="22"/>
                <w:szCs w:val="22"/>
              </w:rPr>
            </w:pPr>
            <w:r w:rsidRPr="007E487A">
              <w:rPr>
                <w:rFonts w:cs="Arial"/>
                <w:sz w:val="22"/>
                <w:szCs w:val="22"/>
              </w:rPr>
              <w:t xml:space="preserve">The vaccine's normal appearance is a uniform cloudy, white suspension which may sediment during storage. Shake the prefilled syringe well to uniformly distribute the suspension </w:t>
            </w:r>
            <w:r w:rsidR="00805E92">
              <w:rPr>
                <w:rFonts w:cs="Arial"/>
                <w:sz w:val="22"/>
                <w:szCs w:val="22"/>
              </w:rPr>
              <w:t xml:space="preserve">prior to </w:t>
            </w:r>
            <w:r w:rsidR="00805E92">
              <w:rPr>
                <w:rFonts w:cs="Arial"/>
                <w:sz w:val="22"/>
                <w:szCs w:val="22"/>
              </w:rPr>
              <w:lastRenderedPageBreak/>
              <w:t xml:space="preserve">reconstitution (if applicable) and </w:t>
            </w:r>
            <w:r w:rsidRPr="007E487A">
              <w:rPr>
                <w:rFonts w:cs="Arial"/>
                <w:sz w:val="22"/>
                <w:szCs w:val="22"/>
              </w:rPr>
              <w:t>before administering the vaccine.</w:t>
            </w:r>
          </w:p>
          <w:p w:rsidR="00805E92" w:rsidRDefault="00805E92" w:rsidP="00805E92">
            <w:pPr>
              <w:shd w:val="clear" w:color="auto" w:fill="FFFFFF"/>
              <w:overflowPunct/>
              <w:autoSpaceDE/>
              <w:autoSpaceDN/>
              <w:adjustRightInd/>
              <w:spacing w:after="120"/>
              <w:textAlignment w:val="auto"/>
              <w:rPr>
                <w:rFonts w:cs="Arial"/>
                <w:sz w:val="22"/>
                <w:szCs w:val="22"/>
              </w:rPr>
            </w:pPr>
            <w:r w:rsidRPr="003057F9">
              <w:rPr>
                <w:rFonts w:cs="Arial"/>
                <w:sz w:val="22"/>
                <w:szCs w:val="22"/>
              </w:rPr>
              <w:t>The vaccine should be inspected prior to and after any required reconstitution and should not be used if discoloured or foreign particles are present</w:t>
            </w:r>
            <w:r>
              <w:rPr>
                <w:rFonts w:cs="Arial"/>
                <w:sz w:val="22"/>
                <w:szCs w:val="22"/>
              </w:rPr>
              <w:t>.</w:t>
            </w:r>
          </w:p>
          <w:p w:rsidR="00AF091B" w:rsidRPr="0038388A" w:rsidRDefault="00AF091B" w:rsidP="00AF091B">
            <w:pPr>
              <w:shd w:val="clear" w:color="auto" w:fill="FFFFFF"/>
              <w:overflowPunct/>
              <w:autoSpaceDE/>
              <w:autoSpaceDN/>
              <w:adjustRightInd/>
              <w:textAlignment w:val="auto"/>
              <w:rPr>
                <w:rFonts w:cs="Arial"/>
                <w:sz w:val="22"/>
                <w:szCs w:val="22"/>
              </w:rPr>
            </w:pPr>
            <w:r w:rsidRPr="0038388A">
              <w:rPr>
                <w:rFonts w:cs="Arial"/>
                <w:sz w:val="22"/>
                <w:szCs w:val="22"/>
              </w:rPr>
              <w:t xml:space="preserve">The </w:t>
            </w:r>
            <w:r>
              <w:rPr>
                <w:rFonts w:cs="Arial"/>
                <w:sz w:val="22"/>
                <w:szCs w:val="22"/>
              </w:rPr>
              <w:t xml:space="preserve">vaccine’s </w:t>
            </w:r>
            <w:r w:rsidRPr="0038388A">
              <w:rPr>
                <w:rFonts w:cs="Arial"/>
                <w:sz w:val="22"/>
                <w:szCs w:val="22"/>
              </w:rPr>
              <w:t xml:space="preserve">SPC provides further guidance on administration and is available from the electronic Medicines Compendium website: </w:t>
            </w:r>
          </w:p>
          <w:p w:rsidR="00E5241F" w:rsidRPr="00D20C72" w:rsidRDefault="000C0B13" w:rsidP="00D20C72">
            <w:pPr>
              <w:shd w:val="clear" w:color="auto" w:fill="FFFFFF"/>
              <w:overflowPunct/>
              <w:autoSpaceDE/>
              <w:autoSpaceDN/>
              <w:adjustRightInd/>
              <w:spacing w:after="120"/>
              <w:textAlignment w:val="auto"/>
              <w:rPr>
                <w:rFonts w:cs="Arial"/>
                <w:b/>
                <w:color w:val="FF0000"/>
                <w:spacing w:val="-2"/>
                <w:sz w:val="22"/>
                <w:szCs w:val="22"/>
              </w:rPr>
            </w:pPr>
            <w:hyperlink r:id="rId29" w:history="1">
              <w:r w:rsidR="00AF091B" w:rsidRPr="0076249A">
                <w:rPr>
                  <w:rStyle w:val="Hyperlink"/>
                  <w:sz w:val="22"/>
                  <w:szCs w:val="22"/>
                </w:rPr>
                <w:t>www.medicines.org.uk</w:t>
              </w:r>
            </w:hyperlink>
            <w:r w:rsidR="00AF091B">
              <w:rPr>
                <w:color w:val="FF0000"/>
                <w:sz w:val="22"/>
                <w:szCs w:val="22"/>
              </w:rPr>
              <w:t xml:space="preserve"> </w:t>
            </w:r>
          </w:p>
        </w:tc>
      </w:tr>
      <w:tr w:rsidR="00E5241F" w:rsidRPr="00FA5A5F" w:rsidTr="0087180E">
        <w:tc>
          <w:tcPr>
            <w:tcW w:w="2977" w:type="dxa"/>
          </w:tcPr>
          <w:p w:rsidR="00E5241F" w:rsidRPr="0015732D" w:rsidRDefault="00F41FDE" w:rsidP="001F5127">
            <w:pPr>
              <w:pStyle w:val="Header"/>
              <w:tabs>
                <w:tab w:val="clear" w:pos="4153"/>
                <w:tab w:val="clear" w:pos="8306"/>
              </w:tabs>
              <w:spacing w:before="120" w:after="120"/>
              <w:contextualSpacing/>
              <w:rPr>
                <w:rFonts w:ascii="Arial" w:hAnsi="Arial" w:cs="Arial"/>
                <w:b/>
                <w:sz w:val="22"/>
                <w:szCs w:val="22"/>
              </w:rPr>
            </w:pPr>
            <w:r>
              <w:lastRenderedPageBreak/>
              <w:br w:type="page"/>
            </w:r>
            <w:r w:rsidR="00E5241F" w:rsidRPr="0015732D">
              <w:rPr>
                <w:rFonts w:ascii="Arial" w:hAnsi="Arial" w:cs="Arial"/>
                <w:b/>
                <w:sz w:val="22"/>
                <w:szCs w:val="22"/>
              </w:rPr>
              <w:t>Dose and frequency of administration</w:t>
            </w: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6946" w:type="dxa"/>
          </w:tcPr>
          <w:p w:rsidR="00F41FDE" w:rsidRPr="00DF5B51" w:rsidRDefault="00F41FDE" w:rsidP="00F41FDE">
            <w:pPr>
              <w:spacing w:before="120" w:after="120"/>
              <w:rPr>
                <w:rFonts w:cs="Arial"/>
                <w:sz w:val="22"/>
                <w:szCs w:val="22"/>
              </w:rPr>
            </w:pPr>
            <w:r w:rsidRPr="00DF5B51">
              <w:rPr>
                <w:rFonts w:cs="Arial"/>
                <w:sz w:val="22"/>
                <w:szCs w:val="22"/>
              </w:rPr>
              <w:t>Single 0.5ml dose per administration</w:t>
            </w:r>
          </w:p>
          <w:p w:rsidR="00F41FDE" w:rsidRPr="00D1582D" w:rsidRDefault="00F41FDE" w:rsidP="00F41FDE">
            <w:pPr>
              <w:spacing w:before="120" w:after="120"/>
              <w:rPr>
                <w:rFonts w:cs="Arial"/>
                <w:b/>
                <w:color w:val="FF0000"/>
                <w:sz w:val="22"/>
                <w:szCs w:val="22"/>
              </w:rPr>
            </w:pPr>
            <w:r w:rsidRPr="00DF5B51">
              <w:rPr>
                <w:rFonts w:cs="Arial"/>
                <w:b/>
                <w:sz w:val="22"/>
                <w:szCs w:val="22"/>
              </w:rPr>
              <w:t>Routine Childhood Immunisation Schedule</w:t>
            </w:r>
          </w:p>
          <w:p w:rsidR="00F41FDE" w:rsidRPr="00DF5B51" w:rsidRDefault="00F41FDE" w:rsidP="00F41FDE">
            <w:pPr>
              <w:spacing w:before="120" w:after="60"/>
              <w:rPr>
                <w:rFonts w:eastAsiaTheme="minorHAnsi" w:cs="Arial"/>
                <w:sz w:val="22"/>
                <w:szCs w:val="22"/>
                <w:lang w:eastAsia="en-US"/>
              </w:rPr>
            </w:pPr>
            <w:r>
              <w:rPr>
                <w:rFonts w:eastAsiaTheme="minorHAnsi" w:cs="Arial"/>
                <w:sz w:val="22"/>
                <w:szCs w:val="22"/>
                <w:lang w:eastAsia="en-US"/>
              </w:rPr>
              <w:t>Diptheria, tetanus, pertussis and polio containing vaccine</w:t>
            </w:r>
            <w:r w:rsidRPr="000E78D3">
              <w:rPr>
                <w:rFonts w:eastAsiaTheme="minorHAnsi" w:cs="Arial"/>
                <w:sz w:val="22"/>
                <w:szCs w:val="22"/>
                <w:lang w:eastAsia="en-US"/>
              </w:rPr>
              <w:t xml:space="preserve"> should </w:t>
            </w:r>
            <w:r w:rsidRPr="00DF5B51">
              <w:rPr>
                <w:rFonts w:eastAsiaTheme="minorHAnsi" w:cs="Arial"/>
                <w:sz w:val="22"/>
                <w:szCs w:val="22"/>
                <w:lang w:eastAsia="en-US"/>
              </w:rPr>
              <w:t xml:space="preserve">ideally be given three years after completion of the primary course of diphtheria, tetanus, pertussis and polio vaccination as the </w:t>
            </w:r>
            <w:r w:rsidRPr="004A7AF6">
              <w:rPr>
                <w:rFonts w:eastAsiaTheme="minorHAnsi" w:cs="Arial"/>
                <w:sz w:val="22"/>
                <w:szCs w:val="22"/>
                <w:lang w:eastAsia="en-US"/>
              </w:rPr>
              <w:t xml:space="preserve">first booster dose and is recommended as a pre-school vaccine at around 3 years and 4 months of age </w:t>
            </w:r>
            <w:r w:rsidRPr="004A7AF6">
              <w:rPr>
                <w:sz w:val="22"/>
                <w:szCs w:val="22"/>
              </w:rPr>
              <w:t>though it may be used until 10 years of age.</w:t>
            </w:r>
          </w:p>
          <w:p w:rsidR="00F41FDE" w:rsidRDefault="00F41FDE" w:rsidP="00F41FDE">
            <w:pPr>
              <w:spacing w:before="120" w:after="120"/>
              <w:rPr>
                <w:rFonts w:eastAsiaTheme="minorHAnsi" w:cs="Arial"/>
                <w:sz w:val="22"/>
                <w:szCs w:val="22"/>
                <w:lang w:eastAsia="en-US"/>
              </w:rPr>
            </w:pPr>
            <w:r w:rsidRPr="00DF5B51">
              <w:rPr>
                <w:rFonts w:eastAsiaTheme="minorHAnsi" w:cs="Arial"/>
                <w:sz w:val="22"/>
                <w:szCs w:val="22"/>
                <w:lang w:eastAsia="en-US"/>
              </w:rPr>
              <w:t xml:space="preserve">When primary vaccination has been delayed, this first booster dose may be given at the scheduled visit provided it is at least 12 months since </w:t>
            </w:r>
            <w:r w:rsidRPr="00A84E81">
              <w:rPr>
                <w:rFonts w:eastAsiaTheme="minorHAnsi" w:cs="Arial"/>
                <w:sz w:val="22"/>
                <w:szCs w:val="22"/>
                <w:lang w:eastAsia="en-US"/>
              </w:rPr>
              <w:t>the last</w:t>
            </w:r>
            <w:r w:rsidRPr="00DF5B51">
              <w:rPr>
                <w:rFonts w:eastAsiaTheme="minorHAnsi" w:cs="Arial"/>
                <w:sz w:val="22"/>
                <w:szCs w:val="22"/>
                <w:lang w:eastAsia="en-US"/>
              </w:rPr>
              <w:t xml:space="preserve"> primary </w:t>
            </w:r>
            <w:r w:rsidRPr="00A84E81">
              <w:rPr>
                <w:rFonts w:eastAsiaTheme="minorHAnsi" w:cs="Arial"/>
                <w:sz w:val="22"/>
                <w:szCs w:val="22"/>
                <w:lang w:eastAsia="en-US"/>
              </w:rPr>
              <w:t>dose was administered.</w:t>
            </w:r>
          </w:p>
          <w:p w:rsidR="00F41FDE" w:rsidRPr="00A84E81" w:rsidRDefault="00F41FDE" w:rsidP="00F41FDE">
            <w:pPr>
              <w:spacing w:before="120" w:after="120"/>
              <w:rPr>
                <w:rFonts w:eastAsiaTheme="minorHAnsi" w:cs="Arial"/>
                <w:sz w:val="22"/>
                <w:szCs w:val="22"/>
                <w:lang w:eastAsia="en-US"/>
              </w:rPr>
            </w:pPr>
            <w:r w:rsidRPr="000E78D3">
              <w:rPr>
                <w:rFonts w:eastAsiaTheme="minorHAnsi" w:cs="Arial"/>
                <w:sz w:val="22"/>
                <w:szCs w:val="22"/>
                <w:lang w:eastAsia="en-US"/>
              </w:rPr>
              <w:t>Where children have had a fourth dose of tetanus, diphtheria and polio containing vaccine at around 18 months of age, this dose should be discounted as it may not provide satisfactory protection until the time of the teenage booster. The routine pre-school and subsequent boosters should be given according to the UK schedule.</w:t>
            </w:r>
          </w:p>
          <w:p w:rsidR="00F41FDE" w:rsidRPr="000E78D3" w:rsidRDefault="00F41FDE" w:rsidP="00F41FDE">
            <w:pPr>
              <w:spacing w:before="120" w:after="120"/>
              <w:rPr>
                <w:rFonts w:eastAsiaTheme="minorHAnsi" w:cs="Arial"/>
                <w:b/>
                <w:sz w:val="22"/>
                <w:szCs w:val="22"/>
                <w:lang w:eastAsia="en-US"/>
              </w:rPr>
            </w:pPr>
            <w:r w:rsidRPr="000E78D3">
              <w:rPr>
                <w:rFonts w:eastAsiaTheme="minorHAnsi" w:cs="Arial"/>
                <w:b/>
                <w:sz w:val="22"/>
                <w:szCs w:val="22"/>
                <w:lang w:eastAsia="en-US"/>
              </w:rPr>
              <w:t>Management of tetanus prone wound</w:t>
            </w:r>
          </w:p>
          <w:p w:rsidR="00F41FDE" w:rsidRPr="000E78D3" w:rsidRDefault="00F41FDE" w:rsidP="00F41FDE">
            <w:pPr>
              <w:spacing w:before="120" w:after="120"/>
              <w:rPr>
                <w:rFonts w:eastAsiaTheme="minorHAnsi" w:cs="Arial"/>
                <w:sz w:val="22"/>
                <w:szCs w:val="22"/>
                <w:lang w:eastAsia="en-US"/>
              </w:rPr>
            </w:pPr>
            <w:r w:rsidRPr="000E78D3">
              <w:rPr>
                <w:rFonts w:eastAsiaTheme="minorHAnsi" w:cs="Arial"/>
                <w:sz w:val="22"/>
                <w:szCs w:val="22"/>
                <w:lang w:eastAsia="en-US"/>
              </w:rPr>
              <w:t>Individuals with incomplete or uncertain history of tetanus immunisation should be vaccinated in accordance with the recommendations in the “</w:t>
            </w:r>
            <w:r>
              <w:rPr>
                <w:rFonts w:eastAsiaTheme="minorHAnsi" w:cs="Arial"/>
                <w:sz w:val="22"/>
                <w:szCs w:val="22"/>
                <w:lang w:eastAsia="en-US"/>
              </w:rPr>
              <w:t xml:space="preserve">The </w:t>
            </w:r>
            <w:r w:rsidRPr="000E78D3">
              <w:rPr>
                <w:rFonts w:eastAsiaTheme="minorHAnsi" w:cs="Arial"/>
                <w:sz w:val="22"/>
                <w:szCs w:val="22"/>
                <w:lang w:eastAsia="en-US"/>
              </w:rPr>
              <w:t xml:space="preserve">Green Book” </w:t>
            </w:r>
            <w:hyperlink r:id="rId30" w:history="1">
              <w:r w:rsidRPr="008F7669">
                <w:rPr>
                  <w:rStyle w:val="Hyperlink"/>
                  <w:rFonts w:cs="Arial"/>
                  <w:sz w:val="22"/>
                  <w:szCs w:val="22"/>
                  <w:lang w:val="en"/>
                </w:rPr>
                <w:t>Chapter 30</w:t>
              </w:r>
            </w:hyperlink>
            <w:r w:rsidRPr="008F7669">
              <w:rPr>
                <w:rStyle w:val="Hyperlink"/>
                <w:rFonts w:cs="Arial"/>
                <w:sz w:val="22"/>
                <w:szCs w:val="22"/>
                <w:lang w:val="en"/>
              </w:rPr>
              <w:t xml:space="preserve"> </w:t>
            </w:r>
            <w:r w:rsidRPr="000E78D3">
              <w:rPr>
                <w:rFonts w:eastAsiaTheme="minorHAnsi" w:cs="Arial"/>
                <w:sz w:val="22"/>
                <w:szCs w:val="22"/>
                <w:lang w:eastAsia="en-US"/>
              </w:rPr>
              <w:t>Table 30.1.</w:t>
            </w:r>
          </w:p>
          <w:p w:rsidR="00E5241F" w:rsidRPr="00F41FDE" w:rsidRDefault="00F41FDE" w:rsidP="00F41FDE">
            <w:pPr>
              <w:spacing w:before="120" w:after="120"/>
              <w:rPr>
                <w:rFonts w:cs="Arial"/>
                <w:sz w:val="22"/>
                <w:szCs w:val="22"/>
              </w:rPr>
            </w:pPr>
            <w:r w:rsidRPr="000E78D3">
              <w:rPr>
                <w:rFonts w:eastAsiaTheme="minorHAnsi" w:cs="Arial"/>
                <w:sz w:val="22"/>
                <w:szCs w:val="22"/>
                <w:lang w:eastAsia="en-US"/>
              </w:rPr>
              <w:t>Individuals may also require human tetanus immunoglobulin (see “</w:t>
            </w:r>
            <w:r>
              <w:rPr>
                <w:rFonts w:eastAsiaTheme="minorHAnsi" w:cs="Arial"/>
                <w:sz w:val="22"/>
                <w:szCs w:val="22"/>
                <w:lang w:eastAsia="en-US"/>
              </w:rPr>
              <w:t xml:space="preserve">The </w:t>
            </w:r>
            <w:r w:rsidRPr="000E78D3">
              <w:rPr>
                <w:rFonts w:eastAsiaTheme="minorHAnsi" w:cs="Arial"/>
                <w:sz w:val="22"/>
                <w:szCs w:val="22"/>
                <w:lang w:eastAsia="en-US"/>
              </w:rPr>
              <w:t xml:space="preserve">Green Book” </w:t>
            </w:r>
            <w:hyperlink r:id="rId31" w:history="1">
              <w:r w:rsidRPr="008F7669">
                <w:rPr>
                  <w:rStyle w:val="Hyperlink"/>
                  <w:rFonts w:cs="Arial"/>
                  <w:sz w:val="22"/>
                  <w:szCs w:val="22"/>
                  <w:lang w:val="en"/>
                </w:rPr>
                <w:t>Chapter 30</w:t>
              </w:r>
            </w:hyperlink>
            <w:r w:rsidRPr="008F7669">
              <w:rPr>
                <w:rStyle w:val="Hyperlink"/>
                <w:rFonts w:cs="Arial"/>
                <w:color w:val="auto"/>
                <w:sz w:val="22"/>
                <w:szCs w:val="22"/>
                <w:u w:val="none"/>
              </w:rPr>
              <w:t>).</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6946" w:type="dxa"/>
            <w:tcBorders>
              <w:bottom w:val="single" w:sz="4" w:space="0" w:color="auto"/>
            </w:tcBorders>
          </w:tcPr>
          <w:p w:rsidR="00F41FDE" w:rsidRPr="00A84E81" w:rsidRDefault="00F41FDE" w:rsidP="00F41FDE">
            <w:pPr>
              <w:spacing w:before="120" w:after="120"/>
              <w:rPr>
                <w:b/>
                <w:sz w:val="22"/>
                <w:szCs w:val="22"/>
              </w:rPr>
            </w:pPr>
            <w:r w:rsidRPr="00A84E81">
              <w:rPr>
                <w:b/>
                <w:sz w:val="22"/>
                <w:szCs w:val="22"/>
              </w:rPr>
              <w:t>Routine Immunisation</w:t>
            </w:r>
          </w:p>
          <w:p w:rsidR="00F41FDE" w:rsidRPr="00A84E81" w:rsidRDefault="00F41FDE" w:rsidP="00F41FDE">
            <w:pPr>
              <w:spacing w:before="120" w:after="120"/>
              <w:rPr>
                <w:sz w:val="22"/>
                <w:szCs w:val="22"/>
              </w:rPr>
            </w:pPr>
            <w:r w:rsidRPr="00A84E81">
              <w:rPr>
                <w:sz w:val="22"/>
                <w:szCs w:val="22"/>
              </w:rPr>
              <w:t xml:space="preserve">A single dose </w:t>
            </w:r>
            <w:r w:rsidR="003E41DF">
              <w:rPr>
                <w:sz w:val="22"/>
                <w:szCs w:val="22"/>
              </w:rPr>
              <w:t>as pre-school booster.</w:t>
            </w:r>
          </w:p>
          <w:p w:rsidR="00F41FDE" w:rsidRPr="00FC1218" w:rsidRDefault="00F41FDE" w:rsidP="00F41FDE">
            <w:pPr>
              <w:spacing w:before="120" w:after="120"/>
              <w:rPr>
                <w:color w:val="FF0000"/>
                <w:sz w:val="22"/>
                <w:szCs w:val="22"/>
              </w:rPr>
            </w:pPr>
            <w:r>
              <w:rPr>
                <w:sz w:val="22"/>
                <w:szCs w:val="22"/>
              </w:rPr>
              <w:t xml:space="preserve">See other PGDs </w:t>
            </w:r>
            <w:r w:rsidRPr="00A84E81">
              <w:rPr>
                <w:sz w:val="22"/>
                <w:szCs w:val="22"/>
              </w:rPr>
              <w:t>for primary immunisation</w:t>
            </w:r>
            <w:r>
              <w:rPr>
                <w:sz w:val="22"/>
                <w:szCs w:val="22"/>
              </w:rPr>
              <w:t xml:space="preserve"> (DTaP/IPV/Hib/HepB or DTaP/IPV/Hib)</w:t>
            </w:r>
            <w:r w:rsidRPr="00A84E81">
              <w:rPr>
                <w:sz w:val="22"/>
                <w:szCs w:val="22"/>
              </w:rPr>
              <w:t xml:space="preserve"> and subsequent boosters</w:t>
            </w:r>
            <w:r>
              <w:rPr>
                <w:sz w:val="22"/>
                <w:szCs w:val="22"/>
              </w:rPr>
              <w:t xml:space="preserve"> (Td/IPV)</w:t>
            </w:r>
            <w:r w:rsidRPr="00A84E81">
              <w:rPr>
                <w:sz w:val="22"/>
                <w:szCs w:val="22"/>
              </w:rPr>
              <w:t xml:space="preserve"> to complete immunisation in accordance with national recommendations</w:t>
            </w:r>
            <w:r>
              <w:rPr>
                <w:sz w:val="22"/>
                <w:szCs w:val="22"/>
              </w:rPr>
              <w:t>.</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Quantity to be supplied / administered</w:t>
            </w:r>
          </w:p>
        </w:tc>
        <w:tc>
          <w:tcPr>
            <w:tcW w:w="6946" w:type="dxa"/>
            <w:tcBorders>
              <w:bottom w:val="single" w:sz="4" w:space="0" w:color="auto"/>
            </w:tcBorders>
          </w:tcPr>
          <w:p w:rsidR="00A9535E" w:rsidRPr="00FC1218" w:rsidRDefault="003E41DF" w:rsidP="009F1AF8">
            <w:pPr>
              <w:spacing w:before="120" w:after="120"/>
              <w:rPr>
                <w:color w:val="FF0000"/>
                <w:sz w:val="22"/>
                <w:szCs w:val="22"/>
              </w:rPr>
            </w:pPr>
            <w:r w:rsidRPr="001E4090">
              <w:rPr>
                <w:sz w:val="22"/>
                <w:szCs w:val="22"/>
              </w:rPr>
              <w:t>Single 0.5ml dose per administration.</w:t>
            </w:r>
          </w:p>
        </w:tc>
      </w:tr>
      <w:tr w:rsidR="00A9535E" w:rsidRPr="00FA5A5F" w:rsidTr="0087180E">
        <w:tc>
          <w:tcPr>
            <w:tcW w:w="2977" w:type="dxa"/>
            <w:tcBorders>
              <w:bottom w:val="single" w:sz="4" w:space="0" w:color="auto"/>
            </w:tcBorders>
          </w:tcPr>
          <w:p w:rsidR="00A9535E"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rsidR="00F95B74" w:rsidRDefault="00F95B74" w:rsidP="002436D7">
            <w:pPr>
              <w:spacing w:before="120" w:after="120"/>
              <w:rPr>
                <w:rFonts w:cs="Arial"/>
                <w:b/>
                <w:sz w:val="22"/>
                <w:szCs w:val="22"/>
              </w:rPr>
            </w:pPr>
          </w:p>
          <w:p w:rsidR="0015732D" w:rsidRPr="0015732D" w:rsidRDefault="0015732D" w:rsidP="002436D7">
            <w:pPr>
              <w:spacing w:before="120" w:after="120"/>
              <w:rPr>
                <w:rFonts w:cs="Arial"/>
                <w:color w:val="FF0000"/>
                <w:sz w:val="22"/>
                <w:szCs w:val="22"/>
              </w:rPr>
            </w:pPr>
          </w:p>
        </w:tc>
        <w:tc>
          <w:tcPr>
            <w:tcW w:w="6946" w:type="dxa"/>
            <w:tcBorders>
              <w:bottom w:val="single" w:sz="4" w:space="0" w:color="auto"/>
            </w:tcBorders>
          </w:tcPr>
          <w:p w:rsidR="003E41DF" w:rsidRPr="003E41DF" w:rsidRDefault="003E41DF" w:rsidP="003E41DF">
            <w:pPr>
              <w:spacing w:before="120" w:after="120"/>
              <w:rPr>
                <w:rFonts w:cs="TimesNewRomanPS"/>
                <w:sz w:val="22"/>
                <w:szCs w:val="22"/>
              </w:rPr>
            </w:pPr>
            <w:r w:rsidRPr="0000216F">
              <w:rPr>
                <w:rFonts w:cs="Arial"/>
                <w:sz w:val="22"/>
                <w:szCs w:val="22"/>
              </w:rPr>
              <w:t xml:space="preserve">Centrally purchased vaccines for the national immunisation programme for the NHS can only be ordered via ImmForm. Vaccines for use for the national immunisation programme are provided free of </w:t>
            </w:r>
            <w:r w:rsidRPr="003E41DF">
              <w:rPr>
                <w:rFonts w:cs="Arial"/>
                <w:sz w:val="22"/>
                <w:szCs w:val="22"/>
              </w:rPr>
              <w:t>charge.</w:t>
            </w:r>
          </w:p>
          <w:p w:rsidR="00290B36" w:rsidRPr="00FC1218" w:rsidRDefault="00782219" w:rsidP="003E41DF">
            <w:pPr>
              <w:spacing w:before="120" w:after="120"/>
              <w:rPr>
                <w:rFonts w:cs="Arial"/>
                <w:color w:val="FF0000"/>
                <w:sz w:val="22"/>
                <w:szCs w:val="22"/>
              </w:rPr>
            </w:pPr>
            <w:r w:rsidRPr="003E41DF">
              <w:rPr>
                <w:rFonts w:cs="Arial"/>
                <w:sz w:val="22"/>
                <w:szCs w:val="22"/>
              </w:rPr>
              <w:t xml:space="preserve">Protocols for the ordering, storage and handling of vaccines should be followed to prevent vaccine wastage (see </w:t>
            </w:r>
            <w:hyperlink r:id="rId32" w:history="1">
              <w:r w:rsidRPr="003E41DF">
                <w:rPr>
                  <w:rStyle w:val="Hyperlink"/>
                  <w:rFonts w:cs="Arial"/>
                  <w:sz w:val="22"/>
                  <w:szCs w:val="22"/>
                  <w:lang w:val="en"/>
                </w:rPr>
                <w:t>protocol for ordering storage and handling of vaccines</w:t>
              </w:r>
            </w:hyperlink>
            <w:r w:rsidRPr="003E41DF">
              <w:rPr>
                <w:rStyle w:val="Hyperlink"/>
                <w:rFonts w:cs="Arial"/>
                <w:color w:val="auto"/>
                <w:sz w:val="22"/>
                <w:szCs w:val="22"/>
                <w:u w:val="none"/>
              </w:rPr>
              <w:t xml:space="preserve"> and Green Book </w:t>
            </w:r>
            <w:hyperlink r:id="rId33" w:history="1">
              <w:r w:rsidRPr="003E41DF">
                <w:rPr>
                  <w:rStyle w:val="Hyperlink"/>
                  <w:rFonts w:cs="Arial"/>
                  <w:sz w:val="22"/>
                  <w:szCs w:val="22"/>
                  <w:lang w:val="en"/>
                </w:rPr>
                <w:t>Chapter 3</w:t>
              </w:r>
            </w:hyperlink>
            <w:r w:rsidRPr="003E41DF">
              <w:rPr>
                <w:rFonts w:cs="Arial"/>
                <w:sz w:val="22"/>
                <w:szCs w:val="22"/>
              </w:rPr>
              <w:t>).</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735BC1">
              <w:rPr>
                <w:rFonts w:cs="Arial"/>
                <w:b/>
                <w:sz w:val="22"/>
                <w:szCs w:val="22"/>
              </w:rPr>
              <w:t>Storage</w:t>
            </w:r>
          </w:p>
        </w:tc>
        <w:tc>
          <w:tcPr>
            <w:tcW w:w="6946" w:type="dxa"/>
            <w:tcBorders>
              <w:bottom w:val="single" w:sz="4" w:space="0" w:color="auto"/>
            </w:tcBorders>
          </w:tcPr>
          <w:p w:rsidR="003E41DF" w:rsidRPr="007C4122" w:rsidRDefault="003E41DF" w:rsidP="003E41DF">
            <w:pPr>
              <w:pStyle w:val="Header"/>
              <w:tabs>
                <w:tab w:val="clear" w:pos="4153"/>
                <w:tab w:val="clear" w:pos="8306"/>
              </w:tabs>
              <w:spacing w:before="120"/>
              <w:rPr>
                <w:rFonts w:ascii="Arial" w:hAnsi="Arial" w:cs="Arial"/>
                <w:sz w:val="22"/>
                <w:szCs w:val="22"/>
              </w:rPr>
            </w:pPr>
            <w:r w:rsidRPr="007C4122">
              <w:rPr>
                <w:rFonts w:ascii="Arial" w:hAnsi="Arial" w:cs="Arial"/>
                <w:sz w:val="22"/>
                <w:szCs w:val="22"/>
              </w:rPr>
              <w:t xml:space="preserve">Store at </w:t>
            </w:r>
            <w:r w:rsidRPr="007C4122">
              <w:rPr>
                <w:rFonts w:ascii="Arial" w:hAnsi="Arial" w:cs="Arial"/>
                <w:spacing w:val="-2"/>
                <w:sz w:val="22"/>
                <w:szCs w:val="22"/>
              </w:rPr>
              <w:t>+2°</w:t>
            </w:r>
            <w:r w:rsidRPr="007C4122">
              <w:rPr>
                <w:rFonts w:ascii="Arial" w:hAnsi="Arial" w:cs="Arial"/>
                <w:sz w:val="22"/>
                <w:szCs w:val="22"/>
              </w:rPr>
              <w:t xml:space="preserve">C </w:t>
            </w:r>
            <w:r w:rsidRPr="007C4122">
              <w:rPr>
                <w:rFonts w:ascii="Arial" w:hAnsi="Arial" w:cs="Arial"/>
                <w:spacing w:val="-2"/>
                <w:sz w:val="22"/>
                <w:szCs w:val="22"/>
              </w:rPr>
              <w:t>t</w:t>
            </w:r>
            <w:r w:rsidRPr="007C4122">
              <w:rPr>
                <w:rFonts w:ascii="Arial" w:hAnsi="Arial" w:cs="Arial"/>
                <w:sz w:val="22"/>
                <w:szCs w:val="22"/>
              </w:rPr>
              <w:t xml:space="preserve">o </w:t>
            </w:r>
            <w:r w:rsidRPr="007C4122">
              <w:rPr>
                <w:rFonts w:ascii="Arial" w:hAnsi="Arial" w:cs="Arial"/>
                <w:spacing w:val="-2"/>
                <w:sz w:val="22"/>
                <w:szCs w:val="22"/>
              </w:rPr>
              <w:t>+8°</w:t>
            </w:r>
            <w:r w:rsidRPr="007C4122">
              <w:rPr>
                <w:rFonts w:ascii="Arial" w:hAnsi="Arial" w:cs="Arial"/>
                <w:sz w:val="22"/>
                <w:szCs w:val="22"/>
              </w:rPr>
              <w:t xml:space="preserve">C. </w:t>
            </w:r>
          </w:p>
          <w:p w:rsidR="003E41DF" w:rsidRPr="007C4122" w:rsidRDefault="003E41DF" w:rsidP="003E41DF">
            <w:pPr>
              <w:pStyle w:val="Header"/>
              <w:tabs>
                <w:tab w:val="clear" w:pos="4153"/>
                <w:tab w:val="clear" w:pos="8306"/>
              </w:tabs>
              <w:rPr>
                <w:rFonts w:ascii="Arial" w:hAnsi="Arial" w:cs="Arial"/>
                <w:sz w:val="22"/>
                <w:szCs w:val="22"/>
              </w:rPr>
            </w:pPr>
            <w:r w:rsidRPr="007C4122">
              <w:rPr>
                <w:rFonts w:ascii="Arial" w:hAnsi="Arial" w:cs="Arial"/>
                <w:sz w:val="22"/>
                <w:szCs w:val="22"/>
              </w:rPr>
              <w:t xml:space="preserve">Store in original packaging in order to protect from light. </w:t>
            </w:r>
          </w:p>
          <w:p w:rsidR="003E41DF" w:rsidRPr="00FC1218" w:rsidRDefault="003E41DF" w:rsidP="001D7C84">
            <w:pPr>
              <w:pStyle w:val="Header"/>
              <w:tabs>
                <w:tab w:val="clear" w:pos="4153"/>
                <w:tab w:val="clear" w:pos="8306"/>
              </w:tabs>
              <w:spacing w:after="120"/>
              <w:rPr>
                <w:rFonts w:ascii="Arial" w:hAnsi="Arial" w:cs="Arial"/>
                <w:color w:val="FF0000"/>
                <w:sz w:val="22"/>
                <w:szCs w:val="22"/>
              </w:rPr>
            </w:pPr>
            <w:r w:rsidRPr="007C4122">
              <w:rPr>
                <w:rFonts w:ascii="Arial" w:hAnsi="Arial" w:cs="Arial"/>
                <w:sz w:val="22"/>
                <w:szCs w:val="22"/>
              </w:rPr>
              <w:t>Do not freeze.</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FA5A5F">
              <w:rPr>
                <w:color w:val="FF0000"/>
              </w:rPr>
              <w:lastRenderedPageBreak/>
              <w:br w:type="page"/>
            </w:r>
            <w:r w:rsidRPr="00735BC1">
              <w:rPr>
                <w:rFonts w:cs="Arial"/>
                <w:b/>
                <w:sz w:val="22"/>
                <w:szCs w:val="22"/>
              </w:rPr>
              <w:t>Disposal</w:t>
            </w:r>
          </w:p>
        </w:tc>
        <w:tc>
          <w:tcPr>
            <w:tcW w:w="6946" w:type="dxa"/>
            <w:tcBorders>
              <w:bottom w:val="single" w:sz="4" w:space="0" w:color="auto"/>
            </w:tcBorders>
          </w:tcPr>
          <w:p w:rsidR="00C573AE" w:rsidRPr="00FC1218" w:rsidRDefault="00C573AE" w:rsidP="007204C5">
            <w:pPr>
              <w:spacing w:before="120" w:after="120"/>
              <w:rPr>
                <w:rFonts w:cs="Arial"/>
                <w:color w:val="FF0000"/>
                <w:sz w:val="22"/>
                <w:szCs w:val="22"/>
              </w:rPr>
            </w:pPr>
            <w:r w:rsidRPr="00E85B34">
              <w:rPr>
                <w:rFonts w:cs="Arial"/>
                <w:sz w:val="22"/>
                <w:szCs w:val="22"/>
              </w:rPr>
              <w:t>Equipment used for immunisation, including used vials, ampoules, or discharged vaccines in a syringe or applicator, should be disposed of at the end of a</w:t>
            </w:r>
            <w:r>
              <w:rPr>
                <w:rFonts w:cs="Arial"/>
                <w:sz w:val="22"/>
                <w:szCs w:val="22"/>
              </w:rPr>
              <w:t xml:space="preserve"> session by sealing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34"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A9535E" w:rsidRPr="00FA5A5F" w:rsidTr="0087180E">
        <w:tc>
          <w:tcPr>
            <w:tcW w:w="2977" w:type="dxa"/>
            <w:tcBorders>
              <w:bottom w:val="single" w:sz="4" w:space="0" w:color="auto"/>
            </w:tcBorders>
          </w:tcPr>
          <w:p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6946" w:type="dxa"/>
            <w:tcBorders>
              <w:bottom w:val="single" w:sz="4" w:space="0" w:color="auto"/>
            </w:tcBorders>
          </w:tcPr>
          <w:p w:rsidR="00C573AE" w:rsidRDefault="00C573AE" w:rsidP="00C573AE">
            <w:pPr>
              <w:shd w:val="clear" w:color="auto" w:fill="FFFFFF"/>
              <w:overflowPunct/>
              <w:autoSpaceDE/>
              <w:autoSpaceDN/>
              <w:adjustRightInd/>
              <w:spacing w:before="120"/>
              <w:ind w:right="-108"/>
              <w:textAlignment w:val="auto"/>
              <w:rPr>
                <w:rFonts w:cs="Arial"/>
                <w:sz w:val="22"/>
                <w:szCs w:val="22"/>
                <w:lang w:val="en"/>
              </w:rPr>
            </w:pPr>
            <w:r w:rsidRPr="001E4090">
              <w:rPr>
                <w:rFonts w:cs="Arial"/>
                <w:sz w:val="22"/>
                <w:szCs w:val="22"/>
                <w:lang w:val="en"/>
              </w:rPr>
              <w:t>Immunological response may be diminished in those receiving immunosuppressive treatment.</w:t>
            </w:r>
          </w:p>
          <w:p w:rsidR="00C573AE" w:rsidRDefault="00C573AE" w:rsidP="00C573AE">
            <w:pPr>
              <w:shd w:val="clear" w:color="auto" w:fill="FFFFFF"/>
              <w:overflowPunct/>
              <w:autoSpaceDE/>
              <w:autoSpaceDN/>
              <w:adjustRightInd/>
              <w:spacing w:before="120" w:after="120"/>
              <w:textAlignment w:val="auto"/>
              <w:rPr>
                <w:sz w:val="22"/>
                <w:szCs w:val="22"/>
              </w:rPr>
            </w:pPr>
            <w:r w:rsidRPr="001E4090">
              <w:rPr>
                <w:sz w:val="22"/>
                <w:szCs w:val="22"/>
              </w:rPr>
              <w:t>May be given at the same time as other vaccines.</w:t>
            </w:r>
          </w:p>
          <w:p w:rsidR="00782219" w:rsidRPr="00C573AE" w:rsidRDefault="00C573AE" w:rsidP="00782219">
            <w:pPr>
              <w:shd w:val="clear" w:color="auto" w:fill="FFFFFF"/>
              <w:overflowPunct/>
              <w:autoSpaceDE/>
              <w:autoSpaceDN/>
              <w:adjustRightInd/>
              <w:spacing w:before="120" w:after="120"/>
              <w:textAlignment w:val="auto"/>
              <w:rPr>
                <w:sz w:val="22"/>
                <w:szCs w:val="22"/>
              </w:rPr>
            </w:pPr>
            <w:r>
              <w:rPr>
                <w:rFonts w:eastAsiaTheme="minorHAnsi" w:cs="Arial"/>
                <w:color w:val="000000"/>
                <w:sz w:val="22"/>
                <w:szCs w:val="22"/>
                <w:lang w:eastAsia="en-US"/>
              </w:rPr>
              <w:t xml:space="preserve">A detailed list of drug interactions is available in the SPC, which is available from the electronic Medicines Compendium website: </w:t>
            </w:r>
            <w:r>
              <w:rPr>
                <w:rFonts w:eastAsiaTheme="minorHAnsi" w:cs="Arial"/>
                <w:color w:val="0000FF"/>
                <w:sz w:val="22"/>
                <w:szCs w:val="22"/>
                <w:lang w:eastAsia="en-US"/>
              </w:rPr>
              <w:t>www.medicines.org.uk</w:t>
            </w:r>
          </w:p>
        </w:tc>
      </w:tr>
      <w:tr w:rsidR="00A9535E" w:rsidRPr="0017269B" w:rsidTr="0087180E">
        <w:tc>
          <w:tcPr>
            <w:tcW w:w="2977" w:type="dxa"/>
            <w:tcBorders>
              <w:bottom w:val="single" w:sz="4" w:space="0" w:color="auto"/>
            </w:tcBorders>
          </w:tcPr>
          <w:p w:rsidR="000A4724" w:rsidRPr="008C2DCA" w:rsidRDefault="00A9535E" w:rsidP="008C2DCA">
            <w:pPr>
              <w:spacing w:before="120"/>
              <w:rPr>
                <w:sz w:val="22"/>
              </w:rPr>
            </w:pPr>
            <w:bookmarkStart w:id="2" w:name="IdentificationOfADRs"/>
            <w:r w:rsidRPr="006A0239">
              <w:rPr>
                <w:rFonts w:cs="Arial"/>
                <w:b/>
                <w:sz w:val="22"/>
                <w:szCs w:val="22"/>
              </w:rPr>
              <w:t>Identification &amp; management of adverse reactions</w:t>
            </w:r>
            <w:bookmarkEnd w:id="2"/>
          </w:p>
          <w:p w:rsidR="00DC31C6" w:rsidRDefault="00DC31C6"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Pr="0015732D" w:rsidRDefault="0015732D" w:rsidP="0015732D">
            <w:pPr>
              <w:spacing w:before="120" w:after="120"/>
              <w:contextualSpacing/>
              <w:rPr>
                <w:rFonts w:cs="Arial"/>
                <w:color w:val="FF0000"/>
                <w:sz w:val="22"/>
                <w:szCs w:val="22"/>
              </w:rPr>
            </w:pPr>
          </w:p>
        </w:tc>
        <w:tc>
          <w:tcPr>
            <w:tcW w:w="6946" w:type="dxa"/>
            <w:tcBorders>
              <w:bottom w:val="single" w:sz="4" w:space="0" w:color="auto"/>
            </w:tcBorders>
          </w:tcPr>
          <w:p w:rsidR="00C573AE" w:rsidRPr="00DF62BF" w:rsidRDefault="00C573AE" w:rsidP="00C573AE">
            <w:pPr>
              <w:spacing w:before="120" w:after="120"/>
              <w:ind w:right="-108"/>
              <w:rPr>
                <w:rFonts w:cs="Arial"/>
                <w:sz w:val="22"/>
                <w:szCs w:val="22"/>
              </w:rPr>
            </w:pPr>
            <w:r w:rsidRPr="00DF62BF">
              <w:rPr>
                <w:rFonts w:cs="Arial"/>
                <w:sz w:val="22"/>
                <w:szCs w:val="22"/>
              </w:rPr>
              <w:t>Local reactions following vaccination are very common ie pain, swelling or redness at the injection site. A small painless nodule may form at the injection site.</w:t>
            </w:r>
          </w:p>
          <w:p w:rsidR="00C573AE" w:rsidRPr="00DF62BF" w:rsidRDefault="00C573AE" w:rsidP="00C573AE">
            <w:pPr>
              <w:spacing w:before="120" w:after="120"/>
              <w:ind w:right="-108"/>
              <w:rPr>
                <w:rFonts w:cs="Arial"/>
                <w:sz w:val="22"/>
                <w:szCs w:val="22"/>
              </w:rPr>
            </w:pPr>
            <w:r w:rsidRPr="00DF62BF">
              <w:rPr>
                <w:rFonts w:cs="Arial"/>
                <w:sz w:val="22"/>
                <w:szCs w:val="22"/>
              </w:rPr>
              <w:t xml:space="preserve">Common adverse reactions include fever, abnormal crying, irritability, restlessness, diarrhoea, vomiting, appetite loss, somnolence, decreased activity and injection site bruising. </w:t>
            </w:r>
          </w:p>
          <w:p w:rsidR="00C573AE" w:rsidRPr="00DF62BF" w:rsidRDefault="00C573AE" w:rsidP="00C573AE">
            <w:pPr>
              <w:shd w:val="clear" w:color="auto" w:fill="FFFFFF"/>
              <w:spacing w:after="120"/>
              <w:ind w:right="-108"/>
              <w:rPr>
                <w:rFonts w:cs="Arial"/>
                <w:sz w:val="22"/>
                <w:szCs w:val="22"/>
              </w:rPr>
            </w:pPr>
            <w:r w:rsidRPr="00DF62BF">
              <w:rPr>
                <w:rFonts w:cs="Arial"/>
                <w:sz w:val="22"/>
                <w:szCs w:val="22"/>
              </w:rPr>
              <w:t>Hypersensitivity reactions, such as bronchospasm, angioedema, urticaria, and anaphylaxis can occur but are very rare.</w:t>
            </w:r>
          </w:p>
          <w:p w:rsidR="00C573AE" w:rsidRPr="00DF62BF" w:rsidRDefault="00C573AE" w:rsidP="00C573AE">
            <w:pPr>
              <w:ind w:right="-108"/>
              <w:rPr>
                <w:rFonts w:cs="Arial"/>
                <w:sz w:val="22"/>
                <w:szCs w:val="22"/>
              </w:rPr>
            </w:pPr>
            <w:r w:rsidRPr="00DF62BF">
              <w:rPr>
                <w:rFonts w:cs="Arial"/>
                <w:sz w:val="22"/>
                <w:szCs w:val="22"/>
              </w:rPr>
              <w:t xml:space="preserve">A detailed list of adverse reactions is available in the </w:t>
            </w:r>
            <w:r>
              <w:rPr>
                <w:rFonts w:cs="Arial"/>
                <w:sz w:val="22"/>
                <w:szCs w:val="22"/>
              </w:rPr>
              <w:t xml:space="preserve">vaccine’s </w:t>
            </w:r>
            <w:r w:rsidRPr="00DF62BF">
              <w:rPr>
                <w:rFonts w:cs="Arial"/>
                <w:sz w:val="22"/>
                <w:szCs w:val="22"/>
              </w:rPr>
              <w:t>Summary of Product Characteristics, which is available from the electronic Medicines Compendium website:</w:t>
            </w:r>
          </w:p>
          <w:p w:rsidR="00A9535E" w:rsidRPr="00C573AE" w:rsidRDefault="000C0B13" w:rsidP="00C573AE">
            <w:pPr>
              <w:spacing w:after="120"/>
              <w:ind w:right="62"/>
              <w:rPr>
                <w:rFonts w:cs="Arial"/>
                <w:sz w:val="22"/>
                <w:szCs w:val="22"/>
              </w:rPr>
            </w:pPr>
            <w:hyperlink r:id="rId35" w:history="1">
              <w:r w:rsidR="00C573AE" w:rsidRPr="004C3877">
                <w:rPr>
                  <w:rStyle w:val="Hyperlink"/>
                  <w:rFonts w:cs="Arial"/>
                  <w:sz w:val="22"/>
                  <w:szCs w:val="22"/>
                </w:rPr>
                <w:t>www.medicines.org.uk</w:t>
              </w:r>
            </w:hyperlink>
            <w:r w:rsidR="00C573AE">
              <w:rPr>
                <w:rFonts w:cs="Arial"/>
                <w:sz w:val="22"/>
                <w:szCs w:val="22"/>
              </w:rPr>
              <w:t xml:space="preserve"> </w:t>
            </w:r>
            <w:r w:rsidR="006A0239" w:rsidRPr="00FC1218">
              <w:rPr>
                <w:rFonts w:cs="Arial"/>
                <w:color w:val="FF0000"/>
                <w:sz w:val="22"/>
                <w:szCs w:val="22"/>
              </w:rPr>
              <w:t xml:space="preserve"> </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6A0239">
              <w:rPr>
                <w:rFonts w:cs="Arial"/>
                <w:b/>
                <w:sz w:val="22"/>
                <w:szCs w:val="22"/>
              </w:rPr>
              <w:t>Reporting procedure of adverse reactions</w:t>
            </w:r>
          </w:p>
        </w:tc>
        <w:tc>
          <w:tcPr>
            <w:tcW w:w="6946" w:type="dxa"/>
            <w:tcBorders>
              <w:bottom w:val="single" w:sz="4" w:space="0" w:color="auto"/>
            </w:tcBorders>
          </w:tcPr>
          <w:p w:rsidR="00A9535E" w:rsidRDefault="003F070C" w:rsidP="00A9535E">
            <w:pPr>
              <w:pStyle w:val="TableParagraph"/>
              <w:spacing w:before="120" w:after="120"/>
              <w:rPr>
                <w:rFonts w:ascii="Arial" w:eastAsia="Arial" w:hAnsi="Arial" w:cs="Arial"/>
                <w:color w:val="FF0000"/>
              </w:rPr>
            </w:pPr>
            <w:r w:rsidRPr="00694F5A">
              <w:rPr>
                <w:rFonts w:ascii="Arial" w:eastAsia="Arial" w:hAnsi="Arial" w:cs="Arial"/>
              </w:rPr>
              <w:t>As</w:t>
            </w:r>
            <w:r w:rsidRPr="00694F5A">
              <w:rPr>
                <w:rFonts w:ascii="Arial" w:eastAsia="Arial" w:hAnsi="Arial" w:cs="Arial"/>
                <w:spacing w:val="11"/>
              </w:rPr>
              <w:t xml:space="preserve"> </w:t>
            </w:r>
            <w:r w:rsidRPr="00694F5A">
              <w:rPr>
                <w:rFonts w:ascii="Arial" w:eastAsia="Arial" w:hAnsi="Arial" w:cs="Arial"/>
              </w:rPr>
              <w:t>with</w:t>
            </w:r>
            <w:r w:rsidRPr="00694F5A">
              <w:rPr>
                <w:rFonts w:ascii="Arial" w:eastAsia="Arial" w:hAnsi="Arial" w:cs="Arial"/>
                <w:spacing w:val="16"/>
              </w:rPr>
              <w:t xml:space="preserve"> </w:t>
            </w:r>
            <w:r w:rsidRPr="00694F5A">
              <w:rPr>
                <w:rFonts w:ascii="Arial" w:eastAsia="Arial" w:hAnsi="Arial" w:cs="Arial"/>
              </w:rPr>
              <w:t>all vaccines,</w:t>
            </w:r>
            <w:r w:rsidRPr="00694F5A">
              <w:rPr>
                <w:rFonts w:ascii="Arial" w:eastAsia="Arial" w:hAnsi="Arial" w:cs="Arial"/>
                <w:spacing w:val="31"/>
              </w:rPr>
              <w:t xml:space="preserve"> </w:t>
            </w:r>
            <w:r w:rsidRPr="00694F5A">
              <w:rPr>
                <w:rFonts w:ascii="Arial" w:eastAsia="Arial" w:hAnsi="Arial" w:cs="Arial"/>
              </w:rPr>
              <w:t>healthcare</w:t>
            </w:r>
            <w:r w:rsidRPr="00694F5A">
              <w:rPr>
                <w:rFonts w:ascii="Arial" w:eastAsia="Arial" w:hAnsi="Arial" w:cs="Arial"/>
                <w:spacing w:val="26"/>
              </w:rPr>
              <w:t xml:space="preserve"> </w:t>
            </w:r>
            <w:r w:rsidRPr="00694F5A">
              <w:rPr>
                <w:rFonts w:ascii="Arial" w:eastAsia="Arial" w:hAnsi="Arial" w:cs="Arial"/>
              </w:rPr>
              <w:t>professionals</w:t>
            </w:r>
            <w:r w:rsidRPr="00694F5A">
              <w:rPr>
                <w:rFonts w:ascii="Arial" w:eastAsia="Arial" w:hAnsi="Arial" w:cs="Arial"/>
                <w:spacing w:val="24"/>
              </w:rPr>
              <w:t xml:space="preserve"> </w:t>
            </w:r>
            <w:r w:rsidRPr="00694F5A">
              <w:rPr>
                <w:rFonts w:ascii="Arial" w:eastAsia="Arial" w:hAnsi="Arial" w:cs="Arial"/>
              </w:rPr>
              <w:t>and</w:t>
            </w:r>
            <w:r w:rsidRPr="00694F5A">
              <w:rPr>
                <w:rFonts w:ascii="Arial" w:eastAsia="Arial" w:hAnsi="Arial" w:cs="Arial"/>
                <w:spacing w:val="14"/>
              </w:rPr>
              <w:t xml:space="preserve"> </w:t>
            </w:r>
            <w:r w:rsidRPr="00694F5A">
              <w:rPr>
                <w:rFonts w:ascii="Arial" w:eastAsia="Arial" w:hAnsi="Arial" w:cs="Arial"/>
              </w:rPr>
              <w:t>patients/parents/carers are</w:t>
            </w:r>
            <w:r w:rsidRPr="00694F5A">
              <w:rPr>
                <w:rFonts w:ascii="Arial" w:eastAsia="Arial" w:hAnsi="Arial" w:cs="Arial"/>
                <w:spacing w:val="10"/>
              </w:rPr>
              <w:t xml:space="preserve"> </w:t>
            </w:r>
            <w:r w:rsidRPr="00694F5A">
              <w:rPr>
                <w:rFonts w:ascii="Arial" w:eastAsia="Arial" w:hAnsi="Arial" w:cs="Arial"/>
              </w:rPr>
              <w:t>encouraged</w:t>
            </w:r>
            <w:r w:rsidRPr="00694F5A">
              <w:rPr>
                <w:rFonts w:ascii="Arial" w:eastAsia="Arial" w:hAnsi="Arial" w:cs="Arial"/>
                <w:spacing w:val="25"/>
              </w:rPr>
              <w:t xml:space="preserve"> </w:t>
            </w:r>
            <w:r w:rsidRPr="00694F5A">
              <w:rPr>
                <w:rFonts w:ascii="Arial" w:eastAsia="Arial" w:hAnsi="Arial" w:cs="Arial"/>
              </w:rPr>
              <w:t>to</w:t>
            </w:r>
            <w:r w:rsidRPr="00694F5A">
              <w:rPr>
                <w:rFonts w:ascii="Arial" w:eastAsia="Arial" w:hAnsi="Arial" w:cs="Arial"/>
                <w:spacing w:val="21"/>
              </w:rPr>
              <w:t xml:space="preserve"> </w:t>
            </w:r>
            <w:r w:rsidRPr="00694F5A">
              <w:rPr>
                <w:rFonts w:ascii="Arial" w:eastAsia="Arial" w:hAnsi="Arial" w:cs="Arial"/>
              </w:rPr>
              <w:t>report</w:t>
            </w:r>
            <w:r w:rsidRPr="00694F5A">
              <w:rPr>
                <w:rFonts w:ascii="Arial" w:eastAsia="Arial" w:hAnsi="Arial" w:cs="Arial"/>
                <w:spacing w:val="13"/>
              </w:rPr>
              <w:t xml:space="preserve"> </w:t>
            </w:r>
            <w:r w:rsidRPr="00694F5A">
              <w:rPr>
                <w:rFonts w:ascii="Arial" w:eastAsia="Arial" w:hAnsi="Arial" w:cs="Arial"/>
              </w:rPr>
              <w:t>suspected</w:t>
            </w:r>
            <w:r w:rsidRPr="00694F5A">
              <w:rPr>
                <w:rFonts w:ascii="Arial" w:eastAsia="Arial" w:hAnsi="Arial" w:cs="Arial"/>
                <w:spacing w:val="18"/>
              </w:rPr>
              <w:t xml:space="preserve"> </w:t>
            </w:r>
            <w:r w:rsidRPr="00694F5A">
              <w:rPr>
                <w:rFonts w:ascii="Arial" w:eastAsia="Arial" w:hAnsi="Arial" w:cs="Arial"/>
              </w:rPr>
              <w:t>adverse</w:t>
            </w:r>
            <w:r w:rsidRPr="00694F5A">
              <w:rPr>
                <w:rFonts w:ascii="Arial" w:eastAsia="Arial" w:hAnsi="Arial" w:cs="Arial"/>
                <w:spacing w:val="29"/>
              </w:rPr>
              <w:t xml:space="preserve"> </w:t>
            </w:r>
            <w:r w:rsidRPr="00694F5A">
              <w:rPr>
                <w:rFonts w:ascii="Arial" w:eastAsia="Arial" w:hAnsi="Arial" w:cs="Arial"/>
              </w:rPr>
              <w:t>reactions</w:t>
            </w:r>
            <w:r w:rsidRPr="00694F5A">
              <w:rPr>
                <w:rFonts w:ascii="Arial" w:eastAsia="Arial" w:hAnsi="Arial" w:cs="Arial"/>
                <w:spacing w:val="10"/>
              </w:rPr>
              <w:t xml:space="preserve"> </w:t>
            </w:r>
            <w:r w:rsidRPr="00694F5A">
              <w:rPr>
                <w:rFonts w:ascii="Arial" w:eastAsia="Arial" w:hAnsi="Arial" w:cs="Arial"/>
              </w:rPr>
              <w:t>to</w:t>
            </w:r>
            <w:r w:rsidRPr="00694F5A">
              <w:rPr>
                <w:rFonts w:ascii="Arial" w:eastAsia="Arial" w:hAnsi="Arial" w:cs="Arial"/>
                <w:spacing w:val="14"/>
              </w:rPr>
              <w:t xml:space="preserve"> </w:t>
            </w:r>
            <w:r w:rsidRPr="00694F5A">
              <w:rPr>
                <w:rFonts w:ascii="Arial" w:eastAsia="Arial" w:hAnsi="Arial" w:cs="Arial"/>
              </w:rPr>
              <w:t>the</w:t>
            </w:r>
            <w:r w:rsidRPr="00694F5A">
              <w:rPr>
                <w:rFonts w:ascii="Arial" w:eastAsia="Arial" w:hAnsi="Arial" w:cs="Arial"/>
                <w:w w:val="98"/>
              </w:rPr>
              <w:t xml:space="preserve"> </w:t>
            </w:r>
            <w:r w:rsidRPr="00694F5A">
              <w:rPr>
                <w:rFonts w:ascii="Arial" w:eastAsia="Arial" w:hAnsi="Arial" w:cs="Arial"/>
              </w:rPr>
              <w:t>Medicines</w:t>
            </w:r>
            <w:r w:rsidRPr="00694F5A">
              <w:rPr>
                <w:rFonts w:ascii="Arial" w:eastAsia="Arial" w:hAnsi="Arial" w:cs="Arial"/>
                <w:spacing w:val="22"/>
              </w:rPr>
              <w:t xml:space="preserve"> </w:t>
            </w:r>
            <w:r w:rsidRPr="00694F5A">
              <w:rPr>
                <w:rFonts w:ascii="Arial" w:eastAsia="Arial" w:hAnsi="Arial" w:cs="Arial"/>
              </w:rPr>
              <w:t>and</w:t>
            </w:r>
            <w:r w:rsidRPr="00694F5A">
              <w:rPr>
                <w:rFonts w:ascii="Arial" w:eastAsia="Arial" w:hAnsi="Arial" w:cs="Arial"/>
                <w:spacing w:val="19"/>
              </w:rPr>
              <w:t xml:space="preserve"> </w:t>
            </w:r>
            <w:r w:rsidRPr="00694F5A">
              <w:rPr>
                <w:rFonts w:ascii="Arial" w:eastAsia="Arial" w:hAnsi="Arial" w:cs="Arial"/>
              </w:rPr>
              <w:t>Healthcare</w:t>
            </w:r>
            <w:r w:rsidRPr="00694F5A">
              <w:rPr>
                <w:rFonts w:ascii="Arial" w:eastAsia="Arial" w:hAnsi="Arial" w:cs="Arial"/>
                <w:spacing w:val="18"/>
              </w:rPr>
              <w:t xml:space="preserve"> </w:t>
            </w:r>
            <w:r w:rsidRPr="00694F5A">
              <w:rPr>
                <w:rFonts w:ascii="Arial" w:eastAsia="Arial" w:hAnsi="Arial" w:cs="Arial"/>
              </w:rPr>
              <w:t>products</w:t>
            </w:r>
            <w:r w:rsidRPr="00694F5A">
              <w:rPr>
                <w:rFonts w:ascii="Arial" w:eastAsia="Arial" w:hAnsi="Arial" w:cs="Arial"/>
                <w:spacing w:val="23"/>
              </w:rPr>
              <w:t xml:space="preserve"> </w:t>
            </w:r>
            <w:r w:rsidRPr="00694F5A">
              <w:rPr>
                <w:rFonts w:ascii="Arial" w:eastAsia="Arial" w:hAnsi="Arial" w:cs="Arial"/>
              </w:rPr>
              <w:t>Regulatory</w:t>
            </w:r>
            <w:r w:rsidRPr="00694F5A">
              <w:rPr>
                <w:rFonts w:ascii="Arial" w:eastAsia="Arial" w:hAnsi="Arial" w:cs="Arial"/>
                <w:spacing w:val="7"/>
              </w:rPr>
              <w:t xml:space="preserve"> </w:t>
            </w:r>
            <w:r w:rsidRPr="00694F5A">
              <w:rPr>
                <w:rFonts w:ascii="Arial" w:eastAsia="Arial" w:hAnsi="Arial" w:cs="Arial"/>
              </w:rPr>
              <w:t>Agency</w:t>
            </w:r>
            <w:r w:rsidRPr="00694F5A">
              <w:rPr>
                <w:rFonts w:ascii="Arial" w:eastAsia="Arial" w:hAnsi="Arial" w:cs="Arial"/>
                <w:spacing w:val="38"/>
              </w:rPr>
              <w:t xml:space="preserve"> </w:t>
            </w:r>
            <w:r w:rsidRPr="00694F5A">
              <w:rPr>
                <w:rFonts w:ascii="Arial" w:eastAsia="Arial" w:hAnsi="Arial" w:cs="Arial"/>
              </w:rPr>
              <w:t>(MHRA)</w:t>
            </w:r>
            <w:r w:rsidRPr="00694F5A">
              <w:rPr>
                <w:rFonts w:ascii="Arial" w:eastAsia="Arial" w:hAnsi="Arial" w:cs="Arial"/>
                <w:w w:val="101"/>
              </w:rPr>
              <w:t xml:space="preserve"> </w:t>
            </w:r>
            <w:r w:rsidRPr="00694F5A">
              <w:rPr>
                <w:rFonts w:ascii="Arial" w:eastAsia="Arial" w:hAnsi="Arial" w:cs="Arial"/>
              </w:rPr>
              <w:t>using</w:t>
            </w:r>
            <w:r w:rsidRPr="00694F5A">
              <w:rPr>
                <w:rFonts w:ascii="Arial" w:eastAsia="Arial" w:hAnsi="Arial" w:cs="Arial"/>
                <w:spacing w:val="9"/>
              </w:rPr>
              <w:t xml:space="preserve"> </w:t>
            </w:r>
            <w:r w:rsidRPr="00694F5A">
              <w:rPr>
                <w:rFonts w:ascii="Arial" w:eastAsia="Arial" w:hAnsi="Arial" w:cs="Arial"/>
              </w:rPr>
              <w:t>the</w:t>
            </w:r>
            <w:r w:rsidRPr="00694F5A">
              <w:rPr>
                <w:rFonts w:ascii="Arial" w:eastAsia="Arial" w:hAnsi="Arial" w:cs="Arial"/>
                <w:spacing w:val="11"/>
              </w:rPr>
              <w:t xml:space="preserve"> </w:t>
            </w:r>
            <w:r w:rsidRPr="00694F5A">
              <w:rPr>
                <w:rFonts w:ascii="Arial" w:eastAsia="Arial" w:hAnsi="Arial" w:cs="Arial"/>
              </w:rPr>
              <w:t>Yellow</w:t>
            </w:r>
            <w:r w:rsidRPr="00694F5A">
              <w:rPr>
                <w:rFonts w:ascii="Arial" w:eastAsia="Arial" w:hAnsi="Arial" w:cs="Arial"/>
                <w:spacing w:val="28"/>
              </w:rPr>
              <w:t xml:space="preserve"> </w:t>
            </w:r>
            <w:r w:rsidRPr="00694F5A">
              <w:rPr>
                <w:rFonts w:ascii="Arial" w:eastAsia="Arial" w:hAnsi="Arial" w:cs="Arial"/>
              </w:rPr>
              <w:t>Card</w:t>
            </w:r>
            <w:r w:rsidRPr="00694F5A">
              <w:rPr>
                <w:rFonts w:ascii="Arial" w:eastAsia="Arial" w:hAnsi="Arial" w:cs="Arial"/>
                <w:spacing w:val="16"/>
              </w:rPr>
              <w:t xml:space="preserve"> </w:t>
            </w:r>
            <w:r w:rsidRPr="00694F5A">
              <w:rPr>
                <w:rFonts w:ascii="Arial" w:eastAsia="Arial" w:hAnsi="Arial" w:cs="Arial"/>
              </w:rPr>
              <w:t>reporting</w:t>
            </w:r>
            <w:r w:rsidRPr="00694F5A">
              <w:rPr>
                <w:rFonts w:ascii="Arial" w:eastAsia="Arial" w:hAnsi="Arial" w:cs="Arial"/>
                <w:spacing w:val="12"/>
              </w:rPr>
              <w:t xml:space="preserve"> </w:t>
            </w:r>
            <w:r w:rsidRPr="00694F5A">
              <w:rPr>
                <w:rFonts w:ascii="Arial" w:eastAsia="Arial" w:hAnsi="Arial" w:cs="Arial"/>
              </w:rPr>
              <w:t>scheme</w:t>
            </w:r>
            <w:r w:rsidRPr="00694F5A">
              <w:rPr>
                <w:rFonts w:ascii="Arial" w:eastAsia="Arial" w:hAnsi="Arial" w:cs="Arial"/>
                <w:spacing w:val="16"/>
              </w:rPr>
              <w:t xml:space="preserve"> </w:t>
            </w:r>
            <w:r w:rsidRPr="00694F5A">
              <w:rPr>
                <w:rFonts w:ascii="Arial" w:eastAsia="Arial" w:hAnsi="Arial" w:cs="Arial"/>
              </w:rPr>
              <w:t xml:space="preserve">on: </w:t>
            </w:r>
            <w:hyperlink r:id="rId36" w:history="1">
              <w:r w:rsidRPr="00694F5A">
                <w:rPr>
                  <w:rStyle w:val="Hyperlink"/>
                  <w:rFonts w:ascii="Arial" w:eastAsia="Times New Roman" w:hAnsi="Arial" w:cs="Arial"/>
                  <w:lang w:val="en-GB" w:eastAsia="en-GB"/>
                </w:rPr>
                <w:t>http://yellowcard.mhra.gov.uk</w:t>
              </w:r>
            </w:hyperlink>
            <w:r w:rsidRPr="00FC1218">
              <w:rPr>
                <w:rFonts w:ascii="Arial" w:eastAsia="Arial" w:hAnsi="Arial" w:cs="Arial"/>
                <w:color w:val="FF0000"/>
              </w:rPr>
              <w:t xml:space="preserve"> </w:t>
            </w:r>
          </w:p>
          <w:p w:rsidR="00694F5A" w:rsidRPr="00694F5A" w:rsidRDefault="00694F5A" w:rsidP="00A9535E">
            <w:pPr>
              <w:pStyle w:val="TableParagraph"/>
              <w:spacing w:before="120" w:after="120"/>
              <w:rPr>
                <w:rFonts w:ascii="Arial" w:hAnsi="Arial" w:cs="Arial"/>
                <w:color w:val="FF0000"/>
              </w:rPr>
            </w:pPr>
            <w:r w:rsidRPr="001E4090">
              <w:rPr>
                <w:rFonts w:ascii="Arial" w:hAnsi="Arial" w:cs="Arial"/>
              </w:rPr>
              <w:t xml:space="preserve">Any adverse reaction to a vaccine should be </w:t>
            </w:r>
            <w:r w:rsidRPr="001E4090">
              <w:rPr>
                <w:rFonts w:ascii="Arial" w:eastAsia="Arial" w:hAnsi="Arial" w:cs="Arial"/>
              </w:rPr>
              <w:t>documented in the individual’s record and the individual’s GP should be informed.</w:t>
            </w:r>
          </w:p>
        </w:tc>
      </w:tr>
      <w:tr w:rsidR="00A9535E" w:rsidRPr="00FA5A5F" w:rsidTr="0087180E">
        <w:tc>
          <w:tcPr>
            <w:tcW w:w="2977" w:type="dxa"/>
            <w:tcBorders>
              <w:bottom w:val="single" w:sz="4" w:space="0" w:color="auto"/>
            </w:tcBorders>
          </w:tcPr>
          <w:p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6946" w:type="dxa"/>
            <w:tcBorders>
              <w:bottom w:val="single" w:sz="4" w:space="0" w:color="auto"/>
            </w:tcBorders>
          </w:tcPr>
          <w:p w:rsidR="00694F5A" w:rsidRDefault="00694F5A" w:rsidP="00694F5A">
            <w:pPr>
              <w:pStyle w:val="TableParagraph"/>
              <w:spacing w:before="120" w:after="120"/>
              <w:ind w:right="89"/>
              <w:rPr>
                <w:rFonts w:ascii="Arial" w:eastAsia="Arial" w:hAnsi="Arial" w:cs="Arial"/>
              </w:rPr>
            </w:pPr>
            <w:r w:rsidRPr="007E324D">
              <w:rPr>
                <w:rFonts w:ascii="Arial" w:eastAsia="Arial" w:hAnsi="Arial" w:cs="Arial"/>
              </w:rPr>
              <w:t xml:space="preserve">Offer marketing authorisation holder's patient information leaflet (PIL) provided with the vaccine.  </w:t>
            </w:r>
          </w:p>
          <w:p w:rsidR="00694F5A" w:rsidRPr="00A84E81" w:rsidRDefault="00694F5A" w:rsidP="00694F5A">
            <w:pPr>
              <w:pStyle w:val="TableParagraph"/>
              <w:spacing w:before="120" w:after="120"/>
              <w:ind w:right="-108"/>
              <w:contextualSpacing/>
              <w:rPr>
                <w:rFonts w:ascii="Arial" w:eastAsia="Arial" w:hAnsi="Arial" w:cs="Arial"/>
              </w:rPr>
            </w:pPr>
            <w:r w:rsidRPr="0028740C">
              <w:rPr>
                <w:rFonts w:ascii="Arial" w:eastAsia="Arial" w:hAnsi="Arial" w:cs="Arial"/>
              </w:rPr>
              <w:t>Im</w:t>
            </w:r>
            <w:r w:rsidRPr="00C817E1">
              <w:rPr>
                <w:rFonts w:ascii="Arial" w:eastAsia="Arial" w:hAnsi="Arial" w:cs="Arial"/>
              </w:rPr>
              <w:t>munisation promotional material may be provided as ap</w:t>
            </w:r>
            <w:r w:rsidRPr="00A84E81">
              <w:rPr>
                <w:rFonts w:ascii="Arial" w:eastAsia="Arial" w:hAnsi="Arial" w:cs="Arial"/>
              </w:rPr>
              <w:t xml:space="preserve">propriate: </w:t>
            </w:r>
          </w:p>
          <w:p w:rsidR="00694F5A" w:rsidRPr="00A84E81" w:rsidRDefault="000C0B13" w:rsidP="00694F5A">
            <w:pPr>
              <w:pStyle w:val="TableParagraph"/>
              <w:numPr>
                <w:ilvl w:val="0"/>
                <w:numId w:val="4"/>
              </w:numPr>
              <w:spacing w:before="120" w:after="120"/>
              <w:ind w:right="-108"/>
              <w:contextualSpacing/>
              <w:rPr>
                <w:rStyle w:val="Hyperlink"/>
              </w:rPr>
            </w:pPr>
            <w:hyperlink r:id="rId37" w:history="1">
              <w:r w:rsidR="00694F5A" w:rsidRPr="00A84E81">
                <w:rPr>
                  <w:rStyle w:val="Hyperlink"/>
                  <w:rFonts w:ascii="Arial" w:hAnsi="Arial" w:cs="Arial"/>
                </w:rPr>
                <w:t>Pre-school immunisations: guide to vaccinations (2 to 5 years)</w:t>
              </w:r>
            </w:hyperlink>
          </w:p>
          <w:p w:rsidR="003F070C" w:rsidRPr="00694F5A" w:rsidRDefault="00694F5A" w:rsidP="003F070C">
            <w:pPr>
              <w:pStyle w:val="TableParagraph"/>
              <w:spacing w:before="120" w:after="120"/>
              <w:ind w:right="89"/>
              <w:rPr>
                <w:rFonts w:ascii="Arial" w:eastAsia="Arial" w:hAnsi="Arial" w:cs="Arial"/>
                <w:color w:val="0000FF"/>
                <w:u w:val="single"/>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38" w:history="1">
              <w:r w:rsidRPr="00E47B6D">
                <w:rPr>
                  <w:rStyle w:val="Hyperlink"/>
                  <w:rFonts w:ascii="Arial" w:eastAsia="Arial" w:hAnsi="Arial" w:cs="Arial"/>
                </w:rPr>
                <w:t>www.gov.uk/government/collections/immunisation</w:t>
              </w:r>
            </w:hyperlink>
          </w:p>
        </w:tc>
      </w:tr>
      <w:tr w:rsidR="00A9535E" w:rsidRPr="00FA5A5F"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A9535E" w:rsidRPr="00FA5A5F" w:rsidRDefault="00A9535E" w:rsidP="00080471">
            <w:pPr>
              <w:pStyle w:val="Header"/>
              <w:tabs>
                <w:tab w:val="clear" w:pos="4153"/>
                <w:tab w:val="clear" w:pos="8306"/>
              </w:tabs>
              <w:spacing w:before="120" w:after="120"/>
              <w:rPr>
                <w:rFonts w:ascii="Arial" w:hAnsi="Arial" w:cs="Arial"/>
                <w:color w:val="FF0000"/>
                <w:sz w:val="22"/>
                <w:szCs w:val="22"/>
              </w:rPr>
            </w:pPr>
            <w:bookmarkStart w:id="3" w:name="doseandfreq"/>
            <w:bookmarkStart w:id="4" w:name="Patientadvice"/>
            <w:r w:rsidRPr="006A0239">
              <w:rPr>
                <w:rFonts w:ascii="Arial" w:hAnsi="Arial" w:cs="Arial"/>
                <w:b/>
                <w:sz w:val="22"/>
                <w:szCs w:val="22"/>
              </w:rPr>
              <w:t>Patient advice / follow up treatment</w:t>
            </w:r>
            <w:bookmarkEnd w:id="3"/>
            <w:bookmarkEnd w:id="4"/>
          </w:p>
        </w:tc>
        <w:tc>
          <w:tcPr>
            <w:tcW w:w="6946" w:type="dxa"/>
            <w:tcBorders>
              <w:top w:val="single" w:sz="4" w:space="0" w:color="auto"/>
            </w:tcBorders>
          </w:tcPr>
          <w:p w:rsidR="005732E7" w:rsidRPr="007E324D" w:rsidRDefault="005732E7" w:rsidP="005732E7">
            <w:pPr>
              <w:pStyle w:val="TableParagraph"/>
              <w:spacing w:before="120" w:after="120"/>
              <w:rPr>
                <w:rFonts w:ascii="Arial" w:eastAsia="Arial" w:hAnsi="Arial" w:cs="Arial"/>
              </w:rPr>
            </w:pPr>
            <w:r w:rsidRPr="007E324D">
              <w:rPr>
                <w:rFonts w:ascii="Arial" w:eastAsia="Arial" w:hAnsi="Arial" w:cs="Arial"/>
              </w:rPr>
              <w:t>Inform the individual/carer</w:t>
            </w:r>
            <w:r w:rsidRPr="007E324D">
              <w:rPr>
                <w:rFonts w:ascii="Arial" w:eastAsia="Arial" w:hAnsi="Arial" w:cs="Arial"/>
                <w:spacing w:val="12"/>
              </w:rPr>
              <w:t xml:space="preserve"> </w:t>
            </w:r>
            <w:r w:rsidRPr="007E324D">
              <w:rPr>
                <w:rFonts w:ascii="Arial" w:eastAsia="Arial" w:hAnsi="Arial" w:cs="Arial"/>
              </w:rPr>
              <w:t xml:space="preserve">of possible side effects and their management. </w:t>
            </w:r>
          </w:p>
          <w:p w:rsidR="005732E7" w:rsidRPr="007E324D" w:rsidRDefault="005732E7" w:rsidP="005732E7">
            <w:pPr>
              <w:pStyle w:val="TableParagraph"/>
              <w:spacing w:before="120" w:after="120"/>
              <w:rPr>
                <w:rFonts w:ascii="Arial" w:eastAsia="Arial" w:hAnsi="Arial" w:cs="Arial"/>
              </w:rPr>
            </w:pPr>
            <w:r w:rsidRPr="007E324D">
              <w:rPr>
                <w:rFonts w:ascii="Arial" w:eastAsia="Arial" w:hAnsi="Arial" w:cs="Arial"/>
              </w:rPr>
              <w:t>The</w:t>
            </w:r>
            <w:r w:rsidRPr="007E324D">
              <w:rPr>
                <w:rFonts w:ascii="Arial" w:eastAsia="Arial" w:hAnsi="Arial" w:cs="Arial"/>
                <w:spacing w:val="23"/>
              </w:rPr>
              <w:t xml:space="preserve"> </w:t>
            </w:r>
            <w:r w:rsidRPr="007E324D">
              <w:rPr>
                <w:rFonts w:ascii="Arial" w:eastAsia="Arial" w:hAnsi="Arial" w:cs="Arial"/>
              </w:rPr>
              <w:t>individual/carer</w:t>
            </w:r>
            <w:r w:rsidRPr="007E324D">
              <w:rPr>
                <w:rFonts w:ascii="Arial" w:eastAsia="Arial" w:hAnsi="Arial" w:cs="Arial"/>
                <w:spacing w:val="12"/>
              </w:rPr>
              <w:t xml:space="preserve"> </w:t>
            </w:r>
            <w:r w:rsidRPr="007E324D">
              <w:rPr>
                <w:rFonts w:ascii="Arial" w:eastAsia="Arial" w:hAnsi="Arial" w:cs="Arial"/>
              </w:rPr>
              <w:t>should</w:t>
            </w:r>
            <w:r w:rsidRPr="007E324D">
              <w:rPr>
                <w:rFonts w:ascii="Arial" w:eastAsia="Arial" w:hAnsi="Arial" w:cs="Arial"/>
                <w:spacing w:val="27"/>
              </w:rPr>
              <w:t xml:space="preserve"> </w:t>
            </w:r>
            <w:r w:rsidRPr="007E324D">
              <w:rPr>
                <w:rFonts w:ascii="Arial" w:eastAsia="Arial" w:hAnsi="Arial" w:cs="Arial"/>
              </w:rPr>
              <w:t>be</w:t>
            </w:r>
            <w:r w:rsidRPr="007E324D">
              <w:rPr>
                <w:rFonts w:ascii="Arial" w:eastAsia="Arial" w:hAnsi="Arial" w:cs="Arial"/>
                <w:spacing w:val="10"/>
              </w:rPr>
              <w:t xml:space="preserve"> </w:t>
            </w:r>
            <w:r w:rsidRPr="007E324D">
              <w:rPr>
                <w:rFonts w:ascii="Arial" w:eastAsia="Arial" w:hAnsi="Arial" w:cs="Arial"/>
              </w:rPr>
              <w:t>advised</w:t>
            </w:r>
            <w:r w:rsidRPr="007E324D">
              <w:rPr>
                <w:rFonts w:ascii="Arial" w:eastAsia="Arial" w:hAnsi="Arial" w:cs="Arial"/>
                <w:w w:val="99"/>
              </w:rPr>
              <w:t xml:space="preserve"> </w:t>
            </w:r>
            <w:r w:rsidRPr="007E324D">
              <w:rPr>
                <w:rFonts w:ascii="Arial" w:eastAsia="Arial" w:hAnsi="Arial" w:cs="Arial"/>
              </w:rPr>
              <w:t>to</w:t>
            </w:r>
            <w:r w:rsidRPr="007E324D">
              <w:rPr>
                <w:rFonts w:ascii="Arial" w:eastAsia="Arial" w:hAnsi="Arial" w:cs="Arial"/>
                <w:spacing w:val="14"/>
              </w:rPr>
              <w:t xml:space="preserve"> </w:t>
            </w:r>
            <w:r w:rsidRPr="007E324D">
              <w:rPr>
                <w:rFonts w:ascii="Arial" w:eastAsia="Arial" w:hAnsi="Arial" w:cs="Arial"/>
              </w:rPr>
              <w:t>seek</w:t>
            </w:r>
            <w:r w:rsidRPr="007E324D">
              <w:rPr>
                <w:rFonts w:ascii="Arial" w:eastAsia="Arial" w:hAnsi="Arial" w:cs="Arial"/>
                <w:spacing w:val="22"/>
              </w:rPr>
              <w:t xml:space="preserve"> </w:t>
            </w:r>
            <w:r w:rsidRPr="007E324D">
              <w:rPr>
                <w:rFonts w:ascii="Arial" w:eastAsia="Arial" w:hAnsi="Arial" w:cs="Arial"/>
              </w:rPr>
              <w:t>medical</w:t>
            </w:r>
            <w:r w:rsidRPr="007E324D">
              <w:rPr>
                <w:rFonts w:ascii="Arial" w:eastAsia="Arial" w:hAnsi="Arial" w:cs="Arial"/>
                <w:spacing w:val="12"/>
              </w:rPr>
              <w:t xml:space="preserve"> </w:t>
            </w:r>
            <w:r w:rsidRPr="007E324D">
              <w:rPr>
                <w:rFonts w:ascii="Arial" w:eastAsia="Arial" w:hAnsi="Arial" w:cs="Arial"/>
              </w:rPr>
              <w:t>advice</w:t>
            </w:r>
            <w:r w:rsidRPr="007E324D">
              <w:rPr>
                <w:rFonts w:ascii="Arial" w:hAnsi="Arial" w:cs="Arial"/>
              </w:rPr>
              <w:t xml:space="preserve"> i</w:t>
            </w:r>
            <w:r w:rsidRPr="007E324D">
              <w:rPr>
                <w:rFonts w:ascii="Arial" w:eastAsia="Arial" w:hAnsi="Arial" w:cs="Arial"/>
              </w:rPr>
              <w:t>n the event of an adverse reaction.</w:t>
            </w:r>
          </w:p>
          <w:p w:rsidR="00F95B74" w:rsidRPr="00DA2327" w:rsidRDefault="005732E7" w:rsidP="00DA2327">
            <w:pPr>
              <w:pStyle w:val="TableParagraph"/>
              <w:spacing w:before="120" w:after="120"/>
              <w:ind w:right="89"/>
              <w:rPr>
                <w:rFonts w:cs="Arial"/>
              </w:rPr>
            </w:pPr>
            <w:r w:rsidRPr="00DA2327">
              <w:rPr>
                <w:rFonts w:ascii="Arial" w:eastAsia="Arial" w:hAnsi="Arial" w:cs="Arial"/>
              </w:rPr>
              <w:t>When administration is postponed advise the individual/carer when to return for vaccination.</w:t>
            </w:r>
          </w:p>
        </w:tc>
      </w:tr>
      <w:tr w:rsidR="00A9535E" w:rsidRPr="00FA5A5F"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A9535E" w:rsidRDefault="00F43926" w:rsidP="006B6C13">
            <w:pPr>
              <w:spacing w:before="120" w:after="120"/>
              <w:rPr>
                <w:rFonts w:cs="Arial"/>
                <w:b/>
                <w:sz w:val="22"/>
                <w:szCs w:val="22"/>
              </w:rPr>
            </w:pPr>
            <w:r>
              <w:br w:type="page"/>
            </w:r>
            <w:r w:rsidR="00A9535E" w:rsidRPr="00FA5A5F">
              <w:rPr>
                <w:color w:val="FF0000"/>
              </w:rPr>
              <w:br w:type="page"/>
            </w:r>
            <w:bookmarkStart w:id="5" w:name="SpecialConsiderations"/>
            <w:r w:rsidR="00A9535E" w:rsidRPr="006A0239">
              <w:rPr>
                <w:rFonts w:cs="Arial"/>
                <w:b/>
                <w:sz w:val="22"/>
                <w:szCs w:val="22"/>
              </w:rPr>
              <w:t>Special considerations / additional information</w:t>
            </w:r>
            <w:bookmarkEnd w:id="5"/>
          </w:p>
          <w:p w:rsidR="001D7C84" w:rsidRDefault="001D7C84" w:rsidP="006B6C13">
            <w:pPr>
              <w:spacing w:before="120" w:after="120"/>
              <w:contextualSpacing/>
              <w:rPr>
                <w:rFonts w:cs="Arial"/>
                <w:sz w:val="22"/>
                <w:szCs w:val="22"/>
              </w:rPr>
            </w:pPr>
          </w:p>
          <w:p w:rsidR="00410547" w:rsidRPr="001D7C84" w:rsidRDefault="001D7C84" w:rsidP="006B6C13">
            <w:pPr>
              <w:spacing w:before="120" w:after="120"/>
              <w:contextualSpacing/>
              <w:rPr>
                <w:rFonts w:cs="Arial"/>
                <w:sz w:val="22"/>
                <w:szCs w:val="22"/>
              </w:rPr>
            </w:pPr>
            <w:r w:rsidRPr="001D7C84">
              <w:rPr>
                <w:rFonts w:cs="Arial"/>
                <w:sz w:val="22"/>
                <w:szCs w:val="22"/>
              </w:rPr>
              <w:t>Continued over page</w:t>
            </w:r>
          </w:p>
          <w:p w:rsidR="00410547" w:rsidRDefault="001D7C84" w:rsidP="006B6C13">
            <w:pPr>
              <w:spacing w:before="120" w:after="120"/>
              <w:contextualSpacing/>
              <w:rPr>
                <w:rFonts w:cs="Arial"/>
                <w:b/>
                <w:sz w:val="22"/>
                <w:szCs w:val="22"/>
              </w:rPr>
            </w:pPr>
            <w:r w:rsidRPr="006A0239">
              <w:rPr>
                <w:rFonts w:cs="Arial"/>
                <w:b/>
                <w:sz w:val="22"/>
                <w:szCs w:val="22"/>
              </w:rPr>
              <w:lastRenderedPageBreak/>
              <w:t>Special considerations / additional information</w:t>
            </w:r>
          </w:p>
          <w:p w:rsidR="001D7C84" w:rsidRPr="001D7C84" w:rsidRDefault="001D7C84" w:rsidP="006B6C13">
            <w:pPr>
              <w:spacing w:before="120" w:after="120"/>
              <w:contextualSpacing/>
              <w:rPr>
                <w:rFonts w:cs="Arial"/>
                <w:sz w:val="22"/>
                <w:szCs w:val="22"/>
              </w:rPr>
            </w:pPr>
            <w:r w:rsidRPr="001D7C84">
              <w:rPr>
                <w:rFonts w:cs="Arial"/>
                <w:sz w:val="22"/>
                <w:szCs w:val="22"/>
              </w:rPr>
              <w:t>(</w:t>
            </w:r>
            <w:r>
              <w:rPr>
                <w:rFonts w:cs="Arial"/>
                <w:sz w:val="22"/>
                <w:szCs w:val="22"/>
              </w:rPr>
              <w:t>c</w:t>
            </w:r>
            <w:r w:rsidRPr="001D7C84">
              <w:rPr>
                <w:rFonts w:cs="Arial"/>
                <w:sz w:val="22"/>
                <w:szCs w:val="22"/>
              </w:rPr>
              <w:t>ontinued)</w:t>
            </w:r>
          </w:p>
          <w:p w:rsidR="00410547" w:rsidRPr="008C2DCA" w:rsidRDefault="00410547" w:rsidP="006B6C13">
            <w:pPr>
              <w:spacing w:before="120" w:after="120"/>
              <w:rPr>
                <w:color w:val="FF0000"/>
                <w:sz w:val="22"/>
              </w:rPr>
            </w:pPr>
          </w:p>
        </w:tc>
        <w:tc>
          <w:tcPr>
            <w:tcW w:w="6946" w:type="dxa"/>
            <w:shd w:val="clear" w:color="auto" w:fill="auto"/>
          </w:tcPr>
          <w:p w:rsidR="005732E7" w:rsidRPr="00251BF9" w:rsidRDefault="005732E7" w:rsidP="005732E7">
            <w:pPr>
              <w:pStyle w:val="Header"/>
              <w:tabs>
                <w:tab w:val="left" w:pos="720"/>
              </w:tabs>
              <w:spacing w:before="120" w:after="120"/>
              <w:rPr>
                <w:rFonts w:ascii="Arial" w:eastAsiaTheme="minorHAnsi" w:hAnsi="Arial" w:cs="Arial"/>
                <w:sz w:val="22"/>
                <w:szCs w:val="22"/>
                <w:lang w:eastAsia="en-US"/>
              </w:rPr>
            </w:pPr>
            <w:r w:rsidRPr="00251BF9">
              <w:rPr>
                <w:rFonts w:ascii="Arial" w:eastAsia="Arial" w:hAnsi="Arial" w:cs="Arial"/>
                <w:sz w:val="22"/>
                <w:szCs w:val="22"/>
              </w:rPr>
              <w:lastRenderedPageBreak/>
              <w:t>Ensure there is immediate</w:t>
            </w:r>
            <w:r w:rsidRPr="00251BF9">
              <w:rPr>
                <w:rFonts w:ascii="Arial" w:eastAsia="Arial" w:hAnsi="Arial" w:cs="Arial"/>
                <w:spacing w:val="17"/>
                <w:sz w:val="22"/>
                <w:szCs w:val="22"/>
              </w:rPr>
              <w:t xml:space="preserve"> </w:t>
            </w:r>
            <w:r w:rsidRPr="00251BF9">
              <w:rPr>
                <w:rFonts w:ascii="Arial" w:eastAsia="Arial" w:hAnsi="Arial" w:cs="Arial"/>
                <w:sz w:val="22"/>
                <w:szCs w:val="22"/>
              </w:rPr>
              <w:t>access</w:t>
            </w:r>
            <w:r w:rsidRPr="00251BF9">
              <w:rPr>
                <w:rFonts w:ascii="Arial" w:eastAsia="Arial" w:hAnsi="Arial" w:cs="Arial"/>
                <w:spacing w:val="14"/>
                <w:sz w:val="22"/>
                <w:szCs w:val="22"/>
              </w:rPr>
              <w:t xml:space="preserve"> </w:t>
            </w:r>
            <w:r w:rsidRPr="00251BF9">
              <w:rPr>
                <w:rFonts w:ascii="Arial" w:eastAsia="Arial" w:hAnsi="Arial" w:cs="Arial"/>
                <w:sz w:val="22"/>
                <w:szCs w:val="22"/>
              </w:rPr>
              <w:t>to</w:t>
            </w:r>
            <w:r w:rsidRPr="00251BF9">
              <w:rPr>
                <w:rFonts w:ascii="Arial" w:eastAsia="Arial" w:hAnsi="Arial" w:cs="Arial"/>
                <w:spacing w:val="21"/>
                <w:sz w:val="22"/>
                <w:szCs w:val="22"/>
              </w:rPr>
              <w:t xml:space="preserve"> </w:t>
            </w:r>
            <w:r w:rsidRPr="00251BF9">
              <w:rPr>
                <w:rFonts w:ascii="Arial" w:eastAsia="Arial" w:hAnsi="Arial" w:cs="Arial"/>
                <w:sz w:val="22"/>
                <w:szCs w:val="22"/>
              </w:rPr>
              <w:t>adrenaline (epinephrine)</w:t>
            </w:r>
            <w:r w:rsidRPr="00251BF9">
              <w:rPr>
                <w:rFonts w:ascii="Arial" w:eastAsia="Arial" w:hAnsi="Arial" w:cs="Arial"/>
                <w:spacing w:val="21"/>
                <w:sz w:val="22"/>
                <w:szCs w:val="22"/>
              </w:rPr>
              <w:t xml:space="preserve"> </w:t>
            </w:r>
            <w:r w:rsidRPr="00251BF9">
              <w:rPr>
                <w:rFonts w:ascii="Arial" w:eastAsia="Arial" w:hAnsi="Arial" w:cs="Arial"/>
                <w:sz w:val="22"/>
                <w:szCs w:val="22"/>
              </w:rPr>
              <w:t>1</w:t>
            </w:r>
            <w:r w:rsidRPr="00251BF9">
              <w:rPr>
                <w:rFonts w:ascii="Arial" w:eastAsia="Arial" w:hAnsi="Arial" w:cs="Arial"/>
                <w:spacing w:val="-10"/>
                <w:sz w:val="22"/>
                <w:szCs w:val="22"/>
              </w:rPr>
              <w:t xml:space="preserve"> </w:t>
            </w:r>
            <w:r w:rsidRPr="00251BF9">
              <w:rPr>
                <w:rFonts w:ascii="Arial" w:eastAsia="Arial" w:hAnsi="Arial" w:cs="Arial"/>
                <w:sz w:val="22"/>
                <w:szCs w:val="22"/>
              </w:rPr>
              <w:t>in</w:t>
            </w:r>
            <w:r w:rsidRPr="00251BF9">
              <w:rPr>
                <w:rFonts w:ascii="Arial" w:eastAsia="Arial" w:hAnsi="Arial" w:cs="Arial"/>
                <w:spacing w:val="17"/>
                <w:sz w:val="22"/>
                <w:szCs w:val="22"/>
              </w:rPr>
              <w:t xml:space="preserve"> </w:t>
            </w:r>
            <w:r w:rsidRPr="00251BF9">
              <w:rPr>
                <w:rFonts w:ascii="Arial" w:eastAsia="Arial" w:hAnsi="Arial" w:cs="Arial"/>
                <w:sz w:val="22"/>
                <w:szCs w:val="22"/>
              </w:rPr>
              <w:t>1000</w:t>
            </w:r>
            <w:r w:rsidRPr="00251BF9">
              <w:rPr>
                <w:rFonts w:ascii="Arial" w:eastAsia="Arial" w:hAnsi="Arial" w:cs="Arial"/>
                <w:spacing w:val="11"/>
                <w:sz w:val="22"/>
                <w:szCs w:val="22"/>
              </w:rPr>
              <w:t xml:space="preserve"> </w:t>
            </w:r>
            <w:r w:rsidRPr="00251BF9">
              <w:rPr>
                <w:rFonts w:ascii="Arial" w:eastAsia="Arial" w:hAnsi="Arial" w:cs="Arial"/>
                <w:sz w:val="22"/>
                <w:szCs w:val="22"/>
              </w:rPr>
              <w:t>injection and access</w:t>
            </w:r>
            <w:r w:rsidRPr="00251BF9">
              <w:rPr>
                <w:rFonts w:ascii="Arial" w:eastAsia="Arial" w:hAnsi="Arial" w:cs="Arial"/>
                <w:spacing w:val="19"/>
                <w:sz w:val="22"/>
                <w:szCs w:val="22"/>
              </w:rPr>
              <w:t xml:space="preserve"> </w:t>
            </w:r>
            <w:r w:rsidRPr="00251BF9">
              <w:rPr>
                <w:rFonts w:ascii="Arial" w:eastAsia="Arial" w:hAnsi="Arial" w:cs="Arial"/>
                <w:sz w:val="22"/>
                <w:szCs w:val="22"/>
              </w:rPr>
              <w:t>to</w:t>
            </w:r>
            <w:r w:rsidRPr="00251BF9">
              <w:rPr>
                <w:rFonts w:ascii="Arial" w:eastAsia="Arial" w:hAnsi="Arial" w:cs="Arial"/>
                <w:spacing w:val="10"/>
                <w:sz w:val="22"/>
                <w:szCs w:val="22"/>
              </w:rPr>
              <w:t xml:space="preserve"> a </w:t>
            </w:r>
            <w:r w:rsidRPr="00251BF9">
              <w:rPr>
                <w:rFonts w:ascii="Arial" w:eastAsia="Arial" w:hAnsi="Arial" w:cs="Arial"/>
                <w:sz w:val="22"/>
                <w:szCs w:val="22"/>
              </w:rPr>
              <w:t xml:space="preserve">telephone </w:t>
            </w:r>
            <w:r w:rsidRPr="00251BF9">
              <w:rPr>
                <w:rFonts w:ascii="Arial" w:eastAsiaTheme="minorHAnsi" w:hAnsi="Arial" w:cs="Arial"/>
                <w:sz w:val="22"/>
                <w:szCs w:val="22"/>
                <w:lang w:eastAsia="en-US"/>
              </w:rPr>
              <w:t>at the time of vaccination.</w:t>
            </w:r>
          </w:p>
          <w:p w:rsidR="005732E7" w:rsidRDefault="005732E7" w:rsidP="005732E7">
            <w:pPr>
              <w:pStyle w:val="Header"/>
              <w:tabs>
                <w:tab w:val="left" w:pos="720"/>
              </w:tabs>
              <w:spacing w:before="120" w:after="120"/>
              <w:rPr>
                <w:rFonts w:ascii="Arial" w:eastAsiaTheme="minorHAnsi" w:hAnsi="Arial" w:cs="Arial"/>
                <w:sz w:val="22"/>
                <w:szCs w:val="22"/>
                <w:lang w:eastAsia="en-US"/>
              </w:rPr>
            </w:pPr>
            <w:r w:rsidRPr="00251BF9">
              <w:rPr>
                <w:rFonts w:ascii="Arial" w:eastAsiaTheme="minorHAnsi" w:hAnsi="Arial" w:cs="Arial"/>
                <w:sz w:val="22"/>
                <w:szCs w:val="22"/>
                <w:lang w:eastAsia="en-US"/>
              </w:rPr>
              <w:t xml:space="preserve">Minor illnesses without fever or systemic upset are not valid reasons to postpone immunisation. If an individual is acutely unwell, </w:t>
            </w:r>
            <w:r w:rsidRPr="00251BF9">
              <w:rPr>
                <w:rFonts w:ascii="Arial" w:eastAsiaTheme="minorHAnsi" w:hAnsi="Arial" w:cs="Arial"/>
                <w:sz w:val="22"/>
                <w:szCs w:val="22"/>
                <w:lang w:eastAsia="en-US"/>
              </w:rPr>
              <w:lastRenderedPageBreak/>
              <w:t xml:space="preserve">immunisation may be postponed until they have fully recovered. </w:t>
            </w:r>
          </w:p>
          <w:p w:rsidR="005732E7" w:rsidRPr="00DA2327" w:rsidRDefault="005732E7" w:rsidP="005732E7">
            <w:pPr>
              <w:spacing w:before="120" w:after="120"/>
              <w:rPr>
                <w:rFonts w:eastAsiaTheme="minorHAnsi" w:cs="Arial"/>
                <w:sz w:val="22"/>
                <w:szCs w:val="22"/>
                <w:lang w:eastAsia="en-US"/>
              </w:rPr>
            </w:pPr>
            <w:r w:rsidRPr="00251BF9">
              <w:rPr>
                <w:rFonts w:eastAsiaTheme="minorHAnsi" w:cs="Arial"/>
                <w:sz w:val="22"/>
                <w:szCs w:val="22"/>
                <w:lang w:eastAsia="en-US"/>
              </w:rPr>
              <w:t>Tetanus vaccine given at the time of a tetanus-prone injury may not boost immunity early enough to give additional protection within the incubation period of tetanus. Therefore, tetanus vaccine is not considered adequate for treating a tetanus-prone wound. However, this provides an opportunity to ensure that the individual is protected against future exposure. Individuals may also require human tetanus immunoglobulin (see “</w:t>
            </w:r>
            <w:r w:rsidRPr="00DA2327">
              <w:rPr>
                <w:rFonts w:eastAsiaTheme="minorHAnsi" w:cs="Arial"/>
                <w:sz w:val="22"/>
                <w:szCs w:val="22"/>
                <w:lang w:eastAsia="en-US"/>
              </w:rPr>
              <w:t xml:space="preserve">The Green Book” </w:t>
            </w:r>
            <w:hyperlink r:id="rId39" w:history="1">
              <w:r w:rsidR="00DA2327" w:rsidRPr="00DA2327">
                <w:rPr>
                  <w:rStyle w:val="Hyperlink"/>
                  <w:rFonts w:cs="Arial"/>
                  <w:sz w:val="22"/>
                  <w:szCs w:val="22"/>
                </w:rPr>
                <w:t>Chapter 30</w:t>
              </w:r>
            </w:hyperlink>
            <w:r w:rsidRPr="00DA2327">
              <w:rPr>
                <w:rFonts w:eastAsiaTheme="minorHAnsi" w:cs="Arial"/>
                <w:sz w:val="22"/>
                <w:szCs w:val="22"/>
                <w:lang w:eastAsia="en-US"/>
              </w:rPr>
              <w:t>).</w:t>
            </w:r>
          </w:p>
          <w:p w:rsidR="007001BF" w:rsidRPr="00DA2327" w:rsidRDefault="005732E7" w:rsidP="008C2DCA">
            <w:pPr>
              <w:pStyle w:val="Header"/>
              <w:tabs>
                <w:tab w:val="left" w:pos="720"/>
              </w:tabs>
              <w:spacing w:before="120" w:after="120"/>
              <w:rPr>
                <w:rFonts w:ascii="Arial" w:hAnsi="Arial" w:cs="Arial"/>
                <w:sz w:val="22"/>
                <w:szCs w:val="22"/>
              </w:rPr>
            </w:pPr>
            <w:r w:rsidRPr="00DA2327">
              <w:rPr>
                <w:rFonts w:ascii="Arial" w:eastAsiaTheme="minorHAnsi" w:hAnsi="Arial" w:cs="Arial"/>
                <w:sz w:val="22"/>
                <w:szCs w:val="22"/>
                <w:lang w:eastAsia="en-US"/>
              </w:rPr>
              <w:t xml:space="preserve">If a person has received vaccination for a tetanus-prone wound with the same vaccine as due for routine immunisation or booster and was administered at an appropriate interval then the routine booster dose is not required, refer to advice in “The Green Book” </w:t>
            </w:r>
            <w:hyperlink r:id="rId40" w:history="1">
              <w:r w:rsidRPr="00DA2327">
                <w:rPr>
                  <w:rStyle w:val="Hyperlink"/>
                  <w:rFonts w:ascii="Arial" w:hAnsi="Arial" w:cs="Arial"/>
                  <w:sz w:val="22"/>
                  <w:szCs w:val="22"/>
                </w:rPr>
                <w:t>Chapter 30</w:t>
              </w:r>
            </w:hyperlink>
            <w:r w:rsidRPr="00DA2327">
              <w:rPr>
                <w:rStyle w:val="Hyperlink"/>
                <w:rFonts w:ascii="Arial" w:hAnsi="Arial" w:cs="Arial"/>
                <w:color w:val="auto"/>
                <w:sz w:val="22"/>
                <w:szCs w:val="22"/>
                <w:u w:val="none"/>
              </w:rPr>
              <w:t xml:space="preserve">. </w:t>
            </w:r>
          </w:p>
        </w:tc>
      </w:tr>
      <w:tr w:rsidR="00A9535E" w:rsidRPr="00FA5A5F"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A9535E" w:rsidRDefault="00A9535E" w:rsidP="007E045E">
            <w:pPr>
              <w:spacing w:before="120" w:after="120"/>
              <w:rPr>
                <w:rFonts w:cs="Arial"/>
                <w:b/>
                <w:sz w:val="22"/>
                <w:szCs w:val="22"/>
              </w:rPr>
            </w:pPr>
            <w:r w:rsidRPr="006A0239">
              <w:rPr>
                <w:rFonts w:cs="Arial"/>
                <w:b/>
                <w:sz w:val="22"/>
                <w:szCs w:val="22"/>
              </w:rPr>
              <w:lastRenderedPageBreak/>
              <w:t>Records</w:t>
            </w:r>
          </w:p>
          <w:p w:rsidR="00DC31C6" w:rsidRDefault="00DC31C6" w:rsidP="007E045E">
            <w:pPr>
              <w:spacing w:before="120" w:after="120"/>
              <w:rPr>
                <w:rFonts w:cs="Arial"/>
                <w:b/>
                <w:sz w:val="22"/>
                <w:szCs w:val="22"/>
              </w:rPr>
            </w:pPr>
          </w:p>
          <w:p w:rsidR="00DC31C6" w:rsidRPr="00DC31C6" w:rsidRDefault="00DC31C6" w:rsidP="00DC31C6">
            <w:pPr>
              <w:spacing w:before="120" w:after="120"/>
              <w:contextualSpacing/>
              <w:rPr>
                <w:rFonts w:cs="Arial"/>
                <w:color w:val="FF0000"/>
                <w:sz w:val="22"/>
                <w:szCs w:val="22"/>
              </w:rPr>
            </w:pPr>
          </w:p>
        </w:tc>
        <w:tc>
          <w:tcPr>
            <w:tcW w:w="6946" w:type="dxa"/>
          </w:tcPr>
          <w:p w:rsidR="006A0239" w:rsidRPr="005732E7" w:rsidRDefault="006A0239" w:rsidP="006A0239">
            <w:pPr>
              <w:overflowPunct/>
              <w:autoSpaceDE/>
              <w:autoSpaceDN/>
              <w:adjustRightInd/>
              <w:spacing w:before="120"/>
              <w:ind w:left="34"/>
              <w:textAlignment w:val="auto"/>
              <w:rPr>
                <w:rFonts w:cs="Arial"/>
                <w:sz w:val="22"/>
                <w:szCs w:val="22"/>
              </w:rPr>
            </w:pPr>
            <w:r w:rsidRPr="005732E7">
              <w:rPr>
                <w:rFonts w:cs="Arial"/>
                <w:sz w:val="22"/>
                <w:szCs w:val="22"/>
              </w:rPr>
              <w:t xml:space="preserve">Record: </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that valid informed consent was given</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name of individual, address, date of birth and GP with whom the individual is registered</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name of immuniser</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name and brand of vaccine</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date of administration</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dose, form and route of administration of vaccine</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quantity administered</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batch number and expiry date</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anatomical site of vaccination</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advice given, including advice given if excluded or declines immunisation</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5732E7">
              <w:rPr>
                <w:rFonts w:cs="Arial"/>
                <w:sz w:val="22"/>
                <w:szCs w:val="22"/>
              </w:rPr>
              <w:t>details of any adverse drug reactions and actions taken</w:t>
            </w:r>
          </w:p>
          <w:p w:rsidR="006A0239" w:rsidRPr="005732E7"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5732E7">
              <w:rPr>
                <w:rFonts w:cs="Arial"/>
                <w:sz w:val="22"/>
                <w:szCs w:val="22"/>
              </w:rPr>
              <w:t>supplied via Patient Group Direction (PGD)</w:t>
            </w:r>
          </w:p>
          <w:p w:rsidR="006A0239" w:rsidRPr="005732E7" w:rsidRDefault="006A0239" w:rsidP="006A0239">
            <w:pPr>
              <w:overflowPunct/>
              <w:autoSpaceDE/>
              <w:autoSpaceDN/>
              <w:adjustRightInd/>
              <w:spacing w:before="120" w:after="120"/>
              <w:textAlignment w:val="auto"/>
              <w:rPr>
                <w:rFonts w:cs="Arial"/>
                <w:sz w:val="22"/>
                <w:szCs w:val="22"/>
              </w:rPr>
            </w:pPr>
            <w:r w:rsidRPr="005732E7">
              <w:rPr>
                <w:rFonts w:cs="Arial"/>
                <w:sz w:val="22"/>
                <w:szCs w:val="22"/>
              </w:rPr>
              <w:t>Records should be signed and dated (or a password controlled immuniser</w:t>
            </w:r>
            <w:r w:rsidR="00185BD2" w:rsidRPr="005732E7">
              <w:rPr>
                <w:rFonts w:cs="Arial"/>
                <w:sz w:val="22"/>
                <w:szCs w:val="22"/>
              </w:rPr>
              <w:t>’</w:t>
            </w:r>
            <w:r w:rsidRPr="005732E7">
              <w:rPr>
                <w:rFonts w:cs="Arial"/>
                <w:sz w:val="22"/>
                <w:szCs w:val="22"/>
              </w:rPr>
              <w:t xml:space="preserve">s record on e-records). </w:t>
            </w:r>
          </w:p>
          <w:p w:rsidR="006A0239" w:rsidRPr="005732E7" w:rsidRDefault="006A0239" w:rsidP="006A0239">
            <w:pPr>
              <w:spacing w:before="120" w:after="120"/>
              <w:rPr>
                <w:rFonts w:cs="Arial"/>
                <w:sz w:val="22"/>
                <w:szCs w:val="22"/>
              </w:rPr>
            </w:pPr>
            <w:r w:rsidRPr="005732E7">
              <w:rPr>
                <w:rFonts w:cs="Arial"/>
                <w:sz w:val="22"/>
                <w:szCs w:val="22"/>
              </w:rPr>
              <w:t>All records should be clear, legible and contemporaneous.</w:t>
            </w:r>
          </w:p>
          <w:p w:rsidR="006A0239" w:rsidRPr="005732E7" w:rsidRDefault="006A0239" w:rsidP="006A0239">
            <w:pPr>
              <w:spacing w:before="120" w:after="120"/>
              <w:rPr>
                <w:sz w:val="22"/>
                <w:szCs w:val="22"/>
              </w:rPr>
            </w:pPr>
            <w:r w:rsidRPr="005732E7">
              <w:rPr>
                <w:sz w:val="22"/>
                <w:szCs w:val="22"/>
              </w:rPr>
              <w:t>This information should be recorded in the individual’s GP record. Where vaccine is administered outside the GP setting appropriate health records should be kept and the individual’s GP informed.</w:t>
            </w:r>
          </w:p>
          <w:p w:rsidR="006A0239" w:rsidRPr="005732E7" w:rsidRDefault="006A0239" w:rsidP="006A0239">
            <w:pPr>
              <w:spacing w:before="120" w:after="120"/>
              <w:rPr>
                <w:rFonts w:cs="Arial"/>
                <w:sz w:val="22"/>
                <w:szCs w:val="22"/>
              </w:rPr>
            </w:pPr>
            <w:r w:rsidRPr="005732E7">
              <w:rPr>
                <w:sz w:val="22"/>
                <w:szCs w:val="22"/>
              </w:rPr>
              <w:t>The local Child Health Information Systems team (Child Health Records Department) must be notified using the appropriate documentation/pathway when vaccine is administered to individuals under 19 years of age.</w:t>
            </w:r>
          </w:p>
          <w:p w:rsidR="00A9535E" w:rsidRPr="005732E7" w:rsidRDefault="006A0239" w:rsidP="006A0239">
            <w:pPr>
              <w:overflowPunct/>
              <w:autoSpaceDE/>
              <w:autoSpaceDN/>
              <w:adjustRightInd/>
              <w:spacing w:before="120" w:after="120"/>
              <w:ind w:left="34"/>
              <w:textAlignment w:val="auto"/>
              <w:rPr>
                <w:rFonts w:cs="Arial"/>
                <w:sz w:val="22"/>
                <w:szCs w:val="22"/>
              </w:rPr>
            </w:pPr>
            <w:r w:rsidRPr="005732E7">
              <w:rPr>
                <w:rFonts w:cs="Arial"/>
                <w:sz w:val="22"/>
                <w:szCs w:val="22"/>
              </w:rPr>
              <w:t xml:space="preserve">A record of all individuals receiving treatment under this PGD should also be kept for audit purposes in accordance with local policy. </w:t>
            </w:r>
          </w:p>
        </w:tc>
      </w:tr>
    </w:tbl>
    <w:p w:rsidR="00A60816" w:rsidRDefault="00A60816">
      <w:pPr>
        <w:overflowPunct/>
        <w:autoSpaceDE/>
        <w:autoSpaceDN/>
        <w:adjustRightInd/>
        <w:jc w:val="center"/>
        <w:textAlignment w:val="auto"/>
        <w:rPr>
          <w:b/>
          <w:color w:val="FF0000"/>
          <w:szCs w:val="24"/>
        </w:rPr>
      </w:pPr>
      <w:r>
        <w:rPr>
          <w:b/>
          <w:color w:val="FF0000"/>
          <w:szCs w:val="24"/>
        </w:rPr>
        <w:br w:type="page"/>
      </w:r>
    </w:p>
    <w:p w:rsidR="00B26D99" w:rsidRPr="00A60816" w:rsidRDefault="00B26D99" w:rsidP="00063BEF">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rsidTr="007E0EFA">
        <w:tc>
          <w:tcPr>
            <w:tcW w:w="2835" w:type="dxa"/>
          </w:tcPr>
          <w:p w:rsidR="00B26D99" w:rsidRDefault="00B26D99" w:rsidP="00000A1D">
            <w:pPr>
              <w:spacing w:before="120" w:after="120"/>
              <w:rPr>
                <w:rFonts w:cs="Arial"/>
                <w:b/>
                <w:sz w:val="22"/>
                <w:szCs w:val="22"/>
              </w:rPr>
            </w:pPr>
            <w:r w:rsidRPr="00A60816">
              <w:rPr>
                <w:rFonts w:cs="Arial"/>
                <w:b/>
                <w:sz w:val="22"/>
                <w:szCs w:val="22"/>
              </w:rPr>
              <w:t xml:space="preserve">Key references </w:t>
            </w: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Pr="007C39F9" w:rsidRDefault="007C39F9" w:rsidP="00000A1D">
            <w:pPr>
              <w:spacing w:before="120" w:after="120"/>
              <w:rPr>
                <w:rFonts w:cs="Arial"/>
                <w:sz w:val="22"/>
                <w:szCs w:val="22"/>
              </w:rPr>
            </w:pPr>
          </w:p>
        </w:tc>
        <w:tc>
          <w:tcPr>
            <w:tcW w:w="7088" w:type="dxa"/>
          </w:tcPr>
          <w:p w:rsidR="005732E7" w:rsidRPr="00285A34" w:rsidRDefault="005732E7" w:rsidP="007E0EFA">
            <w:pPr>
              <w:spacing w:before="120" w:after="60"/>
              <w:rPr>
                <w:rFonts w:cs="Arial"/>
                <w:b/>
                <w:sz w:val="22"/>
                <w:szCs w:val="22"/>
              </w:rPr>
            </w:pPr>
            <w:r w:rsidRPr="00285A34">
              <w:rPr>
                <w:rFonts w:cs="Arial"/>
                <w:b/>
                <w:sz w:val="22"/>
                <w:szCs w:val="22"/>
              </w:rPr>
              <w:t xml:space="preserve">DTaP/IPV/Hib vaccine </w:t>
            </w:r>
          </w:p>
          <w:p w:rsidR="007E0EFA" w:rsidRDefault="005732E7" w:rsidP="007E0EFA">
            <w:pPr>
              <w:pStyle w:val="ListParagraph"/>
              <w:numPr>
                <w:ilvl w:val="0"/>
                <w:numId w:val="10"/>
              </w:numPr>
              <w:ind w:left="176" w:hanging="176"/>
              <w:contextualSpacing w:val="0"/>
              <w:rPr>
                <w:color w:val="FF0000"/>
                <w:sz w:val="22"/>
                <w:szCs w:val="22"/>
              </w:rPr>
            </w:pPr>
            <w:r w:rsidRPr="00285A34">
              <w:rPr>
                <w:sz w:val="22"/>
                <w:szCs w:val="22"/>
              </w:rPr>
              <w:t xml:space="preserve">Immunisation Against Infectious Disease: The Green Book </w:t>
            </w:r>
            <w:hyperlink r:id="rId41" w:history="1">
              <w:r w:rsidRPr="00285A34">
                <w:rPr>
                  <w:rStyle w:val="Hyperlink"/>
                  <w:rFonts w:cs="Arial"/>
                  <w:sz w:val="22"/>
                  <w:szCs w:val="22"/>
                </w:rPr>
                <w:t>Chapter 15</w:t>
              </w:r>
            </w:hyperlink>
            <w:r w:rsidRPr="00285A34">
              <w:rPr>
                <w:rFonts w:cs="Arial"/>
                <w:sz w:val="22"/>
                <w:szCs w:val="22"/>
              </w:rPr>
              <w:t xml:space="preserve">, </w:t>
            </w:r>
            <w:hyperlink r:id="rId42" w:history="1">
              <w:r w:rsidRPr="00285A34">
                <w:rPr>
                  <w:rStyle w:val="Hyperlink"/>
                  <w:rFonts w:cs="Arial"/>
                  <w:sz w:val="22"/>
                  <w:szCs w:val="22"/>
                </w:rPr>
                <w:t>Chapter 16</w:t>
              </w:r>
            </w:hyperlink>
            <w:r w:rsidRPr="00285A34">
              <w:rPr>
                <w:rStyle w:val="Hyperlink"/>
                <w:rFonts w:cs="Arial"/>
                <w:color w:val="auto"/>
                <w:sz w:val="22"/>
                <w:szCs w:val="22"/>
                <w:u w:val="none"/>
              </w:rPr>
              <w:t xml:space="preserve">, </w:t>
            </w:r>
            <w:hyperlink r:id="rId43" w:history="1">
              <w:r w:rsidRPr="00285A34">
                <w:rPr>
                  <w:rStyle w:val="Hyperlink"/>
                  <w:rFonts w:cs="Arial"/>
                  <w:sz w:val="22"/>
                  <w:szCs w:val="22"/>
                </w:rPr>
                <w:t>Chapter 26</w:t>
              </w:r>
            </w:hyperlink>
            <w:r w:rsidRPr="00285A34">
              <w:rPr>
                <w:rFonts w:cs="Arial"/>
                <w:sz w:val="22"/>
                <w:szCs w:val="22"/>
              </w:rPr>
              <w:t xml:space="preserve"> and </w:t>
            </w:r>
            <w:hyperlink r:id="rId44" w:history="1">
              <w:r w:rsidRPr="00285A34">
                <w:rPr>
                  <w:rStyle w:val="Hyperlink"/>
                  <w:rFonts w:cs="Arial"/>
                  <w:sz w:val="22"/>
                  <w:szCs w:val="22"/>
                </w:rPr>
                <w:t>Chapter 30</w:t>
              </w:r>
            </w:hyperlink>
            <w:r w:rsidRPr="00285A34">
              <w:rPr>
                <w:sz w:val="22"/>
                <w:szCs w:val="22"/>
              </w:rPr>
              <w:t xml:space="preserve">. Last updated 19 April 2013. </w:t>
            </w:r>
            <w:hyperlink r:id="rId45" w:history="1">
              <w:r w:rsidRPr="00285A34">
                <w:rPr>
                  <w:rStyle w:val="Hyperlink"/>
                  <w:rFonts w:cs="Arial"/>
                  <w:sz w:val="22"/>
                  <w:szCs w:val="22"/>
                </w:rPr>
                <w:t>Chapter 24</w:t>
              </w:r>
            </w:hyperlink>
            <w:r w:rsidRPr="00285A34">
              <w:rPr>
                <w:sz w:val="22"/>
                <w:szCs w:val="22"/>
              </w:rPr>
              <w:t xml:space="preserve">. Last updated </w:t>
            </w:r>
            <w:r w:rsidR="00725A75" w:rsidRPr="00285A34">
              <w:rPr>
                <w:sz w:val="22"/>
                <w:szCs w:val="22"/>
              </w:rPr>
              <w:t>7</w:t>
            </w:r>
            <w:r w:rsidRPr="00285A34">
              <w:rPr>
                <w:sz w:val="22"/>
                <w:szCs w:val="22"/>
              </w:rPr>
              <w:t xml:space="preserve"> April 201</w:t>
            </w:r>
            <w:r w:rsidR="00725A75" w:rsidRPr="00285A34">
              <w:rPr>
                <w:sz w:val="22"/>
                <w:szCs w:val="22"/>
              </w:rPr>
              <w:t>7</w:t>
            </w:r>
          </w:p>
          <w:p w:rsidR="005732E7" w:rsidRPr="007E0EFA" w:rsidRDefault="000C0B13" w:rsidP="007E0EFA">
            <w:pPr>
              <w:pStyle w:val="ListParagraph"/>
              <w:spacing w:after="60"/>
              <w:ind w:left="176"/>
              <w:contextualSpacing w:val="0"/>
              <w:rPr>
                <w:color w:val="FF0000"/>
                <w:sz w:val="22"/>
                <w:szCs w:val="22"/>
              </w:rPr>
            </w:pPr>
            <w:hyperlink r:id="rId46" w:history="1">
              <w:r w:rsidR="005732E7" w:rsidRPr="007E0EFA">
                <w:rPr>
                  <w:rStyle w:val="Hyperlink"/>
                  <w:sz w:val="22"/>
                  <w:szCs w:val="22"/>
                </w:rPr>
                <w:t>https://www.gov.uk/government/collections/immunisation-against-infectious-disease-the-green-book</w:t>
              </w:r>
            </w:hyperlink>
            <w:r w:rsidR="005732E7" w:rsidRPr="007E0EFA">
              <w:rPr>
                <w:color w:val="FF0000"/>
                <w:sz w:val="22"/>
                <w:szCs w:val="22"/>
              </w:rPr>
              <w:t xml:space="preserve"> </w:t>
            </w:r>
          </w:p>
          <w:p w:rsidR="005732E7" w:rsidRPr="00285A34" w:rsidRDefault="005732E7" w:rsidP="007E0EFA">
            <w:pPr>
              <w:pStyle w:val="ListParagraph"/>
              <w:numPr>
                <w:ilvl w:val="0"/>
                <w:numId w:val="7"/>
              </w:numPr>
              <w:spacing w:after="60"/>
              <w:ind w:left="176" w:hanging="176"/>
              <w:contextualSpacing w:val="0"/>
              <w:rPr>
                <w:rFonts w:cs="Arial"/>
                <w:color w:val="FF0000"/>
                <w:sz w:val="22"/>
                <w:szCs w:val="22"/>
                <w:u w:val="single"/>
              </w:rPr>
            </w:pPr>
            <w:r w:rsidRPr="00285A34">
              <w:rPr>
                <w:rFonts w:cs="Arial"/>
                <w:sz w:val="22"/>
                <w:szCs w:val="22"/>
              </w:rPr>
              <w:t>Summary of Product Characteristic for Infanrix</w:t>
            </w:r>
            <w:r w:rsidRPr="00285A34">
              <w:rPr>
                <w:rFonts w:cs="Arial"/>
                <w:sz w:val="22"/>
                <w:szCs w:val="22"/>
                <w:vertAlign w:val="superscript"/>
              </w:rPr>
              <w:t>®</w:t>
            </w:r>
            <w:r w:rsidRPr="00285A34">
              <w:rPr>
                <w:rFonts w:cs="Arial"/>
                <w:sz w:val="22"/>
                <w:szCs w:val="22"/>
              </w:rPr>
              <w:t xml:space="preserve">-IPV+Hib, </w:t>
            </w:r>
            <w:r w:rsidRPr="00285A34">
              <w:rPr>
                <w:rFonts w:cs="Arial"/>
                <w:sz w:val="22"/>
                <w:szCs w:val="22"/>
                <w:lang w:val="en"/>
              </w:rPr>
              <w:t xml:space="preserve">GlaxoSmithKline. </w:t>
            </w:r>
            <w:r w:rsidR="00B14991" w:rsidRPr="00285A34">
              <w:rPr>
                <w:rFonts w:cs="Arial"/>
                <w:sz w:val="22"/>
                <w:szCs w:val="22"/>
                <w:lang w:val="en"/>
              </w:rPr>
              <w:t>25</w:t>
            </w:r>
            <w:r w:rsidRPr="00285A34">
              <w:rPr>
                <w:rFonts w:cs="Arial"/>
                <w:sz w:val="22"/>
                <w:szCs w:val="22"/>
                <w:lang w:val="en"/>
              </w:rPr>
              <w:t xml:space="preserve"> </w:t>
            </w:r>
            <w:r w:rsidR="00B14991" w:rsidRPr="00285A34">
              <w:rPr>
                <w:rFonts w:cs="Arial"/>
                <w:sz w:val="22"/>
                <w:szCs w:val="22"/>
                <w:lang w:val="en"/>
              </w:rPr>
              <w:t>April</w:t>
            </w:r>
            <w:r w:rsidRPr="00285A34">
              <w:rPr>
                <w:rFonts w:cs="Arial"/>
                <w:sz w:val="22"/>
                <w:szCs w:val="22"/>
                <w:lang w:val="en"/>
              </w:rPr>
              <w:t xml:space="preserve"> 201</w:t>
            </w:r>
            <w:r w:rsidR="00B14991" w:rsidRPr="00285A34">
              <w:rPr>
                <w:rFonts w:cs="Arial"/>
                <w:sz w:val="22"/>
                <w:szCs w:val="22"/>
                <w:lang w:val="en"/>
              </w:rPr>
              <w:t>7</w:t>
            </w:r>
            <w:r w:rsidRPr="00285A34">
              <w:rPr>
                <w:rFonts w:cs="Arial"/>
                <w:sz w:val="22"/>
                <w:szCs w:val="22"/>
                <w:lang w:val="en"/>
              </w:rPr>
              <w:t xml:space="preserve">. </w:t>
            </w:r>
            <w:hyperlink r:id="rId47" w:history="1">
              <w:r w:rsidRPr="00285A34">
                <w:rPr>
                  <w:rStyle w:val="Hyperlink"/>
                  <w:sz w:val="22"/>
                  <w:szCs w:val="22"/>
                </w:rPr>
                <w:t>http://www.medicines.org.uk/emc/medicine/28678</w:t>
              </w:r>
            </w:hyperlink>
            <w:r w:rsidRPr="00285A34">
              <w:rPr>
                <w:sz w:val="22"/>
                <w:szCs w:val="22"/>
              </w:rPr>
              <w:t xml:space="preserve">  </w:t>
            </w:r>
          </w:p>
          <w:p w:rsidR="005732E7" w:rsidRPr="00285A34" w:rsidRDefault="005732E7" w:rsidP="007E0EFA">
            <w:pPr>
              <w:pStyle w:val="ListParagraph"/>
              <w:numPr>
                <w:ilvl w:val="0"/>
                <w:numId w:val="7"/>
              </w:numPr>
              <w:spacing w:after="60"/>
              <w:ind w:left="176" w:hanging="176"/>
              <w:contextualSpacing w:val="0"/>
              <w:rPr>
                <w:rFonts w:cs="Arial"/>
                <w:color w:val="FF0000"/>
                <w:sz w:val="22"/>
                <w:szCs w:val="22"/>
                <w:u w:val="single"/>
              </w:rPr>
            </w:pPr>
            <w:r w:rsidRPr="00285A34">
              <w:rPr>
                <w:rFonts w:cs="Arial"/>
                <w:sz w:val="22"/>
                <w:szCs w:val="22"/>
              </w:rPr>
              <w:t>Summary of Product Characteristic for Pediacel</w:t>
            </w:r>
            <w:r w:rsidRPr="00285A34">
              <w:rPr>
                <w:rFonts w:cs="Arial"/>
                <w:sz w:val="22"/>
                <w:szCs w:val="22"/>
                <w:vertAlign w:val="superscript"/>
              </w:rPr>
              <w:t>®</w:t>
            </w:r>
            <w:r w:rsidRPr="00285A34">
              <w:rPr>
                <w:rFonts w:cs="Arial"/>
                <w:sz w:val="22"/>
                <w:szCs w:val="22"/>
              </w:rPr>
              <w:t xml:space="preserve">, </w:t>
            </w:r>
            <w:r w:rsidRPr="00285A34">
              <w:rPr>
                <w:rFonts w:cs="Arial"/>
                <w:sz w:val="22"/>
                <w:szCs w:val="22"/>
                <w:lang w:val="en"/>
              </w:rPr>
              <w:t xml:space="preserve">Sanofi Pasteur. </w:t>
            </w:r>
            <w:r w:rsidR="00725A75" w:rsidRPr="00285A34">
              <w:rPr>
                <w:rFonts w:cs="Arial"/>
                <w:sz w:val="22"/>
                <w:szCs w:val="22"/>
                <w:lang w:val="en"/>
              </w:rPr>
              <w:t>15</w:t>
            </w:r>
            <w:r w:rsidRPr="00285A34">
              <w:rPr>
                <w:rFonts w:cs="Arial"/>
                <w:sz w:val="22"/>
                <w:szCs w:val="22"/>
                <w:lang w:val="en"/>
              </w:rPr>
              <w:t xml:space="preserve"> March 201</w:t>
            </w:r>
            <w:r w:rsidR="00725A75" w:rsidRPr="00285A34">
              <w:rPr>
                <w:rFonts w:cs="Arial"/>
                <w:sz w:val="22"/>
                <w:szCs w:val="22"/>
                <w:lang w:val="en"/>
              </w:rPr>
              <w:t>7</w:t>
            </w:r>
            <w:r w:rsidRPr="00285A34">
              <w:rPr>
                <w:rFonts w:cs="Arial"/>
                <w:sz w:val="22"/>
                <w:szCs w:val="22"/>
                <w:lang w:val="en"/>
              </w:rPr>
              <w:t xml:space="preserve">. </w:t>
            </w:r>
            <w:hyperlink r:id="rId48" w:history="1">
              <w:r w:rsidRPr="00285A34">
                <w:rPr>
                  <w:rStyle w:val="Hyperlink"/>
                  <w:sz w:val="22"/>
                  <w:szCs w:val="22"/>
                </w:rPr>
                <w:t>http://www.medicines.org.uk/emc/medicine/26217</w:t>
              </w:r>
            </w:hyperlink>
            <w:r w:rsidRPr="00285A34">
              <w:rPr>
                <w:sz w:val="22"/>
                <w:szCs w:val="22"/>
              </w:rPr>
              <w:t xml:space="preserve"> </w:t>
            </w:r>
          </w:p>
          <w:p w:rsidR="00725A75" w:rsidRPr="00285A34" w:rsidRDefault="005732E7" w:rsidP="007E0EFA">
            <w:pPr>
              <w:pStyle w:val="ListParagraph"/>
              <w:numPr>
                <w:ilvl w:val="0"/>
                <w:numId w:val="7"/>
              </w:numPr>
              <w:spacing w:after="60"/>
              <w:ind w:left="176" w:hanging="176"/>
              <w:contextualSpacing w:val="0"/>
              <w:rPr>
                <w:rStyle w:val="Hyperlink"/>
                <w:rFonts w:cs="Arial"/>
                <w:color w:val="auto"/>
                <w:sz w:val="22"/>
                <w:szCs w:val="22"/>
                <w:u w:val="none"/>
              </w:rPr>
            </w:pPr>
            <w:r w:rsidRPr="00285A34">
              <w:rPr>
                <w:rFonts w:eastAsiaTheme="minorHAnsi"/>
                <w:sz w:val="22"/>
                <w:szCs w:val="22"/>
                <w:lang w:eastAsia="en-US"/>
              </w:rPr>
              <w:t>NHS public health functions agreement 201</w:t>
            </w:r>
            <w:r w:rsidR="00725A75" w:rsidRPr="00285A34">
              <w:rPr>
                <w:rFonts w:eastAsiaTheme="minorHAnsi"/>
                <w:sz w:val="22"/>
                <w:szCs w:val="22"/>
                <w:lang w:eastAsia="en-US"/>
              </w:rPr>
              <w:t>7</w:t>
            </w:r>
            <w:r w:rsidRPr="00285A34">
              <w:rPr>
                <w:rFonts w:eastAsiaTheme="minorHAnsi"/>
                <w:sz w:val="22"/>
                <w:szCs w:val="22"/>
                <w:lang w:eastAsia="en-US"/>
              </w:rPr>
              <w:t>-1</w:t>
            </w:r>
            <w:r w:rsidR="00725A75" w:rsidRPr="00285A34">
              <w:rPr>
                <w:rFonts w:eastAsiaTheme="minorHAnsi"/>
                <w:sz w:val="22"/>
                <w:szCs w:val="22"/>
                <w:lang w:eastAsia="en-US"/>
              </w:rPr>
              <w:t>8</w:t>
            </w:r>
            <w:r w:rsidRPr="00285A34">
              <w:rPr>
                <w:rFonts w:eastAsiaTheme="minorHAnsi"/>
                <w:sz w:val="22"/>
                <w:szCs w:val="22"/>
                <w:lang w:eastAsia="en-US"/>
              </w:rPr>
              <w:t>, Service Specification No.9. DTaP/IPV and dTaP/IPV pre-school booster immunisation programme.</w:t>
            </w:r>
            <w:r w:rsidR="00725A75" w:rsidRPr="00285A34">
              <w:rPr>
                <w:rFonts w:eastAsiaTheme="minorHAnsi"/>
                <w:sz w:val="22"/>
                <w:szCs w:val="22"/>
                <w:lang w:eastAsia="en-US"/>
              </w:rPr>
              <w:t xml:space="preserve"> April</w:t>
            </w:r>
            <w:r w:rsidRPr="00285A34">
              <w:rPr>
                <w:rFonts w:eastAsiaTheme="minorHAnsi"/>
                <w:sz w:val="22"/>
                <w:szCs w:val="22"/>
                <w:lang w:eastAsia="en-US"/>
              </w:rPr>
              <w:t xml:space="preserve"> 201</w:t>
            </w:r>
            <w:r w:rsidR="00725A75" w:rsidRPr="00285A34">
              <w:rPr>
                <w:rFonts w:eastAsiaTheme="minorHAnsi"/>
                <w:sz w:val="22"/>
                <w:szCs w:val="22"/>
                <w:lang w:eastAsia="en-US"/>
              </w:rPr>
              <w:t>7</w:t>
            </w:r>
            <w:r w:rsidRPr="00285A34">
              <w:rPr>
                <w:rFonts w:eastAsiaTheme="minorHAnsi"/>
                <w:sz w:val="22"/>
                <w:szCs w:val="22"/>
                <w:lang w:eastAsia="en-US"/>
              </w:rPr>
              <w:t xml:space="preserve">. </w:t>
            </w:r>
            <w:hyperlink r:id="rId49" w:history="1">
              <w:r w:rsidR="00725A75" w:rsidRPr="00285A34">
                <w:rPr>
                  <w:rStyle w:val="Hyperlink"/>
                  <w:sz w:val="22"/>
                  <w:szCs w:val="22"/>
                </w:rPr>
                <w:t>https://www.england.nhs.uk/wp-content/uploads/2017/04/service-spec-09.pdf</w:t>
              </w:r>
            </w:hyperlink>
          </w:p>
          <w:p w:rsidR="00285A34" w:rsidRPr="007E0EFA" w:rsidRDefault="00285A34" w:rsidP="007E0EFA">
            <w:pPr>
              <w:pStyle w:val="ListParagraph"/>
              <w:numPr>
                <w:ilvl w:val="0"/>
                <w:numId w:val="7"/>
              </w:numPr>
              <w:spacing w:after="60"/>
              <w:ind w:left="176" w:hanging="176"/>
              <w:contextualSpacing w:val="0"/>
              <w:rPr>
                <w:rFonts w:eastAsiaTheme="minorHAnsi" w:cs="Arial"/>
                <w:bCs/>
                <w:sz w:val="22"/>
                <w:szCs w:val="22"/>
                <w:lang w:eastAsia="en-US"/>
              </w:rPr>
            </w:pPr>
            <w:r w:rsidRPr="00285A34">
              <w:rPr>
                <w:rFonts w:eastAsiaTheme="minorHAnsi" w:cs="Arial"/>
                <w:bCs/>
                <w:sz w:val="22"/>
                <w:szCs w:val="22"/>
                <w:lang w:eastAsia="en-US"/>
              </w:rPr>
              <w:t xml:space="preserve">The hexavalent DTaP/IPV/Hib/HepB combination vaccine information for healthcare practitioners </w:t>
            </w:r>
            <w:hyperlink r:id="rId50" w:history="1">
              <w:r w:rsidRPr="007E0EFA">
                <w:rPr>
                  <w:rStyle w:val="Hyperlink"/>
                  <w:sz w:val="22"/>
                  <w:szCs w:val="22"/>
                </w:rPr>
                <w:t>https://www.gov.uk/government/publications/hexavalent-combination-vaccine-programme-guidance</w:t>
              </w:r>
            </w:hyperlink>
          </w:p>
          <w:p w:rsidR="005732E7" w:rsidRPr="007E0EFA" w:rsidRDefault="005732E7" w:rsidP="007E0EFA">
            <w:pPr>
              <w:pStyle w:val="ListParagraph"/>
              <w:numPr>
                <w:ilvl w:val="0"/>
                <w:numId w:val="6"/>
              </w:numPr>
              <w:spacing w:before="60" w:after="60"/>
              <w:ind w:left="176" w:hanging="176"/>
              <w:rPr>
                <w:rStyle w:val="Hyperlink"/>
                <w:color w:val="auto"/>
                <w:sz w:val="22"/>
                <w:szCs w:val="22"/>
                <w:u w:val="none"/>
                <w:lang w:val="en"/>
              </w:rPr>
            </w:pPr>
            <w:r w:rsidRPr="00285A34">
              <w:rPr>
                <w:rFonts w:eastAsiaTheme="minorHAnsi" w:cs="Arial"/>
                <w:sz w:val="22"/>
                <w:szCs w:val="22"/>
                <w:lang w:eastAsia="en-US"/>
              </w:rPr>
              <w:t xml:space="preserve">Vaccination of individuals with uncertain or incomplete immunisation status. Public Health England. Updated 20 June 2016. </w:t>
            </w:r>
            <w:hyperlink r:id="rId51" w:history="1">
              <w:r w:rsidRPr="007E0EFA">
                <w:rPr>
                  <w:rStyle w:val="Hyperlink"/>
                  <w:sz w:val="22"/>
                  <w:szCs w:val="22"/>
                </w:rPr>
                <w:t>https://www.gov.uk/government/publications/vaccination-of-individuals-with-uncertain-or-incomplete-immunisation-status</w:t>
              </w:r>
            </w:hyperlink>
          </w:p>
          <w:p w:rsidR="00F3193D" w:rsidRPr="00285A34" w:rsidRDefault="00F3193D" w:rsidP="007E0EFA">
            <w:pPr>
              <w:pStyle w:val="Default"/>
              <w:spacing w:before="120"/>
              <w:ind w:left="176" w:hanging="176"/>
              <w:rPr>
                <w:b/>
                <w:sz w:val="22"/>
                <w:szCs w:val="22"/>
              </w:rPr>
            </w:pPr>
            <w:r w:rsidRPr="00285A34">
              <w:rPr>
                <w:b/>
                <w:sz w:val="22"/>
                <w:szCs w:val="22"/>
              </w:rPr>
              <w:t>General</w:t>
            </w:r>
          </w:p>
          <w:p w:rsidR="00F3193D" w:rsidRPr="00285A34" w:rsidRDefault="00F3193D" w:rsidP="007E0EFA">
            <w:pPr>
              <w:pStyle w:val="ListParagraph"/>
              <w:numPr>
                <w:ilvl w:val="0"/>
                <w:numId w:val="6"/>
              </w:numPr>
              <w:spacing w:before="60" w:after="60"/>
              <w:ind w:left="176" w:hanging="176"/>
              <w:contextualSpacing w:val="0"/>
              <w:rPr>
                <w:rStyle w:val="Hyperlink"/>
                <w:rFonts w:cs="Arial"/>
                <w:color w:val="auto"/>
                <w:sz w:val="22"/>
                <w:szCs w:val="22"/>
                <w:u w:val="none"/>
              </w:rPr>
            </w:pPr>
            <w:r w:rsidRPr="00285A34">
              <w:rPr>
                <w:rFonts w:cs="Arial"/>
                <w:sz w:val="22"/>
                <w:szCs w:val="22"/>
              </w:rPr>
              <w:t xml:space="preserve">PHE Immunisation Collection </w:t>
            </w:r>
            <w:hyperlink r:id="rId52" w:history="1">
              <w:r w:rsidRPr="00285A34">
                <w:rPr>
                  <w:rStyle w:val="Hyperlink"/>
                  <w:rFonts w:cs="Arial"/>
                  <w:sz w:val="22"/>
                  <w:szCs w:val="22"/>
                </w:rPr>
                <w:t>https://www.gov.uk/government/collections/immunisation</w:t>
              </w:r>
            </w:hyperlink>
            <w:r w:rsidRPr="00285A34">
              <w:rPr>
                <w:rStyle w:val="Hyperlink"/>
                <w:sz w:val="22"/>
                <w:szCs w:val="22"/>
              </w:rPr>
              <w:t xml:space="preserve"> </w:t>
            </w:r>
          </w:p>
          <w:p w:rsidR="00F3193D" w:rsidRPr="007E0EFA" w:rsidRDefault="00F3193D" w:rsidP="007E0EFA">
            <w:pPr>
              <w:pStyle w:val="ListParagraph"/>
              <w:numPr>
                <w:ilvl w:val="0"/>
                <w:numId w:val="6"/>
              </w:numPr>
              <w:spacing w:before="60"/>
              <w:ind w:left="176" w:hanging="176"/>
              <w:contextualSpacing w:val="0"/>
              <w:rPr>
                <w:rStyle w:val="Hyperlink"/>
                <w:rFonts w:cs="Arial"/>
                <w:color w:val="FF0000"/>
                <w:sz w:val="22"/>
                <w:szCs w:val="22"/>
              </w:rPr>
            </w:pPr>
            <w:r w:rsidRPr="00285A34">
              <w:rPr>
                <w:rFonts w:cs="Arial"/>
                <w:sz w:val="22"/>
                <w:szCs w:val="22"/>
              </w:rPr>
              <w:t xml:space="preserve">British National Formulary (BNF) and British National Formulary for Children (BNF-C) </w:t>
            </w:r>
            <w:hyperlink r:id="rId53" w:history="1">
              <w:r w:rsidRPr="00285A34">
                <w:rPr>
                  <w:rStyle w:val="Hyperlink"/>
                  <w:rFonts w:cs="Arial"/>
                  <w:sz w:val="22"/>
                  <w:szCs w:val="22"/>
                </w:rPr>
                <w:t>www.BNF.org</w:t>
              </w:r>
            </w:hyperlink>
            <w:r w:rsidRPr="00285A34">
              <w:rPr>
                <w:rStyle w:val="Hyperlink"/>
                <w:color w:val="FF0000"/>
                <w:sz w:val="22"/>
                <w:szCs w:val="22"/>
              </w:rPr>
              <w:t xml:space="preserve"> </w:t>
            </w:r>
            <w:hyperlink r:id="rId54" w:history="1">
              <w:r w:rsidRPr="007E0EFA">
                <w:rPr>
                  <w:rStyle w:val="Hyperlink"/>
                  <w:rFonts w:cs="Arial"/>
                  <w:sz w:val="22"/>
                  <w:szCs w:val="22"/>
                </w:rPr>
                <w:t>https://www.evidence.nhs.uk/formulary/bnf/current</w:t>
              </w:r>
            </w:hyperlink>
            <w:r w:rsidRPr="007E0EFA">
              <w:rPr>
                <w:rStyle w:val="Hyperlink"/>
                <w:color w:val="FF0000"/>
                <w:sz w:val="22"/>
                <w:szCs w:val="22"/>
              </w:rPr>
              <w:t xml:space="preserve"> </w:t>
            </w:r>
          </w:p>
          <w:p w:rsidR="00F3193D" w:rsidRPr="00285A34" w:rsidRDefault="00F3193D" w:rsidP="007E0EFA">
            <w:pPr>
              <w:pStyle w:val="ListParagraph"/>
              <w:numPr>
                <w:ilvl w:val="0"/>
                <w:numId w:val="6"/>
              </w:numPr>
              <w:spacing w:before="60" w:after="60"/>
              <w:ind w:left="176" w:hanging="176"/>
              <w:contextualSpacing w:val="0"/>
              <w:rPr>
                <w:rStyle w:val="Hyperlink"/>
                <w:rFonts w:cs="Arial"/>
                <w:color w:val="auto"/>
                <w:sz w:val="22"/>
                <w:szCs w:val="22"/>
                <w:u w:val="none"/>
              </w:rPr>
            </w:pPr>
            <w:r w:rsidRPr="00285A34">
              <w:rPr>
                <w:sz w:val="22"/>
                <w:szCs w:val="22"/>
              </w:rPr>
              <w:t xml:space="preserve">National Minimum Standards for Immunisation Training (2005) </w:t>
            </w:r>
            <w:hyperlink r:id="rId55" w:history="1">
              <w:r w:rsidRPr="00285A34">
                <w:rPr>
                  <w:rStyle w:val="Hyperlink"/>
                  <w:rFonts w:cs="Arial"/>
                  <w:sz w:val="22"/>
                  <w:szCs w:val="22"/>
                </w:rPr>
                <w:t>https://www.gov.uk/government/publications/immunisation-training-national-minimum-standards</w:t>
              </w:r>
            </w:hyperlink>
            <w:r w:rsidRPr="00285A34">
              <w:rPr>
                <w:rStyle w:val="Hyperlink"/>
                <w:rFonts w:cs="Arial"/>
                <w:color w:val="auto"/>
                <w:sz w:val="22"/>
                <w:szCs w:val="22"/>
                <w:u w:val="none"/>
              </w:rPr>
              <w:t xml:space="preserve"> </w:t>
            </w:r>
          </w:p>
          <w:p w:rsidR="00F3193D" w:rsidRPr="00285A34" w:rsidRDefault="00F3193D" w:rsidP="007E0EFA">
            <w:pPr>
              <w:pStyle w:val="ListParagraph"/>
              <w:numPr>
                <w:ilvl w:val="0"/>
                <w:numId w:val="6"/>
              </w:numPr>
              <w:spacing w:after="60"/>
              <w:ind w:left="176" w:hanging="176"/>
              <w:contextualSpacing w:val="0"/>
              <w:rPr>
                <w:rFonts w:cs="Arial"/>
                <w:sz w:val="22"/>
                <w:szCs w:val="22"/>
              </w:rPr>
            </w:pPr>
            <w:r w:rsidRPr="00285A34">
              <w:rPr>
                <w:sz w:val="22"/>
                <w:szCs w:val="22"/>
              </w:rPr>
              <w:t>NICE Medicines Practice Guideline 2 (MPG2): Patient Group D</w:t>
            </w:r>
            <w:r w:rsidR="00796949" w:rsidRPr="00285A34">
              <w:rPr>
                <w:sz w:val="22"/>
                <w:szCs w:val="22"/>
              </w:rPr>
              <w:t>irections. Published March 2017</w:t>
            </w:r>
            <w:r w:rsidRPr="00285A34">
              <w:rPr>
                <w:sz w:val="22"/>
                <w:szCs w:val="22"/>
              </w:rPr>
              <w:t xml:space="preserve">. </w:t>
            </w:r>
            <w:hyperlink r:id="rId56" w:history="1">
              <w:r w:rsidRPr="00285A34">
                <w:rPr>
                  <w:rStyle w:val="Hyperlink"/>
                  <w:rFonts w:cs="Arial"/>
                  <w:sz w:val="22"/>
                  <w:szCs w:val="22"/>
                </w:rPr>
                <w:t>https://www.nice.org.uk/guidance/mpg2</w:t>
              </w:r>
            </w:hyperlink>
            <w:r w:rsidRPr="00285A34">
              <w:rPr>
                <w:rFonts w:cs="Arial"/>
                <w:sz w:val="22"/>
                <w:szCs w:val="22"/>
              </w:rPr>
              <w:t xml:space="preserve"> </w:t>
            </w:r>
          </w:p>
          <w:p w:rsidR="00F3193D" w:rsidRPr="00285A34" w:rsidRDefault="00F3193D" w:rsidP="007E0EFA">
            <w:pPr>
              <w:pStyle w:val="ListParagraph"/>
              <w:numPr>
                <w:ilvl w:val="0"/>
                <w:numId w:val="6"/>
              </w:numPr>
              <w:spacing w:after="60"/>
              <w:ind w:left="176" w:hanging="176"/>
              <w:contextualSpacing w:val="0"/>
              <w:rPr>
                <w:rFonts w:cs="Arial"/>
                <w:sz w:val="22"/>
                <w:szCs w:val="22"/>
              </w:rPr>
            </w:pPr>
            <w:r w:rsidRPr="00285A34">
              <w:rPr>
                <w:sz w:val="22"/>
                <w:szCs w:val="22"/>
              </w:rPr>
              <w:t xml:space="preserve">NICE MPG2 Patient group directions: competency framework for health professionals using patient group directions. January 2014.         </w:t>
            </w:r>
            <w:hyperlink r:id="rId57" w:history="1">
              <w:r w:rsidRPr="00285A34">
                <w:rPr>
                  <w:rStyle w:val="Hyperlink"/>
                  <w:rFonts w:cs="Arial"/>
                  <w:sz w:val="22"/>
                  <w:szCs w:val="22"/>
                </w:rPr>
                <w:t>https://www.nice.org.uk/guidance/mpg2/resources</w:t>
              </w:r>
            </w:hyperlink>
            <w:r w:rsidRPr="00285A34">
              <w:rPr>
                <w:rFonts w:cs="Arial"/>
                <w:sz w:val="22"/>
                <w:szCs w:val="22"/>
              </w:rPr>
              <w:t xml:space="preserve"> </w:t>
            </w:r>
          </w:p>
          <w:p w:rsidR="00F3193D" w:rsidRPr="00285A34" w:rsidRDefault="00F3193D" w:rsidP="007E0EFA">
            <w:pPr>
              <w:pStyle w:val="ListParagraph"/>
              <w:numPr>
                <w:ilvl w:val="0"/>
                <w:numId w:val="6"/>
              </w:numPr>
              <w:spacing w:after="60"/>
              <w:ind w:left="176" w:hanging="176"/>
              <w:contextualSpacing w:val="0"/>
              <w:rPr>
                <w:rFonts w:cs="Arial"/>
                <w:sz w:val="22"/>
                <w:szCs w:val="22"/>
              </w:rPr>
            </w:pPr>
            <w:r w:rsidRPr="00285A34">
              <w:rPr>
                <w:rFonts w:eastAsiaTheme="minorHAnsi" w:cs="Arial"/>
                <w:sz w:val="22"/>
                <w:szCs w:val="22"/>
                <w:lang w:eastAsia="en-US"/>
              </w:rPr>
              <w:t xml:space="preserve">Immunisation knowledge and skills competence assessment tool. </w:t>
            </w:r>
            <w:r w:rsidRPr="00285A34">
              <w:rPr>
                <w:rFonts w:eastAsiaTheme="minorHAnsi" w:cs="Arial"/>
                <w:bCs/>
                <w:sz w:val="22"/>
                <w:szCs w:val="22"/>
                <w:lang w:eastAsia="en-US"/>
              </w:rPr>
              <w:t xml:space="preserve">Royal College of Nursing (RCN) 2015. </w:t>
            </w:r>
            <w:hyperlink r:id="rId58" w:history="1">
              <w:r w:rsidR="007E0EFA" w:rsidRPr="008962BD">
                <w:rPr>
                  <w:rStyle w:val="Hyperlink"/>
                  <w:rFonts w:cs="Arial"/>
                  <w:sz w:val="22"/>
                  <w:szCs w:val="22"/>
                </w:rPr>
                <w:t>https://www.rcn.org.uk/professional</w:t>
              </w:r>
              <w:r w:rsidR="007E0EFA" w:rsidRPr="008962BD">
                <w:rPr>
                  <w:rStyle w:val="Hyperlink"/>
                  <w:rFonts w:cs="Arial"/>
                  <w:sz w:val="22"/>
                  <w:szCs w:val="22"/>
                </w:rPr>
                <w:softHyphen/>
                <w:t>-development/publications/pub-005336</w:t>
              </w:r>
            </w:hyperlink>
            <w:r w:rsidRPr="00285A34">
              <w:rPr>
                <w:rFonts w:cs="Arial"/>
                <w:sz w:val="22"/>
                <w:szCs w:val="22"/>
              </w:rPr>
              <w:t xml:space="preserve"> </w:t>
            </w:r>
          </w:p>
          <w:p w:rsidR="007E0EFA" w:rsidRDefault="00F3193D" w:rsidP="007E0EFA">
            <w:pPr>
              <w:pStyle w:val="ListParagraph"/>
              <w:numPr>
                <w:ilvl w:val="0"/>
                <w:numId w:val="6"/>
              </w:numPr>
              <w:spacing w:before="60"/>
              <w:ind w:left="176" w:hanging="176"/>
              <w:contextualSpacing w:val="0"/>
              <w:rPr>
                <w:rStyle w:val="Hyperlink"/>
                <w:color w:val="auto"/>
                <w:sz w:val="22"/>
                <w:szCs w:val="22"/>
                <w:u w:val="none"/>
              </w:rPr>
            </w:pPr>
            <w:r w:rsidRPr="00285A34">
              <w:rPr>
                <w:sz w:val="22"/>
                <w:szCs w:val="22"/>
              </w:rPr>
              <w:t>Pr</w:t>
            </w:r>
            <w:r w:rsidRPr="00285A34">
              <w:rPr>
                <w:rFonts w:cs="Arial"/>
                <w:sz w:val="22"/>
                <w:szCs w:val="22"/>
              </w:rPr>
              <w:t>otocol for ordering storage and handling of vaccines. April 2014.</w:t>
            </w:r>
          </w:p>
          <w:p w:rsidR="00F3193D" w:rsidRPr="007E0EFA" w:rsidRDefault="000C0B13" w:rsidP="007E0EFA">
            <w:pPr>
              <w:pStyle w:val="ListParagraph"/>
              <w:spacing w:after="60"/>
              <w:ind w:left="176"/>
              <w:contextualSpacing w:val="0"/>
              <w:rPr>
                <w:rStyle w:val="Hyperlink"/>
                <w:color w:val="auto"/>
                <w:sz w:val="22"/>
                <w:szCs w:val="22"/>
                <w:u w:val="none"/>
              </w:rPr>
            </w:pPr>
            <w:hyperlink r:id="rId59" w:history="1">
              <w:r w:rsidR="00F3193D" w:rsidRPr="007E0EFA">
                <w:rPr>
                  <w:rStyle w:val="Hyperlink"/>
                  <w:sz w:val="22"/>
                  <w:szCs w:val="22"/>
                </w:rPr>
                <w:t>https://www.gov.uk/government/publications/protocol-for-ordering-storing-and-handling-vaccines</w:t>
              </w:r>
            </w:hyperlink>
            <w:r w:rsidR="00F3193D" w:rsidRPr="007E0EFA">
              <w:rPr>
                <w:rStyle w:val="Hyperlink"/>
                <w:color w:val="auto"/>
                <w:sz w:val="22"/>
                <w:szCs w:val="22"/>
                <w:u w:val="none"/>
              </w:rPr>
              <w:t xml:space="preserve"> </w:t>
            </w:r>
          </w:p>
          <w:p w:rsidR="000D46BA" w:rsidRPr="00285A34" w:rsidRDefault="00F3193D" w:rsidP="007E0EFA">
            <w:pPr>
              <w:pStyle w:val="ListParagraph"/>
              <w:numPr>
                <w:ilvl w:val="0"/>
                <w:numId w:val="19"/>
              </w:numPr>
              <w:ind w:left="176" w:hanging="176"/>
              <w:contextualSpacing w:val="0"/>
              <w:rPr>
                <w:color w:val="FF0000"/>
                <w:sz w:val="22"/>
                <w:szCs w:val="22"/>
              </w:rPr>
            </w:pPr>
            <w:r w:rsidRPr="00285A34">
              <w:rPr>
                <w:sz w:val="22"/>
                <w:szCs w:val="22"/>
              </w:rPr>
              <w:t xml:space="preserve">Health Technical Memorandum 07-01: Safe Management of Healthcare Waste. Department of Health 20 March 2013 </w:t>
            </w:r>
            <w:hyperlink r:id="rId60" w:history="1">
              <w:r w:rsidRPr="00285A34">
                <w:rPr>
                  <w:rStyle w:val="Hyperlink"/>
                  <w:rFonts w:cs="Arial"/>
                  <w:sz w:val="22"/>
                  <w:szCs w:val="22"/>
                </w:rPr>
                <w:t>https://www.gov.uk/government/publications/guidance-on-the-safe-management-of-healthcare-waste</w:t>
              </w:r>
            </w:hyperlink>
          </w:p>
        </w:tc>
      </w:tr>
    </w:tbl>
    <w:p w:rsidR="00EE0035" w:rsidRPr="00EE0035" w:rsidRDefault="00063BEF" w:rsidP="00063BEF">
      <w:pPr>
        <w:pStyle w:val="ListParagraph"/>
        <w:numPr>
          <w:ilvl w:val="0"/>
          <w:numId w:val="5"/>
        </w:numPr>
        <w:rPr>
          <w:b/>
        </w:rPr>
      </w:pPr>
      <w:r>
        <w:rPr>
          <w:b/>
        </w:rPr>
        <w:lastRenderedPageBreak/>
        <w:t>P</w:t>
      </w:r>
      <w:r w:rsidR="00EE0035" w:rsidRPr="00EE0035">
        <w:rPr>
          <w:b/>
        </w:rPr>
        <w:t>ractitioner authorisation sheet</w:t>
      </w:r>
    </w:p>
    <w:p w:rsidR="00EE0035" w:rsidRDefault="00EE0035" w:rsidP="00EE0035">
      <w:pPr>
        <w:overflowPunct/>
        <w:autoSpaceDE/>
        <w:autoSpaceDN/>
        <w:adjustRightInd/>
        <w:textAlignment w:val="auto"/>
        <w:rPr>
          <w:b/>
          <w:szCs w:val="24"/>
        </w:rPr>
      </w:pPr>
    </w:p>
    <w:p w:rsidR="001F085E" w:rsidRPr="00FC1218" w:rsidRDefault="005732E7" w:rsidP="001F085E">
      <w:pPr>
        <w:ind w:rightChars="-375" w:right="-900"/>
        <w:rPr>
          <w:b/>
          <w:color w:val="FF0000"/>
          <w:szCs w:val="24"/>
        </w:rPr>
      </w:pPr>
      <w:r w:rsidRPr="00F3193D">
        <w:rPr>
          <w:b/>
          <w:szCs w:val="24"/>
        </w:rPr>
        <w:t>DTaP/IPV/Hib Booster</w:t>
      </w:r>
      <w:r w:rsidR="001F085E" w:rsidRPr="00F3193D">
        <w:rPr>
          <w:b/>
          <w:szCs w:val="24"/>
        </w:rPr>
        <w:t xml:space="preserve"> PGD v</w:t>
      </w:r>
      <w:r w:rsidR="00591274" w:rsidRPr="00F3193D">
        <w:rPr>
          <w:b/>
          <w:szCs w:val="24"/>
        </w:rPr>
        <w:t>0</w:t>
      </w:r>
      <w:r w:rsidRPr="00F3193D">
        <w:rPr>
          <w:b/>
          <w:szCs w:val="24"/>
        </w:rPr>
        <w:t>1</w:t>
      </w:r>
      <w:r w:rsidR="001F085E" w:rsidRPr="00F3193D">
        <w:rPr>
          <w:b/>
          <w:szCs w:val="24"/>
        </w:rPr>
        <w:t>.</w:t>
      </w:r>
      <w:r w:rsidR="00A9535E" w:rsidRPr="00F3193D">
        <w:rPr>
          <w:b/>
          <w:szCs w:val="24"/>
        </w:rPr>
        <w:t>00</w:t>
      </w:r>
      <w:r w:rsidR="001F085E" w:rsidRPr="00F3193D">
        <w:rPr>
          <w:b/>
          <w:szCs w:val="24"/>
        </w:rPr>
        <w:t xml:space="preserve"> Valid from: </w:t>
      </w:r>
      <w:r w:rsidR="00D21F87" w:rsidRPr="00D21F87">
        <w:rPr>
          <w:b/>
          <w:szCs w:val="24"/>
        </w:rPr>
        <w:t>12/09</w:t>
      </w:r>
      <w:r w:rsidR="001F085E" w:rsidRPr="00D21F87">
        <w:rPr>
          <w:b/>
          <w:szCs w:val="24"/>
        </w:rPr>
        <w:t>/20</w:t>
      </w:r>
      <w:r w:rsidR="004B251B" w:rsidRPr="00D21F87">
        <w:rPr>
          <w:b/>
          <w:szCs w:val="24"/>
        </w:rPr>
        <w:t>17</w:t>
      </w:r>
      <w:r w:rsidR="001F085E" w:rsidRPr="00D21F87">
        <w:rPr>
          <w:b/>
          <w:szCs w:val="24"/>
        </w:rPr>
        <w:t xml:space="preserve"> Expiry: </w:t>
      </w:r>
      <w:r w:rsidR="00D21F87" w:rsidRPr="00D21F87">
        <w:rPr>
          <w:b/>
          <w:szCs w:val="24"/>
        </w:rPr>
        <w:t>31</w:t>
      </w:r>
      <w:r w:rsidR="00591274" w:rsidRPr="00D21F87">
        <w:rPr>
          <w:b/>
          <w:szCs w:val="24"/>
        </w:rPr>
        <w:t>/</w:t>
      </w:r>
      <w:r w:rsidR="00D21F87" w:rsidRPr="00D21F87">
        <w:rPr>
          <w:b/>
          <w:szCs w:val="24"/>
        </w:rPr>
        <w:t>08</w:t>
      </w:r>
      <w:r w:rsidR="001F085E" w:rsidRPr="00D21F87">
        <w:rPr>
          <w:b/>
          <w:szCs w:val="24"/>
        </w:rPr>
        <w:t>/20</w:t>
      </w:r>
      <w:r w:rsidRPr="00D21F87">
        <w:rPr>
          <w:b/>
          <w:szCs w:val="24"/>
        </w:rPr>
        <w:t>19</w:t>
      </w:r>
    </w:p>
    <w:p w:rsidR="00F87213" w:rsidRDefault="00F87213" w:rsidP="00F87213">
      <w:pPr>
        <w:overflowPunct/>
        <w:autoSpaceDE/>
        <w:adjustRightInd/>
      </w:pPr>
    </w:p>
    <w:p w:rsidR="00F87213" w:rsidRDefault="00F87213" w:rsidP="00F87213">
      <w:pPr>
        <w:overflowPunct/>
        <w:autoSpaceDE/>
        <w:adjustRightInd/>
      </w:pPr>
      <w:r>
        <w:t>Before signing this PGD, check that the document has had the necessar</w:t>
      </w:r>
      <w:r w:rsidR="00796949">
        <w:t>y authorisations in section two. W</w:t>
      </w:r>
      <w:r>
        <w:t>ithout these, this PGD is not lawfully valid.</w:t>
      </w:r>
    </w:p>
    <w:p w:rsidR="001F085E" w:rsidRPr="00FC1218" w:rsidRDefault="001F085E" w:rsidP="00EE0035">
      <w:pPr>
        <w:overflowPunct/>
        <w:autoSpaceDE/>
        <w:autoSpaceDN/>
        <w:adjustRightInd/>
        <w:textAlignment w:val="auto"/>
        <w:rPr>
          <w:b/>
          <w:color w:val="FF0000"/>
          <w:szCs w:val="24"/>
        </w:rPr>
      </w:pPr>
    </w:p>
    <w:p w:rsidR="00FD1F29" w:rsidRPr="00FD1F29" w:rsidRDefault="00FD1F29" w:rsidP="00EE0035">
      <w:pPr>
        <w:overflowPunct/>
        <w:autoSpaceDE/>
        <w:autoSpaceDN/>
        <w:adjustRightInd/>
        <w:textAlignment w:val="auto"/>
        <w:rPr>
          <w:b/>
          <w:szCs w:val="24"/>
        </w:rPr>
      </w:pPr>
      <w:r w:rsidRPr="00FD1F29">
        <w:rPr>
          <w:b/>
          <w:szCs w:val="24"/>
        </w:rPr>
        <w:t>Practitioner</w:t>
      </w:r>
    </w:p>
    <w:p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rsidTr="001F085E">
        <w:tc>
          <w:tcPr>
            <w:tcW w:w="9747" w:type="dxa"/>
            <w:gridSpan w:val="4"/>
          </w:tcPr>
          <w:p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rsidTr="001F085E">
        <w:tc>
          <w:tcPr>
            <w:tcW w:w="2518" w:type="dxa"/>
          </w:tcPr>
          <w:p w:rsidR="00CD371D" w:rsidRDefault="00CD371D" w:rsidP="00FD1F29">
            <w:pPr>
              <w:spacing w:before="120" w:after="120"/>
              <w:rPr>
                <w:szCs w:val="24"/>
              </w:rPr>
            </w:pPr>
            <w:r>
              <w:rPr>
                <w:szCs w:val="24"/>
              </w:rPr>
              <w:t>Name</w:t>
            </w:r>
          </w:p>
        </w:tc>
        <w:tc>
          <w:tcPr>
            <w:tcW w:w="3119" w:type="dxa"/>
          </w:tcPr>
          <w:p w:rsidR="00CD371D" w:rsidRDefault="00CD371D" w:rsidP="00FD1F29">
            <w:pPr>
              <w:spacing w:before="120" w:after="120"/>
              <w:rPr>
                <w:szCs w:val="24"/>
              </w:rPr>
            </w:pPr>
            <w:r>
              <w:rPr>
                <w:szCs w:val="24"/>
              </w:rPr>
              <w:t>Designation</w:t>
            </w:r>
          </w:p>
        </w:tc>
        <w:tc>
          <w:tcPr>
            <w:tcW w:w="2693" w:type="dxa"/>
          </w:tcPr>
          <w:p w:rsidR="00CD371D" w:rsidRDefault="00CD371D" w:rsidP="00FD1F29">
            <w:pPr>
              <w:spacing w:before="120" w:after="120"/>
              <w:rPr>
                <w:szCs w:val="24"/>
              </w:rPr>
            </w:pPr>
            <w:r>
              <w:rPr>
                <w:szCs w:val="24"/>
              </w:rPr>
              <w:t>Signature</w:t>
            </w:r>
          </w:p>
        </w:tc>
        <w:tc>
          <w:tcPr>
            <w:tcW w:w="1417" w:type="dxa"/>
          </w:tcPr>
          <w:p w:rsidR="00CD371D" w:rsidRDefault="00CD371D" w:rsidP="00FD1F29">
            <w:pPr>
              <w:spacing w:before="120" w:after="120"/>
              <w:rPr>
                <w:szCs w:val="24"/>
              </w:rPr>
            </w:pPr>
            <w:r>
              <w:rPr>
                <w:szCs w:val="24"/>
              </w:rPr>
              <w:t>Date</w:t>
            </w:r>
          </w:p>
        </w:tc>
      </w:tr>
      <w:tr w:rsidR="00CD371D" w:rsidTr="001F085E">
        <w:tc>
          <w:tcPr>
            <w:tcW w:w="2518" w:type="dxa"/>
          </w:tcPr>
          <w:p w:rsidR="00CD371D" w:rsidRDefault="00CD371D" w:rsidP="00FD1F29">
            <w:pPr>
              <w:spacing w:before="120" w:after="120"/>
              <w:rPr>
                <w:szCs w:val="24"/>
              </w:rPr>
            </w:pPr>
            <w:permStart w:id="1412776425" w:edGrp="everyone"/>
            <w:permStart w:id="1166167386" w:edGrp="everyone"/>
            <w:permStart w:id="1390174506" w:edGrp="everyone"/>
            <w:permStart w:id="1197702290" w:edGrp="everyone"/>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1267292988" w:edGrp="everyone"/>
            <w:permStart w:id="1909066781" w:edGrp="everyone"/>
            <w:permStart w:id="1625632643" w:edGrp="everyone"/>
            <w:permStart w:id="756550537" w:edGrp="everyone"/>
            <w:permEnd w:id="1412776425"/>
            <w:permEnd w:id="1166167386"/>
            <w:permEnd w:id="1390174506"/>
            <w:permEnd w:id="1197702290"/>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rPr>
          <w:trHeight w:val="569"/>
        </w:trPr>
        <w:tc>
          <w:tcPr>
            <w:tcW w:w="2518" w:type="dxa"/>
          </w:tcPr>
          <w:p w:rsidR="00CD371D" w:rsidRDefault="00CD371D" w:rsidP="00FD1F29">
            <w:pPr>
              <w:spacing w:before="120" w:after="120"/>
              <w:rPr>
                <w:szCs w:val="24"/>
              </w:rPr>
            </w:pPr>
            <w:permStart w:id="59975371" w:edGrp="everyone"/>
            <w:permStart w:id="1117343397" w:edGrp="everyone"/>
            <w:permStart w:id="262748257" w:edGrp="everyone"/>
            <w:permStart w:id="344392664" w:edGrp="everyone"/>
            <w:permEnd w:id="1267292988"/>
            <w:permEnd w:id="1909066781"/>
            <w:permEnd w:id="1625632643"/>
            <w:permEnd w:id="756550537"/>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1663377789" w:edGrp="everyone"/>
            <w:permStart w:id="1534151783" w:edGrp="everyone"/>
            <w:permStart w:id="1025459282" w:edGrp="everyone"/>
            <w:permStart w:id="237962216" w:edGrp="everyone"/>
            <w:permEnd w:id="59975371"/>
            <w:permEnd w:id="1117343397"/>
            <w:permEnd w:id="262748257"/>
            <w:permEnd w:id="344392664"/>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1299078218" w:edGrp="everyone"/>
            <w:permStart w:id="1813463083" w:edGrp="everyone"/>
            <w:permStart w:id="2114781977" w:edGrp="everyone"/>
            <w:permStart w:id="84352485" w:edGrp="everyone"/>
            <w:permEnd w:id="1663377789"/>
            <w:permEnd w:id="1534151783"/>
            <w:permEnd w:id="1025459282"/>
            <w:permEnd w:id="237962216"/>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ermStart w:id="715331956" w:edGrp="everyone"/>
            <w:permStart w:id="1656126648" w:edGrp="everyone"/>
            <w:permStart w:id="162804385" w:edGrp="everyone"/>
            <w:permStart w:id="346779315" w:edGrp="everyone"/>
            <w:permEnd w:id="1299078218"/>
            <w:permEnd w:id="1813463083"/>
            <w:permEnd w:id="2114781977"/>
            <w:permEnd w:id="84352485"/>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ermStart w:id="1242633385" w:edGrp="everyone"/>
            <w:permStart w:id="1987788032" w:edGrp="everyone"/>
            <w:permStart w:id="611325890" w:edGrp="everyone"/>
            <w:permStart w:id="306846971" w:edGrp="everyone"/>
            <w:permEnd w:id="715331956"/>
            <w:permEnd w:id="1656126648"/>
            <w:permEnd w:id="162804385"/>
            <w:permEnd w:id="346779315"/>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permEnd w:id="1242633385"/>
      <w:permEnd w:id="1987788032"/>
      <w:permEnd w:id="611325890"/>
      <w:permEnd w:id="306846971"/>
    </w:tbl>
    <w:p w:rsidR="00EE0035" w:rsidRPr="008D7620" w:rsidRDefault="00EE0035" w:rsidP="00EE0035">
      <w:pPr>
        <w:rPr>
          <w:szCs w:val="24"/>
        </w:rPr>
      </w:pPr>
    </w:p>
    <w:p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rsidTr="00A9535E">
        <w:tc>
          <w:tcPr>
            <w:tcW w:w="9747" w:type="dxa"/>
            <w:gridSpan w:val="4"/>
          </w:tcPr>
          <w:p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504207693" w:edGrp="everyone"/>
            <w:r w:rsidRPr="008D7620">
              <w:rPr>
                <w:b/>
                <w:color w:val="808080" w:themeColor="background1" w:themeShade="80"/>
                <w:szCs w:val="24"/>
              </w:rPr>
              <w:t>INSERT NAME OF ORGANISATION</w:t>
            </w:r>
            <w:r w:rsidRPr="008D7620">
              <w:rPr>
                <w:color w:val="808080" w:themeColor="background1" w:themeShade="80"/>
                <w:szCs w:val="24"/>
              </w:rPr>
              <w:t xml:space="preserve"> </w:t>
            </w:r>
            <w:permEnd w:id="1504207693"/>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rsidTr="00A9535E">
        <w:tc>
          <w:tcPr>
            <w:tcW w:w="2518" w:type="dxa"/>
          </w:tcPr>
          <w:p w:rsidR="001F085E" w:rsidRDefault="001F085E" w:rsidP="00A9535E">
            <w:pPr>
              <w:spacing w:before="120" w:after="120"/>
              <w:rPr>
                <w:szCs w:val="24"/>
              </w:rPr>
            </w:pPr>
            <w:r>
              <w:rPr>
                <w:szCs w:val="24"/>
              </w:rPr>
              <w:t>Name</w:t>
            </w:r>
          </w:p>
        </w:tc>
        <w:tc>
          <w:tcPr>
            <w:tcW w:w="3119" w:type="dxa"/>
          </w:tcPr>
          <w:p w:rsidR="001F085E" w:rsidRDefault="001F085E" w:rsidP="00A9535E">
            <w:pPr>
              <w:spacing w:before="120" w:after="120"/>
              <w:rPr>
                <w:szCs w:val="24"/>
              </w:rPr>
            </w:pPr>
            <w:r>
              <w:rPr>
                <w:szCs w:val="24"/>
              </w:rPr>
              <w:t>Designation</w:t>
            </w:r>
          </w:p>
        </w:tc>
        <w:tc>
          <w:tcPr>
            <w:tcW w:w="2693" w:type="dxa"/>
          </w:tcPr>
          <w:p w:rsidR="001F085E" w:rsidRDefault="001F085E" w:rsidP="00A9535E">
            <w:pPr>
              <w:spacing w:before="120" w:after="120"/>
              <w:rPr>
                <w:szCs w:val="24"/>
              </w:rPr>
            </w:pPr>
            <w:r>
              <w:rPr>
                <w:szCs w:val="24"/>
              </w:rPr>
              <w:t>Signature</w:t>
            </w:r>
          </w:p>
        </w:tc>
        <w:tc>
          <w:tcPr>
            <w:tcW w:w="1417" w:type="dxa"/>
          </w:tcPr>
          <w:p w:rsidR="001F085E" w:rsidRDefault="001F085E" w:rsidP="00A9535E">
            <w:pPr>
              <w:spacing w:before="120" w:after="120"/>
              <w:rPr>
                <w:szCs w:val="24"/>
              </w:rPr>
            </w:pPr>
            <w:r>
              <w:rPr>
                <w:szCs w:val="24"/>
              </w:rPr>
              <w:t>Date</w:t>
            </w:r>
          </w:p>
        </w:tc>
      </w:tr>
      <w:tr w:rsidR="001F085E" w:rsidTr="00A9535E">
        <w:tc>
          <w:tcPr>
            <w:tcW w:w="2518" w:type="dxa"/>
          </w:tcPr>
          <w:p w:rsidR="001F085E" w:rsidRDefault="001F085E" w:rsidP="00A9535E">
            <w:pPr>
              <w:spacing w:before="120" w:after="120"/>
              <w:rPr>
                <w:szCs w:val="24"/>
              </w:rPr>
            </w:pPr>
            <w:permStart w:id="969099413" w:edGrp="everyone"/>
            <w:permStart w:id="2078420781" w:edGrp="everyone"/>
            <w:permStart w:id="222457246" w:edGrp="everyone"/>
            <w:permStart w:id="2061059863" w:edGrp="everyone"/>
          </w:p>
        </w:tc>
        <w:tc>
          <w:tcPr>
            <w:tcW w:w="3119" w:type="dxa"/>
          </w:tcPr>
          <w:p w:rsidR="001F085E" w:rsidRDefault="001F085E" w:rsidP="00A9535E">
            <w:pPr>
              <w:spacing w:before="120" w:after="120"/>
              <w:rPr>
                <w:szCs w:val="24"/>
              </w:rPr>
            </w:pPr>
          </w:p>
        </w:tc>
        <w:tc>
          <w:tcPr>
            <w:tcW w:w="2693" w:type="dxa"/>
          </w:tcPr>
          <w:p w:rsidR="001F085E" w:rsidRDefault="001F085E" w:rsidP="00A9535E">
            <w:pPr>
              <w:spacing w:before="120" w:after="120"/>
              <w:rPr>
                <w:szCs w:val="24"/>
              </w:rPr>
            </w:pPr>
          </w:p>
        </w:tc>
        <w:tc>
          <w:tcPr>
            <w:tcW w:w="1417" w:type="dxa"/>
          </w:tcPr>
          <w:p w:rsidR="001F085E" w:rsidRDefault="001F085E" w:rsidP="00A9535E">
            <w:pPr>
              <w:spacing w:before="120" w:after="120"/>
              <w:rPr>
                <w:szCs w:val="24"/>
              </w:rPr>
            </w:pPr>
          </w:p>
        </w:tc>
      </w:tr>
    </w:tbl>
    <w:permEnd w:id="969099413"/>
    <w:permEnd w:id="2078420781"/>
    <w:permEnd w:id="222457246"/>
    <w:permEnd w:id="2061059863"/>
    <w:p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591274" w:rsidRDefault="00EE0035" w:rsidP="00591274">
      <w:pPr>
        <w:pStyle w:val="BodyText"/>
        <w:ind w:right="83"/>
        <w:rPr>
          <w:rFonts w:cs="Arial"/>
          <w:b/>
          <w:szCs w:val="24"/>
        </w:rPr>
      </w:pPr>
      <w:r>
        <w:rPr>
          <w:szCs w:val="24"/>
        </w:rPr>
        <w:t>This authorisation sheet should be retained to serve as a record of those practitioners authorised to work under this PGD.</w:t>
      </w:r>
      <w:r w:rsidR="00591274" w:rsidRPr="00591274">
        <w:rPr>
          <w:rFonts w:cs="Arial"/>
          <w:b/>
          <w:szCs w:val="24"/>
        </w:rPr>
        <w:t xml:space="preserve"> </w:t>
      </w:r>
    </w:p>
    <w:p w:rsidR="00856272" w:rsidRPr="00591274" w:rsidRDefault="00856272" w:rsidP="00591274">
      <w:pPr>
        <w:overflowPunct/>
        <w:autoSpaceDE/>
        <w:autoSpaceDN/>
        <w:adjustRightInd/>
        <w:spacing w:before="120" w:after="120"/>
        <w:textAlignment w:val="auto"/>
        <w:rPr>
          <w:sz w:val="2"/>
          <w:szCs w:val="2"/>
        </w:rPr>
      </w:pPr>
    </w:p>
    <w:sectPr w:rsidR="00856272" w:rsidRPr="00591274" w:rsidSect="00D635A5">
      <w:headerReference w:type="even" r:id="rId61"/>
      <w:headerReference w:type="default" r:id="rId62"/>
      <w:footerReference w:type="even" r:id="rId63"/>
      <w:footerReference w:type="default" r:id="rId64"/>
      <w:headerReference w:type="first" r:id="rId65"/>
      <w:footerReference w:type="first" r:id="rId66"/>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125" w:rsidRDefault="00414125" w:rsidP="00B37C58">
      <w:r>
        <w:separator/>
      </w:r>
    </w:p>
  </w:endnote>
  <w:endnote w:type="continuationSeparator" w:id="0">
    <w:p w:rsidR="00414125" w:rsidRDefault="00414125" w:rsidP="00B37C58">
      <w:r>
        <w:continuationSeparator/>
      </w:r>
    </w:p>
  </w:endnote>
  <w:endnote w:type="continuationNotice" w:id="1">
    <w:p w:rsidR="00414125" w:rsidRDefault="0041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B13" w:rsidRDefault="000C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34" w:rsidRPr="00D63C3C" w:rsidRDefault="00285A34" w:rsidP="00D63C3C">
    <w:pPr>
      <w:pStyle w:val="Footer"/>
      <w:rPr>
        <w:rFonts w:ascii="Arial" w:hAnsi="Arial"/>
        <w:sz w:val="20"/>
      </w:rPr>
    </w:pPr>
    <w:r>
      <w:rPr>
        <w:rFonts w:ascii="Arial" w:hAnsi="Arial"/>
        <w:sz w:val="20"/>
      </w:rPr>
      <w:t>DTaP/IPV/Hib Booster PGD v01</w:t>
    </w:r>
    <w:r w:rsidRPr="00381BA0">
      <w:rPr>
        <w:rFonts w:ascii="Arial" w:hAnsi="Arial"/>
        <w:sz w:val="20"/>
      </w:rPr>
      <w:t>.0</w:t>
    </w:r>
    <w:r>
      <w:rPr>
        <w:rFonts w:ascii="Arial" w:hAnsi="Arial"/>
        <w:sz w:val="20"/>
      </w:rPr>
      <w:t>0</w:t>
    </w:r>
    <w:r w:rsidRPr="00381BA0">
      <w:rPr>
        <w:rFonts w:ascii="Arial" w:hAnsi="Arial"/>
        <w:sz w:val="20"/>
      </w:rPr>
      <w:t xml:space="preserve"> Valid from: </w:t>
    </w:r>
    <w:r>
      <w:rPr>
        <w:rFonts w:ascii="Arial" w:hAnsi="Arial"/>
        <w:sz w:val="20"/>
      </w:rPr>
      <w:t>12</w:t>
    </w:r>
    <w:r w:rsidRPr="00381BA0">
      <w:rPr>
        <w:rFonts w:ascii="Arial" w:hAnsi="Arial"/>
        <w:sz w:val="20"/>
      </w:rPr>
      <w:t>/</w:t>
    </w:r>
    <w:r>
      <w:rPr>
        <w:rFonts w:ascii="Arial" w:hAnsi="Arial"/>
        <w:sz w:val="20"/>
      </w:rPr>
      <w:t xml:space="preserve">09/2017 Expiry: 31/08/2019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547043">
      <w:rPr>
        <w:rStyle w:val="PageNumber"/>
        <w:rFonts w:ascii="Arial" w:hAnsi="Arial"/>
        <w:noProof/>
        <w:sz w:val="20"/>
      </w:rPr>
      <w:t>14</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547043">
      <w:rPr>
        <w:rStyle w:val="PageNumber"/>
        <w:rFonts w:ascii="Arial" w:hAnsi="Arial"/>
        <w:noProof/>
        <w:sz w:val="20"/>
      </w:rPr>
      <w:t>14</w:t>
    </w:r>
    <w:r w:rsidRPr="0004464D">
      <w:rPr>
        <w:rStyle w:val="PageNumber"/>
        <w:sz w:val="20"/>
      </w:rPr>
      <w:fldChar w:fldCharType="end"/>
    </w:r>
  </w:p>
  <w:p w:rsidR="00285A34" w:rsidRDefault="0028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34" w:rsidRPr="00D63C3C" w:rsidRDefault="00285A34">
    <w:pPr>
      <w:pStyle w:val="Footer"/>
      <w:rPr>
        <w:rFonts w:ascii="Arial" w:hAnsi="Arial"/>
        <w:sz w:val="20"/>
      </w:rPr>
    </w:pPr>
    <w:r>
      <w:rPr>
        <w:rFonts w:ascii="Arial" w:hAnsi="Arial"/>
        <w:sz w:val="20"/>
      </w:rPr>
      <w:t>DTaP/IPV/Hib Booster PGD v01</w:t>
    </w:r>
    <w:r w:rsidRPr="00381BA0">
      <w:rPr>
        <w:rFonts w:ascii="Arial" w:hAnsi="Arial"/>
        <w:sz w:val="20"/>
      </w:rPr>
      <w:t>.0</w:t>
    </w:r>
    <w:r>
      <w:rPr>
        <w:rFonts w:ascii="Arial" w:hAnsi="Arial"/>
        <w:sz w:val="20"/>
      </w:rPr>
      <w:t>0</w:t>
    </w:r>
    <w:r w:rsidRPr="00381BA0">
      <w:rPr>
        <w:rFonts w:ascii="Arial" w:hAnsi="Arial"/>
        <w:sz w:val="20"/>
      </w:rPr>
      <w:t xml:space="preserve"> Valid from: </w:t>
    </w:r>
    <w:r>
      <w:rPr>
        <w:rFonts w:ascii="Arial" w:hAnsi="Arial"/>
        <w:sz w:val="20"/>
      </w:rPr>
      <w:t>12</w:t>
    </w:r>
    <w:r w:rsidRPr="00381BA0">
      <w:rPr>
        <w:rFonts w:ascii="Arial" w:hAnsi="Arial"/>
        <w:sz w:val="20"/>
      </w:rPr>
      <w:t>/</w:t>
    </w:r>
    <w:r>
      <w:rPr>
        <w:rFonts w:ascii="Arial" w:hAnsi="Arial"/>
        <w:sz w:val="20"/>
      </w:rPr>
      <w:t xml:space="preserve">09/2017 Expiry: 31/08/2019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547043">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547043">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125" w:rsidRDefault="00414125" w:rsidP="00B37C58">
      <w:r>
        <w:separator/>
      </w:r>
    </w:p>
  </w:footnote>
  <w:footnote w:type="continuationSeparator" w:id="0">
    <w:p w:rsidR="00414125" w:rsidRDefault="00414125" w:rsidP="00B37C58">
      <w:r>
        <w:continuationSeparator/>
      </w:r>
    </w:p>
  </w:footnote>
  <w:footnote w:type="continuationNotice" w:id="1">
    <w:p w:rsidR="00414125" w:rsidRDefault="00414125"/>
  </w:footnote>
  <w:footnote w:id="2">
    <w:p w:rsidR="00285A34" w:rsidRDefault="00285A34">
      <w:pPr>
        <w:pStyle w:val="FootnoteText"/>
      </w:pPr>
      <w:r>
        <w:rPr>
          <w:rStyle w:val="FootnoteReference"/>
        </w:rPr>
        <w:footnoteRef/>
      </w:r>
      <w:r>
        <w:t xml:space="preserve"> This includes any relevant amendments to legislation (eg </w:t>
      </w:r>
      <w:hyperlink r:id="rId1" w:history="1">
        <w:r w:rsidRPr="006B6C13">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rsidR="00285A34" w:rsidRPr="000E478E" w:rsidRDefault="00285A34"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34" w:rsidRDefault="000C0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5344" o:spid="_x0000_s4098" type="#_x0000_t136" style="position:absolute;margin-left:0;margin-top:0;width:641.85pt;height:53.45pt;rotation:315;z-index:-251654144;mso-position-horizontal:center;mso-position-horizontal-relative:margin;mso-position-vertical:center;mso-position-vertical-relative:margin" o:allowincell="f" fillcolor="black [3213]" stroked="f">
          <v:textpath style="font-family:&quot;Arial&quot;;font-size:1pt" string="Withdrawn 31 August 20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34" w:rsidRDefault="000C0B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5345" o:spid="_x0000_s4099" type="#_x0000_t136" style="position:absolute;margin-left:0;margin-top:0;width:641.85pt;height:53.45pt;rotation:315;z-index:-251652096;mso-position-horizontal:center;mso-position-horizontal-relative:margin;mso-position-vertical:center;mso-position-vertical-relative:margin" o:allowincell="f" fillcolor="black [3213]" stroked="f">
          <v:textpath style="font-family:&quot;Arial&quot;;font-size:1pt" string="Withdrawn 31 August 20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34" w:rsidRDefault="000C0B13" w:rsidP="00E161EA">
    <w:pPr>
      <w:pStyle w:val="Header"/>
      <w:ind w:left="-28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25343" o:spid="_x0000_s4097" type="#_x0000_t136" style="position:absolute;left:0;text-align:left;margin-left:0;margin-top:0;width:641.85pt;height:53.45pt;rotation:315;z-index:-251656192;mso-position-horizontal:center;mso-position-horizontal-relative:margin;mso-position-vertical:center;mso-position-vertical-relative:margin" o:allowincell="f" fillcolor="black [3213]" stroked="f">
          <v:textpath style="font-family:&quot;Arial&quot;;font-size:1pt" string="Withdrawn 31 August 2019"/>
        </v:shape>
      </w:pict>
    </w:r>
    <w:r w:rsidR="00285A34">
      <w:rPr>
        <w:rFonts w:ascii="Arial" w:hAnsi="Arial" w:cs="Arial"/>
        <w:b/>
        <w:bCs/>
        <w:noProof/>
        <w:color w:val="0000FF"/>
        <w:sz w:val="22"/>
        <w:szCs w:val="22"/>
      </w:rPr>
      <w:drawing>
        <wp:anchor distT="0" distB="0" distL="114300" distR="114300" simplePos="0" relativeHeight="251657216" behindDoc="1" locked="0" layoutInCell="1" allowOverlap="1" wp14:anchorId="36B01076" wp14:editId="1B74400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A34">
      <w:rPr>
        <w:rFonts w:ascii="Arial" w:hAnsi="Arial" w:cs="Arial"/>
        <w:b/>
        <w:bCs/>
        <w:noProof/>
        <w:color w:val="0000FF"/>
        <w:sz w:val="22"/>
        <w:szCs w:val="22"/>
      </w:rPr>
      <w:drawing>
        <wp:anchor distT="0" distB="0" distL="114300" distR="114300" simplePos="0" relativeHeight="251658240" behindDoc="0" locked="0" layoutInCell="1" allowOverlap="1" wp14:anchorId="55CA33F9" wp14:editId="4938BDF5">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A34" w:rsidRDefault="00285A34" w:rsidP="00E161EA">
    <w:pPr>
      <w:pStyle w:val="Header"/>
      <w:ind w:left="-284"/>
    </w:pPr>
  </w:p>
  <w:p w:rsidR="00285A34" w:rsidRDefault="00285A34" w:rsidP="00E161EA">
    <w:pPr>
      <w:pStyle w:val="Header"/>
      <w:ind w:left="-284"/>
    </w:pPr>
  </w:p>
  <w:p w:rsidR="00285A34" w:rsidRDefault="00285A34" w:rsidP="00E161EA">
    <w:pPr>
      <w:pStyle w:val="Header"/>
      <w:ind w:left="-284"/>
    </w:pPr>
  </w:p>
  <w:p w:rsidR="00285A34" w:rsidRDefault="00285A34" w:rsidP="00E161EA">
    <w:pPr>
      <w:pStyle w:val="Header"/>
      <w:ind w:left="-284"/>
    </w:pPr>
  </w:p>
  <w:p w:rsidR="00285A34" w:rsidRDefault="00285A34"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 w15:restartNumberingAfterBreak="0">
    <w:nsid w:val="0A1C0190"/>
    <w:multiLevelType w:val="hybridMultilevel"/>
    <w:tmpl w:val="4E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6AC9"/>
    <w:multiLevelType w:val="hybridMultilevel"/>
    <w:tmpl w:val="E96C83A0"/>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5"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27FF1"/>
    <w:multiLevelType w:val="hybridMultilevel"/>
    <w:tmpl w:val="E660B050"/>
    <w:lvl w:ilvl="0" w:tplc="71B8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47187"/>
    <w:multiLevelType w:val="hybridMultilevel"/>
    <w:tmpl w:val="3FBCA010"/>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33E39"/>
    <w:multiLevelType w:val="hybridMultilevel"/>
    <w:tmpl w:val="9DAC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9"/>
  </w:num>
  <w:num w:numId="5">
    <w:abstractNumId w:val="2"/>
  </w:num>
  <w:num w:numId="6">
    <w:abstractNumId w:val="25"/>
  </w:num>
  <w:num w:numId="7">
    <w:abstractNumId w:val="3"/>
  </w:num>
  <w:num w:numId="8">
    <w:abstractNumId w:val="4"/>
  </w:num>
  <w:num w:numId="9">
    <w:abstractNumId w:val="15"/>
  </w:num>
  <w:num w:numId="10">
    <w:abstractNumId w:val="0"/>
  </w:num>
  <w:num w:numId="11">
    <w:abstractNumId w:val="13"/>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1"/>
  </w:num>
  <w:num w:numId="23">
    <w:abstractNumId w:val="22"/>
  </w:num>
  <w:num w:numId="24">
    <w:abstractNumId w:val="23"/>
  </w:num>
  <w:num w:numId="25">
    <w:abstractNumId w:val="18"/>
  </w:num>
  <w:num w:numId="26">
    <w:abstractNumId w:val="24"/>
  </w:num>
  <w:num w:numId="27">
    <w:abstractNumId w:val="7"/>
  </w:num>
  <w:num w:numId="28">
    <w:abstractNumId w:val="17"/>
  </w:num>
  <w:num w:numId="29">
    <w:abstractNumId w:val="19"/>
  </w:num>
  <w:num w:numId="30">
    <w:abstractNumId w:val="1"/>
  </w:num>
  <w:num w:numId="31">
    <w:abstractNumId w:val="14"/>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comments" w:enforcement="1" w:cryptProviderType="rsaAES" w:cryptAlgorithmClass="hash" w:cryptAlgorithmType="typeAny" w:cryptAlgorithmSid="14" w:cryptSpinCount="100000" w:hash="fsKwfzX+lc2do7IZKNA4qSA1Jih3qlydXVWiAitZGVX9Nd0rAkjC41xIw/Y4+A/wofp16WmkcOtAn/HpLdfFYQ==" w:salt="UCuA24d0d1/P1ajG8qMaHA=="/>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1CB9"/>
    <w:rsid w:val="0000216F"/>
    <w:rsid w:val="00002B99"/>
    <w:rsid w:val="000030A5"/>
    <w:rsid w:val="00005094"/>
    <w:rsid w:val="00005A40"/>
    <w:rsid w:val="000067FF"/>
    <w:rsid w:val="00007291"/>
    <w:rsid w:val="000074AF"/>
    <w:rsid w:val="0000799E"/>
    <w:rsid w:val="00007B0A"/>
    <w:rsid w:val="00011983"/>
    <w:rsid w:val="00011CD7"/>
    <w:rsid w:val="000141CA"/>
    <w:rsid w:val="000143B7"/>
    <w:rsid w:val="00014AA8"/>
    <w:rsid w:val="00015AD7"/>
    <w:rsid w:val="00015FD7"/>
    <w:rsid w:val="000163C2"/>
    <w:rsid w:val="00016678"/>
    <w:rsid w:val="00017D81"/>
    <w:rsid w:val="00022CF4"/>
    <w:rsid w:val="00026F62"/>
    <w:rsid w:val="0002760B"/>
    <w:rsid w:val="000327CB"/>
    <w:rsid w:val="00032A94"/>
    <w:rsid w:val="0003306A"/>
    <w:rsid w:val="00033B08"/>
    <w:rsid w:val="00034D78"/>
    <w:rsid w:val="0003557F"/>
    <w:rsid w:val="000366BF"/>
    <w:rsid w:val="000369EE"/>
    <w:rsid w:val="00037F1B"/>
    <w:rsid w:val="00041342"/>
    <w:rsid w:val="000422B0"/>
    <w:rsid w:val="000437FE"/>
    <w:rsid w:val="00044AA5"/>
    <w:rsid w:val="00044B12"/>
    <w:rsid w:val="000452D9"/>
    <w:rsid w:val="00045EC4"/>
    <w:rsid w:val="00046C83"/>
    <w:rsid w:val="0005160B"/>
    <w:rsid w:val="000526FD"/>
    <w:rsid w:val="00052D39"/>
    <w:rsid w:val="00053AE7"/>
    <w:rsid w:val="00053C0A"/>
    <w:rsid w:val="0005463B"/>
    <w:rsid w:val="000558BD"/>
    <w:rsid w:val="00057CCD"/>
    <w:rsid w:val="0006044D"/>
    <w:rsid w:val="000605CC"/>
    <w:rsid w:val="00060924"/>
    <w:rsid w:val="00060E3A"/>
    <w:rsid w:val="00062626"/>
    <w:rsid w:val="00062844"/>
    <w:rsid w:val="00063BEF"/>
    <w:rsid w:val="00073716"/>
    <w:rsid w:val="00073AFC"/>
    <w:rsid w:val="000753FC"/>
    <w:rsid w:val="00076359"/>
    <w:rsid w:val="00077D61"/>
    <w:rsid w:val="00080471"/>
    <w:rsid w:val="000810A7"/>
    <w:rsid w:val="000817FC"/>
    <w:rsid w:val="00081EEB"/>
    <w:rsid w:val="0008353A"/>
    <w:rsid w:val="000841EB"/>
    <w:rsid w:val="00084641"/>
    <w:rsid w:val="000905DC"/>
    <w:rsid w:val="00090CE1"/>
    <w:rsid w:val="000914C8"/>
    <w:rsid w:val="00091CBB"/>
    <w:rsid w:val="00091EE6"/>
    <w:rsid w:val="00094CC5"/>
    <w:rsid w:val="000A2A03"/>
    <w:rsid w:val="000A3ADA"/>
    <w:rsid w:val="000A40B5"/>
    <w:rsid w:val="000A4724"/>
    <w:rsid w:val="000A5791"/>
    <w:rsid w:val="000A6CB6"/>
    <w:rsid w:val="000A6EC8"/>
    <w:rsid w:val="000A729C"/>
    <w:rsid w:val="000B1A6A"/>
    <w:rsid w:val="000B2084"/>
    <w:rsid w:val="000B2506"/>
    <w:rsid w:val="000B2DCF"/>
    <w:rsid w:val="000B2F98"/>
    <w:rsid w:val="000B2FF8"/>
    <w:rsid w:val="000B443D"/>
    <w:rsid w:val="000B5963"/>
    <w:rsid w:val="000B5974"/>
    <w:rsid w:val="000C0B13"/>
    <w:rsid w:val="000C0FE6"/>
    <w:rsid w:val="000C248E"/>
    <w:rsid w:val="000C2E80"/>
    <w:rsid w:val="000C30CB"/>
    <w:rsid w:val="000C6CFA"/>
    <w:rsid w:val="000D0CF4"/>
    <w:rsid w:val="000D2680"/>
    <w:rsid w:val="000D2A84"/>
    <w:rsid w:val="000D2C82"/>
    <w:rsid w:val="000D2F38"/>
    <w:rsid w:val="000D46BA"/>
    <w:rsid w:val="000D502B"/>
    <w:rsid w:val="000D78CC"/>
    <w:rsid w:val="000E1613"/>
    <w:rsid w:val="000E16AF"/>
    <w:rsid w:val="000E1D3A"/>
    <w:rsid w:val="000E478E"/>
    <w:rsid w:val="000E78D3"/>
    <w:rsid w:val="000E7B00"/>
    <w:rsid w:val="000E7B90"/>
    <w:rsid w:val="000E7E40"/>
    <w:rsid w:val="000F3444"/>
    <w:rsid w:val="000F629F"/>
    <w:rsid w:val="000F69DE"/>
    <w:rsid w:val="000F7418"/>
    <w:rsid w:val="000F7561"/>
    <w:rsid w:val="00100284"/>
    <w:rsid w:val="00101DEF"/>
    <w:rsid w:val="001027CC"/>
    <w:rsid w:val="001028DF"/>
    <w:rsid w:val="0010300D"/>
    <w:rsid w:val="00103825"/>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B80"/>
    <w:rsid w:val="001356BD"/>
    <w:rsid w:val="00135875"/>
    <w:rsid w:val="00135E42"/>
    <w:rsid w:val="00137AE2"/>
    <w:rsid w:val="00137B63"/>
    <w:rsid w:val="00141AAF"/>
    <w:rsid w:val="00150743"/>
    <w:rsid w:val="00151778"/>
    <w:rsid w:val="00152D05"/>
    <w:rsid w:val="00155D9C"/>
    <w:rsid w:val="0015732D"/>
    <w:rsid w:val="00157FB4"/>
    <w:rsid w:val="00160228"/>
    <w:rsid w:val="00162B1B"/>
    <w:rsid w:val="00163D03"/>
    <w:rsid w:val="00165527"/>
    <w:rsid w:val="00166F32"/>
    <w:rsid w:val="001700C1"/>
    <w:rsid w:val="001710C3"/>
    <w:rsid w:val="00171903"/>
    <w:rsid w:val="0017246D"/>
    <w:rsid w:val="0017269B"/>
    <w:rsid w:val="00176CD1"/>
    <w:rsid w:val="00176E60"/>
    <w:rsid w:val="00181E5D"/>
    <w:rsid w:val="00182701"/>
    <w:rsid w:val="00182DCC"/>
    <w:rsid w:val="00182FE1"/>
    <w:rsid w:val="0018366E"/>
    <w:rsid w:val="00184B43"/>
    <w:rsid w:val="00185081"/>
    <w:rsid w:val="00185BD2"/>
    <w:rsid w:val="00187116"/>
    <w:rsid w:val="00187641"/>
    <w:rsid w:val="00187F93"/>
    <w:rsid w:val="00190006"/>
    <w:rsid w:val="001913EE"/>
    <w:rsid w:val="00191F4F"/>
    <w:rsid w:val="001933F7"/>
    <w:rsid w:val="00193510"/>
    <w:rsid w:val="001968CC"/>
    <w:rsid w:val="001A0034"/>
    <w:rsid w:val="001A254A"/>
    <w:rsid w:val="001A2B32"/>
    <w:rsid w:val="001A4091"/>
    <w:rsid w:val="001A4FF7"/>
    <w:rsid w:val="001A545E"/>
    <w:rsid w:val="001A6A53"/>
    <w:rsid w:val="001A6BB0"/>
    <w:rsid w:val="001B0931"/>
    <w:rsid w:val="001B1419"/>
    <w:rsid w:val="001B2016"/>
    <w:rsid w:val="001B2B1B"/>
    <w:rsid w:val="001B2D74"/>
    <w:rsid w:val="001B3690"/>
    <w:rsid w:val="001B47D2"/>
    <w:rsid w:val="001B6907"/>
    <w:rsid w:val="001B69BE"/>
    <w:rsid w:val="001B7073"/>
    <w:rsid w:val="001C305E"/>
    <w:rsid w:val="001C40E2"/>
    <w:rsid w:val="001D1F5D"/>
    <w:rsid w:val="001D4E63"/>
    <w:rsid w:val="001D678E"/>
    <w:rsid w:val="001D7379"/>
    <w:rsid w:val="001D73CE"/>
    <w:rsid w:val="001D7891"/>
    <w:rsid w:val="001D7C84"/>
    <w:rsid w:val="001E01B9"/>
    <w:rsid w:val="001E0371"/>
    <w:rsid w:val="001E12D9"/>
    <w:rsid w:val="001E19BC"/>
    <w:rsid w:val="001E1A23"/>
    <w:rsid w:val="001E2011"/>
    <w:rsid w:val="001E28F5"/>
    <w:rsid w:val="001E40FE"/>
    <w:rsid w:val="001E625C"/>
    <w:rsid w:val="001E64AB"/>
    <w:rsid w:val="001E6768"/>
    <w:rsid w:val="001E6FD0"/>
    <w:rsid w:val="001E7048"/>
    <w:rsid w:val="001F085E"/>
    <w:rsid w:val="001F2596"/>
    <w:rsid w:val="001F3AF6"/>
    <w:rsid w:val="001F4200"/>
    <w:rsid w:val="001F5127"/>
    <w:rsid w:val="001F53D3"/>
    <w:rsid w:val="001F6E45"/>
    <w:rsid w:val="002010DE"/>
    <w:rsid w:val="00201614"/>
    <w:rsid w:val="0020243B"/>
    <w:rsid w:val="00203D57"/>
    <w:rsid w:val="00204795"/>
    <w:rsid w:val="00204910"/>
    <w:rsid w:val="00206DC2"/>
    <w:rsid w:val="002125CC"/>
    <w:rsid w:val="002142A3"/>
    <w:rsid w:val="00214D37"/>
    <w:rsid w:val="0021553E"/>
    <w:rsid w:val="0021586D"/>
    <w:rsid w:val="002159D9"/>
    <w:rsid w:val="002171DC"/>
    <w:rsid w:val="002215A5"/>
    <w:rsid w:val="00222834"/>
    <w:rsid w:val="002232AB"/>
    <w:rsid w:val="00223924"/>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410"/>
    <w:rsid w:val="002704CB"/>
    <w:rsid w:val="00272071"/>
    <w:rsid w:val="0027292C"/>
    <w:rsid w:val="002736C1"/>
    <w:rsid w:val="00273C7D"/>
    <w:rsid w:val="00274F97"/>
    <w:rsid w:val="002762EC"/>
    <w:rsid w:val="00277D21"/>
    <w:rsid w:val="0028191D"/>
    <w:rsid w:val="00283C59"/>
    <w:rsid w:val="00283D3A"/>
    <w:rsid w:val="00285A34"/>
    <w:rsid w:val="00285CD3"/>
    <w:rsid w:val="0028691E"/>
    <w:rsid w:val="0028740C"/>
    <w:rsid w:val="00287A20"/>
    <w:rsid w:val="00290B36"/>
    <w:rsid w:val="00291120"/>
    <w:rsid w:val="0029274E"/>
    <w:rsid w:val="00293582"/>
    <w:rsid w:val="002937BA"/>
    <w:rsid w:val="00294FD3"/>
    <w:rsid w:val="00294FED"/>
    <w:rsid w:val="002955AE"/>
    <w:rsid w:val="00296842"/>
    <w:rsid w:val="002A0C64"/>
    <w:rsid w:val="002A15A4"/>
    <w:rsid w:val="002A21ED"/>
    <w:rsid w:val="002A352E"/>
    <w:rsid w:val="002A5EC0"/>
    <w:rsid w:val="002A72B1"/>
    <w:rsid w:val="002B014E"/>
    <w:rsid w:val="002B1970"/>
    <w:rsid w:val="002B2DD8"/>
    <w:rsid w:val="002B3C9A"/>
    <w:rsid w:val="002B41AC"/>
    <w:rsid w:val="002B4B88"/>
    <w:rsid w:val="002C1E85"/>
    <w:rsid w:val="002C27BB"/>
    <w:rsid w:val="002C3EBB"/>
    <w:rsid w:val="002C6DE6"/>
    <w:rsid w:val="002C7476"/>
    <w:rsid w:val="002C7938"/>
    <w:rsid w:val="002D0FC7"/>
    <w:rsid w:val="002D2A15"/>
    <w:rsid w:val="002D49A8"/>
    <w:rsid w:val="002D68D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3E82"/>
    <w:rsid w:val="00304270"/>
    <w:rsid w:val="00305C80"/>
    <w:rsid w:val="00307002"/>
    <w:rsid w:val="00307729"/>
    <w:rsid w:val="003114FA"/>
    <w:rsid w:val="003126AB"/>
    <w:rsid w:val="003128AC"/>
    <w:rsid w:val="00315E51"/>
    <w:rsid w:val="0031600F"/>
    <w:rsid w:val="0031703D"/>
    <w:rsid w:val="00322599"/>
    <w:rsid w:val="003225CC"/>
    <w:rsid w:val="00323DE8"/>
    <w:rsid w:val="0032489D"/>
    <w:rsid w:val="00324DC2"/>
    <w:rsid w:val="0032600A"/>
    <w:rsid w:val="003260D6"/>
    <w:rsid w:val="00326296"/>
    <w:rsid w:val="0032676B"/>
    <w:rsid w:val="003267A8"/>
    <w:rsid w:val="00327741"/>
    <w:rsid w:val="00330CA5"/>
    <w:rsid w:val="00333017"/>
    <w:rsid w:val="00334D47"/>
    <w:rsid w:val="003353BE"/>
    <w:rsid w:val="00336F3C"/>
    <w:rsid w:val="00340F81"/>
    <w:rsid w:val="00341DAD"/>
    <w:rsid w:val="0034293F"/>
    <w:rsid w:val="00344157"/>
    <w:rsid w:val="00345EDE"/>
    <w:rsid w:val="003461E2"/>
    <w:rsid w:val="0034683E"/>
    <w:rsid w:val="003514E5"/>
    <w:rsid w:val="003532CF"/>
    <w:rsid w:val="00354C77"/>
    <w:rsid w:val="003554C3"/>
    <w:rsid w:val="003558DA"/>
    <w:rsid w:val="00356F35"/>
    <w:rsid w:val="00357BE5"/>
    <w:rsid w:val="00360137"/>
    <w:rsid w:val="00360EE2"/>
    <w:rsid w:val="00361EBF"/>
    <w:rsid w:val="00364047"/>
    <w:rsid w:val="00364D5C"/>
    <w:rsid w:val="00366548"/>
    <w:rsid w:val="00366AE7"/>
    <w:rsid w:val="00366FD0"/>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1B8"/>
    <w:rsid w:val="003A0532"/>
    <w:rsid w:val="003A07F8"/>
    <w:rsid w:val="003A1CDC"/>
    <w:rsid w:val="003A5966"/>
    <w:rsid w:val="003A5B7D"/>
    <w:rsid w:val="003B0421"/>
    <w:rsid w:val="003B0B4F"/>
    <w:rsid w:val="003B1227"/>
    <w:rsid w:val="003B1339"/>
    <w:rsid w:val="003B1FF7"/>
    <w:rsid w:val="003B46AE"/>
    <w:rsid w:val="003B4980"/>
    <w:rsid w:val="003B7149"/>
    <w:rsid w:val="003B76AD"/>
    <w:rsid w:val="003B7DCA"/>
    <w:rsid w:val="003C0481"/>
    <w:rsid w:val="003C208A"/>
    <w:rsid w:val="003C32B5"/>
    <w:rsid w:val="003C75AC"/>
    <w:rsid w:val="003D387D"/>
    <w:rsid w:val="003D3E67"/>
    <w:rsid w:val="003D6386"/>
    <w:rsid w:val="003D649D"/>
    <w:rsid w:val="003D6821"/>
    <w:rsid w:val="003D69E1"/>
    <w:rsid w:val="003D6C44"/>
    <w:rsid w:val="003D7913"/>
    <w:rsid w:val="003E1EBF"/>
    <w:rsid w:val="003E2AB7"/>
    <w:rsid w:val="003E41DF"/>
    <w:rsid w:val="003E4957"/>
    <w:rsid w:val="003E4AB4"/>
    <w:rsid w:val="003E4E4A"/>
    <w:rsid w:val="003E74EE"/>
    <w:rsid w:val="003F070C"/>
    <w:rsid w:val="003F2857"/>
    <w:rsid w:val="003F2920"/>
    <w:rsid w:val="003F5883"/>
    <w:rsid w:val="003F6A22"/>
    <w:rsid w:val="003F74A0"/>
    <w:rsid w:val="00401E46"/>
    <w:rsid w:val="004021DE"/>
    <w:rsid w:val="00402CA6"/>
    <w:rsid w:val="0040394C"/>
    <w:rsid w:val="00406F86"/>
    <w:rsid w:val="00410547"/>
    <w:rsid w:val="0041133C"/>
    <w:rsid w:val="00412096"/>
    <w:rsid w:val="00413075"/>
    <w:rsid w:val="0041331C"/>
    <w:rsid w:val="00414125"/>
    <w:rsid w:val="004142CF"/>
    <w:rsid w:val="00414B39"/>
    <w:rsid w:val="004173CE"/>
    <w:rsid w:val="00417D65"/>
    <w:rsid w:val="00417F2D"/>
    <w:rsid w:val="00420095"/>
    <w:rsid w:val="00422484"/>
    <w:rsid w:val="004231B0"/>
    <w:rsid w:val="004235ED"/>
    <w:rsid w:val="00424DD7"/>
    <w:rsid w:val="00424FA6"/>
    <w:rsid w:val="00425344"/>
    <w:rsid w:val="00426D66"/>
    <w:rsid w:val="0042711F"/>
    <w:rsid w:val="00431D2D"/>
    <w:rsid w:val="00432789"/>
    <w:rsid w:val="00434126"/>
    <w:rsid w:val="00435861"/>
    <w:rsid w:val="00436E06"/>
    <w:rsid w:val="00436FF8"/>
    <w:rsid w:val="00437EB9"/>
    <w:rsid w:val="004415DC"/>
    <w:rsid w:val="00442C9B"/>
    <w:rsid w:val="00442F8B"/>
    <w:rsid w:val="004450DE"/>
    <w:rsid w:val="00446FEB"/>
    <w:rsid w:val="00447DC7"/>
    <w:rsid w:val="004507EC"/>
    <w:rsid w:val="00451AAE"/>
    <w:rsid w:val="00453B0F"/>
    <w:rsid w:val="0045497A"/>
    <w:rsid w:val="00454DD2"/>
    <w:rsid w:val="00455CC8"/>
    <w:rsid w:val="004564CA"/>
    <w:rsid w:val="00456F52"/>
    <w:rsid w:val="00457E58"/>
    <w:rsid w:val="00461B1A"/>
    <w:rsid w:val="00461FEE"/>
    <w:rsid w:val="004631DE"/>
    <w:rsid w:val="00463688"/>
    <w:rsid w:val="00463CBC"/>
    <w:rsid w:val="00464AD7"/>
    <w:rsid w:val="00465617"/>
    <w:rsid w:val="00472167"/>
    <w:rsid w:val="00473442"/>
    <w:rsid w:val="004735B4"/>
    <w:rsid w:val="00473A84"/>
    <w:rsid w:val="00476E29"/>
    <w:rsid w:val="004774E5"/>
    <w:rsid w:val="00477FFD"/>
    <w:rsid w:val="00480AF8"/>
    <w:rsid w:val="00481774"/>
    <w:rsid w:val="00481A7A"/>
    <w:rsid w:val="00483099"/>
    <w:rsid w:val="00485EE6"/>
    <w:rsid w:val="00486545"/>
    <w:rsid w:val="00487360"/>
    <w:rsid w:val="0049107A"/>
    <w:rsid w:val="00493537"/>
    <w:rsid w:val="004936F2"/>
    <w:rsid w:val="00494F73"/>
    <w:rsid w:val="0049792D"/>
    <w:rsid w:val="004A056C"/>
    <w:rsid w:val="004A0728"/>
    <w:rsid w:val="004A0839"/>
    <w:rsid w:val="004A1813"/>
    <w:rsid w:val="004A4AF5"/>
    <w:rsid w:val="004A4D16"/>
    <w:rsid w:val="004A58EA"/>
    <w:rsid w:val="004A6C6E"/>
    <w:rsid w:val="004A74CD"/>
    <w:rsid w:val="004A7AF6"/>
    <w:rsid w:val="004A7D01"/>
    <w:rsid w:val="004B090F"/>
    <w:rsid w:val="004B251B"/>
    <w:rsid w:val="004B29E4"/>
    <w:rsid w:val="004B3517"/>
    <w:rsid w:val="004B3525"/>
    <w:rsid w:val="004B3D9C"/>
    <w:rsid w:val="004B4EA0"/>
    <w:rsid w:val="004B759B"/>
    <w:rsid w:val="004B7A63"/>
    <w:rsid w:val="004C061F"/>
    <w:rsid w:val="004C363B"/>
    <w:rsid w:val="004C452E"/>
    <w:rsid w:val="004C55D3"/>
    <w:rsid w:val="004C5DCB"/>
    <w:rsid w:val="004C5E8A"/>
    <w:rsid w:val="004C634B"/>
    <w:rsid w:val="004C6B31"/>
    <w:rsid w:val="004C6F49"/>
    <w:rsid w:val="004C7103"/>
    <w:rsid w:val="004D0493"/>
    <w:rsid w:val="004D2F0A"/>
    <w:rsid w:val="004D3470"/>
    <w:rsid w:val="004D64D6"/>
    <w:rsid w:val="004D71C0"/>
    <w:rsid w:val="004D7BF2"/>
    <w:rsid w:val="004E083A"/>
    <w:rsid w:val="004E122F"/>
    <w:rsid w:val="004E1357"/>
    <w:rsid w:val="004E3683"/>
    <w:rsid w:val="004E566C"/>
    <w:rsid w:val="004F0005"/>
    <w:rsid w:val="004F08A5"/>
    <w:rsid w:val="004F19F2"/>
    <w:rsid w:val="004F4420"/>
    <w:rsid w:val="0050309A"/>
    <w:rsid w:val="00503B75"/>
    <w:rsid w:val="005044A9"/>
    <w:rsid w:val="00505E28"/>
    <w:rsid w:val="00510388"/>
    <w:rsid w:val="00510464"/>
    <w:rsid w:val="00511519"/>
    <w:rsid w:val="00511E03"/>
    <w:rsid w:val="005126F8"/>
    <w:rsid w:val="00512AB3"/>
    <w:rsid w:val="00512EB9"/>
    <w:rsid w:val="00513BBB"/>
    <w:rsid w:val="00513C62"/>
    <w:rsid w:val="00513D8D"/>
    <w:rsid w:val="0051657C"/>
    <w:rsid w:val="0051753E"/>
    <w:rsid w:val="00520E3D"/>
    <w:rsid w:val="005230D9"/>
    <w:rsid w:val="00524D3E"/>
    <w:rsid w:val="0052582D"/>
    <w:rsid w:val="005277EF"/>
    <w:rsid w:val="00531683"/>
    <w:rsid w:val="00531A06"/>
    <w:rsid w:val="00532FFE"/>
    <w:rsid w:val="00534AA3"/>
    <w:rsid w:val="00534FE1"/>
    <w:rsid w:val="005377FD"/>
    <w:rsid w:val="00540AB6"/>
    <w:rsid w:val="005415F0"/>
    <w:rsid w:val="005425FE"/>
    <w:rsid w:val="00544380"/>
    <w:rsid w:val="0054483C"/>
    <w:rsid w:val="005449C6"/>
    <w:rsid w:val="00544D30"/>
    <w:rsid w:val="00545822"/>
    <w:rsid w:val="00545D31"/>
    <w:rsid w:val="00547043"/>
    <w:rsid w:val="005472ED"/>
    <w:rsid w:val="005523C0"/>
    <w:rsid w:val="00553F1A"/>
    <w:rsid w:val="0055497F"/>
    <w:rsid w:val="00554D2C"/>
    <w:rsid w:val="005555A1"/>
    <w:rsid w:val="005564BA"/>
    <w:rsid w:val="005579C0"/>
    <w:rsid w:val="00557A53"/>
    <w:rsid w:val="0056095E"/>
    <w:rsid w:val="005615D5"/>
    <w:rsid w:val="005618A8"/>
    <w:rsid w:val="005667E5"/>
    <w:rsid w:val="00567CA2"/>
    <w:rsid w:val="00571525"/>
    <w:rsid w:val="00573025"/>
    <w:rsid w:val="005732E7"/>
    <w:rsid w:val="00574B90"/>
    <w:rsid w:val="00575617"/>
    <w:rsid w:val="00576947"/>
    <w:rsid w:val="00577582"/>
    <w:rsid w:val="00580F79"/>
    <w:rsid w:val="00583B2A"/>
    <w:rsid w:val="00583BA4"/>
    <w:rsid w:val="00586C40"/>
    <w:rsid w:val="00587B81"/>
    <w:rsid w:val="00591274"/>
    <w:rsid w:val="005926F9"/>
    <w:rsid w:val="005931A8"/>
    <w:rsid w:val="00596DE8"/>
    <w:rsid w:val="00597157"/>
    <w:rsid w:val="0059783E"/>
    <w:rsid w:val="005A2245"/>
    <w:rsid w:val="005A3B00"/>
    <w:rsid w:val="005A7A11"/>
    <w:rsid w:val="005B035A"/>
    <w:rsid w:val="005B53E0"/>
    <w:rsid w:val="005B79BC"/>
    <w:rsid w:val="005C0787"/>
    <w:rsid w:val="005C29B6"/>
    <w:rsid w:val="005C2C6A"/>
    <w:rsid w:val="005C4139"/>
    <w:rsid w:val="005C6102"/>
    <w:rsid w:val="005C6327"/>
    <w:rsid w:val="005C68F1"/>
    <w:rsid w:val="005C7E34"/>
    <w:rsid w:val="005D0DA7"/>
    <w:rsid w:val="005D178F"/>
    <w:rsid w:val="005D6050"/>
    <w:rsid w:val="005D661B"/>
    <w:rsid w:val="005E0382"/>
    <w:rsid w:val="005E0961"/>
    <w:rsid w:val="005E23F6"/>
    <w:rsid w:val="005E3C49"/>
    <w:rsid w:val="005E4B93"/>
    <w:rsid w:val="005E5EDB"/>
    <w:rsid w:val="005E669C"/>
    <w:rsid w:val="005E7C4B"/>
    <w:rsid w:val="005F3EF0"/>
    <w:rsid w:val="005F4F39"/>
    <w:rsid w:val="005F70DD"/>
    <w:rsid w:val="00602098"/>
    <w:rsid w:val="006030B1"/>
    <w:rsid w:val="00610705"/>
    <w:rsid w:val="00611445"/>
    <w:rsid w:val="00613D62"/>
    <w:rsid w:val="00613F53"/>
    <w:rsid w:val="00614820"/>
    <w:rsid w:val="00614893"/>
    <w:rsid w:val="00615F3E"/>
    <w:rsid w:val="006172B8"/>
    <w:rsid w:val="006200AF"/>
    <w:rsid w:val="0062212D"/>
    <w:rsid w:val="00622DBF"/>
    <w:rsid w:val="00625AAC"/>
    <w:rsid w:val="006308DA"/>
    <w:rsid w:val="00630BAF"/>
    <w:rsid w:val="00630E26"/>
    <w:rsid w:val="006318C5"/>
    <w:rsid w:val="00631EE1"/>
    <w:rsid w:val="006320FB"/>
    <w:rsid w:val="006326C7"/>
    <w:rsid w:val="00633B57"/>
    <w:rsid w:val="00634ADF"/>
    <w:rsid w:val="00636DDD"/>
    <w:rsid w:val="00637028"/>
    <w:rsid w:val="00637AF3"/>
    <w:rsid w:val="00641294"/>
    <w:rsid w:val="00641814"/>
    <w:rsid w:val="00642140"/>
    <w:rsid w:val="006428F1"/>
    <w:rsid w:val="006433BC"/>
    <w:rsid w:val="00645014"/>
    <w:rsid w:val="00652237"/>
    <w:rsid w:val="006525A7"/>
    <w:rsid w:val="00653D19"/>
    <w:rsid w:val="00654808"/>
    <w:rsid w:val="00655F24"/>
    <w:rsid w:val="006644BE"/>
    <w:rsid w:val="00666E65"/>
    <w:rsid w:val="006670FC"/>
    <w:rsid w:val="00667731"/>
    <w:rsid w:val="006679A2"/>
    <w:rsid w:val="00670382"/>
    <w:rsid w:val="00671FEE"/>
    <w:rsid w:val="006740BA"/>
    <w:rsid w:val="0067455C"/>
    <w:rsid w:val="0067497B"/>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289"/>
    <w:rsid w:val="00691A11"/>
    <w:rsid w:val="0069353A"/>
    <w:rsid w:val="006935FE"/>
    <w:rsid w:val="00693B1E"/>
    <w:rsid w:val="00694F3F"/>
    <w:rsid w:val="00694F5A"/>
    <w:rsid w:val="00694F99"/>
    <w:rsid w:val="0069541C"/>
    <w:rsid w:val="00696514"/>
    <w:rsid w:val="00696E6B"/>
    <w:rsid w:val="006A003E"/>
    <w:rsid w:val="006A0239"/>
    <w:rsid w:val="006A18F3"/>
    <w:rsid w:val="006A2BBE"/>
    <w:rsid w:val="006A4245"/>
    <w:rsid w:val="006A7931"/>
    <w:rsid w:val="006A7A28"/>
    <w:rsid w:val="006B166E"/>
    <w:rsid w:val="006B2AA9"/>
    <w:rsid w:val="006B2FA2"/>
    <w:rsid w:val="006B40D7"/>
    <w:rsid w:val="006B4A57"/>
    <w:rsid w:val="006B6C13"/>
    <w:rsid w:val="006B7F11"/>
    <w:rsid w:val="006C1522"/>
    <w:rsid w:val="006C1805"/>
    <w:rsid w:val="006C191B"/>
    <w:rsid w:val="006C191C"/>
    <w:rsid w:val="006C69EC"/>
    <w:rsid w:val="006C6DD2"/>
    <w:rsid w:val="006C7DC1"/>
    <w:rsid w:val="006D2947"/>
    <w:rsid w:val="006D475C"/>
    <w:rsid w:val="006D4E60"/>
    <w:rsid w:val="006E0273"/>
    <w:rsid w:val="006E157E"/>
    <w:rsid w:val="006E2380"/>
    <w:rsid w:val="006E3026"/>
    <w:rsid w:val="006E36A0"/>
    <w:rsid w:val="006E3703"/>
    <w:rsid w:val="006E3A37"/>
    <w:rsid w:val="006E4EAD"/>
    <w:rsid w:val="006E5580"/>
    <w:rsid w:val="006E6FCB"/>
    <w:rsid w:val="006F222A"/>
    <w:rsid w:val="006F3707"/>
    <w:rsid w:val="006F4906"/>
    <w:rsid w:val="006F7521"/>
    <w:rsid w:val="006F7D45"/>
    <w:rsid w:val="007001BF"/>
    <w:rsid w:val="0070098A"/>
    <w:rsid w:val="00700F43"/>
    <w:rsid w:val="00704159"/>
    <w:rsid w:val="00704725"/>
    <w:rsid w:val="00704F61"/>
    <w:rsid w:val="007057FC"/>
    <w:rsid w:val="00710B97"/>
    <w:rsid w:val="0071244D"/>
    <w:rsid w:val="0071398F"/>
    <w:rsid w:val="0071465C"/>
    <w:rsid w:val="0071769C"/>
    <w:rsid w:val="007204C5"/>
    <w:rsid w:val="00721DC1"/>
    <w:rsid w:val="00722C42"/>
    <w:rsid w:val="00724AC0"/>
    <w:rsid w:val="00725A75"/>
    <w:rsid w:val="00731C04"/>
    <w:rsid w:val="00732014"/>
    <w:rsid w:val="007334ED"/>
    <w:rsid w:val="0073387A"/>
    <w:rsid w:val="007354B9"/>
    <w:rsid w:val="00735773"/>
    <w:rsid w:val="00735BC1"/>
    <w:rsid w:val="007373E0"/>
    <w:rsid w:val="00737D64"/>
    <w:rsid w:val="00740F0B"/>
    <w:rsid w:val="00742566"/>
    <w:rsid w:val="00743C5C"/>
    <w:rsid w:val="00746B45"/>
    <w:rsid w:val="00751A74"/>
    <w:rsid w:val="0075287D"/>
    <w:rsid w:val="0075423C"/>
    <w:rsid w:val="0075491B"/>
    <w:rsid w:val="00756264"/>
    <w:rsid w:val="00757C2C"/>
    <w:rsid w:val="00761CF8"/>
    <w:rsid w:val="00764534"/>
    <w:rsid w:val="0076532D"/>
    <w:rsid w:val="00765F93"/>
    <w:rsid w:val="00770345"/>
    <w:rsid w:val="00772E93"/>
    <w:rsid w:val="00773417"/>
    <w:rsid w:val="007734AE"/>
    <w:rsid w:val="007735FF"/>
    <w:rsid w:val="007736EB"/>
    <w:rsid w:val="0077464D"/>
    <w:rsid w:val="00774B30"/>
    <w:rsid w:val="0077518F"/>
    <w:rsid w:val="00775AF9"/>
    <w:rsid w:val="007762BD"/>
    <w:rsid w:val="007817A6"/>
    <w:rsid w:val="00781E50"/>
    <w:rsid w:val="00782219"/>
    <w:rsid w:val="007829FD"/>
    <w:rsid w:val="00784E83"/>
    <w:rsid w:val="0078783A"/>
    <w:rsid w:val="007914FD"/>
    <w:rsid w:val="0079217A"/>
    <w:rsid w:val="00795ECF"/>
    <w:rsid w:val="00796051"/>
    <w:rsid w:val="00796949"/>
    <w:rsid w:val="00796CFB"/>
    <w:rsid w:val="007976E3"/>
    <w:rsid w:val="007A0472"/>
    <w:rsid w:val="007A0613"/>
    <w:rsid w:val="007A205C"/>
    <w:rsid w:val="007A313F"/>
    <w:rsid w:val="007A760C"/>
    <w:rsid w:val="007A7F8A"/>
    <w:rsid w:val="007B0924"/>
    <w:rsid w:val="007B2494"/>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6D56"/>
    <w:rsid w:val="007C7C9E"/>
    <w:rsid w:val="007D07A2"/>
    <w:rsid w:val="007D1972"/>
    <w:rsid w:val="007D4525"/>
    <w:rsid w:val="007D4A20"/>
    <w:rsid w:val="007D5189"/>
    <w:rsid w:val="007D5839"/>
    <w:rsid w:val="007D6314"/>
    <w:rsid w:val="007D6B29"/>
    <w:rsid w:val="007D7DA8"/>
    <w:rsid w:val="007E045E"/>
    <w:rsid w:val="007E0EFA"/>
    <w:rsid w:val="007E0F51"/>
    <w:rsid w:val="007E23CC"/>
    <w:rsid w:val="007E324D"/>
    <w:rsid w:val="007E487A"/>
    <w:rsid w:val="007E6D72"/>
    <w:rsid w:val="007E729F"/>
    <w:rsid w:val="007E7909"/>
    <w:rsid w:val="007F12CD"/>
    <w:rsid w:val="007F4CC1"/>
    <w:rsid w:val="008007EA"/>
    <w:rsid w:val="00804268"/>
    <w:rsid w:val="00804596"/>
    <w:rsid w:val="00804724"/>
    <w:rsid w:val="008059C3"/>
    <w:rsid w:val="00805E92"/>
    <w:rsid w:val="0080689E"/>
    <w:rsid w:val="00806DBB"/>
    <w:rsid w:val="00807571"/>
    <w:rsid w:val="00807DDF"/>
    <w:rsid w:val="00811532"/>
    <w:rsid w:val="00811DA0"/>
    <w:rsid w:val="008147B1"/>
    <w:rsid w:val="00815487"/>
    <w:rsid w:val="00815ED7"/>
    <w:rsid w:val="00817BB4"/>
    <w:rsid w:val="00820A72"/>
    <w:rsid w:val="00821752"/>
    <w:rsid w:val="00821E60"/>
    <w:rsid w:val="00823238"/>
    <w:rsid w:val="0082326B"/>
    <w:rsid w:val="00823C7F"/>
    <w:rsid w:val="00824A2F"/>
    <w:rsid w:val="00827366"/>
    <w:rsid w:val="008277F3"/>
    <w:rsid w:val="00830B5B"/>
    <w:rsid w:val="0083123D"/>
    <w:rsid w:val="00833AF0"/>
    <w:rsid w:val="0083723C"/>
    <w:rsid w:val="00841B5E"/>
    <w:rsid w:val="008422D8"/>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FCC"/>
    <w:rsid w:val="00863A7E"/>
    <w:rsid w:val="00864DAD"/>
    <w:rsid w:val="008659E3"/>
    <w:rsid w:val="00865CB9"/>
    <w:rsid w:val="00866B54"/>
    <w:rsid w:val="00870761"/>
    <w:rsid w:val="00870DBC"/>
    <w:rsid w:val="0087180E"/>
    <w:rsid w:val="00871CD5"/>
    <w:rsid w:val="00872D0E"/>
    <w:rsid w:val="00881041"/>
    <w:rsid w:val="00881D9E"/>
    <w:rsid w:val="00882374"/>
    <w:rsid w:val="00882A00"/>
    <w:rsid w:val="00883298"/>
    <w:rsid w:val="00883EDD"/>
    <w:rsid w:val="008844FF"/>
    <w:rsid w:val="008846CE"/>
    <w:rsid w:val="00884D4B"/>
    <w:rsid w:val="00886C0D"/>
    <w:rsid w:val="00890A0E"/>
    <w:rsid w:val="008910A6"/>
    <w:rsid w:val="0089178F"/>
    <w:rsid w:val="008935D7"/>
    <w:rsid w:val="00893A89"/>
    <w:rsid w:val="00895C45"/>
    <w:rsid w:val="00896281"/>
    <w:rsid w:val="008A132D"/>
    <w:rsid w:val="008A29A9"/>
    <w:rsid w:val="008A3834"/>
    <w:rsid w:val="008A43F8"/>
    <w:rsid w:val="008A52A6"/>
    <w:rsid w:val="008A5670"/>
    <w:rsid w:val="008A6847"/>
    <w:rsid w:val="008A7869"/>
    <w:rsid w:val="008B14E3"/>
    <w:rsid w:val="008B32F4"/>
    <w:rsid w:val="008B4620"/>
    <w:rsid w:val="008B477D"/>
    <w:rsid w:val="008B544E"/>
    <w:rsid w:val="008B5C71"/>
    <w:rsid w:val="008B70CF"/>
    <w:rsid w:val="008C2DCA"/>
    <w:rsid w:val="008C3630"/>
    <w:rsid w:val="008C449D"/>
    <w:rsid w:val="008D0C53"/>
    <w:rsid w:val="008D0F26"/>
    <w:rsid w:val="008D23B8"/>
    <w:rsid w:val="008D27AF"/>
    <w:rsid w:val="008D3FAF"/>
    <w:rsid w:val="008D7620"/>
    <w:rsid w:val="008D7758"/>
    <w:rsid w:val="008D77F2"/>
    <w:rsid w:val="008D7BE8"/>
    <w:rsid w:val="008E0E3E"/>
    <w:rsid w:val="008E1FC0"/>
    <w:rsid w:val="008E4B0C"/>
    <w:rsid w:val="008E537D"/>
    <w:rsid w:val="008E5D38"/>
    <w:rsid w:val="008E61D6"/>
    <w:rsid w:val="008E6A0E"/>
    <w:rsid w:val="008F03AF"/>
    <w:rsid w:val="008F1C68"/>
    <w:rsid w:val="008F2050"/>
    <w:rsid w:val="008F22B5"/>
    <w:rsid w:val="008F248D"/>
    <w:rsid w:val="008F3F4D"/>
    <w:rsid w:val="008F5E52"/>
    <w:rsid w:val="008F69F6"/>
    <w:rsid w:val="008F7669"/>
    <w:rsid w:val="00900859"/>
    <w:rsid w:val="0090107D"/>
    <w:rsid w:val="00902985"/>
    <w:rsid w:val="00902CE7"/>
    <w:rsid w:val="00902D27"/>
    <w:rsid w:val="00903D47"/>
    <w:rsid w:val="00904FB7"/>
    <w:rsid w:val="00905BF9"/>
    <w:rsid w:val="00905D17"/>
    <w:rsid w:val="00906777"/>
    <w:rsid w:val="00910699"/>
    <w:rsid w:val="00910BF2"/>
    <w:rsid w:val="00913D3F"/>
    <w:rsid w:val="0091598F"/>
    <w:rsid w:val="009165C1"/>
    <w:rsid w:val="00916CF9"/>
    <w:rsid w:val="009178ED"/>
    <w:rsid w:val="00920E0D"/>
    <w:rsid w:val="0092137D"/>
    <w:rsid w:val="00922068"/>
    <w:rsid w:val="00923BD6"/>
    <w:rsid w:val="00925FA0"/>
    <w:rsid w:val="00926FB3"/>
    <w:rsid w:val="00927FA5"/>
    <w:rsid w:val="00930810"/>
    <w:rsid w:val="0093147D"/>
    <w:rsid w:val="00932347"/>
    <w:rsid w:val="00932697"/>
    <w:rsid w:val="009341A5"/>
    <w:rsid w:val="009345F1"/>
    <w:rsid w:val="0093470B"/>
    <w:rsid w:val="009357DC"/>
    <w:rsid w:val="00936D92"/>
    <w:rsid w:val="00937717"/>
    <w:rsid w:val="0093796A"/>
    <w:rsid w:val="00941FC4"/>
    <w:rsid w:val="00943325"/>
    <w:rsid w:val="0094409A"/>
    <w:rsid w:val="00945538"/>
    <w:rsid w:val="009506CE"/>
    <w:rsid w:val="00950951"/>
    <w:rsid w:val="009522EA"/>
    <w:rsid w:val="009526C6"/>
    <w:rsid w:val="00956019"/>
    <w:rsid w:val="009576CC"/>
    <w:rsid w:val="00962267"/>
    <w:rsid w:val="00963693"/>
    <w:rsid w:val="00963F34"/>
    <w:rsid w:val="00963FAC"/>
    <w:rsid w:val="00965211"/>
    <w:rsid w:val="0096604D"/>
    <w:rsid w:val="00966E78"/>
    <w:rsid w:val="00967420"/>
    <w:rsid w:val="0096759D"/>
    <w:rsid w:val="00967628"/>
    <w:rsid w:val="00970B61"/>
    <w:rsid w:val="00970FF0"/>
    <w:rsid w:val="00971B03"/>
    <w:rsid w:val="00973AF7"/>
    <w:rsid w:val="0097616A"/>
    <w:rsid w:val="00976BA5"/>
    <w:rsid w:val="00977370"/>
    <w:rsid w:val="00980E67"/>
    <w:rsid w:val="009812E0"/>
    <w:rsid w:val="009816D2"/>
    <w:rsid w:val="0098270E"/>
    <w:rsid w:val="00983DB5"/>
    <w:rsid w:val="009852E8"/>
    <w:rsid w:val="00985862"/>
    <w:rsid w:val="009858D1"/>
    <w:rsid w:val="00987EF8"/>
    <w:rsid w:val="0099213A"/>
    <w:rsid w:val="0099220B"/>
    <w:rsid w:val="00994216"/>
    <w:rsid w:val="00995C4E"/>
    <w:rsid w:val="00996E09"/>
    <w:rsid w:val="009A2DE4"/>
    <w:rsid w:val="009A7E64"/>
    <w:rsid w:val="009B1550"/>
    <w:rsid w:val="009B22A2"/>
    <w:rsid w:val="009B3A8C"/>
    <w:rsid w:val="009B3AD8"/>
    <w:rsid w:val="009B447C"/>
    <w:rsid w:val="009B49F5"/>
    <w:rsid w:val="009B6DB4"/>
    <w:rsid w:val="009B712A"/>
    <w:rsid w:val="009C2E13"/>
    <w:rsid w:val="009C2FC3"/>
    <w:rsid w:val="009C4452"/>
    <w:rsid w:val="009C4CF4"/>
    <w:rsid w:val="009C55F0"/>
    <w:rsid w:val="009C5F32"/>
    <w:rsid w:val="009C7B69"/>
    <w:rsid w:val="009C7ED8"/>
    <w:rsid w:val="009D13A5"/>
    <w:rsid w:val="009D1C16"/>
    <w:rsid w:val="009D277B"/>
    <w:rsid w:val="009D6983"/>
    <w:rsid w:val="009D7A7F"/>
    <w:rsid w:val="009D7D7A"/>
    <w:rsid w:val="009E0D5B"/>
    <w:rsid w:val="009E0FB8"/>
    <w:rsid w:val="009E106B"/>
    <w:rsid w:val="009E1318"/>
    <w:rsid w:val="009E1C35"/>
    <w:rsid w:val="009E3042"/>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3F"/>
    <w:rsid w:val="00A14C73"/>
    <w:rsid w:val="00A202D7"/>
    <w:rsid w:val="00A22165"/>
    <w:rsid w:val="00A2350D"/>
    <w:rsid w:val="00A23CE7"/>
    <w:rsid w:val="00A25F69"/>
    <w:rsid w:val="00A32020"/>
    <w:rsid w:val="00A33792"/>
    <w:rsid w:val="00A33CE6"/>
    <w:rsid w:val="00A33FBA"/>
    <w:rsid w:val="00A3572C"/>
    <w:rsid w:val="00A35AD0"/>
    <w:rsid w:val="00A370A6"/>
    <w:rsid w:val="00A37195"/>
    <w:rsid w:val="00A37F3C"/>
    <w:rsid w:val="00A404F3"/>
    <w:rsid w:val="00A41CB3"/>
    <w:rsid w:val="00A41CC7"/>
    <w:rsid w:val="00A429A4"/>
    <w:rsid w:val="00A43169"/>
    <w:rsid w:val="00A440DE"/>
    <w:rsid w:val="00A44B42"/>
    <w:rsid w:val="00A45556"/>
    <w:rsid w:val="00A50EAE"/>
    <w:rsid w:val="00A5122A"/>
    <w:rsid w:val="00A51E4A"/>
    <w:rsid w:val="00A53364"/>
    <w:rsid w:val="00A56339"/>
    <w:rsid w:val="00A564C2"/>
    <w:rsid w:val="00A57957"/>
    <w:rsid w:val="00A60816"/>
    <w:rsid w:val="00A6295F"/>
    <w:rsid w:val="00A63B72"/>
    <w:rsid w:val="00A64F4E"/>
    <w:rsid w:val="00A66B78"/>
    <w:rsid w:val="00A7144B"/>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973BD"/>
    <w:rsid w:val="00AA036F"/>
    <w:rsid w:val="00AA1020"/>
    <w:rsid w:val="00AA3354"/>
    <w:rsid w:val="00AA50DC"/>
    <w:rsid w:val="00AA644C"/>
    <w:rsid w:val="00AB0EB2"/>
    <w:rsid w:val="00AB1EF2"/>
    <w:rsid w:val="00AB219D"/>
    <w:rsid w:val="00AB22AD"/>
    <w:rsid w:val="00AB2C22"/>
    <w:rsid w:val="00AB5236"/>
    <w:rsid w:val="00AB612D"/>
    <w:rsid w:val="00AB6275"/>
    <w:rsid w:val="00AB7C22"/>
    <w:rsid w:val="00AB7ED8"/>
    <w:rsid w:val="00AB7FC4"/>
    <w:rsid w:val="00AC0606"/>
    <w:rsid w:val="00AC0A55"/>
    <w:rsid w:val="00AC184F"/>
    <w:rsid w:val="00AC20AC"/>
    <w:rsid w:val="00AC3828"/>
    <w:rsid w:val="00AD34D1"/>
    <w:rsid w:val="00AD442F"/>
    <w:rsid w:val="00AD5B95"/>
    <w:rsid w:val="00AD6974"/>
    <w:rsid w:val="00AD716A"/>
    <w:rsid w:val="00AE4295"/>
    <w:rsid w:val="00AE69FF"/>
    <w:rsid w:val="00AE6F78"/>
    <w:rsid w:val="00AF091B"/>
    <w:rsid w:val="00AF2ACF"/>
    <w:rsid w:val="00AF5164"/>
    <w:rsid w:val="00B025D3"/>
    <w:rsid w:val="00B03C3F"/>
    <w:rsid w:val="00B0437A"/>
    <w:rsid w:val="00B04A2D"/>
    <w:rsid w:val="00B068B2"/>
    <w:rsid w:val="00B070F1"/>
    <w:rsid w:val="00B07AE9"/>
    <w:rsid w:val="00B125A7"/>
    <w:rsid w:val="00B13598"/>
    <w:rsid w:val="00B13BC8"/>
    <w:rsid w:val="00B14991"/>
    <w:rsid w:val="00B15ECC"/>
    <w:rsid w:val="00B17227"/>
    <w:rsid w:val="00B249CC"/>
    <w:rsid w:val="00B25C3A"/>
    <w:rsid w:val="00B26D99"/>
    <w:rsid w:val="00B27D87"/>
    <w:rsid w:val="00B311F5"/>
    <w:rsid w:val="00B31675"/>
    <w:rsid w:val="00B31FC0"/>
    <w:rsid w:val="00B32864"/>
    <w:rsid w:val="00B32ECD"/>
    <w:rsid w:val="00B33FBE"/>
    <w:rsid w:val="00B36518"/>
    <w:rsid w:val="00B37C58"/>
    <w:rsid w:val="00B407C0"/>
    <w:rsid w:val="00B40EC0"/>
    <w:rsid w:val="00B4381D"/>
    <w:rsid w:val="00B453A1"/>
    <w:rsid w:val="00B45643"/>
    <w:rsid w:val="00B46000"/>
    <w:rsid w:val="00B46152"/>
    <w:rsid w:val="00B46801"/>
    <w:rsid w:val="00B47603"/>
    <w:rsid w:val="00B51A8F"/>
    <w:rsid w:val="00B51C68"/>
    <w:rsid w:val="00B529E6"/>
    <w:rsid w:val="00B57D45"/>
    <w:rsid w:val="00B613F8"/>
    <w:rsid w:val="00B62617"/>
    <w:rsid w:val="00B63697"/>
    <w:rsid w:val="00B63A95"/>
    <w:rsid w:val="00B63DD4"/>
    <w:rsid w:val="00B7163D"/>
    <w:rsid w:val="00B7182B"/>
    <w:rsid w:val="00B72CB2"/>
    <w:rsid w:val="00B76A14"/>
    <w:rsid w:val="00B801FC"/>
    <w:rsid w:val="00B805D0"/>
    <w:rsid w:val="00B84AA9"/>
    <w:rsid w:val="00B87839"/>
    <w:rsid w:val="00B901A2"/>
    <w:rsid w:val="00B93012"/>
    <w:rsid w:val="00BA16C1"/>
    <w:rsid w:val="00BA2EE8"/>
    <w:rsid w:val="00BA3F01"/>
    <w:rsid w:val="00BA565E"/>
    <w:rsid w:val="00BA6175"/>
    <w:rsid w:val="00BA7E90"/>
    <w:rsid w:val="00BB0B6E"/>
    <w:rsid w:val="00BB0DB0"/>
    <w:rsid w:val="00BB11DC"/>
    <w:rsid w:val="00BB190D"/>
    <w:rsid w:val="00BB2438"/>
    <w:rsid w:val="00BB2ABF"/>
    <w:rsid w:val="00BB2ECB"/>
    <w:rsid w:val="00BB3AE5"/>
    <w:rsid w:val="00BB5009"/>
    <w:rsid w:val="00BB51A3"/>
    <w:rsid w:val="00BB5879"/>
    <w:rsid w:val="00BB59A3"/>
    <w:rsid w:val="00BB5FE0"/>
    <w:rsid w:val="00BC014A"/>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750C"/>
    <w:rsid w:val="00BE7C9C"/>
    <w:rsid w:val="00BF4121"/>
    <w:rsid w:val="00BF617E"/>
    <w:rsid w:val="00BF634B"/>
    <w:rsid w:val="00BF65CF"/>
    <w:rsid w:val="00BF7481"/>
    <w:rsid w:val="00C0081D"/>
    <w:rsid w:val="00C0218E"/>
    <w:rsid w:val="00C05051"/>
    <w:rsid w:val="00C05212"/>
    <w:rsid w:val="00C05C89"/>
    <w:rsid w:val="00C068A8"/>
    <w:rsid w:val="00C0718D"/>
    <w:rsid w:val="00C11CF5"/>
    <w:rsid w:val="00C12180"/>
    <w:rsid w:val="00C131F3"/>
    <w:rsid w:val="00C138B9"/>
    <w:rsid w:val="00C14DAF"/>
    <w:rsid w:val="00C152E3"/>
    <w:rsid w:val="00C153E6"/>
    <w:rsid w:val="00C1562C"/>
    <w:rsid w:val="00C21004"/>
    <w:rsid w:val="00C21758"/>
    <w:rsid w:val="00C22F62"/>
    <w:rsid w:val="00C232A5"/>
    <w:rsid w:val="00C23642"/>
    <w:rsid w:val="00C24DBD"/>
    <w:rsid w:val="00C26BA4"/>
    <w:rsid w:val="00C27037"/>
    <w:rsid w:val="00C27D2A"/>
    <w:rsid w:val="00C27D34"/>
    <w:rsid w:val="00C30D80"/>
    <w:rsid w:val="00C362D3"/>
    <w:rsid w:val="00C373F5"/>
    <w:rsid w:val="00C3789F"/>
    <w:rsid w:val="00C4034B"/>
    <w:rsid w:val="00C43C9D"/>
    <w:rsid w:val="00C4438C"/>
    <w:rsid w:val="00C45C3A"/>
    <w:rsid w:val="00C50D7D"/>
    <w:rsid w:val="00C5189D"/>
    <w:rsid w:val="00C520B5"/>
    <w:rsid w:val="00C5344A"/>
    <w:rsid w:val="00C53EA9"/>
    <w:rsid w:val="00C5581D"/>
    <w:rsid w:val="00C573AE"/>
    <w:rsid w:val="00C5756A"/>
    <w:rsid w:val="00C57650"/>
    <w:rsid w:val="00C576D3"/>
    <w:rsid w:val="00C60287"/>
    <w:rsid w:val="00C6039B"/>
    <w:rsid w:val="00C60C76"/>
    <w:rsid w:val="00C66959"/>
    <w:rsid w:val="00C66B7A"/>
    <w:rsid w:val="00C67736"/>
    <w:rsid w:val="00C700D6"/>
    <w:rsid w:val="00C746F7"/>
    <w:rsid w:val="00C76AEF"/>
    <w:rsid w:val="00C76C83"/>
    <w:rsid w:val="00C76E5E"/>
    <w:rsid w:val="00C779DC"/>
    <w:rsid w:val="00C852C7"/>
    <w:rsid w:val="00C8597B"/>
    <w:rsid w:val="00C869D1"/>
    <w:rsid w:val="00C87608"/>
    <w:rsid w:val="00C87933"/>
    <w:rsid w:val="00C91546"/>
    <w:rsid w:val="00C918E8"/>
    <w:rsid w:val="00C921EC"/>
    <w:rsid w:val="00C93C3F"/>
    <w:rsid w:val="00C93CF4"/>
    <w:rsid w:val="00C94130"/>
    <w:rsid w:val="00C952E0"/>
    <w:rsid w:val="00C960D0"/>
    <w:rsid w:val="00CA02B5"/>
    <w:rsid w:val="00CA02E4"/>
    <w:rsid w:val="00CA159F"/>
    <w:rsid w:val="00CA219F"/>
    <w:rsid w:val="00CA26D2"/>
    <w:rsid w:val="00CA5204"/>
    <w:rsid w:val="00CA5970"/>
    <w:rsid w:val="00CB35CB"/>
    <w:rsid w:val="00CB4F2B"/>
    <w:rsid w:val="00CC08F3"/>
    <w:rsid w:val="00CC0F39"/>
    <w:rsid w:val="00CC106F"/>
    <w:rsid w:val="00CC3731"/>
    <w:rsid w:val="00CC5078"/>
    <w:rsid w:val="00CC5732"/>
    <w:rsid w:val="00CC625D"/>
    <w:rsid w:val="00CC6EBA"/>
    <w:rsid w:val="00CD32D2"/>
    <w:rsid w:val="00CD371D"/>
    <w:rsid w:val="00CD6A25"/>
    <w:rsid w:val="00CD6CB9"/>
    <w:rsid w:val="00CE312A"/>
    <w:rsid w:val="00CE5941"/>
    <w:rsid w:val="00CF0086"/>
    <w:rsid w:val="00CF1BC7"/>
    <w:rsid w:val="00CF22F7"/>
    <w:rsid w:val="00CF2543"/>
    <w:rsid w:val="00CF2FC4"/>
    <w:rsid w:val="00CF3347"/>
    <w:rsid w:val="00CF3B30"/>
    <w:rsid w:val="00CF3B74"/>
    <w:rsid w:val="00CF6850"/>
    <w:rsid w:val="00CF735B"/>
    <w:rsid w:val="00D01784"/>
    <w:rsid w:val="00D02787"/>
    <w:rsid w:val="00D02873"/>
    <w:rsid w:val="00D029D3"/>
    <w:rsid w:val="00D04574"/>
    <w:rsid w:val="00D0499A"/>
    <w:rsid w:val="00D057C3"/>
    <w:rsid w:val="00D05866"/>
    <w:rsid w:val="00D07297"/>
    <w:rsid w:val="00D10DE3"/>
    <w:rsid w:val="00D12A27"/>
    <w:rsid w:val="00D1390E"/>
    <w:rsid w:val="00D13D9E"/>
    <w:rsid w:val="00D14502"/>
    <w:rsid w:val="00D1582D"/>
    <w:rsid w:val="00D16B31"/>
    <w:rsid w:val="00D17A58"/>
    <w:rsid w:val="00D20C72"/>
    <w:rsid w:val="00D21F87"/>
    <w:rsid w:val="00D22E2C"/>
    <w:rsid w:val="00D2365E"/>
    <w:rsid w:val="00D27A40"/>
    <w:rsid w:val="00D300D1"/>
    <w:rsid w:val="00D342D6"/>
    <w:rsid w:val="00D36470"/>
    <w:rsid w:val="00D4372E"/>
    <w:rsid w:val="00D43904"/>
    <w:rsid w:val="00D43E6D"/>
    <w:rsid w:val="00D43F9B"/>
    <w:rsid w:val="00D5151F"/>
    <w:rsid w:val="00D52143"/>
    <w:rsid w:val="00D52242"/>
    <w:rsid w:val="00D54AA9"/>
    <w:rsid w:val="00D56EE5"/>
    <w:rsid w:val="00D57C82"/>
    <w:rsid w:val="00D57C97"/>
    <w:rsid w:val="00D60374"/>
    <w:rsid w:val="00D60408"/>
    <w:rsid w:val="00D612D7"/>
    <w:rsid w:val="00D63298"/>
    <w:rsid w:val="00D635A5"/>
    <w:rsid w:val="00D63C3C"/>
    <w:rsid w:val="00D642DE"/>
    <w:rsid w:val="00D659F9"/>
    <w:rsid w:val="00D66645"/>
    <w:rsid w:val="00D71819"/>
    <w:rsid w:val="00D74BC6"/>
    <w:rsid w:val="00D7770B"/>
    <w:rsid w:val="00D80071"/>
    <w:rsid w:val="00D801B3"/>
    <w:rsid w:val="00D82587"/>
    <w:rsid w:val="00D87FC8"/>
    <w:rsid w:val="00D905F5"/>
    <w:rsid w:val="00D9122D"/>
    <w:rsid w:val="00D91274"/>
    <w:rsid w:val="00D91DAE"/>
    <w:rsid w:val="00D938D6"/>
    <w:rsid w:val="00D93E78"/>
    <w:rsid w:val="00D93EF9"/>
    <w:rsid w:val="00D9649B"/>
    <w:rsid w:val="00DA2327"/>
    <w:rsid w:val="00DB2F3D"/>
    <w:rsid w:val="00DB303A"/>
    <w:rsid w:val="00DB31BB"/>
    <w:rsid w:val="00DB5944"/>
    <w:rsid w:val="00DC06DE"/>
    <w:rsid w:val="00DC31C6"/>
    <w:rsid w:val="00DC4283"/>
    <w:rsid w:val="00DD223E"/>
    <w:rsid w:val="00DD4C8F"/>
    <w:rsid w:val="00DE1400"/>
    <w:rsid w:val="00DE4E82"/>
    <w:rsid w:val="00DE6666"/>
    <w:rsid w:val="00DE70D9"/>
    <w:rsid w:val="00DF28A8"/>
    <w:rsid w:val="00DF2FDB"/>
    <w:rsid w:val="00DF352A"/>
    <w:rsid w:val="00DF5B51"/>
    <w:rsid w:val="00DF74F6"/>
    <w:rsid w:val="00DF7CD5"/>
    <w:rsid w:val="00E01C1A"/>
    <w:rsid w:val="00E01D44"/>
    <w:rsid w:val="00E045E8"/>
    <w:rsid w:val="00E065D3"/>
    <w:rsid w:val="00E06E0A"/>
    <w:rsid w:val="00E07F27"/>
    <w:rsid w:val="00E127BC"/>
    <w:rsid w:val="00E14201"/>
    <w:rsid w:val="00E147BD"/>
    <w:rsid w:val="00E15835"/>
    <w:rsid w:val="00E161EA"/>
    <w:rsid w:val="00E1626C"/>
    <w:rsid w:val="00E17B7A"/>
    <w:rsid w:val="00E2164B"/>
    <w:rsid w:val="00E2349F"/>
    <w:rsid w:val="00E24AA4"/>
    <w:rsid w:val="00E2545F"/>
    <w:rsid w:val="00E25AA9"/>
    <w:rsid w:val="00E275E0"/>
    <w:rsid w:val="00E27E34"/>
    <w:rsid w:val="00E31024"/>
    <w:rsid w:val="00E318A0"/>
    <w:rsid w:val="00E33587"/>
    <w:rsid w:val="00E34432"/>
    <w:rsid w:val="00E347E4"/>
    <w:rsid w:val="00E34CEF"/>
    <w:rsid w:val="00E36679"/>
    <w:rsid w:val="00E36C93"/>
    <w:rsid w:val="00E37009"/>
    <w:rsid w:val="00E41EE1"/>
    <w:rsid w:val="00E441F3"/>
    <w:rsid w:val="00E444F7"/>
    <w:rsid w:val="00E47491"/>
    <w:rsid w:val="00E47B6D"/>
    <w:rsid w:val="00E5241F"/>
    <w:rsid w:val="00E52C88"/>
    <w:rsid w:val="00E54F90"/>
    <w:rsid w:val="00E55ECA"/>
    <w:rsid w:val="00E57E8F"/>
    <w:rsid w:val="00E610B7"/>
    <w:rsid w:val="00E616FE"/>
    <w:rsid w:val="00E61E09"/>
    <w:rsid w:val="00E64A32"/>
    <w:rsid w:val="00E701C6"/>
    <w:rsid w:val="00E70722"/>
    <w:rsid w:val="00E710E7"/>
    <w:rsid w:val="00E719CB"/>
    <w:rsid w:val="00E73256"/>
    <w:rsid w:val="00E7508F"/>
    <w:rsid w:val="00E761B7"/>
    <w:rsid w:val="00E76E7B"/>
    <w:rsid w:val="00E775F3"/>
    <w:rsid w:val="00E77E16"/>
    <w:rsid w:val="00E77E7B"/>
    <w:rsid w:val="00E8010F"/>
    <w:rsid w:val="00E86825"/>
    <w:rsid w:val="00E86879"/>
    <w:rsid w:val="00E90B02"/>
    <w:rsid w:val="00E90C1B"/>
    <w:rsid w:val="00E92067"/>
    <w:rsid w:val="00E93C23"/>
    <w:rsid w:val="00E94836"/>
    <w:rsid w:val="00E95E48"/>
    <w:rsid w:val="00E9642E"/>
    <w:rsid w:val="00EA06D2"/>
    <w:rsid w:val="00EA1A88"/>
    <w:rsid w:val="00EA1DE7"/>
    <w:rsid w:val="00EA22A5"/>
    <w:rsid w:val="00EA2A6E"/>
    <w:rsid w:val="00EA4421"/>
    <w:rsid w:val="00EA5277"/>
    <w:rsid w:val="00EA5A52"/>
    <w:rsid w:val="00EA5E6F"/>
    <w:rsid w:val="00EA6766"/>
    <w:rsid w:val="00EB4085"/>
    <w:rsid w:val="00EB4944"/>
    <w:rsid w:val="00EB5536"/>
    <w:rsid w:val="00EB5CC3"/>
    <w:rsid w:val="00EB6AFA"/>
    <w:rsid w:val="00EB6D5F"/>
    <w:rsid w:val="00EB6EF3"/>
    <w:rsid w:val="00EC1101"/>
    <w:rsid w:val="00EC1908"/>
    <w:rsid w:val="00EC224C"/>
    <w:rsid w:val="00EC30A2"/>
    <w:rsid w:val="00EC30FC"/>
    <w:rsid w:val="00EC3131"/>
    <w:rsid w:val="00EC348D"/>
    <w:rsid w:val="00EC56F9"/>
    <w:rsid w:val="00EC601A"/>
    <w:rsid w:val="00ED1BE6"/>
    <w:rsid w:val="00ED3C86"/>
    <w:rsid w:val="00ED46B0"/>
    <w:rsid w:val="00ED7BBC"/>
    <w:rsid w:val="00EE0035"/>
    <w:rsid w:val="00EE27AC"/>
    <w:rsid w:val="00EE43D4"/>
    <w:rsid w:val="00EF2A87"/>
    <w:rsid w:val="00EF2CED"/>
    <w:rsid w:val="00EF31ED"/>
    <w:rsid w:val="00F013B9"/>
    <w:rsid w:val="00F01FA3"/>
    <w:rsid w:val="00F0399D"/>
    <w:rsid w:val="00F13E96"/>
    <w:rsid w:val="00F163FF"/>
    <w:rsid w:val="00F16A2E"/>
    <w:rsid w:val="00F16D70"/>
    <w:rsid w:val="00F17FC3"/>
    <w:rsid w:val="00F245F7"/>
    <w:rsid w:val="00F248FD"/>
    <w:rsid w:val="00F2534C"/>
    <w:rsid w:val="00F25CCF"/>
    <w:rsid w:val="00F262CC"/>
    <w:rsid w:val="00F3193D"/>
    <w:rsid w:val="00F32600"/>
    <w:rsid w:val="00F32F21"/>
    <w:rsid w:val="00F379F6"/>
    <w:rsid w:val="00F41FDE"/>
    <w:rsid w:val="00F42845"/>
    <w:rsid w:val="00F42E92"/>
    <w:rsid w:val="00F43926"/>
    <w:rsid w:val="00F43EAF"/>
    <w:rsid w:val="00F46A44"/>
    <w:rsid w:val="00F47E07"/>
    <w:rsid w:val="00F5098C"/>
    <w:rsid w:val="00F52244"/>
    <w:rsid w:val="00F5399B"/>
    <w:rsid w:val="00F5592E"/>
    <w:rsid w:val="00F570A6"/>
    <w:rsid w:val="00F63380"/>
    <w:rsid w:val="00F636A2"/>
    <w:rsid w:val="00F64009"/>
    <w:rsid w:val="00F6434C"/>
    <w:rsid w:val="00F647D0"/>
    <w:rsid w:val="00F65F8D"/>
    <w:rsid w:val="00F661F5"/>
    <w:rsid w:val="00F708C3"/>
    <w:rsid w:val="00F72576"/>
    <w:rsid w:val="00F7333A"/>
    <w:rsid w:val="00F73796"/>
    <w:rsid w:val="00F758E9"/>
    <w:rsid w:val="00F75F2D"/>
    <w:rsid w:val="00F7673F"/>
    <w:rsid w:val="00F76876"/>
    <w:rsid w:val="00F7752F"/>
    <w:rsid w:val="00F81898"/>
    <w:rsid w:val="00F81EF1"/>
    <w:rsid w:val="00F8384F"/>
    <w:rsid w:val="00F854A5"/>
    <w:rsid w:val="00F85EA8"/>
    <w:rsid w:val="00F8644C"/>
    <w:rsid w:val="00F86892"/>
    <w:rsid w:val="00F87213"/>
    <w:rsid w:val="00F87AC8"/>
    <w:rsid w:val="00F94F82"/>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C1218"/>
    <w:rsid w:val="00FC29B2"/>
    <w:rsid w:val="00FC2F36"/>
    <w:rsid w:val="00FC3DB4"/>
    <w:rsid w:val="00FC5B0B"/>
    <w:rsid w:val="00FC6ADB"/>
    <w:rsid w:val="00FD1AC6"/>
    <w:rsid w:val="00FD1C4B"/>
    <w:rsid w:val="00FD1F29"/>
    <w:rsid w:val="00FD2E83"/>
    <w:rsid w:val="00FD2F04"/>
    <w:rsid w:val="00FD4ACE"/>
    <w:rsid w:val="00FD675E"/>
    <w:rsid w:val="00FD799B"/>
    <w:rsid w:val="00FE0BE9"/>
    <w:rsid w:val="00FE141D"/>
    <w:rsid w:val="00FE33D3"/>
    <w:rsid w:val="00FE5708"/>
    <w:rsid w:val="00FE6760"/>
    <w:rsid w:val="00FE6ACA"/>
    <w:rsid w:val="00FE6E13"/>
    <w:rsid w:val="00FF1DD4"/>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2E20091"/>
  <w15:docId w15:val="{8EA528B2-2F09-49D4-9C82-CC293E7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CF22F7"/>
    <w:rPr>
      <w:b/>
      <w:bCs/>
      <w:color w:val="98002E"/>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pertussis-the-green-book-chapter-24" TargetMode="External"/><Relationship Id="rId26" Type="http://schemas.openxmlformats.org/officeDocument/2006/relationships/hyperlink" Target="https://www.gov.uk/government/publications/immunisation-procedures-the-green-book-chapter-4" TargetMode="External"/><Relationship Id="rId39" Type="http://schemas.openxmlformats.org/officeDocument/2006/relationships/hyperlink" Target="https://www.gov.uk/government/publications/tetanus-the-green-book-chapter-30" TargetMode="External"/><Relationship Id="rId21" Type="http://schemas.openxmlformats.org/officeDocument/2006/relationships/hyperlink" Target="https://www.gov.uk/government/publications/tetanus-the-green-book-chapter-30" TargetMode="External"/><Relationship Id="rId34" Type="http://schemas.openxmlformats.org/officeDocument/2006/relationships/hyperlink" Target="https://www.gov.uk/government/publications/guidance-on-the-safe-management-of-healthcare-waste" TargetMode="External"/><Relationship Id="rId42" Type="http://schemas.openxmlformats.org/officeDocument/2006/relationships/hyperlink" Target="https://www.gov.uk/government/publications/haemophilus-influenzae-type-hib-the-green-book-chapter-16" TargetMode="External"/><Relationship Id="rId47" Type="http://schemas.openxmlformats.org/officeDocument/2006/relationships/hyperlink" Target="http://www.medicines.org.uk/emc/medicine/28678" TargetMode="External"/><Relationship Id="rId50" Type="http://schemas.openxmlformats.org/officeDocument/2006/relationships/hyperlink" Target="https://www.gov.uk/government/publications/hexavalent-combination-vaccine-programme-guidance" TargetMode="External"/><Relationship Id="rId55" Type="http://schemas.openxmlformats.org/officeDocument/2006/relationships/hyperlink" Target="https://www.gov.uk/government/publications/immunisation-training-national-minimum-standard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www.medic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overnment/publications/hexavalent-combination-vaccine-programme-guidance" TargetMode="External"/><Relationship Id="rId32" Type="http://schemas.openxmlformats.org/officeDocument/2006/relationships/hyperlink" Target="https://www.gov.uk/government/publications/protocol-for-ordering-storing-and-handling-vaccines" TargetMode="External"/><Relationship Id="rId37" Type="http://schemas.openxmlformats.org/officeDocument/2006/relationships/hyperlink" Target="https://www.gov.uk/government/publications/pre-school-vaccinations-a-guide-to-vaccinations-from-2-to-5-years" TargetMode="External"/><Relationship Id="rId40" Type="http://schemas.openxmlformats.org/officeDocument/2006/relationships/hyperlink" Target="https://www.gov.uk/government/publications/tetanus-the-green-book-chapter-30" TargetMode="External"/><Relationship Id="rId45" Type="http://schemas.openxmlformats.org/officeDocument/2006/relationships/hyperlink" Target="https://www.gov.uk/government/publications/pertussis-the-green-book-chapter-24" TargetMode="External"/><Relationship Id="rId53" Type="http://schemas.openxmlformats.org/officeDocument/2006/relationships/hyperlink" Target="http://www.BNF.org" TargetMode="External"/><Relationship Id="rId58" Type="http://schemas.openxmlformats.org/officeDocument/2006/relationships/hyperlink" Target="https://www.rcn.org.uk/professional-development/publications/pub-005336"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collections/immunisation-against-infectious-disease-the-green-book"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yellowcard.mhra.gov.uk" TargetMode="External"/><Relationship Id="rId49" Type="http://schemas.openxmlformats.org/officeDocument/2006/relationships/hyperlink" Target="https://www.england.nhs.uk/wp-content/uploads/2017/04/service-spec-09.pdf" TargetMode="External"/><Relationship Id="rId57" Type="http://schemas.openxmlformats.org/officeDocument/2006/relationships/hyperlink" Target="https://www.nice.org.uk/guidance/mpg2/resources" TargetMode="External"/><Relationship Id="rId61" Type="http://schemas.openxmlformats.org/officeDocument/2006/relationships/header" Target="header1.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polio-the-green-book-chapter-26" TargetMode="External"/><Relationship Id="rId31" Type="http://schemas.openxmlformats.org/officeDocument/2006/relationships/hyperlink" Target="https://www.gov.uk/government/publications/tetanus-the-green-book-chapter-30" TargetMode="External"/><Relationship Id="rId44" Type="http://schemas.openxmlformats.org/officeDocument/2006/relationships/hyperlink" Target="https://www.gov.uk/government/publications/tetanus-the-green-book-chapter-30" TargetMode="External"/><Relationship Id="rId52" Type="http://schemas.openxmlformats.org/officeDocument/2006/relationships/hyperlink" Target="https://www.gov.uk/government/collections/immunisation" TargetMode="External"/><Relationship Id="rId60" Type="http://schemas.openxmlformats.org/officeDocument/2006/relationships/hyperlink" Target="https://www.gov.uk/government/publications/guidance-on-the-safe-management-of-healthcare-waste"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vaccination-of-individuals-with-uncertain-or-incomplete-immunisation-status"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s://www.gov.uk/government/publications/tetanus-the-green-book-chapter-30" TargetMode="External"/><Relationship Id="rId35" Type="http://schemas.openxmlformats.org/officeDocument/2006/relationships/hyperlink" Target="http://www.medicines.org.uk" TargetMode="External"/><Relationship Id="rId43" Type="http://schemas.openxmlformats.org/officeDocument/2006/relationships/hyperlink" Target="https://www.gov.uk/government/publications/polio-the-green-book-chapter-26" TargetMode="External"/><Relationship Id="rId48" Type="http://schemas.openxmlformats.org/officeDocument/2006/relationships/hyperlink" Target="http://www.medicines.org.uk/emc/medicine/26217" TargetMode="External"/><Relationship Id="rId56" Type="http://schemas.openxmlformats.org/officeDocument/2006/relationships/hyperlink" Target="https://www.nice.org.uk/guidance/mpg2" TargetMode="External"/><Relationship Id="rId64" Type="http://schemas.openxmlformats.org/officeDocument/2006/relationships/footer" Target="foot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vaccination-of-individuals-with-uncertain-or-incomplete-immunisation-statu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diphtheria-the-green-book-chapter-15"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storage-distribution-and-disposal-of-vaccines-the-green-book-chapter-3" TargetMode="External"/><Relationship Id="rId38" Type="http://schemas.openxmlformats.org/officeDocument/2006/relationships/hyperlink" Target="http://www.gov.uk/government/collections/immunisation" TargetMode="External"/><Relationship Id="rId46" Type="http://schemas.openxmlformats.org/officeDocument/2006/relationships/hyperlink" Target="https://www.gov.uk/government/collections/immunisation-against-infectious-disease-the-green-book" TargetMode="External"/><Relationship Id="rId59" Type="http://schemas.openxmlformats.org/officeDocument/2006/relationships/hyperlink" Target="https://www.gov.uk/government/publications/protocol-for-ordering-storing-and-handling-vaccines" TargetMode="External"/><Relationship Id="rId67" Type="http://schemas.openxmlformats.org/officeDocument/2006/relationships/fontTable" Target="fontTable.xml"/><Relationship Id="rId20" Type="http://schemas.openxmlformats.org/officeDocument/2006/relationships/hyperlink" Target="https://www.gov.uk/government/publications/tetanus-the-green-book-chapter-30" TargetMode="External"/><Relationship Id="rId41" Type="http://schemas.openxmlformats.org/officeDocument/2006/relationships/hyperlink" Target="https://www.gov.uk/government/publications/diphtheria-the-green-book-chapter-15" TargetMode="External"/><Relationship Id="rId54" Type="http://schemas.openxmlformats.org/officeDocument/2006/relationships/hyperlink" Target="https://www.evidence.nhs.uk/formulary/bnf/current/14-immunological-products-and-vaccines/144-vaccines-and-antisera/diphtheria-vaccines/diphtheria-containing-vaccines"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380C-6376-4C18-8188-773608B1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5003</Words>
  <Characters>28518</Characters>
  <Application>Microsoft Office Word</Application>
  <DocSecurity>12</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2</cp:revision>
  <cp:lastPrinted>2016-08-31T09:48:00Z</cp:lastPrinted>
  <dcterms:created xsi:type="dcterms:W3CDTF">2019-07-19T11:13:00Z</dcterms:created>
  <dcterms:modified xsi:type="dcterms:W3CDTF">2019-07-19T11:13:00Z</dcterms:modified>
</cp:coreProperties>
</file>