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034" w:rsidRDefault="00CC1034" w:rsidP="009673F2">
      <w:pPr>
        <w:jc w:val="right"/>
        <w:rPr>
          <w:rFonts w:ascii="Arial" w:hAnsi="Arial" w:cs="Arial"/>
          <w:b/>
        </w:rPr>
      </w:pPr>
    </w:p>
    <w:p w:rsidR="004E3419" w:rsidRDefault="004E3419" w:rsidP="009673F2">
      <w:pPr>
        <w:jc w:val="right"/>
        <w:rPr>
          <w:rFonts w:ascii="Arial" w:hAnsi="Arial" w:cs="Arial"/>
          <w:b/>
        </w:rPr>
      </w:pPr>
    </w:p>
    <w:tbl>
      <w:tblPr>
        <w:tblW w:w="0" w:type="auto"/>
        <w:tblLook w:val="01E0" w:firstRow="1" w:lastRow="1" w:firstColumn="1" w:lastColumn="1" w:noHBand="0" w:noVBand="0"/>
      </w:tblPr>
      <w:tblGrid>
        <w:gridCol w:w="2541"/>
        <w:gridCol w:w="440"/>
        <w:gridCol w:w="5881"/>
      </w:tblGrid>
      <w:tr w:rsidR="00CC1034" w:rsidRPr="00277D8E" w:rsidTr="00277D8E">
        <w:tc>
          <w:tcPr>
            <w:tcW w:w="2981" w:type="dxa"/>
            <w:gridSpan w:val="2"/>
            <w:shd w:val="clear" w:color="auto" w:fill="auto"/>
          </w:tcPr>
          <w:p w:rsidR="00CC1034" w:rsidRPr="00277D8E" w:rsidRDefault="00F357F2" w:rsidP="002F2FB1">
            <w:pPr>
              <w:rPr>
                <w:rFonts w:ascii="Georgia" w:hAnsi="Georgia"/>
              </w:rPr>
            </w:pPr>
            <w:r>
              <w:rPr>
                <w:rFonts w:ascii="Georgia" w:hAnsi="Georg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M Courts &amp; Tribunals Service" style="width:90.75pt;height:74.25pt;mso-position-horizontal-relative:page;mso-position-vertical-relative:page" o:allowincell="f" o:allowoverlap="f">
                  <v:imagedata r:id="rId8" o:title="HMCTS_BLK_SML_AW" cropbottom="36092f" cropleft="3295f" cropright="45438f"/>
                </v:shape>
              </w:pict>
            </w:r>
          </w:p>
          <w:p w:rsidR="00CC1034" w:rsidRPr="00277D8E" w:rsidRDefault="00CC1034" w:rsidP="002F2FB1">
            <w:pPr>
              <w:rPr>
                <w:rFonts w:ascii="Georgia" w:hAnsi="Georgia"/>
              </w:rPr>
            </w:pPr>
          </w:p>
        </w:tc>
        <w:tc>
          <w:tcPr>
            <w:tcW w:w="5881" w:type="dxa"/>
            <w:shd w:val="clear" w:color="auto" w:fill="auto"/>
          </w:tcPr>
          <w:p w:rsidR="00CC1034" w:rsidRPr="00277D8E" w:rsidRDefault="00CC1034" w:rsidP="002F2FB1">
            <w:pPr>
              <w:rPr>
                <w:rFonts w:ascii="Georgia" w:hAnsi="Georgia"/>
                <w:b/>
              </w:rPr>
            </w:pPr>
            <w:r w:rsidRPr="00277D8E">
              <w:rPr>
                <w:rFonts w:ascii="Georgia" w:hAnsi="Georgia"/>
                <w:b/>
              </w:rPr>
              <w:t>FIRST-TIER TRIBUNAL</w:t>
            </w:r>
            <w:r w:rsidRPr="00277D8E">
              <w:rPr>
                <w:rFonts w:ascii="Georgia" w:hAnsi="Georgia"/>
                <w:b/>
              </w:rPr>
              <w:br/>
              <w:t>PROPERTY CHAMBER</w:t>
            </w:r>
          </w:p>
          <w:p w:rsidR="00CC1034" w:rsidRPr="00277D8E" w:rsidRDefault="00CC1034" w:rsidP="002F2FB1">
            <w:pPr>
              <w:rPr>
                <w:rFonts w:ascii="Georgia" w:hAnsi="Georgia"/>
                <w:b/>
              </w:rPr>
            </w:pPr>
            <w:r w:rsidRPr="00277D8E">
              <w:rPr>
                <w:rFonts w:ascii="Georgia" w:hAnsi="Georgia"/>
                <w:b/>
              </w:rPr>
              <w:t>(RESIDENTIAL PROPERTY)</w:t>
            </w:r>
          </w:p>
        </w:tc>
      </w:tr>
      <w:tr w:rsidR="00CC1034" w:rsidRPr="00277D8E" w:rsidTr="00277D8E">
        <w:tc>
          <w:tcPr>
            <w:tcW w:w="2541" w:type="dxa"/>
            <w:shd w:val="clear" w:color="auto" w:fill="auto"/>
          </w:tcPr>
          <w:p w:rsidR="00CC1034" w:rsidRPr="00277D8E" w:rsidRDefault="00CC1034" w:rsidP="002F2FB1">
            <w:pPr>
              <w:rPr>
                <w:rFonts w:ascii="Georgia" w:hAnsi="Georgia"/>
                <w:b/>
              </w:rPr>
            </w:pPr>
            <w:r w:rsidRPr="00277D8E">
              <w:rPr>
                <w:rFonts w:ascii="Georgia" w:hAnsi="Georgia"/>
                <w:b/>
              </w:rPr>
              <w:t>Case Reference</w:t>
            </w:r>
          </w:p>
        </w:tc>
        <w:tc>
          <w:tcPr>
            <w:tcW w:w="440" w:type="dxa"/>
            <w:shd w:val="clear" w:color="auto" w:fill="auto"/>
          </w:tcPr>
          <w:p w:rsidR="00CC1034" w:rsidRPr="00277D8E" w:rsidRDefault="00CC1034" w:rsidP="002F2FB1">
            <w:pPr>
              <w:rPr>
                <w:rFonts w:ascii="Georgia" w:hAnsi="Georgia"/>
                <w:b/>
              </w:rPr>
            </w:pPr>
            <w:r w:rsidRPr="00277D8E">
              <w:rPr>
                <w:rFonts w:ascii="Georgia" w:hAnsi="Georgia"/>
                <w:b/>
              </w:rPr>
              <w:t>:</w:t>
            </w:r>
          </w:p>
        </w:tc>
        <w:tc>
          <w:tcPr>
            <w:tcW w:w="5881" w:type="dxa"/>
            <w:shd w:val="clear" w:color="auto" w:fill="auto"/>
          </w:tcPr>
          <w:p w:rsidR="00CC1034" w:rsidRPr="00277D8E" w:rsidRDefault="00F357F2" w:rsidP="00CB5C51">
            <w:pPr>
              <w:rPr>
                <w:rFonts w:ascii="Georgia" w:hAnsi="Georgia"/>
                <w:b/>
              </w:rPr>
            </w:pPr>
            <w:r w:rsidRPr="00F357F2">
              <w:rPr>
                <w:rFonts w:ascii="Georgia" w:hAnsi="Georgia"/>
                <w:b/>
              </w:rPr>
              <w:t>MAN/00DA/HEP/2019/0001&amp; 0002</w:t>
            </w:r>
          </w:p>
        </w:tc>
      </w:tr>
      <w:tr w:rsidR="00CC1034" w:rsidRPr="00277D8E" w:rsidTr="00277D8E">
        <w:trPr>
          <w:trHeight w:val="567"/>
        </w:trPr>
        <w:tc>
          <w:tcPr>
            <w:tcW w:w="2541" w:type="dxa"/>
            <w:shd w:val="clear" w:color="auto" w:fill="auto"/>
          </w:tcPr>
          <w:p w:rsidR="00CC1034" w:rsidRPr="00277D8E" w:rsidRDefault="00CC1034" w:rsidP="00277D8E">
            <w:pPr>
              <w:spacing w:before="120"/>
              <w:rPr>
                <w:rFonts w:ascii="Georgia" w:hAnsi="Georgia"/>
                <w:b/>
              </w:rPr>
            </w:pPr>
          </w:p>
        </w:tc>
        <w:tc>
          <w:tcPr>
            <w:tcW w:w="440" w:type="dxa"/>
            <w:shd w:val="clear" w:color="auto" w:fill="auto"/>
          </w:tcPr>
          <w:p w:rsidR="00CC1034" w:rsidRPr="00277D8E" w:rsidRDefault="00CC1034" w:rsidP="00277D8E">
            <w:pPr>
              <w:spacing w:before="120"/>
              <w:rPr>
                <w:rFonts w:ascii="Georgia" w:hAnsi="Georgia"/>
                <w:b/>
              </w:rPr>
            </w:pPr>
          </w:p>
        </w:tc>
        <w:tc>
          <w:tcPr>
            <w:tcW w:w="5881" w:type="dxa"/>
            <w:shd w:val="clear" w:color="auto" w:fill="auto"/>
          </w:tcPr>
          <w:p w:rsidR="00CC1034" w:rsidRPr="00277D8E" w:rsidRDefault="00CC1034" w:rsidP="00277D8E">
            <w:pPr>
              <w:spacing w:before="120"/>
              <w:rPr>
                <w:rFonts w:ascii="Georgia" w:hAnsi="Georgia"/>
                <w:b/>
              </w:rPr>
            </w:pPr>
          </w:p>
        </w:tc>
      </w:tr>
      <w:tr w:rsidR="00CC1034" w:rsidRPr="00277D8E" w:rsidTr="00277D8E">
        <w:tc>
          <w:tcPr>
            <w:tcW w:w="2541" w:type="dxa"/>
            <w:shd w:val="clear" w:color="auto" w:fill="auto"/>
          </w:tcPr>
          <w:p w:rsidR="00CC1034" w:rsidRPr="00277D8E" w:rsidRDefault="00CC1034" w:rsidP="002F2FB1">
            <w:pPr>
              <w:rPr>
                <w:rFonts w:ascii="Georgia" w:hAnsi="Georgia"/>
                <w:b/>
              </w:rPr>
            </w:pPr>
            <w:r w:rsidRPr="00277D8E">
              <w:rPr>
                <w:rFonts w:ascii="Georgia" w:hAnsi="Georgia"/>
                <w:b/>
              </w:rPr>
              <w:t>Property</w:t>
            </w:r>
          </w:p>
        </w:tc>
        <w:tc>
          <w:tcPr>
            <w:tcW w:w="440" w:type="dxa"/>
            <w:shd w:val="clear" w:color="auto" w:fill="auto"/>
          </w:tcPr>
          <w:p w:rsidR="00CC1034" w:rsidRPr="00277D8E" w:rsidRDefault="00CC1034" w:rsidP="002F2FB1">
            <w:pPr>
              <w:rPr>
                <w:rFonts w:ascii="Georgia" w:hAnsi="Georgia"/>
                <w:b/>
              </w:rPr>
            </w:pPr>
            <w:r w:rsidRPr="00277D8E">
              <w:rPr>
                <w:rFonts w:ascii="Georgia" w:hAnsi="Georgia"/>
                <w:b/>
              </w:rPr>
              <w:t>:</w:t>
            </w:r>
          </w:p>
        </w:tc>
        <w:tc>
          <w:tcPr>
            <w:tcW w:w="5881" w:type="dxa"/>
            <w:shd w:val="clear" w:color="auto" w:fill="auto"/>
          </w:tcPr>
          <w:p w:rsidR="00CC1034" w:rsidRPr="00277D8E" w:rsidRDefault="00F357F2" w:rsidP="002F2FB1">
            <w:pPr>
              <w:rPr>
                <w:rFonts w:ascii="Georgia" w:hAnsi="Georgia"/>
                <w:b/>
              </w:rPr>
            </w:pPr>
            <w:r w:rsidRPr="00F357F2">
              <w:rPr>
                <w:rFonts w:ascii="Georgia" w:hAnsi="Georgia"/>
                <w:b/>
              </w:rPr>
              <w:t>Flat 1 and 2 Farnley Hill Methodist Church. 120 – 122 Stonebridge Lane. Leeds. LS12 5AQ</w:t>
            </w:r>
          </w:p>
        </w:tc>
      </w:tr>
      <w:tr w:rsidR="00CC1034" w:rsidRPr="00277D8E" w:rsidTr="00277D8E">
        <w:trPr>
          <w:trHeight w:val="567"/>
        </w:trPr>
        <w:tc>
          <w:tcPr>
            <w:tcW w:w="2541" w:type="dxa"/>
            <w:shd w:val="clear" w:color="auto" w:fill="auto"/>
          </w:tcPr>
          <w:p w:rsidR="00CC1034" w:rsidRPr="00277D8E" w:rsidRDefault="00CC1034" w:rsidP="00277D8E">
            <w:pPr>
              <w:spacing w:before="120"/>
              <w:rPr>
                <w:rFonts w:ascii="Georgia" w:hAnsi="Georgia"/>
                <w:b/>
              </w:rPr>
            </w:pPr>
          </w:p>
        </w:tc>
        <w:tc>
          <w:tcPr>
            <w:tcW w:w="440" w:type="dxa"/>
            <w:shd w:val="clear" w:color="auto" w:fill="auto"/>
          </w:tcPr>
          <w:p w:rsidR="00CC1034" w:rsidRPr="00277D8E" w:rsidRDefault="00CC1034" w:rsidP="00277D8E">
            <w:pPr>
              <w:spacing w:before="120"/>
              <w:rPr>
                <w:rFonts w:ascii="Georgia" w:hAnsi="Georgia"/>
                <w:b/>
              </w:rPr>
            </w:pPr>
          </w:p>
        </w:tc>
        <w:tc>
          <w:tcPr>
            <w:tcW w:w="5881" w:type="dxa"/>
            <w:shd w:val="clear" w:color="auto" w:fill="auto"/>
          </w:tcPr>
          <w:p w:rsidR="00CC1034" w:rsidRPr="00277D8E" w:rsidRDefault="00CC1034" w:rsidP="00277D8E">
            <w:pPr>
              <w:spacing w:before="120"/>
              <w:rPr>
                <w:rFonts w:ascii="Georgia" w:hAnsi="Georgia"/>
                <w:b/>
              </w:rPr>
            </w:pPr>
          </w:p>
        </w:tc>
      </w:tr>
      <w:tr w:rsidR="00CC1034" w:rsidRPr="00277D8E" w:rsidTr="00277D8E">
        <w:tc>
          <w:tcPr>
            <w:tcW w:w="2541" w:type="dxa"/>
            <w:shd w:val="clear" w:color="auto" w:fill="auto"/>
          </w:tcPr>
          <w:p w:rsidR="00CC1034" w:rsidRPr="00277D8E" w:rsidRDefault="00CC1034" w:rsidP="002F2FB1">
            <w:pPr>
              <w:rPr>
                <w:rFonts w:ascii="Georgia" w:hAnsi="Georgia"/>
                <w:b/>
              </w:rPr>
            </w:pPr>
            <w:r w:rsidRPr="00277D8E">
              <w:rPr>
                <w:rFonts w:ascii="Georgia" w:hAnsi="Georgia"/>
                <w:b/>
              </w:rPr>
              <w:t>Applicant</w:t>
            </w:r>
          </w:p>
        </w:tc>
        <w:tc>
          <w:tcPr>
            <w:tcW w:w="440" w:type="dxa"/>
            <w:shd w:val="clear" w:color="auto" w:fill="auto"/>
          </w:tcPr>
          <w:p w:rsidR="00CC1034" w:rsidRPr="00277D8E" w:rsidRDefault="00CC1034" w:rsidP="002F2FB1">
            <w:pPr>
              <w:rPr>
                <w:rFonts w:ascii="Georgia" w:hAnsi="Georgia"/>
                <w:b/>
              </w:rPr>
            </w:pPr>
            <w:r w:rsidRPr="00277D8E">
              <w:rPr>
                <w:rFonts w:ascii="Georgia" w:hAnsi="Georgia"/>
                <w:b/>
              </w:rPr>
              <w:t>:</w:t>
            </w:r>
          </w:p>
        </w:tc>
        <w:tc>
          <w:tcPr>
            <w:tcW w:w="5881" w:type="dxa"/>
            <w:shd w:val="clear" w:color="auto" w:fill="auto"/>
          </w:tcPr>
          <w:p w:rsidR="00960FE1" w:rsidRPr="00277D8E" w:rsidRDefault="00F357F2" w:rsidP="002F2FB1">
            <w:pPr>
              <w:rPr>
                <w:rFonts w:ascii="Georgia" w:hAnsi="Georgia"/>
                <w:b/>
              </w:rPr>
            </w:pPr>
            <w:r>
              <w:rPr>
                <w:rFonts w:ascii="Georgia" w:hAnsi="Georgia"/>
                <w:b/>
              </w:rPr>
              <w:t xml:space="preserve">Arshad Mahmood </w:t>
            </w:r>
          </w:p>
        </w:tc>
      </w:tr>
      <w:tr w:rsidR="00CC1034" w:rsidRPr="00277D8E" w:rsidTr="00277D8E">
        <w:trPr>
          <w:trHeight w:val="567"/>
        </w:trPr>
        <w:tc>
          <w:tcPr>
            <w:tcW w:w="2541" w:type="dxa"/>
            <w:shd w:val="clear" w:color="auto" w:fill="auto"/>
          </w:tcPr>
          <w:p w:rsidR="00CC1034" w:rsidRPr="00277D8E" w:rsidRDefault="00CC1034" w:rsidP="002F2FB1">
            <w:pPr>
              <w:rPr>
                <w:rFonts w:ascii="Georgia" w:hAnsi="Georgia"/>
                <w:b/>
              </w:rPr>
            </w:pPr>
          </w:p>
        </w:tc>
        <w:tc>
          <w:tcPr>
            <w:tcW w:w="440" w:type="dxa"/>
            <w:shd w:val="clear" w:color="auto" w:fill="auto"/>
          </w:tcPr>
          <w:p w:rsidR="00CC1034" w:rsidRPr="00277D8E" w:rsidRDefault="00CC1034" w:rsidP="002F2FB1">
            <w:pPr>
              <w:rPr>
                <w:rFonts w:ascii="Georgia" w:hAnsi="Georgia"/>
                <w:b/>
              </w:rPr>
            </w:pPr>
          </w:p>
        </w:tc>
        <w:tc>
          <w:tcPr>
            <w:tcW w:w="5881" w:type="dxa"/>
            <w:shd w:val="clear" w:color="auto" w:fill="auto"/>
          </w:tcPr>
          <w:p w:rsidR="00CC1034" w:rsidRPr="00277D8E" w:rsidRDefault="00CC1034" w:rsidP="002F2FB1">
            <w:pPr>
              <w:rPr>
                <w:rFonts w:ascii="Georgia" w:hAnsi="Georgia"/>
                <w:b/>
              </w:rPr>
            </w:pPr>
          </w:p>
        </w:tc>
      </w:tr>
      <w:tr w:rsidR="00CC1034" w:rsidRPr="00277D8E" w:rsidTr="00277D8E">
        <w:tc>
          <w:tcPr>
            <w:tcW w:w="2541" w:type="dxa"/>
            <w:shd w:val="clear" w:color="auto" w:fill="auto"/>
          </w:tcPr>
          <w:p w:rsidR="00CC1034" w:rsidRPr="00277D8E" w:rsidRDefault="00CC1034" w:rsidP="002F2FB1">
            <w:pPr>
              <w:rPr>
                <w:rFonts w:ascii="Georgia" w:hAnsi="Georgia"/>
                <w:b/>
              </w:rPr>
            </w:pPr>
            <w:r w:rsidRPr="00277D8E">
              <w:rPr>
                <w:rFonts w:ascii="Georgia" w:hAnsi="Georgia"/>
                <w:b/>
              </w:rPr>
              <w:t>Respondent</w:t>
            </w:r>
          </w:p>
        </w:tc>
        <w:tc>
          <w:tcPr>
            <w:tcW w:w="440" w:type="dxa"/>
            <w:shd w:val="clear" w:color="auto" w:fill="auto"/>
          </w:tcPr>
          <w:p w:rsidR="00CC1034" w:rsidRPr="00277D8E" w:rsidRDefault="00CC1034" w:rsidP="002F2FB1">
            <w:pPr>
              <w:rPr>
                <w:rFonts w:ascii="Georgia" w:hAnsi="Georgia"/>
                <w:b/>
              </w:rPr>
            </w:pPr>
            <w:r w:rsidRPr="00277D8E">
              <w:rPr>
                <w:rFonts w:ascii="Georgia" w:hAnsi="Georgia"/>
                <w:b/>
              </w:rPr>
              <w:t>:</w:t>
            </w:r>
          </w:p>
        </w:tc>
        <w:tc>
          <w:tcPr>
            <w:tcW w:w="5881" w:type="dxa"/>
            <w:shd w:val="clear" w:color="auto" w:fill="auto"/>
          </w:tcPr>
          <w:p w:rsidR="00CC1034" w:rsidRPr="00277D8E" w:rsidRDefault="007C18F2" w:rsidP="002F2FB1">
            <w:pPr>
              <w:rPr>
                <w:rFonts w:ascii="Georgia" w:hAnsi="Georgia"/>
                <w:b/>
              </w:rPr>
            </w:pPr>
            <w:r>
              <w:rPr>
                <w:rFonts w:ascii="Georgia" w:hAnsi="Georgia"/>
                <w:b/>
              </w:rPr>
              <w:t>L</w:t>
            </w:r>
            <w:r w:rsidR="00F357F2">
              <w:rPr>
                <w:rFonts w:ascii="Georgia" w:hAnsi="Georgia"/>
                <w:b/>
              </w:rPr>
              <w:t>eeds</w:t>
            </w:r>
            <w:r>
              <w:rPr>
                <w:rFonts w:ascii="Georgia" w:hAnsi="Georgia"/>
                <w:b/>
              </w:rPr>
              <w:t xml:space="preserve"> City Council</w:t>
            </w:r>
          </w:p>
        </w:tc>
      </w:tr>
      <w:tr w:rsidR="00CC1034" w:rsidRPr="00277D8E" w:rsidTr="00277D8E">
        <w:trPr>
          <w:trHeight w:val="567"/>
        </w:trPr>
        <w:tc>
          <w:tcPr>
            <w:tcW w:w="2541" w:type="dxa"/>
            <w:shd w:val="clear" w:color="auto" w:fill="auto"/>
          </w:tcPr>
          <w:p w:rsidR="00CC1034" w:rsidRPr="00277D8E" w:rsidRDefault="00CC1034" w:rsidP="002F2FB1">
            <w:pPr>
              <w:rPr>
                <w:rFonts w:ascii="Georgia" w:hAnsi="Georgia"/>
                <w:b/>
              </w:rPr>
            </w:pPr>
          </w:p>
        </w:tc>
        <w:tc>
          <w:tcPr>
            <w:tcW w:w="440" w:type="dxa"/>
            <w:shd w:val="clear" w:color="auto" w:fill="auto"/>
          </w:tcPr>
          <w:p w:rsidR="00CC1034" w:rsidRPr="00277D8E" w:rsidRDefault="00CC1034" w:rsidP="00277D8E">
            <w:pPr>
              <w:spacing w:before="120"/>
              <w:rPr>
                <w:rFonts w:ascii="Georgia" w:hAnsi="Georgia"/>
                <w:b/>
              </w:rPr>
            </w:pPr>
          </w:p>
        </w:tc>
        <w:tc>
          <w:tcPr>
            <w:tcW w:w="5881" w:type="dxa"/>
            <w:shd w:val="clear" w:color="auto" w:fill="auto"/>
          </w:tcPr>
          <w:p w:rsidR="00CC1034" w:rsidRPr="00277D8E" w:rsidRDefault="00CC1034" w:rsidP="00277D8E">
            <w:pPr>
              <w:spacing w:before="120"/>
              <w:rPr>
                <w:rFonts w:ascii="Georgia" w:hAnsi="Georgia"/>
                <w:b/>
              </w:rPr>
            </w:pPr>
          </w:p>
        </w:tc>
      </w:tr>
      <w:tr w:rsidR="003D5068" w:rsidRPr="00277D8E" w:rsidTr="00277D8E">
        <w:tc>
          <w:tcPr>
            <w:tcW w:w="2541" w:type="dxa"/>
            <w:shd w:val="clear" w:color="auto" w:fill="auto"/>
          </w:tcPr>
          <w:p w:rsidR="003D5068" w:rsidRPr="00277D8E" w:rsidRDefault="003D5068" w:rsidP="002F2FB1">
            <w:pPr>
              <w:rPr>
                <w:rFonts w:ascii="Georgia" w:hAnsi="Georgia"/>
                <w:b/>
              </w:rPr>
            </w:pPr>
            <w:r w:rsidRPr="00277D8E">
              <w:rPr>
                <w:rFonts w:ascii="Georgia" w:hAnsi="Georgia"/>
                <w:b/>
              </w:rPr>
              <w:t>Type of Application</w:t>
            </w:r>
          </w:p>
        </w:tc>
        <w:tc>
          <w:tcPr>
            <w:tcW w:w="440" w:type="dxa"/>
            <w:shd w:val="clear" w:color="auto" w:fill="auto"/>
          </w:tcPr>
          <w:p w:rsidR="003D5068" w:rsidRPr="00277D8E" w:rsidRDefault="003D5068" w:rsidP="002F2FB1">
            <w:pPr>
              <w:rPr>
                <w:rFonts w:ascii="Georgia" w:hAnsi="Georgia"/>
                <w:b/>
              </w:rPr>
            </w:pPr>
            <w:r w:rsidRPr="00277D8E">
              <w:rPr>
                <w:rFonts w:ascii="Georgia" w:hAnsi="Georgia"/>
                <w:b/>
              </w:rPr>
              <w:t>:</w:t>
            </w:r>
          </w:p>
        </w:tc>
        <w:tc>
          <w:tcPr>
            <w:tcW w:w="5881" w:type="dxa"/>
            <w:shd w:val="clear" w:color="auto" w:fill="auto"/>
          </w:tcPr>
          <w:p w:rsidR="003D5068" w:rsidRPr="00F357F2" w:rsidRDefault="00F357F2" w:rsidP="00EA7868">
            <w:pPr>
              <w:rPr>
                <w:rFonts w:ascii="Georgia" w:hAnsi="Georgia"/>
                <w:b/>
              </w:rPr>
            </w:pPr>
            <w:r w:rsidRPr="00F357F2">
              <w:rPr>
                <w:rFonts w:ascii="Georgia" w:hAnsi="Georgia"/>
                <w:b/>
              </w:rPr>
              <w:t xml:space="preserve">The appeal against </w:t>
            </w:r>
            <w:r>
              <w:rPr>
                <w:rFonts w:ascii="Georgia" w:hAnsi="Georgia"/>
                <w:b/>
              </w:rPr>
              <w:t>a</w:t>
            </w:r>
            <w:r w:rsidRPr="00F357F2">
              <w:rPr>
                <w:rFonts w:ascii="Georgia" w:hAnsi="Georgia"/>
                <w:b/>
              </w:rPr>
              <w:t xml:space="preserve"> Prohibition Order</w:t>
            </w:r>
          </w:p>
        </w:tc>
      </w:tr>
      <w:tr w:rsidR="00CC1034" w:rsidRPr="00277D8E" w:rsidTr="00277D8E">
        <w:trPr>
          <w:trHeight w:val="567"/>
        </w:trPr>
        <w:tc>
          <w:tcPr>
            <w:tcW w:w="2541" w:type="dxa"/>
            <w:shd w:val="clear" w:color="auto" w:fill="auto"/>
          </w:tcPr>
          <w:p w:rsidR="00CC1034" w:rsidRPr="00277D8E" w:rsidRDefault="00CC1034" w:rsidP="00277D8E">
            <w:pPr>
              <w:spacing w:before="120"/>
              <w:rPr>
                <w:rFonts w:ascii="Georgia" w:hAnsi="Georgia"/>
                <w:b/>
              </w:rPr>
            </w:pPr>
          </w:p>
        </w:tc>
        <w:tc>
          <w:tcPr>
            <w:tcW w:w="440" w:type="dxa"/>
            <w:shd w:val="clear" w:color="auto" w:fill="auto"/>
          </w:tcPr>
          <w:p w:rsidR="00CC1034" w:rsidRPr="00277D8E" w:rsidRDefault="00CC1034" w:rsidP="00277D8E">
            <w:pPr>
              <w:spacing w:before="120"/>
              <w:rPr>
                <w:rFonts w:ascii="Georgia" w:hAnsi="Georgia"/>
                <w:b/>
              </w:rPr>
            </w:pPr>
          </w:p>
        </w:tc>
        <w:tc>
          <w:tcPr>
            <w:tcW w:w="5881" w:type="dxa"/>
            <w:shd w:val="clear" w:color="auto" w:fill="auto"/>
          </w:tcPr>
          <w:p w:rsidR="00CC1034" w:rsidRPr="00277D8E" w:rsidRDefault="00CC1034" w:rsidP="00277D8E">
            <w:pPr>
              <w:spacing w:before="120"/>
              <w:rPr>
                <w:rFonts w:ascii="Georgia" w:hAnsi="Georgia"/>
                <w:b/>
              </w:rPr>
            </w:pPr>
          </w:p>
        </w:tc>
      </w:tr>
      <w:tr w:rsidR="00CC1034" w:rsidRPr="00277D8E" w:rsidTr="00277D8E">
        <w:tc>
          <w:tcPr>
            <w:tcW w:w="2541" w:type="dxa"/>
            <w:shd w:val="clear" w:color="auto" w:fill="auto"/>
          </w:tcPr>
          <w:p w:rsidR="00CC1034" w:rsidRPr="00277D8E" w:rsidRDefault="00CC1034" w:rsidP="002F2FB1">
            <w:pPr>
              <w:rPr>
                <w:rFonts w:ascii="Georgia" w:hAnsi="Georgia"/>
                <w:b/>
              </w:rPr>
            </w:pPr>
            <w:r w:rsidRPr="00277D8E">
              <w:rPr>
                <w:rFonts w:ascii="Georgia" w:hAnsi="Georgia"/>
                <w:b/>
              </w:rPr>
              <w:t>Tribunal Members</w:t>
            </w:r>
          </w:p>
        </w:tc>
        <w:tc>
          <w:tcPr>
            <w:tcW w:w="440" w:type="dxa"/>
            <w:shd w:val="clear" w:color="auto" w:fill="auto"/>
          </w:tcPr>
          <w:p w:rsidR="00CC1034" w:rsidRPr="00277D8E" w:rsidRDefault="00CC1034" w:rsidP="002F2FB1">
            <w:pPr>
              <w:rPr>
                <w:rFonts w:ascii="Georgia" w:hAnsi="Georgia"/>
                <w:b/>
              </w:rPr>
            </w:pPr>
            <w:r w:rsidRPr="00277D8E">
              <w:rPr>
                <w:rFonts w:ascii="Georgia" w:hAnsi="Georgia"/>
                <w:b/>
              </w:rPr>
              <w:t>:</w:t>
            </w:r>
          </w:p>
        </w:tc>
        <w:tc>
          <w:tcPr>
            <w:tcW w:w="5881" w:type="dxa"/>
            <w:shd w:val="clear" w:color="auto" w:fill="auto"/>
          </w:tcPr>
          <w:p w:rsidR="00F357F2" w:rsidRDefault="00F357F2" w:rsidP="002F2FB1">
            <w:pPr>
              <w:rPr>
                <w:rFonts w:ascii="Georgia" w:hAnsi="Georgia"/>
                <w:b/>
              </w:rPr>
            </w:pPr>
            <w:r>
              <w:rPr>
                <w:rFonts w:ascii="Georgia" w:hAnsi="Georgia"/>
                <w:b/>
              </w:rPr>
              <w:t xml:space="preserve">Judge M Simpson </w:t>
            </w:r>
          </w:p>
          <w:p w:rsidR="00CC1034" w:rsidRPr="00277D8E" w:rsidRDefault="00F357F2" w:rsidP="002F2FB1">
            <w:pPr>
              <w:rPr>
                <w:rFonts w:ascii="Georgia" w:hAnsi="Georgia"/>
                <w:b/>
              </w:rPr>
            </w:pPr>
            <w:r>
              <w:rPr>
                <w:rFonts w:ascii="Georgia" w:hAnsi="Georgia"/>
                <w:b/>
              </w:rPr>
              <w:t xml:space="preserve">Mr J Faulkner </w:t>
            </w:r>
            <w:r w:rsidR="00CC1034" w:rsidRPr="00277D8E">
              <w:rPr>
                <w:rFonts w:ascii="Georgia" w:hAnsi="Georgia"/>
                <w:b/>
              </w:rPr>
              <w:tab/>
            </w:r>
          </w:p>
        </w:tc>
      </w:tr>
      <w:tr w:rsidR="00CC1034" w:rsidRPr="00277D8E" w:rsidTr="00277D8E">
        <w:tc>
          <w:tcPr>
            <w:tcW w:w="2541" w:type="dxa"/>
            <w:shd w:val="clear" w:color="auto" w:fill="auto"/>
          </w:tcPr>
          <w:p w:rsidR="00CC1034" w:rsidRPr="00277D8E" w:rsidRDefault="00CC1034" w:rsidP="002F2FB1">
            <w:pPr>
              <w:rPr>
                <w:rFonts w:ascii="Georgia" w:hAnsi="Georgia"/>
                <w:b/>
              </w:rPr>
            </w:pPr>
          </w:p>
        </w:tc>
        <w:tc>
          <w:tcPr>
            <w:tcW w:w="440" w:type="dxa"/>
            <w:shd w:val="clear" w:color="auto" w:fill="auto"/>
          </w:tcPr>
          <w:p w:rsidR="00CC1034" w:rsidRPr="00277D8E" w:rsidRDefault="00CC1034" w:rsidP="002F2FB1">
            <w:pPr>
              <w:rPr>
                <w:rFonts w:ascii="Georgia" w:hAnsi="Georgia"/>
                <w:b/>
              </w:rPr>
            </w:pPr>
          </w:p>
        </w:tc>
        <w:tc>
          <w:tcPr>
            <w:tcW w:w="5881" w:type="dxa"/>
            <w:shd w:val="clear" w:color="auto" w:fill="auto"/>
          </w:tcPr>
          <w:p w:rsidR="00CC1034" w:rsidRPr="00277D8E" w:rsidRDefault="00CC1034" w:rsidP="002F2FB1">
            <w:pPr>
              <w:rPr>
                <w:rFonts w:ascii="Georgia" w:hAnsi="Georgia"/>
                <w:b/>
              </w:rPr>
            </w:pPr>
          </w:p>
        </w:tc>
      </w:tr>
      <w:tr w:rsidR="00CC1034" w:rsidRPr="00277D8E" w:rsidTr="00277D8E">
        <w:trPr>
          <w:trHeight w:val="567"/>
        </w:trPr>
        <w:tc>
          <w:tcPr>
            <w:tcW w:w="2541" w:type="dxa"/>
            <w:shd w:val="clear" w:color="auto" w:fill="auto"/>
          </w:tcPr>
          <w:p w:rsidR="00CC1034" w:rsidRPr="00277D8E" w:rsidRDefault="00CC1034" w:rsidP="00277D8E">
            <w:pPr>
              <w:spacing w:before="120"/>
              <w:rPr>
                <w:rFonts w:ascii="Georgia" w:hAnsi="Georgia"/>
                <w:b/>
              </w:rPr>
            </w:pPr>
          </w:p>
        </w:tc>
        <w:tc>
          <w:tcPr>
            <w:tcW w:w="440" w:type="dxa"/>
            <w:shd w:val="clear" w:color="auto" w:fill="auto"/>
          </w:tcPr>
          <w:p w:rsidR="00CC1034" w:rsidRPr="00277D8E" w:rsidRDefault="00CC1034" w:rsidP="00277D8E">
            <w:pPr>
              <w:spacing w:before="120"/>
              <w:rPr>
                <w:rFonts w:ascii="Georgia" w:hAnsi="Georgia"/>
                <w:b/>
              </w:rPr>
            </w:pPr>
          </w:p>
        </w:tc>
        <w:tc>
          <w:tcPr>
            <w:tcW w:w="5881" w:type="dxa"/>
            <w:shd w:val="clear" w:color="auto" w:fill="auto"/>
          </w:tcPr>
          <w:p w:rsidR="00CC1034" w:rsidRPr="00277D8E" w:rsidRDefault="00CC1034" w:rsidP="00277D8E">
            <w:pPr>
              <w:spacing w:before="120"/>
              <w:rPr>
                <w:rFonts w:ascii="Georgia" w:hAnsi="Georgia"/>
                <w:b/>
              </w:rPr>
            </w:pPr>
          </w:p>
        </w:tc>
      </w:tr>
      <w:tr w:rsidR="00CC1034" w:rsidRPr="00277D8E" w:rsidTr="00277D8E">
        <w:tc>
          <w:tcPr>
            <w:tcW w:w="2541" w:type="dxa"/>
            <w:shd w:val="clear" w:color="auto" w:fill="auto"/>
          </w:tcPr>
          <w:p w:rsidR="00CC1034" w:rsidRPr="00277D8E" w:rsidRDefault="00CC1034" w:rsidP="002F2FB1">
            <w:pPr>
              <w:rPr>
                <w:rFonts w:ascii="Georgia" w:hAnsi="Georgia"/>
                <w:b/>
              </w:rPr>
            </w:pPr>
            <w:r w:rsidRPr="00277D8E">
              <w:rPr>
                <w:rFonts w:ascii="Georgia" w:hAnsi="Georgia"/>
                <w:b/>
              </w:rPr>
              <w:t>Date of De</w:t>
            </w:r>
            <w:r w:rsidR="00191D46">
              <w:rPr>
                <w:rFonts w:ascii="Georgia" w:hAnsi="Georgia"/>
                <w:b/>
              </w:rPr>
              <w:t>termination</w:t>
            </w:r>
          </w:p>
        </w:tc>
        <w:tc>
          <w:tcPr>
            <w:tcW w:w="440" w:type="dxa"/>
            <w:shd w:val="clear" w:color="auto" w:fill="auto"/>
          </w:tcPr>
          <w:p w:rsidR="00CC1034" w:rsidRPr="00277D8E" w:rsidRDefault="00CC1034" w:rsidP="002F2FB1">
            <w:pPr>
              <w:rPr>
                <w:rFonts w:ascii="Georgia" w:hAnsi="Georgia"/>
                <w:b/>
              </w:rPr>
            </w:pPr>
            <w:r w:rsidRPr="00277D8E">
              <w:rPr>
                <w:rFonts w:ascii="Georgia" w:hAnsi="Georgia"/>
                <w:b/>
              </w:rPr>
              <w:t>:</w:t>
            </w:r>
          </w:p>
        </w:tc>
        <w:tc>
          <w:tcPr>
            <w:tcW w:w="5881" w:type="dxa"/>
            <w:shd w:val="clear" w:color="auto" w:fill="auto"/>
          </w:tcPr>
          <w:p w:rsidR="00CC1034" w:rsidRPr="00277D8E" w:rsidRDefault="00F357F2" w:rsidP="002F2FB1">
            <w:pPr>
              <w:rPr>
                <w:rFonts w:ascii="Georgia" w:hAnsi="Georgia"/>
                <w:b/>
              </w:rPr>
            </w:pPr>
            <w:r>
              <w:rPr>
                <w:rFonts w:ascii="Georgia" w:hAnsi="Georgia"/>
                <w:b/>
              </w:rPr>
              <w:t>22 July</w:t>
            </w:r>
            <w:r w:rsidR="00EA7868">
              <w:rPr>
                <w:rFonts w:ascii="Georgia" w:hAnsi="Georgia"/>
                <w:b/>
              </w:rPr>
              <w:t xml:space="preserve"> 2019</w:t>
            </w:r>
          </w:p>
        </w:tc>
      </w:tr>
    </w:tbl>
    <w:p w:rsidR="00CC1034" w:rsidRPr="003D5068" w:rsidRDefault="00CC1034" w:rsidP="00CC1034">
      <w:pPr>
        <w:rPr>
          <w:rFonts w:ascii="Georgia" w:hAnsi="Georgia"/>
          <w:b/>
        </w:rPr>
      </w:pPr>
    </w:p>
    <w:tbl>
      <w:tblPr>
        <w:tblW w:w="0" w:type="auto"/>
        <w:tblLook w:val="01E0" w:firstRow="1" w:lastRow="1" w:firstColumn="1" w:lastColumn="1" w:noHBand="0" w:noVBand="0"/>
      </w:tblPr>
      <w:tblGrid>
        <w:gridCol w:w="2541"/>
        <w:gridCol w:w="440"/>
        <w:gridCol w:w="5881"/>
      </w:tblGrid>
      <w:tr w:rsidR="00191D46" w:rsidRPr="00277D8E" w:rsidTr="007B586C">
        <w:tc>
          <w:tcPr>
            <w:tcW w:w="2541" w:type="dxa"/>
            <w:shd w:val="clear" w:color="auto" w:fill="auto"/>
          </w:tcPr>
          <w:p w:rsidR="00191D46" w:rsidRPr="00277D8E" w:rsidRDefault="00191D46" w:rsidP="007B586C">
            <w:pPr>
              <w:rPr>
                <w:rFonts w:ascii="Georgia" w:hAnsi="Georgia"/>
                <w:b/>
              </w:rPr>
            </w:pPr>
            <w:r w:rsidRPr="00277D8E">
              <w:rPr>
                <w:rFonts w:ascii="Georgia" w:hAnsi="Georgia"/>
                <w:b/>
              </w:rPr>
              <w:t>Date of Decision</w:t>
            </w:r>
          </w:p>
        </w:tc>
        <w:tc>
          <w:tcPr>
            <w:tcW w:w="440" w:type="dxa"/>
            <w:shd w:val="clear" w:color="auto" w:fill="auto"/>
          </w:tcPr>
          <w:p w:rsidR="00191D46" w:rsidRPr="00277D8E" w:rsidRDefault="00191D46" w:rsidP="007B586C">
            <w:pPr>
              <w:rPr>
                <w:rFonts w:ascii="Georgia" w:hAnsi="Georgia"/>
                <w:b/>
              </w:rPr>
            </w:pPr>
            <w:r w:rsidRPr="00277D8E">
              <w:rPr>
                <w:rFonts w:ascii="Georgia" w:hAnsi="Georgia"/>
                <w:b/>
              </w:rPr>
              <w:t>:</w:t>
            </w:r>
          </w:p>
        </w:tc>
        <w:tc>
          <w:tcPr>
            <w:tcW w:w="5881" w:type="dxa"/>
            <w:shd w:val="clear" w:color="auto" w:fill="auto"/>
          </w:tcPr>
          <w:p w:rsidR="00191D46" w:rsidRPr="00277D8E" w:rsidRDefault="00F357F2" w:rsidP="007B586C">
            <w:pPr>
              <w:rPr>
                <w:rFonts w:ascii="Georgia" w:hAnsi="Georgia"/>
                <w:b/>
              </w:rPr>
            </w:pPr>
            <w:r>
              <w:rPr>
                <w:rFonts w:ascii="Georgia" w:hAnsi="Georgia"/>
                <w:b/>
              </w:rPr>
              <w:t xml:space="preserve">25 July 2019 </w:t>
            </w:r>
          </w:p>
        </w:tc>
      </w:tr>
    </w:tbl>
    <w:p w:rsidR="00CC1034" w:rsidRPr="003D5068" w:rsidRDefault="00CC1034" w:rsidP="00CC1034">
      <w:pPr>
        <w:rPr>
          <w:rFonts w:ascii="Georgia" w:hAnsi="Georgia"/>
          <w:b/>
        </w:rPr>
      </w:pPr>
    </w:p>
    <w:p w:rsidR="00CC1034" w:rsidRPr="003D5068" w:rsidRDefault="00CC1034" w:rsidP="00CC1034">
      <w:pPr>
        <w:rPr>
          <w:rFonts w:ascii="Georgia" w:hAnsi="Georgia"/>
          <w:b/>
        </w:rPr>
      </w:pPr>
    </w:p>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862"/>
      </w:tblGrid>
      <w:tr w:rsidR="00CC1034" w:rsidRPr="00277D8E" w:rsidTr="00277D8E">
        <w:trPr>
          <w:jc w:val="center"/>
        </w:trPr>
        <w:tc>
          <w:tcPr>
            <w:tcW w:w="9854" w:type="dxa"/>
            <w:shd w:val="clear" w:color="auto" w:fill="auto"/>
          </w:tcPr>
          <w:p w:rsidR="00CC1034" w:rsidRPr="00277D8E" w:rsidRDefault="00CC1034" w:rsidP="00277D8E">
            <w:pPr>
              <w:spacing w:before="240" w:after="240"/>
              <w:jc w:val="center"/>
              <w:rPr>
                <w:rFonts w:ascii="Georgia" w:hAnsi="Georgia"/>
                <w:b/>
              </w:rPr>
            </w:pPr>
            <w:r w:rsidRPr="00277D8E">
              <w:rPr>
                <w:rFonts w:ascii="Georgia" w:hAnsi="Georgia"/>
                <w:b/>
              </w:rPr>
              <w:t>DECISION</w:t>
            </w:r>
          </w:p>
        </w:tc>
      </w:tr>
    </w:tbl>
    <w:p w:rsidR="00CC1034" w:rsidRPr="003D5068" w:rsidRDefault="00CC1034" w:rsidP="00CC1034">
      <w:pPr>
        <w:jc w:val="both"/>
        <w:rPr>
          <w:rFonts w:ascii="Georgia" w:hAnsi="Georgia"/>
          <w:b/>
        </w:rPr>
      </w:pPr>
    </w:p>
    <w:p w:rsidR="00CC1034" w:rsidRPr="003D5068" w:rsidRDefault="00CC1034" w:rsidP="00CC1034">
      <w:pPr>
        <w:jc w:val="both"/>
        <w:rPr>
          <w:rFonts w:ascii="Georgia" w:hAnsi="Georgia"/>
          <w:b/>
        </w:rPr>
      </w:pPr>
    </w:p>
    <w:p w:rsidR="00F67659" w:rsidRPr="003D5068" w:rsidRDefault="00F67659" w:rsidP="00CC1034">
      <w:pPr>
        <w:jc w:val="both"/>
        <w:rPr>
          <w:rFonts w:ascii="Georgia" w:hAnsi="Georgia"/>
          <w:b/>
        </w:rPr>
      </w:pPr>
    </w:p>
    <w:p w:rsidR="00F67659" w:rsidRPr="003D5068" w:rsidRDefault="00F67659" w:rsidP="00CC1034">
      <w:pPr>
        <w:jc w:val="both"/>
        <w:rPr>
          <w:rFonts w:ascii="Georgia" w:hAnsi="Georgia"/>
          <w:b/>
        </w:rPr>
      </w:pPr>
    </w:p>
    <w:p w:rsidR="00CC1034" w:rsidRPr="003D5068" w:rsidRDefault="00CC1034" w:rsidP="00CC1034">
      <w:pPr>
        <w:jc w:val="both"/>
        <w:rPr>
          <w:rFonts w:ascii="Georgia" w:hAnsi="Georgia"/>
          <w:b/>
        </w:rPr>
      </w:pPr>
    </w:p>
    <w:p w:rsidR="00692DB0" w:rsidRDefault="00EA7868" w:rsidP="00CC1034">
      <w:pPr>
        <w:jc w:val="center"/>
        <w:rPr>
          <w:rFonts w:ascii="Georgia" w:hAnsi="Georgia"/>
        </w:rPr>
      </w:pPr>
      <w:r>
        <w:rPr>
          <w:rFonts w:ascii="Georgia" w:hAnsi="Georgia"/>
        </w:rPr>
        <w:t>© CROWN COPYRIGHT 2019</w:t>
      </w:r>
      <w:r w:rsidR="00CC1034" w:rsidRPr="003D5068">
        <w:rPr>
          <w:rFonts w:ascii="Georgia" w:hAnsi="Georgia"/>
        </w:rPr>
        <w:br w:type="page"/>
      </w:r>
    </w:p>
    <w:p w:rsidR="006337D5" w:rsidRPr="006337D5" w:rsidRDefault="006337D5" w:rsidP="006337D5">
      <w:pPr>
        <w:rPr>
          <w:rFonts w:ascii="Georgia" w:hAnsi="Georgia"/>
        </w:rPr>
      </w:pPr>
    </w:p>
    <w:p w:rsidR="006337D5" w:rsidRPr="006337D5" w:rsidRDefault="006337D5" w:rsidP="006337D5">
      <w:pPr>
        <w:rPr>
          <w:rFonts w:ascii="Georgia" w:hAnsi="Georgia"/>
          <w:b/>
        </w:rPr>
      </w:pPr>
      <w:r w:rsidRPr="006337D5">
        <w:rPr>
          <w:rFonts w:ascii="Georgia" w:hAnsi="Georgia"/>
          <w:b/>
        </w:rPr>
        <w:t>Background</w:t>
      </w:r>
    </w:p>
    <w:p w:rsidR="006337D5" w:rsidRPr="006337D5" w:rsidRDefault="006337D5" w:rsidP="006337D5">
      <w:pPr>
        <w:rPr>
          <w:rFonts w:ascii="Georgia" w:hAnsi="Georgia"/>
        </w:rPr>
      </w:pPr>
    </w:p>
    <w:p w:rsidR="00F357F2" w:rsidRPr="00F357F2" w:rsidRDefault="00F357F2" w:rsidP="00F357F2">
      <w:pPr>
        <w:pStyle w:val="ListParagraph"/>
        <w:ind w:hanging="720"/>
        <w:rPr>
          <w:rFonts w:ascii="Georgia" w:hAnsi="Georgia"/>
        </w:rPr>
      </w:pPr>
      <w:r w:rsidRPr="00F357F2">
        <w:rPr>
          <w:rFonts w:ascii="Georgia" w:hAnsi="Georgia"/>
        </w:rPr>
        <w:t>1.</w:t>
      </w:r>
      <w:r w:rsidRPr="00F357F2">
        <w:rPr>
          <w:rFonts w:ascii="Georgia" w:hAnsi="Georgia"/>
        </w:rPr>
        <w:tab/>
        <w:t xml:space="preserve">By a </w:t>
      </w:r>
      <w:r>
        <w:rPr>
          <w:rFonts w:ascii="Georgia" w:hAnsi="Georgia"/>
        </w:rPr>
        <w:t>Statement, dated 27th May 2019,</w:t>
      </w:r>
      <w:r w:rsidRPr="00F357F2">
        <w:rPr>
          <w:rFonts w:ascii="Georgia" w:hAnsi="Georgia"/>
        </w:rPr>
        <w:t xml:space="preserve"> in support of Grounds of Appeal, Mr Arshad Mahmood, on behalf of himself and his wife Rozina Mahmood, seeks to have the Prohibition Orders  dated 26th March 2019, set aside.</w:t>
      </w:r>
    </w:p>
    <w:p w:rsidR="00F357F2" w:rsidRPr="00F357F2" w:rsidRDefault="00F357F2" w:rsidP="00F357F2">
      <w:pPr>
        <w:pStyle w:val="ListParagraph"/>
        <w:ind w:hanging="720"/>
        <w:rPr>
          <w:rFonts w:ascii="Georgia" w:hAnsi="Georgia"/>
        </w:rPr>
      </w:pPr>
      <w:r w:rsidRPr="00F357F2">
        <w:rPr>
          <w:rFonts w:ascii="Georgia" w:hAnsi="Georgia"/>
        </w:rPr>
        <w:t>2.</w:t>
      </w:r>
      <w:r w:rsidRPr="00F357F2">
        <w:rPr>
          <w:rFonts w:ascii="Georgia" w:hAnsi="Georgia"/>
        </w:rPr>
        <w:tab/>
        <w:t>The Grounds of Appeal are set out in Mr Mahmood’s applications dated 19th April 2019.</w:t>
      </w:r>
    </w:p>
    <w:p w:rsidR="00F357F2" w:rsidRPr="00F357F2" w:rsidRDefault="00F357F2" w:rsidP="00F357F2">
      <w:pPr>
        <w:pStyle w:val="ListParagraph"/>
        <w:ind w:hanging="720"/>
        <w:rPr>
          <w:rFonts w:ascii="Georgia" w:hAnsi="Georgia"/>
        </w:rPr>
      </w:pPr>
      <w:r w:rsidRPr="00F357F2">
        <w:rPr>
          <w:rFonts w:ascii="Georgia" w:hAnsi="Georgia"/>
        </w:rPr>
        <w:t>3.</w:t>
      </w:r>
      <w:r w:rsidRPr="00F357F2">
        <w:rPr>
          <w:rFonts w:ascii="Georgia" w:hAnsi="Georgia"/>
        </w:rPr>
        <w:tab/>
        <w:t>In addition to considering those documents and the additional document (an email from the Leeds city Council Planning Compliance Officer dated 5th April 2019) enclosed with Mr Mahmood’s bundle, we also considered the documents filed by the Respondent, Leeds City Council, including the Statement of Case prepared by Jamie Comer (Principal Legal Officer) and the witness statement of Jason Murray (Principal Housing Officer) dated 11th June 2019.</w:t>
      </w:r>
    </w:p>
    <w:p w:rsidR="00F357F2" w:rsidRPr="00F357F2" w:rsidRDefault="00F357F2" w:rsidP="00F357F2">
      <w:pPr>
        <w:pStyle w:val="ListParagraph"/>
        <w:ind w:hanging="720"/>
        <w:rPr>
          <w:rFonts w:ascii="Georgia" w:hAnsi="Georgia"/>
        </w:rPr>
      </w:pPr>
      <w:r w:rsidRPr="00F357F2">
        <w:rPr>
          <w:rFonts w:ascii="Georgia" w:hAnsi="Georgia"/>
        </w:rPr>
        <w:t>4.</w:t>
      </w:r>
      <w:r w:rsidRPr="00F357F2">
        <w:rPr>
          <w:rFonts w:ascii="Georgia" w:hAnsi="Georgia"/>
        </w:rPr>
        <w:tab/>
        <w:t>We inspected the properties at 11am on Monday 22nd July 2019 in the presence of Mr Mahmood junior (the son of the Appellants) and Mr Comer and Mr Murray.</w:t>
      </w:r>
    </w:p>
    <w:p w:rsidR="00F357F2" w:rsidRPr="00F357F2" w:rsidRDefault="00F357F2" w:rsidP="00F357F2">
      <w:pPr>
        <w:pStyle w:val="ListParagraph"/>
        <w:ind w:hanging="720"/>
        <w:rPr>
          <w:rFonts w:ascii="Georgia" w:hAnsi="Georgia"/>
        </w:rPr>
      </w:pPr>
      <w:r w:rsidRPr="00F357F2">
        <w:rPr>
          <w:rFonts w:ascii="Georgia" w:hAnsi="Georgia"/>
        </w:rPr>
        <w:t>5.</w:t>
      </w:r>
      <w:r w:rsidRPr="00F357F2">
        <w:rPr>
          <w:rFonts w:ascii="Georgia" w:hAnsi="Georgia"/>
        </w:rPr>
        <w:tab/>
        <w:t>We convened thereafter to prepare our decision, neither party have required a hearing.</w:t>
      </w:r>
    </w:p>
    <w:p w:rsidR="00BB4439" w:rsidRDefault="00F357F2" w:rsidP="00F357F2">
      <w:pPr>
        <w:pStyle w:val="ListParagraph"/>
        <w:ind w:hanging="720"/>
        <w:rPr>
          <w:rFonts w:ascii="Georgia" w:hAnsi="Georgia"/>
        </w:rPr>
      </w:pPr>
      <w:r w:rsidRPr="00F357F2">
        <w:rPr>
          <w:rFonts w:ascii="Georgia" w:hAnsi="Georgia"/>
        </w:rPr>
        <w:t>6.</w:t>
      </w:r>
      <w:r w:rsidRPr="00F357F2">
        <w:rPr>
          <w:rFonts w:ascii="Georgia" w:hAnsi="Georgia"/>
        </w:rPr>
        <w:tab/>
        <w:t>There are no procedural issues in respect of the Tribunal application and proceedings.</w:t>
      </w:r>
    </w:p>
    <w:p w:rsidR="00F357F2" w:rsidRDefault="00F357F2" w:rsidP="00F357F2">
      <w:pPr>
        <w:pStyle w:val="ListParagraph"/>
        <w:ind w:hanging="720"/>
        <w:rPr>
          <w:rFonts w:ascii="Georgia" w:hAnsi="Georgia"/>
        </w:rPr>
      </w:pPr>
    </w:p>
    <w:p w:rsidR="006337D5" w:rsidRDefault="00F357F2" w:rsidP="006337D5">
      <w:pPr>
        <w:rPr>
          <w:rFonts w:ascii="Georgia" w:hAnsi="Georgia"/>
          <w:b/>
        </w:rPr>
      </w:pPr>
      <w:r w:rsidRPr="00F357F2">
        <w:rPr>
          <w:rFonts w:ascii="Georgia" w:hAnsi="Georgia"/>
          <w:b/>
        </w:rPr>
        <w:t>Determination</w:t>
      </w:r>
    </w:p>
    <w:p w:rsidR="00F357F2" w:rsidRPr="006337D5" w:rsidRDefault="00F357F2" w:rsidP="006337D5">
      <w:pPr>
        <w:rPr>
          <w:rFonts w:ascii="Georgia" w:hAnsi="Georgia"/>
        </w:rPr>
      </w:pPr>
    </w:p>
    <w:p w:rsidR="00F357F2" w:rsidRDefault="00F357F2" w:rsidP="00F357F2">
      <w:pPr>
        <w:numPr>
          <w:ilvl w:val="0"/>
          <w:numId w:val="14"/>
        </w:numPr>
        <w:rPr>
          <w:rFonts w:ascii="Georgia" w:hAnsi="Georgia"/>
        </w:rPr>
      </w:pPr>
      <w:r w:rsidRPr="00F357F2">
        <w:rPr>
          <w:rFonts w:ascii="Georgia" w:hAnsi="Georgia"/>
        </w:rPr>
        <w:t>We deal with each of the appellants’ Ground of Appeal as they appear in the application, taking into account the documentary evidence set out above and our inspection, which we found to be informative.</w:t>
      </w:r>
    </w:p>
    <w:p w:rsidR="00F357F2" w:rsidRPr="00F357F2" w:rsidRDefault="00F357F2" w:rsidP="00F357F2">
      <w:pPr>
        <w:ind w:left="644"/>
        <w:rPr>
          <w:rFonts w:ascii="Georgia" w:hAnsi="Georgia"/>
        </w:rPr>
      </w:pPr>
    </w:p>
    <w:p w:rsidR="00F357F2" w:rsidRDefault="00F357F2" w:rsidP="00F357F2">
      <w:pPr>
        <w:numPr>
          <w:ilvl w:val="0"/>
          <w:numId w:val="14"/>
        </w:numPr>
        <w:rPr>
          <w:rFonts w:ascii="Georgia" w:hAnsi="Georgia"/>
        </w:rPr>
      </w:pPr>
      <w:r w:rsidRPr="00F357F2">
        <w:rPr>
          <w:rFonts w:ascii="Georgia" w:hAnsi="Georgia"/>
        </w:rPr>
        <w:t>The Fines imposed should be one not two. They have a disproportionate financial impact.</w:t>
      </w:r>
    </w:p>
    <w:p w:rsidR="00F357F2" w:rsidRPr="00F357F2" w:rsidRDefault="00F357F2" w:rsidP="00F357F2">
      <w:pPr>
        <w:rPr>
          <w:rFonts w:ascii="Georgia" w:hAnsi="Georgia"/>
        </w:rPr>
      </w:pPr>
    </w:p>
    <w:p w:rsidR="00F357F2" w:rsidRDefault="00F357F2" w:rsidP="00F357F2">
      <w:pPr>
        <w:numPr>
          <w:ilvl w:val="0"/>
          <w:numId w:val="14"/>
        </w:numPr>
        <w:rPr>
          <w:rFonts w:ascii="Georgia" w:hAnsi="Georgia"/>
        </w:rPr>
      </w:pPr>
      <w:r w:rsidRPr="00F357F2">
        <w:rPr>
          <w:rFonts w:ascii="Georgia" w:hAnsi="Georgia"/>
        </w:rPr>
        <w:t>Determination. The “Fines” are not Fines but costs at a reasonable level. Each flat is a separate dwelling. A notice could have been exclusive to one flat and not the other. The flats were separately assessed. The Tribunal has no jurisdiction to quash a charge when not allowing an appeal.</w:t>
      </w:r>
    </w:p>
    <w:p w:rsidR="00F357F2" w:rsidRDefault="00F357F2" w:rsidP="00F357F2">
      <w:pPr>
        <w:pStyle w:val="ListParagraph"/>
        <w:rPr>
          <w:rFonts w:ascii="Georgia" w:hAnsi="Georgia"/>
        </w:rPr>
      </w:pPr>
    </w:p>
    <w:p w:rsidR="00F357F2" w:rsidRPr="00F357F2" w:rsidRDefault="00F357F2" w:rsidP="00F357F2">
      <w:pPr>
        <w:ind w:left="644"/>
        <w:rPr>
          <w:rFonts w:ascii="Georgia" w:hAnsi="Georgia"/>
        </w:rPr>
      </w:pPr>
    </w:p>
    <w:p w:rsidR="00F357F2" w:rsidRDefault="00F357F2" w:rsidP="00F357F2">
      <w:pPr>
        <w:numPr>
          <w:ilvl w:val="0"/>
          <w:numId w:val="14"/>
        </w:numPr>
        <w:rPr>
          <w:rFonts w:ascii="Georgia" w:hAnsi="Georgia"/>
        </w:rPr>
      </w:pPr>
      <w:r w:rsidRPr="00F357F2">
        <w:rPr>
          <w:rFonts w:ascii="Georgia" w:hAnsi="Georgia"/>
        </w:rPr>
        <w:t>The Prohibition Notices are unreasonable because a warning or the service of less onerous Notices (hazard awareness and /or Improvement) would have been more appropriate.</w:t>
      </w:r>
    </w:p>
    <w:p w:rsidR="00F357F2" w:rsidRPr="00F357F2" w:rsidRDefault="00F357F2" w:rsidP="00F357F2">
      <w:pPr>
        <w:ind w:left="644"/>
        <w:rPr>
          <w:rFonts w:ascii="Georgia" w:hAnsi="Georgia"/>
        </w:rPr>
      </w:pPr>
    </w:p>
    <w:p w:rsidR="00F357F2" w:rsidRDefault="00F357F2" w:rsidP="00F357F2">
      <w:pPr>
        <w:numPr>
          <w:ilvl w:val="0"/>
          <w:numId w:val="14"/>
        </w:numPr>
        <w:rPr>
          <w:rFonts w:ascii="Georgia" w:hAnsi="Georgia"/>
        </w:rPr>
      </w:pPr>
      <w:r w:rsidRPr="00F357F2">
        <w:rPr>
          <w:rFonts w:ascii="Georgia" w:hAnsi="Georgia"/>
        </w:rPr>
        <w:t xml:space="preserve">Determination.  Having identified two category 1 hazards. (Excess cold and Fire risk), the Respondent had a statutory duty to take appropriate enforcement action. The severity of the risks – unabated at the time of our inspection – justifies a Prohibition Notice.   Such conversion and </w:t>
      </w:r>
      <w:r w:rsidRPr="00F357F2">
        <w:rPr>
          <w:rFonts w:ascii="Georgia" w:hAnsi="Georgia"/>
        </w:rPr>
        <w:lastRenderedPageBreak/>
        <w:t>development has had taken place is already in conflict with the Listed Building planning requirements and to specify works in an Improvement Notice would be in conflict with those issues.</w:t>
      </w:r>
    </w:p>
    <w:p w:rsidR="00F357F2" w:rsidRDefault="00F357F2" w:rsidP="00F357F2">
      <w:pPr>
        <w:pStyle w:val="ListParagraph"/>
        <w:rPr>
          <w:rFonts w:ascii="Georgia" w:hAnsi="Georgia"/>
        </w:rPr>
      </w:pPr>
    </w:p>
    <w:p w:rsidR="00F357F2" w:rsidRPr="00F357F2" w:rsidRDefault="00F357F2" w:rsidP="00F357F2">
      <w:pPr>
        <w:ind w:left="644"/>
        <w:rPr>
          <w:rFonts w:ascii="Georgia" w:hAnsi="Georgia"/>
        </w:rPr>
      </w:pPr>
    </w:p>
    <w:p w:rsidR="00F357F2" w:rsidRDefault="00F357F2" w:rsidP="00F357F2">
      <w:pPr>
        <w:numPr>
          <w:ilvl w:val="0"/>
          <w:numId w:val="14"/>
        </w:numPr>
        <w:rPr>
          <w:rFonts w:ascii="Georgia" w:hAnsi="Georgia"/>
        </w:rPr>
      </w:pPr>
      <w:r w:rsidRPr="00F357F2">
        <w:rPr>
          <w:rFonts w:ascii="Georgia" w:hAnsi="Georgia"/>
        </w:rPr>
        <w:t>It is clear from Mr Murray’s statement that he did consider other options, but, rightly in our view, considered them to be inappropriate, have correctly applied the HHSRS Assessment.</w:t>
      </w:r>
    </w:p>
    <w:p w:rsidR="00F357F2" w:rsidRPr="00F357F2" w:rsidRDefault="00F357F2" w:rsidP="00F357F2">
      <w:pPr>
        <w:ind w:left="644"/>
        <w:rPr>
          <w:rFonts w:ascii="Georgia" w:hAnsi="Georgia"/>
        </w:rPr>
      </w:pPr>
    </w:p>
    <w:p w:rsidR="00F357F2" w:rsidRDefault="00F357F2" w:rsidP="00F357F2">
      <w:pPr>
        <w:numPr>
          <w:ilvl w:val="0"/>
          <w:numId w:val="14"/>
        </w:numPr>
        <w:rPr>
          <w:rFonts w:ascii="Georgia" w:hAnsi="Georgia"/>
        </w:rPr>
      </w:pPr>
      <w:r w:rsidRPr="00F357F2">
        <w:rPr>
          <w:rFonts w:ascii="Georgia" w:hAnsi="Georgia"/>
        </w:rPr>
        <w:t>9. There was a failure to consider then total financial impact of the chosen enforcement action.</w:t>
      </w:r>
    </w:p>
    <w:p w:rsidR="00F357F2" w:rsidRPr="00F357F2" w:rsidRDefault="00F357F2" w:rsidP="00F357F2">
      <w:pPr>
        <w:rPr>
          <w:rFonts w:ascii="Georgia" w:hAnsi="Georgia"/>
        </w:rPr>
      </w:pPr>
    </w:p>
    <w:p w:rsidR="00F357F2" w:rsidRDefault="00F357F2" w:rsidP="00F357F2">
      <w:pPr>
        <w:numPr>
          <w:ilvl w:val="0"/>
          <w:numId w:val="14"/>
        </w:numPr>
        <w:rPr>
          <w:rFonts w:ascii="Georgia" w:hAnsi="Georgia"/>
        </w:rPr>
      </w:pPr>
      <w:r w:rsidRPr="00F357F2">
        <w:rPr>
          <w:rFonts w:ascii="Georgia" w:hAnsi="Georgia"/>
        </w:rPr>
        <w:t>Determination. This is not a discrete requirement of the Housing Act 2004. To the extent that it could be said to impact upon the reasonableness of the chosen enforcement, we are satisfied that the issues were properly considered and balanced by Mr Murray. The financial detriment to the appellants arises much more from the expensive requirements of a Listed Building than any compliance with properly issued Prohibition Orders.</w:t>
      </w:r>
    </w:p>
    <w:p w:rsidR="00F357F2" w:rsidRPr="00F357F2" w:rsidRDefault="00F357F2" w:rsidP="00F357F2">
      <w:pPr>
        <w:rPr>
          <w:rFonts w:ascii="Georgia" w:hAnsi="Georgia"/>
        </w:rPr>
      </w:pPr>
    </w:p>
    <w:p w:rsidR="00F357F2" w:rsidRDefault="00F357F2" w:rsidP="00F357F2">
      <w:pPr>
        <w:numPr>
          <w:ilvl w:val="0"/>
          <w:numId w:val="14"/>
        </w:numPr>
        <w:rPr>
          <w:rFonts w:ascii="Georgia" w:hAnsi="Georgia"/>
        </w:rPr>
      </w:pPr>
      <w:r w:rsidRPr="00F357F2">
        <w:rPr>
          <w:rFonts w:ascii="Georgia" w:hAnsi="Georgia"/>
        </w:rPr>
        <w:t>There was no opportunity afforded to the landlords for pre-action discussion.</w:t>
      </w:r>
    </w:p>
    <w:p w:rsidR="00F357F2" w:rsidRPr="00F357F2" w:rsidRDefault="00F357F2" w:rsidP="00F357F2">
      <w:pPr>
        <w:rPr>
          <w:rFonts w:ascii="Georgia" w:hAnsi="Georgia"/>
        </w:rPr>
      </w:pPr>
    </w:p>
    <w:p w:rsidR="00F357F2" w:rsidRDefault="00F357F2" w:rsidP="00F357F2">
      <w:pPr>
        <w:numPr>
          <w:ilvl w:val="0"/>
          <w:numId w:val="14"/>
        </w:numPr>
        <w:rPr>
          <w:rFonts w:ascii="Georgia" w:hAnsi="Georgia"/>
        </w:rPr>
      </w:pPr>
      <w:r w:rsidRPr="00F357F2">
        <w:rPr>
          <w:rFonts w:ascii="Georgia" w:hAnsi="Georgia"/>
        </w:rPr>
        <w:t>Determination. None is required under Part 1 Housing Act 2004. In any event the hazards were such as to leave the Council open to criticism if they did not act promptly. There is no evidence, from our inspection, to suggest that the appellants have taken the opportunity to seriously address the issues raised, either by formal or informal discussions or by any works at the flats, which remain almost exactly as described by Mr Murray at the time of his inspection on 20th March 2019.</w:t>
      </w:r>
    </w:p>
    <w:p w:rsidR="00F357F2" w:rsidRPr="00F357F2" w:rsidRDefault="00F357F2" w:rsidP="00F357F2">
      <w:pPr>
        <w:rPr>
          <w:rFonts w:ascii="Georgia" w:hAnsi="Georgia"/>
        </w:rPr>
      </w:pPr>
    </w:p>
    <w:p w:rsidR="00F357F2" w:rsidRDefault="00F357F2" w:rsidP="00F357F2">
      <w:pPr>
        <w:numPr>
          <w:ilvl w:val="0"/>
          <w:numId w:val="14"/>
        </w:numPr>
        <w:rPr>
          <w:rFonts w:ascii="Georgia" w:hAnsi="Georgia"/>
        </w:rPr>
      </w:pPr>
      <w:r w:rsidRPr="00F357F2">
        <w:rPr>
          <w:rFonts w:ascii="Georgia" w:hAnsi="Georgia"/>
        </w:rPr>
        <w:t>11. The notices are invalid because the surname is misspelt and should not have been served on Mrs Rozina Mahmood or the bank.</w:t>
      </w:r>
    </w:p>
    <w:p w:rsidR="00F357F2" w:rsidRPr="00F357F2" w:rsidRDefault="00F357F2" w:rsidP="00F357F2">
      <w:pPr>
        <w:rPr>
          <w:rFonts w:ascii="Georgia" w:hAnsi="Georgia"/>
        </w:rPr>
      </w:pPr>
    </w:p>
    <w:p w:rsidR="00F357F2" w:rsidRDefault="00F357F2" w:rsidP="00F357F2">
      <w:pPr>
        <w:numPr>
          <w:ilvl w:val="0"/>
          <w:numId w:val="14"/>
        </w:numPr>
        <w:rPr>
          <w:rFonts w:ascii="Georgia" w:hAnsi="Georgia"/>
        </w:rPr>
      </w:pPr>
      <w:r w:rsidRPr="00F357F2">
        <w:rPr>
          <w:rFonts w:ascii="Georgia" w:hAnsi="Georgia"/>
        </w:rPr>
        <w:t>Determination. The Notices are in the name of the Registered Proprietors at the Land registry. Mrs Mahmood is one such. There is a statutory obligation on the Housing Authority to serve the Registered owners and any mortgagee (Paragraph 2. Schedule 2. Housing act 2004). The discrepancy of spelling, if any, is minor. It has not caused any confusion or injustice, and, applying the Overriding Objective, is not fatal to the local Authorities enforcement.</w:t>
      </w:r>
    </w:p>
    <w:p w:rsidR="00F357F2" w:rsidRPr="00F357F2" w:rsidRDefault="00F357F2" w:rsidP="00F357F2">
      <w:pPr>
        <w:rPr>
          <w:rFonts w:ascii="Georgia" w:hAnsi="Georgia"/>
        </w:rPr>
      </w:pPr>
    </w:p>
    <w:p w:rsidR="00F357F2" w:rsidRDefault="00F357F2" w:rsidP="00F357F2">
      <w:pPr>
        <w:numPr>
          <w:ilvl w:val="0"/>
          <w:numId w:val="14"/>
        </w:numPr>
        <w:rPr>
          <w:rFonts w:ascii="Georgia" w:hAnsi="Georgia"/>
        </w:rPr>
      </w:pPr>
      <w:r w:rsidRPr="00F357F2">
        <w:rPr>
          <w:rFonts w:ascii="Georgia" w:hAnsi="Georgia"/>
        </w:rPr>
        <w:t>The cost of rehabilitation is excessive because of listed building requirements.</w:t>
      </w:r>
    </w:p>
    <w:p w:rsidR="00F357F2" w:rsidRPr="00F357F2" w:rsidRDefault="00F357F2" w:rsidP="00F357F2">
      <w:pPr>
        <w:rPr>
          <w:rFonts w:ascii="Georgia" w:hAnsi="Georgia"/>
        </w:rPr>
      </w:pPr>
    </w:p>
    <w:p w:rsidR="00F357F2" w:rsidRDefault="00F357F2" w:rsidP="00F357F2">
      <w:pPr>
        <w:numPr>
          <w:ilvl w:val="0"/>
          <w:numId w:val="14"/>
        </w:numPr>
        <w:rPr>
          <w:rFonts w:ascii="Georgia" w:hAnsi="Georgia"/>
        </w:rPr>
      </w:pPr>
      <w:r w:rsidRPr="00F357F2">
        <w:rPr>
          <w:rFonts w:ascii="Georgia" w:hAnsi="Georgia"/>
        </w:rPr>
        <w:t xml:space="preserve">Determination. That may be so, but is not a ground for setting aside a Prohibition Order. There is no requirement, by virtue of the Prohibition Orders, to carry out any work. The prohibition simply prevents letting as a </w:t>
      </w:r>
      <w:r w:rsidRPr="00F357F2">
        <w:rPr>
          <w:rFonts w:ascii="Georgia" w:hAnsi="Georgia"/>
        </w:rPr>
        <w:lastRenderedPageBreak/>
        <w:t>dwelling. The high cost of compliance with Listed Building requirements, if the appellants chose to carry out works to satisfy the Prohibition Order, is a matter that the appellants may have been wise to consider before embarking upon letting for residential purposes. It cannot however justify the letting of hazardous dwellings to tenants.</w:t>
      </w:r>
    </w:p>
    <w:p w:rsidR="00F357F2" w:rsidRPr="00F357F2" w:rsidRDefault="00F357F2" w:rsidP="00F357F2">
      <w:pPr>
        <w:rPr>
          <w:rFonts w:ascii="Georgia" w:hAnsi="Georgia"/>
        </w:rPr>
      </w:pPr>
    </w:p>
    <w:p w:rsidR="009857BA" w:rsidRPr="00F357F2" w:rsidRDefault="00F357F2" w:rsidP="00F357F2">
      <w:pPr>
        <w:numPr>
          <w:ilvl w:val="0"/>
          <w:numId w:val="14"/>
        </w:numPr>
        <w:rPr>
          <w:rFonts w:ascii="Georgia" w:hAnsi="Georgia" w:cs="Arial"/>
          <w:b/>
        </w:rPr>
      </w:pPr>
      <w:r w:rsidRPr="00F357F2">
        <w:rPr>
          <w:rFonts w:ascii="Georgia" w:hAnsi="Georgia"/>
        </w:rPr>
        <w:t>For the above reasons we find that the appellants have not established that the Prohibition Orders were defective or an unreasonable method of enforcement and that the costs claimed are appropriate.</w:t>
      </w:r>
    </w:p>
    <w:p w:rsidR="00F357F2" w:rsidRDefault="00F357F2" w:rsidP="00F357F2">
      <w:pPr>
        <w:rPr>
          <w:rFonts w:ascii="Georgia" w:hAnsi="Georgia" w:cs="Arial"/>
          <w:b/>
        </w:rPr>
      </w:pPr>
    </w:p>
    <w:p w:rsidR="00F357F2" w:rsidRDefault="00F357F2" w:rsidP="00F357F2">
      <w:pPr>
        <w:rPr>
          <w:rFonts w:ascii="Georgia" w:hAnsi="Georgia" w:cs="Arial"/>
          <w:b/>
        </w:rPr>
      </w:pPr>
      <w:r>
        <w:rPr>
          <w:rFonts w:ascii="Georgia" w:hAnsi="Georgia" w:cs="Arial"/>
          <w:b/>
        </w:rPr>
        <w:t xml:space="preserve">Signed: Judge M Simpson </w:t>
      </w:r>
    </w:p>
    <w:p w:rsidR="00F357F2" w:rsidRPr="003D5068" w:rsidRDefault="00F357F2" w:rsidP="00F357F2">
      <w:pPr>
        <w:rPr>
          <w:rFonts w:ascii="Georgia" w:hAnsi="Georgia" w:cs="Arial"/>
          <w:b/>
        </w:rPr>
      </w:pPr>
      <w:r>
        <w:rPr>
          <w:rFonts w:ascii="Georgia" w:hAnsi="Georgia" w:cs="Arial"/>
          <w:b/>
        </w:rPr>
        <w:t xml:space="preserve">Date: 25 July 2019 </w:t>
      </w:r>
      <w:bookmarkStart w:id="0" w:name="_GoBack"/>
      <w:bookmarkEnd w:id="0"/>
    </w:p>
    <w:sectPr w:rsidR="00F357F2" w:rsidRPr="003D5068" w:rsidSect="001B7736">
      <w:footerReference w:type="even" r:id="rId9"/>
      <w:footerReference w:type="default" r:id="rId10"/>
      <w:pgSz w:w="12240" w:h="15840" w:code="1"/>
      <w:pgMar w:top="1440" w:right="1797" w:bottom="1440" w:left="1797"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C7B" w:rsidRDefault="00A36C7B">
      <w:r>
        <w:separator/>
      </w:r>
    </w:p>
  </w:endnote>
  <w:endnote w:type="continuationSeparator" w:id="0">
    <w:p w:rsidR="00A36C7B" w:rsidRDefault="00A3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E5A" w:rsidRDefault="00EC4E5A" w:rsidP="005642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4E5A" w:rsidRDefault="00EC4E5A" w:rsidP="00CA29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E5A" w:rsidRDefault="00EC4E5A">
    <w:pPr>
      <w:pStyle w:val="Footer"/>
      <w:jc w:val="center"/>
    </w:pPr>
    <w:r>
      <w:fldChar w:fldCharType="begin"/>
    </w:r>
    <w:r>
      <w:instrText xml:space="preserve"> PAGE   \* MERGEFORMAT </w:instrText>
    </w:r>
    <w:r>
      <w:fldChar w:fldCharType="separate"/>
    </w:r>
    <w:r w:rsidR="00F357F2">
      <w:rPr>
        <w:noProof/>
      </w:rPr>
      <w:t>4</w:t>
    </w:r>
    <w:r>
      <w:rPr>
        <w:noProof/>
      </w:rPr>
      <w:fldChar w:fldCharType="end"/>
    </w:r>
  </w:p>
  <w:p w:rsidR="00EC4E5A" w:rsidRPr="00023F09" w:rsidRDefault="00EC4E5A" w:rsidP="00023F09">
    <w:pPr>
      <w:pStyle w:val="Footer"/>
      <w:ind w:right="360"/>
      <w:jc w:val="center"/>
      <w:rPr>
        <w:rFonts w:ascii="Georgia" w:hAnsi="Georg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C7B" w:rsidRDefault="00A36C7B">
      <w:r>
        <w:separator/>
      </w:r>
    </w:p>
  </w:footnote>
  <w:footnote w:type="continuationSeparator" w:id="0">
    <w:p w:rsidR="00A36C7B" w:rsidRDefault="00A36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A00C2"/>
    <w:multiLevelType w:val="hybridMultilevel"/>
    <w:tmpl w:val="93083E9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6501F63"/>
    <w:multiLevelType w:val="hybridMultilevel"/>
    <w:tmpl w:val="6C0C6F68"/>
    <w:lvl w:ilvl="0" w:tplc="C9E4AD70">
      <w:start w:val="3"/>
      <w:numFmt w:val="decimal"/>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2" w15:restartNumberingAfterBreak="0">
    <w:nsid w:val="17930C03"/>
    <w:multiLevelType w:val="hybridMultilevel"/>
    <w:tmpl w:val="F2647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151D07"/>
    <w:multiLevelType w:val="hybridMultilevel"/>
    <w:tmpl w:val="D8E43AE8"/>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207503"/>
    <w:multiLevelType w:val="hybridMultilevel"/>
    <w:tmpl w:val="1A6E5F2C"/>
    <w:lvl w:ilvl="0" w:tplc="C9E4AD70">
      <w:start w:val="2"/>
      <w:numFmt w:val="decimal"/>
      <w:lvlText w:val="(%1)"/>
      <w:lvlJc w:val="left"/>
      <w:pPr>
        <w:tabs>
          <w:tab w:val="num" w:pos="5040"/>
        </w:tabs>
        <w:ind w:left="5040" w:hanging="720"/>
      </w:pPr>
      <w:rPr>
        <w:rFonts w:hint="default"/>
      </w:rPr>
    </w:lvl>
    <w:lvl w:ilvl="1" w:tplc="08090019" w:tentative="1">
      <w:start w:val="1"/>
      <w:numFmt w:val="lowerLetter"/>
      <w:lvlText w:val="%2."/>
      <w:lvlJc w:val="left"/>
      <w:pPr>
        <w:tabs>
          <w:tab w:val="num" w:pos="3600"/>
        </w:tabs>
        <w:ind w:left="3600" w:hanging="360"/>
      </w:pPr>
    </w:lvl>
    <w:lvl w:ilvl="2" w:tplc="0809001B" w:tentative="1">
      <w:start w:val="1"/>
      <w:numFmt w:val="lowerRoman"/>
      <w:lvlText w:val="%3."/>
      <w:lvlJc w:val="right"/>
      <w:pPr>
        <w:tabs>
          <w:tab w:val="num" w:pos="4320"/>
        </w:tabs>
        <w:ind w:left="4320" w:hanging="180"/>
      </w:pPr>
    </w:lvl>
    <w:lvl w:ilvl="3" w:tplc="95DA4A0C">
      <w:start w:val="1"/>
      <w:numFmt w:val="decimal"/>
      <w:lvlText w:val="%4."/>
      <w:lvlJc w:val="left"/>
      <w:pPr>
        <w:tabs>
          <w:tab w:val="num" w:pos="4980"/>
        </w:tabs>
        <w:ind w:left="4980" w:hanging="360"/>
      </w:pPr>
      <w:rPr>
        <w:b w:val="0"/>
      </w:rPr>
    </w:lvl>
    <w:lvl w:ilvl="4" w:tplc="08090019" w:tentative="1">
      <w:start w:val="1"/>
      <w:numFmt w:val="lowerLetter"/>
      <w:lvlText w:val="%5."/>
      <w:lvlJc w:val="left"/>
      <w:pPr>
        <w:tabs>
          <w:tab w:val="num" w:pos="5760"/>
        </w:tabs>
        <w:ind w:left="5760" w:hanging="360"/>
      </w:pPr>
    </w:lvl>
    <w:lvl w:ilvl="5" w:tplc="0809001B" w:tentative="1">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5" w15:restartNumberingAfterBreak="0">
    <w:nsid w:val="330A4172"/>
    <w:multiLevelType w:val="hybridMultilevel"/>
    <w:tmpl w:val="E17C1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FB1D3E"/>
    <w:multiLevelType w:val="hybridMultilevel"/>
    <w:tmpl w:val="2312B8C6"/>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CD7FD1"/>
    <w:multiLevelType w:val="hybridMultilevel"/>
    <w:tmpl w:val="816813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74C7993"/>
    <w:multiLevelType w:val="hybridMultilevel"/>
    <w:tmpl w:val="AC1E65A0"/>
    <w:lvl w:ilvl="0" w:tplc="995277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50164F"/>
    <w:multiLevelType w:val="hybridMultilevel"/>
    <w:tmpl w:val="67103AC8"/>
    <w:lvl w:ilvl="0" w:tplc="DBFE1ED0">
      <w:start w:val="1"/>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668C5AC6"/>
    <w:multiLevelType w:val="hybridMultilevel"/>
    <w:tmpl w:val="3A20613A"/>
    <w:lvl w:ilvl="0" w:tplc="C9E4AD70">
      <w:start w:val="2"/>
      <w:numFmt w:val="decimal"/>
      <w:lvlText w:val="(%1)"/>
      <w:lvlJc w:val="left"/>
      <w:pPr>
        <w:tabs>
          <w:tab w:val="num" w:pos="2880"/>
        </w:tabs>
        <w:ind w:left="28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BCB0E1F"/>
    <w:multiLevelType w:val="multilevel"/>
    <w:tmpl w:val="DA7A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5B72DD"/>
    <w:multiLevelType w:val="hybridMultilevel"/>
    <w:tmpl w:val="F0FEDC8A"/>
    <w:lvl w:ilvl="0" w:tplc="D206DE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92562DD"/>
    <w:multiLevelType w:val="hybridMultilevel"/>
    <w:tmpl w:val="993E83F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286F6C"/>
    <w:multiLevelType w:val="hybridMultilevel"/>
    <w:tmpl w:val="126ABD66"/>
    <w:lvl w:ilvl="0" w:tplc="1A547B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1"/>
  </w:num>
  <w:num w:numId="3">
    <w:abstractNumId w:val="14"/>
  </w:num>
  <w:num w:numId="4">
    <w:abstractNumId w:val="1"/>
  </w:num>
  <w:num w:numId="5">
    <w:abstractNumId w:val="10"/>
  </w:num>
  <w:num w:numId="6">
    <w:abstractNumId w:val="4"/>
  </w:num>
  <w:num w:numId="7">
    <w:abstractNumId w:val="12"/>
  </w:num>
  <w:num w:numId="8">
    <w:abstractNumId w:val="0"/>
  </w:num>
  <w:num w:numId="9">
    <w:abstractNumId w:val="2"/>
  </w:num>
  <w:num w:numId="10">
    <w:abstractNumId w:val="8"/>
  </w:num>
  <w:num w:numId="11">
    <w:abstractNumId w:val="13"/>
  </w:num>
  <w:num w:numId="12">
    <w:abstractNumId w:val="5"/>
  </w:num>
  <w:num w:numId="13">
    <w:abstractNumId w:val="7"/>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BDD"/>
    <w:rsid w:val="00000E8B"/>
    <w:rsid w:val="00010CF0"/>
    <w:rsid w:val="00012782"/>
    <w:rsid w:val="00012849"/>
    <w:rsid w:val="00012FD4"/>
    <w:rsid w:val="0002076E"/>
    <w:rsid w:val="00023F09"/>
    <w:rsid w:val="00034541"/>
    <w:rsid w:val="00034F2C"/>
    <w:rsid w:val="0003723D"/>
    <w:rsid w:val="000374A2"/>
    <w:rsid w:val="000519AF"/>
    <w:rsid w:val="00057871"/>
    <w:rsid w:val="000639AC"/>
    <w:rsid w:val="000665EA"/>
    <w:rsid w:val="000676AA"/>
    <w:rsid w:val="00071D40"/>
    <w:rsid w:val="0007321B"/>
    <w:rsid w:val="00074FDD"/>
    <w:rsid w:val="00076024"/>
    <w:rsid w:val="00076D8F"/>
    <w:rsid w:val="00090E45"/>
    <w:rsid w:val="00094641"/>
    <w:rsid w:val="00094E85"/>
    <w:rsid w:val="000A380A"/>
    <w:rsid w:val="000A3E18"/>
    <w:rsid w:val="000A7579"/>
    <w:rsid w:val="000B4FE3"/>
    <w:rsid w:val="000C13AB"/>
    <w:rsid w:val="000C2A52"/>
    <w:rsid w:val="000C699F"/>
    <w:rsid w:val="000D412C"/>
    <w:rsid w:val="000E3873"/>
    <w:rsid w:val="000F0775"/>
    <w:rsid w:val="000F7AA8"/>
    <w:rsid w:val="00101005"/>
    <w:rsid w:val="00102725"/>
    <w:rsid w:val="00110304"/>
    <w:rsid w:val="00112581"/>
    <w:rsid w:val="00130A13"/>
    <w:rsid w:val="001325D2"/>
    <w:rsid w:val="001363E4"/>
    <w:rsid w:val="00152874"/>
    <w:rsid w:val="00182DE3"/>
    <w:rsid w:val="00191866"/>
    <w:rsid w:val="00191D46"/>
    <w:rsid w:val="001A634B"/>
    <w:rsid w:val="001B22B3"/>
    <w:rsid w:val="001B2913"/>
    <w:rsid w:val="001B7736"/>
    <w:rsid w:val="001C0D26"/>
    <w:rsid w:val="001C2A1A"/>
    <w:rsid w:val="001D031E"/>
    <w:rsid w:val="001D21A7"/>
    <w:rsid w:val="001E3098"/>
    <w:rsid w:val="001E3C65"/>
    <w:rsid w:val="001E4A7A"/>
    <w:rsid w:val="001F433E"/>
    <w:rsid w:val="001F61FF"/>
    <w:rsid w:val="00216C6E"/>
    <w:rsid w:val="00231CBC"/>
    <w:rsid w:val="00235479"/>
    <w:rsid w:val="00237562"/>
    <w:rsid w:val="00245829"/>
    <w:rsid w:val="002749F0"/>
    <w:rsid w:val="00274E71"/>
    <w:rsid w:val="00275A6E"/>
    <w:rsid w:val="00277D8E"/>
    <w:rsid w:val="00280E25"/>
    <w:rsid w:val="00282F07"/>
    <w:rsid w:val="00292442"/>
    <w:rsid w:val="00293B8D"/>
    <w:rsid w:val="002B1940"/>
    <w:rsid w:val="002B3FC0"/>
    <w:rsid w:val="002D61A6"/>
    <w:rsid w:val="002E0CD9"/>
    <w:rsid w:val="002E46A9"/>
    <w:rsid w:val="002E57D5"/>
    <w:rsid w:val="002F2FB1"/>
    <w:rsid w:val="003076F6"/>
    <w:rsid w:val="00307EA1"/>
    <w:rsid w:val="0031216F"/>
    <w:rsid w:val="00322E31"/>
    <w:rsid w:val="00322E69"/>
    <w:rsid w:val="0033284D"/>
    <w:rsid w:val="0033593E"/>
    <w:rsid w:val="00344154"/>
    <w:rsid w:val="003454E6"/>
    <w:rsid w:val="003472CE"/>
    <w:rsid w:val="00373ED1"/>
    <w:rsid w:val="003A0842"/>
    <w:rsid w:val="003B64BD"/>
    <w:rsid w:val="003B6B24"/>
    <w:rsid w:val="003C1188"/>
    <w:rsid w:val="003C7503"/>
    <w:rsid w:val="003C7F2E"/>
    <w:rsid w:val="003D44A6"/>
    <w:rsid w:val="003D5068"/>
    <w:rsid w:val="003F1C3F"/>
    <w:rsid w:val="00400237"/>
    <w:rsid w:val="0041637C"/>
    <w:rsid w:val="004365EE"/>
    <w:rsid w:val="004417A5"/>
    <w:rsid w:val="00443BB8"/>
    <w:rsid w:val="0044610B"/>
    <w:rsid w:val="00446C7D"/>
    <w:rsid w:val="004519D1"/>
    <w:rsid w:val="00454AB8"/>
    <w:rsid w:val="00470045"/>
    <w:rsid w:val="00472C3C"/>
    <w:rsid w:val="00475DAE"/>
    <w:rsid w:val="0047602C"/>
    <w:rsid w:val="004828D3"/>
    <w:rsid w:val="00490A99"/>
    <w:rsid w:val="004B21C4"/>
    <w:rsid w:val="004C125B"/>
    <w:rsid w:val="004C76AD"/>
    <w:rsid w:val="004E1937"/>
    <w:rsid w:val="004E3419"/>
    <w:rsid w:val="004F215E"/>
    <w:rsid w:val="004F6A21"/>
    <w:rsid w:val="005206CF"/>
    <w:rsid w:val="0052451A"/>
    <w:rsid w:val="00537332"/>
    <w:rsid w:val="005403EF"/>
    <w:rsid w:val="005642DB"/>
    <w:rsid w:val="00575B26"/>
    <w:rsid w:val="00592BDD"/>
    <w:rsid w:val="005A5C9A"/>
    <w:rsid w:val="005C3C22"/>
    <w:rsid w:val="005D6487"/>
    <w:rsid w:val="005E1A3F"/>
    <w:rsid w:val="005E3C07"/>
    <w:rsid w:val="005F0ED2"/>
    <w:rsid w:val="005F4131"/>
    <w:rsid w:val="005F6D3F"/>
    <w:rsid w:val="0060087B"/>
    <w:rsid w:val="0060260A"/>
    <w:rsid w:val="00607953"/>
    <w:rsid w:val="00611A94"/>
    <w:rsid w:val="00631119"/>
    <w:rsid w:val="006337D5"/>
    <w:rsid w:val="00635187"/>
    <w:rsid w:val="006619EC"/>
    <w:rsid w:val="00666B6B"/>
    <w:rsid w:val="006720EF"/>
    <w:rsid w:val="006852E0"/>
    <w:rsid w:val="0069258F"/>
    <w:rsid w:val="00692DB0"/>
    <w:rsid w:val="00694651"/>
    <w:rsid w:val="00695347"/>
    <w:rsid w:val="00696CB7"/>
    <w:rsid w:val="006A4467"/>
    <w:rsid w:val="006C16E2"/>
    <w:rsid w:val="006C6D38"/>
    <w:rsid w:val="006C6FAD"/>
    <w:rsid w:val="006C7AFA"/>
    <w:rsid w:val="006E69B7"/>
    <w:rsid w:val="006F01A1"/>
    <w:rsid w:val="006F1BF2"/>
    <w:rsid w:val="00700594"/>
    <w:rsid w:val="0070481E"/>
    <w:rsid w:val="00704EDF"/>
    <w:rsid w:val="00707D8A"/>
    <w:rsid w:val="00714D4B"/>
    <w:rsid w:val="0071772E"/>
    <w:rsid w:val="00717FE8"/>
    <w:rsid w:val="00724696"/>
    <w:rsid w:val="007335A1"/>
    <w:rsid w:val="00742749"/>
    <w:rsid w:val="00750B27"/>
    <w:rsid w:val="00751B68"/>
    <w:rsid w:val="00754BF9"/>
    <w:rsid w:val="00756116"/>
    <w:rsid w:val="0076697B"/>
    <w:rsid w:val="00780253"/>
    <w:rsid w:val="00783EE3"/>
    <w:rsid w:val="007A7F36"/>
    <w:rsid w:val="007B18DB"/>
    <w:rsid w:val="007B20CC"/>
    <w:rsid w:val="007B316D"/>
    <w:rsid w:val="007B42BE"/>
    <w:rsid w:val="007C18F2"/>
    <w:rsid w:val="007C3848"/>
    <w:rsid w:val="007C4D40"/>
    <w:rsid w:val="007E3A8E"/>
    <w:rsid w:val="007E52D6"/>
    <w:rsid w:val="007F24CF"/>
    <w:rsid w:val="007F400F"/>
    <w:rsid w:val="00815451"/>
    <w:rsid w:val="008160DE"/>
    <w:rsid w:val="008245B4"/>
    <w:rsid w:val="008256AD"/>
    <w:rsid w:val="008270E3"/>
    <w:rsid w:val="008365BC"/>
    <w:rsid w:val="00836E14"/>
    <w:rsid w:val="00840C22"/>
    <w:rsid w:val="008623A9"/>
    <w:rsid w:val="00865738"/>
    <w:rsid w:val="0088796D"/>
    <w:rsid w:val="00893465"/>
    <w:rsid w:val="008B4668"/>
    <w:rsid w:val="008C62EA"/>
    <w:rsid w:val="008D4734"/>
    <w:rsid w:val="008D536A"/>
    <w:rsid w:val="008D5AF3"/>
    <w:rsid w:val="008D5D3B"/>
    <w:rsid w:val="008E4E7E"/>
    <w:rsid w:val="008E6096"/>
    <w:rsid w:val="008F712A"/>
    <w:rsid w:val="009069C5"/>
    <w:rsid w:val="00914B9F"/>
    <w:rsid w:val="009179F6"/>
    <w:rsid w:val="0092420B"/>
    <w:rsid w:val="00926F40"/>
    <w:rsid w:val="00940717"/>
    <w:rsid w:val="00955D35"/>
    <w:rsid w:val="00960FE1"/>
    <w:rsid w:val="00966360"/>
    <w:rsid w:val="009673F2"/>
    <w:rsid w:val="00975ED4"/>
    <w:rsid w:val="00977201"/>
    <w:rsid w:val="0097758B"/>
    <w:rsid w:val="009857BA"/>
    <w:rsid w:val="00985D7B"/>
    <w:rsid w:val="009932EB"/>
    <w:rsid w:val="009933EF"/>
    <w:rsid w:val="009A46F4"/>
    <w:rsid w:val="009C11C9"/>
    <w:rsid w:val="009D137D"/>
    <w:rsid w:val="00A02749"/>
    <w:rsid w:val="00A0334F"/>
    <w:rsid w:val="00A07F2C"/>
    <w:rsid w:val="00A133B8"/>
    <w:rsid w:val="00A34900"/>
    <w:rsid w:val="00A354E5"/>
    <w:rsid w:val="00A358B9"/>
    <w:rsid w:val="00A36C7B"/>
    <w:rsid w:val="00A5337C"/>
    <w:rsid w:val="00A5695A"/>
    <w:rsid w:val="00A626AF"/>
    <w:rsid w:val="00A6439B"/>
    <w:rsid w:val="00A74426"/>
    <w:rsid w:val="00A76BEC"/>
    <w:rsid w:val="00A8214F"/>
    <w:rsid w:val="00A86962"/>
    <w:rsid w:val="00A87FB6"/>
    <w:rsid w:val="00A9598D"/>
    <w:rsid w:val="00AA0F83"/>
    <w:rsid w:val="00AA404D"/>
    <w:rsid w:val="00AA48AB"/>
    <w:rsid w:val="00AA4C70"/>
    <w:rsid w:val="00AB5792"/>
    <w:rsid w:val="00AC15A4"/>
    <w:rsid w:val="00AC37D7"/>
    <w:rsid w:val="00AD454C"/>
    <w:rsid w:val="00AE158E"/>
    <w:rsid w:val="00AE3A4E"/>
    <w:rsid w:val="00AE441D"/>
    <w:rsid w:val="00AE4EB5"/>
    <w:rsid w:val="00AF4E00"/>
    <w:rsid w:val="00B059AF"/>
    <w:rsid w:val="00B06169"/>
    <w:rsid w:val="00B0750D"/>
    <w:rsid w:val="00B13C9C"/>
    <w:rsid w:val="00B20F63"/>
    <w:rsid w:val="00B23D19"/>
    <w:rsid w:val="00B3567E"/>
    <w:rsid w:val="00B373D0"/>
    <w:rsid w:val="00B60643"/>
    <w:rsid w:val="00B71512"/>
    <w:rsid w:val="00B72798"/>
    <w:rsid w:val="00B82596"/>
    <w:rsid w:val="00B87B91"/>
    <w:rsid w:val="00B90FDB"/>
    <w:rsid w:val="00BB129B"/>
    <w:rsid w:val="00BB1ECB"/>
    <w:rsid w:val="00BB4439"/>
    <w:rsid w:val="00BB56C8"/>
    <w:rsid w:val="00BC6D0A"/>
    <w:rsid w:val="00BD3AF3"/>
    <w:rsid w:val="00BE2C73"/>
    <w:rsid w:val="00BE3170"/>
    <w:rsid w:val="00BF2486"/>
    <w:rsid w:val="00BF446C"/>
    <w:rsid w:val="00C05B1D"/>
    <w:rsid w:val="00C07AD6"/>
    <w:rsid w:val="00C1254A"/>
    <w:rsid w:val="00C1347C"/>
    <w:rsid w:val="00C1581F"/>
    <w:rsid w:val="00C23F48"/>
    <w:rsid w:val="00C2547F"/>
    <w:rsid w:val="00C33726"/>
    <w:rsid w:val="00C33A3A"/>
    <w:rsid w:val="00C444ED"/>
    <w:rsid w:val="00C62787"/>
    <w:rsid w:val="00C66715"/>
    <w:rsid w:val="00C70EA2"/>
    <w:rsid w:val="00C72435"/>
    <w:rsid w:val="00C8066B"/>
    <w:rsid w:val="00C81955"/>
    <w:rsid w:val="00C81E35"/>
    <w:rsid w:val="00C87705"/>
    <w:rsid w:val="00C97D31"/>
    <w:rsid w:val="00CA2985"/>
    <w:rsid w:val="00CA4C72"/>
    <w:rsid w:val="00CB18F2"/>
    <w:rsid w:val="00CB1CEA"/>
    <w:rsid w:val="00CB5C51"/>
    <w:rsid w:val="00CB765E"/>
    <w:rsid w:val="00CC0E7A"/>
    <w:rsid w:val="00CC1034"/>
    <w:rsid w:val="00CD3BDF"/>
    <w:rsid w:val="00CD592E"/>
    <w:rsid w:val="00CE29DB"/>
    <w:rsid w:val="00CE6113"/>
    <w:rsid w:val="00CF3589"/>
    <w:rsid w:val="00D00962"/>
    <w:rsid w:val="00D1371C"/>
    <w:rsid w:val="00D17309"/>
    <w:rsid w:val="00D22C2A"/>
    <w:rsid w:val="00D43993"/>
    <w:rsid w:val="00D56018"/>
    <w:rsid w:val="00D63D9E"/>
    <w:rsid w:val="00D67FF4"/>
    <w:rsid w:val="00D70399"/>
    <w:rsid w:val="00D70FE8"/>
    <w:rsid w:val="00D730FC"/>
    <w:rsid w:val="00D74FDE"/>
    <w:rsid w:val="00D82AB2"/>
    <w:rsid w:val="00DA1C37"/>
    <w:rsid w:val="00DA78A9"/>
    <w:rsid w:val="00DB6DC7"/>
    <w:rsid w:val="00DC6717"/>
    <w:rsid w:val="00DC73E0"/>
    <w:rsid w:val="00E12968"/>
    <w:rsid w:val="00E20758"/>
    <w:rsid w:val="00E25783"/>
    <w:rsid w:val="00E329DA"/>
    <w:rsid w:val="00E40F9F"/>
    <w:rsid w:val="00E51255"/>
    <w:rsid w:val="00E54E1D"/>
    <w:rsid w:val="00E55B81"/>
    <w:rsid w:val="00E60258"/>
    <w:rsid w:val="00E64369"/>
    <w:rsid w:val="00E74B7F"/>
    <w:rsid w:val="00E90044"/>
    <w:rsid w:val="00EA02AD"/>
    <w:rsid w:val="00EA7868"/>
    <w:rsid w:val="00EB0701"/>
    <w:rsid w:val="00EB0EDD"/>
    <w:rsid w:val="00EB5502"/>
    <w:rsid w:val="00EB5A71"/>
    <w:rsid w:val="00EC062C"/>
    <w:rsid w:val="00EC45AA"/>
    <w:rsid w:val="00EC4E5A"/>
    <w:rsid w:val="00ED2E93"/>
    <w:rsid w:val="00ED33B7"/>
    <w:rsid w:val="00EE4BBC"/>
    <w:rsid w:val="00EF6A5E"/>
    <w:rsid w:val="00F00FBB"/>
    <w:rsid w:val="00F061A8"/>
    <w:rsid w:val="00F166F2"/>
    <w:rsid w:val="00F169F0"/>
    <w:rsid w:val="00F20FEF"/>
    <w:rsid w:val="00F21799"/>
    <w:rsid w:val="00F21A7B"/>
    <w:rsid w:val="00F23128"/>
    <w:rsid w:val="00F23770"/>
    <w:rsid w:val="00F3401C"/>
    <w:rsid w:val="00F357F2"/>
    <w:rsid w:val="00F47F7B"/>
    <w:rsid w:val="00F500CC"/>
    <w:rsid w:val="00F50F2A"/>
    <w:rsid w:val="00F57121"/>
    <w:rsid w:val="00F57660"/>
    <w:rsid w:val="00F67659"/>
    <w:rsid w:val="00F74F72"/>
    <w:rsid w:val="00F83629"/>
    <w:rsid w:val="00F93017"/>
    <w:rsid w:val="00F96CDD"/>
    <w:rsid w:val="00F97D2C"/>
    <w:rsid w:val="00FA0A92"/>
    <w:rsid w:val="00FA5CBE"/>
    <w:rsid w:val="00FB017F"/>
    <w:rsid w:val="00FB0DFA"/>
    <w:rsid w:val="00FB6F03"/>
    <w:rsid w:val="00FC2309"/>
    <w:rsid w:val="00FD6F68"/>
    <w:rsid w:val="00FE3F2B"/>
    <w:rsid w:val="00FE6D68"/>
    <w:rsid w:val="00FE6E2E"/>
    <w:rsid w:val="00FF0641"/>
    <w:rsid w:val="00FF6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3982369"/>
  <w15:chartTrackingRefBased/>
  <w15:docId w15:val="{9265B940-ED17-4C3A-9093-B18B898A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semiHidden/>
    <w:unhideWhenUsed/>
    <w:qFormat/>
    <w:rsid w:val="00CB18F2"/>
    <w:pPr>
      <w:keepNext/>
      <w:spacing w:before="240" w:after="60"/>
      <w:outlineLvl w:val="2"/>
    </w:pPr>
    <w:rPr>
      <w:rFonts w:ascii="Cambria" w:hAnsi="Cambria"/>
      <w:b/>
      <w:bCs/>
      <w:sz w:val="26"/>
      <w:szCs w:val="26"/>
    </w:rPr>
  </w:style>
  <w:style w:type="paragraph" w:styleId="Heading4">
    <w:name w:val="heading 4"/>
    <w:basedOn w:val="Normal"/>
    <w:link w:val="Heading4Char"/>
    <w:uiPriority w:val="9"/>
    <w:qFormat/>
    <w:rsid w:val="00CB18F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749F0"/>
    <w:rPr>
      <w:rFonts w:ascii="Verdana" w:hAnsi="Verdana" w:hint="default"/>
      <w:strike w:val="0"/>
      <w:dstrike w:val="0"/>
      <w:color w:val="3300CC"/>
      <w:u w:val="none"/>
      <w:effect w:val="none"/>
    </w:rPr>
  </w:style>
  <w:style w:type="character" w:styleId="Strong">
    <w:name w:val="Strong"/>
    <w:uiPriority w:val="22"/>
    <w:qFormat/>
    <w:rsid w:val="002749F0"/>
    <w:rPr>
      <w:b/>
      <w:bCs/>
    </w:rPr>
  </w:style>
  <w:style w:type="paragraph" w:customStyle="1" w:styleId="loose">
    <w:name w:val="loose"/>
    <w:basedOn w:val="Normal"/>
    <w:rsid w:val="002749F0"/>
    <w:pPr>
      <w:spacing w:before="210"/>
    </w:pPr>
  </w:style>
  <w:style w:type="character" w:customStyle="1" w:styleId="blue1">
    <w:name w:val="blue1"/>
    <w:rsid w:val="002749F0"/>
    <w:rPr>
      <w:color w:val="0000FF"/>
    </w:rPr>
  </w:style>
  <w:style w:type="character" w:customStyle="1" w:styleId="loose1">
    <w:name w:val="loose1"/>
    <w:rsid w:val="002749F0"/>
    <w:rPr>
      <w:vanish w:val="0"/>
      <w:webHidden w:val="0"/>
      <w:specVanish w:val="0"/>
    </w:rPr>
  </w:style>
  <w:style w:type="character" w:customStyle="1" w:styleId="tightinline1">
    <w:name w:val="tightinline1"/>
    <w:rsid w:val="002749F0"/>
  </w:style>
  <w:style w:type="character" w:customStyle="1" w:styleId="hit1">
    <w:name w:val="hit1"/>
    <w:rsid w:val="002749F0"/>
    <w:rPr>
      <w:b/>
      <w:bCs/>
      <w:color w:val="CC0033"/>
    </w:rPr>
  </w:style>
  <w:style w:type="character" w:customStyle="1" w:styleId="smcaps1">
    <w:name w:val="smcaps1"/>
    <w:rsid w:val="002749F0"/>
    <w:rPr>
      <w:smallCaps/>
    </w:rPr>
  </w:style>
  <w:style w:type="character" w:customStyle="1" w:styleId="l3b1">
    <w:name w:val="l3b1"/>
    <w:rsid w:val="002749F0"/>
    <w:rPr>
      <w:rFonts w:ascii="Verdana" w:hAnsi="Verdana" w:hint="default"/>
      <w:b/>
      <w:bCs/>
      <w:color w:val="333333"/>
      <w:sz w:val="16"/>
      <w:szCs w:val="16"/>
    </w:rPr>
  </w:style>
  <w:style w:type="character" w:customStyle="1" w:styleId="l3d1">
    <w:name w:val="l3d1"/>
    <w:rsid w:val="002749F0"/>
    <w:rPr>
      <w:rFonts w:ascii="Verdana" w:hAnsi="Verdana" w:hint="default"/>
      <w:color w:val="CCCCCC"/>
      <w:sz w:val="16"/>
      <w:szCs w:val="16"/>
    </w:rPr>
  </w:style>
  <w:style w:type="character" w:customStyle="1" w:styleId="copyright1">
    <w:name w:val="copyright1"/>
    <w:rsid w:val="002749F0"/>
    <w:rPr>
      <w:rFonts w:ascii="Verdana" w:hAnsi="Verdana" w:hint="default"/>
      <w:color w:val="333333"/>
      <w:sz w:val="14"/>
      <w:szCs w:val="14"/>
    </w:rPr>
  </w:style>
  <w:style w:type="paragraph" w:styleId="ListParagraph">
    <w:name w:val="List Paragraph"/>
    <w:basedOn w:val="Normal"/>
    <w:uiPriority w:val="34"/>
    <w:qFormat/>
    <w:rsid w:val="008245B4"/>
    <w:pPr>
      <w:ind w:left="720"/>
    </w:pPr>
  </w:style>
  <w:style w:type="paragraph" w:styleId="BalloonText">
    <w:name w:val="Balloon Text"/>
    <w:basedOn w:val="Normal"/>
    <w:link w:val="BalloonTextChar"/>
    <w:rsid w:val="00F20FEF"/>
    <w:rPr>
      <w:rFonts w:ascii="Tahoma" w:hAnsi="Tahoma"/>
      <w:sz w:val="16"/>
      <w:szCs w:val="16"/>
      <w:lang w:val="x-none" w:eastAsia="x-none"/>
    </w:rPr>
  </w:style>
  <w:style w:type="character" w:customStyle="1" w:styleId="BalloonTextChar">
    <w:name w:val="Balloon Text Char"/>
    <w:link w:val="BalloonText"/>
    <w:rsid w:val="00F20FEF"/>
    <w:rPr>
      <w:rFonts w:ascii="Tahoma" w:hAnsi="Tahoma" w:cs="Tahoma"/>
      <w:sz w:val="16"/>
      <w:szCs w:val="16"/>
    </w:rPr>
  </w:style>
  <w:style w:type="paragraph" w:styleId="Footer">
    <w:name w:val="footer"/>
    <w:basedOn w:val="Normal"/>
    <w:link w:val="FooterChar"/>
    <w:uiPriority w:val="99"/>
    <w:rsid w:val="00CA2985"/>
    <w:pPr>
      <w:tabs>
        <w:tab w:val="center" w:pos="4153"/>
        <w:tab w:val="right" w:pos="8306"/>
      </w:tabs>
    </w:pPr>
    <w:rPr>
      <w:lang w:val="x-none" w:eastAsia="x-none"/>
    </w:rPr>
  </w:style>
  <w:style w:type="character" w:styleId="PageNumber">
    <w:name w:val="page number"/>
    <w:basedOn w:val="DefaultParagraphFont"/>
    <w:rsid w:val="00CA2985"/>
  </w:style>
  <w:style w:type="paragraph" w:styleId="Header">
    <w:name w:val="header"/>
    <w:basedOn w:val="Normal"/>
    <w:rsid w:val="00CA2985"/>
    <w:pPr>
      <w:tabs>
        <w:tab w:val="center" w:pos="4153"/>
        <w:tab w:val="right" w:pos="8306"/>
      </w:tabs>
    </w:pPr>
  </w:style>
  <w:style w:type="table" w:styleId="TableGrid">
    <w:name w:val="Table Grid"/>
    <w:basedOn w:val="TableNormal"/>
    <w:rsid w:val="00CC1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77D8E"/>
    <w:rPr>
      <w:sz w:val="24"/>
      <w:szCs w:val="24"/>
    </w:rPr>
  </w:style>
  <w:style w:type="paragraph" w:customStyle="1" w:styleId="Default">
    <w:name w:val="Default"/>
    <w:rsid w:val="000374A2"/>
    <w:pPr>
      <w:autoSpaceDE w:val="0"/>
      <w:autoSpaceDN w:val="0"/>
      <w:adjustRightInd w:val="0"/>
    </w:pPr>
    <w:rPr>
      <w:rFonts w:ascii="Verdana" w:hAnsi="Verdana" w:cs="Verdana"/>
      <w:color w:val="000000"/>
      <w:sz w:val="24"/>
      <w:szCs w:val="24"/>
    </w:rPr>
  </w:style>
  <w:style w:type="character" w:customStyle="1" w:styleId="Heading4Char">
    <w:name w:val="Heading 4 Char"/>
    <w:basedOn w:val="DefaultParagraphFont"/>
    <w:link w:val="Heading4"/>
    <w:uiPriority w:val="9"/>
    <w:rsid w:val="00CB18F2"/>
    <w:rPr>
      <w:b/>
      <w:bCs/>
      <w:sz w:val="24"/>
      <w:szCs w:val="24"/>
    </w:rPr>
  </w:style>
  <w:style w:type="character" w:customStyle="1" w:styleId="legds">
    <w:name w:val="legds"/>
    <w:basedOn w:val="DefaultParagraphFont"/>
    <w:rsid w:val="00CB18F2"/>
  </w:style>
  <w:style w:type="paragraph" w:customStyle="1" w:styleId="legclearfix">
    <w:name w:val="legclearfix"/>
    <w:basedOn w:val="Normal"/>
    <w:rsid w:val="00CB18F2"/>
    <w:pPr>
      <w:spacing w:before="100" w:beforeAutospacing="1" w:after="100" w:afterAutospacing="1"/>
    </w:pPr>
  </w:style>
  <w:style w:type="character" w:customStyle="1" w:styleId="legchangedelimiter">
    <w:name w:val="legchangedelimiter"/>
    <w:basedOn w:val="DefaultParagraphFont"/>
    <w:rsid w:val="00CB18F2"/>
  </w:style>
  <w:style w:type="character" w:customStyle="1" w:styleId="legaddition">
    <w:name w:val="legaddition"/>
    <w:basedOn w:val="DefaultParagraphFont"/>
    <w:rsid w:val="00CB18F2"/>
  </w:style>
  <w:style w:type="character" w:customStyle="1" w:styleId="legterm">
    <w:name w:val="legterm"/>
    <w:basedOn w:val="DefaultParagraphFont"/>
    <w:rsid w:val="00CB18F2"/>
  </w:style>
  <w:style w:type="paragraph" w:customStyle="1" w:styleId="legrhs">
    <w:name w:val="legrhs"/>
    <w:basedOn w:val="Normal"/>
    <w:rsid w:val="00CB18F2"/>
    <w:pPr>
      <w:spacing w:before="100" w:beforeAutospacing="1" w:after="100" w:afterAutospacing="1"/>
    </w:pPr>
  </w:style>
  <w:style w:type="character" w:customStyle="1" w:styleId="Heading3Char">
    <w:name w:val="Heading 3 Char"/>
    <w:basedOn w:val="DefaultParagraphFont"/>
    <w:link w:val="Heading3"/>
    <w:semiHidden/>
    <w:rsid w:val="00CB18F2"/>
    <w:rPr>
      <w:rFonts w:ascii="Cambria" w:eastAsia="Times New Roman" w:hAnsi="Cambria" w:cs="Times New Roman"/>
      <w:b/>
      <w:bCs/>
      <w:sz w:val="26"/>
      <w:szCs w:val="26"/>
    </w:rPr>
  </w:style>
  <w:style w:type="character" w:customStyle="1" w:styleId="legparttitle">
    <w:name w:val="legparttitle"/>
    <w:basedOn w:val="DefaultParagraphFont"/>
    <w:rsid w:val="00CB18F2"/>
  </w:style>
  <w:style w:type="character" w:customStyle="1" w:styleId="legpblocktitle">
    <w:name w:val="legpblocktitle"/>
    <w:basedOn w:val="DefaultParagraphFont"/>
    <w:rsid w:val="00CB18F2"/>
  </w:style>
  <w:style w:type="character" w:customStyle="1" w:styleId="legsubstitution">
    <w:name w:val="legsubstitution"/>
    <w:basedOn w:val="DefaultParagraphFont"/>
    <w:rsid w:val="00CB1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7820">
      <w:bodyDiv w:val="1"/>
      <w:marLeft w:val="0"/>
      <w:marRight w:val="0"/>
      <w:marTop w:val="0"/>
      <w:marBottom w:val="0"/>
      <w:divBdr>
        <w:top w:val="none" w:sz="0" w:space="0" w:color="auto"/>
        <w:left w:val="none" w:sz="0" w:space="0" w:color="auto"/>
        <w:bottom w:val="none" w:sz="0" w:space="0" w:color="auto"/>
        <w:right w:val="none" w:sz="0" w:space="0" w:color="auto"/>
      </w:divBdr>
    </w:div>
    <w:div w:id="823471843">
      <w:bodyDiv w:val="1"/>
      <w:marLeft w:val="0"/>
      <w:marRight w:val="0"/>
      <w:marTop w:val="0"/>
      <w:marBottom w:val="0"/>
      <w:divBdr>
        <w:top w:val="none" w:sz="0" w:space="0" w:color="auto"/>
        <w:left w:val="none" w:sz="0" w:space="0" w:color="auto"/>
        <w:bottom w:val="none" w:sz="0" w:space="0" w:color="auto"/>
        <w:right w:val="none" w:sz="0" w:space="0" w:color="auto"/>
      </w:divBdr>
      <w:divsChild>
        <w:div w:id="1125391536">
          <w:marLeft w:val="75"/>
          <w:marRight w:val="75"/>
          <w:marTop w:val="0"/>
          <w:marBottom w:val="0"/>
          <w:divBdr>
            <w:top w:val="none" w:sz="0" w:space="0" w:color="auto"/>
            <w:left w:val="none" w:sz="0" w:space="0" w:color="auto"/>
            <w:bottom w:val="none" w:sz="0" w:space="0" w:color="auto"/>
            <w:right w:val="none" w:sz="0" w:space="0" w:color="auto"/>
          </w:divBdr>
          <w:divsChild>
            <w:div w:id="1470594369">
              <w:marLeft w:val="0"/>
              <w:marRight w:val="0"/>
              <w:marTop w:val="0"/>
              <w:marBottom w:val="0"/>
              <w:divBdr>
                <w:top w:val="none" w:sz="0" w:space="0" w:color="auto"/>
                <w:left w:val="none" w:sz="0" w:space="0" w:color="auto"/>
                <w:bottom w:val="none" w:sz="0" w:space="0" w:color="auto"/>
                <w:right w:val="none" w:sz="0" w:space="0" w:color="auto"/>
              </w:divBdr>
              <w:divsChild>
                <w:div w:id="115636547">
                  <w:marLeft w:val="300"/>
                  <w:marRight w:val="0"/>
                  <w:marTop w:val="0"/>
                  <w:marBottom w:val="0"/>
                  <w:divBdr>
                    <w:top w:val="none" w:sz="0" w:space="0" w:color="auto"/>
                    <w:left w:val="none" w:sz="0" w:space="0" w:color="auto"/>
                    <w:bottom w:val="none" w:sz="0" w:space="0" w:color="auto"/>
                    <w:right w:val="none" w:sz="0" w:space="0" w:color="auto"/>
                  </w:divBdr>
                </w:div>
                <w:div w:id="723482198">
                  <w:marLeft w:val="0"/>
                  <w:marRight w:val="0"/>
                  <w:marTop w:val="0"/>
                  <w:marBottom w:val="105"/>
                  <w:divBdr>
                    <w:top w:val="none" w:sz="0" w:space="0" w:color="auto"/>
                    <w:left w:val="none" w:sz="0" w:space="0" w:color="auto"/>
                    <w:bottom w:val="none" w:sz="0" w:space="0" w:color="auto"/>
                    <w:right w:val="none" w:sz="0" w:space="0" w:color="auto"/>
                  </w:divBdr>
                  <w:divsChild>
                    <w:div w:id="1813479341">
                      <w:marLeft w:val="0"/>
                      <w:marRight w:val="0"/>
                      <w:marTop w:val="105"/>
                      <w:marBottom w:val="0"/>
                      <w:divBdr>
                        <w:top w:val="none" w:sz="0" w:space="0" w:color="auto"/>
                        <w:left w:val="none" w:sz="0" w:space="0" w:color="auto"/>
                        <w:bottom w:val="none" w:sz="0" w:space="0" w:color="auto"/>
                        <w:right w:val="none" w:sz="0" w:space="0" w:color="auto"/>
                      </w:divBdr>
                    </w:div>
                  </w:divsChild>
                </w:div>
                <w:div w:id="1010373892">
                  <w:marLeft w:val="0"/>
                  <w:marRight w:val="0"/>
                  <w:marTop w:val="0"/>
                  <w:marBottom w:val="0"/>
                  <w:divBdr>
                    <w:top w:val="none" w:sz="0" w:space="0" w:color="auto"/>
                    <w:left w:val="none" w:sz="0" w:space="0" w:color="auto"/>
                    <w:bottom w:val="none" w:sz="0" w:space="0" w:color="auto"/>
                    <w:right w:val="none" w:sz="0" w:space="0" w:color="auto"/>
                  </w:divBdr>
                </w:div>
                <w:div w:id="10301814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24281819">
          <w:marLeft w:val="0"/>
          <w:marRight w:val="0"/>
          <w:marTop w:val="600"/>
          <w:marBottom w:val="0"/>
          <w:divBdr>
            <w:top w:val="single" w:sz="6" w:space="0" w:color="CCCCCC"/>
            <w:left w:val="none" w:sz="0" w:space="0" w:color="auto"/>
            <w:bottom w:val="none" w:sz="0" w:space="0" w:color="auto"/>
            <w:right w:val="none" w:sz="0" w:space="0" w:color="auto"/>
          </w:divBdr>
        </w:div>
      </w:divsChild>
    </w:div>
    <w:div w:id="841119769">
      <w:bodyDiv w:val="1"/>
      <w:marLeft w:val="0"/>
      <w:marRight w:val="0"/>
      <w:marTop w:val="0"/>
      <w:marBottom w:val="0"/>
      <w:divBdr>
        <w:top w:val="none" w:sz="0" w:space="0" w:color="auto"/>
        <w:left w:val="none" w:sz="0" w:space="0" w:color="auto"/>
        <w:bottom w:val="none" w:sz="0" w:space="0" w:color="auto"/>
        <w:right w:val="none" w:sz="0" w:space="0" w:color="auto"/>
      </w:divBdr>
    </w:div>
    <w:div w:id="1031883300">
      <w:bodyDiv w:val="1"/>
      <w:marLeft w:val="0"/>
      <w:marRight w:val="0"/>
      <w:marTop w:val="0"/>
      <w:marBottom w:val="0"/>
      <w:divBdr>
        <w:top w:val="none" w:sz="0" w:space="0" w:color="auto"/>
        <w:left w:val="none" w:sz="0" w:space="0" w:color="auto"/>
        <w:bottom w:val="none" w:sz="0" w:space="0" w:color="auto"/>
        <w:right w:val="none" w:sz="0" w:space="0" w:color="auto"/>
      </w:divBdr>
    </w:div>
    <w:div w:id="1598908932">
      <w:bodyDiv w:val="1"/>
      <w:marLeft w:val="0"/>
      <w:marRight w:val="0"/>
      <w:marTop w:val="0"/>
      <w:marBottom w:val="0"/>
      <w:divBdr>
        <w:top w:val="none" w:sz="0" w:space="0" w:color="auto"/>
        <w:left w:val="none" w:sz="0" w:space="0" w:color="auto"/>
        <w:bottom w:val="none" w:sz="0" w:space="0" w:color="auto"/>
        <w:right w:val="none" w:sz="0" w:space="0" w:color="auto"/>
      </w:divBdr>
      <w:divsChild>
        <w:div w:id="470558507">
          <w:marLeft w:val="0"/>
          <w:marRight w:val="0"/>
          <w:marTop w:val="600"/>
          <w:marBottom w:val="0"/>
          <w:divBdr>
            <w:top w:val="single" w:sz="6" w:space="0" w:color="CCCCCC"/>
            <w:left w:val="none" w:sz="0" w:space="0" w:color="auto"/>
            <w:bottom w:val="none" w:sz="0" w:space="0" w:color="auto"/>
            <w:right w:val="none" w:sz="0" w:space="0" w:color="auto"/>
          </w:divBdr>
        </w:div>
        <w:div w:id="661279692">
          <w:marLeft w:val="75"/>
          <w:marRight w:val="75"/>
          <w:marTop w:val="0"/>
          <w:marBottom w:val="0"/>
          <w:divBdr>
            <w:top w:val="none" w:sz="0" w:space="0" w:color="auto"/>
            <w:left w:val="none" w:sz="0" w:space="0" w:color="auto"/>
            <w:bottom w:val="none" w:sz="0" w:space="0" w:color="auto"/>
            <w:right w:val="none" w:sz="0" w:space="0" w:color="auto"/>
          </w:divBdr>
          <w:divsChild>
            <w:div w:id="469633976">
              <w:marLeft w:val="0"/>
              <w:marRight w:val="0"/>
              <w:marTop w:val="0"/>
              <w:marBottom w:val="0"/>
              <w:divBdr>
                <w:top w:val="none" w:sz="0" w:space="0" w:color="auto"/>
                <w:left w:val="none" w:sz="0" w:space="0" w:color="auto"/>
                <w:bottom w:val="none" w:sz="0" w:space="0" w:color="auto"/>
                <w:right w:val="none" w:sz="0" w:space="0" w:color="auto"/>
              </w:divBdr>
              <w:divsChild>
                <w:div w:id="803544137">
                  <w:marLeft w:val="0"/>
                  <w:marRight w:val="0"/>
                  <w:marTop w:val="0"/>
                  <w:marBottom w:val="0"/>
                  <w:divBdr>
                    <w:top w:val="none" w:sz="0" w:space="0" w:color="auto"/>
                    <w:left w:val="none" w:sz="0" w:space="0" w:color="auto"/>
                    <w:bottom w:val="none" w:sz="0" w:space="0" w:color="auto"/>
                    <w:right w:val="none" w:sz="0" w:space="0" w:color="auto"/>
                  </w:divBdr>
                </w:div>
                <w:div w:id="1681008539">
                  <w:marLeft w:val="300"/>
                  <w:marRight w:val="0"/>
                  <w:marTop w:val="0"/>
                  <w:marBottom w:val="0"/>
                  <w:divBdr>
                    <w:top w:val="none" w:sz="0" w:space="0" w:color="auto"/>
                    <w:left w:val="none" w:sz="0" w:space="0" w:color="auto"/>
                    <w:bottom w:val="none" w:sz="0" w:space="0" w:color="auto"/>
                    <w:right w:val="none" w:sz="0" w:space="0" w:color="auto"/>
                  </w:divBdr>
                </w:div>
                <w:div w:id="1797332116">
                  <w:marLeft w:val="0"/>
                  <w:marRight w:val="0"/>
                  <w:marTop w:val="0"/>
                  <w:marBottom w:val="105"/>
                  <w:divBdr>
                    <w:top w:val="none" w:sz="0" w:space="0" w:color="auto"/>
                    <w:left w:val="none" w:sz="0" w:space="0" w:color="auto"/>
                    <w:bottom w:val="none" w:sz="0" w:space="0" w:color="auto"/>
                    <w:right w:val="none" w:sz="0" w:space="0" w:color="auto"/>
                  </w:divBdr>
                  <w:divsChild>
                    <w:div w:id="430666766">
                      <w:marLeft w:val="0"/>
                      <w:marRight w:val="0"/>
                      <w:marTop w:val="105"/>
                      <w:marBottom w:val="0"/>
                      <w:divBdr>
                        <w:top w:val="none" w:sz="0" w:space="0" w:color="auto"/>
                        <w:left w:val="none" w:sz="0" w:space="0" w:color="auto"/>
                        <w:bottom w:val="none" w:sz="0" w:space="0" w:color="auto"/>
                        <w:right w:val="none" w:sz="0" w:space="0" w:color="auto"/>
                      </w:divBdr>
                    </w:div>
                  </w:divsChild>
                </w:div>
                <w:div w:id="184558463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E987E-5FA3-416A-BDD3-03F9CCD2E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The basis upon which any variation can be made is set out in ss</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basis upon which any variation can be made is set out in ss</dc:title>
  <dc:subject/>
  <dc:creator>PAUL</dc:creator>
  <cp:keywords/>
  <cp:lastModifiedBy>Cullinane, Freya</cp:lastModifiedBy>
  <cp:revision>2</cp:revision>
  <cp:lastPrinted>2019-07-25T08:34:00Z</cp:lastPrinted>
  <dcterms:created xsi:type="dcterms:W3CDTF">2019-07-25T08:34:00Z</dcterms:created>
  <dcterms:modified xsi:type="dcterms:W3CDTF">2019-07-25T08:34:00Z</dcterms:modified>
</cp:coreProperties>
</file>