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0C88" w14:textId="493067C2" w:rsidR="005E7B5C" w:rsidRPr="003F06E4" w:rsidRDefault="005E7B5C" w:rsidP="00FC0AA9">
      <w:pPr>
        <w:pStyle w:val="EMBanner"/>
      </w:pPr>
      <w:r w:rsidRPr="003F06E4">
        <w:t xml:space="preserve">EXPLANATORY </w:t>
      </w:r>
      <w:r w:rsidRPr="00FC0AA9">
        <w:t>MEMOR</w:t>
      </w:r>
      <w:bookmarkStart w:id="0" w:name="_GoBack"/>
      <w:bookmarkEnd w:id="0"/>
      <w:r w:rsidRPr="00FC0AA9">
        <w:t>ANDUM</w:t>
      </w:r>
      <w:r w:rsidRPr="003F06E4">
        <w:t xml:space="preserve"> TO</w:t>
      </w:r>
    </w:p>
    <w:p w14:paraId="40AB8FE7" w14:textId="77777777" w:rsidR="005E7B5C" w:rsidRPr="003F06E4" w:rsidRDefault="006D6403" w:rsidP="00FC0AA9">
      <w:pPr>
        <w:pStyle w:val="EMSITitle"/>
      </w:pPr>
      <w:bookmarkStart w:id="1" w:name="_1fob9te" w:colFirst="0" w:colLast="0"/>
      <w:bookmarkEnd w:id="1"/>
      <w:r>
        <w:t>The Environment and Rural Affairs (Amendment) (EU Exit) Regulations 2019</w:t>
      </w:r>
    </w:p>
    <w:p w14:paraId="10BC6A3C" w14:textId="77777777" w:rsidR="005E7B5C" w:rsidRPr="003F06E4" w:rsidRDefault="003930F2" w:rsidP="005E7B5C">
      <w:pPr>
        <w:pStyle w:val="EMSINumber"/>
      </w:pPr>
      <w:r>
        <w:t>2019</w:t>
      </w:r>
      <w:r w:rsidR="005E7B5C" w:rsidRPr="003F06E4">
        <w:t xml:space="preserve"> No. [XXXX]</w:t>
      </w:r>
    </w:p>
    <w:p w14:paraId="2744470E" w14:textId="77777777" w:rsidR="005E7B5C" w:rsidRDefault="005E7B5C" w:rsidP="00CD4FDB">
      <w:pPr>
        <w:pStyle w:val="EMSectionTitle"/>
      </w:pPr>
      <w:r w:rsidRPr="00CD4FDB">
        <w:t>Introduction</w:t>
      </w:r>
    </w:p>
    <w:p w14:paraId="0166B3F7" w14:textId="77777777" w:rsidR="005E7B5C" w:rsidRDefault="005E7B5C" w:rsidP="005E7B5C">
      <w:pPr>
        <w:pStyle w:val="EMLevel1Paragraph"/>
      </w:pPr>
      <w:r>
        <w:t xml:space="preserve">This explanatory memorandum has been prepared by </w:t>
      </w:r>
      <w:r w:rsidR="003930F2">
        <w:t>the Department for Environment, Food and Rural Affairs</w:t>
      </w:r>
      <w:r>
        <w:t xml:space="preserve"> and is laid before </w:t>
      </w:r>
      <w:r w:rsidR="00887EEE">
        <w:t xml:space="preserve">Parliament </w:t>
      </w:r>
      <w:r w:rsidR="005E280F">
        <w:t>by Act</w:t>
      </w:r>
      <w:r>
        <w:t>.</w:t>
      </w:r>
    </w:p>
    <w:p w14:paraId="5C12AFF8" w14:textId="77777777" w:rsidR="005E7B5C" w:rsidRDefault="005E7B5C" w:rsidP="005E7B5C">
      <w:pPr>
        <w:pStyle w:val="EMLevel1Paragraph"/>
      </w:pPr>
      <w:r>
        <w:t xml:space="preserve">This memorandum contains information for the </w:t>
      </w:r>
      <w:r w:rsidR="005E280F">
        <w:t xml:space="preserve">Sifting </w:t>
      </w:r>
      <w:r>
        <w:t>Committees</w:t>
      </w:r>
      <w:r w:rsidR="00A856F0">
        <w:t xml:space="preserve"> and the Joint Committee on Statutory Instruments</w:t>
      </w:r>
      <w:r>
        <w:t>.</w:t>
      </w:r>
    </w:p>
    <w:p w14:paraId="53F5A17F" w14:textId="77777777" w:rsidR="005E7B5C" w:rsidRDefault="005E7B5C" w:rsidP="00CD4FDB">
      <w:pPr>
        <w:pStyle w:val="EMSectionTitle"/>
      </w:pPr>
      <w:r>
        <w:t>Purpose of the instrument</w:t>
      </w:r>
    </w:p>
    <w:p w14:paraId="114179BA" w14:textId="73491CCE" w:rsidR="00E877DA" w:rsidRDefault="0042257B" w:rsidP="00E877DA">
      <w:pPr>
        <w:pStyle w:val="EMLevel1Paragraph"/>
        <w:rPr>
          <w:color w:val="0D0D0D" w:themeColor="text1" w:themeTint="F2"/>
        </w:rPr>
      </w:pPr>
      <w:r w:rsidRPr="00593BCC">
        <w:rPr>
          <w:color w:val="0D0D0D" w:themeColor="text1" w:themeTint="F2"/>
        </w:rPr>
        <w:t xml:space="preserve">This instrument </w:t>
      </w:r>
      <w:r w:rsidR="003C3F12">
        <w:rPr>
          <w:color w:val="0D0D0D" w:themeColor="text1" w:themeTint="F2"/>
        </w:rPr>
        <w:t>corrects</w:t>
      </w:r>
      <w:r w:rsidR="003C3F12" w:rsidRPr="00593BCC">
        <w:rPr>
          <w:color w:val="0D0D0D" w:themeColor="text1" w:themeTint="F2"/>
        </w:rPr>
        <w:t xml:space="preserve"> </w:t>
      </w:r>
      <w:r w:rsidR="00153452" w:rsidRPr="00593BCC">
        <w:rPr>
          <w:color w:val="0D0D0D" w:themeColor="text1" w:themeTint="F2"/>
        </w:rPr>
        <w:t xml:space="preserve">a number of </w:t>
      </w:r>
      <w:r w:rsidR="003C3F12">
        <w:rPr>
          <w:color w:val="0D0D0D" w:themeColor="text1" w:themeTint="F2"/>
        </w:rPr>
        <w:t>minor errors in</w:t>
      </w:r>
      <w:r w:rsidR="00E877DA">
        <w:rPr>
          <w:color w:val="0D0D0D" w:themeColor="text1" w:themeTint="F2"/>
        </w:rPr>
        <w:t xml:space="preserve"> </w:t>
      </w:r>
      <w:r w:rsidR="00E877DA" w:rsidRPr="00353363">
        <w:t xml:space="preserve">other </w:t>
      </w:r>
      <w:r w:rsidR="005F7DAC">
        <w:t>instruments</w:t>
      </w:r>
      <w:r w:rsidR="00E877DA" w:rsidRPr="00353363">
        <w:t xml:space="preserve">, </w:t>
      </w:r>
      <w:r w:rsidR="00004E29">
        <w:t>and makes some additional amendments to correct deficiencies in domestic legislation arising as a result of the UK’s exit from the European Union</w:t>
      </w:r>
      <w:r w:rsidR="00E877DA">
        <w:t xml:space="preserve">. It </w:t>
      </w:r>
      <w:r w:rsidR="003C3F12">
        <w:t>amend</w:t>
      </w:r>
      <w:r w:rsidR="00D71033">
        <w:t>s</w:t>
      </w:r>
      <w:r w:rsidR="00E877DA">
        <w:t>:</w:t>
      </w:r>
    </w:p>
    <w:p w14:paraId="17E7A053" w14:textId="77777777" w:rsidR="00D71033" w:rsidRPr="004F5359" w:rsidRDefault="003C3F12" w:rsidP="00684DE6">
      <w:pPr>
        <w:pStyle w:val="EMLevel1Paragraph"/>
        <w:numPr>
          <w:ilvl w:val="0"/>
          <w:numId w:val="38"/>
        </w:numPr>
        <w:rPr>
          <w:color w:val="0D0D0D" w:themeColor="text1" w:themeTint="F2"/>
        </w:rPr>
      </w:pPr>
      <w:r>
        <w:t>t</w:t>
      </w:r>
      <w:r w:rsidR="00D71033">
        <w:t xml:space="preserve">he </w:t>
      </w:r>
      <w:r w:rsidR="00D71033" w:rsidRPr="0003730A">
        <w:t>Environment, Food and Rural Affairs (</w:t>
      </w:r>
      <w:r w:rsidR="00D71033">
        <w:t>E</w:t>
      </w:r>
      <w:r>
        <w:t xml:space="preserve">nvironmental </w:t>
      </w:r>
      <w:r w:rsidR="00D71033">
        <w:t>I</w:t>
      </w:r>
      <w:r>
        <w:t xml:space="preserve">mpact </w:t>
      </w:r>
      <w:r w:rsidR="00D71033">
        <w:t>A</w:t>
      </w:r>
      <w:r>
        <w:t>ssessment</w:t>
      </w:r>
      <w:r w:rsidR="00D71033" w:rsidRPr="0003730A">
        <w:t>) (Amendment) (EU Exit) Regulations 2019</w:t>
      </w:r>
      <w:r>
        <w:t xml:space="preserve"> (S.I. 2019/25) (“the EIA (EU Exit) Regulations”)</w:t>
      </w:r>
      <w:r w:rsidR="00D71033">
        <w:t xml:space="preserve">, which relates to </w:t>
      </w:r>
      <w:r w:rsidR="00E877DA" w:rsidRPr="008C36F8">
        <w:t>Environmental Impact Assessment (EIA), in the fields of agriculture and marine works</w:t>
      </w:r>
      <w:r w:rsidR="00D71033">
        <w:t>;</w:t>
      </w:r>
    </w:p>
    <w:p w14:paraId="2BFE5C22" w14:textId="77777777" w:rsidR="004F5359" w:rsidRDefault="004F5359" w:rsidP="00684DE6">
      <w:pPr>
        <w:pStyle w:val="EMLevel1Paragraph"/>
        <w:numPr>
          <w:ilvl w:val="0"/>
          <w:numId w:val="38"/>
        </w:numPr>
        <w:rPr>
          <w:color w:val="0D0D0D" w:themeColor="text1" w:themeTint="F2"/>
        </w:rPr>
      </w:pPr>
      <w:r>
        <w:t xml:space="preserve">the </w:t>
      </w:r>
      <w:r w:rsidRPr="003D3FD8">
        <w:t>Environmental Permitting (England and Wales) (Amendment) (EU Exit) Regulations 2019</w:t>
      </w:r>
      <w:r>
        <w:t xml:space="preserve"> (S.I. 2019/39)</w:t>
      </w:r>
      <w:r w:rsidR="00E16227">
        <w:t xml:space="preserve"> (“the EPR (EU Exit) Regulations”);</w:t>
      </w:r>
      <w:r>
        <w:t xml:space="preserve"> </w:t>
      </w:r>
    </w:p>
    <w:p w14:paraId="58213EDF" w14:textId="77777777" w:rsidR="003C3F12" w:rsidRDefault="003C3F12" w:rsidP="00684DE6">
      <w:pPr>
        <w:pStyle w:val="EMLevel1Paragraph"/>
        <w:numPr>
          <w:ilvl w:val="0"/>
          <w:numId w:val="38"/>
        </w:numPr>
        <w:rPr>
          <w:color w:val="0D0D0D" w:themeColor="text1" w:themeTint="F2"/>
        </w:rPr>
      </w:pPr>
      <w:r>
        <w:rPr>
          <w:color w:val="0D0D0D" w:themeColor="text1" w:themeTint="F2"/>
        </w:rPr>
        <w:t>t</w:t>
      </w:r>
      <w:r w:rsidR="00433844" w:rsidRPr="00D71033">
        <w:rPr>
          <w:color w:val="0D0D0D" w:themeColor="text1" w:themeTint="F2"/>
        </w:rPr>
        <w:t>he Waste (Miscella</w:t>
      </w:r>
      <w:r w:rsidR="00A23BCD">
        <w:rPr>
          <w:color w:val="0D0D0D" w:themeColor="text1" w:themeTint="F2"/>
        </w:rPr>
        <w:t>neous Amendments) (EU Exit) (No.</w:t>
      </w:r>
      <w:r w:rsidR="00AB478D">
        <w:rPr>
          <w:color w:val="0D0D0D" w:themeColor="text1" w:themeTint="F2"/>
        </w:rPr>
        <w:t xml:space="preserve"> </w:t>
      </w:r>
      <w:r w:rsidR="00433844" w:rsidRPr="00D71033">
        <w:rPr>
          <w:color w:val="0D0D0D" w:themeColor="text1" w:themeTint="F2"/>
        </w:rPr>
        <w:t>2) Regulations 2019 (S.I. 2019/188)</w:t>
      </w:r>
      <w:r w:rsidR="006F262E" w:rsidRPr="00D71033">
        <w:rPr>
          <w:color w:val="0D0D0D" w:themeColor="text1" w:themeTint="F2"/>
        </w:rPr>
        <w:t xml:space="preserve"> (“Waste </w:t>
      </w:r>
      <w:r w:rsidR="008561E9" w:rsidRPr="00D71033">
        <w:rPr>
          <w:color w:val="0D0D0D" w:themeColor="text1" w:themeTint="F2"/>
        </w:rPr>
        <w:t>(</w:t>
      </w:r>
      <w:r w:rsidR="006F262E" w:rsidRPr="00D71033">
        <w:rPr>
          <w:color w:val="0D0D0D" w:themeColor="text1" w:themeTint="F2"/>
        </w:rPr>
        <w:t>EU Exit</w:t>
      </w:r>
      <w:r w:rsidR="008561E9" w:rsidRPr="00D71033">
        <w:rPr>
          <w:color w:val="0D0D0D" w:themeColor="text1" w:themeTint="F2"/>
        </w:rPr>
        <w:t>) (No</w:t>
      </w:r>
      <w:r w:rsidR="00A23BCD">
        <w:rPr>
          <w:color w:val="0D0D0D" w:themeColor="text1" w:themeTint="F2"/>
        </w:rPr>
        <w:t>.</w:t>
      </w:r>
      <w:r w:rsidR="008561E9" w:rsidRPr="00D71033">
        <w:rPr>
          <w:color w:val="0D0D0D" w:themeColor="text1" w:themeTint="F2"/>
        </w:rPr>
        <w:t xml:space="preserve"> 2)</w:t>
      </w:r>
      <w:r w:rsidR="006F262E" w:rsidRPr="00D71033">
        <w:rPr>
          <w:color w:val="0D0D0D" w:themeColor="text1" w:themeTint="F2"/>
        </w:rPr>
        <w:t xml:space="preserve"> Regulations”)</w:t>
      </w:r>
      <w:r w:rsidR="00E16227">
        <w:rPr>
          <w:color w:val="0D0D0D" w:themeColor="text1" w:themeTint="F2"/>
        </w:rPr>
        <w:t>;</w:t>
      </w:r>
    </w:p>
    <w:p w14:paraId="0E75C589" w14:textId="77777777" w:rsidR="00C43799" w:rsidRPr="00D71033" w:rsidRDefault="003C3F12" w:rsidP="00684DE6">
      <w:pPr>
        <w:pStyle w:val="EMLevel1Paragraph"/>
        <w:numPr>
          <w:ilvl w:val="0"/>
          <w:numId w:val="38"/>
        </w:numPr>
        <w:rPr>
          <w:color w:val="0D0D0D" w:themeColor="text1" w:themeTint="F2"/>
        </w:rPr>
      </w:pPr>
      <w:r>
        <w:t>the Waste (Miscellaneous Amendments) (EU Exit) Regulations 2019 (S.I. 2019/620)</w:t>
      </w:r>
      <w:r w:rsidR="00423D1D">
        <w:t xml:space="preserve"> (“the </w:t>
      </w:r>
      <w:r w:rsidR="000275C4">
        <w:t>Waste (EU Exit) Regulations”)</w:t>
      </w:r>
      <w:r>
        <w:t>.</w:t>
      </w:r>
      <w:r w:rsidR="00952E03" w:rsidRPr="00D71033">
        <w:rPr>
          <w:color w:val="0D0D0D" w:themeColor="text1" w:themeTint="F2"/>
        </w:rPr>
        <w:t xml:space="preserve"> </w:t>
      </w:r>
    </w:p>
    <w:p w14:paraId="5727C80C" w14:textId="77777777" w:rsidR="005E7B5C" w:rsidRPr="000345B7" w:rsidRDefault="005E7B5C" w:rsidP="000345B7">
      <w:pPr>
        <w:pStyle w:val="EMLevel1Paragraph"/>
        <w:numPr>
          <w:ilvl w:val="0"/>
          <w:numId w:val="0"/>
        </w:numPr>
        <w:ind w:left="720"/>
        <w:rPr>
          <w:b/>
        </w:rPr>
      </w:pPr>
      <w:r w:rsidRPr="000345B7">
        <w:rPr>
          <w:b/>
        </w:rPr>
        <w:t>Explanations</w:t>
      </w:r>
    </w:p>
    <w:p w14:paraId="2C3265CD" w14:textId="77777777" w:rsidR="005E7B5C" w:rsidRDefault="005E7B5C" w:rsidP="007B4276">
      <w:pPr>
        <w:pStyle w:val="EMSub-sub-sectiontitle"/>
      </w:pPr>
      <w:r>
        <w:t>What did any relevant EU law do before exit day?</w:t>
      </w:r>
    </w:p>
    <w:p w14:paraId="24784377" w14:textId="77777777" w:rsidR="000275C4" w:rsidRDefault="003C3F12" w:rsidP="006B3E4B">
      <w:pPr>
        <w:pStyle w:val="EMLevel1Paragraph"/>
        <w:rPr>
          <w:color w:val="0D0D0D" w:themeColor="text1" w:themeTint="F2"/>
        </w:rPr>
      </w:pPr>
      <w:r>
        <w:t xml:space="preserve">Each of the </w:t>
      </w:r>
      <w:r w:rsidR="00E16227">
        <w:t xml:space="preserve">four </w:t>
      </w:r>
      <w:r>
        <w:t xml:space="preserve">instruments listed in </w:t>
      </w:r>
      <w:r w:rsidR="00423D1D">
        <w:t>Section</w:t>
      </w:r>
      <w:r>
        <w:t xml:space="preserve"> 2.1 </w:t>
      </w:r>
      <w:r w:rsidR="00423D1D">
        <w:t xml:space="preserve">correct EU exit related deficiencies in domestic legislation so that it </w:t>
      </w:r>
      <w:r w:rsidR="00423D1D" w:rsidRPr="00593BCC">
        <w:rPr>
          <w:color w:val="0D0D0D" w:themeColor="text1" w:themeTint="F2"/>
        </w:rPr>
        <w:t>continues to operate as intended after EU exit</w:t>
      </w:r>
      <w:r w:rsidR="00423D1D">
        <w:t xml:space="preserve">. The </w:t>
      </w:r>
      <w:r w:rsidR="005F7DAC">
        <w:t>EIA</w:t>
      </w:r>
      <w:r w:rsidR="00423D1D">
        <w:t xml:space="preserve"> </w:t>
      </w:r>
      <w:r w:rsidR="005F7DAC" w:rsidRPr="0003730A">
        <w:t xml:space="preserve">(EU Exit) Regulations </w:t>
      </w:r>
      <w:r w:rsidR="00D71033" w:rsidRPr="008C36F8">
        <w:t>correct</w:t>
      </w:r>
      <w:r w:rsidR="00D71033">
        <w:t xml:space="preserve"> </w:t>
      </w:r>
      <w:r w:rsidR="00D71033" w:rsidRPr="008C36F8">
        <w:t xml:space="preserve">deficiencies in domestic </w:t>
      </w:r>
      <w:r w:rsidR="00423D1D">
        <w:t>legislation</w:t>
      </w:r>
      <w:r w:rsidR="00D71033" w:rsidRPr="008C36F8">
        <w:t xml:space="preserve"> that implement</w:t>
      </w:r>
      <w:r w:rsidR="00423D1D">
        <w:t>ed</w:t>
      </w:r>
      <w:r w:rsidR="00D71033" w:rsidRPr="008C36F8">
        <w:t xml:space="preserve">, in the field of environment, food and rural affairs, Directive 2011/92/EU </w:t>
      </w:r>
      <w:r w:rsidR="00D71033">
        <w:t xml:space="preserve">of the European Parliament and of the Council </w:t>
      </w:r>
      <w:r w:rsidR="00D71033" w:rsidRPr="008C36F8">
        <w:t>(“the EIA Directive”)</w:t>
      </w:r>
      <w:r w:rsidR="00D71033">
        <w:t>.</w:t>
      </w:r>
      <w:r w:rsidR="00E16227">
        <w:t xml:space="preserve"> The EPR (EU Exit) Regulations correct deficiencies in the Environmental Permitting (England and Wales) Regulations 2016 (S.I. 2016/1154).</w:t>
      </w:r>
      <w:r w:rsidR="00D71033" w:rsidRPr="008C36F8">
        <w:t xml:space="preserve"> </w:t>
      </w:r>
      <w:r w:rsidR="00423D1D">
        <w:t xml:space="preserve">The </w:t>
      </w:r>
      <w:r w:rsidR="00423D1D" w:rsidRPr="00D71033">
        <w:rPr>
          <w:color w:val="0D0D0D" w:themeColor="text1" w:themeTint="F2"/>
        </w:rPr>
        <w:t xml:space="preserve">Waste </w:t>
      </w:r>
      <w:r w:rsidR="00E41882">
        <w:rPr>
          <w:color w:val="0D0D0D" w:themeColor="text1" w:themeTint="F2"/>
        </w:rPr>
        <w:t xml:space="preserve">(Miscellaneous Amendments) </w:t>
      </w:r>
      <w:r w:rsidR="00423D1D" w:rsidRPr="00D71033">
        <w:rPr>
          <w:color w:val="0D0D0D" w:themeColor="text1" w:themeTint="F2"/>
        </w:rPr>
        <w:t>(EU Exit) (No</w:t>
      </w:r>
      <w:r w:rsidR="00A23BCD">
        <w:rPr>
          <w:color w:val="0D0D0D" w:themeColor="text1" w:themeTint="F2"/>
        </w:rPr>
        <w:t>.</w:t>
      </w:r>
      <w:r w:rsidR="00423D1D" w:rsidRPr="00D71033">
        <w:rPr>
          <w:color w:val="0D0D0D" w:themeColor="text1" w:themeTint="F2"/>
        </w:rPr>
        <w:t xml:space="preserve"> 2) Regulations</w:t>
      </w:r>
      <w:r w:rsidR="00423D1D">
        <w:t xml:space="preserve"> </w:t>
      </w:r>
      <w:r w:rsidR="00E41882">
        <w:t xml:space="preserve">(S.I. 2019/188) </w:t>
      </w:r>
      <w:r w:rsidR="00423D1D" w:rsidRPr="008C36F8">
        <w:t>correct</w:t>
      </w:r>
      <w:r w:rsidR="00423D1D">
        <w:t xml:space="preserve"> </w:t>
      </w:r>
      <w:r w:rsidR="00423D1D" w:rsidRPr="008C36F8">
        <w:t>deficiencies in</w:t>
      </w:r>
      <w:r w:rsidR="00423D1D">
        <w:t xml:space="preserve"> waste related </w:t>
      </w:r>
      <w:r w:rsidR="00952E03" w:rsidRPr="00593BCC">
        <w:rPr>
          <w:color w:val="0D0D0D" w:themeColor="text1" w:themeTint="F2"/>
        </w:rPr>
        <w:t xml:space="preserve">domestic </w:t>
      </w:r>
      <w:r w:rsidR="00423D1D">
        <w:rPr>
          <w:color w:val="0D0D0D" w:themeColor="text1" w:themeTint="F2"/>
        </w:rPr>
        <w:t xml:space="preserve">subordinate </w:t>
      </w:r>
      <w:r w:rsidR="00952E03" w:rsidRPr="00593BCC">
        <w:rPr>
          <w:color w:val="0D0D0D" w:themeColor="text1" w:themeTint="F2"/>
        </w:rPr>
        <w:t>legislation</w:t>
      </w:r>
      <w:r w:rsidR="00423D1D">
        <w:rPr>
          <w:color w:val="0D0D0D" w:themeColor="text1" w:themeTint="F2"/>
        </w:rPr>
        <w:t>, and the Waste (EU Exit) Regulations correct deficiencies in waste related domestic primary legislation, and directly applicable EU Regulations and Decisions</w:t>
      </w:r>
      <w:r w:rsidR="00952E03" w:rsidRPr="00593BCC">
        <w:rPr>
          <w:color w:val="0D0D0D" w:themeColor="text1" w:themeTint="F2"/>
        </w:rPr>
        <w:t>.</w:t>
      </w:r>
    </w:p>
    <w:p w14:paraId="4985153B" w14:textId="77777777" w:rsidR="00033B0C" w:rsidRPr="00033B0C" w:rsidRDefault="000275C4" w:rsidP="006B3E4B">
      <w:pPr>
        <w:pStyle w:val="EMLevel1Paragraph"/>
        <w:rPr>
          <w:color w:val="0D0D0D" w:themeColor="text1" w:themeTint="F2"/>
        </w:rPr>
      </w:pPr>
      <w:r>
        <w:rPr>
          <w:color w:val="0D0D0D" w:themeColor="text1" w:themeTint="F2"/>
          <w:szCs w:val="24"/>
        </w:rPr>
        <w:t>Paragraph 4 of Schedule 1 to t</w:t>
      </w:r>
      <w:r w:rsidRPr="000D44A9">
        <w:rPr>
          <w:color w:val="0D0D0D" w:themeColor="text1" w:themeTint="F2"/>
          <w:szCs w:val="24"/>
        </w:rPr>
        <w:t>he Waste (England and Wales) Regulations 2011</w:t>
      </w:r>
      <w:r w:rsidR="00AB478D">
        <w:rPr>
          <w:color w:val="0D0D0D" w:themeColor="text1" w:themeTint="F2"/>
          <w:szCs w:val="24"/>
        </w:rPr>
        <w:t xml:space="preserve"> (S.I, 2011/988) (“the 2011 Regulations”)</w:t>
      </w:r>
      <w:r>
        <w:rPr>
          <w:color w:val="0D0D0D" w:themeColor="text1" w:themeTint="F2"/>
          <w:szCs w:val="24"/>
        </w:rPr>
        <w:t xml:space="preserve"> </w:t>
      </w:r>
      <w:r w:rsidRPr="000D44A9">
        <w:rPr>
          <w:color w:val="0D0D0D" w:themeColor="text1" w:themeTint="F2"/>
          <w:szCs w:val="24"/>
        </w:rPr>
        <w:t>lists the objectives of waste management plans</w:t>
      </w:r>
      <w:r>
        <w:rPr>
          <w:color w:val="0D0D0D" w:themeColor="text1" w:themeTint="F2"/>
          <w:szCs w:val="24"/>
        </w:rPr>
        <w:t xml:space="preserve">. One of those objectives (originating from Article 16 of Directive 2008/98/EC of the European Parliament and of the Council on waste – “the Waste Framework </w:t>
      </w:r>
      <w:r>
        <w:rPr>
          <w:color w:val="0D0D0D" w:themeColor="text1" w:themeTint="F2"/>
          <w:szCs w:val="24"/>
        </w:rPr>
        <w:lastRenderedPageBreak/>
        <w:t>Directive”)</w:t>
      </w:r>
      <w:r w:rsidRPr="000D44A9">
        <w:rPr>
          <w:color w:val="0D0D0D" w:themeColor="text1" w:themeTint="F2"/>
          <w:szCs w:val="24"/>
        </w:rPr>
        <w:t xml:space="preserve"> has been to ensure that, for the purposes of waste management planning, the principles of self-sufficiency and proximity were reflected in waste management plans effectively so that the E</w:t>
      </w:r>
      <w:r>
        <w:rPr>
          <w:color w:val="0D0D0D" w:themeColor="text1" w:themeTint="F2"/>
          <w:szCs w:val="24"/>
        </w:rPr>
        <w:t xml:space="preserve">uropean </w:t>
      </w:r>
      <w:r w:rsidRPr="000D44A9">
        <w:rPr>
          <w:color w:val="0D0D0D" w:themeColor="text1" w:themeTint="F2"/>
          <w:szCs w:val="24"/>
        </w:rPr>
        <w:t>U</w:t>
      </w:r>
      <w:r>
        <w:rPr>
          <w:color w:val="0D0D0D" w:themeColor="text1" w:themeTint="F2"/>
          <w:szCs w:val="24"/>
        </w:rPr>
        <w:t>nion</w:t>
      </w:r>
      <w:r w:rsidRPr="000D44A9">
        <w:rPr>
          <w:color w:val="0D0D0D" w:themeColor="text1" w:themeTint="F2"/>
          <w:szCs w:val="24"/>
        </w:rPr>
        <w:t xml:space="preserve"> could become self-sufficient in waste disposal and in the recovery of mixed municipal waste collected from households. </w:t>
      </w:r>
    </w:p>
    <w:p w14:paraId="34C0E57A" w14:textId="5A3345A2" w:rsidR="00C40830" w:rsidRPr="00593BCC" w:rsidRDefault="00033B0C" w:rsidP="006B3E4B">
      <w:pPr>
        <w:pStyle w:val="EMLevel1Paragraph"/>
        <w:rPr>
          <w:color w:val="0D0D0D" w:themeColor="text1" w:themeTint="F2"/>
        </w:rPr>
      </w:pPr>
      <w:r>
        <w:rPr>
          <w:color w:val="0D0D0D" w:themeColor="text1" w:themeTint="F2"/>
          <w:szCs w:val="24"/>
        </w:rPr>
        <w:t>Regulation 33 of the End-of-Life Vehicles Regulations 2003 (S.I. 2003/2635) (“the ELV Regulations”) makes provision in relation to certificates of destruction issued in EEA States or Gibraltar.</w:t>
      </w:r>
      <w:r w:rsidR="00952E03" w:rsidRPr="00593BCC">
        <w:rPr>
          <w:color w:val="0D0D0D" w:themeColor="text1" w:themeTint="F2"/>
        </w:rPr>
        <w:t xml:space="preserve"> </w:t>
      </w:r>
    </w:p>
    <w:p w14:paraId="67304A77" w14:textId="77777777" w:rsidR="005E7B5C" w:rsidRPr="00593BCC" w:rsidRDefault="005E7B5C" w:rsidP="007B4276">
      <w:pPr>
        <w:pStyle w:val="EMSub-sub-sectiontitle"/>
        <w:rPr>
          <w:color w:val="0D0D0D" w:themeColor="text1" w:themeTint="F2"/>
        </w:rPr>
      </w:pPr>
      <w:r w:rsidRPr="00593BCC">
        <w:rPr>
          <w:color w:val="0D0D0D" w:themeColor="text1" w:themeTint="F2"/>
        </w:rPr>
        <w:t>Why is it being changed?</w:t>
      </w:r>
    </w:p>
    <w:p w14:paraId="68DA21BF" w14:textId="77777777" w:rsidR="00934F0C" w:rsidRDefault="00934F0C" w:rsidP="00250E87">
      <w:pPr>
        <w:pStyle w:val="EMLevel1Paragraph"/>
      </w:pPr>
      <w:r>
        <w:t xml:space="preserve">Regulation 2 </w:t>
      </w:r>
      <w:r w:rsidR="00B93884">
        <w:t xml:space="preserve">of this instrument </w:t>
      </w:r>
      <w:r>
        <w:t xml:space="preserve">corrects a minor error </w:t>
      </w:r>
      <w:r w:rsidR="006F1B22">
        <w:t>in the EIA</w:t>
      </w:r>
      <w:r w:rsidR="006F1B22" w:rsidRPr="0003730A">
        <w:t xml:space="preserve"> (EU Exit) Regulations</w:t>
      </w:r>
      <w:r w:rsidR="006F1B22">
        <w:t xml:space="preserve">. </w:t>
      </w:r>
      <w:r w:rsidR="00967E20">
        <w:t xml:space="preserve">In </w:t>
      </w:r>
      <w:r w:rsidR="00B93884">
        <w:t>that</w:t>
      </w:r>
      <w:r w:rsidR="00967E20">
        <w:t xml:space="preserve"> instrument the definition</w:t>
      </w:r>
      <w:r w:rsidR="006F1B22">
        <w:t xml:space="preserve"> of “public”</w:t>
      </w:r>
      <w:r w:rsidR="00967E20">
        <w:t xml:space="preserve"> </w:t>
      </w:r>
      <w:r w:rsidR="00967E20" w:rsidRPr="0003730A">
        <w:t xml:space="preserve">as contained in the EIA Directive </w:t>
      </w:r>
      <w:r w:rsidR="00967E20">
        <w:t>has been</w:t>
      </w:r>
      <w:r w:rsidR="00967E20" w:rsidRPr="0003730A">
        <w:t xml:space="preserve"> inserted, with amendment, into the principal regulations being amended</w:t>
      </w:r>
      <w:r w:rsidR="00B93884">
        <w:t xml:space="preserve"> by that</w:t>
      </w:r>
      <w:r w:rsidR="000A02B1">
        <w:t xml:space="preserve"> instrument</w:t>
      </w:r>
      <w:r w:rsidR="00967E20" w:rsidRPr="0003730A">
        <w:t>.</w:t>
      </w:r>
      <w:r w:rsidR="00967E20">
        <w:t xml:space="preserve"> It has since been reported that the definition of “public” differs across the individual regulations. The definition of “public” in </w:t>
      </w:r>
      <w:r w:rsidR="00967E20" w:rsidRPr="00511016">
        <w:t xml:space="preserve">regulations 5(2)(a)(ii) </w:t>
      </w:r>
      <w:r w:rsidR="00967E20">
        <w:t xml:space="preserve">(for agriculture) </w:t>
      </w:r>
      <w:r w:rsidR="00967E20" w:rsidRPr="00511016">
        <w:t xml:space="preserve">and 6(2)(b) </w:t>
      </w:r>
      <w:r w:rsidR="00967E20">
        <w:t>(for marine works) is, therefore, being amended so that it is</w:t>
      </w:r>
      <w:r w:rsidR="00967E20" w:rsidRPr="00511016">
        <w:t xml:space="preserve"> consistent </w:t>
      </w:r>
      <w:r w:rsidR="00D54636" w:rsidRPr="00511016">
        <w:t>with</w:t>
      </w:r>
      <w:r w:rsidR="00D54636">
        <w:t xml:space="preserve"> the clearer definition in</w:t>
      </w:r>
      <w:r w:rsidR="00D54636" w:rsidRPr="00511016">
        <w:t xml:space="preserve"> regulations 2(2)(a)(ii)</w:t>
      </w:r>
      <w:r w:rsidR="00D54636">
        <w:t xml:space="preserve"> (for land drainage improvement works)</w:t>
      </w:r>
      <w:r w:rsidR="00D54636" w:rsidRPr="00511016">
        <w:t xml:space="preserve"> and 4(2)(c)</w:t>
      </w:r>
      <w:r w:rsidR="00D54636">
        <w:t xml:space="preserve"> (for water resources).</w:t>
      </w:r>
    </w:p>
    <w:p w14:paraId="134D8BE2" w14:textId="3B1B53C7" w:rsidR="004F5359" w:rsidRDefault="004259A6" w:rsidP="00250E87">
      <w:pPr>
        <w:pStyle w:val="EMLevel1Paragraph"/>
      </w:pPr>
      <w:r w:rsidRPr="00593BCC">
        <w:t xml:space="preserve">Regulation 3 </w:t>
      </w:r>
      <w:r w:rsidR="004F5359">
        <w:t xml:space="preserve">of this instrument makes amendments to the </w:t>
      </w:r>
      <w:r w:rsidR="00E16227">
        <w:t>EPR</w:t>
      </w:r>
      <w:r w:rsidR="004F5359" w:rsidRPr="003D3FD8">
        <w:t xml:space="preserve"> (EU Exit) Regulations</w:t>
      </w:r>
      <w:r w:rsidR="00E16227">
        <w:t>. It updates cross-references to</w:t>
      </w:r>
      <w:r w:rsidR="004F5359">
        <w:t xml:space="preserve"> the Medical Devices Regulations 2002 (S.I. 2002/618)</w:t>
      </w:r>
      <w:r w:rsidR="00776665">
        <w:t xml:space="preserve"> (“the 2002 Regulations”).</w:t>
      </w:r>
      <w:r w:rsidR="004F5359">
        <w:t xml:space="preserve"> </w:t>
      </w:r>
      <w:r w:rsidR="00776665">
        <w:t>T</w:t>
      </w:r>
      <w:r w:rsidR="004F5359">
        <w:t>he Medical Devices (Amendment etc) (EU Exit) Regulations 2019 (S.I. 2019/791)</w:t>
      </w:r>
      <w:r w:rsidR="00004E29">
        <w:t xml:space="preserve"> created additional definitions of “medical device”, “in vitro diagnostic medical device” and “active implantable medical device”</w:t>
      </w:r>
      <w:r w:rsidR="00776665">
        <w:t xml:space="preserve"> in the 2002 Regulations</w:t>
      </w:r>
      <w:r w:rsidR="00004E29">
        <w:t xml:space="preserve">. </w:t>
      </w:r>
      <w:r w:rsidR="00776665">
        <w:t>R</w:t>
      </w:r>
      <w:r w:rsidR="00004E29">
        <w:t>egulation 3 of this instrument updates the cross-references in those definitions in Schedule 1A to the Environmental Permitting (England and Wales) Regulations 2016</w:t>
      </w:r>
      <w:r w:rsidR="00776665">
        <w:t xml:space="preserve"> so that in each case both definitions in the 2002 Regulations are reference</w:t>
      </w:r>
      <w:r w:rsidR="00707B78">
        <w:t>d</w:t>
      </w:r>
      <w:r w:rsidR="00776665">
        <w:t xml:space="preserve">. This is consistent with </w:t>
      </w:r>
      <w:r w:rsidR="00004E29">
        <w:t>regulation 4T of the Medical Devices Regulations 2002</w:t>
      </w:r>
      <w:r w:rsidR="00776665">
        <w:t xml:space="preserve">, which </w:t>
      </w:r>
      <w:r w:rsidR="00004E29">
        <w:t>modifies the same definitions in regulation 2(1) of the Waste Electrical and</w:t>
      </w:r>
      <w:r w:rsidR="00776665">
        <w:t xml:space="preserve"> Electronic</w:t>
      </w:r>
      <w:r w:rsidR="00707B78">
        <w:t xml:space="preserve"> Equipment</w:t>
      </w:r>
      <w:r w:rsidR="00776665">
        <w:t xml:space="preserve"> Regulations 2013 (S.I. 2013/3113) in the same way</w:t>
      </w:r>
      <w:r w:rsidR="004F5359">
        <w:t xml:space="preserve">.  </w:t>
      </w:r>
    </w:p>
    <w:p w14:paraId="20FC1B5F" w14:textId="28FA61A4" w:rsidR="000254F7" w:rsidRPr="00593BCC" w:rsidRDefault="004F5359" w:rsidP="00250E87">
      <w:pPr>
        <w:pStyle w:val="EMLevel1Paragraph"/>
      </w:pPr>
      <w:r>
        <w:t xml:space="preserve">Regulation 4 </w:t>
      </w:r>
      <w:r w:rsidR="004259A6" w:rsidRPr="00593BCC">
        <w:t xml:space="preserve">of this instrument </w:t>
      </w:r>
      <w:r w:rsidR="00033B0C">
        <w:t>makes amendments to</w:t>
      </w:r>
      <w:r w:rsidR="00B834F2">
        <w:t xml:space="preserve"> the Waste </w:t>
      </w:r>
      <w:r w:rsidR="00B834F2" w:rsidRPr="00D71033">
        <w:rPr>
          <w:color w:val="0D0D0D" w:themeColor="text1" w:themeTint="F2"/>
        </w:rPr>
        <w:t>(EU Exit) (No</w:t>
      </w:r>
      <w:r w:rsidR="00A23BCD">
        <w:rPr>
          <w:color w:val="0D0D0D" w:themeColor="text1" w:themeTint="F2"/>
        </w:rPr>
        <w:t>.</w:t>
      </w:r>
      <w:r w:rsidR="00B834F2" w:rsidRPr="00D71033">
        <w:rPr>
          <w:color w:val="0D0D0D" w:themeColor="text1" w:themeTint="F2"/>
        </w:rPr>
        <w:t xml:space="preserve"> 2) Regulations</w:t>
      </w:r>
      <w:r w:rsidR="00B834F2">
        <w:rPr>
          <w:color w:val="0D0D0D" w:themeColor="text1" w:themeTint="F2"/>
        </w:rPr>
        <w:t xml:space="preserve"> as follows </w:t>
      </w:r>
      <w:r w:rsidR="00962454" w:rsidRPr="00593BCC">
        <w:t>:</w:t>
      </w:r>
      <w:r w:rsidR="0008637D" w:rsidRPr="00593BCC">
        <w:t xml:space="preserve"> </w:t>
      </w:r>
    </w:p>
    <w:p w14:paraId="3B203341" w14:textId="4C8763E2" w:rsidR="00033B0C" w:rsidRDefault="00033B0C">
      <w:pPr>
        <w:pStyle w:val="EMLevel1Paragraph"/>
        <w:numPr>
          <w:ilvl w:val="0"/>
          <w:numId w:val="35"/>
        </w:numPr>
        <w:ind w:left="1134"/>
        <w:rPr>
          <w:color w:val="0D0D0D" w:themeColor="text1" w:themeTint="F2"/>
        </w:rPr>
      </w:pPr>
      <w:r>
        <w:rPr>
          <w:color w:val="0D0D0D" w:themeColor="text1" w:themeTint="F2"/>
        </w:rPr>
        <w:t xml:space="preserve">Regulation 4(2) of this instrument amends regulation 9(10) of the </w:t>
      </w:r>
      <w:r>
        <w:rPr>
          <w:color w:val="0D0D0D" w:themeColor="text1" w:themeTint="F2"/>
          <w:szCs w:val="24"/>
        </w:rPr>
        <w:t>Waste (EU Exit) (No. 2) Regulations. Regulation 9(10) amends regulation 33 of the ELV Regulations. Regulation 4(2) of this instrument inserts new amendments into regulation 9(10) in order to correct additional deficiencies resulting from EU E</w:t>
      </w:r>
      <w:r w:rsidR="00776665">
        <w:rPr>
          <w:color w:val="0D0D0D" w:themeColor="text1" w:themeTint="F2"/>
          <w:szCs w:val="24"/>
        </w:rPr>
        <w:t>x</w:t>
      </w:r>
      <w:r>
        <w:rPr>
          <w:color w:val="0D0D0D" w:themeColor="text1" w:themeTint="F2"/>
          <w:szCs w:val="24"/>
        </w:rPr>
        <w:t>it in regulation 33 of the ELV Regulations;</w:t>
      </w:r>
    </w:p>
    <w:p w14:paraId="02B2BCD2" w14:textId="4A4667A4" w:rsidR="00C43799" w:rsidRPr="00B834F2" w:rsidRDefault="00B834F2">
      <w:pPr>
        <w:pStyle w:val="EMLevel1Paragraph"/>
        <w:numPr>
          <w:ilvl w:val="0"/>
          <w:numId w:val="35"/>
        </w:numPr>
        <w:ind w:left="1134"/>
        <w:rPr>
          <w:color w:val="0D0D0D" w:themeColor="text1" w:themeTint="F2"/>
        </w:rPr>
      </w:pPr>
      <w:r>
        <w:rPr>
          <w:color w:val="0D0D0D" w:themeColor="text1" w:themeTint="F2"/>
        </w:rPr>
        <w:t xml:space="preserve">Regulation </w:t>
      </w:r>
      <w:r w:rsidR="004F5359">
        <w:rPr>
          <w:color w:val="0D0D0D" w:themeColor="text1" w:themeTint="F2"/>
        </w:rPr>
        <w:t>4</w:t>
      </w:r>
      <w:r>
        <w:rPr>
          <w:color w:val="0D0D0D" w:themeColor="text1" w:themeTint="F2"/>
        </w:rPr>
        <w:t>(</w:t>
      </w:r>
      <w:r w:rsidR="00AD2BFC">
        <w:rPr>
          <w:color w:val="0D0D0D" w:themeColor="text1" w:themeTint="F2"/>
        </w:rPr>
        <w:t>3</w:t>
      </w:r>
      <w:r>
        <w:rPr>
          <w:color w:val="0D0D0D" w:themeColor="text1" w:themeTint="F2"/>
        </w:rPr>
        <w:t xml:space="preserve">) of this instrument omits </w:t>
      </w:r>
      <w:r w:rsidRPr="00804CC4">
        <w:rPr>
          <w:color w:val="0D0D0D" w:themeColor="text1" w:themeTint="F2"/>
          <w:szCs w:val="24"/>
        </w:rPr>
        <w:t>regulation 13(3)</w:t>
      </w:r>
      <w:r>
        <w:rPr>
          <w:color w:val="0D0D0D" w:themeColor="text1" w:themeTint="F2"/>
          <w:szCs w:val="24"/>
        </w:rPr>
        <w:t xml:space="preserve"> of the Waste (EU Exit) (No</w:t>
      </w:r>
      <w:r w:rsidR="00A23BCD">
        <w:rPr>
          <w:color w:val="0D0D0D" w:themeColor="text1" w:themeTint="F2"/>
          <w:szCs w:val="24"/>
        </w:rPr>
        <w:t>.</w:t>
      </w:r>
      <w:r>
        <w:rPr>
          <w:color w:val="0D0D0D" w:themeColor="text1" w:themeTint="F2"/>
          <w:szCs w:val="24"/>
        </w:rPr>
        <w:t xml:space="preserve"> 2) Regulations. Regulation 13(3) amends regulation 3(1) of </w:t>
      </w:r>
      <w:r>
        <w:rPr>
          <w:color w:val="0D0D0D" w:themeColor="text1" w:themeTint="F2"/>
        </w:rPr>
        <w:t>t</w:t>
      </w:r>
      <w:r w:rsidR="00C43799" w:rsidRPr="00B834F2">
        <w:rPr>
          <w:color w:val="0D0D0D" w:themeColor="text1" w:themeTint="F2"/>
        </w:rPr>
        <w:t xml:space="preserve">he </w:t>
      </w:r>
      <w:r w:rsidR="00C43799" w:rsidRPr="00B834F2">
        <w:rPr>
          <w:color w:val="0D0D0D" w:themeColor="text1" w:themeTint="F2"/>
          <w:szCs w:val="24"/>
        </w:rPr>
        <w:t>Batteries and Accumulators (Placing on the Market) Regulations 2008</w:t>
      </w:r>
      <w:r w:rsidR="00936C0B" w:rsidRPr="00B834F2">
        <w:rPr>
          <w:color w:val="0D0D0D" w:themeColor="text1" w:themeTint="F2"/>
          <w:szCs w:val="24"/>
        </w:rPr>
        <w:t xml:space="preserve"> </w:t>
      </w:r>
      <w:r>
        <w:rPr>
          <w:color w:val="0D0D0D" w:themeColor="text1" w:themeTint="F2"/>
          <w:szCs w:val="24"/>
        </w:rPr>
        <w:t xml:space="preserve">by inserting a reference to “regulation 2A”. However, </w:t>
      </w:r>
      <w:r w:rsidR="00936C0B" w:rsidRPr="00B834F2">
        <w:rPr>
          <w:color w:val="0D0D0D" w:themeColor="text1" w:themeTint="F2"/>
          <w:szCs w:val="24"/>
        </w:rPr>
        <w:t xml:space="preserve">regulation 13(3) was included in error and </w:t>
      </w:r>
      <w:r w:rsidR="001E4520">
        <w:rPr>
          <w:color w:val="0D0D0D" w:themeColor="text1" w:themeTint="F2"/>
          <w:szCs w:val="24"/>
        </w:rPr>
        <w:t>is to be omitted</w:t>
      </w:r>
      <w:r>
        <w:rPr>
          <w:color w:val="0D0D0D" w:themeColor="text1" w:themeTint="F2"/>
          <w:szCs w:val="24"/>
        </w:rPr>
        <w:t>;</w:t>
      </w:r>
    </w:p>
    <w:p w14:paraId="1E026556" w14:textId="0B1D8C12" w:rsidR="00C43799" w:rsidRPr="00B834F2" w:rsidRDefault="00B834F2">
      <w:pPr>
        <w:pStyle w:val="EMLevel1Paragraph"/>
        <w:numPr>
          <w:ilvl w:val="0"/>
          <w:numId w:val="35"/>
        </w:numPr>
        <w:ind w:left="1134"/>
        <w:rPr>
          <w:color w:val="0D0D0D" w:themeColor="text1" w:themeTint="F2"/>
        </w:rPr>
      </w:pPr>
      <w:r>
        <w:rPr>
          <w:color w:val="0D0D0D" w:themeColor="text1" w:themeTint="F2"/>
          <w:szCs w:val="24"/>
        </w:rPr>
        <w:t xml:space="preserve">Similarly, regulation </w:t>
      </w:r>
      <w:r w:rsidR="004F5359">
        <w:rPr>
          <w:color w:val="0D0D0D" w:themeColor="text1" w:themeTint="F2"/>
          <w:szCs w:val="24"/>
        </w:rPr>
        <w:t>4</w:t>
      </w:r>
      <w:r>
        <w:rPr>
          <w:color w:val="0D0D0D" w:themeColor="text1" w:themeTint="F2"/>
          <w:szCs w:val="24"/>
        </w:rPr>
        <w:t>(</w:t>
      </w:r>
      <w:r w:rsidR="00AD2BFC">
        <w:rPr>
          <w:color w:val="0D0D0D" w:themeColor="text1" w:themeTint="F2"/>
          <w:szCs w:val="24"/>
        </w:rPr>
        <w:t>3</w:t>
      </w:r>
      <w:r>
        <w:rPr>
          <w:color w:val="0D0D0D" w:themeColor="text1" w:themeTint="F2"/>
          <w:szCs w:val="24"/>
        </w:rPr>
        <w:t xml:space="preserve">) of this instrument omits </w:t>
      </w:r>
      <w:r w:rsidRPr="00804CC4">
        <w:rPr>
          <w:color w:val="0D0D0D" w:themeColor="text1" w:themeTint="F2"/>
          <w:szCs w:val="24"/>
        </w:rPr>
        <w:t>regulation 14(2)(b)</w:t>
      </w:r>
      <w:r w:rsidRPr="00B834F2">
        <w:rPr>
          <w:color w:val="0D0D0D" w:themeColor="text1" w:themeTint="F2"/>
          <w:szCs w:val="24"/>
        </w:rPr>
        <w:t xml:space="preserve"> </w:t>
      </w:r>
      <w:r>
        <w:rPr>
          <w:color w:val="0D0D0D" w:themeColor="text1" w:themeTint="F2"/>
          <w:szCs w:val="24"/>
        </w:rPr>
        <w:t>of the Waste (EU Exit) (No</w:t>
      </w:r>
      <w:r w:rsidR="00A23BCD">
        <w:rPr>
          <w:color w:val="0D0D0D" w:themeColor="text1" w:themeTint="F2"/>
          <w:szCs w:val="24"/>
        </w:rPr>
        <w:t>.</w:t>
      </w:r>
      <w:r>
        <w:rPr>
          <w:color w:val="0D0D0D" w:themeColor="text1" w:themeTint="F2"/>
          <w:szCs w:val="24"/>
        </w:rPr>
        <w:t xml:space="preserve"> 2) Regulations. Regulation 14(2)(b) purports to amend the definition of “the Waste Directive” in regulation 2 of the</w:t>
      </w:r>
      <w:r>
        <w:rPr>
          <w:color w:val="0D0D0D" w:themeColor="text1" w:themeTint="F2"/>
        </w:rPr>
        <w:t xml:space="preserve"> </w:t>
      </w:r>
      <w:r w:rsidR="00C43799" w:rsidRPr="00B834F2">
        <w:rPr>
          <w:color w:val="0D0D0D" w:themeColor="text1" w:themeTint="F2"/>
          <w:szCs w:val="24"/>
        </w:rPr>
        <w:t>Waste Batteries and Accumulators Regulations 2009</w:t>
      </w:r>
      <w:r>
        <w:rPr>
          <w:color w:val="0D0D0D" w:themeColor="text1" w:themeTint="F2"/>
          <w:szCs w:val="24"/>
        </w:rPr>
        <w:t>. However</w:t>
      </w:r>
      <w:r w:rsidR="00C211EE">
        <w:rPr>
          <w:color w:val="0D0D0D" w:themeColor="text1" w:themeTint="F2"/>
          <w:szCs w:val="24"/>
        </w:rPr>
        <w:t>,</w:t>
      </w:r>
      <w:r>
        <w:rPr>
          <w:color w:val="0D0D0D" w:themeColor="text1" w:themeTint="F2"/>
          <w:szCs w:val="24"/>
        </w:rPr>
        <w:t xml:space="preserve"> there is no such definition</w:t>
      </w:r>
      <w:r w:rsidR="006F1CD0">
        <w:rPr>
          <w:color w:val="0D0D0D" w:themeColor="text1" w:themeTint="F2"/>
          <w:szCs w:val="24"/>
        </w:rPr>
        <w:t>. R</w:t>
      </w:r>
      <w:r w:rsidR="00936C0B" w:rsidRPr="00B834F2">
        <w:rPr>
          <w:color w:val="0D0D0D" w:themeColor="text1" w:themeTint="F2"/>
          <w:szCs w:val="24"/>
        </w:rPr>
        <w:t xml:space="preserve">egulation 14(2)(b) was included in error and </w:t>
      </w:r>
      <w:r w:rsidR="001E4520">
        <w:rPr>
          <w:color w:val="0D0D0D" w:themeColor="text1" w:themeTint="F2"/>
          <w:szCs w:val="24"/>
        </w:rPr>
        <w:t>is to be omitted</w:t>
      </w:r>
      <w:r w:rsidR="00776665">
        <w:rPr>
          <w:color w:val="0D0D0D" w:themeColor="text1" w:themeTint="F2"/>
          <w:szCs w:val="24"/>
        </w:rPr>
        <w:t>;</w:t>
      </w:r>
      <w:r w:rsidR="00804CC4" w:rsidRPr="00B834F2">
        <w:rPr>
          <w:color w:val="0D0D0D" w:themeColor="text1" w:themeTint="F2"/>
          <w:szCs w:val="24"/>
        </w:rPr>
        <w:t xml:space="preserve"> </w:t>
      </w:r>
    </w:p>
    <w:p w14:paraId="5CF64BB1" w14:textId="43AC7DBD" w:rsidR="00C43799" w:rsidRPr="000D44A9" w:rsidRDefault="000275C4" w:rsidP="000D44A9">
      <w:pPr>
        <w:pStyle w:val="EMLevel1Paragraph"/>
        <w:numPr>
          <w:ilvl w:val="0"/>
          <w:numId w:val="35"/>
        </w:numPr>
        <w:ind w:left="1134" w:hanging="425"/>
        <w:rPr>
          <w:color w:val="0D0D0D" w:themeColor="text1" w:themeTint="F2"/>
        </w:rPr>
      </w:pPr>
      <w:r>
        <w:rPr>
          <w:color w:val="0D0D0D" w:themeColor="text1" w:themeTint="F2"/>
          <w:szCs w:val="24"/>
        </w:rPr>
        <w:t xml:space="preserve">Regulation </w:t>
      </w:r>
      <w:r w:rsidR="004F5359">
        <w:rPr>
          <w:color w:val="0D0D0D" w:themeColor="text1" w:themeTint="F2"/>
          <w:szCs w:val="24"/>
        </w:rPr>
        <w:t>4</w:t>
      </w:r>
      <w:r>
        <w:rPr>
          <w:color w:val="0D0D0D" w:themeColor="text1" w:themeTint="F2"/>
          <w:szCs w:val="24"/>
        </w:rPr>
        <w:t>(</w:t>
      </w:r>
      <w:r w:rsidR="00AD2BFC">
        <w:rPr>
          <w:color w:val="0D0D0D" w:themeColor="text1" w:themeTint="F2"/>
          <w:szCs w:val="24"/>
        </w:rPr>
        <w:t>4</w:t>
      </w:r>
      <w:r>
        <w:rPr>
          <w:color w:val="0D0D0D" w:themeColor="text1" w:themeTint="F2"/>
          <w:szCs w:val="24"/>
        </w:rPr>
        <w:t>) of this instrument amends regulation 16 of the</w:t>
      </w:r>
      <w:r w:rsidRPr="000275C4">
        <w:rPr>
          <w:color w:val="0D0D0D" w:themeColor="text1" w:themeTint="F2"/>
          <w:szCs w:val="24"/>
        </w:rPr>
        <w:t xml:space="preserve"> </w:t>
      </w:r>
      <w:r>
        <w:rPr>
          <w:color w:val="0D0D0D" w:themeColor="text1" w:themeTint="F2"/>
          <w:szCs w:val="24"/>
        </w:rPr>
        <w:t>Waste (EU Exit) (No</w:t>
      </w:r>
      <w:r w:rsidR="00A23BCD">
        <w:rPr>
          <w:color w:val="0D0D0D" w:themeColor="text1" w:themeTint="F2"/>
          <w:szCs w:val="24"/>
        </w:rPr>
        <w:t>.</w:t>
      </w:r>
      <w:r>
        <w:rPr>
          <w:color w:val="0D0D0D" w:themeColor="text1" w:themeTint="F2"/>
          <w:szCs w:val="24"/>
        </w:rPr>
        <w:t xml:space="preserve"> 2) Regulations. Regulation 16 amends t</w:t>
      </w:r>
      <w:r w:rsidR="00C43799" w:rsidRPr="000D44A9">
        <w:rPr>
          <w:color w:val="0D0D0D" w:themeColor="text1" w:themeTint="F2"/>
          <w:szCs w:val="24"/>
        </w:rPr>
        <w:t xml:space="preserve">he </w:t>
      </w:r>
      <w:r w:rsidR="00883506">
        <w:rPr>
          <w:color w:val="0D0D0D" w:themeColor="text1" w:themeTint="F2"/>
          <w:szCs w:val="24"/>
        </w:rPr>
        <w:t>2011 Regulations</w:t>
      </w:r>
      <w:r>
        <w:rPr>
          <w:color w:val="0D0D0D" w:themeColor="text1" w:themeTint="F2"/>
          <w:szCs w:val="24"/>
        </w:rPr>
        <w:t xml:space="preserve">. Regulation </w:t>
      </w:r>
      <w:r w:rsidR="004F5359">
        <w:rPr>
          <w:color w:val="0D0D0D" w:themeColor="text1" w:themeTint="F2"/>
          <w:szCs w:val="24"/>
        </w:rPr>
        <w:t>4</w:t>
      </w:r>
      <w:r>
        <w:rPr>
          <w:color w:val="0D0D0D" w:themeColor="text1" w:themeTint="F2"/>
          <w:szCs w:val="24"/>
        </w:rPr>
        <w:t>(</w:t>
      </w:r>
      <w:r w:rsidR="001F16E1">
        <w:rPr>
          <w:color w:val="0D0D0D" w:themeColor="text1" w:themeTint="F2"/>
          <w:szCs w:val="24"/>
        </w:rPr>
        <w:t>4</w:t>
      </w:r>
      <w:r>
        <w:rPr>
          <w:color w:val="0D0D0D" w:themeColor="text1" w:themeTint="F2"/>
          <w:szCs w:val="24"/>
        </w:rPr>
        <w:t xml:space="preserve">)(b) of this instrument inserts new amendments to </w:t>
      </w:r>
      <w:r w:rsidR="004248A6" w:rsidRPr="000D44A9">
        <w:rPr>
          <w:color w:val="0D0D0D" w:themeColor="text1" w:themeTint="F2"/>
          <w:szCs w:val="24"/>
        </w:rPr>
        <w:t>paragraph 4</w:t>
      </w:r>
      <w:r>
        <w:rPr>
          <w:color w:val="0D0D0D" w:themeColor="text1" w:themeTint="F2"/>
          <w:szCs w:val="24"/>
        </w:rPr>
        <w:t xml:space="preserve"> of Schedule 1 to the 2011 Regulations to correct deficiencies resulting from EU exit in that paragraph. Following exit from the EU, it is</w:t>
      </w:r>
      <w:r w:rsidR="00250E87" w:rsidRPr="000D44A9">
        <w:rPr>
          <w:color w:val="0D0D0D" w:themeColor="text1" w:themeTint="F2"/>
          <w:szCs w:val="24"/>
        </w:rPr>
        <w:t xml:space="preserve"> no longer appropriate for </w:t>
      </w:r>
      <w:r w:rsidR="00997795" w:rsidRPr="000D44A9">
        <w:rPr>
          <w:color w:val="0D0D0D" w:themeColor="text1" w:themeTint="F2"/>
          <w:szCs w:val="24"/>
        </w:rPr>
        <w:t xml:space="preserve">the </w:t>
      </w:r>
      <w:r w:rsidR="002652A0" w:rsidRPr="000D44A9">
        <w:rPr>
          <w:color w:val="0D0D0D" w:themeColor="text1" w:themeTint="F2"/>
          <w:szCs w:val="24"/>
        </w:rPr>
        <w:t xml:space="preserve">objectives relating to the </w:t>
      </w:r>
      <w:r w:rsidR="00997795" w:rsidRPr="000D44A9">
        <w:rPr>
          <w:color w:val="0D0D0D" w:themeColor="text1" w:themeTint="F2"/>
          <w:szCs w:val="24"/>
        </w:rPr>
        <w:t>principles of self-sufficiency and proximity in national waste management plan</w:t>
      </w:r>
      <w:r w:rsidR="00250E87" w:rsidRPr="000D44A9">
        <w:rPr>
          <w:color w:val="0D0D0D" w:themeColor="text1" w:themeTint="F2"/>
          <w:szCs w:val="24"/>
        </w:rPr>
        <w:t>s to</w:t>
      </w:r>
      <w:r w:rsidR="004248A6" w:rsidRPr="000D44A9">
        <w:rPr>
          <w:color w:val="0D0D0D" w:themeColor="text1" w:themeTint="F2"/>
          <w:szCs w:val="24"/>
        </w:rPr>
        <w:t xml:space="preserve"> </w:t>
      </w:r>
      <w:r w:rsidR="00C14FB7" w:rsidRPr="000D44A9">
        <w:rPr>
          <w:color w:val="0D0D0D" w:themeColor="text1" w:themeTint="F2"/>
          <w:szCs w:val="24"/>
        </w:rPr>
        <w:t xml:space="preserve">refer </w:t>
      </w:r>
      <w:r w:rsidR="004248A6" w:rsidRPr="000D44A9">
        <w:rPr>
          <w:color w:val="0D0D0D" w:themeColor="text1" w:themeTint="F2"/>
          <w:szCs w:val="24"/>
        </w:rPr>
        <w:t xml:space="preserve">to </w:t>
      </w:r>
      <w:r w:rsidR="002652A0" w:rsidRPr="000D44A9">
        <w:rPr>
          <w:color w:val="0D0D0D" w:themeColor="text1" w:themeTint="F2"/>
          <w:szCs w:val="24"/>
        </w:rPr>
        <w:t xml:space="preserve">the </w:t>
      </w:r>
      <w:r w:rsidR="00250E87" w:rsidRPr="000D44A9">
        <w:rPr>
          <w:color w:val="0D0D0D" w:themeColor="text1" w:themeTint="F2"/>
          <w:szCs w:val="24"/>
        </w:rPr>
        <w:t>EU</w:t>
      </w:r>
      <w:r w:rsidR="00550F85" w:rsidRPr="000D44A9">
        <w:rPr>
          <w:color w:val="0D0D0D" w:themeColor="text1" w:themeTint="F2"/>
          <w:szCs w:val="24"/>
        </w:rPr>
        <w:t>.</w:t>
      </w:r>
      <w:r w:rsidR="00EF7937">
        <w:rPr>
          <w:color w:val="0D0D0D" w:themeColor="text1" w:themeTint="F2"/>
          <w:szCs w:val="24"/>
        </w:rPr>
        <w:t xml:space="preserve"> </w:t>
      </w:r>
      <w:r>
        <w:rPr>
          <w:color w:val="0D0D0D" w:themeColor="text1" w:themeTint="F2"/>
          <w:szCs w:val="24"/>
        </w:rPr>
        <w:t xml:space="preserve">Therefore the amendments ensure that </w:t>
      </w:r>
      <w:r w:rsidR="00EF7937" w:rsidRPr="000D44A9">
        <w:rPr>
          <w:color w:val="0D0D0D" w:themeColor="text1" w:themeTint="F2"/>
          <w:szCs w:val="24"/>
        </w:rPr>
        <w:t xml:space="preserve">the principles of self-sufficiency and proximity will continue to apply at a UK level.  </w:t>
      </w:r>
      <w:r>
        <w:rPr>
          <w:color w:val="0D0D0D" w:themeColor="text1" w:themeTint="F2"/>
          <w:szCs w:val="24"/>
        </w:rPr>
        <w:t xml:space="preserve">Regulation </w:t>
      </w:r>
      <w:r w:rsidR="004F5359">
        <w:rPr>
          <w:color w:val="0D0D0D" w:themeColor="text1" w:themeTint="F2"/>
          <w:szCs w:val="24"/>
        </w:rPr>
        <w:t>4</w:t>
      </w:r>
      <w:r>
        <w:rPr>
          <w:color w:val="0D0D0D" w:themeColor="text1" w:themeTint="F2"/>
          <w:szCs w:val="24"/>
        </w:rPr>
        <w:t>(</w:t>
      </w:r>
      <w:r w:rsidR="001F16E1">
        <w:rPr>
          <w:color w:val="0D0D0D" w:themeColor="text1" w:themeTint="F2"/>
          <w:szCs w:val="24"/>
        </w:rPr>
        <w:t>4</w:t>
      </w:r>
      <w:r>
        <w:rPr>
          <w:color w:val="0D0D0D" w:themeColor="text1" w:themeTint="F2"/>
          <w:szCs w:val="24"/>
        </w:rPr>
        <w:t>)(a) amends regulation 16(3) of the Waste (EU Exit) No</w:t>
      </w:r>
      <w:r w:rsidR="00A23BCD">
        <w:rPr>
          <w:color w:val="0D0D0D" w:themeColor="text1" w:themeTint="F2"/>
          <w:szCs w:val="24"/>
        </w:rPr>
        <w:t>.</w:t>
      </w:r>
      <w:r>
        <w:rPr>
          <w:color w:val="0D0D0D" w:themeColor="text1" w:themeTint="F2"/>
          <w:szCs w:val="24"/>
        </w:rPr>
        <w:t xml:space="preserve"> 2 Regulations </w:t>
      </w:r>
      <w:r w:rsidR="00883506">
        <w:rPr>
          <w:color w:val="0D0D0D" w:themeColor="text1" w:themeTint="F2"/>
          <w:szCs w:val="24"/>
        </w:rPr>
        <w:t>by</w:t>
      </w:r>
      <w:r>
        <w:rPr>
          <w:color w:val="0D0D0D" w:themeColor="text1" w:themeTint="F2"/>
          <w:szCs w:val="24"/>
        </w:rPr>
        <w:t xml:space="preserve"> replac</w:t>
      </w:r>
      <w:r w:rsidR="00883506">
        <w:rPr>
          <w:color w:val="0D0D0D" w:themeColor="text1" w:themeTint="F2"/>
          <w:szCs w:val="24"/>
        </w:rPr>
        <w:t>ing new</w:t>
      </w:r>
      <w:r>
        <w:rPr>
          <w:color w:val="0D0D0D" w:themeColor="text1" w:themeTint="F2"/>
          <w:szCs w:val="24"/>
        </w:rPr>
        <w:t xml:space="preserve"> </w:t>
      </w:r>
      <w:r w:rsidRPr="000D44A9">
        <w:rPr>
          <w:color w:val="0D0D0D" w:themeColor="text1" w:themeTint="F2"/>
          <w:szCs w:val="24"/>
        </w:rPr>
        <w:t>regulation 3D(8)(</w:t>
      </w:r>
      <w:r w:rsidR="00883506">
        <w:rPr>
          <w:color w:val="0D0D0D" w:themeColor="text1" w:themeTint="F2"/>
          <w:szCs w:val="24"/>
        </w:rPr>
        <w:t>b)(</w:t>
      </w:r>
      <w:r w:rsidRPr="000D44A9">
        <w:rPr>
          <w:color w:val="0D0D0D" w:themeColor="text1" w:themeTint="F2"/>
          <w:szCs w:val="24"/>
        </w:rPr>
        <w:t>i) of the 2011</w:t>
      </w:r>
      <w:r w:rsidR="00883506">
        <w:rPr>
          <w:color w:val="0D0D0D" w:themeColor="text1" w:themeTint="F2"/>
          <w:szCs w:val="24"/>
        </w:rPr>
        <w:t xml:space="preserve"> Regulations </w:t>
      </w:r>
      <w:r w:rsidR="00EF7937" w:rsidRPr="000D44A9">
        <w:rPr>
          <w:color w:val="0D0D0D" w:themeColor="text1" w:themeTint="F2"/>
          <w:szCs w:val="24"/>
        </w:rPr>
        <w:t xml:space="preserve">to ensure a consistent approach </w:t>
      </w:r>
      <w:r w:rsidR="00883506">
        <w:rPr>
          <w:color w:val="0D0D0D" w:themeColor="text1" w:themeTint="F2"/>
          <w:szCs w:val="24"/>
        </w:rPr>
        <w:t>between</w:t>
      </w:r>
      <w:r w:rsidR="00EF7937" w:rsidRPr="000D44A9">
        <w:rPr>
          <w:color w:val="0D0D0D" w:themeColor="text1" w:themeTint="F2"/>
          <w:szCs w:val="24"/>
        </w:rPr>
        <w:t xml:space="preserve"> the modification </w:t>
      </w:r>
      <w:r w:rsidR="00883506">
        <w:rPr>
          <w:color w:val="0D0D0D" w:themeColor="text1" w:themeTint="F2"/>
          <w:szCs w:val="24"/>
        </w:rPr>
        <w:t>of</w:t>
      </w:r>
      <w:r w:rsidR="00EF7937" w:rsidRPr="000D44A9">
        <w:rPr>
          <w:color w:val="0D0D0D" w:themeColor="text1" w:themeTint="F2"/>
          <w:szCs w:val="24"/>
        </w:rPr>
        <w:t xml:space="preserve"> Article 16 of the Waste Framework Directive</w:t>
      </w:r>
      <w:r w:rsidR="00883506">
        <w:rPr>
          <w:color w:val="0D0D0D" w:themeColor="text1" w:themeTint="F2"/>
          <w:szCs w:val="24"/>
        </w:rPr>
        <w:t xml:space="preserve"> and the amendment made </w:t>
      </w:r>
      <w:r w:rsidR="00AB478D">
        <w:rPr>
          <w:color w:val="0D0D0D" w:themeColor="text1" w:themeTint="F2"/>
          <w:szCs w:val="24"/>
        </w:rPr>
        <w:t>by regulation 4(</w:t>
      </w:r>
      <w:r w:rsidR="001F16E1">
        <w:rPr>
          <w:color w:val="0D0D0D" w:themeColor="text1" w:themeTint="F2"/>
          <w:szCs w:val="24"/>
        </w:rPr>
        <w:t>4</w:t>
      </w:r>
      <w:r w:rsidR="00AB478D">
        <w:rPr>
          <w:color w:val="0D0D0D" w:themeColor="text1" w:themeTint="F2"/>
          <w:szCs w:val="24"/>
        </w:rPr>
        <w:t>)(b) of this instrument</w:t>
      </w:r>
      <w:r w:rsidR="00776665">
        <w:rPr>
          <w:color w:val="0D0D0D" w:themeColor="text1" w:themeTint="F2"/>
          <w:szCs w:val="24"/>
        </w:rPr>
        <w:t>;</w:t>
      </w:r>
    </w:p>
    <w:p w14:paraId="6FC29FA9" w14:textId="6EA0473B" w:rsidR="003D29D1" w:rsidRPr="00033B0C" w:rsidRDefault="003D29D1" w:rsidP="006B3E4B">
      <w:pPr>
        <w:pStyle w:val="EMLevel1Paragraph"/>
        <w:numPr>
          <w:ilvl w:val="0"/>
          <w:numId w:val="35"/>
        </w:numPr>
        <w:ind w:left="1134"/>
        <w:rPr>
          <w:color w:val="0D0D0D" w:themeColor="text1" w:themeTint="F2"/>
        </w:rPr>
      </w:pPr>
      <w:r>
        <w:rPr>
          <w:color w:val="0D0D0D" w:themeColor="text1" w:themeTint="F2"/>
          <w:szCs w:val="24"/>
        </w:rPr>
        <w:t xml:space="preserve">Regulation </w:t>
      </w:r>
      <w:r w:rsidR="004F5359">
        <w:rPr>
          <w:color w:val="0D0D0D" w:themeColor="text1" w:themeTint="F2"/>
          <w:szCs w:val="24"/>
        </w:rPr>
        <w:t>4</w:t>
      </w:r>
      <w:r>
        <w:rPr>
          <w:color w:val="0D0D0D" w:themeColor="text1" w:themeTint="F2"/>
          <w:szCs w:val="24"/>
        </w:rPr>
        <w:t>(</w:t>
      </w:r>
      <w:r w:rsidR="00AD2BFC">
        <w:rPr>
          <w:color w:val="0D0D0D" w:themeColor="text1" w:themeTint="F2"/>
          <w:szCs w:val="24"/>
        </w:rPr>
        <w:t>5</w:t>
      </w:r>
      <w:r>
        <w:rPr>
          <w:color w:val="0D0D0D" w:themeColor="text1" w:themeTint="F2"/>
          <w:szCs w:val="24"/>
        </w:rPr>
        <w:t>) of the instrument amends regulation 18(25)</w:t>
      </w:r>
      <w:r w:rsidR="00AB478D">
        <w:rPr>
          <w:color w:val="0D0D0D" w:themeColor="text1" w:themeTint="F2"/>
          <w:szCs w:val="24"/>
        </w:rPr>
        <w:t>(c)</w:t>
      </w:r>
      <w:r>
        <w:rPr>
          <w:color w:val="0D0D0D" w:themeColor="text1" w:themeTint="F2"/>
          <w:szCs w:val="24"/>
        </w:rPr>
        <w:t xml:space="preserve"> of the Waste (EU Exit) (No</w:t>
      </w:r>
      <w:r w:rsidR="00A23BCD">
        <w:rPr>
          <w:color w:val="0D0D0D" w:themeColor="text1" w:themeTint="F2"/>
          <w:szCs w:val="24"/>
        </w:rPr>
        <w:t>.</w:t>
      </w:r>
      <w:r>
        <w:rPr>
          <w:color w:val="0D0D0D" w:themeColor="text1" w:themeTint="F2"/>
          <w:szCs w:val="24"/>
        </w:rPr>
        <w:t xml:space="preserve"> 2) Regulations. Regulation 18(25)</w:t>
      </w:r>
      <w:r w:rsidR="00AB478D">
        <w:rPr>
          <w:color w:val="0D0D0D" w:themeColor="text1" w:themeTint="F2"/>
          <w:szCs w:val="24"/>
        </w:rPr>
        <w:t>(c)</w:t>
      </w:r>
      <w:r>
        <w:rPr>
          <w:color w:val="0D0D0D" w:themeColor="text1" w:themeTint="F2"/>
          <w:szCs w:val="24"/>
        </w:rPr>
        <w:t xml:space="preserve"> inserts a new Part 4 into Schedule 1 to t</w:t>
      </w:r>
      <w:r w:rsidR="00C43799" w:rsidRPr="000D44A9">
        <w:rPr>
          <w:color w:val="0D0D0D" w:themeColor="text1" w:themeTint="F2"/>
          <w:szCs w:val="24"/>
        </w:rPr>
        <w:t>he Restriction of the Use of Certain Hazardous Substances in Electrical and Electronic Equipment Regulations 2012</w:t>
      </w:r>
      <w:r>
        <w:rPr>
          <w:color w:val="0D0D0D" w:themeColor="text1" w:themeTint="F2"/>
          <w:szCs w:val="24"/>
        </w:rPr>
        <w:t>. New</w:t>
      </w:r>
      <w:r w:rsidR="00C43799" w:rsidRPr="000D44A9">
        <w:rPr>
          <w:color w:val="0D0D0D" w:themeColor="text1" w:themeTint="F2"/>
          <w:szCs w:val="24"/>
        </w:rPr>
        <w:t xml:space="preserve"> </w:t>
      </w:r>
      <w:r>
        <w:rPr>
          <w:color w:val="0D0D0D" w:themeColor="text1" w:themeTint="F2"/>
          <w:szCs w:val="24"/>
        </w:rPr>
        <w:t>p</w:t>
      </w:r>
      <w:r w:rsidR="006F262E" w:rsidRPr="000D44A9">
        <w:rPr>
          <w:color w:val="0D0D0D" w:themeColor="text1" w:themeTint="F2"/>
          <w:szCs w:val="24"/>
        </w:rPr>
        <w:t>aragraph</w:t>
      </w:r>
      <w:r w:rsidR="00A427C5" w:rsidRPr="000D44A9">
        <w:rPr>
          <w:color w:val="0D0D0D" w:themeColor="text1" w:themeTint="F2"/>
          <w:szCs w:val="24"/>
        </w:rPr>
        <w:t xml:space="preserve"> 26(c)(vi)</w:t>
      </w:r>
      <w:r w:rsidR="006F262E" w:rsidRPr="000D44A9">
        <w:rPr>
          <w:color w:val="0D0D0D" w:themeColor="text1" w:themeTint="F2"/>
          <w:szCs w:val="24"/>
        </w:rPr>
        <w:t xml:space="preserve"> </w:t>
      </w:r>
      <w:r w:rsidR="00A427C5" w:rsidRPr="000D44A9">
        <w:rPr>
          <w:color w:val="0D0D0D" w:themeColor="text1" w:themeTint="F2"/>
          <w:szCs w:val="24"/>
        </w:rPr>
        <w:t xml:space="preserve">is unnecessary </w:t>
      </w:r>
      <w:r>
        <w:rPr>
          <w:color w:val="0D0D0D" w:themeColor="text1" w:themeTint="F2"/>
          <w:szCs w:val="24"/>
        </w:rPr>
        <w:t>in light of new p</w:t>
      </w:r>
      <w:r w:rsidR="006F262E" w:rsidRPr="000D44A9">
        <w:rPr>
          <w:color w:val="0D0D0D" w:themeColor="text1" w:themeTint="F2"/>
          <w:szCs w:val="24"/>
        </w:rPr>
        <w:t>aragraphs</w:t>
      </w:r>
      <w:r w:rsidR="00A427C5" w:rsidRPr="000D44A9">
        <w:rPr>
          <w:color w:val="0D0D0D" w:themeColor="text1" w:themeTint="F2"/>
          <w:szCs w:val="24"/>
        </w:rPr>
        <w:t xml:space="preserve"> 26(c)(iv) and 26(c)(v)</w:t>
      </w:r>
      <w:r w:rsidR="006F262E" w:rsidRPr="000D44A9">
        <w:rPr>
          <w:color w:val="0D0D0D" w:themeColor="text1" w:themeTint="F2"/>
          <w:szCs w:val="24"/>
        </w:rPr>
        <w:t xml:space="preserve"> of Part </w:t>
      </w:r>
      <w:r>
        <w:rPr>
          <w:color w:val="0D0D0D" w:themeColor="text1" w:themeTint="F2"/>
          <w:szCs w:val="24"/>
        </w:rPr>
        <w:t>4</w:t>
      </w:r>
      <w:r w:rsidR="00A427C5" w:rsidRPr="000D44A9">
        <w:rPr>
          <w:color w:val="0D0D0D" w:themeColor="text1" w:themeTint="F2"/>
          <w:szCs w:val="24"/>
        </w:rPr>
        <w:t>.</w:t>
      </w:r>
      <w:r>
        <w:rPr>
          <w:color w:val="0D0D0D" w:themeColor="text1" w:themeTint="F2"/>
          <w:szCs w:val="24"/>
        </w:rPr>
        <w:t xml:space="preserve"> New paragraph 26(c)(vi) was included in error and </w:t>
      </w:r>
      <w:r w:rsidR="001E4520">
        <w:rPr>
          <w:color w:val="0D0D0D" w:themeColor="text1" w:themeTint="F2"/>
          <w:szCs w:val="24"/>
        </w:rPr>
        <w:t>is to be omitted</w:t>
      </w:r>
      <w:r w:rsidR="007569E8">
        <w:rPr>
          <w:color w:val="0D0D0D" w:themeColor="text1" w:themeTint="F2"/>
          <w:szCs w:val="24"/>
        </w:rPr>
        <w:t>.</w:t>
      </w:r>
    </w:p>
    <w:p w14:paraId="6CCE1A74" w14:textId="14CAA23F" w:rsidR="00033B0C" w:rsidRDefault="00033B0C" w:rsidP="00033B0C">
      <w:pPr>
        <w:pStyle w:val="EMLevel1Paragraph"/>
        <w:rPr>
          <w:color w:val="0D0D0D" w:themeColor="text1" w:themeTint="F2"/>
        </w:rPr>
      </w:pPr>
      <w:r w:rsidRPr="00496C01">
        <w:rPr>
          <w:color w:val="0D0D0D" w:themeColor="text1" w:themeTint="F2"/>
          <w:szCs w:val="24"/>
        </w:rPr>
        <w:t>Regulation 5 of the instrument amends regulation 17(3) of the Waste (EU Exit) Regulations. Regulation 17(3) inserts new Articles 1A to 1F into Commission Decision 2009/335/EC on technical guidelines for the establishment of the financial guarantee in accordance with Directive 2006/21/EC of the European Parliament and of the Council concerning the management of waste from extractive industries. Regulation 5 of this instrument replaces new Article 1B(8)(b)(i), which modifies Article 16 of the Waste Framework Directive, to ensure a consistent approach with the amendments made by regulation 4(4) of the instrument as outlined above.</w:t>
      </w:r>
    </w:p>
    <w:p w14:paraId="38E9F973" w14:textId="77777777" w:rsidR="005E7B5C" w:rsidRDefault="005E7B5C" w:rsidP="007B4276">
      <w:pPr>
        <w:pStyle w:val="EMSub-sub-sectiontitle"/>
      </w:pPr>
      <w:r>
        <w:t>What will it now do?</w:t>
      </w:r>
    </w:p>
    <w:p w14:paraId="03138899" w14:textId="77777777" w:rsidR="00DC084C" w:rsidRPr="000D44A9" w:rsidRDefault="00DC084C" w:rsidP="00680F89">
      <w:pPr>
        <w:pStyle w:val="EMLevel1Paragraph"/>
        <w:rPr>
          <w:color w:val="0D0D0D" w:themeColor="text1" w:themeTint="F2"/>
        </w:rPr>
      </w:pPr>
      <w:r w:rsidRPr="000D44A9">
        <w:rPr>
          <w:color w:val="0D0D0D" w:themeColor="text1" w:themeTint="F2"/>
        </w:rPr>
        <w:t xml:space="preserve">The </w:t>
      </w:r>
      <w:r w:rsidR="003D2F01">
        <w:t>EIA</w:t>
      </w:r>
      <w:r w:rsidR="001E4520">
        <w:t xml:space="preserve"> (</w:t>
      </w:r>
      <w:r w:rsidR="003D2F01" w:rsidRPr="0003730A">
        <w:t>EU Exit) Regulations</w:t>
      </w:r>
      <w:r w:rsidR="001E4520">
        <w:t>,</w:t>
      </w:r>
      <w:r w:rsidR="003D2F01" w:rsidRPr="0003730A">
        <w:t xml:space="preserve"> </w:t>
      </w:r>
      <w:r w:rsidR="00AB478D">
        <w:t xml:space="preserve">EPR (EU Exit) Regulations, </w:t>
      </w:r>
      <w:r w:rsidR="004259A6" w:rsidRPr="000D44A9">
        <w:rPr>
          <w:color w:val="0D0D0D" w:themeColor="text1" w:themeTint="F2"/>
        </w:rPr>
        <w:t>the Waste (EU Exit) (No</w:t>
      </w:r>
      <w:r w:rsidR="00A23BCD">
        <w:rPr>
          <w:color w:val="0D0D0D" w:themeColor="text1" w:themeTint="F2"/>
        </w:rPr>
        <w:t>.</w:t>
      </w:r>
      <w:r w:rsidR="004259A6" w:rsidRPr="000D44A9">
        <w:rPr>
          <w:color w:val="0D0D0D" w:themeColor="text1" w:themeTint="F2"/>
        </w:rPr>
        <w:t xml:space="preserve"> 2) Regulations </w:t>
      </w:r>
      <w:r w:rsidR="001E4520">
        <w:rPr>
          <w:color w:val="0D0D0D" w:themeColor="text1" w:themeTint="F2"/>
        </w:rPr>
        <w:t>and the Waste (EU Exit) Regulations</w:t>
      </w:r>
      <w:r w:rsidR="00AB478D">
        <w:rPr>
          <w:color w:val="0D0D0D" w:themeColor="text1" w:themeTint="F2"/>
        </w:rPr>
        <w:t xml:space="preserve"> as amended by this instrument</w:t>
      </w:r>
      <w:r w:rsidR="001E4520">
        <w:rPr>
          <w:color w:val="0D0D0D" w:themeColor="text1" w:themeTint="F2"/>
        </w:rPr>
        <w:t xml:space="preserve"> </w:t>
      </w:r>
      <w:r w:rsidRPr="000D44A9">
        <w:rPr>
          <w:color w:val="0D0D0D" w:themeColor="text1" w:themeTint="F2"/>
        </w:rPr>
        <w:t>will ensure that deficiencies in the legislation amended by th</w:t>
      </w:r>
      <w:r w:rsidR="004259A6" w:rsidRPr="000D44A9">
        <w:rPr>
          <w:color w:val="0D0D0D" w:themeColor="text1" w:themeTint="F2"/>
        </w:rPr>
        <w:t xml:space="preserve">ose Regulations </w:t>
      </w:r>
      <w:r w:rsidRPr="000D44A9">
        <w:rPr>
          <w:color w:val="0D0D0D" w:themeColor="text1" w:themeTint="F2"/>
        </w:rPr>
        <w:t>are addressed as intended.</w:t>
      </w:r>
    </w:p>
    <w:p w14:paraId="1F6C0490" w14:textId="77777777" w:rsidR="005E7B5C" w:rsidRDefault="005E7B5C" w:rsidP="00CD4FDB">
      <w:pPr>
        <w:pStyle w:val="EMSectionTitle"/>
      </w:pPr>
      <w:r>
        <w:t xml:space="preserve">Matters of special interest to </w:t>
      </w:r>
      <w:r w:rsidRPr="00091FCF">
        <w:t>Parliament</w:t>
      </w:r>
    </w:p>
    <w:p w14:paraId="0DF7DDE3" w14:textId="77777777" w:rsidR="005E7B5C" w:rsidRDefault="005E7B5C" w:rsidP="007376FF">
      <w:pPr>
        <w:pStyle w:val="EMSub-sectiontitle"/>
      </w:pPr>
      <w:r>
        <w:t xml:space="preserve">Matters of special interest to the </w:t>
      </w:r>
      <w:r w:rsidR="00BE61FA">
        <w:t xml:space="preserve">Sifting </w:t>
      </w:r>
      <w:r>
        <w:t>Committees</w:t>
      </w:r>
      <w:r w:rsidR="00A856F0">
        <w:t xml:space="preserve"> and the Joint Committee on Statutory Instruments</w:t>
      </w:r>
    </w:p>
    <w:p w14:paraId="79080236" w14:textId="77777777" w:rsidR="005E7B5C" w:rsidRDefault="003930F2" w:rsidP="007376FF">
      <w:pPr>
        <w:pStyle w:val="EMLevel1Paragraph"/>
        <w:rPr>
          <w:highlight w:val="white"/>
        </w:rPr>
      </w:pPr>
      <w:r>
        <w:rPr>
          <w:highlight w:val="white"/>
        </w:rPr>
        <w:t>This instrument is being laid for sifting by the Sifting Committees.</w:t>
      </w:r>
    </w:p>
    <w:p w14:paraId="4349CD06" w14:textId="54DB83BF" w:rsidR="00A856F0" w:rsidRDefault="00A856F0" w:rsidP="00A856F0">
      <w:pPr>
        <w:pStyle w:val="EMLevel1Paragraph"/>
        <w:rPr>
          <w:highlight w:val="white"/>
        </w:rPr>
      </w:pPr>
      <w:r w:rsidRPr="00593BCC">
        <w:rPr>
          <w:color w:val="0D0D0D" w:themeColor="text1" w:themeTint="F2"/>
          <w:highlight w:val="white"/>
        </w:rPr>
        <w:t xml:space="preserve">Regulations </w:t>
      </w:r>
      <w:r w:rsidR="00925DFE" w:rsidRPr="00593BCC">
        <w:rPr>
          <w:color w:val="0D0D0D" w:themeColor="text1" w:themeTint="F2"/>
          <w:highlight w:val="white"/>
        </w:rPr>
        <w:t xml:space="preserve">2 and </w:t>
      </w:r>
      <w:r w:rsidR="00E16227">
        <w:rPr>
          <w:color w:val="0D0D0D" w:themeColor="text1" w:themeTint="F2"/>
          <w:highlight w:val="white"/>
        </w:rPr>
        <w:t>4</w:t>
      </w:r>
      <w:r w:rsidR="00033B0C">
        <w:rPr>
          <w:color w:val="0D0D0D" w:themeColor="text1" w:themeTint="F2"/>
          <w:highlight w:val="white"/>
        </w:rPr>
        <w:t>(3) and (5)</w:t>
      </w:r>
      <w:r w:rsidR="00E16227" w:rsidRPr="00593BCC">
        <w:rPr>
          <w:color w:val="0D0D0D" w:themeColor="text1" w:themeTint="F2"/>
          <w:highlight w:val="white"/>
        </w:rPr>
        <w:t xml:space="preserve"> </w:t>
      </w:r>
      <w:r w:rsidRPr="00593BCC">
        <w:rPr>
          <w:color w:val="0D0D0D" w:themeColor="text1" w:themeTint="F2"/>
          <w:highlight w:val="white"/>
        </w:rPr>
        <w:t>of this instrument amend other EU exit statutory instruments to correct minor errors in them, and this instrument is being published under the free issue procedure.</w:t>
      </w:r>
      <w:r w:rsidR="00C960AA">
        <w:rPr>
          <w:color w:val="0D0D0D" w:themeColor="text1" w:themeTint="F2"/>
          <w:highlight w:val="white"/>
        </w:rPr>
        <w:t xml:space="preserve"> Regulation 2 </w:t>
      </w:r>
      <w:r w:rsidR="00C960AA" w:rsidRPr="00511016">
        <w:rPr>
          <w:highlight w:val="white"/>
        </w:rPr>
        <w:t>corrects errors</w:t>
      </w:r>
      <w:r w:rsidR="00C960AA">
        <w:rPr>
          <w:highlight w:val="white"/>
        </w:rPr>
        <w:t xml:space="preserve"> in the </w:t>
      </w:r>
      <w:r w:rsidR="00C960AA">
        <w:t>EIA</w:t>
      </w:r>
      <w:r w:rsidR="001E4520">
        <w:t xml:space="preserve"> </w:t>
      </w:r>
      <w:r w:rsidR="00C960AA" w:rsidRPr="0003730A">
        <w:t xml:space="preserve">EU Exit Regulations </w:t>
      </w:r>
      <w:r w:rsidR="00C960AA" w:rsidRPr="00511016">
        <w:rPr>
          <w:highlight w:val="white"/>
        </w:rPr>
        <w:t xml:space="preserve"> previously reported by the </w:t>
      </w:r>
      <w:r w:rsidR="00C960AA">
        <w:rPr>
          <w:highlight w:val="white"/>
        </w:rPr>
        <w:t xml:space="preserve">JCSI </w:t>
      </w:r>
      <w:r w:rsidR="00C960AA" w:rsidRPr="00511016">
        <w:rPr>
          <w:highlight w:val="white"/>
        </w:rPr>
        <w:t>in the forty-eighth Report of Session 2017-19</w:t>
      </w:r>
      <w:r w:rsidR="00925DFE" w:rsidRPr="00593BCC">
        <w:rPr>
          <w:color w:val="0D0D0D" w:themeColor="text1" w:themeTint="F2"/>
          <w:highlight w:val="white"/>
        </w:rPr>
        <w:t xml:space="preserve"> Regulation </w:t>
      </w:r>
      <w:r w:rsidR="00E16227">
        <w:rPr>
          <w:color w:val="0D0D0D" w:themeColor="text1" w:themeTint="F2"/>
          <w:highlight w:val="white"/>
        </w:rPr>
        <w:t>4</w:t>
      </w:r>
      <w:r w:rsidR="001E4520">
        <w:rPr>
          <w:color w:val="0D0D0D" w:themeColor="text1" w:themeTint="F2"/>
          <w:highlight w:val="white"/>
        </w:rPr>
        <w:t>(</w:t>
      </w:r>
      <w:r w:rsidR="00033B0C">
        <w:rPr>
          <w:color w:val="0D0D0D" w:themeColor="text1" w:themeTint="F2"/>
          <w:highlight w:val="white"/>
        </w:rPr>
        <w:t>3</w:t>
      </w:r>
      <w:r w:rsidR="001E4520">
        <w:rPr>
          <w:color w:val="0D0D0D" w:themeColor="text1" w:themeTint="F2"/>
          <w:highlight w:val="white"/>
        </w:rPr>
        <w:t>) and (</w:t>
      </w:r>
      <w:r w:rsidR="00033B0C">
        <w:rPr>
          <w:color w:val="0D0D0D" w:themeColor="text1" w:themeTint="F2"/>
          <w:highlight w:val="white"/>
        </w:rPr>
        <w:t>5</w:t>
      </w:r>
      <w:r w:rsidR="001E4520">
        <w:rPr>
          <w:color w:val="0D0D0D" w:themeColor="text1" w:themeTint="F2"/>
          <w:highlight w:val="white"/>
        </w:rPr>
        <w:t>)</w:t>
      </w:r>
      <w:r w:rsidR="00925DFE" w:rsidRPr="00593BCC">
        <w:rPr>
          <w:color w:val="0D0D0D" w:themeColor="text1" w:themeTint="F2"/>
          <w:highlight w:val="white"/>
        </w:rPr>
        <w:t xml:space="preserve"> corrects errors in </w:t>
      </w:r>
      <w:r w:rsidR="00925DFE" w:rsidRPr="00593BCC">
        <w:rPr>
          <w:color w:val="0D0D0D" w:themeColor="text1" w:themeTint="F2"/>
        </w:rPr>
        <w:t>the Waste (EU Exit) (No</w:t>
      </w:r>
      <w:r w:rsidR="00A23BCD">
        <w:rPr>
          <w:color w:val="0D0D0D" w:themeColor="text1" w:themeTint="F2"/>
        </w:rPr>
        <w:t>.</w:t>
      </w:r>
      <w:r w:rsidR="00925DFE" w:rsidRPr="00593BCC">
        <w:rPr>
          <w:color w:val="0D0D0D" w:themeColor="text1" w:themeTint="F2"/>
        </w:rPr>
        <w:t xml:space="preserve"> 2) Regulations </w:t>
      </w:r>
      <w:r w:rsidR="00925DFE" w:rsidRPr="00593BCC">
        <w:rPr>
          <w:color w:val="0D0D0D" w:themeColor="text1" w:themeTint="F2"/>
          <w:highlight w:val="white"/>
        </w:rPr>
        <w:t xml:space="preserve">that were previously reported by the JCSI in report </w:t>
      </w:r>
      <w:r w:rsidR="00E40F4D" w:rsidRPr="00593BCC">
        <w:rPr>
          <w:color w:val="0D0D0D" w:themeColor="text1" w:themeTint="F2"/>
          <w:highlight w:val="white"/>
        </w:rPr>
        <w:t>HL 316 HC 542-Iii</w:t>
      </w:r>
      <w:r w:rsidR="00925DFE" w:rsidRPr="00593BCC">
        <w:rPr>
          <w:color w:val="0D0D0D" w:themeColor="text1" w:themeTint="F2"/>
          <w:highlight w:val="white"/>
        </w:rPr>
        <w:t>.</w:t>
      </w:r>
      <w:r w:rsidRPr="00593BCC">
        <w:rPr>
          <w:color w:val="0D0D0D" w:themeColor="text1" w:themeTint="F2"/>
          <w:highlight w:val="white"/>
        </w:rPr>
        <w:t xml:space="preserve">  </w:t>
      </w:r>
      <w:r>
        <w:rPr>
          <w:highlight w:val="white"/>
        </w:rPr>
        <w:t xml:space="preserve">The Department considered whether to revoke and remake the </w:t>
      </w:r>
      <w:r w:rsidR="00925DFE">
        <w:rPr>
          <w:highlight w:val="white"/>
        </w:rPr>
        <w:t>instruments containing errors</w:t>
      </w:r>
      <w:r w:rsidR="00D54636">
        <w:rPr>
          <w:highlight w:val="white"/>
        </w:rPr>
        <w:t>, or to withdraw and re-lay in the case of the affirmative instrument</w:t>
      </w:r>
      <w:r>
        <w:rPr>
          <w:highlight w:val="white"/>
        </w:rPr>
        <w:t>. It decided not to do so in view of the minor nature of the errors.</w:t>
      </w:r>
    </w:p>
    <w:p w14:paraId="014B3F51" w14:textId="77777777" w:rsidR="005E7B5C" w:rsidRDefault="005E7B5C" w:rsidP="007376FF">
      <w:pPr>
        <w:pStyle w:val="EMSub-sectiontitle"/>
      </w:pPr>
      <w:r>
        <w:t>Matters relevant to Standing Orders Nos. 83P and 83T of the Standing Orders of the House of Commons relating to Public Business (</w:t>
      </w:r>
      <w:r w:rsidR="00812201">
        <w:t>English Votes for English Laws)</w:t>
      </w:r>
    </w:p>
    <w:p w14:paraId="3EC8BBA0" w14:textId="77777777" w:rsidR="005E7B5C" w:rsidRDefault="005E7B5C" w:rsidP="00373B11">
      <w:pPr>
        <w:pStyle w:val="EMLevel1Paragraph"/>
        <w:rPr>
          <w:highlight w:val="white"/>
        </w:rPr>
      </w:pPr>
      <w:r>
        <w:t>As the instrument is subject to negative resolution procedure there are no matters relevant to Standing Orders Nos. 83P and 83T of the Standing Orders of the House of Commons relating to Public Business at this stage.</w:t>
      </w:r>
    </w:p>
    <w:p w14:paraId="35D2C19E" w14:textId="77777777" w:rsidR="005E7B5C" w:rsidRDefault="005E7B5C" w:rsidP="00CD4FDB">
      <w:pPr>
        <w:pStyle w:val="EMSectionTitle"/>
      </w:pPr>
      <w:r>
        <w:t>Extent and Territorial Application</w:t>
      </w:r>
    </w:p>
    <w:p w14:paraId="715A9D31" w14:textId="77777777" w:rsidR="00AB478D" w:rsidRDefault="00D54636" w:rsidP="00D54636">
      <w:pPr>
        <w:pStyle w:val="EMLevel1Paragraph"/>
        <w:rPr>
          <w:highlight w:val="white"/>
        </w:rPr>
      </w:pPr>
      <w:r w:rsidRPr="004519EF">
        <w:rPr>
          <w:highlight w:val="white"/>
        </w:rPr>
        <w:t>The territorial extent of this instrument is England and Wales, Scotland and Northern Ireland; and is the same as the provisions it is amending.</w:t>
      </w:r>
    </w:p>
    <w:p w14:paraId="3C4D55FD" w14:textId="77777777" w:rsidR="00A23BCD" w:rsidRPr="00AB478D" w:rsidRDefault="00A23BCD" w:rsidP="00E766E5">
      <w:pPr>
        <w:pStyle w:val="EMLevel1Paragraph"/>
        <w:rPr>
          <w:color w:val="0D0D0D"/>
          <w:szCs w:val="24"/>
        </w:rPr>
      </w:pPr>
      <w:r w:rsidRPr="00AB478D">
        <w:rPr>
          <w:color w:val="0D0D0D"/>
          <w:szCs w:val="24"/>
        </w:rPr>
        <w:t xml:space="preserve">The territorial application of the regulations is the same as the provisions it is amending. More specifically: </w:t>
      </w:r>
    </w:p>
    <w:p w14:paraId="7DE8A80B" w14:textId="045A09B6" w:rsidR="00A23BCD" w:rsidRDefault="00A23BCD" w:rsidP="00A23BCD">
      <w:pPr>
        <w:pStyle w:val="EMLevel1Paragraph"/>
        <w:numPr>
          <w:ilvl w:val="0"/>
          <w:numId w:val="44"/>
        </w:numPr>
        <w:tabs>
          <w:tab w:val="left" w:pos="720"/>
        </w:tabs>
        <w:outlineLvl w:val="9"/>
        <w:rPr>
          <w:color w:val="0D0D0D"/>
          <w:szCs w:val="24"/>
        </w:rPr>
      </w:pPr>
      <w:r>
        <w:rPr>
          <w:szCs w:val="24"/>
        </w:rPr>
        <w:t xml:space="preserve">Under the EIA (EU Exit) regulations - the territorial application of the regulations for agriculture (regulation 5) is England only; and the territorial application of the regulations for marine works (regulation 6) is </w:t>
      </w:r>
      <w:r>
        <w:rPr>
          <w:color w:val="0D0D0D"/>
          <w:szCs w:val="24"/>
        </w:rPr>
        <w:t xml:space="preserve">the </w:t>
      </w:r>
      <w:r>
        <w:rPr>
          <w:szCs w:val="24"/>
        </w:rPr>
        <w:t>English inshore region, English offshore region, Scottish inshore region (with respect to certain reserved projects), Scottish offshore region, Welsh inshore region, Welsh offshore region, Northern Ireland inshore region and Northern Ireland offshore region</w:t>
      </w:r>
      <w:r w:rsidR="00BE5119">
        <w:rPr>
          <w:szCs w:val="24"/>
        </w:rPr>
        <w:t>;</w:t>
      </w:r>
    </w:p>
    <w:p w14:paraId="6183A5BB" w14:textId="77777777" w:rsidR="00A23BCD" w:rsidRPr="00A23BCD" w:rsidRDefault="00A23BCD" w:rsidP="00A23BCD">
      <w:pPr>
        <w:pStyle w:val="EMLevel1Paragraph"/>
        <w:numPr>
          <w:ilvl w:val="0"/>
          <w:numId w:val="44"/>
        </w:numPr>
        <w:tabs>
          <w:tab w:val="left" w:pos="720"/>
        </w:tabs>
        <w:outlineLvl w:val="9"/>
        <w:rPr>
          <w:color w:val="0D0D0D" w:themeColor="text1" w:themeTint="F2"/>
          <w:szCs w:val="24"/>
        </w:rPr>
      </w:pPr>
      <w:r w:rsidRPr="00A23BCD">
        <w:rPr>
          <w:color w:val="0D0D0D" w:themeColor="text1" w:themeTint="F2"/>
          <w:szCs w:val="24"/>
        </w:rPr>
        <w:t>The territorial application of the EPR (EU Exit) Regulations is England and Wales only;</w:t>
      </w:r>
    </w:p>
    <w:p w14:paraId="1279DAF7" w14:textId="77777777" w:rsidR="00A23BCD" w:rsidRPr="00A23BCD" w:rsidRDefault="00A23BCD" w:rsidP="00A23BCD">
      <w:pPr>
        <w:pStyle w:val="EMLevel1Paragraph"/>
        <w:numPr>
          <w:ilvl w:val="0"/>
          <w:numId w:val="44"/>
        </w:numPr>
        <w:tabs>
          <w:tab w:val="left" w:pos="720"/>
        </w:tabs>
        <w:outlineLvl w:val="9"/>
        <w:rPr>
          <w:color w:val="0D0D0D" w:themeColor="text1" w:themeTint="F2"/>
          <w:szCs w:val="24"/>
        </w:rPr>
      </w:pPr>
      <w:r w:rsidRPr="00A23BCD">
        <w:rPr>
          <w:color w:val="0D0D0D" w:themeColor="text1" w:themeTint="F2"/>
          <w:szCs w:val="24"/>
        </w:rPr>
        <w:t>Under the Waste (EU Exit) (No</w:t>
      </w:r>
      <w:r>
        <w:rPr>
          <w:color w:val="0D0D0D" w:themeColor="text1" w:themeTint="F2"/>
          <w:szCs w:val="24"/>
        </w:rPr>
        <w:t>.</w:t>
      </w:r>
      <w:r w:rsidRPr="00A23BCD">
        <w:rPr>
          <w:color w:val="0D0D0D" w:themeColor="text1" w:themeTint="F2"/>
          <w:szCs w:val="24"/>
        </w:rPr>
        <w:t xml:space="preserve"> 2) Regulations,  the territorial application is England and Wales, Scotland and Northern Ireland, except for the regulation amending the Waste (England and Wales) Regulations 2011 (regulation 16) which applies to England and Wales only;</w:t>
      </w:r>
    </w:p>
    <w:p w14:paraId="67D1FC03" w14:textId="77777777" w:rsidR="00A23BCD" w:rsidRPr="00A23BCD" w:rsidRDefault="00A23BCD" w:rsidP="00A23BCD">
      <w:pPr>
        <w:pStyle w:val="EMLevel1Paragraph"/>
        <w:numPr>
          <w:ilvl w:val="0"/>
          <w:numId w:val="44"/>
        </w:numPr>
        <w:tabs>
          <w:tab w:val="left" w:pos="720"/>
        </w:tabs>
        <w:outlineLvl w:val="9"/>
        <w:rPr>
          <w:color w:val="0D0D0D" w:themeColor="text1" w:themeTint="F2"/>
          <w:szCs w:val="24"/>
        </w:rPr>
      </w:pPr>
      <w:r w:rsidRPr="00A23BCD">
        <w:rPr>
          <w:color w:val="0D0D0D" w:themeColor="text1" w:themeTint="F2"/>
          <w:szCs w:val="24"/>
        </w:rPr>
        <w:t>The territorial application of the Waste (EU Exit) Regulations is England and Wales, Scotland and Northern Ireland.</w:t>
      </w:r>
    </w:p>
    <w:p w14:paraId="7DBDE776" w14:textId="77777777" w:rsidR="005E7B5C" w:rsidRDefault="005E7B5C" w:rsidP="00CD4FDB">
      <w:pPr>
        <w:pStyle w:val="EMSectionTitle"/>
      </w:pPr>
      <w:r>
        <w:t>European Convention on Human Rights</w:t>
      </w:r>
    </w:p>
    <w:p w14:paraId="79659B0A" w14:textId="77777777" w:rsidR="005E7B5C" w:rsidRPr="003F06E4" w:rsidRDefault="005E7B5C" w:rsidP="00E474AF">
      <w:pPr>
        <w:pStyle w:val="EMLevel1Paragraph"/>
      </w:pPr>
      <w:r>
        <w:t xml:space="preserve">As the instrument is subject to negative resolution procedure and does not amend </w:t>
      </w:r>
      <w:r w:rsidRPr="003F06E4">
        <w:t>primary legislation, no statement is required.</w:t>
      </w:r>
    </w:p>
    <w:p w14:paraId="49F9D488" w14:textId="77777777" w:rsidR="005E7B5C" w:rsidRDefault="005E7B5C" w:rsidP="00CD4FDB">
      <w:pPr>
        <w:pStyle w:val="EMSectionTitle"/>
      </w:pPr>
      <w:r>
        <w:t>Legislative Context</w:t>
      </w:r>
    </w:p>
    <w:p w14:paraId="105B2FAA" w14:textId="01DE1FEE" w:rsidR="00593BCC" w:rsidRPr="00AF7475" w:rsidRDefault="00593BCC" w:rsidP="00593BCC">
      <w:pPr>
        <w:pStyle w:val="EMLevel1Paragraph"/>
        <w:rPr>
          <w:color w:val="0D0D0D" w:themeColor="text1" w:themeTint="F2"/>
        </w:rPr>
      </w:pPr>
      <w:r w:rsidRPr="00AF7475">
        <w:rPr>
          <w:color w:val="0D0D0D" w:themeColor="text1" w:themeTint="F2"/>
        </w:rPr>
        <w:t xml:space="preserve">This instrument makes minor </w:t>
      </w:r>
      <w:r w:rsidR="001C704A">
        <w:rPr>
          <w:color w:val="0D0D0D" w:themeColor="text1" w:themeTint="F2"/>
        </w:rPr>
        <w:t>amendments</w:t>
      </w:r>
      <w:r w:rsidR="002E5A19" w:rsidRPr="00AF7475">
        <w:rPr>
          <w:color w:val="0D0D0D" w:themeColor="text1" w:themeTint="F2"/>
        </w:rPr>
        <w:t xml:space="preserve"> </w:t>
      </w:r>
      <w:r w:rsidRPr="00AF7475">
        <w:rPr>
          <w:color w:val="0D0D0D" w:themeColor="text1" w:themeTint="F2"/>
        </w:rPr>
        <w:t xml:space="preserve">to provisions of </w:t>
      </w:r>
      <w:r w:rsidR="001C704A">
        <w:rPr>
          <w:color w:val="0D0D0D" w:themeColor="text1" w:themeTint="F2"/>
        </w:rPr>
        <w:t>four</w:t>
      </w:r>
      <w:r w:rsidR="002E5A19" w:rsidRPr="00AF7475">
        <w:rPr>
          <w:color w:val="0D0D0D" w:themeColor="text1" w:themeTint="F2"/>
        </w:rPr>
        <w:t xml:space="preserve"> </w:t>
      </w:r>
      <w:r w:rsidRPr="00AF7475">
        <w:rPr>
          <w:color w:val="0D0D0D" w:themeColor="text1" w:themeTint="F2"/>
        </w:rPr>
        <w:t>other EU Exit instruments made under section 8(1) of the European Union (Withdrawal) Act 2018, relating to</w:t>
      </w:r>
      <w:r w:rsidR="0091434E" w:rsidRPr="00AF7475">
        <w:rPr>
          <w:color w:val="0D0D0D" w:themeColor="text1" w:themeTint="F2"/>
        </w:rPr>
        <w:t xml:space="preserve"> EIA</w:t>
      </w:r>
      <w:r w:rsidRPr="00AF7475">
        <w:rPr>
          <w:color w:val="0D0D0D" w:themeColor="text1" w:themeTint="F2"/>
        </w:rPr>
        <w:t xml:space="preserve"> and waste</w:t>
      </w:r>
      <w:r w:rsidR="0091434E" w:rsidRPr="00AF7475">
        <w:rPr>
          <w:color w:val="0D0D0D" w:themeColor="text1" w:themeTint="F2"/>
        </w:rPr>
        <w:t xml:space="preserve">, in order to ensure the appropriate functioning of the legislation amended by </w:t>
      </w:r>
      <w:r w:rsidR="0091434E" w:rsidRPr="00AF7475">
        <w:rPr>
          <w:color w:val="0D0D0D" w:themeColor="text1" w:themeTint="F2"/>
          <w:szCs w:val="24"/>
        </w:rPr>
        <w:t>those other instruments after the UK leaves the EU.</w:t>
      </w:r>
    </w:p>
    <w:p w14:paraId="15404076" w14:textId="77777777" w:rsidR="0091434E" w:rsidRPr="00AD208F" w:rsidRDefault="0091434E" w:rsidP="00593BCC">
      <w:pPr>
        <w:pStyle w:val="EMLevel1Paragraph"/>
        <w:rPr>
          <w:color w:val="0D0D0D" w:themeColor="text1" w:themeTint="F2"/>
        </w:rPr>
      </w:pPr>
      <w:r>
        <w:rPr>
          <w:szCs w:val="24"/>
        </w:rPr>
        <w:t>T</w:t>
      </w:r>
      <w:r w:rsidRPr="00511016">
        <w:rPr>
          <w:szCs w:val="24"/>
        </w:rPr>
        <w:t xml:space="preserve">he </w:t>
      </w:r>
      <w:r w:rsidRPr="00511016">
        <w:t xml:space="preserve">EIA </w:t>
      </w:r>
      <w:r>
        <w:t xml:space="preserve">(EU Exit) Regulations </w:t>
      </w:r>
      <w:r w:rsidRPr="00511016">
        <w:rPr>
          <w:szCs w:val="24"/>
        </w:rPr>
        <w:t xml:space="preserve">corrects </w:t>
      </w:r>
      <w:r>
        <w:rPr>
          <w:szCs w:val="24"/>
        </w:rPr>
        <w:t xml:space="preserve">EU exit related </w:t>
      </w:r>
      <w:r w:rsidRPr="00511016">
        <w:rPr>
          <w:szCs w:val="24"/>
        </w:rPr>
        <w:t>deficiencies in the domestic regulations that implemented the EIA Directive in the field of</w:t>
      </w:r>
      <w:r>
        <w:rPr>
          <w:szCs w:val="24"/>
        </w:rPr>
        <w:t>:</w:t>
      </w:r>
      <w:r w:rsidRPr="00511016">
        <w:rPr>
          <w:szCs w:val="24"/>
        </w:rPr>
        <w:t xml:space="preserve"> land drainage improvement works, forestry, water resources, agriculture and marine works. </w:t>
      </w:r>
    </w:p>
    <w:p w14:paraId="5CF5AF14" w14:textId="77777777" w:rsidR="004F5359" w:rsidRPr="004F5359" w:rsidRDefault="004F5359" w:rsidP="005D1711">
      <w:pPr>
        <w:pStyle w:val="EMLevel1Paragraph"/>
        <w:rPr>
          <w:color w:val="0D0D0D" w:themeColor="text1" w:themeTint="F2"/>
        </w:rPr>
      </w:pPr>
      <w:r>
        <w:rPr>
          <w:color w:val="0D0D0D" w:themeColor="text1" w:themeTint="F2"/>
        </w:rPr>
        <w:t>T</w:t>
      </w:r>
      <w:r w:rsidRPr="004F5359">
        <w:rPr>
          <w:color w:val="0D0D0D" w:themeColor="text1" w:themeTint="F2"/>
        </w:rPr>
        <w:t xml:space="preserve">he </w:t>
      </w:r>
      <w:r w:rsidR="00E16227">
        <w:rPr>
          <w:color w:val="0D0D0D" w:themeColor="text1" w:themeTint="F2"/>
        </w:rPr>
        <w:t>EPR</w:t>
      </w:r>
      <w:r w:rsidRPr="004F5359">
        <w:rPr>
          <w:color w:val="0D0D0D" w:themeColor="text1" w:themeTint="F2"/>
        </w:rPr>
        <w:t xml:space="preserve"> (EU Exit) Re</w:t>
      </w:r>
      <w:r>
        <w:rPr>
          <w:color w:val="0D0D0D" w:themeColor="text1" w:themeTint="F2"/>
        </w:rPr>
        <w:t xml:space="preserve">gulations </w:t>
      </w:r>
      <w:r w:rsidR="00AD208F">
        <w:rPr>
          <w:color w:val="0D0D0D" w:themeColor="text1" w:themeTint="F2"/>
        </w:rPr>
        <w:t xml:space="preserve">corrects EU exit related deficiencies in </w:t>
      </w:r>
      <w:r w:rsidR="00AD208F">
        <w:t>the Environmental Permitting (England and Wales) Regulations 2016 to ensure that relevant permitting requirements are delivered as intended via conditions in environmental permits, and give regulators the power to ensure compliance with those conditions.</w:t>
      </w:r>
    </w:p>
    <w:p w14:paraId="584A85A7" w14:textId="77777777" w:rsidR="00593BCC" w:rsidRPr="00593BCC" w:rsidRDefault="00593BCC" w:rsidP="00593BCC">
      <w:pPr>
        <w:pStyle w:val="EMLevel1Paragraph"/>
        <w:rPr>
          <w:color w:val="0D0D0D" w:themeColor="text1" w:themeTint="F2"/>
        </w:rPr>
      </w:pPr>
      <w:r w:rsidRPr="00593BCC">
        <w:rPr>
          <w:color w:val="0D0D0D" w:themeColor="text1" w:themeTint="F2"/>
        </w:rPr>
        <w:t xml:space="preserve">The Waste (EU Exit) (No. 2) Regulations </w:t>
      </w:r>
      <w:r w:rsidR="002E5A19">
        <w:rPr>
          <w:color w:val="0D0D0D" w:themeColor="text1" w:themeTint="F2"/>
        </w:rPr>
        <w:t xml:space="preserve">and the Waste (EU Exit) Regulations </w:t>
      </w:r>
      <w:r w:rsidRPr="00593BCC">
        <w:rPr>
          <w:color w:val="0D0D0D" w:themeColor="text1" w:themeTint="F2"/>
        </w:rPr>
        <w:t xml:space="preserve">were part of three EU Exit instruments (along with the International Waste Shipments (Amendment) (EU Exit) Regulations 2019 (SI 2019/590)) which taken together ensure that the UK’s waste regime continue to operate as intended after the UK leaves the EU. </w:t>
      </w:r>
    </w:p>
    <w:p w14:paraId="3DF64D61" w14:textId="77777777" w:rsidR="005E7B5C" w:rsidRDefault="005E7B5C" w:rsidP="00CD4FDB">
      <w:pPr>
        <w:pStyle w:val="EMSectionTitle"/>
      </w:pPr>
      <w:r>
        <w:t>Policy background</w:t>
      </w:r>
    </w:p>
    <w:p w14:paraId="2D0369CA" w14:textId="77777777" w:rsidR="005E7B5C" w:rsidRDefault="005E7B5C" w:rsidP="0076508A">
      <w:pPr>
        <w:pStyle w:val="EMSub-sectiontitle"/>
      </w:pPr>
      <w:r>
        <w:t>What is being done and why?</w:t>
      </w:r>
    </w:p>
    <w:p w14:paraId="76FE4545" w14:textId="52E879EB" w:rsidR="00593BCC" w:rsidRPr="00AF7475" w:rsidRDefault="00593BCC" w:rsidP="00593BCC">
      <w:pPr>
        <w:pStyle w:val="EMLevel1Paragraph"/>
        <w:rPr>
          <w:color w:val="0D0D0D" w:themeColor="text1" w:themeTint="F2"/>
        </w:rPr>
      </w:pPr>
      <w:r w:rsidRPr="00AF7475">
        <w:rPr>
          <w:color w:val="0D0D0D" w:themeColor="text1" w:themeTint="F2"/>
        </w:rPr>
        <w:t xml:space="preserve">This instrument is being made </w:t>
      </w:r>
      <w:r w:rsidR="00776665">
        <w:rPr>
          <w:color w:val="0D0D0D" w:themeColor="text1" w:themeTint="F2"/>
        </w:rPr>
        <w:t>to</w:t>
      </w:r>
      <w:r w:rsidRPr="00AF7475">
        <w:rPr>
          <w:color w:val="0D0D0D" w:themeColor="text1" w:themeTint="F2"/>
        </w:rPr>
        <w:t xml:space="preserve"> ensure</w:t>
      </w:r>
      <w:r w:rsidR="00E042AE" w:rsidRPr="00AF7475">
        <w:rPr>
          <w:color w:val="0D0D0D" w:themeColor="text1" w:themeTint="F2"/>
        </w:rPr>
        <w:t xml:space="preserve"> the effectiveness and continuity of UK legislation</w:t>
      </w:r>
      <w:r w:rsidRPr="00AF7475">
        <w:rPr>
          <w:color w:val="0D0D0D" w:themeColor="text1" w:themeTint="F2"/>
        </w:rPr>
        <w:t xml:space="preserve"> following our exit from the EU. </w:t>
      </w:r>
    </w:p>
    <w:p w14:paraId="13B44E92" w14:textId="2827725F" w:rsidR="00593BCC" w:rsidRPr="004F2E62" w:rsidRDefault="00593BCC" w:rsidP="00593BCC">
      <w:pPr>
        <w:pStyle w:val="EMLevel1Paragraph"/>
        <w:rPr>
          <w:color w:val="0D0D0D" w:themeColor="text1" w:themeTint="F2"/>
        </w:rPr>
      </w:pPr>
      <w:r w:rsidRPr="004F2E62">
        <w:rPr>
          <w:color w:val="0D0D0D" w:themeColor="text1" w:themeTint="F2"/>
        </w:rPr>
        <w:t>The instrument makes minor amendments, which are legally necessary to achieve its objectives. It represents no changes of policy, nor will it produce any impact on businesses or the public.</w:t>
      </w:r>
      <w:r>
        <w:rPr>
          <w:color w:val="0D0D0D" w:themeColor="text1" w:themeTint="F2"/>
        </w:rPr>
        <w:t xml:space="preserve"> </w:t>
      </w:r>
      <w:r w:rsidR="002E5A19">
        <w:rPr>
          <w:color w:val="0D0D0D" w:themeColor="text1" w:themeTint="F2"/>
        </w:rPr>
        <w:t>S</w:t>
      </w:r>
      <w:r>
        <w:rPr>
          <w:color w:val="0D0D0D" w:themeColor="text1" w:themeTint="F2"/>
        </w:rPr>
        <w:t>ection</w:t>
      </w:r>
      <w:r w:rsidR="002E5A19">
        <w:rPr>
          <w:color w:val="0D0D0D" w:themeColor="text1" w:themeTint="F2"/>
        </w:rPr>
        <w:t>s</w:t>
      </w:r>
      <w:r>
        <w:rPr>
          <w:color w:val="0D0D0D" w:themeColor="text1" w:themeTint="F2"/>
        </w:rPr>
        <w:t xml:space="preserve"> 2.</w:t>
      </w:r>
      <w:r w:rsidR="00033B0C">
        <w:rPr>
          <w:color w:val="0D0D0D" w:themeColor="text1" w:themeTint="F2"/>
        </w:rPr>
        <w:t xml:space="preserve">5 </w:t>
      </w:r>
      <w:r w:rsidR="002E5A19">
        <w:rPr>
          <w:color w:val="0D0D0D" w:themeColor="text1" w:themeTint="F2"/>
        </w:rPr>
        <w:t>to 2.</w:t>
      </w:r>
      <w:r w:rsidR="00033B0C">
        <w:rPr>
          <w:color w:val="0D0D0D" w:themeColor="text1" w:themeTint="F2"/>
        </w:rPr>
        <w:t xml:space="preserve">9 </w:t>
      </w:r>
      <w:r>
        <w:rPr>
          <w:color w:val="0D0D0D" w:themeColor="text1" w:themeTint="F2"/>
        </w:rPr>
        <w:t xml:space="preserve">describe the changes made by this </w:t>
      </w:r>
      <w:r w:rsidR="00E042AE">
        <w:rPr>
          <w:color w:val="0D0D0D" w:themeColor="text1" w:themeTint="F2"/>
        </w:rPr>
        <w:t>i</w:t>
      </w:r>
      <w:r>
        <w:rPr>
          <w:color w:val="0D0D0D" w:themeColor="text1" w:themeTint="F2"/>
        </w:rPr>
        <w:t xml:space="preserve">nstrument. </w:t>
      </w:r>
    </w:p>
    <w:p w14:paraId="0736FD1A" w14:textId="77777777" w:rsidR="005E7B5C" w:rsidRDefault="005E7B5C" w:rsidP="00CD4FDB">
      <w:pPr>
        <w:pStyle w:val="EMSectionTitle"/>
      </w:pPr>
      <w:r>
        <w:t>E</w:t>
      </w:r>
      <w:r w:rsidR="0009226B">
        <w:t>uropean Union (Withdrawal) Act/</w:t>
      </w:r>
      <w:r>
        <w:t>Withdrawal of the United Kingdom from the European Union</w:t>
      </w:r>
    </w:p>
    <w:p w14:paraId="63987B8D" w14:textId="77777777" w:rsidR="00A856F0" w:rsidRDefault="00A856F0" w:rsidP="00A856F0">
      <w:pPr>
        <w:pStyle w:val="EMLevel1Paragraph"/>
      </w:pPr>
      <w:bookmarkStart w:id="2" w:name="_3znysh7" w:colFirst="0" w:colLast="0"/>
      <w:bookmarkEnd w:id="2"/>
      <w:r>
        <w:t xml:space="preserve">This instrument is being made using the power in section 8 </w:t>
      </w:r>
      <w:r w:rsidRPr="000D0AD9">
        <w:t>of</w:t>
      </w:r>
      <w:r>
        <w:t xml:space="preserve"> the European Union (Withdrawal) Act 2018 in order to address failures of retained EU law to operate effectively or other deficiencies arising from the withdrawal of the United Kingdom from the European Union. In accordance with the requirements of that Act the Minister has made the relevant statements as detailed in Part 2 of the Annex to this Explanatory Memorandum. </w:t>
      </w:r>
    </w:p>
    <w:p w14:paraId="6BC8B766" w14:textId="77777777" w:rsidR="005E7B5C" w:rsidRDefault="005E7B5C" w:rsidP="00CD4FDB">
      <w:pPr>
        <w:pStyle w:val="EMSectionTitle"/>
      </w:pPr>
      <w:r>
        <w:t>Consolidation</w:t>
      </w:r>
    </w:p>
    <w:p w14:paraId="0E30A278" w14:textId="77777777" w:rsidR="005E7B5C" w:rsidRDefault="00A856F0" w:rsidP="0076508A">
      <w:pPr>
        <w:pStyle w:val="EMLevel1Paragraph"/>
      </w:pPr>
      <w:r>
        <w:rPr>
          <w:color w:val="000000"/>
        </w:rPr>
        <w:t>Not applicable.</w:t>
      </w:r>
    </w:p>
    <w:p w14:paraId="7AD583F9" w14:textId="77777777" w:rsidR="005E7B5C" w:rsidRDefault="005E7B5C" w:rsidP="00CD4FDB">
      <w:pPr>
        <w:pStyle w:val="EMSectionTitle"/>
      </w:pPr>
      <w:r>
        <w:t>Consultation outcome</w:t>
      </w:r>
    </w:p>
    <w:p w14:paraId="6C34D201" w14:textId="77777777" w:rsidR="004C032B" w:rsidRDefault="004C032B" w:rsidP="004C032B">
      <w:pPr>
        <w:pStyle w:val="EMLevel1Paragraph"/>
        <w:spacing w:after="237"/>
        <w:ind w:left="715" w:right="1"/>
      </w:pPr>
      <w:r>
        <w:t xml:space="preserve">We have not consulted specifically on this instrument, because it contains only minor technical amendments and represents no change of policy and has no impact of itself on businesses or the public.  </w:t>
      </w:r>
    </w:p>
    <w:p w14:paraId="41695597" w14:textId="77777777" w:rsidR="004C032B" w:rsidRPr="00593BCC" w:rsidRDefault="004C032B" w:rsidP="004657E8">
      <w:pPr>
        <w:pStyle w:val="EMLevel1Paragraph"/>
        <w:spacing w:after="237"/>
        <w:ind w:left="715" w:right="1"/>
        <w:rPr>
          <w:color w:val="0D0D0D" w:themeColor="text1" w:themeTint="F2"/>
          <w:szCs w:val="24"/>
        </w:rPr>
      </w:pPr>
      <w:r w:rsidRPr="00593BCC">
        <w:rPr>
          <w:color w:val="0D0D0D" w:themeColor="text1" w:themeTint="F2"/>
          <w:szCs w:val="24"/>
        </w:rPr>
        <w:t>We have liaised with Devolved Administrations in relation to the</w:t>
      </w:r>
      <w:r w:rsidR="007742E6">
        <w:rPr>
          <w:color w:val="0D0D0D" w:themeColor="text1" w:themeTint="F2"/>
          <w:szCs w:val="24"/>
        </w:rPr>
        <w:t xml:space="preserve"> devolved and reserved</w:t>
      </w:r>
      <w:r w:rsidRPr="00593BCC">
        <w:rPr>
          <w:color w:val="0D0D0D" w:themeColor="text1" w:themeTint="F2"/>
          <w:szCs w:val="24"/>
        </w:rPr>
        <w:t xml:space="preserve"> UK-wi</w:t>
      </w:r>
      <w:r w:rsidR="00B414C3" w:rsidRPr="00593BCC">
        <w:rPr>
          <w:color w:val="0D0D0D" w:themeColor="text1" w:themeTint="F2"/>
          <w:szCs w:val="24"/>
        </w:rPr>
        <w:t>de elements of this instrument.</w:t>
      </w:r>
    </w:p>
    <w:p w14:paraId="01056AFC" w14:textId="77777777" w:rsidR="005E7B5C" w:rsidRDefault="005E7B5C" w:rsidP="00CD4FDB">
      <w:pPr>
        <w:pStyle w:val="EMSectionTitle"/>
      </w:pPr>
      <w:r>
        <w:t>Guidance</w:t>
      </w:r>
    </w:p>
    <w:p w14:paraId="47E5F2F4" w14:textId="77777777" w:rsidR="004657E8" w:rsidRDefault="004657E8" w:rsidP="0076508A">
      <w:pPr>
        <w:pStyle w:val="EMLevel1Paragraph"/>
      </w:pPr>
      <w:r>
        <w:t>Guidance is not being provided in relation to this instrument.</w:t>
      </w:r>
    </w:p>
    <w:p w14:paraId="5BA65754" w14:textId="77777777" w:rsidR="005E7B5C" w:rsidRDefault="005E7B5C" w:rsidP="00CD4FDB">
      <w:pPr>
        <w:pStyle w:val="EMSectionTitle"/>
      </w:pPr>
      <w:r>
        <w:t>Impact</w:t>
      </w:r>
    </w:p>
    <w:p w14:paraId="17710AE8" w14:textId="77777777" w:rsidR="005E7B5C" w:rsidRDefault="005E7B5C" w:rsidP="0076508A">
      <w:pPr>
        <w:pStyle w:val="EMLevel1Paragraph"/>
      </w:pPr>
      <w:r>
        <w:t>There is no, or no significant, impact on business,</w:t>
      </w:r>
      <w:r w:rsidR="0076508A">
        <w:t xml:space="preserve"> charities or voluntary bodies.</w:t>
      </w:r>
    </w:p>
    <w:p w14:paraId="66BC3481" w14:textId="77777777" w:rsidR="00F51B29" w:rsidRDefault="00F51B29" w:rsidP="00F51B29">
      <w:pPr>
        <w:pStyle w:val="EMLevel1Paragraph"/>
      </w:pPr>
      <w:r>
        <w:t>There is no, or no significant, impact on the public sector.</w:t>
      </w:r>
    </w:p>
    <w:p w14:paraId="5D372AFA" w14:textId="77777777" w:rsidR="00F51B29" w:rsidRDefault="00F51B29" w:rsidP="00F51B29">
      <w:pPr>
        <w:pStyle w:val="EMLevel1Paragraph"/>
      </w:pPr>
      <w:r>
        <w:t>An Impact Assessment has not been prepared for this instrument as there is expected to be no, or no significant, impact on business as a direct result of this legislation. This is because it relates to the maintenance of existing legislation.</w:t>
      </w:r>
    </w:p>
    <w:p w14:paraId="2878AB2A" w14:textId="77777777" w:rsidR="005E7B5C" w:rsidRDefault="005E7B5C" w:rsidP="00CD4FDB">
      <w:pPr>
        <w:pStyle w:val="EMSectionTitle"/>
      </w:pPr>
      <w:r>
        <w:t>Regulating small business</w:t>
      </w:r>
    </w:p>
    <w:p w14:paraId="384B24C7" w14:textId="77777777" w:rsidR="005E7B5C" w:rsidRDefault="005E7B5C" w:rsidP="0076508A">
      <w:pPr>
        <w:pStyle w:val="EMLevel1Paragraph"/>
      </w:pPr>
      <w:r>
        <w:t xml:space="preserve">The legislation applies to activities that are </w:t>
      </w:r>
      <w:r w:rsidR="00243B39">
        <w:t>undertaken by small businesses.</w:t>
      </w:r>
    </w:p>
    <w:p w14:paraId="35CEBAD0" w14:textId="77777777" w:rsidR="00243B39" w:rsidRPr="003C2EFE" w:rsidRDefault="00243B39" w:rsidP="00243B39">
      <w:pPr>
        <w:pStyle w:val="EMLevel1Paragraph"/>
        <w:rPr>
          <w:color w:val="0D0D0D" w:themeColor="text1" w:themeTint="F2"/>
        </w:rPr>
      </w:pPr>
      <w:r w:rsidRPr="003C2EFE">
        <w:rPr>
          <w:color w:val="0D0D0D" w:themeColor="text1" w:themeTint="F2"/>
        </w:rPr>
        <w:t>No specific action is proposed to minimise regulatory burdens on small businesses.</w:t>
      </w:r>
    </w:p>
    <w:p w14:paraId="56E19334" w14:textId="77777777" w:rsidR="005E7B5C" w:rsidRDefault="005E7B5C" w:rsidP="00CD4FDB">
      <w:pPr>
        <w:pStyle w:val="EMSectionTitle"/>
      </w:pPr>
      <w:r>
        <w:t>Monitoring &amp; review</w:t>
      </w:r>
    </w:p>
    <w:p w14:paraId="26D92355" w14:textId="77777777" w:rsidR="00981BEF" w:rsidRDefault="00981BEF" w:rsidP="0076508A">
      <w:pPr>
        <w:pStyle w:val="EMLevel1Paragraph"/>
      </w:pPr>
      <w:r>
        <w:t xml:space="preserve">The approach to monitoring of this legislation is </w:t>
      </w:r>
      <w:r w:rsidR="001230E1">
        <w:t>no specific</w:t>
      </w:r>
      <w:r>
        <w:t xml:space="preserve"> monitor</w:t>
      </w:r>
      <w:r w:rsidR="001230E1">
        <w:t>ing</w:t>
      </w:r>
      <w:r>
        <w:t xml:space="preserve"> </w:t>
      </w:r>
      <w:r w:rsidR="001230E1">
        <w:t>arrangements are needed</w:t>
      </w:r>
      <w:r>
        <w:t>.</w:t>
      </w:r>
    </w:p>
    <w:p w14:paraId="732D4DDD" w14:textId="77777777" w:rsidR="00F51B29" w:rsidRDefault="00F51B29" w:rsidP="00F51B29">
      <w:pPr>
        <w:pStyle w:val="EMLevel1Paragraph"/>
      </w:pPr>
      <w:r>
        <w:t xml:space="preserve">As this instrument is made under the European Union (Withdrawal) Act 2018, no review clause is required. </w:t>
      </w:r>
    </w:p>
    <w:p w14:paraId="2C111D42" w14:textId="77777777" w:rsidR="005E7B5C" w:rsidRDefault="005E7B5C" w:rsidP="00CD4FDB">
      <w:pPr>
        <w:pStyle w:val="EMSectionTitle"/>
      </w:pPr>
      <w:r>
        <w:t>Contact</w:t>
      </w:r>
    </w:p>
    <w:p w14:paraId="279C3E20" w14:textId="77777777" w:rsidR="00981BEF" w:rsidRDefault="00FA78CF" w:rsidP="00275D46">
      <w:pPr>
        <w:pStyle w:val="EMLevel1Paragraph"/>
      </w:pPr>
      <w:r w:rsidRPr="00275D46">
        <w:t>Iain Notman</w:t>
      </w:r>
      <w:r w:rsidR="00981BEF" w:rsidRPr="00275D46">
        <w:t xml:space="preserve"> at the Department for Environment, Food and Rural Affairs (</w:t>
      </w:r>
      <w:r w:rsidR="00683612" w:rsidRPr="00275D46">
        <w:t xml:space="preserve">telephone: </w:t>
      </w:r>
      <w:r w:rsidR="00275D46" w:rsidRPr="00275D46">
        <w:t>020 8026 3258</w:t>
      </w:r>
      <w:r w:rsidR="00981BEF" w:rsidRPr="00275D46">
        <w:t xml:space="preserve">; or </w:t>
      </w:r>
      <w:r w:rsidR="00981BEF">
        <w:t xml:space="preserve">email: </w:t>
      </w:r>
      <w:r>
        <w:t>iain.notman</w:t>
      </w:r>
      <w:r w:rsidR="00683612">
        <w:t>@defra.</w:t>
      </w:r>
      <w:r w:rsidR="00981BEF">
        <w:t>gov.uk) can be contacted with any qu</w:t>
      </w:r>
      <w:r w:rsidR="00683612">
        <w:t>eries regarding the instrument.</w:t>
      </w:r>
    </w:p>
    <w:p w14:paraId="3008209A" w14:textId="77777777" w:rsidR="00981BEF" w:rsidRDefault="00981BEF" w:rsidP="00981BEF">
      <w:pPr>
        <w:pStyle w:val="EMLevel1Paragraph"/>
      </w:pPr>
      <w:r>
        <w:t xml:space="preserve">Sarah Swash, Deputy Director for EU Exit and Environmental Regulations, at the Department for Environment, Food and Rural Affairs can confirm that this Explanatory Memorandum meets the required standard. </w:t>
      </w:r>
    </w:p>
    <w:p w14:paraId="42D778A8" w14:textId="77777777" w:rsidR="005E7B5C" w:rsidRPr="00683612" w:rsidRDefault="00517247" w:rsidP="006B3E4B">
      <w:pPr>
        <w:pStyle w:val="EMLevel1Paragraph"/>
        <w:shd w:val="clear" w:color="auto" w:fill="FFFFFF"/>
        <w:textAlignment w:val="baseline"/>
        <w:outlineLvl w:val="0"/>
      </w:pPr>
      <w:r>
        <w:rPr>
          <w:rFonts w:cs="Times New Roman"/>
          <w:szCs w:val="24"/>
        </w:rPr>
        <w:t xml:space="preserve">Dr </w:t>
      </w:r>
      <w:r w:rsidR="00981BEF" w:rsidRPr="004024C2">
        <w:rPr>
          <w:rFonts w:cs="Times New Roman"/>
          <w:szCs w:val="24"/>
        </w:rPr>
        <w:t>Thérèse Coffey MP, Parliamentary Under Secretary of State for</w:t>
      </w:r>
      <w:r>
        <w:rPr>
          <w:rFonts w:cs="Times New Roman"/>
          <w:szCs w:val="24"/>
        </w:rPr>
        <w:t xml:space="preserve"> the</w:t>
      </w:r>
      <w:r w:rsidR="00981BEF" w:rsidRPr="004024C2">
        <w:rPr>
          <w:rFonts w:cs="Times New Roman"/>
          <w:szCs w:val="24"/>
        </w:rPr>
        <w:t xml:space="preserve"> Environment at the Department for Environment, Food and Rural</w:t>
      </w:r>
      <w:r w:rsidR="00683612" w:rsidRPr="004024C2">
        <w:rPr>
          <w:rFonts w:cs="Times New Roman"/>
          <w:szCs w:val="24"/>
        </w:rPr>
        <w:t xml:space="preserve"> Affairs</w:t>
      </w:r>
      <w:r w:rsidR="004024C2">
        <w:rPr>
          <w:rFonts w:cs="Times New Roman"/>
          <w:bCs/>
          <w:color w:val="0B0C0C"/>
          <w:kern w:val="36"/>
          <w:szCs w:val="24"/>
          <w:lang w:eastAsia="en-GB"/>
        </w:rPr>
        <w:t xml:space="preserve"> </w:t>
      </w:r>
      <w:r w:rsidR="00683612">
        <w:t xml:space="preserve">can confirm that this </w:t>
      </w:r>
      <w:r w:rsidR="00981BEF">
        <w:t>Explanatory Memorand</w:t>
      </w:r>
      <w:r w:rsidR="00683612">
        <w:t>um meets the required standard.</w:t>
      </w:r>
      <w:r w:rsidR="005E7B5C">
        <w:br w:type="page"/>
      </w:r>
    </w:p>
    <w:p w14:paraId="5F3C8E29" w14:textId="77777777" w:rsidR="005E7B5C" w:rsidRDefault="00621F47" w:rsidP="00FC0AA9">
      <w:pPr>
        <w:pStyle w:val="AnnexMainHeading"/>
      </w:pPr>
      <w:r>
        <w:t>Annex</w:t>
      </w:r>
    </w:p>
    <w:p w14:paraId="31269F86" w14:textId="77777777" w:rsidR="005E7B5C" w:rsidRDefault="005E7B5C" w:rsidP="00FC0AA9">
      <w:pPr>
        <w:pStyle w:val="AnnexMainTitle"/>
      </w:pPr>
      <w:r>
        <w:t>Statements under the European Union (Withdrawal) Act 2018</w:t>
      </w:r>
    </w:p>
    <w:p w14:paraId="31C2AF59" w14:textId="77777777" w:rsidR="005E7B5C" w:rsidRPr="00FC0AA9" w:rsidRDefault="005E7B5C" w:rsidP="00FC0AA9">
      <w:pPr>
        <w:pStyle w:val="AnnexPartHeading"/>
      </w:pPr>
      <w:r w:rsidRPr="00FC0AA9">
        <w:t xml:space="preserve">Part 1 </w:t>
      </w:r>
    </w:p>
    <w:p w14:paraId="14CDB0BE" w14:textId="77777777" w:rsidR="005E7B5C" w:rsidRDefault="005E7B5C" w:rsidP="000C7B96">
      <w:pPr>
        <w:pStyle w:val="AnnexPartTitle"/>
      </w:pPr>
      <w:r>
        <w:t>Table of Statements under the 2018 Act</w:t>
      </w:r>
    </w:p>
    <w:p w14:paraId="32022079"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126A318D" w14:textId="77777777" w:rsidTr="00152590">
        <w:tc>
          <w:tcPr>
            <w:tcW w:w="1418" w:type="dxa"/>
            <w:shd w:val="clear" w:color="auto" w:fill="auto"/>
            <w:tcMar>
              <w:top w:w="100" w:type="dxa"/>
              <w:left w:w="100" w:type="dxa"/>
              <w:bottom w:w="100" w:type="dxa"/>
              <w:right w:w="100" w:type="dxa"/>
            </w:tcMar>
          </w:tcPr>
          <w:p w14:paraId="16A48552"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409B5994"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22C864D9"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7CD1A9C0" w14:textId="77777777" w:rsidR="005E7B5C" w:rsidRDefault="005E7B5C" w:rsidP="003D51B8">
            <w:pPr>
              <w:pStyle w:val="AnnexTableHeadings"/>
            </w:pPr>
            <w:r>
              <w:t>What it requires</w:t>
            </w:r>
          </w:p>
        </w:tc>
      </w:tr>
      <w:tr w:rsidR="005E7B5C" w14:paraId="70D0C007"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0EFB9903"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6529B0B3" w14:textId="77777777" w:rsidR="005E7B5C" w:rsidRDefault="005E7B5C" w:rsidP="003D51B8">
            <w:pPr>
              <w:pStyle w:val="AnnexTableText"/>
            </w:pPr>
            <w:r>
              <w:t>Paragraphs 3(3), 3(7) and 17(3) and 17(7) of Schedule  7</w:t>
            </w:r>
          </w:p>
        </w:tc>
        <w:tc>
          <w:tcPr>
            <w:tcW w:w="2694" w:type="dxa"/>
            <w:shd w:val="clear" w:color="auto" w:fill="auto"/>
            <w:tcMar>
              <w:top w:w="100" w:type="dxa"/>
              <w:left w:w="100" w:type="dxa"/>
              <w:bottom w:w="100" w:type="dxa"/>
              <w:right w:w="100" w:type="dxa"/>
            </w:tcMar>
          </w:tcPr>
          <w:p w14:paraId="0B6CAE1A" w14:textId="77777777"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14:paraId="635FE493" w14:textId="77777777"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14:paraId="7A27B40F" w14:textId="77777777" w:rsidTr="00152590">
        <w:tc>
          <w:tcPr>
            <w:tcW w:w="1418" w:type="dxa"/>
            <w:shd w:val="clear" w:color="auto" w:fill="auto"/>
            <w:tcMar>
              <w:top w:w="100" w:type="dxa"/>
              <w:left w:w="100" w:type="dxa"/>
              <w:bottom w:w="100" w:type="dxa"/>
              <w:right w:w="100" w:type="dxa"/>
            </w:tcMar>
          </w:tcPr>
          <w:p w14:paraId="1363CA93" w14:textId="77777777" w:rsidR="005E7B5C" w:rsidRDefault="005E7B5C" w:rsidP="003D51B8">
            <w:pPr>
              <w:pStyle w:val="AnnexTableText"/>
            </w:pPr>
            <w:r>
              <w:t>Appropriate-</w:t>
            </w:r>
          </w:p>
          <w:p w14:paraId="765F30F5"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3CE612C0"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616A3161"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41F54A14" w14:textId="77777777" w:rsidR="005E7B5C" w:rsidRDefault="005E7B5C" w:rsidP="003D51B8">
            <w:pPr>
              <w:pStyle w:val="AnnexTableText"/>
            </w:pPr>
            <w:r>
              <w:t>A statement that the SI does no more than is appropriate.</w:t>
            </w:r>
          </w:p>
        </w:tc>
      </w:tr>
      <w:tr w:rsidR="005E7B5C" w14:paraId="13596FCC" w14:textId="77777777" w:rsidTr="00152590">
        <w:tc>
          <w:tcPr>
            <w:tcW w:w="1418" w:type="dxa"/>
            <w:shd w:val="clear" w:color="auto" w:fill="auto"/>
            <w:tcMar>
              <w:top w:w="100" w:type="dxa"/>
              <w:left w:w="100" w:type="dxa"/>
              <w:bottom w:w="100" w:type="dxa"/>
              <w:right w:w="100" w:type="dxa"/>
            </w:tcMar>
          </w:tcPr>
          <w:p w14:paraId="603398A3"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3673825A"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085C8812"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60DCD80E" w14:textId="77777777" w:rsidR="005E7B5C" w:rsidRDefault="005E7B5C" w:rsidP="003D51B8">
            <w:pPr>
              <w:pStyle w:val="AnnexTableText"/>
            </w:pPr>
            <w:r>
              <w:t>Explain the good reasons for making the instrument and that what is being done is a reasonable course of action.</w:t>
            </w:r>
          </w:p>
        </w:tc>
      </w:tr>
      <w:tr w:rsidR="005E7B5C" w14:paraId="060C4E0E" w14:textId="77777777" w:rsidTr="00152590">
        <w:tc>
          <w:tcPr>
            <w:tcW w:w="1418" w:type="dxa"/>
            <w:shd w:val="clear" w:color="auto" w:fill="auto"/>
            <w:tcMar>
              <w:top w:w="100" w:type="dxa"/>
              <w:left w:w="100" w:type="dxa"/>
              <w:bottom w:w="100" w:type="dxa"/>
              <w:right w:w="100" w:type="dxa"/>
            </w:tcMar>
          </w:tcPr>
          <w:p w14:paraId="6922AF5C"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72AE5CD9"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262CD769"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2150A43F"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2DB9DB35" w14:textId="77777777" w:rsidR="005E7B5C" w:rsidRDefault="005E7B5C" w:rsidP="003D51B8">
            <w:pPr>
              <w:pStyle w:val="AnnexTableText"/>
            </w:pPr>
          </w:p>
          <w:p w14:paraId="4E1B3D52"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7F7896F9" w14:textId="77777777" w:rsidTr="00152590">
        <w:tc>
          <w:tcPr>
            <w:tcW w:w="1418" w:type="dxa"/>
            <w:shd w:val="clear" w:color="auto" w:fill="auto"/>
            <w:tcMar>
              <w:top w:w="100" w:type="dxa"/>
              <w:left w:w="100" w:type="dxa"/>
              <w:bottom w:w="100" w:type="dxa"/>
              <w:right w:w="100" w:type="dxa"/>
            </w:tcMar>
          </w:tcPr>
          <w:p w14:paraId="211B2BB5"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2A687035" w14:textId="77777777"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14:paraId="03A5769A"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14:paraId="7DC3A126"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550A1947"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1EF7954C" w14:textId="77777777" w:rsidTr="00152590">
        <w:tc>
          <w:tcPr>
            <w:tcW w:w="1418" w:type="dxa"/>
            <w:shd w:val="clear" w:color="auto" w:fill="auto"/>
            <w:tcMar>
              <w:top w:w="100" w:type="dxa"/>
              <w:left w:w="100" w:type="dxa"/>
              <w:bottom w:w="100" w:type="dxa"/>
              <w:right w:w="100" w:type="dxa"/>
            </w:tcMar>
          </w:tcPr>
          <w:p w14:paraId="5044DB06"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7C9345B9"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38E6D487"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 to create a criminal offence</w:t>
            </w:r>
          </w:p>
        </w:tc>
        <w:tc>
          <w:tcPr>
            <w:tcW w:w="3685" w:type="dxa"/>
            <w:shd w:val="clear" w:color="auto" w:fill="auto"/>
            <w:tcMar>
              <w:top w:w="100" w:type="dxa"/>
              <w:left w:w="100" w:type="dxa"/>
              <w:bottom w:w="100" w:type="dxa"/>
              <w:right w:w="100" w:type="dxa"/>
            </w:tcMar>
          </w:tcPr>
          <w:p w14:paraId="0A73FE83" w14:textId="77777777" w:rsidR="005E7B5C" w:rsidRDefault="005E7B5C" w:rsidP="003D51B8">
            <w:pPr>
              <w:pStyle w:val="AnnexTableText"/>
            </w:pPr>
            <w:r>
              <w:t xml:space="preserve">Set </w:t>
            </w:r>
            <w:r w:rsidR="00BE61FA">
              <w:t>out the</w:t>
            </w:r>
            <w:r>
              <w:t xml:space="preserve"> ‘good reasons’ for creating a criminal offence, and the penalty attached.</w:t>
            </w:r>
          </w:p>
        </w:tc>
      </w:tr>
      <w:tr w:rsidR="005E7B5C" w14:paraId="769BF0C0" w14:textId="77777777" w:rsidTr="00152590">
        <w:tc>
          <w:tcPr>
            <w:tcW w:w="1418" w:type="dxa"/>
            <w:shd w:val="clear" w:color="auto" w:fill="auto"/>
            <w:tcMar>
              <w:top w:w="100" w:type="dxa"/>
              <w:left w:w="100" w:type="dxa"/>
              <w:bottom w:w="100" w:type="dxa"/>
              <w:right w:w="100" w:type="dxa"/>
            </w:tcMar>
          </w:tcPr>
          <w:p w14:paraId="1B2756CF" w14:textId="77777777" w:rsidR="005E7B5C" w:rsidRDefault="005E7B5C" w:rsidP="003D51B8">
            <w:pPr>
              <w:pStyle w:val="AnnexTableText"/>
            </w:pPr>
            <w:r>
              <w:t>Sub-</w:t>
            </w:r>
          </w:p>
          <w:p w14:paraId="4F3A00A4"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7F376B51"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0C1CF72B" w14:textId="77777777"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4E42E019" w14:textId="77777777" w:rsidR="005E7B5C" w:rsidRDefault="005E7B5C" w:rsidP="00DB0CAB">
            <w:pPr>
              <w:pStyle w:val="AnnexTableText"/>
            </w:pPr>
            <w:r>
              <w:t>State why it is appropriate to create such a sub-delegated power.</w:t>
            </w:r>
          </w:p>
        </w:tc>
      </w:tr>
      <w:tr w:rsidR="005E7B5C" w14:paraId="02B88AE5" w14:textId="77777777" w:rsidTr="00152590">
        <w:tc>
          <w:tcPr>
            <w:tcW w:w="1418" w:type="dxa"/>
            <w:shd w:val="clear" w:color="auto" w:fill="auto"/>
            <w:tcMar>
              <w:top w:w="100" w:type="dxa"/>
              <w:left w:w="100" w:type="dxa"/>
              <w:bottom w:w="100" w:type="dxa"/>
              <w:right w:w="100" w:type="dxa"/>
            </w:tcMar>
          </w:tcPr>
          <w:p w14:paraId="576FF580"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7D2A2429"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54BA31FA"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14:paraId="061C320B" w14:textId="77777777" w:rsidR="005E7B5C" w:rsidRDefault="005E7B5C" w:rsidP="003D51B8">
            <w:pPr>
              <w:pStyle w:val="AnnexTableText"/>
            </w:pPr>
            <w:r>
              <w:t>Statement of the reasons for the Minister’s opinion that the SI is urgent.</w:t>
            </w:r>
          </w:p>
        </w:tc>
      </w:tr>
      <w:tr w:rsidR="005E7B5C" w14:paraId="243BCE17" w14:textId="77777777" w:rsidTr="00152590">
        <w:tc>
          <w:tcPr>
            <w:tcW w:w="1418" w:type="dxa"/>
            <w:shd w:val="clear" w:color="auto" w:fill="auto"/>
            <w:tcMar>
              <w:top w:w="100" w:type="dxa"/>
              <w:left w:w="100" w:type="dxa"/>
              <w:bottom w:w="100" w:type="dxa"/>
              <w:right w:w="100" w:type="dxa"/>
            </w:tcMar>
          </w:tcPr>
          <w:p w14:paraId="7CB51DD2"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4B460F0E"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59BC701D" w14:textId="77777777"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14:paraId="2D25F52F" w14:textId="77777777"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14:paraId="2B99343F" w14:textId="77777777" w:rsidTr="00152590">
        <w:tc>
          <w:tcPr>
            <w:tcW w:w="1418" w:type="dxa"/>
            <w:shd w:val="clear" w:color="auto" w:fill="auto"/>
            <w:tcMar>
              <w:top w:w="100" w:type="dxa"/>
              <w:left w:w="100" w:type="dxa"/>
              <w:bottom w:w="100" w:type="dxa"/>
              <w:right w:w="100" w:type="dxa"/>
            </w:tcMar>
          </w:tcPr>
          <w:p w14:paraId="255DFCCF"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21B84A5F"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3609E8B1" w14:textId="77777777"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14:paraId="3530A166" w14:textId="77777777" w:rsidR="005E7B5C" w:rsidRDefault="005E7B5C" w:rsidP="003D51B8">
            <w:pPr>
              <w:pStyle w:val="AnnexTableText"/>
            </w:pPr>
            <w:r>
              <w:t>Statement setting out:</w:t>
            </w:r>
          </w:p>
          <w:p w14:paraId="25AC8A64"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6745EAFA" w14:textId="77777777" w:rsidR="005E7B5C" w:rsidRDefault="005E7B5C" w:rsidP="003D51B8">
            <w:pPr>
              <w:pStyle w:val="AnnexTableText"/>
            </w:pPr>
            <w:r>
              <w:t xml:space="preserve">b) containing information about the relevant authority’s response to— </w:t>
            </w:r>
          </w:p>
          <w:p w14:paraId="0054720F" w14:textId="77777777" w:rsidR="005E7B5C" w:rsidRDefault="005E7B5C" w:rsidP="003D51B8">
            <w:pPr>
              <w:pStyle w:val="AnnexTableText"/>
            </w:pPr>
            <w:r>
              <w:t xml:space="preserve">(i) any recommendations made by a committee of either House of Parliament about the published draft instrument, and </w:t>
            </w:r>
          </w:p>
          <w:p w14:paraId="42A858E1" w14:textId="77777777" w:rsidR="005E7B5C" w:rsidRDefault="005E7B5C" w:rsidP="003D51B8">
            <w:pPr>
              <w:pStyle w:val="AnnexTableText"/>
            </w:pPr>
            <w:r>
              <w:t>(ii) any other representations made to the relevant authority about the published draft instrument, and,</w:t>
            </w:r>
          </w:p>
          <w:p w14:paraId="4F6688C1"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2F763073" w14:textId="77777777" w:rsidR="005E7B5C" w:rsidRDefault="003D51B8" w:rsidP="003D51B8">
      <w:pPr>
        <w:pStyle w:val="AnnexPartHeading"/>
      </w:pPr>
      <w:r>
        <w:br w:type="page"/>
      </w:r>
      <w:r w:rsidR="005E7B5C">
        <w:t>Part 2</w:t>
      </w:r>
    </w:p>
    <w:p w14:paraId="642D8444" w14:textId="77777777" w:rsidR="005E7B5C" w:rsidRDefault="005E7B5C" w:rsidP="003D51B8">
      <w:pPr>
        <w:pStyle w:val="AnnexPartTitle"/>
      </w:pPr>
      <w:r>
        <w:t>Statements required when using enabling powers</w:t>
      </w:r>
    </w:p>
    <w:p w14:paraId="41381266" w14:textId="77777777" w:rsidR="005E7B5C" w:rsidRDefault="005E7B5C" w:rsidP="003D51B8">
      <w:pPr>
        <w:pStyle w:val="AnnexPartTitle"/>
      </w:pPr>
      <w:r>
        <w:t xml:space="preserve"> under the European Union (Withdrawal) 2018 Act</w:t>
      </w:r>
    </w:p>
    <w:p w14:paraId="1F26A9E6" w14:textId="77777777" w:rsidR="005E7B5C" w:rsidRPr="003D51B8" w:rsidRDefault="005E7B5C" w:rsidP="00CD4FDB">
      <w:pPr>
        <w:pStyle w:val="EMSectionTitle"/>
        <w:numPr>
          <w:ilvl w:val="0"/>
          <w:numId w:val="29"/>
        </w:numPr>
        <w:tabs>
          <w:tab w:val="clear" w:pos="432"/>
          <w:tab w:val="num" w:pos="709"/>
        </w:tabs>
        <w:ind w:left="709" w:hanging="709"/>
      </w:pPr>
      <w:r w:rsidRPr="003D51B8">
        <w:t xml:space="preserve">Sifting </w:t>
      </w:r>
      <w:r w:rsidRPr="00CD4FDB">
        <w:t>statement</w:t>
      </w:r>
      <w:r w:rsidRPr="003D51B8">
        <w:t>(s)</w:t>
      </w:r>
    </w:p>
    <w:p w14:paraId="2950A40A" w14:textId="77777777" w:rsidR="00CD1AE5" w:rsidRDefault="005E7B5C" w:rsidP="00CD1AE5">
      <w:pPr>
        <w:pStyle w:val="EMLevel1Paragraph"/>
      </w:pPr>
      <w:r w:rsidRPr="00EB15D8">
        <w:t xml:space="preserve">The </w:t>
      </w:r>
      <w:r w:rsidR="00CD1AE5" w:rsidRPr="00CD1AE5">
        <w:rPr>
          <w:rFonts w:cs="Times New Roman"/>
          <w:szCs w:val="24"/>
        </w:rPr>
        <w:t>Parliamentary Under Secretary of State,</w:t>
      </w:r>
      <w:r w:rsidR="003B7D51">
        <w:rPr>
          <w:rFonts w:cs="Times New Roman"/>
          <w:szCs w:val="24"/>
        </w:rPr>
        <w:t xml:space="preserve"> Dr</w:t>
      </w:r>
      <w:r w:rsidR="00CD1AE5" w:rsidRPr="00CD1AE5">
        <w:rPr>
          <w:rFonts w:cs="Times New Roman"/>
          <w:szCs w:val="24"/>
        </w:rPr>
        <w:t xml:space="preserve"> </w:t>
      </w:r>
      <w:r w:rsidR="00E0542E">
        <w:rPr>
          <w:rFonts w:cs="Times New Roman"/>
          <w:szCs w:val="24"/>
        </w:rPr>
        <w:t xml:space="preserve">Thérèse Coffey MP, </w:t>
      </w:r>
      <w:r w:rsidR="00E0542E">
        <w:t>has</w:t>
      </w:r>
      <w:r w:rsidR="00CD1AE5">
        <w:t xml:space="preserve"> made the following statement regarding use of legislative powers in the European Union (Withdrawal) Act 2018: </w:t>
      </w:r>
    </w:p>
    <w:p w14:paraId="15B1D20D" w14:textId="77777777" w:rsidR="00006546" w:rsidRDefault="00E0542E" w:rsidP="00006546">
      <w:pPr>
        <w:ind w:left="720" w:right="1"/>
      </w:pPr>
      <w:r>
        <w:t>“In my</w:t>
      </w:r>
      <w:r w:rsidR="00B04FA6">
        <w:t xml:space="preserve"> </w:t>
      </w:r>
      <w:r w:rsidR="00B04FA6" w:rsidRPr="00275D46">
        <w:t xml:space="preserve">view </w:t>
      </w:r>
      <w:r w:rsidR="006D6403" w:rsidRPr="00275D46">
        <w:t>the Environment and Rural Affairs (Amendment) (EU Exit) Regulations 2019</w:t>
      </w:r>
      <w:r w:rsidR="00CD1AE5" w:rsidRPr="00275D46">
        <w:t xml:space="preserve"> </w:t>
      </w:r>
      <w:r w:rsidR="00006546" w:rsidRPr="00275D46">
        <w:t xml:space="preserve">should be </w:t>
      </w:r>
      <w:r w:rsidR="00006546">
        <w:t xml:space="preserve">subject to annulment in pursuance of a resolution of either House of Parliament (i.e. the negative procedure)”.  </w:t>
      </w:r>
    </w:p>
    <w:p w14:paraId="61D3FBF6" w14:textId="77777777" w:rsidR="00006546" w:rsidRPr="00593BCC" w:rsidRDefault="00006546" w:rsidP="00006546">
      <w:pPr>
        <w:pStyle w:val="EMLevel1Paragraph"/>
        <w:rPr>
          <w:color w:val="0D0D0D" w:themeColor="text1" w:themeTint="F2"/>
        </w:rPr>
      </w:pPr>
      <w:r w:rsidRPr="00593BCC">
        <w:rPr>
          <w:color w:val="0D0D0D" w:themeColor="text1" w:themeTint="F2"/>
        </w:rPr>
        <w:t>This is the case because this instrument makes purely technical amendments to existing legislation, to ensure its continuing legal functioning after EU exit.  There are no changes in policy or impact on businesses or the public.</w:t>
      </w:r>
    </w:p>
    <w:p w14:paraId="1C75F1E6" w14:textId="77777777" w:rsidR="005E7B5C" w:rsidRDefault="005E7B5C" w:rsidP="00CD4FDB">
      <w:pPr>
        <w:pStyle w:val="EMSectionTitle"/>
      </w:pPr>
      <w:r>
        <w:t xml:space="preserve">Appropriateness </w:t>
      </w:r>
      <w:r w:rsidRPr="00E42511">
        <w:t>statement</w:t>
      </w:r>
    </w:p>
    <w:p w14:paraId="73CDBCC0" w14:textId="77777777" w:rsidR="009523E7" w:rsidRPr="00275D46" w:rsidRDefault="009523E7" w:rsidP="009523E7">
      <w:pPr>
        <w:pStyle w:val="EMLevel1Paragraph"/>
      </w:pPr>
      <w:r w:rsidRPr="00EB15D8">
        <w:t xml:space="preserve">The </w:t>
      </w:r>
      <w:r w:rsidRPr="00CD1AE5">
        <w:rPr>
          <w:rFonts w:cs="Times New Roman"/>
          <w:szCs w:val="24"/>
        </w:rPr>
        <w:t>Parliamentary Under Secretary of State,</w:t>
      </w:r>
      <w:r w:rsidR="003B7D51">
        <w:rPr>
          <w:rFonts w:cs="Times New Roman"/>
          <w:szCs w:val="24"/>
        </w:rPr>
        <w:t xml:space="preserve"> Dr</w:t>
      </w:r>
      <w:r w:rsidRPr="00CD1AE5">
        <w:rPr>
          <w:rFonts w:cs="Times New Roman"/>
          <w:szCs w:val="24"/>
        </w:rPr>
        <w:t xml:space="preserve"> </w:t>
      </w:r>
      <w:r w:rsidRPr="004024C2">
        <w:rPr>
          <w:rFonts w:cs="Times New Roman"/>
          <w:szCs w:val="24"/>
        </w:rPr>
        <w:t>Thérèse Coffey MP</w:t>
      </w:r>
      <w:r>
        <w:t>, ha</w:t>
      </w:r>
      <w:r w:rsidR="00E0542E">
        <w:t>s</w:t>
      </w:r>
      <w:r>
        <w:t xml:space="preserve"> made the following statement regarding use of legislative powers in the European Union (Withdrawal) </w:t>
      </w:r>
      <w:r w:rsidRPr="00275D46">
        <w:t xml:space="preserve">Act 2018: </w:t>
      </w:r>
    </w:p>
    <w:p w14:paraId="36CEF46E" w14:textId="77777777" w:rsidR="009523E7" w:rsidRPr="00275D46" w:rsidRDefault="009523E7" w:rsidP="009523E7">
      <w:pPr>
        <w:pStyle w:val="EMLevel1Paragraph"/>
        <w:numPr>
          <w:ilvl w:val="0"/>
          <w:numId w:val="0"/>
        </w:numPr>
        <w:ind w:left="720"/>
      </w:pPr>
      <w:r w:rsidRPr="00275D46">
        <w:t xml:space="preserve">“In </w:t>
      </w:r>
      <w:r w:rsidR="00E0542E" w:rsidRPr="00275D46">
        <w:t>my</w:t>
      </w:r>
      <w:r w:rsidRPr="00275D46">
        <w:t xml:space="preserve"> view </w:t>
      </w:r>
      <w:r w:rsidR="006D6403" w:rsidRPr="00275D46">
        <w:t>the Environment and Rural Affairs (Amendment) (EU Exit) Regulations 2019</w:t>
      </w:r>
      <w:r w:rsidR="00B04FA6" w:rsidRPr="00275D46">
        <w:t xml:space="preserve"> </w:t>
      </w:r>
      <w:r w:rsidRPr="00275D46">
        <w:t xml:space="preserve">do no more than is appropriate”.  </w:t>
      </w:r>
    </w:p>
    <w:p w14:paraId="3C840258" w14:textId="77777777" w:rsidR="009523E7" w:rsidRDefault="009523E7" w:rsidP="009523E7">
      <w:pPr>
        <w:pStyle w:val="EMLevel1Paragraph"/>
      </w:pPr>
      <w:r>
        <w:t>This is the case for the reasons explained in section</w:t>
      </w:r>
      <w:r w:rsidR="008C7617">
        <w:t>s 2 and</w:t>
      </w:r>
      <w:r>
        <w:t xml:space="preserve"> 7 in the main body of this Explanatory Memorandum.</w:t>
      </w:r>
    </w:p>
    <w:p w14:paraId="2F5AB067" w14:textId="77777777" w:rsidR="005E7B5C" w:rsidRDefault="005E7B5C" w:rsidP="00CD4FDB">
      <w:pPr>
        <w:pStyle w:val="EMSectionTitle"/>
      </w:pPr>
      <w:r>
        <w:t>Good reasons</w:t>
      </w:r>
    </w:p>
    <w:p w14:paraId="452E2F5E" w14:textId="77777777" w:rsidR="009523E7" w:rsidRDefault="009523E7" w:rsidP="009523E7">
      <w:pPr>
        <w:pStyle w:val="EMLevel1Paragraph"/>
      </w:pPr>
      <w:r w:rsidRPr="00EB15D8">
        <w:t xml:space="preserve">The </w:t>
      </w:r>
      <w:r w:rsidRPr="00CD1AE5">
        <w:rPr>
          <w:rFonts w:cs="Times New Roman"/>
          <w:szCs w:val="24"/>
        </w:rPr>
        <w:t>Parliamentary Under Secretary of State,</w:t>
      </w:r>
      <w:r w:rsidR="003B7D51">
        <w:rPr>
          <w:rFonts w:cs="Times New Roman"/>
          <w:szCs w:val="24"/>
        </w:rPr>
        <w:t xml:space="preserve"> Dr</w:t>
      </w:r>
      <w:r w:rsidRPr="00CD1AE5">
        <w:rPr>
          <w:rFonts w:cs="Times New Roman"/>
          <w:szCs w:val="24"/>
        </w:rPr>
        <w:t xml:space="preserve"> </w:t>
      </w:r>
      <w:r w:rsidRPr="004024C2">
        <w:rPr>
          <w:rFonts w:cs="Times New Roman"/>
          <w:szCs w:val="24"/>
        </w:rPr>
        <w:t xml:space="preserve">Thérèse Coffey MP, </w:t>
      </w:r>
      <w:r w:rsidR="00E0542E">
        <w:rPr>
          <w:rFonts w:cs="Times New Roman"/>
          <w:szCs w:val="24"/>
        </w:rPr>
        <w:t>has</w:t>
      </w:r>
      <w:r>
        <w:t xml:space="preserve"> made the following statement regarding use of legislative powers in the European Union (Withdrawal) Act 2018: </w:t>
      </w:r>
    </w:p>
    <w:p w14:paraId="17DBFBB9" w14:textId="77777777" w:rsidR="00CD1AE5" w:rsidRDefault="009523E7" w:rsidP="00CD1AE5">
      <w:pPr>
        <w:pStyle w:val="EMLevel1Paragraph"/>
        <w:numPr>
          <w:ilvl w:val="0"/>
          <w:numId w:val="0"/>
        </w:numPr>
        <w:ind w:left="720"/>
      </w:pPr>
      <w:r>
        <w:t xml:space="preserve">“In </w:t>
      </w:r>
      <w:r w:rsidR="00E0542E">
        <w:t>my</w:t>
      </w:r>
      <w:r w:rsidR="00CD1AE5">
        <w:t xml:space="preserve"> view there are good reasons for the provisions in this instrument, and </w:t>
      </w:r>
      <w:r w:rsidR="00256C1F">
        <w:t>I</w:t>
      </w:r>
      <w:r w:rsidR="00CD1AE5">
        <w:t xml:space="preserve"> have concluded they are a reasonable course of action”.  </w:t>
      </w:r>
    </w:p>
    <w:p w14:paraId="6D54A220" w14:textId="77777777" w:rsidR="00CD1AE5" w:rsidRDefault="00CD1AE5" w:rsidP="00CD1AE5">
      <w:pPr>
        <w:pStyle w:val="EMLevel1Paragraph"/>
      </w:pPr>
      <w:r>
        <w:t>These are explained in section</w:t>
      </w:r>
      <w:r w:rsidR="008C7617">
        <w:t>s 2 and</w:t>
      </w:r>
      <w:r>
        <w:t xml:space="preserve"> 7 in the main body of this Explanatory Memorandum. </w:t>
      </w:r>
    </w:p>
    <w:p w14:paraId="62DC8F1F" w14:textId="77777777" w:rsidR="005E7B5C" w:rsidRDefault="005460B8" w:rsidP="00CD4FDB">
      <w:pPr>
        <w:pStyle w:val="EMSectionTitle"/>
      </w:pPr>
      <w:r>
        <w:t>Equalities</w:t>
      </w:r>
    </w:p>
    <w:p w14:paraId="426B8EE0" w14:textId="77777777" w:rsidR="00BC120B" w:rsidRPr="00BC120B" w:rsidRDefault="00BC120B" w:rsidP="00BC120B">
      <w:pPr>
        <w:pStyle w:val="EMLevel1Paragraph"/>
        <w:rPr>
          <w:i/>
          <w:color w:val="FF0000"/>
        </w:rPr>
      </w:pPr>
      <w:r w:rsidRPr="00EB15D8">
        <w:t xml:space="preserve">The </w:t>
      </w:r>
      <w:r w:rsidRPr="00CD1AE5">
        <w:rPr>
          <w:rFonts w:cs="Times New Roman"/>
          <w:szCs w:val="24"/>
        </w:rPr>
        <w:t>Parliamentary Under Secretary of State,</w:t>
      </w:r>
      <w:r w:rsidR="003B7D51">
        <w:rPr>
          <w:rFonts w:cs="Times New Roman"/>
          <w:szCs w:val="24"/>
        </w:rPr>
        <w:t xml:space="preserve"> Dr</w:t>
      </w:r>
      <w:r w:rsidRPr="00CD1AE5">
        <w:rPr>
          <w:rFonts w:cs="Times New Roman"/>
          <w:szCs w:val="24"/>
        </w:rPr>
        <w:t xml:space="preserve"> </w:t>
      </w:r>
      <w:r w:rsidRPr="004024C2">
        <w:rPr>
          <w:rFonts w:cs="Times New Roman"/>
          <w:szCs w:val="24"/>
        </w:rPr>
        <w:t xml:space="preserve">Thérèse Coffey MP, </w:t>
      </w:r>
      <w:r w:rsidR="00E0542E">
        <w:rPr>
          <w:rFonts w:cs="Times New Roman"/>
          <w:szCs w:val="24"/>
        </w:rPr>
        <w:t>has</w:t>
      </w:r>
      <w:r>
        <w:rPr>
          <w:rFonts w:cs="Times New Roman"/>
          <w:szCs w:val="24"/>
        </w:rPr>
        <w:t xml:space="preserve"> </w:t>
      </w:r>
      <w:r>
        <w:t xml:space="preserve">made the following statement: </w:t>
      </w:r>
    </w:p>
    <w:p w14:paraId="3354EF75" w14:textId="77777777" w:rsidR="00BC120B" w:rsidRPr="00BC120B" w:rsidRDefault="00BC120B" w:rsidP="00BC120B">
      <w:pPr>
        <w:pStyle w:val="EMLevel1Paragraph"/>
        <w:numPr>
          <w:ilvl w:val="0"/>
          <w:numId w:val="0"/>
        </w:numPr>
        <w:ind w:left="720"/>
        <w:rPr>
          <w:i/>
          <w:color w:val="FF0000"/>
        </w:rPr>
      </w:pPr>
      <w:r>
        <w:t xml:space="preserve">“The draft instrument does not amend, repeal or revoke a provision or provisions in the Equality Act 2006 or the Equality Act 2010 or subordinate legislation made under those Acts”.  </w:t>
      </w:r>
    </w:p>
    <w:p w14:paraId="5C732B4D" w14:textId="77777777" w:rsidR="00BC120B" w:rsidRPr="00BC120B" w:rsidRDefault="00BC120B" w:rsidP="00BC120B">
      <w:pPr>
        <w:pStyle w:val="EMLevel1Paragraph"/>
        <w:rPr>
          <w:i/>
          <w:color w:val="FF0000"/>
        </w:rPr>
      </w:pPr>
      <w:r w:rsidRPr="00EB15D8">
        <w:t xml:space="preserve">The </w:t>
      </w:r>
      <w:r w:rsidRPr="00CD1AE5">
        <w:rPr>
          <w:rFonts w:cs="Times New Roman"/>
          <w:szCs w:val="24"/>
        </w:rPr>
        <w:t>Parliamentary Under Secretary of State,</w:t>
      </w:r>
      <w:r w:rsidR="003B7D51">
        <w:rPr>
          <w:rFonts w:cs="Times New Roman"/>
          <w:szCs w:val="24"/>
        </w:rPr>
        <w:t xml:space="preserve"> Dr</w:t>
      </w:r>
      <w:r w:rsidRPr="00CD1AE5">
        <w:rPr>
          <w:rFonts w:cs="Times New Roman"/>
          <w:szCs w:val="24"/>
        </w:rPr>
        <w:t xml:space="preserve"> </w:t>
      </w:r>
      <w:r w:rsidRPr="004024C2">
        <w:rPr>
          <w:rFonts w:cs="Times New Roman"/>
          <w:szCs w:val="24"/>
        </w:rPr>
        <w:t>Thérèse Coffey MP,</w:t>
      </w:r>
      <w:r>
        <w:rPr>
          <w:rFonts w:cs="Times New Roman"/>
          <w:szCs w:val="24"/>
        </w:rPr>
        <w:t xml:space="preserve"> ha</w:t>
      </w:r>
      <w:r w:rsidR="00E0542E">
        <w:rPr>
          <w:rFonts w:cs="Times New Roman"/>
          <w:szCs w:val="24"/>
        </w:rPr>
        <w:t>s</w:t>
      </w:r>
      <w:r>
        <w:rPr>
          <w:rFonts w:cs="Times New Roman"/>
          <w:szCs w:val="24"/>
        </w:rPr>
        <w:t xml:space="preserve"> </w:t>
      </w:r>
      <w:r>
        <w:t>made the following statement regarding use of legislative powers in the European Union (Withdrawal) Act 2018:</w:t>
      </w:r>
    </w:p>
    <w:p w14:paraId="495113F8" w14:textId="77777777" w:rsidR="00BC120B" w:rsidRPr="00BC120B" w:rsidRDefault="00BC120B" w:rsidP="00BC120B">
      <w:pPr>
        <w:spacing w:after="49"/>
        <w:ind w:left="720"/>
      </w:pPr>
      <w:r>
        <w:t>“In relation to the draft instrument, I,</w:t>
      </w:r>
      <w:r w:rsidR="003B7D51">
        <w:t xml:space="preserve"> Dr</w:t>
      </w:r>
      <w:r>
        <w:t xml:space="preserve"> Thérèse Coffey MP</w:t>
      </w:r>
      <w:r w:rsidR="008E0C1B">
        <w:t>,</w:t>
      </w:r>
      <w:r>
        <w:rPr>
          <w:color w:val="FF0000"/>
        </w:rPr>
        <w:t xml:space="preserve"> </w:t>
      </w:r>
      <w:r>
        <w:t>have had due regard to the need to eliminate discrimination, harassment, victimisation and any other conduct that is prohibited by or under the Equality Act 2010”.</w:t>
      </w:r>
    </w:p>
    <w:p w14:paraId="4677F99E" w14:textId="77777777" w:rsidR="005E7B5C" w:rsidRDefault="005E7B5C" w:rsidP="00CD4FDB">
      <w:pPr>
        <w:pStyle w:val="EMSectionTitle"/>
      </w:pPr>
      <w:r>
        <w:t>Explanations</w:t>
      </w:r>
    </w:p>
    <w:p w14:paraId="03B00B27" w14:textId="77777777" w:rsidR="00DA687D" w:rsidRPr="005E7B5C" w:rsidRDefault="005E7B5C" w:rsidP="00F51B29">
      <w:pPr>
        <w:pStyle w:val="EMLevel1Paragraph"/>
      </w:pPr>
      <w:r w:rsidRPr="009B62AE">
        <w:t>The</w:t>
      </w:r>
      <w:r w:rsidR="00073874">
        <w:t xml:space="preserve"> explanations s</w:t>
      </w:r>
      <w:r w:rsidRPr="009B62AE">
        <w:t xml:space="preserve">tatement has been made in </w:t>
      </w:r>
      <w:r w:rsidR="000432C9">
        <w:t>section</w:t>
      </w:r>
      <w:r w:rsidR="008676E5">
        <w:t xml:space="preserve"> 2</w:t>
      </w:r>
      <w:r w:rsidRPr="009B62AE">
        <w:t xml:space="preserve"> of the main body of this explanatory memorandum.</w:t>
      </w:r>
    </w:p>
    <w:sectPr w:rsidR="00DA687D" w:rsidRPr="005E7B5C" w:rsidSect="00A870B5">
      <w:headerReference w:type="default" r:id="rId11"/>
      <w:footerReference w:type="even" r:id="rId12"/>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8F7E" w14:textId="77777777" w:rsidR="00DA612E" w:rsidRDefault="00DA612E">
      <w:r>
        <w:separator/>
      </w:r>
    </w:p>
  </w:endnote>
  <w:endnote w:type="continuationSeparator" w:id="0">
    <w:p w14:paraId="4F0D906A" w14:textId="77777777" w:rsidR="00DA612E" w:rsidRDefault="00DA612E">
      <w:r>
        <w:continuationSeparator/>
      </w:r>
    </w:p>
  </w:endnote>
  <w:endnote w:type="continuationNotice" w:id="1">
    <w:p w14:paraId="28210AF4" w14:textId="77777777" w:rsidR="00DA612E" w:rsidRDefault="00DA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31ED" w14:textId="77777777" w:rsidR="006B3E4B" w:rsidRDefault="006B3E4B"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947DC" w14:textId="77777777" w:rsidR="006B3E4B" w:rsidRDefault="006B3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FCFB" w14:textId="77777777" w:rsidR="006B3E4B" w:rsidRPr="009D4049" w:rsidRDefault="006B3E4B"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95731A">
      <w:rPr>
        <w:rStyle w:val="PageNumber"/>
        <w:noProof/>
        <w:sz w:val="22"/>
        <w:szCs w:val="22"/>
      </w:rPr>
      <w:t>1</w:t>
    </w:r>
    <w:r w:rsidRPr="009D4049">
      <w:rPr>
        <w:rStyle w:val="PageNumber"/>
        <w:sz w:val="22"/>
        <w:szCs w:val="22"/>
      </w:rPr>
      <w:fldChar w:fldCharType="end"/>
    </w:r>
  </w:p>
  <w:p w14:paraId="2F3DEA73" w14:textId="77777777" w:rsidR="006B3E4B" w:rsidRDefault="006B3E4B" w:rsidP="00BC2AB1">
    <w:pPr>
      <w:pStyle w:val="Footer"/>
      <w:jc w:val="center"/>
      <w:rPr>
        <w:sz w:val="16"/>
        <w:szCs w:val="16"/>
      </w:rPr>
    </w:pPr>
  </w:p>
  <w:p w14:paraId="7557F944" w14:textId="77777777" w:rsidR="006B3E4B" w:rsidRPr="004673B7" w:rsidRDefault="006B3E4B" w:rsidP="00BC2AB1">
    <w:pPr>
      <w:rPr>
        <w:rFonts w:ascii="Arial" w:hAnsi="Arial" w:cs="Arial"/>
        <w:sz w:val="14"/>
        <w:szCs w:val="14"/>
      </w:rPr>
    </w:pPr>
    <w:r>
      <w:rPr>
        <w:rFonts w:ascii="Arial" w:hAnsi="Arial" w:cs="Arial"/>
        <w:sz w:val="14"/>
        <w:szCs w:val="14"/>
      </w:rPr>
      <w:t>DExEU/EM/7-2018.2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AE72" w14:textId="77777777" w:rsidR="00DA612E" w:rsidRDefault="00DA612E">
      <w:r>
        <w:separator/>
      </w:r>
    </w:p>
  </w:footnote>
  <w:footnote w:type="continuationSeparator" w:id="0">
    <w:p w14:paraId="40EB3849" w14:textId="77777777" w:rsidR="00DA612E" w:rsidRDefault="00DA612E">
      <w:r>
        <w:continuationSeparator/>
      </w:r>
    </w:p>
  </w:footnote>
  <w:footnote w:type="continuationNotice" w:id="1">
    <w:p w14:paraId="562A515F" w14:textId="77777777" w:rsidR="00DA612E" w:rsidRDefault="00DA6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F203" w14:textId="77777777" w:rsidR="006B3E4B" w:rsidRDefault="006B3E4B" w:rsidP="00E64B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E8A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FE2DAD"/>
    <w:multiLevelType w:val="hybridMultilevel"/>
    <w:tmpl w:val="22068120"/>
    <w:lvl w:ilvl="0" w:tplc="6BA61A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066F1"/>
    <w:multiLevelType w:val="hybridMultilevel"/>
    <w:tmpl w:val="E9A85A14"/>
    <w:lvl w:ilvl="0" w:tplc="6BA61A9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0" w15:restartNumberingAfterBreak="0">
    <w:nsid w:val="1E171970"/>
    <w:multiLevelType w:val="multilevel"/>
    <w:tmpl w:val="33549DBA"/>
    <w:lvl w:ilvl="0">
      <w:start w:val="2"/>
      <w:numFmt w:val="decimal"/>
      <w:lvlText w:val="%1"/>
      <w:lvlJc w:val="left"/>
      <w:pPr>
        <w:ind w:left="420" w:hanging="420"/>
      </w:pPr>
      <w:rPr>
        <w:rFonts w:cs="Times New Roman"/>
      </w:rPr>
    </w:lvl>
    <w:lvl w:ilvl="1">
      <w:start w:val="35"/>
      <w:numFmt w:val="decimal"/>
      <w:lvlText w:val="%1.%2"/>
      <w:lvlJc w:val="left"/>
      <w:pPr>
        <w:ind w:left="1140" w:hanging="4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740C11"/>
    <w:multiLevelType w:val="hybridMultilevel"/>
    <w:tmpl w:val="0EA66730"/>
    <w:lvl w:ilvl="0" w:tplc="26A6243C">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086D56">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6C14F0">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B2DA8E">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365D80">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221BE">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180C68">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E408F2">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1AC338">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4" w15:restartNumberingAfterBreak="0">
    <w:nsid w:val="2EC56D27"/>
    <w:multiLevelType w:val="multilevel"/>
    <w:tmpl w:val="0FEC1690"/>
    <w:lvl w:ilvl="0">
      <w:start w:val="4"/>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462304"/>
    <w:multiLevelType w:val="multilevel"/>
    <w:tmpl w:val="8B2ECE14"/>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ascii="Times New Roman" w:hAnsi="Times New Roman" w:cs="Times New Roman" w:hint="default"/>
        <w:b w:val="0"/>
        <w:i w:val="0"/>
        <w:color w:val="000000" w:themeColor="text1"/>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9C2C48"/>
    <w:multiLevelType w:val="hybridMultilevel"/>
    <w:tmpl w:val="0EF04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E3360F"/>
    <w:multiLevelType w:val="hybridMultilevel"/>
    <w:tmpl w:val="82FC899A"/>
    <w:lvl w:ilvl="0" w:tplc="1EF4D0FA">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24F5C05"/>
    <w:multiLevelType w:val="hybridMultilevel"/>
    <w:tmpl w:val="0AC0DF4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F58F9"/>
    <w:multiLevelType w:val="hybridMultilevel"/>
    <w:tmpl w:val="F64662AE"/>
    <w:lvl w:ilvl="0" w:tplc="86C847B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22" w15:restartNumberingAfterBreak="0">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237C5E"/>
    <w:multiLevelType w:val="hybridMultilevel"/>
    <w:tmpl w:val="D6F2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A63DE1"/>
    <w:multiLevelType w:val="hybridMultilevel"/>
    <w:tmpl w:val="8B3C1C28"/>
    <w:lvl w:ilvl="0" w:tplc="6BA61A9E">
      <w:start w:val="2"/>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B2A68BA"/>
    <w:multiLevelType w:val="hybridMultilevel"/>
    <w:tmpl w:val="F88C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BD77CB"/>
    <w:multiLevelType w:val="hybridMultilevel"/>
    <w:tmpl w:val="DA6CDE86"/>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hint="default"/>
      </w:rPr>
    </w:lvl>
    <w:lvl w:ilvl="6" w:tplc="08090001">
      <w:start w:val="1"/>
      <w:numFmt w:val="bullet"/>
      <w:lvlText w:val=""/>
      <w:lvlJc w:val="left"/>
      <w:pPr>
        <w:ind w:left="5672" w:hanging="360"/>
      </w:pPr>
      <w:rPr>
        <w:rFonts w:ascii="Symbol" w:hAnsi="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hint="default"/>
      </w:rPr>
    </w:lvl>
  </w:abstractNum>
  <w:abstractNum w:abstractNumId="29" w15:restartNumberingAfterBreak="0">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4"/>
  </w:num>
  <w:num w:numId="4">
    <w:abstractNumId w:val="8"/>
  </w:num>
  <w:num w:numId="5">
    <w:abstractNumId w:val="26"/>
  </w:num>
  <w:num w:numId="6">
    <w:abstractNumId w:val="1"/>
  </w:num>
  <w:num w:numId="7">
    <w:abstractNumId w:val="27"/>
  </w:num>
  <w:num w:numId="8">
    <w:abstractNumId w:val="1"/>
  </w:num>
  <w:num w:numId="9">
    <w:abstractNumId w:val="5"/>
  </w:num>
  <w:num w:numId="10">
    <w:abstractNumId w:val="15"/>
  </w:num>
  <w:num w:numId="11">
    <w:abstractNumId w:val="11"/>
  </w:num>
  <w:num w:numId="12">
    <w:abstractNumId w:val="32"/>
  </w:num>
  <w:num w:numId="13">
    <w:abstractNumId w:val="31"/>
  </w:num>
  <w:num w:numId="14">
    <w:abstractNumId w:val="21"/>
  </w:num>
  <w:num w:numId="15">
    <w:abstractNumId w:val="7"/>
  </w:num>
  <w:num w:numId="16">
    <w:abstractNumId w:val="22"/>
  </w:num>
  <w:num w:numId="17">
    <w:abstractNumId w:val="30"/>
  </w:num>
  <w:num w:numId="18">
    <w:abstractNumId w:val="13"/>
  </w:num>
  <w:num w:numId="19">
    <w:abstractNumId w:val="9"/>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num>
  <w:num w:numId="23">
    <w:abstractNumId w:val="29"/>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9"/>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2"/>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20"/>
  </w:num>
  <w:num w:numId="35">
    <w:abstractNumId w:val="24"/>
  </w:num>
  <w:num w:numId="36">
    <w:abstractNumId w:val="3"/>
  </w:num>
  <w:num w:numId="37">
    <w:abstractNumId w:val="6"/>
  </w:num>
  <w:num w:numId="38">
    <w:abstractNumId w:val="25"/>
  </w:num>
  <w:num w:numId="39">
    <w:abstractNumId w:val="19"/>
  </w:num>
  <w:num w:numId="40">
    <w:abstractNumId w:val="17"/>
  </w:num>
  <w:num w:numId="41">
    <w:abstractNumId w:val="23"/>
  </w:num>
  <w:num w:numId="42">
    <w:abstractNumId w:val="28"/>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74"/>
    <w:rsid w:val="00004E29"/>
    <w:rsid w:val="00006546"/>
    <w:rsid w:val="00014967"/>
    <w:rsid w:val="00017885"/>
    <w:rsid w:val="000240B8"/>
    <w:rsid w:val="000254F7"/>
    <w:rsid w:val="000275C4"/>
    <w:rsid w:val="00027AB2"/>
    <w:rsid w:val="00033B0C"/>
    <w:rsid w:val="000345B7"/>
    <w:rsid w:val="000432C9"/>
    <w:rsid w:val="00072082"/>
    <w:rsid w:val="00073874"/>
    <w:rsid w:val="00080C15"/>
    <w:rsid w:val="0008517D"/>
    <w:rsid w:val="0008637D"/>
    <w:rsid w:val="00091FCF"/>
    <w:rsid w:val="0009226B"/>
    <w:rsid w:val="0009269E"/>
    <w:rsid w:val="000976C3"/>
    <w:rsid w:val="000A02B1"/>
    <w:rsid w:val="000A3F8E"/>
    <w:rsid w:val="000A5E84"/>
    <w:rsid w:val="000A7F37"/>
    <w:rsid w:val="000B4DD3"/>
    <w:rsid w:val="000B5CB6"/>
    <w:rsid w:val="000C044B"/>
    <w:rsid w:val="000C7B96"/>
    <w:rsid w:val="000D0AD9"/>
    <w:rsid w:val="000D2E2B"/>
    <w:rsid w:val="000D44A9"/>
    <w:rsid w:val="000E45A2"/>
    <w:rsid w:val="000F2256"/>
    <w:rsid w:val="000F46B6"/>
    <w:rsid w:val="00100688"/>
    <w:rsid w:val="001072E0"/>
    <w:rsid w:val="001121AE"/>
    <w:rsid w:val="001146E1"/>
    <w:rsid w:val="00114DB3"/>
    <w:rsid w:val="001230E1"/>
    <w:rsid w:val="00125932"/>
    <w:rsid w:val="00131403"/>
    <w:rsid w:val="001330BD"/>
    <w:rsid w:val="001437C8"/>
    <w:rsid w:val="00152590"/>
    <w:rsid w:val="00153452"/>
    <w:rsid w:val="0016140A"/>
    <w:rsid w:val="001652BC"/>
    <w:rsid w:val="0017584E"/>
    <w:rsid w:val="001828A3"/>
    <w:rsid w:val="001B132B"/>
    <w:rsid w:val="001B2598"/>
    <w:rsid w:val="001B3CCA"/>
    <w:rsid w:val="001C019F"/>
    <w:rsid w:val="001C1BFF"/>
    <w:rsid w:val="001C704A"/>
    <w:rsid w:val="001D4A0C"/>
    <w:rsid w:val="001D4E11"/>
    <w:rsid w:val="001E142C"/>
    <w:rsid w:val="001E4520"/>
    <w:rsid w:val="001F16E1"/>
    <w:rsid w:val="001F47F4"/>
    <w:rsid w:val="001F7152"/>
    <w:rsid w:val="001F7AD4"/>
    <w:rsid w:val="00200A8F"/>
    <w:rsid w:val="00201BB1"/>
    <w:rsid w:val="0021398B"/>
    <w:rsid w:val="002166DA"/>
    <w:rsid w:val="00221B9A"/>
    <w:rsid w:val="00237212"/>
    <w:rsid w:val="0024064D"/>
    <w:rsid w:val="00243B39"/>
    <w:rsid w:val="00250E87"/>
    <w:rsid w:val="002564E9"/>
    <w:rsid w:val="00256C1F"/>
    <w:rsid w:val="00262E8C"/>
    <w:rsid w:val="002652A0"/>
    <w:rsid w:val="00273199"/>
    <w:rsid w:val="00273C18"/>
    <w:rsid w:val="00275D46"/>
    <w:rsid w:val="00286848"/>
    <w:rsid w:val="00291376"/>
    <w:rsid w:val="00291582"/>
    <w:rsid w:val="002A4D4C"/>
    <w:rsid w:val="002B1A56"/>
    <w:rsid w:val="002B25EE"/>
    <w:rsid w:val="002B47DF"/>
    <w:rsid w:val="002C5B0A"/>
    <w:rsid w:val="002D020A"/>
    <w:rsid w:val="002D0514"/>
    <w:rsid w:val="002D416F"/>
    <w:rsid w:val="002E0D9F"/>
    <w:rsid w:val="002E4562"/>
    <w:rsid w:val="002E5A19"/>
    <w:rsid w:val="002F2E43"/>
    <w:rsid w:val="002F59C5"/>
    <w:rsid w:val="0030197E"/>
    <w:rsid w:val="003074EF"/>
    <w:rsid w:val="00312189"/>
    <w:rsid w:val="003234A6"/>
    <w:rsid w:val="003239FA"/>
    <w:rsid w:val="00325AD0"/>
    <w:rsid w:val="003260BA"/>
    <w:rsid w:val="003273B0"/>
    <w:rsid w:val="00331E1F"/>
    <w:rsid w:val="00333159"/>
    <w:rsid w:val="00337878"/>
    <w:rsid w:val="003401A4"/>
    <w:rsid w:val="0034468C"/>
    <w:rsid w:val="00345934"/>
    <w:rsid w:val="0035419A"/>
    <w:rsid w:val="00357593"/>
    <w:rsid w:val="00362E71"/>
    <w:rsid w:val="00373B11"/>
    <w:rsid w:val="0037678C"/>
    <w:rsid w:val="003930F2"/>
    <w:rsid w:val="00396B58"/>
    <w:rsid w:val="003A5FFB"/>
    <w:rsid w:val="003A62B8"/>
    <w:rsid w:val="003A7F1C"/>
    <w:rsid w:val="003B32E0"/>
    <w:rsid w:val="003B7D51"/>
    <w:rsid w:val="003C1B11"/>
    <w:rsid w:val="003C2EFE"/>
    <w:rsid w:val="003C3F12"/>
    <w:rsid w:val="003D01DC"/>
    <w:rsid w:val="003D29D1"/>
    <w:rsid w:val="003D2F01"/>
    <w:rsid w:val="003D51B8"/>
    <w:rsid w:val="003D7744"/>
    <w:rsid w:val="003F2880"/>
    <w:rsid w:val="004024C2"/>
    <w:rsid w:val="00404A20"/>
    <w:rsid w:val="0040673B"/>
    <w:rsid w:val="00410890"/>
    <w:rsid w:val="00413DD4"/>
    <w:rsid w:val="00415B01"/>
    <w:rsid w:val="0042257B"/>
    <w:rsid w:val="00423D1D"/>
    <w:rsid w:val="004248A6"/>
    <w:rsid w:val="004259A6"/>
    <w:rsid w:val="004273FB"/>
    <w:rsid w:val="00427435"/>
    <w:rsid w:val="0043141F"/>
    <w:rsid w:val="00433844"/>
    <w:rsid w:val="00434F35"/>
    <w:rsid w:val="004450D9"/>
    <w:rsid w:val="00451F93"/>
    <w:rsid w:val="004613DB"/>
    <w:rsid w:val="00464584"/>
    <w:rsid w:val="004657E8"/>
    <w:rsid w:val="004673B7"/>
    <w:rsid w:val="00470C29"/>
    <w:rsid w:val="00473047"/>
    <w:rsid w:val="0049192E"/>
    <w:rsid w:val="00492049"/>
    <w:rsid w:val="004945DD"/>
    <w:rsid w:val="004955CF"/>
    <w:rsid w:val="004A3BCF"/>
    <w:rsid w:val="004B1D7C"/>
    <w:rsid w:val="004C032B"/>
    <w:rsid w:val="004D5308"/>
    <w:rsid w:val="004D54D3"/>
    <w:rsid w:val="004E027B"/>
    <w:rsid w:val="004E3D98"/>
    <w:rsid w:val="004E5126"/>
    <w:rsid w:val="004F37E1"/>
    <w:rsid w:val="004F473C"/>
    <w:rsid w:val="004F4AC0"/>
    <w:rsid w:val="004F5359"/>
    <w:rsid w:val="004F584A"/>
    <w:rsid w:val="005018AE"/>
    <w:rsid w:val="00512EA9"/>
    <w:rsid w:val="00513CA1"/>
    <w:rsid w:val="00517247"/>
    <w:rsid w:val="00521A30"/>
    <w:rsid w:val="00531B73"/>
    <w:rsid w:val="005460B8"/>
    <w:rsid w:val="005473FE"/>
    <w:rsid w:val="00547C2F"/>
    <w:rsid w:val="0055071E"/>
    <w:rsid w:val="00550F85"/>
    <w:rsid w:val="00560F32"/>
    <w:rsid w:val="00566491"/>
    <w:rsid w:val="00583009"/>
    <w:rsid w:val="005835D7"/>
    <w:rsid w:val="0059129A"/>
    <w:rsid w:val="005931BB"/>
    <w:rsid w:val="00593BCC"/>
    <w:rsid w:val="0059700A"/>
    <w:rsid w:val="005971E9"/>
    <w:rsid w:val="005B2719"/>
    <w:rsid w:val="005B3D82"/>
    <w:rsid w:val="005B61D9"/>
    <w:rsid w:val="005B74A7"/>
    <w:rsid w:val="005C41EE"/>
    <w:rsid w:val="005C4B66"/>
    <w:rsid w:val="005C639C"/>
    <w:rsid w:val="005C6B1D"/>
    <w:rsid w:val="005E280F"/>
    <w:rsid w:val="005E6C3F"/>
    <w:rsid w:val="005E70F1"/>
    <w:rsid w:val="005E7B5C"/>
    <w:rsid w:val="005F7DAC"/>
    <w:rsid w:val="00607140"/>
    <w:rsid w:val="00614755"/>
    <w:rsid w:val="006203AC"/>
    <w:rsid w:val="00621F47"/>
    <w:rsid w:val="0064188E"/>
    <w:rsid w:val="006519B9"/>
    <w:rsid w:val="006678EE"/>
    <w:rsid w:val="00671B54"/>
    <w:rsid w:val="00675C7E"/>
    <w:rsid w:val="00680F89"/>
    <w:rsid w:val="006818F3"/>
    <w:rsid w:val="00683612"/>
    <w:rsid w:val="00684DE6"/>
    <w:rsid w:val="00692A28"/>
    <w:rsid w:val="00697DE5"/>
    <w:rsid w:val="006A24A3"/>
    <w:rsid w:val="006A3927"/>
    <w:rsid w:val="006B2E4F"/>
    <w:rsid w:val="006B3E4B"/>
    <w:rsid w:val="006B4102"/>
    <w:rsid w:val="006C599B"/>
    <w:rsid w:val="006C6685"/>
    <w:rsid w:val="006D0737"/>
    <w:rsid w:val="006D08BB"/>
    <w:rsid w:val="006D6403"/>
    <w:rsid w:val="006D7EC3"/>
    <w:rsid w:val="006E26FE"/>
    <w:rsid w:val="006E6B83"/>
    <w:rsid w:val="006F1B22"/>
    <w:rsid w:val="006F1CD0"/>
    <w:rsid w:val="006F262E"/>
    <w:rsid w:val="006F76E7"/>
    <w:rsid w:val="006F7707"/>
    <w:rsid w:val="00701AA4"/>
    <w:rsid w:val="00707B78"/>
    <w:rsid w:val="00712E19"/>
    <w:rsid w:val="007310D5"/>
    <w:rsid w:val="00731732"/>
    <w:rsid w:val="007328F8"/>
    <w:rsid w:val="00733998"/>
    <w:rsid w:val="007376FF"/>
    <w:rsid w:val="00743BA7"/>
    <w:rsid w:val="0075368E"/>
    <w:rsid w:val="007569E8"/>
    <w:rsid w:val="00760E4A"/>
    <w:rsid w:val="00762F9B"/>
    <w:rsid w:val="0076497F"/>
    <w:rsid w:val="0076508A"/>
    <w:rsid w:val="00767AB5"/>
    <w:rsid w:val="007742E6"/>
    <w:rsid w:val="00774D18"/>
    <w:rsid w:val="00776665"/>
    <w:rsid w:val="007917DF"/>
    <w:rsid w:val="00796573"/>
    <w:rsid w:val="007A3359"/>
    <w:rsid w:val="007B1410"/>
    <w:rsid w:val="007B4276"/>
    <w:rsid w:val="007B6BD2"/>
    <w:rsid w:val="007B74F6"/>
    <w:rsid w:val="007C122A"/>
    <w:rsid w:val="007C5BB6"/>
    <w:rsid w:val="007D0C09"/>
    <w:rsid w:val="007D2913"/>
    <w:rsid w:val="007D6FB2"/>
    <w:rsid w:val="007E5173"/>
    <w:rsid w:val="007E5423"/>
    <w:rsid w:val="007E732D"/>
    <w:rsid w:val="007E7EB6"/>
    <w:rsid w:val="007F4B78"/>
    <w:rsid w:val="00804CC4"/>
    <w:rsid w:val="008060DC"/>
    <w:rsid w:val="008064EF"/>
    <w:rsid w:val="00812201"/>
    <w:rsid w:val="008122EC"/>
    <w:rsid w:val="00817FE3"/>
    <w:rsid w:val="0082161B"/>
    <w:rsid w:val="00821D14"/>
    <w:rsid w:val="00835011"/>
    <w:rsid w:val="00841C19"/>
    <w:rsid w:val="0084348C"/>
    <w:rsid w:val="008561E9"/>
    <w:rsid w:val="00860AAB"/>
    <w:rsid w:val="0086715B"/>
    <w:rsid w:val="008676E5"/>
    <w:rsid w:val="008737C8"/>
    <w:rsid w:val="00883506"/>
    <w:rsid w:val="00886E5D"/>
    <w:rsid w:val="00887EEE"/>
    <w:rsid w:val="00890481"/>
    <w:rsid w:val="00897C18"/>
    <w:rsid w:val="008C00BE"/>
    <w:rsid w:val="008C05F9"/>
    <w:rsid w:val="008C7617"/>
    <w:rsid w:val="008C7EBF"/>
    <w:rsid w:val="008E0C1B"/>
    <w:rsid w:val="008F26B5"/>
    <w:rsid w:val="008F5946"/>
    <w:rsid w:val="008F731D"/>
    <w:rsid w:val="00905398"/>
    <w:rsid w:val="0091434E"/>
    <w:rsid w:val="00915982"/>
    <w:rsid w:val="009212D0"/>
    <w:rsid w:val="0092528C"/>
    <w:rsid w:val="00925DFE"/>
    <w:rsid w:val="0093149F"/>
    <w:rsid w:val="00933B9A"/>
    <w:rsid w:val="00934F0C"/>
    <w:rsid w:val="00936369"/>
    <w:rsid w:val="00936C0B"/>
    <w:rsid w:val="00936D55"/>
    <w:rsid w:val="00951EB5"/>
    <w:rsid w:val="009523E7"/>
    <w:rsid w:val="00952E03"/>
    <w:rsid w:val="0095731A"/>
    <w:rsid w:val="00962454"/>
    <w:rsid w:val="00963DC7"/>
    <w:rsid w:val="00967E20"/>
    <w:rsid w:val="0097412B"/>
    <w:rsid w:val="009750A0"/>
    <w:rsid w:val="00981BEF"/>
    <w:rsid w:val="009845DD"/>
    <w:rsid w:val="00985DB8"/>
    <w:rsid w:val="00991C80"/>
    <w:rsid w:val="00991D04"/>
    <w:rsid w:val="00997795"/>
    <w:rsid w:val="009A4AD9"/>
    <w:rsid w:val="009A782D"/>
    <w:rsid w:val="009B0B78"/>
    <w:rsid w:val="009B0E6F"/>
    <w:rsid w:val="009B47F0"/>
    <w:rsid w:val="009C0585"/>
    <w:rsid w:val="009C0A33"/>
    <w:rsid w:val="009C3F75"/>
    <w:rsid w:val="009D3662"/>
    <w:rsid w:val="009D4049"/>
    <w:rsid w:val="009E6EAA"/>
    <w:rsid w:val="009F10E4"/>
    <w:rsid w:val="009F17DC"/>
    <w:rsid w:val="009F6373"/>
    <w:rsid w:val="00A00C9C"/>
    <w:rsid w:val="00A10BC1"/>
    <w:rsid w:val="00A14ED7"/>
    <w:rsid w:val="00A20911"/>
    <w:rsid w:val="00A23BCD"/>
    <w:rsid w:val="00A2594F"/>
    <w:rsid w:val="00A2658B"/>
    <w:rsid w:val="00A309C0"/>
    <w:rsid w:val="00A317B4"/>
    <w:rsid w:val="00A427C5"/>
    <w:rsid w:val="00A45087"/>
    <w:rsid w:val="00A534D5"/>
    <w:rsid w:val="00A8079F"/>
    <w:rsid w:val="00A8327C"/>
    <w:rsid w:val="00A8389F"/>
    <w:rsid w:val="00A856F0"/>
    <w:rsid w:val="00A870B5"/>
    <w:rsid w:val="00A966EE"/>
    <w:rsid w:val="00A96C26"/>
    <w:rsid w:val="00AA0AE3"/>
    <w:rsid w:val="00AB3942"/>
    <w:rsid w:val="00AB478D"/>
    <w:rsid w:val="00AB6BF4"/>
    <w:rsid w:val="00AD204F"/>
    <w:rsid w:val="00AD208F"/>
    <w:rsid w:val="00AD2BFC"/>
    <w:rsid w:val="00AD38CE"/>
    <w:rsid w:val="00AD7AC2"/>
    <w:rsid w:val="00AE2D3B"/>
    <w:rsid w:val="00AE2FC2"/>
    <w:rsid w:val="00AF02D0"/>
    <w:rsid w:val="00AF0FD3"/>
    <w:rsid w:val="00AF7475"/>
    <w:rsid w:val="00B02F61"/>
    <w:rsid w:val="00B04FA6"/>
    <w:rsid w:val="00B06F70"/>
    <w:rsid w:val="00B07FD4"/>
    <w:rsid w:val="00B107A5"/>
    <w:rsid w:val="00B11161"/>
    <w:rsid w:val="00B231F8"/>
    <w:rsid w:val="00B414C3"/>
    <w:rsid w:val="00B42E1E"/>
    <w:rsid w:val="00B7378C"/>
    <w:rsid w:val="00B80284"/>
    <w:rsid w:val="00B8343C"/>
    <w:rsid w:val="00B834F2"/>
    <w:rsid w:val="00B87E3A"/>
    <w:rsid w:val="00B90CCB"/>
    <w:rsid w:val="00B93884"/>
    <w:rsid w:val="00B95B01"/>
    <w:rsid w:val="00BA66AB"/>
    <w:rsid w:val="00BB36B1"/>
    <w:rsid w:val="00BC120B"/>
    <w:rsid w:val="00BC2AB1"/>
    <w:rsid w:val="00BD0080"/>
    <w:rsid w:val="00BD30B8"/>
    <w:rsid w:val="00BE175A"/>
    <w:rsid w:val="00BE285B"/>
    <w:rsid w:val="00BE5119"/>
    <w:rsid w:val="00BE61FA"/>
    <w:rsid w:val="00BE7E8F"/>
    <w:rsid w:val="00C0721C"/>
    <w:rsid w:val="00C1059C"/>
    <w:rsid w:val="00C11C1C"/>
    <w:rsid w:val="00C14FB7"/>
    <w:rsid w:val="00C1588F"/>
    <w:rsid w:val="00C211EE"/>
    <w:rsid w:val="00C215A6"/>
    <w:rsid w:val="00C37F32"/>
    <w:rsid w:val="00C40830"/>
    <w:rsid w:val="00C43799"/>
    <w:rsid w:val="00C443A6"/>
    <w:rsid w:val="00C527DB"/>
    <w:rsid w:val="00C54E79"/>
    <w:rsid w:val="00C62D4D"/>
    <w:rsid w:val="00C62ED6"/>
    <w:rsid w:val="00C73855"/>
    <w:rsid w:val="00C827B1"/>
    <w:rsid w:val="00C86B86"/>
    <w:rsid w:val="00C8781A"/>
    <w:rsid w:val="00C92DAD"/>
    <w:rsid w:val="00C960AA"/>
    <w:rsid w:val="00CA6180"/>
    <w:rsid w:val="00CB0518"/>
    <w:rsid w:val="00CB6CA2"/>
    <w:rsid w:val="00CB739D"/>
    <w:rsid w:val="00CC5D2E"/>
    <w:rsid w:val="00CD1AE5"/>
    <w:rsid w:val="00CD4FDB"/>
    <w:rsid w:val="00CE0FF1"/>
    <w:rsid w:val="00CE1064"/>
    <w:rsid w:val="00CE5FBF"/>
    <w:rsid w:val="00CF3D8D"/>
    <w:rsid w:val="00CF46C5"/>
    <w:rsid w:val="00CF7746"/>
    <w:rsid w:val="00D1051A"/>
    <w:rsid w:val="00D11B0A"/>
    <w:rsid w:val="00D1587B"/>
    <w:rsid w:val="00D20CCC"/>
    <w:rsid w:val="00D4266B"/>
    <w:rsid w:val="00D54636"/>
    <w:rsid w:val="00D54642"/>
    <w:rsid w:val="00D569F8"/>
    <w:rsid w:val="00D67EF3"/>
    <w:rsid w:val="00D67F35"/>
    <w:rsid w:val="00D71033"/>
    <w:rsid w:val="00D73525"/>
    <w:rsid w:val="00D81156"/>
    <w:rsid w:val="00D86B6D"/>
    <w:rsid w:val="00D87330"/>
    <w:rsid w:val="00D91A98"/>
    <w:rsid w:val="00D92C8E"/>
    <w:rsid w:val="00D955CB"/>
    <w:rsid w:val="00DA612E"/>
    <w:rsid w:val="00DA6379"/>
    <w:rsid w:val="00DA687D"/>
    <w:rsid w:val="00DA7758"/>
    <w:rsid w:val="00DB0CAB"/>
    <w:rsid w:val="00DB4107"/>
    <w:rsid w:val="00DC084C"/>
    <w:rsid w:val="00DD108B"/>
    <w:rsid w:val="00DE426B"/>
    <w:rsid w:val="00DF2E1C"/>
    <w:rsid w:val="00E042AE"/>
    <w:rsid w:val="00E0542E"/>
    <w:rsid w:val="00E0654E"/>
    <w:rsid w:val="00E12174"/>
    <w:rsid w:val="00E16227"/>
    <w:rsid w:val="00E24915"/>
    <w:rsid w:val="00E33B53"/>
    <w:rsid w:val="00E3668D"/>
    <w:rsid w:val="00E40174"/>
    <w:rsid w:val="00E40F4D"/>
    <w:rsid w:val="00E41882"/>
    <w:rsid w:val="00E42511"/>
    <w:rsid w:val="00E43C52"/>
    <w:rsid w:val="00E45912"/>
    <w:rsid w:val="00E474AF"/>
    <w:rsid w:val="00E54A86"/>
    <w:rsid w:val="00E600A0"/>
    <w:rsid w:val="00E64BCB"/>
    <w:rsid w:val="00E7033E"/>
    <w:rsid w:val="00E722C8"/>
    <w:rsid w:val="00E766E5"/>
    <w:rsid w:val="00E800E8"/>
    <w:rsid w:val="00E83986"/>
    <w:rsid w:val="00E877DA"/>
    <w:rsid w:val="00E87DE3"/>
    <w:rsid w:val="00E9338A"/>
    <w:rsid w:val="00EA2E39"/>
    <w:rsid w:val="00EA4F51"/>
    <w:rsid w:val="00EB15D8"/>
    <w:rsid w:val="00EB25C4"/>
    <w:rsid w:val="00EB4E23"/>
    <w:rsid w:val="00EC3688"/>
    <w:rsid w:val="00EC46B6"/>
    <w:rsid w:val="00ED5285"/>
    <w:rsid w:val="00ED73BC"/>
    <w:rsid w:val="00EE0480"/>
    <w:rsid w:val="00EE3EB8"/>
    <w:rsid w:val="00EF046A"/>
    <w:rsid w:val="00EF4323"/>
    <w:rsid w:val="00EF4806"/>
    <w:rsid w:val="00EF7937"/>
    <w:rsid w:val="00F036A8"/>
    <w:rsid w:val="00F11BAE"/>
    <w:rsid w:val="00F15391"/>
    <w:rsid w:val="00F17E00"/>
    <w:rsid w:val="00F23C0C"/>
    <w:rsid w:val="00F312CA"/>
    <w:rsid w:val="00F3676E"/>
    <w:rsid w:val="00F47E5E"/>
    <w:rsid w:val="00F51B29"/>
    <w:rsid w:val="00F57AC2"/>
    <w:rsid w:val="00F61F64"/>
    <w:rsid w:val="00F77582"/>
    <w:rsid w:val="00F97428"/>
    <w:rsid w:val="00FA78CF"/>
    <w:rsid w:val="00FB0556"/>
    <w:rsid w:val="00FB4768"/>
    <w:rsid w:val="00FC0AA9"/>
    <w:rsid w:val="00FC4C4A"/>
    <w:rsid w:val="00FE1EF2"/>
    <w:rsid w:val="00FE3A0D"/>
    <w:rsid w:val="00FE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DF81CC1"/>
  <w15:docId w15:val="{4491C5C9-186A-4826-BE60-E33D50B0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76"/>
    <w:rPr>
      <w:sz w:val="24"/>
      <w:szCs w:val="24"/>
      <w:lang w:eastAsia="en-US"/>
    </w:rPr>
  </w:style>
  <w:style w:type="paragraph" w:styleId="Heading1">
    <w:name w:val="heading 1"/>
    <w:basedOn w:val="Normal"/>
    <w:next w:val="Normal"/>
    <w:link w:val="Heading1Char"/>
    <w:uiPriority w:val="9"/>
    <w:qFormat/>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uiPriority w:val="9"/>
    <w:qFormat/>
    <w:rsid w:val="008350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835011"/>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835011"/>
    <w:pPr>
      <w:numPr>
        <w:ilvl w:val="6"/>
        <w:numId w:val="1"/>
      </w:numPr>
      <w:spacing w:before="240" w:after="60"/>
      <w:outlineLvl w:val="6"/>
    </w:pPr>
  </w:style>
  <w:style w:type="paragraph" w:styleId="Heading8">
    <w:name w:val="heading 8"/>
    <w:basedOn w:val="Normal"/>
    <w:next w:val="Normal"/>
    <w:link w:val="Heading8Char"/>
    <w:uiPriority w:val="9"/>
    <w:qFormat/>
    <w:rsid w:val="00835011"/>
    <w:pPr>
      <w:numPr>
        <w:ilvl w:val="7"/>
        <w:numId w:val="1"/>
      </w:numPr>
      <w:spacing w:before="240" w:after="60"/>
      <w:outlineLvl w:val="7"/>
    </w:pPr>
    <w:rPr>
      <w:i/>
      <w:iCs/>
    </w:rPr>
  </w:style>
  <w:style w:type="paragraph" w:styleId="Heading9">
    <w:name w:val="heading 9"/>
    <w:basedOn w:val="Normal"/>
    <w:next w:val="Normal"/>
    <w:uiPriority w:val="9"/>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qFormat/>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paragraph" w:styleId="FootnoteText">
    <w:name w:val="footnote text"/>
    <w:basedOn w:val="Normal"/>
    <w:next w:val="Normal"/>
    <w:link w:val="FootnoteTextChar"/>
    <w:semiHidden/>
    <w:rsid w:val="0030197E"/>
    <w:pPr>
      <w:spacing w:line="180" w:lineRule="exact"/>
      <w:ind w:left="340" w:hanging="340"/>
      <w:jc w:val="both"/>
    </w:pPr>
    <w:rPr>
      <w:sz w:val="16"/>
      <w:szCs w:val="20"/>
    </w:rPr>
  </w:style>
  <w:style w:type="character" w:customStyle="1" w:styleId="FootnoteTextChar">
    <w:name w:val="Footnote Text Char"/>
    <w:basedOn w:val="DefaultParagraphFont"/>
    <w:link w:val="FootnoteText"/>
    <w:semiHidden/>
    <w:rsid w:val="0030197E"/>
    <w:rPr>
      <w:sz w:val="16"/>
      <w:lang w:eastAsia="en-US"/>
    </w:rPr>
  </w:style>
  <w:style w:type="character" w:styleId="FootnoteReference">
    <w:name w:val="footnote reference"/>
    <w:semiHidden/>
    <w:rsid w:val="0030197E"/>
    <w:rPr>
      <w:rFonts w:ascii="Times New Roman" w:hAnsi="Times New Roman"/>
      <w:b/>
      <w:vertAlign w:val="baseline"/>
    </w:rPr>
  </w:style>
  <w:style w:type="paragraph" w:customStyle="1" w:styleId="T1">
    <w:name w:val="T1"/>
    <w:basedOn w:val="Normal"/>
    <w:rsid w:val="0086715B"/>
    <w:pPr>
      <w:spacing w:before="160" w:line="220" w:lineRule="atLeast"/>
      <w:jc w:val="both"/>
    </w:pPr>
    <w:rPr>
      <w:sz w:val="21"/>
      <w:szCs w:val="20"/>
    </w:rPr>
  </w:style>
  <w:style w:type="character" w:styleId="CommentReference">
    <w:name w:val="annotation reference"/>
    <w:basedOn w:val="DefaultParagraphFont"/>
    <w:uiPriority w:val="99"/>
    <w:semiHidden/>
    <w:unhideWhenUsed/>
    <w:rsid w:val="004C032B"/>
    <w:rPr>
      <w:sz w:val="16"/>
      <w:szCs w:val="16"/>
    </w:rPr>
  </w:style>
  <w:style w:type="paragraph" w:styleId="CommentText">
    <w:name w:val="annotation text"/>
    <w:basedOn w:val="Normal"/>
    <w:link w:val="CommentTextChar"/>
    <w:uiPriority w:val="99"/>
    <w:semiHidden/>
    <w:unhideWhenUsed/>
    <w:rsid w:val="004C032B"/>
    <w:rPr>
      <w:sz w:val="20"/>
      <w:szCs w:val="20"/>
    </w:rPr>
  </w:style>
  <w:style w:type="character" w:customStyle="1" w:styleId="CommentTextChar">
    <w:name w:val="Comment Text Char"/>
    <w:basedOn w:val="DefaultParagraphFont"/>
    <w:link w:val="CommentText"/>
    <w:uiPriority w:val="99"/>
    <w:semiHidden/>
    <w:rsid w:val="004C032B"/>
    <w:rPr>
      <w:lang w:eastAsia="en-US"/>
    </w:rPr>
  </w:style>
  <w:style w:type="paragraph" w:styleId="CommentSubject">
    <w:name w:val="annotation subject"/>
    <w:basedOn w:val="CommentText"/>
    <w:next w:val="CommentText"/>
    <w:link w:val="CommentSubjectChar"/>
    <w:semiHidden/>
    <w:unhideWhenUsed/>
    <w:rsid w:val="004C032B"/>
    <w:rPr>
      <w:b/>
      <w:bCs/>
    </w:rPr>
  </w:style>
  <w:style w:type="character" w:customStyle="1" w:styleId="CommentSubjectChar">
    <w:name w:val="Comment Subject Char"/>
    <w:basedOn w:val="CommentTextChar"/>
    <w:link w:val="CommentSubject"/>
    <w:semiHidden/>
    <w:rsid w:val="004C032B"/>
    <w:rPr>
      <w:b/>
      <w:bCs/>
      <w:lang w:eastAsia="en-US"/>
    </w:rPr>
  </w:style>
  <w:style w:type="paragraph" w:customStyle="1" w:styleId="H1">
    <w:name w:val="H1"/>
    <w:basedOn w:val="Normal"/>
    <w:next w:val="Normal"/>
    <w:rsid w:val="003260BA"/>
    <w:pPr>
      <w:keepNext/>
      <w:spacing w:before="320" w:line="220" w:lineRule="atLeast"/>
      <w:jc w:val="both"/>
    </w:pPr>
    <w:rPr>
      <w:b/>
      <w:sz w:val="21"/>
      <w:szCs w:val="20"/>
    </w:rPr>
  </w:style>
  <w:style w:type="character" w:customStyle="1" w:styleId="Heading1Char">
    <w:name w:val="Heading 1 Char"/>
    <w:basedOn w:val="DefaultParagraphFont"/>
    <w:link w:val="Heading1"/>
    <w:uiPriority w:val="9"/>
    <w:rsid w:val="004024C2"/>
    <w:rPr>
      <w:rFonts w:ascii="Arial" w:hAnsi="Arial" w:cs="Arial"/>
      <w:b/>
      <w:bCs/>
      <w:kern w:val="32"/>
      <w:sz w:val="32"/>
      <w:szCs w:val="32"/>
      <w:lang w:eastAsia="en-US"/>
    </w:rPr>
  </w:style>
  <w:style w:type="character" w:customStyle="1" w:styleId="Heading2Char">
    <w:name w:val="Heading 2 Char"/>
    <w:link w:val="Heading2"/>
    <w:uiPriority w:val="9"/>
    <w:rsid w:val="00BC120B"/>
    <w:rPr>
      <w:rFonts w:ascii="Arial" w:hAnsi="Arial" w:cs="Arial"/>
      <w:b/>
      <w:bCs/>
      <w:i/>
      <w:iCs/>
      <w:sz w:val="28"/>
      <w:szCs w:val="28"/>
      <w:lang w:eastAsia="en-US"/>
    </w:rPr>
  </w:style>
  <w:style w:type="paragraph" w:styleId="ListParagraph">
    <w:name w:val="List Paragraph"/>
    <w:basedOn w:val="Normal"/>
    <w:uiPriority w:val="72"/>
    <w:rsid w:val="00237212"/>
    <w:pPr>
      <w:ind w:left="720"/>
      <w:contextualSpacing/>
    </w:pPr>
  </w:style>
  <w:style w:type="character" w:customStyle="1" w:styleId="Heading8Char">
    <w:name w:val="Heading 8 Char"/>
    <w:basedOn w:val="DefaultParagraphFont"/>
    <w:link w:val="Heading8"/>
    <w:uiPriority w:val="9"/>
    <w:rsid w:val="00A23BCD"/>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1804">
      <w:bodyDiv w:val="1"/>
      <w:marLeft w:val="0"/>
      <w:marRight w:val="0"/>
      <w:marTop w:val="0"/>
      <w:marBottom w:val="0"/>
      <w:divBdr>
        <w:top w:val="none" w:sz="0" w:space="0" w:color="auto"/>
        <w:left w:val="none" w:sz="0" w:space="0" w:color="auto"/>
        <w:bottom w:val="none" w:sz="0" w:space="0" w:color="auto"/>
        <w:right w:val="none" w:sz="0" w:space="0" w:color="auto"/>
      </w:divBdr>
    </w:div>
    <w:div w:id="241111921">
      <w:bodyDiv w:val="1"/>
      <w:marLeft w:val="0"/>
      <w:marRight w:val="0"/>
      <w:marTop w:val="0"/>
      <w:marBottom w:val="0"/>
      <w:divBdr>
        <w:top w:val="none" w:sz="0" w:space="0" w:color="auto"/>
        <w:left w:val="none" w:sz="0" w:space="0" w:color="auto"/>
        <w:bottom w:val="none" w:sz="0" w:space="0" w:color="auto"/>
        <w:right w:val="none" w:sz="0" w:space="0" w:color="auto"/>
      </w:divBdr>
    </w:div>
    <w:div w:id="315107568">
      <w:bodyDiv w:val="1"/>
      <w:marLeft w:val="0"/>
      <w:marRight w:val="0"/>
      <w:marTop w:val="0"/>
      <w:marBottom w:val="0"/>
      <w:divBdr>
        <w:top w:val="none" w:sz="0" w:space="0" w:color="auto"/>
        <w:left w:val="none" w:sz="0" w:space="0" w:color="auto"/>
        <w:bottom w:val="none" w:sz="0" w:space="0" w:color="auto"/>
        <w:right w:val="none" w:sz="0" w:space="0" w:color="auto"/>
      </w:divBdr>
    </w:div>
    <w:div w:id="523249869">
      <w:bodyDiv w:val="1"/>
      <w:marLeft w:val="0"/>
      <w:marRight w:val="0"/>
      <w:marTop w:val="0"/>
      <w:marBottom w:val="0"/>
      <w:divBdr>
        <w:top w:val="none" w:sz="0" w:space="0" w:color="auto"/>
        <w:left w:val="none" w:sz="0" w:space="0" w:color="auto"/>
        <w:bottom w:val="none" w:sz="0" w:space="0" w:color="auto"/>
        <w:right w:val="none" w:sz="0" w:space="0" w:color="auto"/>
      </w:divBdr>
    </w:div>
    <w:div w:id="535116936">
      <w:bodyDiv w:val="1"/>
      <w:marLeft w:val="0"/>
      <w:marRight w:val="0"/>
      <w:marTop w:val="0"/>
      <w:marBottom w:val="0"/>
      <w:divBdr>
        <w:top w:val="none" w:sz="0" w:space="0" w:color="auto"/>
        <w:left w:val="none" w:sz="0" w:space="0" w:color="auto"/>
        <w:bottom w:val="none" w:sz="0" w:space="0" w:color="auto"/>
        <w:right w:val="none" w:sz="0" w:space="0" w:color="auto"/>
      </w:divBdr>
    </w:div>
    <w:div w:id="769400778">
      <w:bodyDiv w:val="1"/>
      <w:marLeft w:val="0"/>
      <w:marRight w:val="0"/>
      <w:marTop w:val="0"/>
      <w:marBottom w:val="0"/>
      <w:divBdr>
        <w:top w:val="none" w:sz="0" w:space="0" w:color="auto"/>
        <w:left w:val="none" w:sz="0" w:space="0" w:color="auto"/>
        <w:bottom w:val="none" w:sz="0" w:space="0" w:color="auto"/>
        <w:right w:val="none" w:sz="0" w:space="0" w:color="auto"/>
      </w:divBdr>
    </w:div>
    <w:div w:id="868183610">
      <w:bodyDiv w:val="1"/>
      <w:marLeft w:val="0"/>
      <w:marRight w:val="0"/>
      <w:marTop w:val="0"/>
      <w:marBottom w:val="0"/>
      <w:divBdr>
        <w:top w:val="none" w:sz="0" w:space="0" w:color="auto"/>
        <w:left w:val="none" w:sz="0" w:space="0" w:color="auto"/>
        <w:bottom w:val="none" w:sz="0" w:space="0" w:color="auto"/>
        <w:right w:val="none" w:sz="0" w:space="0" w:color="auto"/>
      </w:divBdr>
    </w:div>
    <w:div w:id="878394953">
      <w:bodyDiv w:val="1"/>
      <w:marLeft w:val="0"/>
      <w:marRight w:val="0"/>
      <w:marTop w:val="0"/>
      <w:marBottom w:val="0"/>
      <w:divBdr>
        <w:top w:val="none" w:sz="0" w:space="0" w:color="auto"/>
        <w:left w:val="none" w:sz="0" w:space="0" w:color="auto"/>
        <w:bottom w:val="none" w:sz="0" w:space="0" w:color="auto"/>
        <w:right w:val="none" w:sz="0" w:space="0" w:color="auto"/>
      </w:divBdr>
    </w:div>
    <w:div w:id="1050378060">
      <w:bodyDiv w:val="1"/>
      <w:marLeft w:val="0"/>
      <w:marRight w:val="0"/>
      <w:marTop w:val="0"/>
      <w:marBottom w:val="0"/>
      <w:divBdr>
        <w:top w:val="none" w:sz="0" w:space="0" w:color="auto"/>
        <w:left w:val="none" w:sz="0" w:space="0" w:color="auto"/>
        <w:bottom w:val="none" w:sz="0" w:space="0" w:color="auto"/>
        <w:right w:val="none" w:sz="0" w:space="0" w:color="auto"/>
      </w:divBdr>
    </w:div>
    <w:div w:id="1072659671">
      <w:bodyDiv w:val="1"/>
      <w:marLeft w:val="0"/>
      <w:marRight w:val="0"/>
      <w:marTop w:val="0"/>
      <w:marBottom w:val="0"/>
      <w:divBdr>
        <w:top w:val="none" w:sz="0" w:space="0" w:color="auto"/>
        <w:left w:val="none" w:sz="0" w:space="0" w:color="auto"/>
        <w:bottom w:val="none" w:sz="0" w:space="0" w:color="auto"/>
        <w:right w:val="none" w:sz="0" w:space="0" w:color="auto"/>
      </w:divBdr>
    </w:div>
    <w:div w:id="1121151849">
      <w:bodyDiv w:val="1"/>
      <w:marLeft w:val="0"/>
      <w:marRight w:val="0"/>
      <w:marTop w:val="0"/>
      <w:marBottom w:val="0"/>
      <w:divBdr>
        <w:top w:val="none" w:sz="0" w:space="0" w:color="auto"/>
        <w:left w:val="none" w:sz="0" w:space="0" w:color="auto"/>
        <w:bottom w:val="none" w:sz="0" w:space="0" w:color="auto"/>
        <w:right w:val="none" w:sz="0" w:space="0" w:color="auto"/>
      </w:divBdr>
    </w:div>
    <w:div w:id="1167206330">
      <w:bodyDiv w:val="1"/>
      <w:marLeft w:val="0"/>
      <w:marRight w:val="0"/>
      <w:marTop w:val="0"/>
      <w:marBottom w:val="0"/>
      <w:divBdr>
        <w:top w:val="none" w:sz="0" w:space="0" w:color="auto"/>
        <w:left w:val="none" w:sz="0" w:space="0" w:color="auto"/>
        <w:bottom w:val="none" w:sz="0" w:space="0" w:color="auto"/>
        <w:right w:val="none" w:sz="0" w:space="0" w:color="auto"/>
      </w:divBdr>
      <w:divsChild>
        <w:div w:id="804465132">
          <w:marLeft w:val="0"/>
          <w:marRight w:val="0"/>
          <w:marTop w:val="0"/>
          <w:marBottom w:val="0"/>
          <w:divBdr>
            <w:top w:val="none" w:sz="0" w:space="0" w:color="auto"/>
            <w:left w:val="none" w:sz="0" w:space="0" w:color="auto"/>
            <w:bottom w:val="none" w:sz="0" w:space="0" w:color="auto"/>
            <w:right w:val="none" w:sz="0" w:space="0" w:color="auto"/>
          </w:divBdr>
        </w:div>
      </w:divsChild>
    </w:div>
    <w:div w:id="1271738441">
      <w:bodyDiv w:val="1"/>
      <w:marLeft w:val="0"/>
      <w:marRight w:val="0"/>
      <w:marTop w:val="0"/>
      <w:marBottom w:val="0"/>
      <w:divBdr>
        <w:top w:val="none" w:sz="0" w:space="0" w:color="auto"/>
        <w:left w:val="none" w:sz="0" w:space="0" w:color="auto"/>
        <w:bottom w:val="none" w:sz="0" w:space="0" w:color="auto"/>
        <w:right w:val="none" w:sz="0" w:space="0" w:color="auto"/>
      </w:divBdr>
    </w:div>
    <w:div w:id="1515143764">
      <w:bodyDiv w:val="1"/>
      <w:marLeft w:val="0"/>
      <w:marRight w:val="0"/>
      <w:marTop w:val="0"/>
      <w:marBottom w:val="0"/>
      <w:divBdr>
        <w:top w:val="none" w:sz="0" w:space="0" w:color="auto"/>
        <w:left w:val="none" w:sz="0" w:space="0" w:color="auto"/>
        <w:bottom w:val="none" w:sz="0" w:space="0" w:color="auto"/>
        <w:right w:val="none" w:sz="0" w:space="0" w:color="auto"/>
      </w:divBdr>
    </w:div>
    <w:div w:id="1829788164">
      <w:bodyDiv w:val="1"/>
      <w:marLeft w:val="0"/>
      <w:marRight w:val="0"/>
      <w:marTop w:val="0"/>
      <w:marBottom w:val="0"/>
      <w:divBdr>
        <w:top w:val="none" w:sz="0" w:space="0" w:color="auto"/>
        <w:left w:val="none" w:sz="0" w:space="0" w:color="auto"/>
        <w:bottom w:val="none" w:sz="0" w:space="0" w:color="auto"/>
        <w:right w:val="none" w:sz="0" w:space="0" w:color="auto"/>
      </w:divBdr>
    </w:div>
    <w:div w:id="201892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FDA920388E64092B4F540033F5C43" ma:contentTypeVersion="0" ma:contentTypeDescription="Create a new document." ma:contentTypeScope="" ma:versionID="043cb5af9710494cd94ac7dc896736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EB20-4F81-4373-A727-B18976B62E45}">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8C3AE2-C13C-48A7-BA3E-68FDA2C7BDFF}">
  <ds:schemaRefs>
    <ds:schemaRef ds:uri="http://schemas.microsoft.com/sharepoint/v3/contenttype/forms"/>
  </ds:schemaRefs>
</ds:datastoreItem>
</file>

<file path=customXml/itemProps3.xml><?xml version="1.0" encoding="utf-8"?>
<ds:datastoreItem xmlns:ds="http://schemas.openxmlformats.org/officeDocument/2006/customXml" ds:itemID="{B13A5198-135B-4375-AB08-6B6B07E5A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0CA74B-92A7-4705-8ACC-C9CE6C1D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M991894</dc:creator>
  <cp:keywords/>
  <cp:lastModifiedBy>Featherstone, Peter</cp:lastModifiedBy>
  <cp:revision>2</cp:revision>
  <cp:lastPrinted>2019-05-02T13:02:00Z</cp:lastPrinted>
  <dcterms:created xsi:type="dcterms:W3CDTF">2019-05-29T10:13:00Z</dcterms:created>
  <dcterms:modified xsi:type="dcterms:W3CDTF">2019-05-29T10:13:00Z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0x010100E41FDA920388E64092B4F540033F5C43</vt:lpwstr>
  </property>
  <property fmtid="{D5CDD505-2E9C-101B-9397-08002B2CF9AE}" pid="3" name="Directorate">
    <vt:lpwstr/>
  </property>
  <property fmtid="{D5CDD505-2E9C-101B-9397-08002B2CF9AE}" pid="4" name="SecurityClassification">
    <vt:lpwstr/>
  </property>
</Properties>
</file>