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B830" w14:textId="77777777" w:rsidR="007A4178" w:rsidRDefault="007A4178" w:rsidP="007A4178">
      <w:pPr>
        <w:rPr>
          <w:rFonts w:ascii="Georgia" w:hAnsi="Georgia"/>
          <w:b/>
          <w:sz w:val="24"/>
          <w:szCs w:val="24"/>
          <w:u w:val="single"/>
        </w:rPr>
      </w:pPr>
    </w:p>
    <w:p w14:paraId="1B03F9E8" w14:textId="77777777" w:rsidR="007A4178" w:rsidRDefault="007A4178" w:rsidP="007A4178">
      <w:pPr>
        <w:rPr>
          <w:rFonts w:ascii="Georgia" w:hAnsi="Georgia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4"/>
        <w:gridCol w:w="703"/>
        <w:gridCol w:w="5209"/>
      </w:tblGrid>
      <w:tr w:rsidR="007A4178" w:rsidRPr="006738EC" w14:paraId="2837C7B9" w14:textId="77777777" w:rsidTr="007A4178">
        <w:trPr>
          <w:trHeight w:val="1008"/>
        </w:trPr>
        <w:tc>
          <w:tcPr>
            <w:tcW w:w="3114" w:type="dxa"/>
            <w:vAlign w:val="center"/>
          </w:tcPr>
          <w:p w14:paraId="0297056A" w14:textId="77777777" w:rsidR="007A4178" w:rsidRPr="006738EC" w:rsidRDefault="007A4178" w:rsidP="0066251A">
            <w:pPr>
              <w:tabs>
                <w:tab w:val="left" w:pos="2880"/>
              </w:tabs>
              <w:spacing w:before="240" w:after="240"/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/>
                <w:noProof/>
              </w:rPr>
              <w:drawing>
                <wp:inline distT="0" distB="0" distL="0" distR="0" wp14:anchorId="453656A5" wp14:editId="50A6BF59">
                  <wp:extent cx="914400" cy="773430"/>
                  <wp:effectExtent l="0" t="0" r="0" b="762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vAlign w:val="center"/>
          </w:tcPr>
          <w:p w14:paraId="76B75599" w14:textId="77777777" w:rsidR="007A4178" w:rsidRPr="006738EC" w:rsidRDefault="007A4178" w:rsidP="0066251A">
            <w:pPr>
              <w:tabs>
                <w:tab w:val="left" w:pos="2880"/>
              </w:tabs>
              <w:spacing w:before="240" w:after="240"/>
              <w:rPr>
                <w:rFonts w:ascii="Georgia" w:hAnsi="Georgia" w:cs="Arial"/>
                <w:b/>
                <w:bCs/>
              </w:rPr>
            </w:pPr>
          </w:p>
        </w:tc>
        <w:tc>
          <w:tcPr>
            <w:tcW w:w="5209" w:type="dxa"/>
            <w:vAlign w:val="center"/>
          </w:tcPr>
          <w:p w14:paraId="725BC139" w14:textId="77777777" w:rsidR="007A4178" w:rsidRPr="006738EC" w:rsidRDefault="007A4178" w:rsidP="0066251A">
            <w:pPr>
              <w:pStyle w:val="Title"/>
              <w:ind w:left="3600" w:hanging="3600"/>
              <w:jc w:val="left"/>
              <w:rPr>
                <w:rFonts w:ascii="Georgia" w:hAnsi="Georgia"/>
              </w:rPr>
            </w:pPr>
            <w:r w:rsidRPr="006738EC">
              <w:rPr>
                <w:rFonts w:ascii="Georgia" w:hAnsi="Georgia"/>
                <w:sz w:val="24"/>
              </w:rPr>
              <w:t>FIRST-TIER TRIBUNAL</w:t>
            </w:r>
          </w:p>
          <w:p w14:paraId="4510952D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/>
                <w:b/>
              </w:rPr>
              <w:t>PROPERTY CHAMBER (RESIDENTIAL PROPERTY)</w:t>
            </w:r>
          </w:p>
        </w:tc>
      </w:tr>
      <w:tr w:rsidR="007A4178" w:rsidRPr="006738EC" w14:paraId="253AE458" w14:textId="77777777" w:rsidTr="007A4178">
        <w:tc>
          <w:tcPr>
            <w:tcW w:w="3114" w:type="dxa"/>
            <w:vAlign w:val="center"/>
          </w:tcPr>
          <w:p w14:paraId="7EF5DF04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Case reference</w:t>
            </w:r>
          </w:p>
        </w:tc>
        <w:tc>
          <w:tcPr>
            <w:tcW w:w="703" w:type="dxa"/>
            <w:vAlign w:val="center"/>
          </w:tcPr>
          <w:p w14:paraId="3979A25A" w14:textId="77777777" w:rsidR="007A4178" w:rsidRPr="006738EC" w:rsidRDefault="007A4178" w:rsidP="0066251A">
            <w:pPr>
              <w:tabs>
                <w:tab w:val="left" w:pos="2880"/>
              </w:tabs>
              <w:spacing w:before="240" w:after="240"/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:</w:t>
            </w:r>
          </w:p>
        </w:tc>
        <w:tc>
          <w:tcPr>
            <w:tcW w:w="5209" w:type="dxa"/>
            <w:vAlign w:val="center"/>
          </w:tcPr>
          <w:p w14:paraId="0A5620F4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LON/00</w:t>
            </w:r>
            <w:r>
              <w:rPr>
                <w:rFonts w:ascii="Georgia" w:hAnsi="Georgia" w:cs="Arial"/>
                <w:b/>
                <w:bCs/>
              </w:rPr>
              <w:t>AZ/LDC/2019/0045</w:t>
            </w:r>
          </w:p>
        </w:tc>
        <w:bookmarkStart w:id="0" w:name="_GoBack"/>
        <w:bookmarkEnd w:id="0"/>
      </w:tr>
      <w:tr w:rsidR="007A4178" w:rsidRPr="006738EC" w14:paraId="2DD3234C" w14:textId="77777777" w:rsidTr="007A4178">
        <w:tc>
          <w:tcPr>
            <w:tcW w:w="3114" w:type="dxa"/>
            <w:vAlign w:val="center"/>
          </w:tcPr>
          <w:p w14:paraId="5F56C42E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Property</w:t>
            </w:r>
          </w:p>
        </w:tc>
        <w:tc>
          <w:tcPr>
            <w:tcW w:w="703" w:type="dxa"/>
            <w:vAlign w:val="center"/>
          </w:tcPr>
          <w:p w14:paraId="1EB10C1A" w14:textId="77777777" w:rsidR="007A4178" w:rsidRPr="006738EC" w:rsidRDefault="007A4178" w:rsidP="0066251A">
            <w:pPr>
              <w:tabs>
                <w:tab w:val="left" w:pos="2880"/>
              </w:tabs>
              <w:spacing w:before="240" w:after="240"/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:</w:t>
            </w:r>
          </w:p>
        </w:tc>
        <w:tc>
          <w:tcPr>
            <w:tcW w:w="5209" w:type="dxa"/>
            <w:vAlign w:val="center"/>
          </w:tcPr>
          <w:p w14:paraId="092A10CC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108 Burnt Ash Road, London SDE12 8PU</w:t>
            </w:r>
          </w:p>
        </w:tc>
      </w:tr>
      <w:tr w:rsidR="007A4178" w:rsidRPr="006738EC" w14:paraId="42123CAF" w14:textId="77777777" w:rsidTr="007A4178">
        <w:tc>
          <w:tcPr>
            <w:tcW w:w="3114" w:type="dxa"/>
            <w:vAlign w:val="center"/>
          </w:tcPr>
          <w:p w14:paraId="17FDF580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Applicant</w:t>
            </w:r>
          </w:p>
        </w:tc>
        <w:tc>
          <w:tcPr>
            <w:tcW w:w="703" w:type="dxa"/>
            <w:vAlign w:val="center"/>
          </w:tcPr>
          <w:p w14:paraId="04BFEFA4" w14:textId="77777777" w:rsidR="007A4178" w:rsidRPr="006738EC" w:rsidRDefault="007A4178" w:rsidP="0066251A">
            <w:pPr>
              <w:tabs>
                <w:tab w:val="left" w:pos="2880"/>
              </w:tabs>
              <w:spacing w:before="240" w:after="240"/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:</w:t>
            </w:r>
          </w:p>
        </w:tc>
        <w:tc>
          <w:tcPr>
            <w:tcW w:w="5209" w:type="dxa"/>
            <w:vAlign w:val="center"/>
          </w:tcPr>
          <w:p w14:paraId="52592CA3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AM Investments Ltd</w:t>
            </w:r>
          </w:p>
        </w:tc>
      </w:tr>
      <w:tr w:rsidR="007A4178" w:rsidRPr="006738EC" w14:paraId="6F902CC3" w14:textId="77777777" w:rsidTr="007A4178">
        <w:tc>
          <w:tcPr>
            <w:tcW w:w="3114" w:type="dxa"/>
            <w:vAlign w:val="center"/>
          </w:tcPr>
          <w:p w14:paraId="50AEECC0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Representative</w:t>
            </w:r>
          </w:p>
        </w:tc>
        <w:tc>
          <w:tcPr>
            <w:tcW w:w="703" w:type="dxa"/>
            <w:vAlign w:val="center"/>
          </w:tcPr>
          <w:p w14:paraId="61BD6028" w14:textId="77777777" w:rsidR="007A4178" w:rsidRPr="006738EC" w:rsidRDefault="007A4178" w:rsidP="0066251A">
            <w:pPr>
              <w:tabs>
                <w:tab w:val="left" w:pos="2880"/>
              </w:tabs>
              <w:spacing w:before="240" w:after="240"/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:</w:t>
            </w:r>
          </w:p>
        </w:tc>
        <w:tc>
          <w:tcPr>
            <w:tcW w:w="5209" w:type="dxa"/>
            <w:vAlign w:val="center"/>
          </w:tcPr>
          <w:p w14:paraId="391ED9A4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 xml:space="preserve">Hindwoods Ltd chartered surveyors </w:t>
            </w:r>
          </w:p>
        </w:tc>
      </w:tr>
      <w:tr w:rsidR="007A4178" w:rsidRPr="006738EC" w14:paraId="2E44CE4E" w14:textId="77777777" w:rsidTr="007A4178">
        <w:tc>
          <w:tcPr>
            <w:tcW w:w="3114" w:type="dxa"/>
            <w:vAlign w:val="center"/>
          </w:tcPr>
          <w:p w14:paraId="091219EC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Respondent</w:t>
            </w:r>
            <w:r>
              <w:rPr>
                <w:rFonts w:ascii="Georgia" w:hAnsi="Georgia" w:cs="Arial"/>
                <w:b/>
                <w:bCs/>
              </w:rPr>
              <w:t>s</w:t>
            </w:r>
          </w:p>
        </w:tc>
        <w:tc>
          <w:tcPr>
            <w:tcW w:w="703" w:type="dxa"/>
            <w:vAlign w:val="center"/>
          </w:tcPr>
          <w:p w14:paraId="16792790" w14:textId="77777777" w:rsidR="007A4178" w:rsidRPr="006738EC" w:rsidRDefault="007A4178" w:rsidP="0066251A">
            <w:pPr>
              <w:tabs>
                <w:tab w:val="left" w:pos="2880"/>
              </w:tabs>
              <w:spacing w:before="240" w:after="240"/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:</w:t>
            </w:r>
          </w:p>
        </w:tc>
        <w:tc>
          <w:tcPr>
            <w:tcW w:w="5209" w:type="dxa"/>
            <w:vAlign w:val="center"/>
          </w:tcPr>
          <w:p w14:paraId="40EF74F6" w14:textId="77777777" w:rsidR="007A4178" w:rsidRDefault="007A4178" w:rsidP="007A4178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The lessees</w:t>
            </w:r>
          </w:p>
          <w:p w14:paraId="3D66DD4E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 xml:space="preserve"> </w:t>
            </w:r>
          </w:p>
        </w:tc>
      </w:tr>
      <w:tr w:rsidR="007A4178" w:rsidRPr="006738EC" w14:paraId="1CC52274" w14:textId="77777777" w:rsidTr="007A4178">
        <w:tc>
          <w:tcPr>
            <w:tcW w:w="3114" w:type="dxa"/>
            <w:vAlign w:val="center"/>
          </w:tcPr>
          <w:p w14:paraId="20AB5F6E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Type of application</w:t>
            </w:r>
          </w:p>
        </w:tc>
        <w:tc>
          <w:tcPr>
            <w:tcW w:w="703" w:type="dxa"/>
            <w:vAlign w:val="center"/>
          </w:tcPr>
          <w:p w14:paraId="6978B150" w14:textId="77777777" w:rsidR="007A4178" w:rsidRPr="006738EC" w:rsidRDefault="007A4178" w:rsidP="0066251A">
            <w:pPr>
              <w:tabs>
                <w:tab w:val="left" w:pos="2880"/>
              </w:tabs>
              <w:spacing w:before="240" w:after="240"/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:</w:t>
            </w:r>
          </w:p>
        </w:tc>
        <w:tc>
          <w:tcPr>
            <w:tcW w:w="5209" w:type="dxa"/>
            <w:vAlign w:val="center"/>
          </w:tcPr>
          <w:p w14:paraId="5637264C" w14:textId="77777777" w:rsidR="007A4178" w:rsidRPr="006738EC" w:rsidRDefault="007A4178" w:rsidP="007A4178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To dispense with the consultation requirements under s.20(ZA) of the Landlord and Tenant Act 1985</w:t>
            </w:r>
          </w:p>
        </w:tc>
      </w:tr>
      <w:tr w:rsidR="007A4178" w:rsidRPr="006738EC" w14:paraId="01FF1E9F" w14:textId="77777777" w:rsidTr="007A4178">
        <w:tc>
          <w:tcPr>
            <w:tcW w:w="3114" w:type="dxa"/>
            <w:vAlign w:val="center"/>
          </w:tcPr>
          <w:p w14:paraId="51C784BF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Tribunal member(s)</w:t>
            </w:r>
          </w:p>
        </w:tc>
        <w:tc>
          <w:tcPr>
            <w:tcW w:w="703" w:type="dxa"/>
            <w:vAlign w:val="center"/>
          </w:tcPr>
          <w:p w14:paraId="6E3C6D99" w14:textId="77777777" w:rsidR="007A4178" w:rsidRPr="006738EC" w:rsidRDefault="007A4178" w:rsidP="0066251A">
            <w:pPr>
              <w:tabs>
                <w:tab w:val="left" w:pos="2880"/>
              </w:tabs>
              <w:spacing w:before="240" w:after="240"/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:</w:t>
            </w:r>
          </w:p>
        </w:tc>
        <w:tc>
          <w:tcPr>
            <w:tcW w:w="5209" w:type="dxa"/>
            <w:vAlign w:val="center"/>
          </w:tcPr>
          <w:p w14:paraId="1F457B19" w14:textId="77777777" w:rsidR="007A4178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Simon Brilliant</w:t>
            </w:r>
          </w:p>
          <w:p w14:paraId="479032F1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Hugh Geddes</w:t>
            </w:r>
          </w:p>
        </w:tc>
      </w:tr>
      <w:tr w:rsidR="007A4178" w:rsidRPr="006738EC" w14:paraId="34C124FC" w14:textId="77777777" w:rsidTr="007A4178">
        <w:tc>
          <w:tcPr>
            <w:tcW w:w="3114" w:type="dxa"/>
            <w:vAlign w:val="center"/>
          </w:tcPr>
          <w:p w14:paraId="33466FC9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Venue</w:t>
            </w:r>
          </w:p>
        </w:tc>
        <w:tc>
          <w:tcPr>
            <w:tcW w:w="703" w:type="dxa"/>
            <w:vAlign w:val="center"/>
          </w:tcPr>
          <w:p w14:paraId="303B4A70" w14:textId="77777777" w:rsidR="007A4178" w:rsidRPr="006738EC" w:rsidRDefault="007A4178" w:rsidP="0066251A">
            <w:pPr>
              <w:tabs>
                <w:tab w:val="left" w:pos="2880"/>
              </w:tabs>
              <w:spacing w:before="240" w:after="240"/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:</w:t>
            </w:r>
          </w:p>
        </w:tc>
        <w:tc>
          <w:tcPr>
            <w:tcW w:w="5209" w:type="dxa"/>
            <w:vAlign w:val="center"/>
          </w:tcPr>
          <w:p w14:paraId="6DA3820D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smartTag w:uri="urn:schemas-microsoft-com:office:smarttags" w:element="address">
              <w:smartTag w:uri="urn:schemas-microsoft-com:office:smarttags" w:element="Street">
                <w:r w:rsidRPr="006738EC">
                  <w:rPr>
                    <w:rFonts w:ascii="Georgia" w:hAnsi="Georgia" w:cs="Arial"/>
                    <w:b/>
                    <w:bCs/>
                  </w:rPr>
                  <w:t>10 Alfred Place</w:t>
                </w:r>
              </w:smartTag>
              <w:r w:rsidRPr="006738EC">
                <w:rPr>
                  <w:rFonts w:ascii="Georgia" w:hAnsi="Georgia" w:cs="Arial"/>
                  <w:b/>
                  <w:bCs/>
                </w:rPr>
                <w:t xml:space="preserve">, </w:t>
              </w:r>
              <w:smartTag w:uri="urn:schemas-microsoft-com:office:smarttags" w:element="City">
                <w:r w:rsidRPr="006738EC">
                  <w:rPr>
                    <w:rFonts w:ascii="Georgia" w:hAnsi="Georgia" w:cs="Arial"/>
                    <w:b/>
                    <w:bCs/>
                  </w:rPr>
                  <w:t>London</w:t>
                </w:r>
              </w:smartTag>
              <w:r w:rsidRPr="006738EC">
                <w:rPr>
                  <w:rFonts w:ascii="Georgia" w:hAnsi="Georgia" w:cs="Arial"/>
                  <w:b/>
                  <w:bCs/>
                </w:rPr>
                <w:t xml:space="preserve"> </w:t>
              </w:r>
              <w:smartTag w:uri="urn:schemas-microsoft-com:office:smarttags" w:element="PostalCode">
                <w:r w:rsidRPr="006738EC">
                  <w:rPr>
                    <w:rFonts w:ascii="Georgia" w:hAnsi="Georgia" w:cs="Arial"/>
                    <w:b/>
                    <w:bCs/>
                  </w:rPr>
                  <w:t>WC1E 7LR</w:t>
                </w:r>
              </w:smartTag>
            </w:smartTag>
          </w:p>
        </w:tc>
      </w:tr>
      <w:tr w:rsidR="007A4178" w:rsidRPr="006738EC" w14:paraId="7BF07A46" w14:textId="77777777" w:rsidTr="007A4178">
        <w:tc>
          <w:tcPr>
            <w:tcW w:w="3114" w:type="dxa"/>
            <w:vAlign w:val="center"/>
          </w:tcPr>
          <w:p w14:paraId="70B49F8D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Date of decision</w:t>
            </w:r>
          </w:p>
        </w:tc>
        <w:tc>
          <w:tcPr>
            <w:tcW w:w="703" w:type="dxa"/>
            <w:vAlign w:val="center"/>
          </w:tcPr>
          <w:p w14:paraId="5C59D36A" w14:textId="77777777" w:rsidR="007A4178" w:rsidRPr="006738EC" w:rsidRDefault="007A4178" w:rsidP="0066251A">
            <w:pPr>
              <w:tabs>
                <w:tab w:val="left" w:pos="2880"/>
              </w:tabs>
              <w:spacing w:before="240" w:after="240"/>
              <w:rPr>
                <w:rFonts w:ascii="Georgia" w:hAnsi="Georgia" w:cs="Arial"/>
                <w:b/>
                <w:bCs/>
              </w:rPr>
            </w:pPr>
            <w:r w:rsidRPr="006738EC">
              <w:rPr>
                <w:rFonts w:ascii="Georgia" w:hAnsi="Georgia" w:cs="Arial"/>
                <w:b/>
                <w:bCs/>
              </w:rPr>
              <w:t>:</w:t>
            </w:r>
          </w:p>
        </w:tc>
        <w:tc>
          <w:tcPr>
            <w:tcW w:w="5209" w:type="dxa"/>
            <w:vAlign w:val="center"/>
          </w:tcPr>
          <w:p w14:paraId="7D1078A0" w14:textId="77777777" w:rsidR="007A4178" w:rsidRPr="006738EC" w:rsidRDefault="007A4178" w:rsidP="0066251A">
            <w:pPr>
              <w:tabs>
                <w:tab w:val="left" w:pos="2880"/>
              </w:tabs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7 May 2019</w:t>
            </w:r>
          </w:p>
        </w:tc>
      </w:tr>
    </w:tbl>
    <w:p w14:paraId="538FBBDA" w14:textId="77777777" w:rsidR="007A4178" w:rsidRPr="002E6147" w:rsidRDefault="007A4178" w:rsidP="007A4178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7A4178" w:rsidRPr="006738EC" w14:paraId="794CD9CD" w14:textId="77777777" w:rsidTr="0066251A">
        <w:trPr>
          <w:trHeight w:val="811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4C266DBD" w14:textId="77777777" w:rsidR="007A4178" w:rsidRPr="006738EC" w:rsidRDefault="007A4178" w:rsidP="0066251A">
            <w:pPr>
              <w:jc w:val="center"/>
              <w:rPr>
                <w:rFonts w:ascii="Georgia" w:hAnsi="Georgia"/>
              </w:rPr>
            </w:pPr>
            <w:r w:rsidRPr="006738EC">
              <w:rPr>
                <w:rFonts w:ascii="Georgia" w:hAnsi="Georgia" w:cs="Arial"/>
                <w:b/>
                <w:bCs/>
              </w:rPr>
              <w:t>DECISION</w:t>
            </w:r>
          </w:p>
        </w:tc>
      </w:tr>
    </w:tbl>
    <w:p w14:paraId="144C8E21" w14:textId="77777777" w:rsidR="007A4178" w:rsidRDefault="007A4178" w:rsidP="007A4178">
      <w:pPr>
        <w:autoSpaceDE w:val="0"/>
        <w:autoSpaceDN w:val="0"/>
        <w:adjustRightInd w:val="0"/>
        <w:spacing w:after="120" w:line="240" w:lineRule="auto"/>
        <w:ind w:left="1440" w:firstLine="0"/>
        <w:rPr>
          <w:rFonts w:ascii="Georgia" w:hAnsi="Georgia"/>
          <w:szCs w:val="20"/>
        </w:rPr>
      </w:pPr>
    </w:p>
    <w:p w14:paraId="57F536D1" w14:textId="77777777" w:rsidR="007A4178" w:rsidRPr="00305A2A" w:rsidRDefault="007A4178" w:rsidP="007A4178">
      <w:pPr>
        <w:rPr>
          <w:rFonts w:ascii="Georgia" w:hAnsi="Georgia"/>
          <w:b/>
          <w:sz w:val="24"/>
          <w:szCs w:val="24"/>
          <w:u w:val="single"/>
        </w:rPr>
      </w:pPr>
      <w:r w:rsidRPr="00305A2A">
        <w:rPr>
          <w:rFonts w:ascii="Georgia" w:hAnsi="Georgia"/>
          <w:b/>
          <w:sz w:val="24"/>
          <w:szCs w:val="24"/>
          <w:u w:val="single"/>
        </w:rPr>
        <w:t>Order</w:t>
      </w:r>
    </w:p>
    <w:p w14:paraId="7544DDEB" w14:textId="77777777" w:rsidR="007A4178" w:rsidRDefault="007A4178" w:rsidP="007A4178">
      <w:pPr>
        <w:rPr>
          <w:rFonts w:ascii="Georgia" w:hAnsi="Georgia"/>
          <w:sz w:val="24"/>
          <w:szCs w:val="24"/>
        </w:rPr>
      </w:pPr>
      <w:r w:rsidRPr="0038249D">
        <w:rPr>
          <w:rFonts w:ascii="Georgia" w:hAnsi="Georgia"/>
          <w:sz w:val="24"/>
          <w:szCs w:val="24"/>
        </w:rPr>
        <w:t>1.</w:t>
      </w:r>
      <w:r w:rsidRPr="0038249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We make an order dispensing with the consultation requirements in respect of (“the works”). </w:t>
      </w:r>
    </w:p>
    <w:p w14:paraId="6E027315" w14:textId="77777777" w:rsidR="007A4178" w:rsidRPr="00305A2A" w:rsidRDefault="007A4178" w:rsidP="007A4178">
      <w:pPr>
        <w:rPr>
          <w:rFonts w:ascii="Georgia" w:hAnsi="Georgia"/>
          <w:b/>
          <w:sz w:val="24"/>
          <w:szCs w:val="24"/>
          <w:u w:val="single"/>
        </w:rPr>
      </w:pPr>
      <w:r w:rsidRPr="00305A2A">
        <w:rPr>
          <w:rFonts w:ascii="Georgia" w:hAnsi="Georgia"/>
          <w:b/>
          <w:sz w:val="24"/>
          <w:szCs w:val="24"/>
          <w:u w:val="single"/>
        </w:rPr>
        <w:t>Reasons</w:t>
      </w:r>
    </w:p>
    <w:p w14:paraId="6F05F06D" w14:textId="77777777" w:rsidR="001377DA" w:rsidRDefault="007A4178" w:rsidP="007A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On 18 March 2019, the applicant applied for dispensation from the consultation requirements in respect of urgent drainage works </w:t>
      </w:r>
      <w:r w:rsidR="001377DA">
        <w:rPr>
          <w:rFonts w:ascii="Georgia" w:hAnsi="Georgia"/>
          <w:sz w:val="24"/>
          <w:szCs w:val="24"/>
        </w:rPr>
        <w:t>carried out at the premises in the week commencing 4 March 2019.</w:t>
      </w:r>
    </w:p>
    <w:p w14:paraId="51E572EB" w14:textId="77777777" w:rsidR="001377DA" w:rsidRDefault="001377DA" w:rsidP="007A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</w:t>
      </w:r>
      <w:r>
        <w:rPr>
          <w:rFonts w:ascii="Georgia" w:hAnsi="Georgia"/>
          <w:sz w:val="24"/>
          <w:szCs w:val="24"/>
        </w:rPr>
        <w:tab/>
        <w:t xml:space="preserve">Raw sewage was backing up into the basement flat. </w:t>
      </w:r>
    </w:p>
    <w:p w14:paraId="6A767BCF" w14:textId="77777777" w:rsidR="001377DA" w:rsidRDefault="001377DA" w:rsidP="007A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4.</w:t>
      </w:r>
      <w:r>
        <w:rPr>
          <w:rFonts w:ascii="Georgia" w:hAnsi="Georgia"/>
          <w:sz w:val="24"/>
          <w:szCs w:val="24"/>
        </w:rPr>
        <w:tab/>
        <w:t>The works required included creating a new chamber and drainage run. There was no suitable rodding access.</w:t>
      </w:r>
    </w:p>
    <w:p w14:paraId="5E789741" w14:textId="77777777" w:rsidR="001377DA" w:rsidRDefault="001377DA" w:rsidP="007A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</w:t>
      </w:r>
      <w:r>
        <w:rPr>
          <w:rFonts w:ascii="Georgia" w:hAnsi="Georgia"/>
          <w:sz w:val="24"/>
          <w:szCs w:val="24"/>
        </w:rPr>
        <w:tab/>
      </w:r>
      <w:r w:rsidR="00DD5688">
        <w:rPr>
          <w:rFonts w:ascii="Georgia" w:hAnsi="Georgia"/>
          <w:sz w:val="24"/>
          <w:szCs w:val="24"/>
        </w:rPr>
        <w:t>Notice of the application was served on the lessees. On 26 April 2019 the applicant’s surveyors wrote to the tribunal confirming that no objections had been made by the lessees.</w:t>
      </w:r>
    </w:p>
    <w:p w14:paraId="534F7766" w14:textId="77777777" w:rsidR="00DD5688" w:rsidRDefault="00DD5688" w:rsidP="007A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</w:t>
      </w:r>
      <w:r>
        <w:rPr>
          <w:rFonts w:ascii="Georgia" w:hAnsi="Georgia"/>
          <w:sz w:val="24"/>
          <w:szCs w:val="24"/>
        </w:rPr>
        <w:tab/>
        <w:t>In the circumstances it is appropriate to give the dispensation asked for.</w:t>
      </w:r>
    </w:p>
    <w:p w14:paraId="2AA45547" w14:textId="77777777" w:rsidR="00DD5688" w:rsidRDefault="00DD5688" w:rsidP="007A41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</w:t>
      </w:r>
      <w:r>
        <w:rPr>
          <w:rFonts w:ascii="Georgia" w:hAnsi="Georgia"/>
          <w:sz w:val="24"/>
          <w:szCs w:val="24"/>
        </w:rPr>
        <w:tab/>
        <w:t xml:space="preserve">This decision does not concern the issue of whether any of the costs are reasonable or payable. </w:t>
      </w: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7"/>
        <w:gridCol w:w="3119"/>
        <w:gridCol w:w="1275"/>
        <w:gridCol w:w="3189"/>
      </w:tblGrid>
      <w:tr w:rsidR="007A4178" w:rsidRPr="006738EC" w14:paraId="59BDD38C" w14:textId="77777777" w:rsidTr="0066251A">
        <w:trPr>
          <w:trHeight w:val="587"/>
        </w:trPr>
        <w:tc>
          <w:tcPr>
            <w:tcW w:w="1417" w:type="dxa"/>
            <w:vAlign w:val="center"/>
          </w:tcPr>
          <w:p w14:paraId="7D685ABB" w14:textId="77777777" w:rsidR="007A4178" w:rsidRPr="006738EC" w:rsidRDefault="007A4178" w:rsidP="0066251A">
            <w:pPr>
              <w:rPr>
                <w:rFonts w:ascii="Georgia" w:hAnsi="Georgia" w:cs="Arial"/>
                <w:b/>
              </w:rPr>
            </w:pPr>
            <w:r w:rsidRPr="006738EC">
              <w:rPr>
                <w:rFonts w:ascii="Georgia" w:hAnsi="Georgia" w:cs="Arial"/>
                <w:b/>
              </w:rPr>
              <w:t>Name:</w:t>
            </w:r>
            <w:r>
              <w:rPr>
                <w:rFonts w:ascii="Georgia" w:hAnsi="Georgia" w:cs="Arial"/>
                <w:b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14:paraId="276DC540" w14:textId="77777777" w:rsidR="007A4178" w:rsidRPr="006738EC" w:rsidRDefault="007A4178" w:rsidP="0066251A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b/>
              </w:rPr>
              <w:t>Simon Brilliant</w:t>
            </w:r>
          </w:p>
        </w:tc>
        <w:tc>
          <w:tcPr>
            <w:tcW w:w="1275" w:type="dxa"/>
            <w:vAlign w:val="center"/>
          </w:tcPr>
          <w:p w14:paraId="3934F1E8" w14:textId="77777777" w:rsidR="007A4178" w:rsidRPr="006738EC" w:rsidRDefault="007A4178" w:rsidP="0066251A">
            <w:pPr>
              <w:rPr>
                <w:rFonts w:ascii="Georgia" w:hAnsi="Georgia" w:cs="Arial"/>
                <w:b/>
              </w:rPr>
            </w:pPr>
            <w:r w:rsidRPr="006738EC">
              <w:rPr>
                <w:rFonts w:ascii="Georgia" w:hAnsi="Georgia" w:cs="Arial"/>
                <w:b/>
              </w:rPr>
              <w:t>Date:</w:t>
            </w:r>
            <w:r>
              <w:rPr>
                <w:rFonts w:ascii="Georgia" w:hAnsi="Georgia" w:cs="Arial"/>
                <w:b/>
              </w:rPr>
              <w:t xml:space="preserve"> </w:t>
            </w:r>
          </w:p>
        </w:tc>
        <w:tc>
          <w:tcPr>
            <w:tcW w:w="3189" w:type="dxa"/>
            <w:vAlign w:val="center"/>
          </w:tcPr>
          <w:p w14:paraId="3F3119F6" w14:textId="77777777" w:rsidR="007A4178" w:rsidRPr="006738EC" w:rsidRDefault="007A4178" w:rsidP="0066251A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b/>
              </w:rPr>
              <w:t>7 May 2019</w:t>
            </w:r>
          </w:p>
        </w:tc>
      </w:tr>
    </w:tbl>
    <w:p w14:paraId="62699240" w14:textId="77777777" w:rsidR="007A4178" w:rsidRPr="006738EC" w:rsidRDefault="007A4178" w:rsidP="007A4178">
      <w:pPr>
        <w:rPr>
          <w:rFonts w:ascii="Georgia" w:hAnsi="Georgia" w:cs="Arial"/>
        </w:rPr>
      </w:pPr>
    </w:p>
    <w:p w14:paraId="071C8CC7" w14:textId="77777777" w:rsidR="007A4178" w:rsidRPr="005710A8" w:rsidRDefault="007A4178" w:rsidP="007A4178">
      <w:pPr>
        <w:jc w:val="center"/>
        <w:rPr>
          <w:rFonts w:ascii="Georgia" w:hAnsi="Georgia"/>
          <w:b/>
          <w:u w:val="single"/>
        </w:rPr>
      </w:pPr>
      <w:r w:rsidRPr="005710A8">
        <w:rPr>
          <w:rFonts w:ascii="Georgia" w:hAnsi="Georgia"/>
          <w:b/>
          <w:u w:val="single"/>
        </w:rPr>
        <w:t xml:space="preserve">Rights </w:t>
      </w:r>
      <w:r>
        <w:rPr>
          <w:rFonts w:ascii="Georgia" w:hAnsi="Georgia"/>
          <w:b/>
          <w:u w:val="single"/>
        </w:rPr>
        <w:t>o</w:t>
      </w:r>
      <w:r w:rsidRPr="005710A8">
        <w:rPr>
          <w:rFonts w:ascii="Georgia" w:hAnsi="Georgia"/>
          <w:b/>
          <w:u w:val="single"/>
        </w:rPr>
        <w:t xml:space="preserve">f </w:t>
      </w:r>
      <w:r>
        <w:rPr>
          <w:rFonts w:ascii="Georgia" w:hAnsi="Georgia"/>
          <w:b/>
          <w:u w:val="single"/>
        </w:rPr>
        <w:t>a</w:t>
      </w:r>
      <w:r w:rsidRPr="005710A8">
        <w:rPr>
          <w:rFonts w:ascii="Georgia" w:hAnsi="Georgia"/>
          <w:b/>
          <w:u w:val="single"/>
        </w:rPr>
        <w:t>ppeal</w:t>
      </w:r>
    </w:p>
    <w:p w14:paraId="6D515481" w14:textId="77777777" w:rsidR="007A4178" w:rsidRPr="009150F9" w:rsidRDefault="007A4178" w:rsidP="007A4178">
      <w:pPr>
        <w:autoSpaceDE w:val="0"/>
        <w:autoSpaceDN w:val="0"/>
        <w:adjustRightInd w:val="0"/>
        <w:spacing w:after="120"/>
        <w:rPr>
          <w:rFonts w:ascii="Georgia" w:hAnsi="Georgia" w:cs="Arial"/>
        </w:rPr>
      </w:pPr>
    </w:p>
    <w:p w14:paraId="6423CB21" w14:textId="77777777" w:rsidR="007A4178" w:rsidRPr="009150F9" w:rsidRDefault="007A4178" w:rsidP="007A4178">
      <w:pPr>
        <w:tabs>
          <w:tab w:val="left" w:pos="720"/>
        </w:tabs>
        <w:spacing w:after="240"/>
        <w:rPr>
          <w:rFonts w:ascii="Georgia" w:hAnsi="Georgia"/>
        </w:rPr>
      </w:pPr>
      <w:r>
        <w:rPr>
          <w:rFonts w:ascii="Georgia" w:hAnsi="Georgia"/>
        </w:rPr>
        <w:tab/>
      </w:r>
      <w:r w:rsidRPr="009150F9">
        <w:rPr>
          <w:rFonts w:ascii="Georgia" w:hAnsi="Georgia"/>
        </w:rPr>
        <w:t>By rule 36(2) of the Tribunal Procedure (First-tier Tribunal) (Property Chamber) Rules 2013, the tribunal is required to notify the parties about any right of appeal</w:t>
      </w:r>
      <w:r>
        <w:rPr>
          <w:rFonts w:ascii="Georgia" w:hAnsi="Georgia"/>
        </w:rPr>
        <w:t xml:space="preserve"> they may have</w:t>
      </w:r>
      <w:r w:rsidRPr="009150F9">
        <w:rPr>
          <w:rFonts w:ascii="Georgia" w:hAnsi="Georgia"/>
        </w:rPr>
        <w:t>.</w:t>
      </w:r>
    </w:p>
    <w:p w14:paraId="4C348AFA" w14:textId="77777777" w:rsidR="007A4178" w:rsidRPr="005710A8" w:rsidRDefault="007A4178" w:rsidP="007A4178">
      <w:pPr>
        <w:tabs>
          <w:tab w:val="left" w:pos="720"/>
        </w:tabs>
        <w:spacing w:after="240"/>
        <w:rPr>
          <w:rFonts w:ascii="Georgia" w:hAnsi="Georgia"/>
        </w:rPr>
      </w:pPr>
      <w:r>
        <w:rPr>
          <w:rFonts w:ascii="Georgia" w:hAnsi="Georgia"/>
        </w:rPr>
        <w:tab/>
        <w:t>If a party wishes</w:t>
      </w:r>
      <w:r w:rsidRPr="005710A8">
        <w:rPr>
          <w:rFonts w:ascii="Georgia" w:hAnsi="Georgia"/>
        </w:rPr>
        <w:t xml:space="preserve"> to appeal this decision to the Upper Tribunal (Lands Chamber)</w:t>
      </w:r>
      <w:r>
        <w:rPr>
          <w:rFonts w:ascii="Georgia" w:hAnsi="Georgia"/>
        </w:rPr>
        <w:t>,</w:t>
      </w:r>
      <w:r w:rsidRPr="005710A8">
        <w:rPr>
          <w:rFonts w:ascii="Georgia" w:hAnsi="Georgia"/>
        </w:rPr>
        <w:t xml:space="preserve"> </w:t>
      </w:r>
      <w:r>
        <w:rPr>
          <w:rFonts w:ascii="Georgia" w:hAnsi="Georgia"/>
        </w:rPr>
        <w:t>then a written application for permission must be made</w:t>
      </w:r>
      <w:r w:rsidRPr="005710A8">
        <w:rPr>
          <w:rFonts w:ascii="Georgia" w:hAnsi="Georgia"/>
        </w:rPr>
        <w:t xml:space="preserve"> to the First-tier Tribunal at the </w:t>
      </w:r>
      <w:r>
        <w:rPr>
          <w:rFonts w:ascii="Georgia" w:hAnsi="Georgia"/>
        </w:rPr>
        <w:t>r</w:t>
      </w:r>
      <w:r w:rsidRPr="005710A8">
        <w:rPr>
          <w:rFonts w:ascii="Georgia" w:hAnsi="Georgia"/>
        </w:rPr>
        <w:t>egional office which</w:t>
      </w:r>
      <w:r>
        <w:rPr>
          <w:rFonts w:ascii="Georgia" w:hAnsi="Georgia"/>
        </w:rPr>
        <w:t xml:space="preserve"> has been dealing with the case.</w:t>
      </w:r>
    </w:p>
    <w:p w14:paraId="16C4786F" w14:textId="77777777" w:rsidR="007A4178" w:rsidRPr="005710A8" w:rsidRDefault="007A4178" w:rsidP="007A4178">
      <w:pPr>
        <w:tabs>
          <w:tab w:val="left" w:pos="720"/>
        </w:tabs>
        <w:spacing w:after="240"/>
        <w:rPr>
          <w:rFonts w:ascii="Georgia" w:hAnsi="Georgia"/>
        </w:rPr>
      </w:pPr>
      <w:r>
        <w:rPr>
          <w:rFonts w:ascii="Georgia" w:hAnsi="Georgia"/>
        </w:rPr>
        <w:tab/>
      </w:r>
      <w:r w:rsidRPr="005710A8">
        <w:rPr>
          <w:rFonts w:ascii="Georgia" w:hAnsi="Georgia"/>
        </w:rPr>
        <w:t>The applica</w:t>
      </w:r>
      <w:r>
        <w:rPr>
          <w:rFonts w:ascii="Georgia" w:hAnsi="Georgia"/>
        </w:rPr>
        <w:t>tion for permission to appeal must arrive at the regional office</w:t>
      </w:r>
      <w:r w:rsidRPr="005710A8">
        <w:rPr>
          <w:rFonts w:ascii="Georgia" w:hAnsi="Georgia"/>
        </w:rPr>
        <w:t xml:space="preserve"> within 28 days after the </w:t>
      </w:r>
      <w:r>
        <w:rPr>
          <w:rFonts w:ascii="Georgia" w:hAnsi="Georgia"/>
        </w:rPr>
        <w:t>t</w:t>
      </w:r>
      <w:r w:rsidRPr="005710A8">
        <w:rPr>
          <w:rFonts w:ascii="Georgia" w:hAnsi="Georgia"/>
        </w:rPr>
        <w:t xml:space="preserve">ribunal sends </w:t>
      </w:r>
      <w:r>
        <w:rPr>
          <w:rFonts w:ascii="Georgia" w:hAnsi="Georgia"/>
        </w:rPr>
        <w:t xml:space="preserve">written reasons for the decision </w:t>
      </w:r>
      <w:r w:rsidRPr="005710A8">
        <w:rPr>
          <w:rFonts w:ascii="Georgia" w:hAnsi="Georgia"/>
        </w:rPr>
        <w:t>to th</w:t>
      </w:r>
      <w:r>
        <w:rPr>
          <w:rFonts w:ascii="Georgia" w:hAnsi="Georgia"/>
        </w:rPr>
        <w:t>e person making the application</w:t>
      </w:r>
      <w:r w:rsidRPr="005710A8">
        <w:rPr>
          <w:rFonts w:ascii="Georgia" w:hAnsi="Georgia"/>
        </w:rPr>
        <w:t>.</w:t>
      </w:r>
    </w:p>
    <w:p w14:paraId="0A4CE51D" w14:textId="77777777" w:rsidR="007A4178" w:rsidRPr="005710A8" w:rsidRDefault="007A4178" w:rsidP="007A4178">
      <w:pPr>
        <w:tabs>
          <w:tab w:val="left" w:pos="720"/>
        </w:tabs>
        <w:spacing w:after="240"/>
        <w:rPr>
          <w:rFonts w:ascii="Georgia" w:hAnsi="Georgia"/>
        </w:rPr>
      </w:pPr>
      <w:r>
        <w:rPr>
          <w:rFonts w:ascii="Georgia" w:hAnsi="Georgia"/>
        </w:rPr>
        <w:tab/>
      </w:r>
      <w:r w:rsidRPr="005710A8">
        <w:rPr>
          <w:rFonts w:ascii="Georgia" w:hAnsi="Georgia"/>
        </w:rPr>
        <w:t xml:space="preserve">If the </w:t>
      </w:r>
      <w:r>
        <w:rPr>
          <w:rFonts w:ascii="Georgia" w:hAnsi="Georgia"/>
        </w:rPr>
        <w:t>application is not made within</w:t>
      </w:r>
      <w:r w:rsidRPr="005710A8">
        <w:rPr>
          <w:rFonts w:ascii="Georgia" w:hAnsi="Georgia"/>
        </w:rPr>
        <w:t xml:space="preserve"> the </w:t>
      </w:r>
      <w:proofErr w:type="gramStart"/>
      <w:r w:rsidRPr="005710A8">
        <w:rPr>
          <w:rFonts w:ascii="Georgia" w:hAnsi="Georgia"/>
        </w:rPr>
        <w:t xml:space="preserve">28 </w:t>
      </w:r>
      <w:r>
        <w:rPr>
          <w:rFonts w:ascii="Georgia" w:hAnsi="Georgia"/>
        </w:rPr>
        <w:t>day</w:t>
      </w:r>
      <w:proofErr w:type="gramEnd"/>
      <w:r>
        <w:rPr>
          <w:rFonts w:ascii="Georgia" w:hAnsi="Georgia"/>
        </w:rPr>
        <w:t xml:space="preserve"> time limit, such application must include</w:t>
      </w:r>
      <w:r w:rsidRPr="005710A8">
        <w:rPr>
          <w:rFonts w:ascii="Georgia" w:hAnsi="Georgia"/>
        </w:rPr>
        <w:t xml:space="preserve"> a request for an extension of time and the reason for not complying with the 28 day time limit; the </w:t>
      </w:r>
      <w:r>
        <w:rPr>
          <w:rFonts w:ascii="Georgia" w:hAnsi="Georgia"/>
        </w:rPr>
        <w:t>t</w:t>
      </w:r>
      <w:r w:rsidRPr="005710A8">
        <w:rPr>
          <w:rFonts w:ascii="Georgia" w:hAnsi="Georgia"/>
        </w:rPr>
        <w:t>ribunal will then</w:t>
      </w:r>
      <w:r>
        <w:rPr>
          <w:rFonts w:ascii="Georgia" w:hAnsi="Georgia"/>
        </w:rPr>
        <w:t xml:space="preserve"> look at such reason(s) and</w:t>
      </w:r>
      <w:r w:rsidRPr="005710A8">
        <w:rPr>
          <w:rFonts w:ascii="Georgia" w:hAnsi="Georgia"/>
        </w:rPr>
        <w:t xml:space="preserve"> deci</w:t>
      </w:r>
      <w:r>
        <w:rPr>
          <w:rFonts w:ascii="Georgia" w:hAnsi="Georgia"/>
        </w:rPr>
        <w:t>de whether</w:t>
      </w:r>
      <w:r w:rsidRPr="005710A8">
        <w:rPr>
          <w:rFonts w:ascii="Georgia" w:hAnsi="Georgia"/>
        </w:rPr>
        <w:t xml:space="preserve"> to allow the application for permission to appeal to proceed</w:t>
      </w:r>
      <w:r>
        <w:rPr>
          <w:rFonts w:ascii="Georgia" w:hAnsi="Georgia"/>
        </w:rPr>
        <w:t>, despite not being within the time limit</w:t>
      </w:r>
      <w:r w:rsidRPr="005710A8">
        <w:rPr>
          <w:rFonts w:ascii="Georgia" w:hAnsi="Georgia"/>
        </w:rPr>
        <w:t>.</w:t>
      </w:r>
    </w:p>
    <w:p w14:paraId="42FE3225" w14:textId="77777777" w:rsidR="007A4178" w:rsidRDefault="007A4178" w:rsidP="007A4178">
      <w:pPr>
        <w:tabs>
          <w:tab w:val="left" w:pos="720"/>
        </w:tabs>
        <w:spacing w:after="240"/>
        <w:rPr>
          <w:rFonts w:ascii="Georgia" w:hAnsi="Georgia"/>
        </w:rPr>
      </w:pPr>
      <w:r>
        <w:rPr>
          <w:rFonts w:ascii="Georgia" w:hAnsi="Georgia"/>
        </w:rPr>
        <w:tab/>
      </w:r>
      <w:r w:rsidRPr="005710A8">
        <w:rPr>
          <w:rFonts w:ascii="Georgia" w:hAnsi="Georgia"/>
        </w:rPr>
        <w:t xml:space="preserve">The application for permission to appeal must identify the decision of the </w:t>
      </w:r>
      <w:r>
        <w:rPr>
          <w:rFonts w:ascii="Georgia" w:hAnsi="Georgia"/>
        </w:rPr>
        <w:t>t</w:t>
      </w:r>
      <w:r w:rsidRPr="005710A8">
        <w:rPr>
          <w:rFonts w:ascii="Georgia" w:hAnsi="Georgia"/>
        </w:rPr>
        <w:t>ribunal to which it relates</w:t>
      </w:r>
      <w:r>
        <w:rPr>
          <w:rFonts w:ascii="Georgia" w:hAnsi="Georgia"/>
        </w:rPr>
        <w:t xml:space="preserve"> (i.e. give the date, the property and the case number), state the grounds of appeal</w:t>
      </w:r>
      <w:r w:rsidRPr="005710A8">
        <w:rPr>
          <w:rFonts w:ascii="Georgia" w:hAnsi="Georgia"/>
        </w:rPr>
        <w:t xml:space="preserve"> and state the result the party making the application is seeking</w:t>
      </w:r>
      <w:r>
        <w:rPr>
          <w:rFonts w:ascii="Georgia" w:hAnsi="Georgia"/>
        </w:rPr>
        <w:t>.</w:t>
      </w:r>
    </w:p>
    <w:p w14:paraId="2CD6A084" w14:textId="77777777" w:rsidR="007A4178" w:rsidRPr="006738EC" w:rsidRDefault="007A4178" w:rsidP="007A4178">
      <w:pPr>
        <w:tabs>
          <w:tab w:val="left" w:pos="720"/>
        </w:tabs>
        <w:spacing w:after="240"/>
        <w:rPr>
          <w:rFonts w:ascii="Georgia" w:hAnsi="Georgia"/>
        </w:rPr>
      </w:pPr>
      <w:r>
        <w:rPr>
          <w:rFonts w:ascii="Georgia" w:hAnsi="Georgia"/>
        </w:rPr>
        <w:tab/>
        <w:t xml:space="preserve">If the tribunal refuses to grant permission to appeal, </w:t>
      </w:r>
      <w:r w:rsidRPr="00FE0873">
        <w:rPr>
          <w:rFonts w:ascii="Georgia" w:hAnsi="Georgia"/>
        </w:rPr>
        <w:t xml:space="preserve">a further application for permission may be made </w:t>
      </w:r>
      <w:r>
        <w:rPr>
          <w:rFonts w:ascii="Georgia" w:hAnsi="Georgia"/>
        </w:rPr>
        <w:t>to the Upper Tribunal (Lands Chamber).</w:t>
      </w:r>
      <w:r>
        <w:rPr>
          <w:rFonts w:ascii="Georgia" w:hAnsi="Georgia"/>
        </w:rPr>
        <w:br w:type="page"/>
      </w:r>
    </w:p>
    <w:p w14:paraId="40D8B115" w14:textId="77777777" w:rsidR="007A4178" w:rsidRPr="00305A2A" w:rsidRDefault="007A4178" w:rsidP="007A4178">
      <w:pPr>
        <w:pStyle w:val="ListParagraph"/>
        <w:ind w:left="1440" w:firstLine="0"/>
        <w:rPr>
          <w:rFonts w:ascii="Georgia" w:hAnsi="Georgia"/>
          <w:sz w:val="24"/>
          <w:szCs w:val="24"/>
        </w:rPr>
      </w:pPr>
    </w:p>
    <w:p w14:paraId="540E5742" w14:textId="77777777" w:rsidR="00C03785" w:rsidRDefault="00C03785"/>
    <w:sectPr w:rsidR="00C03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2015"/>
    <w:multiLevelType w:val="hybridMultilevel"/>
    <w:tmpl w:val="46964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78"/>
    <w:rsid w:val="001377DA"/>
    <w:rsid w:val="0071021D"/>
    <w:rsid w:val="00731B8D"/>
    <w:rsid w:val="007A4178"/>
    <w:rsid w:val="00C03785"/>
    <w:rsid w:val="00D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63E29CD"/>
  <w15:chartTrackingRefBased/>
  <w15:docId w15:val="{3A95D135-7229-4CB7-89F7-608B4DEE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78"/>
    <w:pPr>
      <w:contextualSpacing/>
    </w:pPr>
  </w:style>
  <w:style w:type="paragraph" w:styleId="Title">
    <w:name w:val="Title"/>
    <w:basedOn w:val="Normal"/>
    <w:link w:val="TitleChar"/>
    <w:qFormat/>
    <w:rsid w:val="007A4178"/>
    <w:p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A4178"/>
    <w:rPr>
      <w:rFonts w:ascii="Arial" w:eastAsia="Times New Roman" w:hAnsi="Arial" w:cs="Times New Roman"/>
      <w:b/>
      <w:bCs/>
      <w:sz w:val="32"/>
      <w:szCs w:val="24"/>
    </w:rPr>
  </w:style>
  <w:style w:type="table" w:styleId="TableGrid">
    <w:name w:val="Table Grid"/>
    <w:basedOn w:val="TableNormal"/>
    <w:rsid w:val="007A417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Brilliant, Simon</dc:creator>
  <cp:keywords/>
  <dc:description/>
  <cp:lastModifiedBy>Khilji, Mariam</cp:lastModifiedBy>
  <cp:revision>2</cp:revision>
  <dcterms:created xsi:type="dcterms:W3CDTF">2019-05-07T14:41:00Z</dcterms:created>
  <dcterms:modified xsi:type="dcterms:W3CDTF">2019-05-07T14:41:00Z</dcterms:modified>
</cp:coreProperties>
</file>