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10" w:rsidRDefault="00F773C1" w:rsidP="00456510">
      <w:pPr>
        <w:pStyle w:val="Heading3"/>
        <w:tabs>
          <w:tab w:val="center" w:pos="5060"/>
          <w:tab w:val="right" w:pos="9900"/>
        </w:tabs>
      </w:pPr>
      <w:r>
        <w:t>Agenda Item 5</w:t>
      </w:r>
      <w:r w:rsidR="00456510">
        <w:tab/>
      </w:r>
      <w:r w:rsidR="005F2F11">
        <w:t>Commissioners’</w:t>
      </w:r>
      <w:r>
        <w:t xml:space="preserve"> Meeting </w:t>
      </w:r>
      <w:r>
        <w:tab/>
        <w:t>Memo No: 23</w:t>
      </w:r>
      <w:bookmarkStart w:id="0" w:name="_GoBack"/>
      <w:bookmarkEnd w:id="0"/>
      <w:r w:rsidR="00456510">
        <w:t xml:space="preserve">/18 </w:t>
      </w:r>
      <w:r w:rsidR="00456510">
        <w:tab/>
        <w:t>13 December 2018</w:t>
      </w:r>
    </w:p>
    <w:p w:rsidR="00456510" w:rsidRPr="00CD768C" w:rsidRDefault="00456510" w:rsidP="00456510">
      <w:pPr>
        <w:pStyle w:val="Heading1"/>
        <w:rPr>
          <w:rFonts w:ascii="Verdana" w:hAnsi="Verdana"/>
          <w:bCs w:val="0"/>
          <w:color w:val="31849B"/>
          <w:sz w:val="24"/>
          <w:szCs w:val="24"/>
        </w:rPr>
      </w:pPr>
      <w:r>
        <w:rPr>
          <w:rFonts w:ascii="Verdana" w:hAnsi="Verdana"/>
          <w:bCs w:val="0"/>
          <w:color w:val="31849B"/>
          <w:sz w:val="24"/>
          <w:szCs w:val="24"/>
        </w:rPr>
        <w:t>Legal and Corporate Project – Progress</w:t>
      </w:r>
    </w:p>
    <w:p w:rsidR="00456510" w:rsidRPr="00CD768C" w:rsidRDefault="00456510" w:rsidP="00456510">
      <w:pPr>
        <w:pStyle w:val="Heading1"/>
        <w:rPr>
          <w:rFonts w:ascii="Verdana" w:hAnsi="Verdana"/>
          <w:b w:val="0"/>
          <w:color w:val="008080"/>
          <w:sz w:val="24"/>
          <w:szCs w:val="24"/>
        </w:rPr>
      </w:pPr>
      <w:r w:rsidRPr="00CD768C">
        <w:rPr>
          <w:rFonts w:ascii="Verdana" w:hAnsi="Verdana"/>
          <w:b w:val="0"/>
          <w:color w:val="008080"/>
          <w:sz w:val="24"/>
          <w:szCs w:val="24"/>
        </w:rPr>
        <w:t>Purpose</w:t>
      </w:r>
    </w:p>
    <w:p w:rsidR="00456510" w:rsidRPr="00CD768C" w:rsidRDefault="00456510" w:rsidP="00456510">
      <w:pPr>
        <w:rPr>
          <w:rFonts w:ascii="Verdana" w:hAnsi="Verdana"/>
          <w:sz w:val="22"/>
          <w:szCs w:val="22"/>
        </w:rPr>
      </w:pPr>
    </w:p>
    <w:p w:rsidR="00456510" w:rsidRPr="00CD768C" w:rsidRDefault="00456510" w:rsidP="00456510">
      <w:pPr>
        <w:spacing w:line="276" w:lineRule="auto"/>
        <w:ind w:left="720" w:hanging="720"/>
        <w:rPr>
          <w:rFonts w:ascii="Verdana" w:hAnsi="Verdana"/>
          <w:sz w:val="22"/>
          <w:szCs w:val="22"/>
        </w:rPr>
      </w:pPr>
      <w:r w:rsidRPr="00CD768C">
        <w:rPr>
          <w:rFonts w:ascii="Verdana" w:hAnsi="Verdana"/>
          <w:sz w:val="22"/>
          <w:szCs w:val="22"/>
        </w:rPr>
        <w:t>1.</w:t>
      </w:r>
      <w:r w:rsidRPr="00CD768C">
        <w:rPr>
          <w:rFonts w:ascii="Verdana" w:hAnsi="Verdana"/>
          <w:sz w:val="22"/>
          <w:szCs w:val="22"/>
        </w:rPr>
        <w:tab/>
        <w:t xml:space="preserve">To </w:t>
      </w:r>
      <w:r>
        <w:rPr>
          <w:rFonts w:ascii="Verdana" w:hAnsi="Verdana"/>
          <w:sz w:val="22"/>
          <w:szCs w:val="22"/>
        </w:rPr>
        <w:t xml:space="preserve">inform Commissioners of the progress being made to deliver the agreed actions of the Legal and Corporate Project.  </w:t>
      </w:r>
    </w:p>
    <w:p w:rsidR="00456510" w:rsidRDefault="00456510" w:rsidP="00456510">
      <w:pPr>
        <w:pStyle w:val="FCGBBodyText"/>
        <w:rPr>
          <w:color w:val="008080"/>
          <w:sz w:val="24"/>
        </w:rPr>
      </w:pPr>
    </w:p>
    <w:p w:rsidR="00456510" w:rsidRDefault="00456510" w:rsidP="00456510">
      <w:pPr>
        <w:pStyle w:val="FCGBBodyText"/>
        <w:rPr>
          <w:color w:val="008080"/>
          <w:sz w:val="24"/>
        </w:rPr>
      </w:pPr>
      <w:r>
        <w:rPr>
          <w:color w:val="008080"/>
          <w:sz w:val="24"/>
        </w:rPr>
        <w:t>Background</w:t>
      </w:r>
    </w:p>
    <w:p w:rsidR="00456510" w:rsidRDefault="00456510" w:rsidP="00456510">
      <w:pPr>
        <w:pStyle w:val="FCGBBodyText"/>
        <w:rPr>
          <w:color w:val="008080"/>
          <w:sz w:val="24"/>
        </w:rPr>
      </w:pPr>
    </w:p>
    <w:p w:rsidR="00456510" w:rsidRDefault="00456510" w:rsidP="00456510">
      <w:pPr>
        <w:pStyle w:val="NormalWeb"/>
        <w:numPr>
          <w:ilvl w:val="0"/>
          <w:numId w:val="1"/>
        </w:numPr>
        <w:spacing w:before="0" w:beforeAutospacing="0" w:after="0" w:afterAutospacing="0" w:line="276" w:lineRule="auto"/>
        <w:ind w:left="709" w:hanging="709"/>
        <w:rPr>
          <w:rFonts w:ascii="Verdana" w:hAnsi="Verdana"/>
          <w:sz w:val="22"/>
        </w:rPr>
      </w:pPr>
      <w:r>
        <w:rPr>
          <w:rFonts w:ascii="Verdana" w:hAnsi="Verdana"/>
          <w:sz w:val="22"/>
        </w:rPr>
        <w:t>The Executive Board reviewed and agreed the actions required during Phase II of the Legal and Corporate Project, and their allocation to the component parts of the FC, at a meeting in October 2017.</w:t>
      </w:r>
    </w:p>
    <w:p w:rsidR="00456510" w:rsidRDefault="00456510" w:rsidP="00456510">
      <w:pPr>
        <w:pStyle w:val="NormalWeb"/>
        <w:spacing w:before="0" w:beforeAutospacing="0" w:after="0" w:afterAutospacing="0" w:line="276" w:lineRule="auto"/>
        <w:rPr>
          <w:rFonts w:ascii="Verdana" w:hAnsi="Verdana"/>
          <w:sz w:val="22"/>
        </w:rPr>
      </w:pPr>
    </w:p>
    <w:p w:rsidR="00456510" w:rsidRDefault="00456510" w:rsidP="00456510">
      <w:pPr>
        <w:pStyle w:val="NormalWeb"/>
        <w:numPr>
          <w:ilvl w:val="0"/>
          <w:numId w:val="1"/>
        </w:numPr>
        <w:spacing w:before="0" w:beforeAutospacing="0" w:after="0" w:afterAutospacing="0" w:line="276" w:lineRule="auto"/>
        <w:ind w:left="720" w:hanging="720"/>
        <w:rPr>
          <w:rFonts w:ascii="Verdana" w:hAnsi="Verdana"/>
          <w:sz w:val="22"/>
        </w:rPr>
      </w:pPr>
      <w:r w:rsidRPr="0047354D">
        <w:rPr>
          <w:rFonts w:ascii="Verdana" w:hAnsi="Verdana"/>
          <w:sz w:val="22"/>
        </w:rPr>
        <w:t>Director Central Services established a working group to take forward the actions allocated to Central Services and the FC.  Th</w:t>
      </w:r>
      <w:r w:rsidR="0047354D">
        <w:rPr>
          <w:rFonts w:ascii="Verdana" w:hAnsi="Verdana"/>
          <w:sz w:val="22"/>
        </w:rPr>
        <w:t>is</w:t>
      </w:r>
      <w:r w:rsidRPr="0047354D">
        <w:rPr>
          <w:rFonts w:ascii="Verdana" w:hAnsi="Verdana"/>
          <w:sz w:val="22"/>
        </w:rPr>
        <w:t xml:space="preserve"> group meets monthly</w:t>
      </w:r>
      <w:r w:rsidR="0047354D">
        <w:rPr>
          <w:rFonts w:ascii="Verdana" w:hAnsi="Verdana"/>
          <w:sz w:val="22"/>
        </w:rPr>
        <w:t xml:space="preserve"> to review progress and discuss the actions underway.</w:t>
      </w:r>
      <w:r w:rsidRPr="0047354D">
        <w:rPr>
          <w:rFonts w:ascii="Verdana" w:hAnsi="Verdana"/>
          <w:sz w:val="22"/>
        </w:rPr>
        <w:t xml:space="preserve">  </w:t>
      </w:r>
    </w:p>
    <w:p w:rsidR="0047354D" w:rsidRPr="0047354D" w:rsidRDefault="0047354D" w:rsidP="0047354D">
      <w:pPr>
        <w:pStyle w:val="NormalWeb"/>
        <w:spacing w:before="0" w:beforeAutospacing="0" w:after="0" w:afterAutospacing="0" w:line="276" w:lineRule="auto"/>
        <w:ind w:left="720"/>
        <w:rPr>
          <w:rFonts w:ascii="Verdana" w:hAnsi="Verdana"/>
          <w:sz w:val="22"/>
        </w:rPr>
      </w:pPr>
    </w:p>
    <w:p w:rsidR="0047354D" w:rsidRDefault="0047354D" w:rsidP="00456510">
      <w:pPr>
        <w:pStyle w:val="FCGBBodyText"/>
        <w:rPr>
          <w:color w:val="31849B" w:themeColor="accent5" w:themeShade="BF"/>
          <w:sz w:val="24"/>
          <w:szCs w:val="24"/>
        </w:rPr>
      </w:pPr>
      <w:r>
        <w:rPr>
          <w:color w:val="31849B" w:themeColor="accent5" w:themeShade="BF"/>
          <w:sz w:val="24"/>
          <w:szCs w:val="24"/>
        </w:rPr>
        <w:t>Progress</w:t>
      </w:r>
    </w:p>
    <w:p w:rsidR="0047354D" w:rsidRDefault="0047354D" w:rsidP="00456510">
      <w:pPr>
        <w:pStyle w:val="FCGBBodyText"/>
        <w:rPr>
          <w:color w:val="31849B" w:themeColor="accent5" w:themeShade="BF"/>
          <w:sz w:val="24"/>
          <w:szCs w:val="24"/>
        </w:rPr>
      </w:pPr>
    </w:p>
    <w:p w:rsidR="0047354D" w:rsidRDefault="0047354D" w:rsidP="0047354D">
      <w:pPr>
        <w:pStyle w:val="FCGBBodyText"/>
      </w:pPr>
      <w:r>
        <w:rPr>
          <w:szCs w:val="22"/>
        </w:rPr>
        <w:t>4.</w:t>
      </w:r>
      <w:r>
        <w:rPr>
          <w:szCs w:val="22"/>
        </w:rPr>
        <w:tab/>
      </w:r>
      <w:r>
        <w:t xml:space="preserve">The table at Appendix 1 outlines the </w:t>
      </w:r>
      <w:r w:rsidR="005F2F11">
        <w:t xml:space="preserve">outstanding </w:t>
      </w:r>
      <w:r>
        <w:t>actions and their current status.</w:t>
      </w:r>
    </w:p>
    <w:p w:rsidR="0047354D" w:rsidRDefault="0047354D" w:rsidP="0047354D">
      <w:pPr>
        <w:pStyle w:val="FCGBBodyText"/>
      </w:pPr>
    </w:p>
    <w:p w:rsidR="0047354D" w:rsidRDefault="0047354D" w:rsidP="0047354D">
      <w:pPr>
        <w:pStyle w:val="FCGBBodyText"/>
        <w:ind w:left="720" w:hanging="720"/>
      </w:pPr>
      <w:r>
        <w:t>5.</w:t>
      </w:r>
      <w:r>
        <w:tab/>
        <w:t xml:space="preserve">Good progress has been made on most of the actions, although completion of many is pending the finalisation of the secondary </w:t>
      </w:r>
      <w:r w:rsidR="005F2F11">
        <w:t>orders</w:t>
      </w:r>
      <w:r>
        <w:t xml:space="preserve"> in Scotland.  A separate paper has been prepared for discussion on this matter.</w:t>
      </w:r>
    </w:p>
    <w:p w:rsidR="0047354D" w:rsidRDefault="0047354D" w:rsidP="0047354D">
      <w:pPr>
        <w:pStyle w:val="FCGBBodyText"/>
      </w:pPr>
    </w:p>
    <w:p w:rsidR="0047354D" w:rsidRDefault="0047354D" w:rsidP="0047354D">
      <w:pPr>
        <w:pStyle w:val="FCGBBodyText"/>
        <w:ind w:left="720" w:hanging="720"/>
      </w:pPr>
      <w:r>
        <w:t>6.</w:t>
      </w:r>
      <w:r>
        <w:tab/>
        <w:t>The remaining outstanding issues e.g. transfer of records, are in progress, but cannot be completed until closer to March 2019 to allow the remaining Shared Service teams to carry out their functions.</w:t>
      </w:r>
    </w:p>
    <w:p w:rsidR="0047354D" w:rsidRDefault="0047354D" w:rsidP="0047354D">
      <w:pPr>
        <w:pStyle w:val="FCGBBodyText"/>
        <w:ind w:left="720" w:hanging="720"/>
      </w:pPr>
    </w:p>
    <w:p w:rsidR="0047354D" w:rsidRPr="0047354D" w:rsidRDefault="0047354D" w:rsidP="0047354D">
      <w:pPr>
        <w:pStyle w:val="FCGBBodyText"/>
        <w:ind w:left="720" w:hanging="720"/>
        <w:rPr>
          <w:szCs w:val="22"/>
        </w:rPr>
      </w:pPr>
      <w:r>
        <w:t>7.</w:t>
      </w:r>
      <w:r>
        <w:tab/>
      </w:r>
      <w:r w:rsidR="0021715E">
        <w:t xml:space="preserve">We are </w:t>
      </w:r>
      <w:r>
        <w:t xml:space="preserve">confident that the remaining Legal and Corporate actions allocated to </w:t>
      </w:r>
      <w:r w:rsidR="0021715E">
        <w:t xml:space="preserve">Central Services </w:t>
      </w:r>
      <w:r>
        <w:t xml:space="preserve">will be completed by the required deadline. </w:t>
      </w:r>
    </w:p>
    <w:p w:rsidR="0047354D" w:rsidRDefault="0047354D" w:rsidP="00456510">
      <w:pPr>
        <w:pStyle w:val="FCGBBodyText"/>
        <w:rPr>
          <w:color w:val="31849B" w:themeColor="accent5" w:themeShade="BF"/>
          <w:sz w:val="24"/>
          <w:szCs w:val="24"/>
        </w:rPr>
      </w:pPr>
    </w:p>
    <w:p w:rsidR="0021715E" w:rsidRDefault="0021715E">
      <w:pPr>
        <w:spacing w:after="200" w:line="276" w:lineRule="auto"/>
        <w:rPr>
          <w:rFonts w:ascii="Verdana" w:hAnsi="Verdana"/>
          <w:color w:val="31849B" w:themeColor="accent5" w:themeShade="BF"/>
          <w:szCs w:val="24"/>
        </w:rPr>
      </w:pPr>
      <w:r>
        <w:rPr>
          <w:color w:val="31849B" w:themeColor="accent5" w:themeShade="BF"/>
          <w:szCs w:val="24"/>
        </w:rPr>
        <w:br w:type="page"/>
      </w:r>
    </w:p>
    <w:p w:rsidR="00456510" w:rsidRPr="007154A5" w:rsidRDefault="00456510" w:rsidP="00456510">
      <w:pPr>
        <w:pStyle w:val="FCGBBodyText"/>
        <w:rPr>
          <w:color w:val="31849B" w:themeColor="accent5" w:themeShade="BF"/>
          <w:sz w:val="24"/>
          <w:szCs w:val="24"/>
        </w:rPr>
      </w:pPr>
      <w:r w:rsidRPr="007154A5">
        <w:rPr>
          <w:color w:val="31849B" w:themeColor="accent5" w:themeShade="BF"/>
          <w:sz w:val="24"/>
          <w:szCs w:val="24"/>
        </w:rPr>
        <w:lastRenderedPageBreak/>
        <w:t>Recommendation</w:t>
      </w:r>
    </w:p>
    <w:p w:rsidR="00456510" w:rsidRDefault="00456510" w:rsidP="00456510">
      <w:pPr>
        <w:pStyle w:val="FCGBBodyText"/>
      </w:pPr>
    </w:p>
    <w:p w:rsidR="00456510" w:rsidRDefault="0047354D" w:rsidP="00456510">
      <w:pPr>
        <w:pStyle w:val="FCGBBodyText"/>
      </w:pPr>
      <w:r>
        <w:t>8</w:t>
      </w:r>
      <w:r w:rsidR="00456510">
        <w:t>.</w:t>
      </w:r>
      <w:r w:rsidR="00456510">
        <w:tab/>
        <w:t>The Board is asked to note the progress made to date</w:t>
      </w:r>
      <w:r w:rsidR="0021715E">
        <w:t xml:space="preserve"> and the assurance given</w:t>
      </w:r>
      <w:r w:rsidR="00456510">
        <w:t>.</w:t>
      </w:r>
    </w:p>
    <w:p w:rsidR="00456510" w:rsidRDefault="00456510" w:rsidP="00456510">
      <w:pPr>
        <w:pStyle w:val="FCGBBodyText"/>
        <w:ind w:left="360"/>
      </w:pPr>
    </w:p>
    <w:p w:rsidR="00456510" w:rsidRDefault="00456510" w:rsidP="00456510">
      <w:pPr>
        <w:pStyle w:val="FCGBBodyText"/>
        <w:ind w:left="1080"/>
      </w:pPr>
    </w:p>
    <w:p w:rsidR="00456510" w:rsidRDefault="00456510" w:rsidP="00456510">
      <w:pPr>
        <w:pStyle w:val="FCGBBodyText"/>
        <w:ind w:left="1080"/>
      </w:pPr>
    </w:p>
    <w:p w:rsidR="00EE2F29" w:rsidRDefault="00456510" w:rsidP="00456510">
      <w:pPr>
        <w:pStyle w:val="Heading4"/>
      </w:pPr>
      <w:r>
        <w:t>Jean Lindsay</w:t>
      </w:r>
      <w:r>
        <w:br/>
        <w:t>Director Central Services</w:t>
      </w:r>
      <w:r>
        <w:br/>
        <w:t>November 2018</w:t>
      </w:r>
    </w:p>
    <w:p w:rsidR="00EE2F29" w:rsidRDefault="00EE2F29" w:rsidP="00EE2F29">
      <w:pPr>
        <w:pStyle w:val="FCGBBodyText"/>
        <w:sectPr w:rsidR="00EE2F29">
          <w:headerReference w:type="even" r:id="rId8"/>
          <w:headerReference w:type="default" r:id="rId9"/>
          <w:footerReference w:type="even" r:id="rId10"/>
          <w:footerReference w:type="default" r:id="rId11"/>
          <w:headerReference w:type="first" r:id="rId12"/>
          <w:footerReference w:type="first" r:id="rId13"/>
          <w:pgSz w:w="11907" w:h="16840" w:code="9"/>
          <w:pgMar w:top="2268" w:right="1134" w:bottom="1701" w:left="851" w:header="567" w:footer="567" w:gutter="0"/>
          <w:cols w:space="708"/>
          <w:titlePg/>
          <w:docGrid w:linePitch="360"/>
        </w:sectPr>
      </w:pPr>
    </w:p>
    <w:tbl>
      <w:tblPr>
        <w:tblStyle w:val="TableGrid"/>
        <w:tblpPr w:leftFromText="180" w:rightFromText="180" w:vertAnchor="page" w:horzAnchor="page" w:tblpX="265" w:tblpY="1957"/>
        <w:tblW w:w="15768" w:type="dxa"/>
        <w:tblLayout w:type="fixed"/>
        <w:tblLook w:val="04A0" w:firstRow="1" w:lastRow="0" w:firstColumn="1" w:lastColumn="0" w:noHBand="0" w:noVBand="1"/>
      </w:tblPr>
      <w:tblGrid>
        <w:gridCol w:w="1089"/>
        <w:gridCol w:w="3249"/>
        <w:gridCol w:w="4050"/>
        <w:gridCol w:w="3600"/>
        <w:gridCol w:w="1440"/>
        <w:gridCol w:w="2340"/>
      </w:tblGrid>
      <w:tr w:rsidR="00EE2F29" w:rsidRPr="00EE2F29" w:rsidTr="00EE2F29">
        <w:trPr>
          <w:cantSplit/>
          <w:tblHeader/>
        </w:trPr>
        <w:tc>
          <w:tcPr>
            <w:tcW w:w="1089"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lastRenderedPageBreak/>
              <w:t>L&amp;C File Ref</w:t>
            </w:r>
          </w:p>
        </w:tc>
        <w:tc>
          <w:tcPr>
            <w:tcW w:w="3249"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t>Issue</w:t>
            </w:r>
          </w:p>
        </w:tc>
        <w:tc>
          <w:tcPr>
            <w:tcW w:w="4050"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t>Actions</w:t>
            </w:r>
          </w:p>
        </w:tc>
        <w:tc>
          <w:tcPr>
            <w:tcW w:w="3600"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t>Progress</w:t>
            </w:r>
          </w:p>
        </w:tc>
        <w:tc>
          <w:tcPr>
            <w:tcW w:w="1440"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t>Due date</w:t>
            </w:r>
          </w:p>
        </w:tc>
        <w:tc>
          <w:tcPr>
            <w:tcW w:w="2340" w:type="dxa"/>
          </w:tcPr>
          <w:p w:rsidR="00EE2F29" w:rsidRPr="00EE2F29" w:rsidRDefault="00EE2F29" w:rsidP="00EE2F29">
            <w:pPr>
              <w:jc w:val="center"/>
              <w:rPr>
                <w:rFonts w:ascii="Verdana" w:hAnsi="Verdana"/>
                <w:b/>
                <w:sz w:val="22"/>
                <w:szCs w:val="22"/>
              </w:rPr>
            </w:pPr>
            <w:r w:rsidRPr="00EE2F29">
              <w:rPr>
                <w:rFonts w:ascii="Verdana" w:hAnsi="Verdana"/>
                <w:b/>
                <w:sz w:val="22"/>
                <w:szCs w:val="22"/>
              </w:rPr>
              <w:t>Allocated To</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1.1.1</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Commissioners – membership of the Board</w:t>
            </w:r>
          </w:p>
          <w:p w:rsidR="00EE2F29" w:rsidRPr="00EE2F29" w:rsidRDefault="00EE2F29" w:rsidP="00EE2F29">
            <w:pPr>
              <w:rPr>
                <w:rFonts w:ascii="Verdana" w:hAnsi="Verdana"/>
                <w:sz w:val="22"/>
                <w:szCs w:val="22"/>
              </w:rPr>
            </w:pPr>
            <w:r w:rsidRPr="00EE2F29">
              <w:rPr>
                <w:rFonts w:ascii="Verdana" w:hAnsi="Verdana"/>
                <w:sz w:val="22"/>
                <w:szCs w:val="22"/>
              </w:rPr>
              <w:t>Board operates as set out in Forestry Act 67, but functions only exercised in England</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Issue letters to officially stand down all three Scottish Commissioners and thank them for their service</w:t>
            </w:r>
          </w:p>
        </w:tc>
        <w:tc>
          <w:tcPr>
            <w:tcW w:w="3600" w:type="dxa"/>
          </w:tcPr>
          <w:p w:rsidR="00EE2F29" w:rsidRPr="00EE2F29" w:rsidRDefault="00EE2F29" w:rsidP="00EE2F29">
            <w:pPr>
              <w:rPr>
                <w:rFonts w:ascii="Verdana" w:hAnsi="Verdana"/>
                <w:sz w:val="22"/>
                <w:szCs w:val="22"/>
              </w:rPr>
            </w:pPr>
            <w:r w:rsidRPr="00EE2F29">
              <w:rPr>
                <w:rFonts w:ascii="Verdana" w:hAnsi="Verdana"/>
                <w:sz w:val="22"/>
                <w:szCs w:val="22"/>
              </w:rPr>
              <w:t>Letter drafted and approved for use at the appropriate time</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February - March 2019</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Stephen Bennett</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1.2.3</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Plant Health Competent Authority</w:t>
            </w:r>
          </w:p>
          <w:p w:rsidR="00EE2F29" w:rsidRPr="00EE2F29" w:rsidRDefault="00EE2F29" w:rsidP="00EE2F29">
            <w:pPr>
              <w:rPr>
                <w:rFonts w:ascii="Verdana" w:hAnsi="Verdana"/>
                <w:sz w:val="22"/>
                <w:szCs w:val="22"/>
              </w:rPr>
            </w:pPr>
            <w:r w:rsidRPr="00EE2F29">
              <w:rPr>
                <w:rFonts w:ascii="Verdana" w:hAnsi="Verdana"/>
                <w:sz w:val="22"/>
                <w:szCs w:val="22"/>
              </w:rPr>
              <w:t xml:space="preserve">Ensure the powers and duties under the PH Act are appropriately transferred i.e. no residual powers remain with the Commissioners with regard to Scotland </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Need to agree Scotland Act Order (Section 104) to provide competent authority function to Scotland to ensure not detrimental to the interests of the Commissioners, and no inadvertent consequences for Wales.  Requires Westminster scrutiny as changing Westminster legislation.</w:t>
            </w:r>
          </w:p>
          <w:p w:rsidR="00EE2F29" w:rsidRPr="00EE2F29" w:rsidRDefault="00EE2F29" w:rsidP="00EE2F29">
            <w:pPr>
              <w:rPr>
                <w:rFonts w:ascii="Verdana" w:hAnsi="Verdana"/>
                <w:sz w:val="22"/>
                <w:szCs w:val="22"/>
              </w:rPr>
            </w:pPr>
            <w:r w:rsidRPr="00EE2F29">
              <w:rPr>
                <w:rFonts w:ascii="Verdana" w:hAnsi="Verdana"/>
                <w:sz w:val="22"/>
                <w:szCs w:val="22"/>
              </w:rPr>
              <w:t>2.  Draft and agree MoUs to provide plant health competent authority function to both Scotland and Wales.</w:t>
            </w:r>
          </w:p>
          <w:p w:rsidR="00EE2F29" w:rsidRPr="00EE2F29" w:rsidRDefault="00EE2F29" w:rsidP="00EE2F29">
            <w:pPr>
              <w:rPr>
                <w:rFonts w:ascii="Verdana" w:hAnsi="Verdana"/>
                <w:sz w:val="22"/>
                <w:szCs w:val="22"/>
              </w:rPr>
            </w:pPr>
            <w:r w:rsidRPr="00EE2F29">
              <w:rPr>
                <w:rFonts w:ascii="Verdana" w:hAnsi="Verdana"/>
                <w:sz w:val="22"/>
                <w:szCs w:val="22"/>
              </w:rPr>
              <w:t>3.  Agree funding arrangements.</w:t>
            </w:r>
          </w:p>
        </w:tc>
        <w:tc>
          <w:tcPr>
            <w:tcW w:w="3600" w:type="dxa"/>
          </w:tcPr>
          <w:p w:rsidR="00EE2F29" w:rsidRPr="00EE2F29" w:rsidRDefault="00EE2F29" w:rsidP="00EE2F29">
            <w:pPr>
              <w:pStyle w:val="ListParagraph"/>
              <w:spacing w:after="120"/>
              <w:ind w:left="0"/>
              <w:rPr>
                <w:rFonts w:ascii="Verdana" w:hAnsi="Verdana"/>
                <w:sz w:val="22"/>
                <w:szCs w:val="22"/>
              </w:rPr>
            </w:pPr>
            <w:r w:rsidRPr="00EE2F29">
              <w:rPr>
                <w:rFonts w:ascii="Verdana" w:hAnsi="Verdana"/>
                <w:sz w:val="22"/>
                <w:szCs w:val="22"/>
              </w:rPr>
              <w:t xml:space="preserve">Confirmed that the transfer of the competent authority is covered by the main FLM (Scotland) Act and not the Orders: </w:t>
            </w:r>
            <w:r w:rsidRPr="00EE2F29">
              <w:rPr>
                <w:rFonts w:ascii="Verdana" w:hAnsi="Verdana"/>
                <w:i/>
                <w:sz w:val="22"/>
                <w:szCs w:val="22"/>
              </w:rPr>
              <w:t>8(1</w:t>
            </w:r>
            <w:proofErr w:type="gramStart"/>
            <w:r w:rsidRPr="00EE2F29">
              <w:rPr>
                <w:rFonts w:ascii="Verdana" w:hAnsi="Verdana"/>
                <w:i/>
                <w:sz w:val="22"/>
                <w:szCs w:val="22"/>
              </w:rPr>
              <w:t>)(</w:t>
            </w:r>
            <w:proofErr w:type="gramEnd"/>
            <w:r w:rsidRPr="00EE2F29">
              <w:rPr>
                <w:rFonts w:ascii="Verdana" w:hAnsi="Verdana"/>
                <w:i/>
                <w:sz w:val="22"/>
                <w:szCs w:val="22"/>
              </w:rPr>
              <w:t>2)a …insert ‘for Scotland, the Scottish Ministers’</w:t>
            </w:r>
            <w:r w:rsidRPr="00EE2F29">
              <w:rPr>
                <w:rFonts w:ascii="Verdana" w:hAnsi="Verdana"/>
                <w:sz w:val="22"/>
                <w:szCs w:val="22"/>
              </w:rPr>
              <w:t>.</w:t>
            </w:r>
          </w:p>
          <w:p w:rsidR="00EE2F29" w:rsidRPr="00EE2F29" w:rsidRDefault="00EE2F29" w:rsidP="00EE2F29">
            <w:pPr>
              <w:pStyle w:val="ListParagraph"/>
              <w:spacing w:after="120"/>
              <w:ind w:left="360"/>
              <w:rPr>
                <w:rFonts w:ascii="Verdana" w:hAnsi="Verdana"/>
                <w:sz w:val="22"/>
                <w:szCs w:val="22"/>
              </w:rPr>
            </w:pP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r w:rsidRPr="00EE2F29">
              <w:rPr>
                <w:rFonts w:ascii="Verdana" w:hAnsi="Verdana"/>
                <w:sz w:val="22"/>
                <w:szCs w:val="22"/>
              </w:rPr>
              <w:br/>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2.2.1.1</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EE2F29" w:rsidRPr="00EE2F29" w:rsidRDefault="00EE2F29" w:rsidP="00EE2F29">
            <w:pPr>
              <w:rPr>
                <w:rFonts w:ascii="Verdana" w:hAnsi="Verdana"/>
                <w:sz w:val="22"/>
                <w:szCs w:val="22"/>
              </w:rPr>
            </w:pPr>
            <w:r w:rsidRPr="00EE2F29">
              <w:rPr>
                <w:rFonts w:ascii="Verdana" w:hAnsi="Verdana"/>
                <w:b/>
                <w:sz w:val="22"/>
                <w:szCs w:val="22"/>
              </w:rPr>
              <w:t>Honours and ISM</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 xml:space="preserve">Inform Cabinet Office of FC’s new structure, changing number of staff and new lead contact </w:t>
            </w:r>
          </w:p>
          <w:p w:rsidR="00EE2F29" w:rsidRPr="00EE2F29" w:rsidRDefault="00EE2F29" w:rsidP="00EE2F29">
            <w:pPr>
              <w:rPr>
                <w:rFonts w:ascii="Verdana" w:hAnsi="Verdana"/>
                <w:sz w:val="22"/>
                <w:szCs w:val="22"/>
              </w:rPr>
            </w:pPr>
            <w:r w:rsidRPr="00EE2F29">
              <w:rPr>
                <w:rFonts w:ascii="Verdana" w:hAnsi="Verdana"/>
                <w:sz w:val="22"/>
                <w:szCs w:val="22"/>
              </w:rPr>
              <w:t>(FCE leading on BD19 Honours round)</w:t>
            </w:r>
          </w:p>
        </w:tc>
        <w:tc>
          <w:tcPr>
            <w:tcW w:w="3600" w:type="dxa"/>
          </w:tcPr>
          <w:p w:rsidR="00EE2F29" w:rsidRPr="00EE2F29" w:rsidRDefault="00EE2F29" w:rsidP="00EE2F29">
            <w:pPr>
              <w:rPr>
                <w:rFonts w:ascii="Verdana" w:hAnsi="Verdana"/>
                <w:sz w:val="22"/>
                <w:szCs w:val="22"/>
              </w:rPr>
            </w:pP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December 2018</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Stephen Bennett</w:t>
            </w:r>
          </w:p>
        </w:tc>
      </w:tr>
      <w:tr w:rsidR="00EE2F29" w:rsidRPr="00EE2F29" w:rsidTr="00EE2F29">
        <w:trPr>
          <w:cantSplit/>
        </w:trPr>
        <w:tc>
          <w:tcPr>
            <w:tcW w:w="1089" w:type="dxa"/>
          </w:tcPr>
          <w:p w:rsidR="00F34085" w:rsidRDefault="00F34085"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2.2.2.2</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F34085" w:rsidRDefault="00F34085"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Departmental Records</w:t>
            </w:r>
          </w:p>
        </w:tc>
        <w:tc>
          <w:tcPr>
            <w:tcW w:w="4050" w:type="dxa"/>
          </w:tcPr>
          <w:p w:rsidR="00F34085" w:rsidRDefault="00F34085"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Pull together a clear protocol for identifying, managing and transferring files and legacy data.</w:t>
            </w:r>
          </w:p>
          <w:p w:rsidR="00EE2F29" w:rsidRPr="00EE2F29" w:rsidRDefault="00EE2F29" w:rsidP="00EE2F29">
            <w:pPr>
              <w:rPr>
                <w:rFonts w:ascii="Verdana" w:hAnsi="Verdana"/>
                <w:sz w:val="22"/>
                <w:szCs w:val="22"/>
              </w:rPr>
            </w:pPr>
          </w:p>
          <w:p w:rsidR="00EE2F29" w:rsidRPr="00EE2F29" w:rsidRDefault="00EE2F29" w:rsidP="00EE2F29">
            <w:pPr>
              <w:rPr>
                <w:rFonts w:ascii="Verdana" w:hAnsi="Verdana"/>
                <w:sz w:val="22"/>
                <w:szCs w:val="22"/>
              </w:rPr>
            </w:pPr>
          </w:p>
        </w:tc>
        <w:tc>
          <w:tcPr>
            <w:tcW w:w="3600" w:type="dxa"/>
          </w:tcPr>
          <w:p w:rsidR="00F34085" w:rsidRDefault="00F34085" w:rsidP="00EE2F29">
            <w:pPr>
              <w:rPr>
                <w:rFonts w:ascii="Verdana" w:hAnsi="Verdana"/>
                <w:sz w:val="22"/>
                <w:szCs w:val="22"/>
              </w:rPr>
            </w:pPr>
          </w:p>
          <w:p w:rsidR="00EE2F29" w:rsidRPr="00EE2F29" w:rsidRDefault="00EE2F29" w:rsidP="005F2F11">
            <w:pPr>
              <w:rPr>
                <w:rFonts w:ascii="Verdana" w:hAnsi="Verdana"/>
                <w:sz w:val="22"/>
                <w:szCs w:val="22"/>
              </w:rPr>
            </w:pPr>
            <w:r w:rsidRPr="00EE2F29">
              <w:rPr>
                <w:rFonts w:ascii="Verdana" w:hAnsi="Verdana"/>
                <w:sz w:val="22"/>
                <w:szCs w:val="22"/>
              </w:rPr>
              <w:t>Action plan in place and approved by CSMB.  Inventory of IAR’s now recorded</w:t>
            </w:r>
            <w:r w:rsidR="005F2F11">
              <w:rPr>
                <w:rFonts w:ascii="Verdana" w:hAnsi="Verdana"/>
                <w:sz w:val="22"/>
                <w:szCs w:val="22"/>
              </w:rPr>
              <w:t>.</w:t>
            </w:r>
            <w:r w:rsidRPr="00EE2F29">
              <w:rPr>
                <w:rFonts w:ascii="Verdana" w:hAnsi="Verdana"/>
                <w:sz w:val="22"/>
                <w:szCs w:val="22"/>
              </w:rPr>
              <w:t xml:space="preserve"> </w:t>
            </w:r>
            <w:r w:rsidR="00F34085">
              <w:rPr>
                <w:rFonts w:ascii="Verdana" w:hAnsi="Verdana"/>
                <w:iCs/>
                <w:sz w:val="22"/>
                <w:szCs w:val="22"/>
              </w:rPr>
              <w:t xml:space="preserve">Exploring </w:t>
            </w:r>
            <w:r w:rsidRPr="00EE2F29">
              <w:rPr>
                <w:rFonts w:ascii="Verdana" w:hAnsi="Verdana"/>
                <w:iCs/>
                <w:sz w:val="22"/>
                <w:szCs w:val="22"/>
              </w:rPr>
              <w:t xml:space="preserve">any new GDPR requirements for transferring personal data especially where this is held by consent. </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Nicol Sinclair</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2.2.3.2</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Firearms</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Agree Scotland Act Order to transfer Firearms</w:t>
            </w:r>
          </w:p>
          <w:p w:rsidR="00EE2F29" w:rsidRPr="00EE2F29" w:rsidRDefault="00EE2F29" w:rsidP="00EE2F29">
            <w:pPr>
              <w:pStyle w:val="ListParagraph"/>
              <w:numPr>
                <w:ilvl w:val="0"/>
                <w:numId w:val="13"/>
              </w:numPr>
              <w:rPr>
                <w:rFonts w:ascii="Verdana" w:hAnsi="Verdana"/>
                <w:sz w:val="22"/>
                <w:szCs w:val="22"/>
              </w:rPr>
            </w:pPr>
            <w:r w:rsidRPr="00EE2F29">
              <w:rPr>
                <w:rFonts w:ascii="Verdana" w:hAnsi="Verdana"/>
                <w:sz w:val="22"/>
                <w:szCs w:val="22"/>
              </w:rPr>
              <w:t>Need to check inventory when we get to S90 drafts and agree process for recalling FC authority cards.</w:t>
            </w:r>
          </w:p>
          <w:p w:rsidR="00EE2F29" w:rsidRPr="00EE2F29" w:rsidRDefault="00EE2F29" w:rsidP="00EE2F29">
            <w:pPr>
              <w:rPr>
                <w:rFonts w:ascii="Verdana" w:hAnsi="Verdana"/>
                <w:sz w:val="22"/>
                <w:szCs w:val="22"/>
              </w:rPr>
            </w:pPr>
            <w:r w:rsidRPr="00EE2F29">
              <w:rPr>
                <w:rFonts w:ascii="Verdana" w:hAnsi="Verdana"/>
                <w:sz w:val="22"/>
                <w:szCs w:val="22"/>
              </w:rPr>
              <w:t>2.  Ensure FC licences/permissions are revoked – request a list so that FC can revoke permission</w:t>
            </w:r>
          </w:p>
        </w:tc>
        <w:tc>
          <w:tcPr>
            <w:tcW w:w="3600" w:type="dxa"/>
          </w:tcPr>
          <w:p w:rsidR="00EE2F29" w:rsidRPr="00EE2F29" w:rsidRDefault="00EE2F29" w:rsidP="00EE2F29">
            <w:pPr>
              <w:pStyle w:val="ListParagraph"/>
              <w:numPr>
                <w:ilvl w:val="0"/>
                <w:numId w:val="17"/>
              </w:numPr>
              <w:spacing w:after="120"/>
              <w:rPr>
                <w:rFonts w:ascii="Verdana" w:hAnsi="Verdana"/>
                <w:sz w:val="22"/>
                <w:szCs w:val="22"/>
              </w:rPr>
            </w:pPr>
            <w:r w:rsidRPr="00EE2F29">
              <w:rPr>
                <w:rFonts w:ascii="Verdana" w:hAnsi="Verdana"/>
                <w:sz w:val="22"/>
                <w:szCs w:val="22"/>
              </w:rPr>
              <w:t>S90 will transfer all FCS/FES assets by default so no action is needed.</w:t>
            </w:r>
          </w:p>
          <w:p w:rsidR="00EE2F29" w:rsidRPr="00EE2F29" w:rsidRDefault="00F34085" w:rsidP="00EE2F29">
            <w:pPr>
              <w:pStyle w:val="ListParagraph"/>
              <w:numPr>
                <w:ilvl w:val="0"/>
                <w:numId w:val="17"/>
              </w:numPr>
              <w:spacing w:after="120"/>
              <w:rPr>
                <w:rFonts w:ascii="Verdana" w:hAnsi="Verdana"/>
                <w:sz w:val="22"/>
                <w:szCs w:val="22"/>
              </w:rPr>
            </w:pPr>
            <w:r>
              <w:rPr>
                <w:rFonts w:ascii="Verdana" w:hAnsi="Verdana"/>
                <w:sz w:val="22"/>
                <w:szCs w:val="22"/>
              </w:rPr>
              <w:t>A</w:t>
            </w:r>
            <w:r w:rsidR="00EE2F29" w:rsidRPr="00EE2F29">
              <w:rPr>
                <w:rFonts w:ascii="Verdana" w:hAnsi="Verdana"/>
                <w:sz w:val="22"/>
                <w:szCs w:val="22"/>
              </w:rPr>
              <w:t>gree</w:t>
            </w:r>
            <w:r>
              <w:rPr>
                <w:rFonts w:ascii="Verdana" w:hAnsi="Verdana"/>
                <w:sz w:val="22"/>
                <w:szCs w:val="22"/>
              </w:rPr>
              <w:t>d</w:t>
            </w:r>
            <w:r w:rsidR="00EE2F29" w:rsidRPr="00EE2F29">
              <w:rPr>
                <w:rFonts w:ascii="Verdana" w:hAnsi="Verdana"/>
                <w:sz w:val="22"/>
                <w:szCs w:val="22"/>
              </w:rPr>
              <w:t xml:space="preserve"> additional actions</w:t>
            </w:r>
            <w:r>
              <w:rPr>
                <w:rFonts w:ascii="Verdana" w:hAnsi="Verdana"/>
                <w:sz w:val="22"/>
                <w:szCs w:val="22"/>
              </w:rPr>
              <w:t xml:space="preserve"> with FES</w:t>
            </w:r>
            <w:r w:rsidR="00EE2F29" w:rsidRPr="00EE2F29">
              <w:rPr>
                <w:rFonts w:ascii="Verdana" w:hAnsi="Verdana"/>
                <w:sz w:val="22"/>
                <w:szCs w:val="22"/>
              </w:rPr>
              <w:t>:</w:t>
            </w:r>
          </w:p>
          <w:p w:rsidR="00EE2F29" w:rsidRPr="00EE2F29" w:rsidRDefault="00EE2F29" w:rsidP="00EE2F29">
            <w:pPr>
              <w:pStyle w:val="ListParagraph"/>
              <w:numPr>
                <w:ilvl w:val="0"/>
                <w:numId w:val="18"/>
              </w:numPr>
              <w:contextualSpacing w:val="0"/>
              <w:rPr>
                <w:rFonts w:ascii="Verdana" w:hAnsi="Verdana"/>
                <w:i/>
                <w:sz w:val="22"/>
                <w:szCs w:val="22"/>
              </w:rPr>
            </w:pPr>
            <w:proofErr w:type="gramStart"/>
            <w:r w:rsidRPr="00EE2F29">
              <w:rPr>
                <w:rFonts w:ascii="Verdana" w:hAnsi="Verdana"/>
                <w:i/>
                <w:sz w:val="22"/>
                <w:szCs w:val="22"/>
              </w:rPr>
              <w:t>list</w:t>
            </w:r>
            <w:proofErr w:type="gramEnd"/>
            <w:r w:rsidRPr="00EE2F29">
              <w:rPr>
                <w:rFonts w:ascii="Verdana" w:hAnsi="Verdana"/>
                <w:i/>
                <w:sz w:val="22"/>
                <w:szCs w:val="22"/>
              </w:rPr>
              <w:t xml:space="preserve"> of which firearms are transferring.</w:t>
            </w:r>
          </w:p>
          <w:p w:rsidR="00EE2F29" w:rsidRPr="00EE2F29" w:rsidRDefault="00EE2F29" w:rsidP="00EE2F29">
            <w:pPr>
              <w:pStyle w:val="ListParagraph"/>
              <w:numPr>
                <w:ilvl w:val="0"/>
                <w:numId w:val="18"/>
              </w:numPr>
              <w:contextualSpacing w:val="0"/>
              <w:rPr>
                <w:rFonts w:ascii="Verdana" w:hAnsi="Verdana"/>
                <w:i/>
                <w:sz w:val="22"/>
                <w:szCs w:val="22"/>
              </w:rPr>
            </w:pPr>
            <w:r w:rsidRPr="00EE2F29">
              <w:rPr>
                <w:rFonts w:ascii="Verdana" w:hAnsi="Verdana"/>
                <w:i/>
                <w:sz w:val="22"/>
                <w:szCs w:val="22"/>
              </w:rPr>
              <w:t xml:space="preserve">FC </w:t>
            </w:r>
            <w:r w:rsidR="00F34085">
              <w:rPr>
                <w:rFonts w:ascii="Verdana" w:hAnsi="Verdana"/>
                <w:i/>
                <w:sz w:val="22"/>
                <w:szCs w:val="22"/>
              </w:rPr>
              <w:t xml:space="preserve">will </w:t>
            </w:r>
            <w:r w:rsidRPr="00EE2F29">
              <w:rPr>
                <w:rFonts w:ascii="Verdana" w:hAnsi="Verdana"/>
                <w:i/>
                <w:sz w:val="22"/>
                <w:szCs w:val="22"/>
              </w:rPr>
              <w:t xml:space="preserve">have a record of how it has disposed of these firearms </w:t>
            </w:r>
          </w:p>
          <w:p w:rsidR="00EE2F29" w:rsidRPr="00EE2F29" w:rsidRDefault="00EE2F29" w:rsidP="00EE2F29">
            <w:pPr>
              <w:pStyle w:val="ListParagraph"/>
              <w:numPr>
                <w:ilvl w:val="0"/>
                <w:numId w:val="18"/>
              </w:numPr>
              <w:contextualSpacing w:val="0"/>
              <w:rPr>
                <w:rFonts w:ascii="Verdana" w:hAnsi="Verdana"/>
                <w:i/>
                <w:sz w:val="22"/>
                <w:szCs w:val="22"/>
              </w:rPr>
            </w:pPr>
            <w:r w:rsidRPr="00EE2F29">
              <w:rPr>
                <w:rFonts w:ascii="Verdana" w:hAnsi="Verdana"/>
                <w:i/>
                <w:sz w:val="22"/>
                <w:szCs w:val="22"/>
              </w:rPr>
              <w:t>Need to tell the po</w:t>
            </w:r>
            <w:r w:rsidR="00F34085">
              <w:rPr>
                <w:rFonts w:ascii="Verdana" w:hAnsi="Verdana"/>
                <w:i/>
                <w:sz w:val="22"/>
                <w:szCs w:val="22"/>
              </w:rPr>
              <w:t>lice of the change of ownership</w:t>
            </w:r>
          </w:p>
          <w:p w:rsidR="00EE2F29" w:rsidRPr="00F34085" w:rsidRDefault="00EE2F29" w:rsidP="00F34085">
            <w:pPr>
              <w:pStyle w:val="ListParagraph"/>
              <w:numPr>
                <w:ilvl w:val="0"/>
                <w:numId w:val="18"/>
              </w:numPr>
              <w:contextualSpacing w:val="0"/>
              <w:rPr>
                <w:rFonts w:ascii="Verdana" w:hAnsi="Verdana"/>
                <w:sz w:val="22"/>
                <w:szCs w:val="22"/>
              </w:rPr>
            </w:pPr>
            <w:r w:rsidRPr="00EE2F29">
              <w:rPr>
                <w:rFonts w:ascii="Verdana" w:hAnsi="Verdana"/>
                <w:i/>
                <w:sz w:val="22"/>
                <w:szCs w:val="22"/>
              </w:rPr>
              <w:t>Need to revoke and collect FC authority cards.</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3.2</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Land and Leases</w:t>
            </w:r>
          </w:p>
        </w:tc>
        <w:tc>
          <w:tcPr>
            <w:tcW w:w="4050" w:type="dxa"/>
          </w:tcPr>
          <w:p w:rsidR="00EE2F29" w:rsidRPr="00EE2F29" w:rsidRDefault="00EE2F29" w:rsidP="00F34085">
            <w:pPr>
              <w:rPr>
                <w:rFonts w:ascii="Verdana" w:hAnsi="Verdana"/>
                <w:sz w:val="22"/>
                <w:szCs w:val="22"/>
              </w:rPr>
            </w:pPr>
            <w:r w:rsidRPr="00EE2F29">
              <w:rPr>
                <w:rFonts w:ascii="Verdana" w:hAnsi="Verdana"/>
                <w:sz w:val="22"/>
                <w:szCs w:val="22"/>
              </w:rPr>
              <w:t>Agree Scotland Act Order (FC needs to agree what leases transfer and ensure any current or future liabilities with regard to Scotland are correctly transferred and that the interest of the Commissioners are protected)</w:t>
            </w:r>
          </w:p>
        </w:tc>
        <w:tc>
          <w:tcPr>
            <w:tcW w:w="3600" w:type="dxa"/>
          </w:tcPr>
          <w:p w:rsidR="00EE2F29" w:rsidRPr="00EE2F29" w:rsidRDefault="00EE2F29" w:rsidP="00F34085">
            <w:pPr>
              <w:pStyle w:val="ListParagraph"/>
              <w:ind w:left="0"/>
              <w:rPr>
                <w:rFonts w:ascii="Verdana" w:hAnsi="Verdana"/>
                <w:sz w:val="22"/>
                <w:szCs w:val="22"/>
              </w:rPr>
            </w:pPr>
            <w:r w:rsidRPr="00EE2F29">
              <w:rPr>
                <w:rFonts w:ascii="Verdana" w:hAnsi="Verdana"/>
                <w:sz w:val="22"/>
                <w:szCs w:val="22"/>
              </w:rPr>
              <w:t xml:space="preserve">List now agreed by FCEB and awaiting </w:t>
            </w:r>
            <w:proofErr w:type="spellStart"/>
            <w:r w:rsidRPr="00EE2F29">
              <w:rPr>
                <w:rFonts w:ascii="Verdana" w:hAnsi="Verdana"/>
                <w:sz w:val="22"/>
                <w:szCs w:val="22"/>
              </w:rPr>
              <w:t>fnal</w:t>
            </w:r>
            <w:proofErr w:type="spellEnd"/>
            <w:r w:rsidRPr="00EE2F29">
              <w:rPr>
                <w:rFonts w:ascii="Verdana" w:hAnsi="Verdana"/>
                <w:sz w:val="22"/>
                <w:szCs w:val="22"/>
              </w:rPr>
              <w:t xml:space="preserve"> drafting from lawyers.</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F34085" w:rsidRDefault="00F34085"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3.2.1</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F34085" w:rsidRDefault="00F34085"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Silvan House</w:t>
            </w:r>
          </w:p>
        </w:tc>
        <w:tc>
          <w:tcPr>
            <w:tcW w:w="4050" w:type="dxa"/>
          </w:tcPr>
          <w:p w:rsidR="00F34085" w:rsidRDefault="00F34085" w:rsidP="00EE2F29">
            <w:pPr>
              <w:rPr>
                <w:rFonts w:ascii="Verdana" w:hAnsi="Verdana"/>
                <w:sz w:val="22"/>
                <w:szCs w:val="22"/>
              </w:rPr>
            </w:pPr>
          </w:p>
          <w:p w:rsidR="00EE2F29" w:rsidRPr="00EE2F29" w:rsidRDefault="00F34085" w:rsidP="00F34085">
            <w:pPr>
              <w:rPr>
                <w:rFonts w:ascii="Verdana" w:hAnsi="Verdana"/>
                <w:sz w:val="22"/>
                <w:szCs w:val="22"/>
              </w:rPr>
            </w:pPr>
            <w:r>
              <w:rPr>
                <w:rFonts w:ascii="Verdana" w:hAnsi="Verdana"/>
                <w:sz w:val="22"/>
                <w:szCs w:val="22"/>
              </w:rPr>
              <w:t xml:space="preserve">Agree </w:t>
            </w:r>
            <w:r w:rsidR="00EE2F29" w:rsidRPr="00EE2F29">
              <w:rPr>
                <w:rFonts w:ascii="Verdana" w:hAnsi="Verdana"/>
                <w:sz w:val="22"/>
                <w:szCs w:val="22"/>
              </w:rPr>
              <w:t>with Scottish Government the future of Silvan House property</w:t>
            </w:r>
          </w:p>
        </w:tc>
        <w:tc>
          <w:tcPr>
            <w:tcW w:w="3600" w:type="dxa"/>
          </w:tcPr>
          <w:p w:rsidR="00F34085" w:rsidRDefault="00F34085"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FC Silvan House Futures Project set up</w:t>
            </w:r>
            <w:r w:rsidR="00F34085">
              <w:rPr>
                <w:rFonts w:ascii="Verdana" w:hAnsi="Verdana"/>
                <w:sz w:val="22"/>
                <w:szCs w:val="22"/>
              </w:rPr>
              <w:t xml:space="preserve">. </w:t>
            </w:r>
            <w:r w:rsidRPr="00EE2F29">
              <w:rPr>
                <w:rFonts w:ascii="Verdana" w:hAnsi="Verdana"/>
                <w:sz w:val="22"/>
                <w:szCs w:val="22"/>
              </w:rPr>
              <w:t xml:space="preserve"> Jean Lindsay is SRO with Chris Smith as Project Manager.  Engaged the support of Scotland Land Agent.  Served notice on SH tenants</w:t>
            </w:r>
          </w:p>
          <w:p w:rsidR="00EE2F29" w:rsidRPr="00EE2F29" w:rsidRDefault="00EE2F29" w:rsidP="00EE2F29">
            <w:pPr>
              <w:rPr>
                <w:rFonts w:ascii="Verdana" w:hAnsi="Verdana"/>
                <w:sz w:val="22"/>
                <w:szCs w:val="22"/>
              </w:rPr>
            </w:pPr>
            <w:r w:rsidRPr="00EE2F29">
              <w:rPr>
                <w:rFonts w:ascii="Verdana" w:hAnsi="Verdana"/>
                <w:sz w:val="22"/>
                <w:szCs w:val="22"/>
              </w:rPr>
              <w:t xml:space="preserve">Option agreed by EB </w:t>
            </w:r>
            <w:proofErr w:type="gramStart"/>
            <w:r w:rsidRPr="00EE2F29">
              <w:rPr>
                <w:rFonts w:ascii="Verdana" w:hAnsi="Verdana"/>
                <w:sz w:val="22"/>
                <w:szCs w:val="22"/>
              </w:rPr>
              <w:t>and  SG</w:t>
            </w:r>
            <w:proofErr w:type="gramEnd"/>
            <w:r w:rsidR="00F34085">
              <w:rPr>
                <w:rFonts w:ascii="Verdana" w:hAnsi="Verdana"/>
                <w:sz w:val="22"/>
                <w:szCs w:val="22"/>
              </w:rPr>
              <w:t>.</w:t>
            </w:r>
          </w:p>
          <w:p w:rsidR="00EE2F29" w:rsidRPr="00EE2F29" w:rsidRDefault="00F34085" w:rsidP="00EE2F29">
            <w:pPr>
              <w:rPr>
                <w:rFonts w:ascii="Verdana" w:hAnsi="Verdana"/>
                <w:sz w:val="22"/>
                <w:szCs w:val="22"/>
              </w:rPr>
            </w:pPr>
            <w:r>
              <w:rPr>
                <w:rFonts w:ascii="Verdana" w:hAnsi="Verdana"/>
                <w:sz w:val="22"/>
                <w:szCs w:val="22"/>
              </w:rPr>
              <w:t>Now in negotiations with SG</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Jean Lindsay</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3.3.1</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TOPOS 1999</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Agree Scotland Act Order (ensure no FR properties are transferred in error)</w:t>
            </w:r>
          </w:p>
          <w:p w:rsidR="00EE2F29" w:rsidRPr="00EE2F29" w:rsidRDefault="00EE2F29" w:rsidP="00EE2F29">
            <w:pPr>
              <w:rPr>
                <w:rFonts w:ascii="Verdana" w:hAnsi="Verdana"/>
                <w:sz w:val="22"/>
                <w:szCs w:val="22"/>
              </w:rPr>
            </w:pPr>
            <w:r w:rsidRPr="00EE2F29">
              <w:rPr>
                <w:rFonts w:ascii="Verdana" w:hAnsi="Verdana"/>
                <w:sz w:val="22"/>
                <w:szCs w:val="22"/>
              </w:rPr>
              <w:t>2.  Ensure any current or future liabilities with regard to Scotland are correctly transferred and that the interest of the Commissioners are protected</w:t>
            </w:r>
          </w:p>
        </w:tc>
        <w:tc>
          <w:tcPr>
            <w:tcW w:w="3600" w:type="dxa"/>
          </w:tcPr>
          <w:p w:rsidR="00EE2F29" w:rsidRPr="00EE2F29" w:rsidRDefault="00EE2F29" w:rsidP="00F34085">
            <w:pPr>
              <w:pStyle w:val="ListParagraph"/>
              <w:ind w:left="0"/>
              <w:rPr>
                <w:rFonts w:ascii="Verdana" w:hAnsi="Verdana"/>
                <w:sz w:val="22"/>
                <w:szCs w:val="22"/>
              </w:rPr>
            </w:pPr>
            <w:r w:rsidRPr="00EE2F29">
              <w:rPr>
                <w:rFonts w:ascii="Verdana" w:hAnsi="Verdana"/>
                <w:sz w:val="22"/>
                <w:szCs w:val="22"/>
              </w:rPr>
              <w:t>List now agreed by FCEB and awaiting final drafting from lawyers.</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3.4</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UKWAS</w:t>
            </w:r>
          </w:p>
          <w:p w:rsidR="00EE2F29" w:rsidRPr="00EE2F29" w:rsidRDefault="00EE2F29" w:rsidP="00EE2F29">
            <w:pPr>
              <w:rPr>
                <w:rFonts w:ascii="Verdana" w:hAnsi="Verdana"/>
                <w:sz w:val="22"/>
                <w:szCs w:val="22"/>
              </w:rPr>
            </w:pPr>
            <w:r w:rsidRPr="00EE2F29">
              <w:rPr>
                <w:rFonts w:ascii="Verdana" w:hAnsi="Verdana"/>
                <w:sz w:val="22"/>
                <w:szCs w:val="22"/>
              </w:rPr>
              <w:t>FCE already a separate member of UKWAS</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Check future representation on UKWAS Board</w:t>
            </w:r>
          </w:p>
          <w:p w:rsidR="00EE2F29" w:rsidRPr="00EE2F29" w:rsidRDefault="00EE2F29" w:rsidP="00EE2F29">
            <w:pPr>
              <w:pStyle w:val="ListParagraph"/>
              <w:numPr>
                <w:ilvl w:val="0"/>
                <w:numId w:val="8"/>
              </w:numPr>
              <w:rPr>
                <w:rFonts w:ascii="Verdana" w:hAnsi="Verdana"/>
                <w:sz w:val="22"/>
                <w:szCs w:val="22"/>
              </w:rPr>
            </w:pPr>
            <w:r w:rsidRPr="00EE2F29">
              <w:rPr>
                <w:rFonts w:ascii="Verdana" w:hAnsi="Verdana"/>
                <w:sz w:val="22"/>
                <w:szCs w:val="22"/>
              </w:rPr>
              <w:t xml:space="preserve">Covered by CBWG review of all UK wide representation </w:t>
            </w:r>
          </w:p>
          <w:p w:rsidR="00EE2F29" w:rsidRPr="00EE2F29" w:rsidRDefault="00EE2F29" w:rsidP="00EE2F29">
            <w:pPr>
              <w:pStyle w:val="ListParagraph"/>
              <w:numPr>
                <w:ilvl w:val="0"/>
                <w:numId w:val="8"/>
              </w:numPr>
              <w:rPr>
                <w:rFonts w:ascii="Verdana" w:hAnsi="Verdana"/>
                <w:sz w:val="22"/>
                <w:szCs w:val="22"/>
              </w:rPr>
            </w:pPr>
            <w:r w:rsidRPr="00EE2F29">
              <w:rPr>
                <w:rFonts w:ascii="Verdana" w:hAnsi="Verdana"/>
                <w:sz w:val="22"/>
                <w:szCs w:val="22"/>
              </w:rPr>
              <w:t>Need to agree that one of the Scottish bodies becomes the new ‘UK Standard Setting Body’</w:t>
            </w:r>
          </w:p>
          <w:p w:rsidR="00EE2F29" w:rsidRPr="00EE2F29" w:rsidRDefault="00EE2F29" w:rsidP="00EE2F29">
            <w:pPr>
              <w:rPr>
                <w:rFonts w:ascii="Verdana" w:hAnsi="Verdana"/>
                <w:sz w:val="22"/>
                <w:szCs w:val="22"/>
              </w:rPr>
            </w:pPr>
            <w:r w:rsidRPr="00EE2F29">
              <w:rPr>
                <w:rFonts w:ascii="Verdana" w:hAnsi="Verdana"/>
                <w:sz w:val="22"/>
                <w:szCs w:val="22"/>
              </w:rPr>
              <w:t>2.  Check future financial support</w:t>
            </w:r>
          </w:p>
          <w:p w:rsidR="00EE2F29" w:rsidRPr="00EE2F29" w:rsidRDefault="00EE2F29" w:rsidP="00EE2F29">
            <w:pPr>
              <w:pStyle w:val="ListParagraph"/>
              <w:numPr>
                <w:ilvl w:val="0"/>
                <w:numId w:val="9"/>
              </w:numPr>
              <w:rPr>
                <w:rFonts w:ascii="Verdana" w:hAnsi="Verdana"/>
                <w:sz w:val="22"/>
                <w:szCs w:val="22"/>
              </w:rPr>
            </w:pPr>
            <w:r w:rsidRPr="00EE2F29">
              <w:rPr>
                <w:rFonts w:ascii="Verdana" w:hAnsi="Verdana"/>
                <w:sz w:val="22"/>
                <w:szCs w:val="22"/>
              </w:rPr>
              <w:t>Covered by CBWG financial work</w:t>
            </w:r>
          </w:p>
          <w:p w:rsidR="00EE2F29" w:rsidRPr="00EE2F29" w:rsidRDefault="00EE2F29" w:rsidP="00EE2F29">
            <w:pPr>
              <w:rPr>
                <w:rFonts w:ascii="Verdana" w:hAnsi="Verdana"/>
                <w:sz w:val="22"/>
                <w:szCs w:val="22"/>
              </w:rPr>
            </w:pPr>
            <w:r w:rsidRPr="00EE2F29">
              <w:rPr>
                <w:rFonts w:ascii="Verdana" w:hAnsi="Verdana"/>
                <w:sz w:val="22"/>
                <w:szCs w:val="22"/>
              </w:rPr>
              <w:t>3.  How will UKWAS requirements be monitored going forward, after CFS no longer in place</w:t>
            </w:r>
          </w:p>
          <w:p w:rsidR="00EE2F29" w:rsidRPr="00EE2F29" w:rsidRDefault="00EE2F29" w:rsidP="00EE2F29">
            <w:pPr>
              <w:pStyle w:val="ListParagraph"/>
              <w:numPr>
                <w:ilvl w:val="0"/>
                <w:numId w:val="9"/>
              </w:numPr>
              <w:rPr>
                <w:rFonts w:ascii="Verdana" w:hAnsi="Verdana"/>
                <w:sz w:val="22"/>
                <w:szCs w:val="22"/>
              </w:rPr>
            </w:pPr>
            <w:r w:rsidRPr="00EE2F29">
              <w:rPr>
                <w:rFonts w:ascii="Verdana" w:hAnsi="Verdana"/>
                <w:sz w:val="22"/>
                <w:szCs w:val="22"/>
              </w:rPr>
              <w:t>Need to find out what this constitutes</w:t>
            </w:r>
          </w:p>
        </w:tc>
        <w:tc>
          <w:tcPr>
            <w:tcW w:w="3600" w:type="dxa"/>
          </w:tcPr>
          <w:p w:rsidR="00EE2F29" w:rsidRPr="00EE2F29" w:rsidRDefault="00F34085" w:rsidP="00F34085">
            <w:pPr>
              <w:pStyle w:val="ListParagraph"/>
              <w:ind w:left="0"/>
              <w:rPr>
                <w:rFonts w:ascii="Verdana" w:hAnsi="Verdana"/>
                <w:sz w:val="22"/>
                <w:szCs w:val="22"/>
              </w:rPr>
            </w:pPr>
            <w:r>
              <w:rPr>
                <w:rFonts w:ascii="Verdana" w:hAnsi="Verdana"/>
                <w:sz w:val="22"/>
                <w:szCs w:val="22"/>
              </w:rPr>
              <w:t>Issues being discussed and resolved by cross border working group</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r w:rsidRPr="00EE2F29">
              <w:rPr>
                <w:rFonts w:ascii="Verdana" w:hAnsi="Verdana"/>
                <w:sz w:val="22"/>
                <w:szCs w:val="22"/>
              </w:rPr>
              <w:br/>
            </w:r>
          </w:p>
        </w:tc>
      </w:tr>
      <w:tr w:rsidR="00EE2F29" w:rsidRPr="00EE2F29" w:rsidTr="00EE2F29">
        <w:trPr>
          <w:cantSplit/>
        </w:trPr>
        <w:tc>
          <w:tcPr>
            <w:tcW w:w="1089" w:type="dxa"/>
          </w:tcPr>
          <w:p w:rsidR="00F34085" w:rsidRDefault="00F34085"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4.4 &amp; 4.4.3</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F34085" w:rsidRDefault="00F34085"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Corporeal Assets</w:t>
            </w:r>
          </w:p>
          <w:p w:rsidR="00EE2F29" w:rsidRPr="00EE2F29" w:rsidRDefault="00EE2F29" w:rsidP="00EE2F29">
            <w:pPr>
              <w:pStyle w:val="ListParagraph"/>
              <w:numPr>
                <w:ilvl w:val="0"/>
                <w:numId w:val="15"/>
              </w:numPr>
              <w:rPr>
                <w:rFonts w:ascii="Verdana" w:hAnsi="Verdana"/>
                <w:b/>
                <w:sz w:val="22"/>
                <w:szCs w:val="22"/>
              </w:rPr>
            </w:pPr>
            <w:r w:rsidRPr="00EE2F29">
              <w:rPr>
                <w:rFonts w:ascii="Verdana" w:hAnsi="Verdana"/>
                <w:b/>
                <w:sz w:val="22"/>
                <w:szCs w:val="22"/>
              </w:rPr>
              <w:t>physical equipment</w:t>
            </w:r>
          </w:p>
          <w:p w:rsidR="00EE2F29" w:rsidRPr="00EE2F29" w:rsidRDefault="00EE2F29" w:rsidP="00EE2F29">
            <w:pPr>
              <w:pStyle w:val="ListParagraph"/>
              <w:numPr>
                <w:ilvl w:val="0"/>
                <w:numId w:val="15"/>
              </w:numPr>
              <w:rPr>
                <w:rFonts w:ascii="Verdana" w:hAnsi="Verdana"/>
                <w:b/>
                <w:sz w:val="22"/>
                <w:szCs w:val="22"/>
              </w:rPr>
            </w:pPr>
            <w:r w:rsidRPr="00EE2F29">
              <w:rPr>
                <w:rFonts w:ascii="Verdana" w:hAnsi="Verdana"/>
                <w:b/>
                <w:sz w:val="22"/>
                <w:szCs w:val="22"/>
              </w:rPr>
              <w:t>Fleet</w:t>
            </w:r>
          </w:p>
        </w:tc>
        <w:tc>
          <w:tcPr>
            <w:tcW w:w="4050" w:type="dxa"/>
          </w:tcPr>
          <w:p w:rsidR="00F34085" w:rsidRDefault="00F34085"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1.  Agree Scotland Act Order (ensure no assets are transferred in error)</w:t>
            </w:r>
          </w:p>
          <w:p w:rsidR="00EE2F29" w:rsidRPr="00EE2F29" w:rsidRDefault="00EE2F29" w:rsidP="00EE2F29">
            <w:pPr>
              <w:rPr>
                <w:rFonts w:ascii="Verdana" w:hAnsi="Verdana"/>
                <w:sz w:val="22"/>
                <w:szCs w:val="22"/>
              </w:rPr>
            </w:pPr>
            <w:r w:rsidRPr="00EE2F29">
              <w:rPr>
                <w:rFonts w:ascii="Verdana" w:hAnsi="Verdana"/>
                <w:sz w:val="22"/>
                <w:szCs w:val="22"/>
              </w:rPr>
              <w:t>2.  Ensure any current or future liabilities with regard to Scotland are correctly transferred and that the interest of the Commissioners are protected</w:t>
            </w:r>
          </w:p>
        </w:tc>
        <w:tc>
          <w:tcPr>
            <w:tcW w:w="3600" w:type="dxa"/>
          </w:tcPr>
          <w:p w:rsidR="00F34085" w:rsidRDefault="00F34085" w:rsidP="00F34085">
            <w:pPr>
              <w:pStyle w:val="ListParagraph"/>
              <w:ind w:left="0"/>
              <w:rPr>
                <w:rFonts w:ascii="Verdana" w:hAnsi="Verdana"/>
                <w:sz w:val="22"/>
                <w:szCs w:val="22"/>
              </w:rPr>
            </w:pPr>
          </w:p>
          <w:p w:rsidR="00EE2F29" w:rsidRPr="00EE2F29" w:rsidRDefault="00EE2F29" w:rsidP="00F34085">
            <w:pPr>
              <w:pStyle w:val="ListParagraph"/>
              <w:ind w:left="0"/>
              <w:rPr>
                <w:rFonts w:ascii="Verdana" w:hAnsi="Verdana"/>
                <w:sz w:val="22"/>
                <w:szCs w:val="22"/>
              </w:rPr>
            </w:pPr>
            <w:r w:rsidRPr="00EE2F29">
              <w:rPr>
                <w:rFonts w:ascii="Verdana" w:hAnsi="Verdana"/>
                <w:sz w:val="22"/>
                <w:szCs w:val="22"/>
              </w:rPr>
              <w:t>List now agreed by FCEB and awaiting f</w:t>
            </w:r>
            <w:r w:rsidR="00F34085">
              <w:rPr>
                <w:rFonts w:ascii="Verdana" w:hAnsi="Verdana"/>
                <w:sz w:val="22"/>
                <w:szCs w:val="22"/>
              </w:rPr>
              <w:t>i</w:t>
            </w:r>
            <w:r w:rsidRPr="00EE2F29">
              <w:rPr>
                <w:rFonts w:ascii="Verdana" w:hAnsi="Verdana"/>
                <w:sz w:val="22"/>
                <w:szCs w:val="22"/>
              </w:rPr>
              <w:t>nal drafting from lawyers.</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4.4.2 &amp; 6.1</w:t>
            </w:r>
            <w:r w:rsidRPr="00EE2F29">
              <w:rPr>
                <w:rFonts w:ascii="Verdana" w:hAnsi="Verdana"/>
                <w:sz w:val="22"/>
                <w:szCs w:val="22"/>
              </w:rPr>
              <w:b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Incorporeal Assets &amp; Liabilities</w:t>
            </w:r>
          </w:p>
          <w:p w:rsidR="00EE2F29" w:rsidRPr="00EE2F29" w:rsidRDefault="00EE2F29" w:rsidP="00EE2F29">
            <w:pPr>
              <w:pStyle w:val="ListParagraph"/>
              <w:numPr>
                <w:ilvl w:val="0"/>
                <w:numId w:val="16"/>
              </w:numPr>
              <w:rPr>
                <w:rFonts w:ascii="Verdana" w:hAnsi="Verdana"/>
                <w:b/>
                <w:sz w:val="22"/>
                <w:szCs w:val="22"/>
              </w:rPr>
            </w:pPr>
            <w:r w:rsidRPr="00EE2F29">
              <w:rPr>
                <w:rFonts w:ascii="Verdana" w:hAnsi="Verdana"/>
                <w:b/>
                <w:sz w:val="22"/>
                <w:szCs w:val="22"/>
              </w:rPr>
              <w:t>Financial</w:t>
            </w:r>
          </w:p>
          <w:p w:rsidR="00EE2F29" w:rsidRPr="00EE2F29" w:rsidRDefault="00EE2F29" w:rsidP="00EE2F29">
            <w:pPr>
              <w:pStyle w:val="ListParagraph"/>
              <w:numPr>
                <w:ilvl w:val="0"/>
                <w:numId w:val="16"/>
              </w:numPr>
              <w:rPr>
                <w:rFonts w:ascii="Verdana" w:hAnsi="Verdana"/>
                <w:b/>
                <w:sz w:val="22"/>
                <w:szCs w:val="22"/>
              </w:rPr>
            </w:pPr>
            <w:r w:rsidRPr="00EE2F29">
              <w:rPr>
                <w:rFonts w:ascii="Verdana" w:hAnsi="Verdana"/>
                <w:b/>
                <w:sz w:val="22"/>
                <w:szCs w:val="22"/>
              </w:rPr>
              <w:t>Intellectual Property</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Agree Scotland Act Order (ensure no assets are transferred in error)</w:t>
            </w:r>
          </w:p>
          <w:p w:rsidR="00EE2F29" w:rsidRPr="00EE2F29" w:rsidRDefault="00EE2F29" w:rsidP="00EE2F29">
            <w:pPr>
              <w:rPr>
                <w:rFonts w:ascii="Verdana" w:hAnsi="Verdana"/>
                <w:sz w:val="22"/>
                <w:szCs w:val="22"/>
              </w:rPr>
            </w:pPr>
            <w:r w:rsidRPr="00EE2F29">
              <w:rPr>
                <w:rFonts w:ascii="Verdana" w:hAnsi="Verdana"/>
                <w:sz w:val="22"/>
                <w:szCs w:val="22"/>
              </w:rPr>
              <w:t>2.  Ensure any current or future liabilities with regard to Scotland are correctly transferred and that the interest of the Commissioners are protected</w:t>
            </w:r>
          </w:p>
          <w:p w:rsidR="00EE2F29" w:rsidRPr="00EE2F29" w:rsidRDefault="00EE2F29" w:rsidP="00EE2F29">
            <w:pPr>
              <w:rPr>
                <w:rFonts w:ascii="Verdana" w:hAnsi="Verdana"/>
                <w:sz w:val="22"/>
                <w:szCs w:val="22"/>
              </w:rPr>
            </w:pPr>
            <w:r w:rsidRPr="00EE2F29">
              <w:rPr>
                <w:rFonts w:ascii="Verdana" w:hAnsi="Verdana"/>
                <w:sz w:val="22"/>
                <w:szCs w:val="22"/>
              </w:rPr>
              <w:t xml:space="preserve">3.  Ensure SS Costs in 2018-19, including VE costs, final year RRAs, </w:t>
            </w:r>
            <w:proofErr w:type="spellStart"/>
            <w:r w:rsidRPr="00EE2F29">
              <w:rPr>
                <w:rFonts w:ascii="Verdana" w:hAnsi="Verdana"/>
                <w:sz w:val="22"/>
                <w:szCs w:val="22"/>
              </w:rPr>
              <w:t>etc</w:t>
            </w:r>
            <w:proofErr w:type="spellEnd"/>
          </w:p>
          <w:p w:rsidR="00EE2F29" w:rsidRPr="00EE2F29" w:rsidRDefault="00EE2F29" w:rsidP="00EE2F29">
            <w:pPr>
              <w:rPr>
                <w:rFonts w:ascii="Verdana" w:hAnsi="Verdana"/>
                <w:sz w:val="22"/>
                <w:szCs w:val="22"/>
              </w:rPr>
            </w:pPr>
            <w:r w:rsidRPr="00EE2F29">
              <w:rPr>
                <w:rFonts w:ascii="Verdana" w:hAnsi="Verdana"/>
                <w:sz w:val="22"/>
                <w:szCs w:val="22"/>
              </w:rPr>
              <w:t>4.  Ensure both XB and FR IP is appropriately dealt with via the relevant MoUs</w:t>
            </w:r>
          </w:p>
          <w:p w:rsidR="00EE2F29" w:rsidRPr="00EE2F29" w:rsidRDefault="00EE2F29" w:rsidP="00F34085">
            <w:pPr>
              <w:pStyle w:val="ListParagraph"/>
              <w:numPr>
                <w:ilvl w:val="0"/>
                <w:numId w:val="10"/>
              </w:numPr>
              <w:rPr>
                <w:rFonts w:ascii="Verdana" w:hAnsi="Verdana"/>
                <w:sz w:val="22"/>
                <w:szCs w:val="22"/>
              </w:rPr>
            </w:pPr>
            <w:r w:rsidRPr="00EE2F29">
              <w:rPr>
                <w:rFonts w:ascii="Verdana" w:hAnsi="Verdana"/>
                <w:sz w:val="22"/>
                <w:szCs w:val="22"/>
              </w:rPr>
              <w:t xml:space="preserve">Clear that IP remains with FC unless transferred. Onus is therefore on SG/FCS to identify any IP of interest to them and engage with FC </w:t>
            </w:r>
          </w:p>
        </w:tc>
        <w:tc>
          <w:tcPr>
            <w:tcW w:w="3600" w:type="dxa"/>
          </w:tcPr>
          <w:p w:rsidR="00EE2F29" w:rsidRPr="00EE2F29" w:rsidRDefault="00EE2F29" w:rsidP="00F34085">
            <w:pPr>
              <w:pStyle w:val="ListParagraph"/>
              <w:ind w:left="0"/>
              <w:rPr>
                <w:rFonts w:ascii="Verdana" w:hAnsi="Verdana"/>
                <w:sz w:val="22"/>
                <w:szCs w:val="22"/>
              </w:rPr>
            </w:pPr>
            <w:r w:rsidRPr="00EE2F29">
              <w:rPr>
                <w:rFonts w:ascii="Verdana" w:hAnsi="Verdana"/>
                <w:sz w:val="22"/>
                <w:szCs w:val="22"/>
              </w:rPr>
              <w:t>List now agreed by FCEB and awaiting f</w:t>
            </w:r>
            <w:r w:rsidR="00F34085">
              <w:rPr>
                <w:rFonts w:ascii="Verdana" w:hAnsi="Verdana"/>
                <w:sz w:val="22"/>
                <w:szCs w:val="22"/>
              </w:rPr>
              <w:t>i</w:t>
            </w:r>
            <w:r w:rsidRPr="00EE2F29">
              <w:rPr>
                <w:rFonts w:ascii="Verdana" w:hAnsi="Verdana"/>
                <w:sz w:val="22"/>
                <w:szCs w:val="22"/>
              </w:rPr>
              <w:t>nal drafting from lawyers.</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4.6</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Carbon Reduction Commitment</w:t>
            </w:r>
          </w:p>
        </w:tc>
        <w:tc>
          <w:tcPr>
            <w:tcW w:w="4050" w:type="dxa"/>
          </w:tcPr>
          <w:p w:rsidR="00EE2F29" w:rsidRPr="00EE2F29" w:rsidRDefault="00EE2F29" w:rsidP="00F34085">
            <w:pPr>
              <w:rPr>
                <w:rFonts w:ascii="Verdana" w:hAnsi="Verdana"/>
                <w:sz w:val="22"/>
                <w:szCs w:val="22"/>
              </w:rPr>
            </w:pPr>
            <w:r w:rsidRPr="00EE2F29">
              <w:rPr>
                <w:rFonts w:ascii="Verdana" w:hAnsi="Verdana"/>
                <w:sz w:val="22"/>
                <w:szCs w:val="22"/>
              </w:rPr>
              <w:t>Ensure necessary actions being picked up as part of FAS transition</w:t>
            </w:r>
          </w:p>
        </w:tc>
        <w:tc>
          <w:tcPr>
            <w:tcW w:w="3600" w:type="dxa"/>
          </w:tcPr>
          <w:p w:rsidR="00EE2F29" w:rsidRPr="00EE2F29" w:rsidRDefault="000463E0" w:rsidP="000463E0">
            <w:pPr>
              <w:pStyle w:val="ListParagraph"/>
              <w:ind w:left="0"/>
              <w:rPr>
                <w:rFonts w:ascii="Verdana" w:hAnsi="Verdana"/>
                <w:sz w:val="22"/>
                <w:szCs w:val="22"/>
              </w:rPr>
            </w:pPr>
            <w:r>
              <w:rPr>
                <w:rFonts w:ascii="Verdana" w:hAnsi="Verdana"/>
                <w:sz w:val="22"/>
                <w:szCs w:val="22"/>
              </w:rPr>
              <w:t>The FAS team will continue to administer the final year of this Scheme</w:t>
            </w: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5.2.1</w:t>
            </w:r>
          </w:p>
          <w:p w:rsidR="00EE2F29" w:rsidRPr="00EE2F29" w:rsidRDefault="00EE2F29" w:rsidP="00EE2F29">
            <w:pPr>
              <w:jc w:val="center"/>
              <w:rPr>
                <w:rFonts w:ascii="Verdana" w:hAnsi="Verdana"/>
                <w:sz w:val="22"/>
                <w:szCs w:val="22"/>
              </w:rPr>
            </w:pPr>
            <w:r w:rsidRPr="00EE2F29">
              <w:rPr>
                <w:rFonts w:ascii="Verdana" w:hAnsi="Verdana"/>
                <w:sz w:val="22"/>
                <w:szCs w:val="22"/>
              </w:rPr>
              <w:t>(CS)</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Woodland Carbon Code</w:t>
            </w:r>
          </w:p>
        </w:tc>
        <w:tc>
          <w:tcPr>
            <w:tcW w:w="4050" w:type="dxa"/>
          </w:tcPr>
          <w:p w:rsidR="00EE2F29" w:rsidRPr="00EE2F29" w:rsidRDefault="00EE2F29" w:rsidP="005F2F11">
            <w:pPr>
              <w:rPr>
                <w:rFonts w:ascii="Verdana" w:hAnsi="Verdana"/>
                <w:sz w:val="22"/>
                <w:szCs w:val="22"/>
              </w:rPr>
            </w:pPr>
            <w:r w:rsidRPr="00EE2F29">
              <w:rPr>
                <w:rFonts w:ascii="Verdana" w:hAnsi="Verdana"/>
                <w:sz w:val="22"/>
                <w:szCs w:val="22"/>
              </w:rPr>
              <w:t xml:space="preserve">Covered by </w:t>
            </w:r>
            <w:r w:rsidR="005F2F11">
              <w:rPr>
                <w:rFonts w:ascii="Verdana" w:hAnsi="Verdana"/>
                <w:sz w:val="22"/>
                <w:szCs w:val="22"/>
              </w:rPr>
              <w:t xml:space="preserve">Cross Border </w:t>
            </w:r>
            <w:r w:rsidRPr="00EE2F29">
              <w:rPr>
                <w:rFonts w:ascii="Verdana" w:hAnsi="Verdana"/>
                <w:sz w:val="22"/>
                <w:szCs w:val="22"/>
              </w:rPr>
              <w:t>MoU.</w:t>
            </w:r>
          </w:p>
        </w:tc>
        <w:tc>
          <w:tcPr>
            <w:tcW w:w="3600" w:type="dxa"/>
          </w:tcPr>
          <w:p w:rsidR="00EE2F29" w:rsidRPr="00EE2F29" w:rsidRDefault="00EE2F29" w:rsidP="00EE2F29">
            <w:pPr>
              <w:rPr>
                <w:rFonts w:ascii="Verdana" w:hAnsi="Verdana"/>
                <w:sz w:val="22"/>
                <w:szCs w:val="22"/>
              </w:rPr>
            </w:pPr>
          </w:p>
        </w:tc>
        <w:tc>
          <w:tcPr>
            <w:tcW w:w="1440" w:type="dxa"/>
          </w:tcPr>
          <w:p w:rsidR="00EE2F29" w:rsidRPr="00EE2F29" w:rsidRDefault="00EE2F29" w:rsidP="00EE2F29">
            <w:pPr>
              <w:jc w:val="center"/>
              <w:rPr>
                <w:rFonts w:ascii="Verdana" w:hAnsi="Verdana"/>
                <w:sz w:val="22"/>
                <w:szCs w:val="22"/>
              </w:rPr>
            </w:pP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Edward Shephard</w:t>
            </w:r>
          </w:p>
        </w:tc>
      </w:tr>
      <w:tr w:rsidR="00EE2F29" w:rsidRPr="00EE2F29" w:rsidTr="00EE2F29">
        <w:trPr>
          <w:cantSplit/>
        </w:trPr>
        <w:tc>
          <w:tcPr>
            <w:tcW w:w="1089" w:type="dxa"/>
          </w:tcPr>
          <w:p w:rsidR="00F34085" w:rsidRDefault="00F34085"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6.3.1</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F34085" w:rsidRDefault="00F34085"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Wider FC Brand Issues</w:t>
            </w:r>
          </w:p>
        </w:tc>
        <w:tc>
          <w:tcPr>
            <w:tcW w:w="4050" w:type="dxa"/>
          </w:tcPr>
          <w:p w:rsidR="00F34085" w:rsidRDefault="00F34085"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Agree with new Scottish forestry organisations the short term licence for use of existing Brand</w:t>
            </w:r>
          </w:p>
        </w:tc>
        <w:tc>
          <w:tcPr>
            <w:tcW w:w="3600" w:type="dxa"/>
          </w:tcPr>
          <w:p w:rsidR="00EE2F29" w:rsidRDefault="00EE2F29" w:rsidP="00EE2F29">
            <w:pPr>
              <w:rPr>
                <w:rFonts w:ascii="Verdana" w:hAnsi="Verdana"/>
                <w:sz w:val="22"/>
                <w:szCs w:val="22"/>
              </w:rPr>
            </w:pPr>
          </w:p>
          <w:p w:rsidR="00F34085" w:rsidRPr="00EE2F29" w:rsidRDefault="00F34085" w:rsidP="00EE2F29">
            <w:pPr>
              <w:rPr>
                <w:rFonts w:ascii="Verdana" w:hAnsi="Verdana"/>
                <w:sz w:val="22"/>
                <w:szCs w:val="22"/>
              </w:rPr>
            </w:pPr>
            <w:r>
              <w:rPr>
                <w:rFonts w:ascii="Verdana" w:hAnsi="Verdana"/>
                <w:sz w:val="22"/>
                <w:szCs w:val="22"/>
              </w:rPr>
              <w:t xml:space="preserve">Branding Agreements with SF and FLS have been drafted and agreed by FC side.  Currently with FCS &amp; FES </w:t>
            </w:r>
            <w:r w:rsidR="0062177C">
              <w:rPr>
                <w:rFonts w:ascii="Verdana" w:hAnsi="Verdana"/>
                <w:sz w:val="22"/>
                <w:szCs w:val="22"/>
              </w:rPr>
              <w:t>officials for views</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December 2018</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 xml:space="preserve">Stephen Bennett </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6.3.2</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Corporate Clothing</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Ensure appropriate licence and disposal of corporate clothing</w:t>
            </w:r>
          </w:p>
          <w:p w:rsidR="00EE2F29" w:rsidRPr="00EE2F29" w:rsidRDefault="00EE2F29"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Need to agree a disposal mechanism with FCS and FES through the Branding Licence Agreement</w:t>
            </w:r>
          </w:p>
        </w:tc>
        <w:tc>
          <w:tcPr>
            <w:tcW w:w="3600" w:type="dxa"/>
          </w:tcPr>
          <w:p w:rsidR="00EE2F29" w:rsidRPr="00EE2F29" w:rsidRDefault="0062177C" w:rsidP="00EE2F29">
            <w:pPr>
              <w:rPr>
                <w:rFonts w:ascii="Verdana" w:hAnsi="Verdana"/>
                <w:sz w:val="22"/>
                <w:szCs w:val="22"/>
              </w:rPr>
            </w:pPr>
            <w:r>
              <w:rPr>
                <w:rFonts w:ascii="Verdana" w:hAnsi="Verdana"/>
                <w:sz w:val="22"/>
                <w:szCs w:val="22"/>
              </w:rPr>
              <w:t xml:space="preserve">Covered in Branding Licence Agreements – need to finalised whether </w:t>
            </w:r>
          </w:p>
          <w:p w:rsidR="00EE2F29" w:rsidRPr="00EE2F29" w:rsidRDefault="0062177C" w:rsidP="0062177C">
            <w:pPr>
              <w:rPr>
                <w:rFonts w:ascii="Verdana" w:hAnsi="Verdana"/>
                <w:sz w:val="22"/>
                <w:szCs w:val="22"/>
              </w:rPr>
            </w:pPr>
            <w:r>
              <w:rPr>
                <w:rFonts w:ascii="Verdana" w:hAnsi="Verdana"/>
                <w:sz w:val="22"/>
                <w:szCs w:val="22"/>
              </w:rPr>
              <w:t>d</w:t>
            </w:r>
            <w:r w:rsidR="00EE2F29" w:rsidRPr="00EE2F29">
              <w:rPr>
                <w:rFonts w:ascii="Verdana" w:hAnsi="Verdana"/>
                <w:sz w:val="22"/>
                <w:szCs w:val="22"/>
              </w:rPr>
              <w:t xml:space="preserve">isposal/recycling will either be managed through new </w:t>
            </w:r>
            <w:r>
              <w:rPr>
                <w:rFonts w:ascii="Verdana" w:hAnsi="Verdana"/>
                <w:sz w:val="22"/>
                <w:szCs w:val="22"/>
              </w:rPr>
              <w:t xml:space="preserve">clothing </w:t>
            </w:r>
            <w:r w:rsidR="00EE2F29" w:rsidRPr="00EE2F29">
              <w:rPr>
                <w:rFonts w:ascii="Verdana" w:hAnsi="Verdana"/>
                <w:sz w:val="22"/>
                <w:szCs w:val="22"/>
              </w:rPr>
              <w:t>contract (follow current FC disposal policy)</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December 2018</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 xml:space="preserve">Stephen Bennett </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7.1.1</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HR Records – Pensions</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 xml:space="preserve">1. Transfer files of current staff to the component parts of the FC </w:t>
            </w:r>
          </w:p>
          <w:p w:rsidR="00EE2F29" w:rsidRPr="00EE2F29" w:rsidRDefault="00EE2F29" w:rsidP="00EE2F29">
            <w:pPr>
              <w:rPr>
                <w:rFonts w:ascii="Verdana" w:hAnsi="Verdana"/>
                <w:sz w:val="22"/>
                <w:szCs w:val="22"/>
              </w:rPr>
            </w:pPr>
            <w:r w:rsidRPr="00EE2F29">
              <w:rPr>
                <w:rFonts w:ascii="Verdana" w:hAnsi="Verdana"/>
                <w:sz w:val="22"/>
                <w:szCs w:val="22"/>
              </w:rPr>
              <w:t>2.  Transfer rationalised files of ex staff to FCE</w:t>
            </w:r>
          </w:p>
          <w:p w:rsidR="00EE2F29" w:rsidRPr="00EE2F29" w:rsidRDefault="00EE2F29" w:rsidP="00EE2F29">
            <w:pPr>
              <w:rPr>
                <w:rFonts w:ascii="Verdana" w:hAnsi="Verdana"/>
                <w:sz w:val="22"/>
                <w:szCs w:val="22"/>
              </w:rPr>
            </w:pPr>
          </w:p>
        </w:tc>
        <w:tc>
          <w:tcPr>
            <w:tcW w:w="3600" w:type="dxa"/>
          </w:tcPr>
          <w:p w:rsidR="00EE2F29" w:rsidRPr="00EE2F29" w:rsidRDefault="0062177C" w:rsidP="00EE2F29">
            <w:pPr>
              <w:rPr>
                <w:rFonts w:ascii="Verdana" w:hAnsi="Verdana"/>
                <w:sz w:val="22"/>
                <w:szCs w:val="22"/>
              </w:rPr>
            </w:pPr>
            <w:r>
              <w:rPr>
                <w:rFonts w:ascii="Verdana" w:hAnsi="Verdana"/>
                <w:sz w:val="22"/>
                <w:szCs w:val="22"/>
              </w:rPr>
              <w:t>Files in process of transfer to component parts of FC</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March 2019</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Stephen Bennett</w:t>
            </w:r>
          </w:p>
          <w:p w:rsidR="00EE2F29" w:rsidRPr="00EE2F29" w:rsidRDefault="00EE2F29" w:rsidP="00EE2F29">
            <w:pPr>
              <w:jc w:val="center"/>
              <w:rPr>
                <w:rFonts w:ascii="Verdana" w:hAnsi="Verdana"/>
                <w:sz w:val="22"/>
                <w:szCs w:val="22"/>
              </w:rPr>
            </w:pPr>
            <w:r w:rsidRPr="00EE2F29">
              <w:rPr>
                <w:rFonts w:ascii="Verdana" w:hAnsi="Verdana"/>
                <w:sz w:val="22"/>
                <w:szCs w:val="22"/>
              </w:rPr>
              <w:t>(George Prior)</w:t>
            </w:r>
          </w:p>
          <w:p w:rsidR="00EE2F29" w:rsidRPr="00EE2F29" w:rsidRDefault="00EE2F29" w:rsidP="00EE2F29">
            <w:pPr>
              <w:jc w:val="center"/>
              <w:rPr>
                <w:rFonts w:ascii="Verdana" w:hAnsi="Verdana"/>
                <w:sz w:val="22"/>
                <w:szCs w:val="22"/>
              </w:rPr>
            </w:pPr>
          </w:p>
        </w:tc>
      </w:tr>
      <w:tr w:rsidR="00EE2F29" w:rsidRPr="00EE2F29" w:rsidTr="00EE2F29">
        <w:trPr>
          <w:cantSplit/>
          <w:trHeight w:val="2150"/>
        </w:trPr>
        <w:tc>
          <w:tcPr>
            <w:tcW w:w="1089" w:type="dxa"/>
          </w:tcPr>
          <w:p w:rsidR="0062177C" w:rsidRDefault="0062177C"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7.1.2</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62177C" w:rsidRDefault="0062177C"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HR Records – Payroll</w:t>
            </w:r>
          </w:p>
        </w:tc>
        <w:tc>
          <w:tcPr>
            <w:tcW w:w="4050" w:type="dxa"/>
          </w:tcPr>
          <w:p w:rsidR="0062177C" w:rsidRDefault="0062177C"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1.  Transfer files of current staff to the component parts of the FC</w:t>
            </w:r>
          </w:p>
          <w:p w:rsidR="00EE2F29" w:rsidRPr="00EE2F29" w:rsidRDefault="00EE2F29" w:rsidP="00EE2F29">
            <w:pPr>
              <w:rPr>
                <w:rFonts w:ascii="Verdana" w:hAnsi="Verdana"/>
                <w:sz w:val="22"/>
                <w:szCs w:val="22"/>
              </w:rPr>
            </w:pPr>
            <w:r w:rsidRPr="00EE2F29">
              <w:rPr>
                <w:rFonts w:ascii="Verdana" w:hAnsi="Verdana"/>
                <w:sz w:val="22"/>
                <w:szCs w:val="22"/>
              </w:rPr>
              <w:t>2.  Rationalise files of ex-staff</w:t>
            </w:r>
          </w:p>
          <w:p w:rsidR="00EE2F29" w:rsidRPr="00EE2F29" w:rsidRDefault="00EE2F29" w:rsidP="00EE2F29">
            <w:pPr>
              <w:rPr>
                <w:rFonts w:ascii="Verdana" w:hAnsi="Verdana"/>
                <w:sz w:val="22"/>
                <w:szCs w:val="22"/>
              </w:rPr>
            </w:pPr>
            <w:r w:rsidRPr="00EE2F29">
              <w:rPr>
                <w:rFonts w:ascii="Verdana" w:hAnsi="Verdana"/>
                <w:sz w:val="22"/>
                <w:szCs w:val="22"/>
              </w:rPr>
              <w:t>3.  Draft agreements/process so future organisations can access historical data</w:t>
            </w:r>
          </w:p>
        </w:tc>
        <w:tc>
          <w:tcPr>
            <w:tcW w:w="3600" w:type="dxa"/>
          </w:tcPr>
          <w:p w:rsidR="0062177C" w:rsidRDefault="0062177C" w:rsidP="00EE2F29">
            <w:pPr>
              <w:rPr>
                <w:rFonts w:ascii="Verdana" w:hAnsi="Verdana"/>
                <w:sz w:val="22"/>
                <w:szCs w:val="22"/>
              </w:rPr>
            </w:pPr>
          </w:p>
          <w:p w:rsidR="00EE2F29" w:rsidRPr="00EE2F29" w:rsidRDefault="00EE2F29" w:rsidP="00EE2F29">
            <w:pPr>
              <w:rPr>
                <w:rFonts w:ascii="Verdana" w:hAnsi="Verdana"/>
                <w:sz w:val="22"/>
                <w:szCs w:val="22"/>
              </w:rPr>
            </w:pPr>
            <w:r w:rsidRPr="00EE2F29">
              <w:rPr>
                <w:rFonts w:ascii="Verdana" w:hAnsi="Verdana"/>
                <w:sz w:val="22"/>
                <w:szCs w:val="22"/>
              </w:rPr>
              <w:t>Payroll input documentation has been split by country and relevant documentation forwarded to England</w:t>
            </w:r>
          </w:p>
          <w:p w:rsidR="00EE2F29" w:rsidRPr="00EE2F29" w:rsidRDefault="00EE2F29" w:rsidP="00EE2F29">
            <w:pPr>
              <w:rPr>
                <w:rFonts w:ascii="Verdana" w:hAnsi="Verdana"/>
                <w:sz w:val="22"/>
                <w:szCs w:val="22"/>
              </w:rPr>
            </w:pPr>
            <w:r w:rsidRPr="00EE2F29">
              <w:rPr>
                <w:rFonts w:ascii="Verdana" w:hAnsi="Verdana"/>
                <w:sz w:val="22"/>
                <w:szCs w:val="22"/>
              </w:rPr>
              <w:t>Payroll team are in process of reviewing, weeding and deleting both hard copy records and electronic records.</w:t>
            </w:r>
          </w:p>
          <w:p w:rsidR="00EE2F29" w:rsidRPr="00EE2F29" w:rsidRDefault="00EE2F29" w:rsidP="0062177C">
            <w:pPr>
              <w:rPr>
                <w:rFonts w:ascii="Verdana" w:hAnsi="Verdana"/>
                <w:sz w:val="22"/>
                <w:szCs w:val="22"/>
              </w:rPr>
            </w:pPr>
            <w:r w:rsidRPr="00EE2F29">
              <w:rPr>
                <w:rFonts w:ascii="Verdana" w:hAnsi="Verdana"/>
                <w:sz w:val="22"/>
                <w:szCs w:val="22"/>
              </w:rPr>
              <w:t xml:space="preserve">Payroll records are categorised by year and issue e.g. overtime, RRA, </w:t>
            </w:r>
            <w:proofErr w:type="spellStart"/>
            <w:r w:rsidRPr="00EE2F29">
              <w:rPr>
                <w:rFonts w:ascii="Verdana" w:hAnsi="Verdana"/>
                <w:sz w:val="22"/>
                <w:szCs w:val="22"/>
              </w:rPr>
              <w:t>etc</w:t>
            </w:r>
            <w:proofErr w:type="spellEnd"/>
            <w:r w:rsidRPr="00EE2F29">
              <w:rPr>
                <w:rFonts w:ascii="Verdana" w:hAnsi="Verdana"/>
                <w:sz w:val="22"/>
                <w:szCs w:val="22"/>
              </w:rPr>
              <w:t xml:space="preserve"> – historical records passed to FCE and other organisatio</w:t>
            </w:r>
            <w:r w:rsidR="0062177C">
              <w:rPr>
                <w:rFonts w:ascii="Verdana" w:hAnsi="Verdana"/>
                <w:sz w:val="22"/>
                <w:szCs w:val="22"/>
              </w:rPr>
              <w:t>ns to have access as necessary Requires data sharing agreement</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March 2019</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Stephen Bennett</w:t>
            </w:r>
          </w:p>
          <w:p w:rsidR="00EE2F29" w:rsidRPr="00EE2F29" w:rsidRDefault="00EE2F29" w:rsidP="00EE2F29">
            <w:pPr>
              <w:jc w:val="center"/>
              <w:rPr>
                <w:rFonts w:ascii="Verdana" w:hAnsi="Verdana"/>
                <w:sz w:val="22"/>
                <w:szCs w:val="22"/>
              </w:rPr>
            </w:pPr>
            <w:r w:rsidRPr="00EE2F29">
              <w:rPr>
                <w:rFonts w:ascii="Verdana" w:hAnsi="Verdana"/>
                <w:sz w:val="22"/>
                <w:szCs w:val="22"/>
              </w:rPr>
              <w:t>(Lynne Richmond)</w:t>
            </w: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7.1.3</w:t>
            </w:r>
          </w:p>
          <w:p w:rsidR="00EE2F29" w:rsidRPr="00EE2F29" w:rsidRDefault="00EE2F29" w:rsidP="00EE2F29">
            <w:pPr>
              <w:jc w:val="center"/>
              <w:rPr>
                <w:rFonts w:ascii="Verdana" w:hAnsi="Verdana"/>
                <w:sz w:val="22"/>
                <w:szCs w:val="22"/>
              </w:rPr>
            </w:pPr>
            <w:r w:rsidRPr="00EE2F29">
              <w:rPr>
                <w:rFonts w:ascii="Verdana" w:hAnsi="Verdana"/>
                <w:sz w:val="22"/>
                <w:szCs w:val="22"/>
              </w:rPr>
              <w:t>(FC)</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HR Records – Rebus</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1.  Split files of current staff into component parts of the FC</w:t>
            </w:r>
          </w:p>
          <w:p w:rsidR="00EE2F29" w:rsidRPr="00EE2F29" w:rsidRDefault="00EE2F29" w:rsidP="00EE2F29">
            <w:pPr>
              <w:rPr>
                <w:rFonts w:ascii="Verdana" w:hAnsi="Verdana"/>
                <w:sz w:val="22"/>
                <w:szCs w:val="22"/>
              </w:rPr>
            </w:pPr>
            <w:r w:rsidRPr="00EE2F29">
              <w:rPr>
                <w:rFonts w:ascii="Verdana" w:hAnsi="Verdana"/>
                <w:sz w:val="22"/>
                <w:szCs w:val="22"/>
              </w:rPr>
              <w:t>2.  Transfer files of current staff to the component parts of the FC</w:t>
            </w:r>
          </w:p>
          <w:p w:rsidR="00EE2F29" w:rsidRPr="00EE2F29" w:rsidRDefault="00EE2F29" w:rsidP="00EE2F29">
            <w:pPr>
              <w:rPr>
                <w:rFonts w:ascii="Verdana" w:hAnsi="Verdana"/>
                <w:sz w:val="22"/>
                <w:szCs w:val="22"/>
              </w:rPr>
            </w:pPr>
            <w:r w:rsidRPr="00EE2F29">
              <w:rPr>
                <w:rFonts w:ascii="Verdana" w:hAnsi="Verdana"/>
                <w:sz w:val="22"/>
                <w:szCs w:val="22"/>
              </w:rPr>
              <w:t>3.  Rationalise files of ex-staff</w:t>
            </w:r>
          </w:p>
          <w:p w:rsidR="00EE2F29" w:rsidRPr="00EE2F29" w:rsidRDefault="00EE2F29" w:rsidP="00EE2F29">
            <w:pPr>
              <w:rPr>
                <w:rFonts w:ascii="Verdana" w:hAnsi="Verdana"/>
                <w:sz w:val="22"/>
                <w:szCs w:val="22"/>
              </w:rPr>
            </w:pPr>
          </w:p>
        </w:tc>
        <w:tc>
          <w:tcPr>
            <w:tcW w:w="3600" w:type="dxa"/>
          </w:tcPr>
          <w:p w:rsidR="00EE2F29" w:rsidRPr="00EE2F29" w:rsidRDefault="00EE2F29" w:rsidP="00EE2F29">
            <w:pPr>
              <w:rPr>
                <w:rFonts w:ascii="Verdana" w:hAnsi="Verdana"/>
                <w:sz w:val="22"/>
                <w:szCs w:val="22"/>
              </w:rPr>
            </w:pPr>
            <w:r w:rsidRPr="00EE2F29">
              <w:rPr>
                <w:rFonts w:ascii="Verdana" w:hAnsi="Verdana"/>
                <w:sz w:val="22"/>
                <w:szCs w:val="22"/>
              </w:rPr>
              <w:t xml:space="preserve">Rebus records held electronically and relevant data for England staff has been transferred to England for upload onto the new system. </w:t>
            </w:r>
          </w:p>
          <w:p w:rsidR="00EE2F29" w:rsidRPr="00EE2F29" w:rsidRDefault="00EE2F29" w:rsidP="00EE2F29">
            <w:pPr>
              <w:rPr>
                <w:rFonts w:ascii="Verdana" w:hAnsi="Verdana"/>
                <w:sz w:val="22"/>
                <w:szCs w:val="22"/>
              </w:rPr>
            </w:pPr>
            <w:r w:rsidRPr="00EE2F29">
              <w:rPr>
                <w:rFonts w:ascii="Verdana" w:hAnsi="Verdana"/>
                <w:sz w:val="22"/>
                <w:szCs w:val="22"/>
              </w:rPr>
              <w:t>In dialogue with Northgate about how best to data dump or transfer records – exploring tech options and costs</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March 2019</w:t>
            </w:r>
          </w:p>
        </w:tc>
        <w:tc>
          <w:tcPr>
            <w:tcW w:w="2340" w:type="dxa"/>
          </w:tcPr>
          <w:p w:rsidR="00EE2F29" w:rsidRPr="00EE2F29" w:rsidRDefault="00EE2F29" w:rsidP="00EE2F29">
            <w:pPr>
              <w:jc w:val="center"/>
              <w:rPr>
                <w:rFonts w:ascii="Verdana" w:hAnsi="Verdana"/>
                <w:sz w:val="22"/>
                <w:szCs w:val="22"/>
              </w:rPr>
            </w:pPr>
            <w:r w:rsidRPr="00EE2F29">
              <w:rPr>
                <w:rFonts w:ascii="Verdana" w:hAnsi="Verdana"/>
                <w:sz w:val="22"/>
                <w:szCs w:val="22"/>
              </w:rPr>
              <w:t>Stephen Bennett</w:t>
            </w:r>
          </w:p>
          <w:p w:rsidR="00EE2F29" w:rsidRPr="00EE2F29" w:rsidRDefault="00EE2F29" w:rsidP="00EE2F29">
            <w:pPr>
              <w:jc w:val="center"/>
              <w:rPr>
                <w:rFonts w:ascii="Verdana" w:hAnsi="Verdana"/>
                <w:sz w:val="22"/>
                <w:szCs w:val="22"/>
              </w:rPr>
            </w:pPr>
            <w:r w:rsidRPr="00EE2F29">
              <w:rPr>
                <w:rFonts w:ascii="Verdana" w:hAnsi="Verdana"/>
                <w:sz w:val="22"/>
                <w:szCs w:val="22"/>
              </w:rPr>
              <w:t>(David Gardner)</w:t>
            </w:r>
          </w:p>
          <w:p w:rsidR="00EE2F29" w:rsidRPr="00EE2F29" w:rsidRDefault="00EE2F29" w:rsidP="00EE2F29">
            <w:pPr>
              <w:jc w:val="center"/>
              <w:rPr>
                <w:rFonts w:ascii="Verdana" w:hAnsi="Verdana"/>
                <w:sz w:val="22"/>
                <w:szCs w:val="22"/>
              </w:rPr>
            </w:pPr>
          </w:p>
        </w:tc>
      </w:tr>
      <w:tr w:rsidR="00EE2F29" w:rsidRPr="00EE2F29" w:rsidTr="00EE2F29">
        <w:trPr>
          <w:cantSplit/>
        </w:trPr>
        <w:tc>
          <w:tcPr>
            <w:tcW w:w="1089" w:type="dxa"/>
          </w:tcPr>
          <w:p w:rsidR="00EE2F29" w:rsidRPr="00EE2F29" w:rsidRDefault="00EE2F29" w:rsidP="00EE2F29">
            <w:pPr>
              <w:jc w:val="center"/>
              <w:rPr>
                <w:rFonts w:ascii="Verdana" w:hAnsi="Verdana"/>
                <w:sz w:val="22"/>
                <w:szCs w:val="22"/>
              </w:rPr>
            </w:pPr>
            <w:r w:rsidRPr="00EE2F29">
              <w:rPr>
                <w:rFonts w:ascii="Verdana" w:hAnsi="Verdana"/>
                <w:sz w:val="22"/>
                <w:szCs w:val="22"/>
              </w:rPr>
              <w:t>7.1.4</w:t>
            </w:r>
            <w:r w:rsidRPr="00EE2F29">
              <w:rPr>
                <w:rFonts w:ascii="Verdana" w:hAnsi="Verdana"/>
                <w:sz w:val="22"/>
                <w:szCs w:val="22"/>
              </w:rPr>
              <w:br/>
              <w:t>(CS)</w:t>
            </w:r>
          </w:p>
        </w:tc>
        <w:tc>
          <w:tcPr>
            <w:tcW w:w="3249" w:type="dxa"/>
          </w:tcPr>
          <w:p w:rsidR="00EE2F29" w:rsidRPr="00EE2F29" w:rsidRDefault="00EE2F29" w:rsidP="00EE2F29">
            <w:pPr>
              <w:rPr>
                <w:rFonts w:ascii="Verdana" w:hAnsi="Verdana"/>
                <w:b/>
                <w:sz w:val="22"/>
                <w:szCs w:val="22"/>
              </w:rPr>
            </w:pPr>
            <w:r w:rsidRPr="00EE2F29">
              <w:rPr>
                <w:rFonts w:ascii="Verdana" w:hAnsi="Verdana"/>
                <w:b/>
                <w:sz w:val="22"/>
                <w:szCs w:val="22"/>
              </w:rPr>
              <w:t>HR Records – HR Policy</w:t>
            </w:r>
          </w:p>
        </w:tc>
        <w:tc>
          <w:tcPr>
            <w:tcW w:w="4050" w:type="dxa"/>
          </w:tcPr>
          <w:p w:rsidR="00EE2F29" w:rsidRPr="00EE2F29" w:rsidRDefault="00EE2F29" w:rsidP="00EE2F29">
            <w:pPr>
              <w:rPr>
                <w:rFonts w:ascii="Verdana" w:hAnsi="Verdana"/>
                <w:sz w:val="22"/>
                <w:szCs w:val="22"/>
              </w:rPr>
            </w:pPr>
            <w:r w:rsidRPr="00EE2F29">
              <w:rPr>
                <w:rFonts w:ascii="Verdana" w:hAnsi="Verdana"/>
                <w:sz w:val="22"/>
                <w:szCs w:val="22"/>
              </w:rPr>
              <w:t>Transfer files to FCE</w:t>
            </w:r>
          </w:p>
        </w:tc>
        <w:tc>
          <w:tcPr>
            <w:tcW w:w="3600" w:type="dxa"/>
          </w:tcPr>
          <w:p w:rsidR="00EE2F29" w:rsidRPr="00EE2F29" w:rsidRDefault="00EE2F29" w:rsidP="005F2F11">
            <w:pPr>
              <w:rPr>
                <w:rFonts w:ascii="Verdana" w:hAnsi="Verdana"/>
                <w:sz w:val="22"/>
                <w:szCs w:val="22"/>
              </w:rPr>
            </w:pPr>
            <w:r w:rsidRPr="00EE2F29">
              <w:rPr>
                <w:rFonts w:ascii="Verdana" w:hAnsi="Verdana"/>
                <w:sz w:val="22"/>
                <w:szCs w:val="22"/>
              </w:rPr>
              <w:t xml:space="preserve">Files </w:t>
            </w:r>
            <w:r w:rsidR="005F2F11">
              <w:rPr>
                <w:rFonts w:ascii="Verdana" w:hAnsi="Verdana"/>
                <w:sz w:val="22"/>
                <w:szCs w:val="22"/>
              </w:rPr>
              <w:t xml:space="preserve">have been </w:t>
            </w:r>
            <w:r w:rsidRPr="00EE2F29">
              <w:rPr>
                <w:rFonts w:ascii="Verdana" w:hAnsi="Verdana"/>
                <w:sz w:val="22"/>
                <w:szCs w:val="22"/>
              </w:rPr>
              <w:t>checked, weeded and deleted as necessary ready for transfer</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March 2019</w:t>
            </w:r>
          </w:p>
        </w:tc>
        <w:tc>
          <w:tcPr>
            <w:tcW w:w="2340" w:type="dxa"/>
          </w:tcPr>
          <w:p w:rsidR="00EE2F29" w:rsidRPr="00EE2F29" w:rsidRDefault="00EE2F29" w:rsidP="00F37FA7">
            <w:pPr>
              <w:jc w:val="center"/>
              <w:rPr>
                <w:rFonts w:ascii="Verdana" w:hAnsi="Verdana"/>
                <w:sz w:val="22"/>
                <w:szCs w:val="22"/>
              </w:rPr>
            </w:pPr>
            <w:proofErr w:type="spellStart"/>
            <w:r w:rsidRPr="00EE2F29">
              <w:rPr>
                <w:rFonts w:ascii="Verdana" w:hAnsi="Verdana"/>
                <w:sz w:val="22"/>
                <w:szCs w:val="22"/>
              </w:rPr>
              <w:t>Ebiere</w:t>
            </w:r>
            <w:proofErr w:type="spellEnd"/>
            <w:r w:rsidRPr="00EE2F29">
              <w:rPr>
                <w:rFonts w:ascii="Verdana" w:hAnsi="Verdana"/>
                <w:sz w:val="22"/>
                <w:szCs w:val="22"/>
              </w:rPr>
              <w:t xml:space="preserve"> Scott</w:t>
            </w:r>
          </w:p>
        </w:tc>
      </w:tr>
      <w:tr w:rsidR="00EE2F29" w:rsidRPr="00EE2F29" w:rsidTr="00EE2F29">
        <w:trPr>
          <w:cantSplit/>
        </w:trPr>
        <w:tc>
          <w:tcPr>
            <w:tcW w:w="1089" w:type="dxa"/>
          </w:tcPr>
          <w:p w:rsidR="0062177C" w:rsidRDefault="0062177C" w:rsidP="00EE2F29">
            <w:pPr>
              <w:jc w:val="center"/>
              <w:rPr>
                <w:rFonts w:ascii="Verdana" w:hAnsi="Verdana"/>
                <w:sz w:val="22"/>
                <w:szCs w:val="22"/>
              </w:rPr>
            </w:pPr>
          </w:p>
          <w:p w:rsidR="00EE2F29" w:rsidRPr="00EE2F29" w:rsidRDefault="00EE2F29" w:rsidP="00EE2F29">
            <w:pPr>
              <w:jc w:val="center"/>
              <w:rPr>
                <w:rFonts w:ascii="Verdana" w:hAnsi="Verdana"/>
                <w:sz w:val="22"/>
                <w:szCs w:val="22"/>
              </w:rPr>
            </w:pPr>
            <w:r w:rsidRPr="00EE2F29">
              <w:rPr>
                <w:rFonts w:ascii="Verdana" w:hAnsi="Verdana"/>
                <w:sz w:val="22"/>
                <w:szCs w:val="22"/>
              </w:rPr>
              <w:t>7.2</w:t>
            </w:r>
            <w:r w:rsidRPr="00EE2F29">
              <w:rPr>
                <w:rFonts w:ascii="Verdana" w:hAnsi="Verdana"/>
                <w:sz w:val="22"/>
                <w:szCs w:val="22"/>
              </w:rPr>
              <w:br/>
              <w:t>(FC)</w:t>
            </w:r>
          </w:p>
        </w:tc>
        <w:tc>
          <w:tcPr>
            <w:tcW w:w="3249" w:type="dxa"/>
          </w:tcPr>
          <w:p w:rsidR="0062177C" w:rsidRDefault="0062177C" w:rsidP="00EE2F29">
            <w:pPr>
              <w:rPr>
                <w:rFonts w:ascii="Verdana" w:hAnsi="Verdana"/>
                <w:b/>
                <w:sz w:val="22"/>
                <w:szCs w:val="22"/>
              </w:rPr>
            </w:pPr>
          </w:p>
          <w:p w:rsidR="00EE2F29" w:rsidRPr="00EE2F29" w:rsidRDefault="00EE2F29" w:rsidP="00EE2F29">
            <w:pPr>
              <w:rPr>
                <w:rFonts w:ascii="Verdana" w:hAnsi="Verdana"/>
                <w:b/>
                <w:sz w:val="22"/>
                <w:szCs w:val="22"/>
              </w:rPr>
            </w:pPr>
            <w:r w:rsidRPr="00EE2F29">
              <w:rPr>
                <w:rFonts w:ascii="Verdana" w:hAnsi="Verdana"/>
                <w:b/>
                <w:sz w:val="22"/>
                <w:szCs w:val="22"/>
              </w:rPr>
              <w:t>Staff Liability and Indemnity</w:t>
            </w:r>
          </w:p>
        </w:tc>
        <w:tc>
          <w:tcPr>
            <w:tcW w:w="4050" w:type="dxa"/>
          </w:tcPr>
          <w:p w:rsidR="0062177C" w:rsidRDefault="0062177C" w:rsidP="00EE2F29">
            <w:pPr>
              <w:rPr>
                <w:rFonts w:ascii="Verdana" w:hAnsi="Verdana"/>
                <w:sz w:val="22"/>
                <w:szCs w:val="22"/>
              </w:rPr>
            </w:pPr>
          </w:p>
          <w:p w:rsidR="00EE2F29" w:rsidRPr="00EE2F29" w:rsidRDefault="00EE2F29" w:rsidP="00EE2F29">
            <w:pPr>
              <w:rPr>
                <w:rFonts w:ascii="Verdana" w:hAnsi="Verdana"/>
                <w:sz w:val="22"/>
                <w:szCs w:val="22"/>
              </w:rPr>
            </w:pPr>
            <w:proofErr w:type="spellStart"/>
            <w:r w:rsidRPr="00EE2F29">
              <w:rPr>
                <w:rFonts w:ascii="Verdana" w:hAnsi="Verdana"/>
                <w:sz w:val="22"/>
                <w:szCs w:val="22"/>
              </w:rPr>
              <w:t>COSoP</w:t>
            </w:r>
            <w:proofErr w:type="spellEnd"/>
            <w:r w:rsidRPr="00EE2F29">
              <w:rPr>
                <w:rFonts w:ascii="Verdana" w:hAnsi="Verdana"/>
                <w:sz w:val="22"/>
                <w:szCs w:val="22"/>
              </w:rPr>
              <w:t xml:space="preserve"> Process</w:t>
            </w:r>
          </w:p>
        </w:tc>
        <w:tc>
          <w:tcPr>
            <w:tcW w:w="3600" w:type="dxa"/>
          </w:tcPr>
          <w:p w:rsidR="0062177C" w:rsidRDefault="0062177C" w:rsidP="00EE2F29">
            <w:pPr>
              <w:rPr>
                <w:rFonts w:ascii="Verdana" w:hAnsi="Verdana"/>
                <w:sz w:val="22"/>
                <w:szCs w:val="22"/>
              </w:rPr>
            </w:pPr>
          </w:p>
          <w:p w:rsidR="00EE2F29" w:rsidRPr="00EE2F29" w:rsidRDefault="00F37FA7" w:rsidP="00EE2F29">
            <w:pPr>
              <w:rPr>
                <w:rFonts w:ascii="Verdana" w:hAnsi="Verdana"/>
                <w:sz w:val="22"/>
                <w:szCs w:val="22"/>
              </w:rPr>
            </w:pPr>
            <w:proofErr w:type="spellStart"/>
            <w:r>
              <w:rPr>
                <w:rFonts w:ascii="Verdana" w:hAnsi="Verdana"/>
                <w:sz w:val="22"/>
                <w:szCs w:val="22"/>
              </w:rPr>
              <w:t>COSoP</w:t>
            </w:r>
            <w:proofErr w:type="spellEnd"/>
            <w:r>
              <w:rPr>
                <w:rFonts w:ascii="Verdana" w:hAnsi="Verdana"/>
                <w:sz w:val="22"/>
                <w:szCs w:val="22"/>
              </w:rPr>
              <w:t xml:space="preserve"> project on track</w:t>
            </w:r>
            <w:r w:rsidR="00EE2F29" w:rsidRPr="00EE2F29">
              <w:rPr>
                <w:rFonts w:ascii="Verdana" w:hAnsi="Verdana"/>
                <w:sz w:val="22"/>
                <w:szCs w:val="22"/>
              </w:rPr>
              <w:t xml:space="preserve"> </w:t>
            </w:r>
          </w:p>
        </w:tc>
        <w:tc>
          <w:tcPr>
            <w:tcW w:w="1440" w:type="dxa"/>
          </w:tcPr>
          <w:p w:rsidR="00EE2F29" w:rsidRPr="00EE2F29" w:rsidRDefault="00EE2F29" w:rsidP="00EE2F29">
            <w:pPr>
              <w:jc w:val="center"/>
              <w:rPr>
                <w:rFonts w:ascii="Verdana" w:hAnsi="Verdana"/>
                <w:sz w:val="22"/>
                <w:szCs w:val="22"/>
              </w:rPr>
            </w:pPr>
            <w:r w:rsidRPr="00EE2F29">
              <w:rPr>
                <w:rFonts w:ascii="Verdana" w:hAnsi="Verdana"/>
                <w:sz w:val="22"/>
                <w:szCs w:val="22"/>
              </w:rPr>
              <w:t>March 2019</w:t>
            </w:r>
          </w:p>
        </w:tc>
        <w:tc>
          <w:tcPr>
            <w:tcW w:w="2340" w:type="dxa"/>
          </w:tcPr>
          <w:p w:rsidR="00EE2F29" w:rsidRPr="00EE2F29" w:rsidRDefault="00F37FA7" w:rsidP="00EE2F29">
            <w:pPr>
              <w:jc w:val="center"/>
              <w:rPr>
                <w:rFonts w:ascii="Verdana" w:hAnsi="Verdana"/>
                <w:sz w:val="22"/>
                <w:szCs w:val="22"/>
              </w:rPr>
            </w:pPr>
            <w:r>
              <w:rPr>
                <w:rFonts w:ascii="Verdana" w:hAnsi="Verdana"/>
                <w:sz w:val="22"/>
                <w:szCs w:val="22"/>
              </w:rPr>
              <w:t>Sarah England</w:t>
            </w:r>
          </w:p>
        </w:tc>
      </w:tr>
    </w:tbl>
    <w:p w:rsidR="00EE2F29" w:rsidRDefault="00EE2F29" w:rsidP="00F37FA7">
      <w:pPr>
        <w:pStyle w:val="FCGBBodyText"/>
      </w:pPr>
    </w:p>
    <w:sectPr w:rsidR="00EE2F29" w:rsidSect="00EE2F29">
      <w:pgSz w:w="16840" w:h="11907" w:orient="landscape" w:code="9"/>
      <w:pgMar w:top="851" w:right="226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D8" w:rsidRDefault="00AC0C0E">
      <w:r>
        <w:separator/>
      </w:r>
    </w:p>
  </w:endnote>
  <w:endnote w:type="continuationSeparator" w:id="0">
    <w:p w:rsidR="001A57D8" w:rsidRDefault="00AC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F773C1">
    <w:pPr>
      <w:pStyle w:val="Footer"/>
    </w:pPr>
  </w:p>
  <w:p w:rsidR="005651B6" w:rsidRDefault="00F773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AC0C0E">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F773C1">
      <w:rPr>
        <w:rStyle w:val="PageNumber"/>
        <w:noProof/>
        <w:lang w:val="en-US"/>
      </w:rPr>
      <w:t>9</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sidR="0021715E">
      <w:rPr>
        <w:rStyle w:val="PageNumber"/>
        <w:lang w:val="en-US"/>
      </w:rPr>
      <w:t xml:space="preserve">Commissioners’ </w:t>
    </w:r>
    <w:r>
      <w:rPr>
        <w:rStyle w:val="PageNumber"/>
        <w:lang w:val="en-US"/>
      </w:rPr>
      <w:t xml:space="preserve">Paper    </w:t>
    </w:r>
    <w:r>
      <w:rPr>
        <w:rStyle w:val="PageNumber"/>
        <w:b/>
        <w:color w:val="008080"/>
        <w:lang w:val="en-US"/>
      </w:rPr>
      <w:t>|</w:t>
    </w:r>
    <w:r>
      <w:rPr>
        <w:rStyle w:val="PageNumber"/>
        <w:lang w:val="en-US"/>
      </w:rPr>
      <w:t xml:space="preserve">   Stephen </w:t>
    </w:r>
    <w:proofErr w:type="gramStart"/>
    <w:r>
      <w:rPr>
        <w:rStyle w:val="PageNumber"/>
        <w:lang w:val="en-US"/>
      </w:rPr>
      <w:t xml:space="preserve">Bennett  </w:t>
    </w:r>
    <w:r>
      <w:rPr>
        <w:rStyle w:val="PageNumber"/>
        <w:b/>
        <w:color w:val="008080"/>
        <w:lang w:val="en-US"/>
      </w:rPr>
      <w:t>|</w:t>
    </w:r>
    <w:proofErr w:type="gramEnd"/>
    <w:r>
      <w:rPr>
        <w:rStyle w:val="PageNumber"/>
        <w:lang w:val="en-US"/>
      </w:rPr>
      <w:t xml:space="preserve">    </w:t>
    </w:r>
    <w:r w:rsidR="0021715E">
      <w:rPr>
        <w:rStyle w:val="PageNumber"/>
        <w:lang w:val="en-US"/>
      </w:rPr>
      <w:t>November</w:t>
    </w:r>
    <w:r>
      <w:rPr>
        <w:rStyle w:val="PageNumber"/>
        <w:lang w:val="en-US"/>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AC0C0E">
    <w:pPr>
      <w:pStyle w:val="Footer"/>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F773C1">
      <w:rPr>
        <w:rStyle w:val="PageNumber"/>
        <w:noProof/>
        <w:lang w:val="en-US"/>
      </w:rPr>
      <w:t>1</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sidR="0021715E">
      <w:rPr>
        <w:rStyle w:val="PageNumber"/>
        <w:lang w:val="en-US"/>
      </w:rPr>
      <w:t xml:space="preserve">Commissioners’ </w:t>
    </w:r>
    <w:r>
      <w:rPr>
        <w:rStyle w:val="PageNumber"/>
        <w:lang w:val="en-US"/>
      </w:rPr>
      <w:t xml:space="preserve">Paper    </w:t>
    </w:r>
    <w:r>
      <w:rPr>
        <w:rStyle w:val="PageNumber"/>
        <w:b/>
        <w:color w:val="008080"/>
        <w:lang w:val="en-US"/>
      </w:rPr>
      <w:t>|</w:t>
    </w:r>
    <w:r>
      <w:rPr>
        <w:rStyle w:val="PageNumber"/>
        <w:lang w:val="en-US"/>
      </w:rPr>
      <w:t xml:space="preserve">   Stephen Bennett    </w:t>
    </w:r>
    <w:r>
      <w:rPr>
        <w:rStyle w:val="PageNumber"/>
        <w:b/>
        <w:color w:val="008080"/>
        <w:lang w:val="en-US"/>
      </w:rPr>
      <w:t>|</w:t>
    </w:r>
    <w:r>
      <w:rPr>
        <w:rStyle w:val="PageNumber"/>
        <w:lang w:val="en-US"/>
      </w:rPr>
      <w:t xml:space="preserve">    </w:t>
    </w:r>
    <w:r w:rsidR="0021715E">
      <w:rPr>
        <w:rStyle w:val="PageNumber"/>
        <w:lang w:val="en-US"/>
      </w:rPr>
      <w:t>November</w:t>
    </w:r>
    <w:r>
      <w:rPr>
        <w:rStyle w:val="PageNumber"/>
        <w:lang w:val="en-US"/>
      </w:rPr>
      <w:t xml:space="preserve"> 2018</w:t>
    </w:r>
  </w:p>
  <w:p w:rsidR="005651B6" w:rsidRDefault="00F7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D8" w:rsidRDefault="00AC0C0E">
      <w:r>
        <w:separator/>
      </w:r>
    </w:p>
  </w:footnote>
  <w:footnote w:type="continuationSeparator" w:id="0">
    <w:p w:rsidR="001A57D8" w:rsidRDefault="00AC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F773C1">
    <w:pPr>
      <w:pStyle w:val="Header"/>
    </w:pPr>
  </w:p>
  <w:p w:rsidR="005651B6" w:rsidRDefault="00F773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AC0C0E">
    <w:pPr>
      <w:pStyle w:val="RunningTitle"/>
    </w:pPr>
    <w:r>
      <w:rPr>
        <w:noProof/>
      </w:rPr>
      <w:drawing>
        <wp:anchor distT="0" distB="0" distL="114300" distR="114300" simplePos="0" relativeHeight="251661312" behindDoc="1" locked="0" layoutInCell="0" allowOverlap="1" wp14:anchorId="79B90397" wp14:editId="49CBA57A">
          <wp:simplePos x="0" y="0"/>
          <wp:positionH relativeFrom="page">
            <wp:posOffset>180340</wp:posOffset>
          </wp:positionH>
          <wp:positionV relativeFrom="page">
            <wp:posOffset>180340</wp:posOffset>
          </wp:positionV>
          <wp:extent cx="7191375" cy="1200150"/>
          <wp:effectExtent l="0" t="0" r="9525" b="0"/>
          <wp:wrapNone/>
          <wp:docPr id="3" name="Picture 3"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1B6" w:rsidRDefault="00EE2F29">
    <w:pPr>
      <w:pStyle w:val="RunningTitle"/>
    </w:pPr>
    <w:r>
      <w:t>Commissioners’</w:t>
    </w:r>
    <w:r w:rsidR="00AC0C0E">
      <w:t xml:space="preserve">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B6" w:rsidRDefault="00AC0C0E">
    <w:pPr>
      <w:pStyle w:val="Header"/>
    </w:pPr>
    <w:r>
      <w:rPr>
        <w:noProof/>
      </w:rPr>
      <w:drawing>
        <wp:anchor distT="0" distB="0" distL="114300" distR="114300" simplePos="0" relativeHeight="251660288" behindDoc="1" locked="0" layoutInCell="0" allowOverlap="1" wp14:anchorId="1F4E016B" wp14:editId="0E992DE1">
          <wp:simplePos x="0" y="0"/>
          <wp:positionH relativeFrom="page">
            <wp:posOffset>180340</wp:posOffset>
          </wp:positionH>
          <wp:positionV relativeFrom="page">
            <wp:posOffset>180340</wp:posOffset>
          </wp:positionV>
          <wp:extent cx="7191375" cy="1196975"/>
          <wp:effectExtent l="0" t="0" r="9525" b="3175"/>
          <wp:wrapTight wrapText="bothSides">
            <wp:wrapPolygon edited="0">
              <wp:start x="0" y="0"/>
              <wp:lineTo x="0" y="21314"/>
              <wp:lineTo x="21571" y="21314"/>
              <wp:lineTo x="21571" y="0"/>
              <wp:lineTo x="0" y="0"/>
            </wp:wrapPolygon>
          </wp:wrapTight>
          <wp:docPr id="2" name="Picture 2"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0" allowOverlap="1" wp14:anchorId="2581D992" wp14:editId="01847ECC">
              <wp:simplePos x="0" y="0"/>
              <wp:positionH relativeFrom="page">
                <wp:posOffset>3366770</wp:posOffset>
              </wp:positionH>
              <wp:positionV relativeFrom="page">
                <wp:posOffset>396240</wp:posOffset>
              </wp:positionV>
              <wp:extent cx="36093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1B6" w:rsidRPr="00D23907" w:rsidRDefault="00F773C1" w:rsidP="00D23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1pt;margin-top:31.2pt;width:284.2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KMsAIAALkFAAAOAAAAZHJzL2Uyb0RvYy54bWysVG1vmzAQ/j5p/8HydwqkzguopGpDmCZ1&#10;L1K7H+AYE6yBzWwn0E377zubJE1bTZq28cGyfefn7rl7uKvroW3QnmsjlMxwfBFhxCVTpZDbDH95&#10;KIIFRsZSWdJGSZ7hR27w9fLtm6u+S/lE1aopuUYAIk3adxmure3SMDSs5i01F6rjEoyV0i21cNTb&#10;sNS0B/S2CSdRNAt7pctOK8aNgdt8NOKlx68qzuynqjLcoibDkJv1q/brxq3h8oqmW027WrBDGvQv&#10;smipkBD0BJVTS9FOi1dQrWBaGVXZC6baUFWVYNxzADZx9ILNfU077rlAcUx3KpP5f7Ds4/6zRqKE&#10;3mEkaQsteuCDRbdqQLGrTt+ZFJzuO3CzA1w7T8fUdHeKfTVIqlVN5ZbfaK36mtMSsvMvw7OnI45x&#10;IJv+gyohDN1Z5YGGSrcOEIqBAB269HjqjEuFweXlLEouCZgY2Mh0Dq13yYU0Pb7utLHvuGqR22RY&#10;Q+c9Ot3fGTu6Hl1cMKkK0TS++418dgGY4w3EhqfO5rLwzfyRRMl6sV6QgExm64BEeR7cFCsSzIp4&#10;Ps0v89Uqj3+6uDFJa1GWXLowR2HF5M8ad5D4KImTtIxqROngXEpGbzerRqM9BWEX/jsU5MwtfJ6G&#10;rxdweUEpnpDodpIExWwxD0hBpkEyjxZBFCe3ySwiCcmL55TuhOT/Tgn1GU6mk+kopt9yi/z3mhtN&#10;W2FhdDSizfDi5ERTJ8G1LH1rLRXNuD8rhUv/qRTQ7mOjvWCdRke12mEzAIpT8UaVjyBdrUBZIEKY&#10;d7Cplf6OUQ+zI8Pm245qjlHzXoL8k5g4rVp/8GrFSJ9bNucWKhlAZdhiNG5XdhxQu06LbQ2Rxh9O&#10;qhv4ZSrh1fyUFVBxB5gPntRhlrkBdH72Xk8Td/kLAAD//wMAUEsDBBQABgAIAAAAIQCt0Da93wAA&#10;AAsBAAAPAAAAZHJzL2Rvd25yZXYueG1sTI9NT8MwDIbvSPyHyJO4sWRdV22l6YRAXEEbHxK3rPHa&#10;isapmmwt/x7vNG62/Oj18xbbyXXijENoPWlYzBUIpMrblmoNH+8v92sQIRqypvOEGn4xwLa8vSlM&#10;bv1IOzzvYy04hEJuNDQx9rmUoWrQmTD3PRLfjn5wJvI61NIOZuRw18lEqUw60xJ/aEyPTw1WP/uT&#10;0/D5evz+StVb/exW/egnJcltpNZ3s+nxAUTEKV5huOizOpTsdPAnskF0GlZLlTCqIUtSEBdAbdYZ&#10;iANPyzQFWRbyf4fyDwAA//8DAFBLAQItABQABgAIAAAAIQC2gziS/gAAAOEBAAATAAAAAAAAAAAA&#10;AAAAAAAAAABbQ29udGVudF9UeXBlc10ueG1sUEsBAi0AFAAGAAgAAAAhADj9If/WAAAAlAEAAAsA&#10;AAAAAAAAAAAAAAAALwEAAF9yZWxzLy5yZWxzUEsBAi0AFAAGAAgAAAAhAMTFwoywAgAAuQUAAA4A&#10;AAAAAAAAAAAAAAAALgIAAGRycy9lMm9Eb2MueG1sUEsBAi0AFAAGAAgAAAAhAK3QNr3fAAAACwEA&#10;AA8AAAAAAAAAAAAAAAAACgUAAGRycy9kb3ducmV2LnhtbFBLBQYAAAAABAAEAPMAAAAWBgAAAAA=&#10;" o:allowincell="f" filled="f" stroked="f">
              <v:textbox>
                <w:txbxContent>
                  <w:p w:rsidR="005651B6" w:rsidRPr="00D23907" w:rsidRDefault="0062177C" w:rsidP="00D23907"/>
                </w:txbxContent>
              </v:textbox>
              <w10:wrap anchorx="page" anchory="page"/>
              <w10:anchorlock/>
            </v:shape>
          </w:pict>
        </mc:Fallback>
      </mc:AlternateContent>
    </w:r>
  </w:p>
  <w:p w:rsidR="005651B6" w:rsidRDefault="00F773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BDF"/>
    <w:multiLevelType w:val="hybridMultilevel"/>
    <w:tmpl w:val="F73A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65CA2"/>
    <w:multiLevelType w:val="hybridMultilevel"/>
    <w:tmpl w:val="EE9800C4"/>
    <w:lvl w:ilvl="0" w:tplc="50842C2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30049"/>
    <w:multiLevelType w:val="hybridMultilevel"/>
    <w:tmpl w:val="44C8F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403C39"/>
    <w:multiLevelType w:val="hybridMultilevel"/>
    <w:tmpl w:val="C68EB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CD1BDC"/>
    <w:multiLevelType w:val="hybridMultilevel"/>
    <w:tmpl w:val="050A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9C2979"/>
    <w:multiLevelType w:val="hybridMultilevel"/>
    <w:tmpl w:val="91E8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4F31EC"/>
    <w:multiLevelType w:val="hybridMultilevel"/>
    <w:tmpl w:val="00B6A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A31C11"/>
    <w:multiLevelType w:val="hybridMultilevel"/>
    <w:tmpl w:val="E04A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1D6218"/>
    <w:multiLevelType w:val="hybridMultilevel"/>
    <w:tmpl w:val="14488C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743959"/>
    <w:multiLevelType w:val="hybridMultilevel"/>
    <w:tmpl w:val="BD760E8E"/>
    <w:lvl w:ilvl="0" w:tplc="84AAE72A">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EB484E"/>
    <w:multiLevelType w:val="hybridMultilevel"/>
    <w:tmpl w:val="F2BE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5D67FB"/>
    <w:multiLevelType w:val="hybridMultilevel"/>
    <w:tmpl w:val="3DB24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971BFC"/>
    <w:multiLevelType w:val="hybridMultilevel"/>
    <w:tmpl w:val="6D409FC6"/>
    <w:lvl w:ilvl="0" w:tplc="3558CFC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84016B"/>
    <w:multiLevelType w:val="hybridMultilevel"/>
    <w:tmpl w:val="0780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202E04"/>
    <w:multiLevelType w:val="hybridMultilevel"/>
    <w:tmpl w:val="0A466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256362"/>
    <w:multiLevelType w:val="hybridMultilevel"/>
    <w:tmpl w:val="B13A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D36A1B"/>
    <w:multiLevelType w:val="hybridMultilevel"/>
    <w:tmpl w:val="C3BA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7E0830"/>
    <w:multiLevelType w:val="hybridMultilevel"/>
    <w:tmpl w:val="88EA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56839"/>
    <w:multiLevelType w:val="hybridMultilevel"/>
    <w:tmpl w:val="3300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7"/>
  </w:num>
  <w:num w:numId="4">
    <w:abstractNumId w:val="12"/>
  </w:num>
  <w:num w:numId="5">
    <w:abstractNumId w:val="10"/>
  </w:num>
  <w:num w:numId="6">
    <w:abstractNumId w:val="18"/>
  </w:num>
  <w:num w:numId="7">
    <w:abstractNumId w:val="6"/>
  </w:num>
  <w:num w:numId="8">
    <w:abstractNumId w:val="13"/>
  </w:num>
  <w:num w:numId="9">
    <w:abstractNumId w:val="15"/>
  </w:num>
  <w:num w:numId="10">
    <w:abstractNumId w:val="11"/>
  </w:num>
  <w:num w:numId="11">
    <w:abstractNumId w:val="3"/>
  </w:num>
  <w:num w:numId="12">
    <w:abstractNumId w:val="5"/>
  </w:num>
  <w:num w:numId="13">
    <w:abstractNumId w:val="4"/>
  </w:num>
  <w:num w:numId="14">
    <w:abstractNumId w:val="0"/>
  </w:num>
  <w:num w:numId="15">
    <w:abstractNumId w:val="7"/>
  </w:num>
  <w:num w:numId="16">
    <w:abstractNumId w:val="2"/>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10"/>
    <w:rsid w:val="000463E0"/>
    <w:rsid w:val="001A57D8"/>
    <w:rsid w:val="0021715E"/>
    <w:rsid w:val="00456510"/>
    <w:rsid w:val="0047354D"/>
    <w:rsid w:val="005F2F11"/>
    <w:rsid w:val="0062177C"/>
    <w:rsid w:val="00AC0C0E"/>
    <w:rsid w:val="00DE2982"/>
    <w:rsid w:val="00EE2F29"/>
    <w:rsid w:val="00F00DB5"/>
    <w:rsid w:val="00F34085"/>
    <w:rsid w:val="00F37FA7"/>
    <w:rsid w:val="00F7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0"/>
    <w:pPr>
      <w:spacing w:after="0" w:line="240" w:lineRule="auto"/>
    </w:pPr>
    <w:rPr>
      <w:rFonts w:ascii="Tahoma" w:eastAsia="Times New Roman" w:hAnsi="Tahoma" w:cs="Times New Roman"/>
      <w:sz w:val="24"/>
      <w:szCs w:val="20"/>
      <w:lang w:eastAsia="en-GB"/>
    </w:rPr>
  </w:style>
  <w:style w:type="paragraph" w:styleId="Heading1">
    <w:name w:val="heading 1"/>
    <w:basedOn w:val="Normal"/>
    <w:next w:val="Normal"/>
    <w:link w:val="Heading1Char"/>
    <w:uiPriority w:val="9"/>
    <w:qFormat/>
    <w:rsid w:val="00456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456510"/>
    <w:pPr>
      <w:keepNext/>
      <w:spacing w:before="240" w:after="60"/>
      <w:outlineLvl w:val="2"/>
    </w:pPr>
    <w:rPr>
      <w:rFonts w:ascii="Verdana" w:hAnsi="Verdana"/>
      <w:color w:val="008080"/>
      <w:sz w:val="28"/>
    </w:rPr>
  </w:style>
  <w:style w:type="paragraph" w:styleId="Heading4">
    <w:name w:val="heading 4"/>
    <w:basedOn w:val="Normal"/>
    <w:next w:val="FCGBBodyText"/>
    <w:link w:val="Heading4Char"/>
    <w:qFormat/>
    <w:rsid w:val="00456510"/>
    <w:pPr>
      <w:keepNext/>
      <w:spacing w:before="240" w:after="60"/>
      <w:outlineLvl w:val="3"/>
    </w:pPr>
    <w:rPr>
      <w:rFonts w:ascii="Verdana" w:hAnsi="Verdana"/>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1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456510"/>
    <w:rPr>
      <w:rFonts w:ascii="Verdana" w:eastAsia="Times New Roman" w:hAnsi="Verdana" w:cs="Times New Roman"/>
      <w:color w:val="008080"/>
      <w:sz w:val="28"/>
      <w:szCs w:val="20"/>
      <w:lang w:eastAsia="en-GB"/>
    </w:rPr>
  </w:style>
  <w:style w:type="character" w:customStyle="1" w:styleId="Heading4Char">
    <w:name w:val="Heading 4 Char"/>
    <w:basedOn w:val="DefaultParagraphFont"/>
    <w:link w:val="Heading4"/>
    <w:rsid w:val="00456510"/>
    <w:rPr>
      <w:rFonts w:ascii="Verdana" w:eastAsia="Times New Roman" w:hAnsi="Verdana" w:cs="Times New Roman"/>
      <w:color w:val="008080"/>
      <w:sz w:val="24"/>
      <w:szCs w:val="20"/>
      <w:lang w:eastAsia="en-GB"/>
    </w:rPr>
  </w:style>
  <w:style w:type="paragraph" w:styleId="Header">
    <w:name w:val="header"/>
    <w:aliases w:val="FCW Header,Main title"/>
    <w:basedOn w:val="Normal"/>
    <w:link w:val="HeaderChar"/>
    <w:rsid w:val="00456510"/>
    <w:pPr>
      <w:tabs>
        <w:tab w:val="center" w:pos="4320"/>
        <w:tab w:val="right" w:pos="8640"/>
      </w:tabs>
      <w:spacing w:line="300" w:lineRule="exact"/>
    </w:pPr>
    <w:rPr>
      <w:rFonts w:ascii="Verdana" w:hAnsi="Verdana"/>
      <w:sz w:val="22"/>
    </w:rPr>
  </w:style>
  <w:style w:type="character" w:customStyle="1" w:styleId="HeaderChar">
    <w:name w:val="Header Char"/>
    <w:aliases w:val="FCW Header Char,Main title Char"/>
    <w:basedOn w:val="DefaultParagraphFont"/>
    <w:link w:val="Header"/>
    <w:rsid w:val="00456510"/>
    <w:rPr>
      <w:rFonts w:ascii="Verdana" w:eastAsia="Times New Roman" w:hAnsi="Verdana" w:cs="Times New Roman"/>
      <w:szCs w:val="20"/>
      <w:lang w:eastAsia="en-GB"/>
    </w:rPr>
  </w:style>
  <w:style w:type="paragraph" w:styleId="Footer">
    <w:name w:val="footer"/>
    <w:basedOn w:val="Normal"/>
    <w:link w:val="FooterChar"/>
    <w:rsid w:val="00456510"/>
    <w:pPr>
      <w:tabs>
        <w:tab w:val="center" w:pos="4320"/>
        <w:tab w:val="right" w:pos="8640"/>
      </w:tabs>
      <w:spacing w:line="300" w:lineRule="exact"/>
    </w:pPr>
    <w:rPr>
      <w:rFonts w:ascii="Verdana" w:hAnsi="Verdana"/>
      <w:sz w:val="22"/>
    </w:rPr>
  </w:style>
  <w:style w:type="character" w:customStyle="1" w:styleId="FooterChar">
    <w:name w:val="Footer Char"/>
    <w:basedOn w:val="DefaultParagraphFont"/>
    <w:link w:val="Footer"/>
    <w:rsid w:val="00456510"/>
    <w:rPr>
      <w:rFonts w:ascii="Verdana" w:eastAsia="Times New Roman" w:hAnsi="Verdana" w:cs="Times New Roman"/>
      <w:szCs w:val="20"/>
      <w:lang w:eastAsia="en-GB"/>
    </w:rPr>
  </w:style>
  <w:style w:type="paragraph" w:customStyle="1" w:styleId="RunningTitle">
    <w:name w:val="Running Title"/>
    <w:basedOn w:val="Heading2"/>
    <w:rsid w:val="00456510"/>
    <w:pPr>
      <w:keepLines w:val="0"/>
      <w:spacing w:before="0"/>
    </w:pPr>
    <w:rPr>
      <w:rFonts w:ascii="Verdana" w:eastAsia="Times New Roman" w:hAnsi="Verdana" w:cs="Times New Roman"/>
      <w:b w:val="0"/>
      <w:bCs w:val="0"/>
      <w:color w:val="008080"/>
      <w:sz w:val="36"/>
      <w:szCs w:val="20"/>
    </w:rPr>
  </w:style>
  <w:style w:type="paragraph" w:customStyle="1" w:styleId="FCGBBodyText">
    <w:name w:val="FCGB Body Text"/>
    <w:basedOn w:val="Normal"/>
    <w:rsid w:val="00456510"/>
    <w:pPr>
      <w:spacing w:line="300" w:lineRule="exact"/>
    </w:pPr>
    <w:rPr>
      <w:rFonts w:ascii="Verdana" w:hAnsi="Verdana"/>
      <w:sz w:val="22"/>
    </w:rPr>
  </w:style>
  <w:style w:type="character" w:styleId="PageNumber">
    <w:name w:val="page number"/>
    <w:basedOn w:val="DefaultParagraphFont"/>
    <w:rsid w:val="00456510"/>
  </w:style>
  <w:style w:type="paragraph" w:styleId="NormalWeb">
    <w:name w:val="Normal (Web)"/>
    <w:basedOn w:val="Normal"/>
    <w:uiPriority w:val="99"/>
    <w:unhideWhenUsed/>
    <w:rsid w:val="0045651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56510"/>
    <w:pPr>
      <w:ind w:left="720"/>
      <w:contextualSpacing/>
    </w:pPr>
  </w:style>
  <w:style w:type="character" w:customStyle="1" w:styleId="Heading2Char">
    <w:name w:val="Heading 2 Char"/>
    <w:basedOn w:val="DefaultParagraphFont"/>
    <w:link w:val="Heading2"/>
    <w:uiPriority w:val="9"/>
    <w:semiHidden/>
    <w:rsid w:val="00456510"/>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EE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0"/>
    <w:pPr>
      <w:spacing w:after="0" w:line="240" w:lineRule="auto"/>
    </w:pPr>
    <w:rPr>
      <w:rFonts w:ascii="Tahoma" w:eastAsia="Times New Roman" w:hAnsi="Tahoma" w:cs="Times New Roman"/>
      <w:sz w:val="24"/>
      <w:szCs w:val="20"/>
      <w:lang w:eastAsia="en-GB"/>
    </w:rPr>
  </w:style>
  <w:style w:type="paragraph" w:styleId="Heading1">
    <w:name w:val="heading 1"/>
    <w:basedOn w:val="Normal"/>
    <w:next w:val="Normal"/>
    <w:link w:val="Heading1Char"/>
    <w:uiPriority w:val="9"/>
    <w:qFormat/>
    <w:rsid w:val="00456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456510"/>
    <w:pPr>
      <w:keepNext/>
      <w:spacing w:before="240" w:after="60"/>
      <w:outlineLvl w:val="2"/>
    </w:pPr>
    <w:rPr>
      <w:rFonts w:ascii="Verdana" w:hAnsi="Verdana"/>
      <w:color w:val="008080"/>
      <w:sz w:val="28"/>
    </w:rPr>
  </w:style>
  <w:style w:type="paragraph" w:styleId="Heading4">
    <w:name w:val="heading 4"/>
    <w:basedOn w:val="Normal"/>
    <w:next w:val="FCGBBodyText"/>
    <w:link w:val="Heading4Char"/>
    <w:qFormat/>
    <w:rsid w:val="00456510"/>
    <w:pPr>
      <w:keepNext/>
      <w:spacing w:before="240" w:after="60"/>
      <w:outlineLvl w:val="3"/>
    </w:pPr>
    <w:rPr>
      <w:rFonts w:ascii="Verdana" w:hAnsi="Verdana"/>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1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456510"/>
    <w:rPr>
      <w:rFonts w:ascii="Verdana" w:eastAsia="Times New Roman" w:hAnsi="Verdana" w:cs="Times New Roman"/>
      <w:color w:val="008080"/>
      <w:sz w:val="28"/>
      <w:szCs w:val="20"/>
      <w:lang w:eastAsia="en-GB"/>
    </w:rPr>
  </w:style>
  <w:style w:type="character" w:customStyle="1" w:styleId="Heading4Char">
    <w:name w:val="Heading 4 Char"/>
    <w:basedOn w:val="DefaultParagraphFont"/>
    <w:link w:val="Heading4"/>
    <w:rsid w:val="00456510"/>
    <w:rPr>
      <w:rFonts w:ascii="Verdana" w:eastAsia="Times New Roman" w:hAnsi="Verdana" w:cs="Times New Roman"/>
      <w:color w:val="008080"/>
      <w:sz w:val="24"/>
      <w:szCs w:val="20"/>
      <w:lang w:eastAsia="en-GB"/>
    </w:rPr>
  </w:style>
  <w:style w:type="paragraph" w:styleId="Header">
    <w:name w:val="header"/>
    <w:aliases w:val="FCW Header,Main title"/>
    <w:basedOn w:val="Normal"/>
    <w:link w:val="HeaderChar"/>
    <w:rsid w:val="00456510"/>
    <w:pPr>
      <w:tabs>
        <w:tab w:val="center" w:pos="4320"/>
        <w:tab w:val="right" w:pos="8640"/>
      </w:tabs>
      <w:spacing w:line="300" w:lineRule="exact"/>
    </w:pPr>
    <w:rPr>
      <w:rFonts w:ascii="Verdana" w:hAnsi="Verdana"/>
      <w:sz w:val="22"/>
    </w:rPr>
  </w:style>
  <w:style w:type="character" w:customStyle="1" w:styleId="HeaderChar">
    <w:name w:val="Header Char"/>
    <w:aliases w:val="FCW Header Char,Main title Char"/>
    <w:basedOn w:val="DefaultParagraphFont"/>
    <w:link w:val="Header"/>
    <w:rsid w:val="00456510"/>
    <w:rPr>
      <w:rFonts w:ascii="Verdana" w:eastAsia="Times New Roman" w:hAnsi="Verdana" w:cs="Times New Roman"/>
      <w:szCs w:val="20"/>
      <w:lang w:eastAsia="en-GB"/>
    </w:rPr>
  </w:style>
  <w:style w:type="paragraph" w:styleId="Footer">
    <w:name w:val="footer"/>
    <w:basedOn w:val="Normal"/>
    <w:link w:val="FooterChar"/>
    <w:rsid w:val="00456510"/>
    <w:pPr>
      <w:tabs>
        <w:tab w:val="center" w:pos="4320"/>
        <w:tab w:val="right" w:pos="8640"/>
      </w:tabs>
      <w:spacing w:line="300" w:lineRule="exact"/>
    </w:pPr>
    <w:rPr>
      <w:rFonts w:ascii="Verdana" w:hAnsi="Verdana"/>
      <w:sz w:val="22"/>
    </w:rPr>
  </w:style>
  <w:style w:type="character" w:customStyle="1" w:styleId="FooterChar">
    <w:name w:val="Footer Char"/>
    <w:basedOn w:val="DefaultParagraphFont"/>
    <w:link w:val="Footer"/>
    <w:rsid w:val="00456510"/>
    <w:rPr>
      <w:rFonts w:ascii="Verdana" w:eastAsia="Times New Roman" w:hAnsi="Verdana" w:cs="Times New Roman"/>
      <w:szCs w:val="20"/>
      <w:lang w:eastAsia="en-GB"/>
    </w:rPr>
  </w:style>
  <w:style w:type="paragraph" w:customStyle="1" w:styleId="RunningTitle">
    <w:name w:val="Running Title"/>
    <w:basedOn w:val="Heading2"/>
    <w:rsid w:val="00456510"/>
    <w:pPr>
      <w:keepLines w:val="0"/>
      <w:spacing w:before="0"/>
    </w:pPr>
    <w:rPr>
      <w:rFonts w:ascii="Verdana" w:eastAsia="Times New Roman" w:hAnsi="Verdana" w:cs="Times New Roman"/>
      <w:b w:val="0"/>
      <w:bCs w:val="0"/>
      <w:color w:val="008080"/>
      <w:sz w:val="36"/>
      <w:szCs w:val="20"/>
    </w:rPr>
  </w:style>
  <w:style w:type="paragraph" w:customStyle="1" w:styleId="FCGBBodyText">
    <w:name w:val="FCGB Body Text"/>
    <w:basedOn w:val="Normal"/>
    <w:rsid w:val="00456510"/>
    <w:pPr>
      <w:spacing w:line="300" w:lineRule="exact"/>
    </w:pPr>
    <w:rPr>
      <w:rFonts w:ascii="Verdana" w:hAnsi="Verdana"/>
      <w:sz w:val="22"/>
    </w:rPr>
  </w:style>
  <w:style w:type="character" w:styleId="PageNumber">
    <w:name w:val="page number"/>
    <w:basedOn w:val="DefaultParagraphFont"/>
    <w:rsid w:val="00456510"/>
  </w:style>
  <w:style w:type="paragraph" w:styleId="NormalWeb">
    <w:name w:val="Normal (Web)"/>
    <w:basedOn w:val="Normal"/>
    <w:uiPriority w:val="99"/>
    <w:unhideWhenUsed/>
    <w:rsid w:val="0045651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56510"/>
    <w:pPr>
      <w:ind w:left="720"/>
      <w:contextualSpacing/>
    </w:pPr>
  </w:style>
  <w:style w:type="character" w:customStyle="1" w:styleId="Heading2Char">
    <w:name w:val="Heading 2 Char"/>
    <w:basedOn w:val="DefaultParagraphFont"/>
    <w:link w:val="Heading2"/>
    <w:uiPriority w:val="9"/>
    <w:semiHidden/>
    <w:rsid w:val="00456510"/>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EE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Stephen</dc:creator>
  <cp:lastModifiedBy>Zoe Kruge</cp:lastModifiedBy>
  <cp:revision>3</cp:revision>
  <dcterms:created xsi:type="dcterms:W3CDTF">2018-12-03T13:31:00Z</dcterms:created>
  <dcterms:modified xsi:type="dcterms:W3CDTF">2018-12-06T07:07:00Z</dcterms:modified>
</cp:coreProperties>
</file>