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A9" w:rsidRPr="00DE34A9" w:rsidRDefault="00552CFB" w:rsidP="00552CFB">
      <w:pPr>
        <w:rPr>
          <w:b/>
        </w:rPr>
      </w:pPr>
      <w:bookmarkStart w:id="0" w:name="_GoBack"/>
      <w:bookmarkEnd w:id="0"/>
      <w:r w:rsidRPr="00552CFB">
        <w:rPr>
          <w:b/>
          <w:color w:val="FF0000"/>
        </w:rPr>
        <w:t>DRAFT</w:t>
      </w:r>
      <w:r>
        <w:rPr>
          <w:b/>
        </w:rPr>
        <w:t xml:space="preserve"> </w:t>
      </w:r>
      <w:r w:rsidR="00C20A8C" w:rsidRPr="00C20A8C">
        <w:rPr>
          <w:b/>
          <w:color w:val="FF0000"/>
        </w:rPr>
        <w:t>26.11.18</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20A8C">
        <w:rPr>
          <w:b/>
        </w:rPr>
        <w:tab/>
      </w:r>
      <w:r w:rsidR="00C20A8C">
        <w:rPr>
          <w:b/>
        </w:rPr>
        <w:tab/>
      </w:r>
      <w:r w:rsidR="00C20A8C">
        <w:rPr>
          <w:b/>
        </w:rPr>
        <w:tab/>
      </w:r>
      <w:r w:rsidR="00C20A8C">
        <w:rPr>
          <w:b/>
        </w:rPr>
        <w:tab/>
      </w:r>
      <w:r w:rsidR="00C20A8C">
        <w:rPr>
          <w:b/>
        </w:rPr>
        <w:tab/>
      </w:r>
      <w:r w:rsidR="00C20A8C">
        <w:rPr>
          <w:b/>
        </w:rPr>
        <w:tab/>
      </w:r>
      <w:r w:rsidR="00C20A8C">
        <w:rPr>
          <w:b/>
        </w:rPr>
        <w:tab/>
      </w:r>
      <w:r w:rsidR="00C20A8C">
        <w:rPr>
          <w:b/>
        </w:rPr>
        <w:tab/>
      </w:r>
      <w:r w:rsidR="00C20A8C">
        <w:rPr>
          <w:b/>
        </w:rPr>
        <w:tab/>
      </w:r>
      <w:r w:rsidR="00C20A8C">
        <w:rPr>
          <w:b/>
        </w:rPr>
        <w:tab/>
      </w:r>
      <w:r w:rsidR="00DE34A9" w:rsidRPr="00DE34A9">
        <w:rPr>
          <w:b/>
        </w:rPr>
        <w:t>ANNEX A</w:t>
      </w:r>
    </w:p>
    <w:p w:rsidR="00CC2995" w:rsidRDefault="00DE34A9">
      <w:r w:rsidRPr="00DE34A9">
        <w:rPr>
          <w:b/>
        </w:rPr>
        <w:t>FUNCTIONS DELE</w:t>
      </w:r>
      <w:r w:rsidR="004860EF">
        <w:rPr>
          <w:b/>
        </w:rPr>
        <w:t>GATED BY THE</w:t>
      </w:r>
      <w:r w:rsidRPr="00DE34A9">
        <w:rPr>
          <w:b/>
        </w:rPr>
        <w:t xml:space="preserve"> BOARD OF COMMISSIONERS</w:t>
      </w:r>
      <w:r>
        <w:t xml:space="preserve"> </w:t>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928"/>
        <w:gridCol w:w="1417"/>
        <w:gridCol w:w="1418"/>
        <w:gridCol w:w="1479"/>
      </w:tblGrid>
      <w:tr w:rsidR="00DE34A9" w:rsidRPr="00DE34A9" w:rsidTr="00DE34A9">
        <w:tc>
          <w:tcPr>
            <w:tcW w:w="4928" w:type="dxa"/>
            <w:shd w:val="clear" w:color="auto" w:fill="CBE9D3"/>
          </w:tcPr>
          <w:p w:rsidR="00DE34A9" w:rsidRDefault="00DE34A9" w:rsidP="00D67BC0">
            <w:pPr>
              <w:jc w:val="center"/>
              <w:rPr>
                <w:b/>
              </w:rPr>
            </w:pPr>
            <w:r w:rsidRPr="005C7A99">
              <w:rPr>
                <w:b/>
              </w:rPr>
              <w:t>FUNCTION</w:t>
            </w:r>
          </w:p>
          <w:p w:rsidR="004860EF" w:rsidRPr="004860EF" w:rsidRDefault="004860EF" w:rsidP="00D67BC0">
            <w:pPr>
              <w:jc w:val="center"/>
            </w:pPr>
            <w:r w:rsidRPr="004860EF">
              <w:t xml:space="preserve">(listed </w:t>
            </w:r>
            <w:r>
              <w:t>by</w:t>
            </w:r>
            <w:r w:rsidRPr="004860EF">
              <w:t xml:space="preserve"> legal basis for activity</w:t>
            </w:r>
            <w:r w:rsidRPr="004860EF">
              <w:rPr>
                <w:rStyle w:val="FootnoteReference"/>
              </w:rPr>
              <w:footnoteReference w:id="1"/>
            </w:r>
            <w:r w:rsidRPr="004860EF">
              <w:t>)</w:t>
            </w:r>
          </w:p>
        </w:tc>
        <w:tc>
          <w:tcPr>
            <w:tcW w:w="1417" w:type="dxa"/>
            <w:shd w:val="clear" w:color="auto" w:fill="FFFFFF"/>
          </w:tcPr>
          <w:p w:rsidR="00DE34A9" w:rsidRPr="005C7A99" w:rsidRDefault="00DE34A9" w:rsidP="00D67BC0">
            <w:pPr>
              <w:jc w:val="center"/>
              <w:rPr>
                <w:b/>
              </w:rPr>
            </w:pPr>
            <w:r w:rsidRPr="005C7A99">
              <w:rPr>
                <w:b/>
              </w:rPr>
              <w:t>FORESTRY ENGLAND BOARD (FEB)</w:t>
            </w:r>
          </w:p>
        </w:tc>
        <w:tc>
          <w:tcPr>
            <w:tcW w:w="1418" w:type="dxa"/>
            <w:shd w:val="clear" w:color="auto" w:fill="FFFFFF"/>
          </w:tcPr>
          <w:p w:rsidR="00DE34A9" w:rsidRPr="005C7A99" w:rsidRDefault="00DE34A9" w:rsidP="00D67BC0">
            <w:pPr>
              <w:jc w:val="center"/>
              <w:rPr>
                <w:b/>
              </w:rPr>
            </w:pPr>
            <w:r w:rsidRPr="005C7A99">
              <w:rPr>
                <w:b/>
              </w:rPr>
              <w:t>FOREST SERVICES BOARD (FSB)</w:t>
            </w:r>
          </w:p>
        </w:tc>
        <w:tc>
          <w:tcPr>
            <w:tcW w:w="1479" w:type="dxa"/>
            <w:shd w:val="clear" w:color="auto" w:fill="FFFFFF"/>
          </w:tcPr>
          <w:p w:rsidR="00DE34A9" w:rsidRPr="005C7A99" w:rsidRDefault="00DE34A9" w:rsidP="00D67BC0">
            <w:pPr>
              <w:jc w:val="center"/>
              <w:rPr>
                <w:b/>
              </w:rPr>
            </w:pPr>
            <w:r w:rsidRPr="005C7A99">
              <w:rPr>
                <w:b/>
              </w:rPr>
              <w:t>FOREST RESEARCH BOARD (FRB)</w:t>
            </w:r>
          </w:p>
        </w:tc>
      </w:tr>
      <w:tr w:rsidR="00D67BC0" w:rsidRPr="00DE34A9" w:rsidTr="00DE34A9">
        <w:tc>
          <w:tcPr>
            <w:tcW w:w="4928" w:type="dxa"/>
            <w:shd w:val="clear" w:color="auto" w:fill="CBE9D3"/>
          </w:tcPr>
          <w:p w:rsidR="008C08B7" w:rsidRPr="00D67BC0" w:rsidRDefault="00D67BC0" w:rsidP="004860EF">
            <w:pPr>
              <w:rPr>
                <w:b/>
              </w:rPr>
            </w:pPr>
            <w:r w:rsidRPr="00D67BC0">
              <w:rPr>
                <w:b/>
              </w:rPr>
              <w:t>Forestry Act 1967 (as amended)</w:t>
            </w:r>
            <w:r w:rsidR="00DD4E34">
              <w:rPr>
                <w:b/>
              </w:rPr>
              <w:t>:</w:t>
            </w:r>
            <w:r w:rsidR="004860EF">
              <w:rPr>
                <w:b/>
              </w:rPr>
              <w:t xml:space="preserve">   </w:t>
            </w:r>
            <w:r w:rsidR="008C08B7">
              <w:rPr>
                <w:b/>
              </w:rPr>
              <w:t xml:space="preserve">Note:  </w:t>
            </w:r>
            <w:r w:rsidR="008C08B7" w:rsidRPr="008C08B7">
              <w:t>The Forestry Commissioners are the ‘appropriate forestry authority’ in England</w:t>
            </w:r>
            <w:r w:rsidR="004860EF">
              <w:rPr>
                <w:b/>
              </w:rPr>
              <w:t>.</w:t>
            </w:r>
          </w:p>
        </w:tc>
        <w:tc>
          <w:tcPr>
            <w:tcW w:w="1417" w:type="dxa"/>
            <w:shd w:val="clear" w:color="auto" w:fill="FFFFFF"/>
          </w:tcPr>
          <w:p w:rsidR="00D67BC0" w:rsidRDefault="00D67BC0" w:rsidP="00DE34A9"/>
        </w:tc>
        <w:tc>
          <w:tcPr>
            <w:tcW w:w="1418" w:type="dxa"/>
            <w:shd w:val="clear" w:color="auto" w:fill="FFFFFF"/>
          </w:tcPr>
          <w:p w:rsidR="00D67BC0" w:rsidRDefault="00D67BC0" w:rsidP="00DE34A9"/>
        </w:tc>
        <w:tc>
          <w:tcPr>
            <w:tcW w:w="1479" w:type="dxa"/>
            <w:shd w:val="clear" w:color="auto" w:fill="FFFFFF"/>
          </w:tcPr>
          <w:p w:rsidR="00D67BC0" w:rsidRDefault="00D67BC0" w:rsidP="00DE34A9"/>
        </w:tc>
      </w:tr>
      <w:tr w:rsidR="00DE34A9" w:rsidRPr="00DE34A9" w:rsidTr="00B11F48">
        <w:trPr>
          <w:trHeight w:val="1715"/>
        </w:trPr>
        <w:tc>
          <w:tcPr>
            <w:tcW w:w="4928" w:type="dxa"/>
            <w:shd w:val="clear" w:color="auto" w:fill="CBE9D3"/>
          </w:tcPr>
          <w:p w:rsidR="00D67BC0" w:rsidRPr="00DE34A9" w:rsidRDefault="004860EF" w:rsidP="008C08B7">
            <w:pPr>
              <w:spacing w:line="300" w:lineRule="exact"/>
            </w:pPr>
            <w:r>
              <w:t>T</w:t>
            </w:r>
            <w:r w:rsidR="008C08B7" w:rsidRPr="008C08B7">
              <w:t>o manage the land placed at the disposal of the Forestry Commissioners by the Minister (Secretary of State, Defra) for the functions of the Forestry Commissioners, including promoting the interests of forestry, the development of afforestation and the production and supply of timber whilst endeavouring to achieve balancing duty set out in part 3A of the Act.</w:t>
            </w:r>
          </w:p>
        </w:tc>
        <w:tc>
          <w:tcPr>
            <w:tcW w:w="1417" w:type="dxa"/>
            <w:shd w:val="clear" w:color="auto" w:fill="FFFFFF"/>
          </w:tcPr>
          <w:p w:rsidR="00DE34A9" w:rsidRDefault="00DE34A9" w:rsidP="00D67BC0">
            <w:pPr>
              <w:jc w:val="center"/>
            </w:pPr>
          </w:p>
          <w:p w:rsidR="00D67BC0" w:rsidRDefault="00D67BC0" w:rsidP="00D67BC0">
            <w:pPr>
              <w:jc w:val="center"/>
            </w:pPr>
            <w:r>
              <w:t>X</w:t>
            </w:r>
          </w:p>
        </w:tc>
        <w:tc>
          <w:tcPr>
            <w:tcW w:w="1418" w:type="dxa"/>
            <w:shd w:val="clear" w:color="auto" w:fill="FFFFFF"/>
          </w:tcPr>
          <w:p w:rsidR="00DE34A9" w:rsidRDefault="00DE34A9" w:rsidP="00D67BC0">
            <w:pPr>
              <w:jc w:val="center"/>
            </w:pPr>
          </w:p>
        </w:tc>
        <w:tc>
          <w:tcPr>
            <w:tcW w:w="1479" w:type="dxa"/>
            <w:shd w:val="clear" w:color="auto" w:fill="FFFFFF"/>
          </w:tcPr>
          <w:p w:rsidR="00DE34A9" w:rsidRPr="00DE34A9" w:rsidRDefault="00DE34A9" w:rsidP="00D67BC0">
            <w:pPr>
              <w:jc w:val="center"/>
            </w:pPr>
          </w:p>
        </w:tc>
      </w:tr>
      <w:tr w:rsidR="00D67BC0" w:rsidRPr="00DE34A9" w:rsidTr="00DE34A9">
        <w:tc>
          <w:tcPr>
            <w:tcW w:w="4928" w:type="dxa"/>
            <w:shd w:val="clear" w:color="auto" w:fill="CBE9D3"/>
          </w:tcPr>
          <w:p w:rsidR="00D67BC0" w:rsidRDefault="00D67BC0" w:rsidP="00194ED1">
            <w:r>
              <w:t>P</w:t>
            </w:r>
            <w:r w:rsidRPr="00D67BC0">
              <w:t>romoting the interests of forestry, the development of afforestation and the production and supply of timber and other forest products</w:t>
            </w:r>
            <w:r w:rsidR="00194ED1">
              <w:t>.</w:t>
            </w:r>
          </w:p>
        </w:tc>
        <w:tc>
          <w:tcPr>
            <w:tcW w:w="1417" w:type="dxa"/>
            <w:shd w:val="clear" w:color="auto" w:fill="FFFFFF"/>
          </w:tcPr>
          <w:p w:rsidR="00F00933" w:rsidRDefault="00F00933" w:rsidP="00D67BC0">
            <w:pPr>
              <w:jc w:val="center"/>
            </w:pPr>
          </w:p>
        </w:tc>
        <w:tc>
          <w:tcPr>
            <w:tcW w:w="1418" w:type="dxa"/>
            <w:shd w:val="clear" w:color="auto" w:fill="FFFFFF"/>
          </w:tcPr>
          <w:p w:rsidR="00D67BC0" w:rsidRDefault="00D67BC0" w:rsidP="00D67BC0">
            <w:pPr>
              <w:jc w:val="center"/>
            </w:pPr>
          </w:p>
          <w:p w:rsidR="00D67BC0" w:rsidRDefault="00D67BC0" w:rsidP="00D67BC0">
            <w:pPr>
              <w:jc w:val="center"/>
            </w:pPr>
            <w:r>
              <w:t>X</w:t>
            </w:r>
          </w:p>
        </w:tc>
        <w:tc>
          <w:tcPr>
            <w:tcW w:w="1479" w:type="dxa"/>
            <w:shd w:val="clear" w:color="auto" w:fill="FFFFFF"/>
          </w:tcPr>
          <w:p w:rsidR="00D67BC0" w:rsidRDefault="00D67BC0" w:rsidP="00D67BC0">
            <w:pPr>
              <w:jc w:val="center"/>
            </w:pPr>
          </w:p>
        </w:tc>
      </w:tr>
      <w:tr w:rsidR="00D67BC0" w:rsidRPr="00DE34A9" w:rsidTr="00DE34A9">
        <w:tc>
          <w:tcPr>
            <w:tcW w:w="4928" w:type="dxa"/>
            <w:shd w:val="clear" w:color="auto" w:fill="CBE9D3"/>
          </w:tcPr>
          <w:p w:rsidR="00D67BC0" w:rsidRDefault="00DF6245" w:rsidP="00AD1814">
            <w:r>
              <w:t>P</w:t>
            </w:r>
            <w:r w:rsidRPr="00DF6245">
              <w:t>romoting the establishment and maintenance in England of adequate reserves of growing trees</w:t>
            </w:r>
          </w:p>
        </w:tc>
        <w:tc>
          <w:tcPr>
            <w:tcW w:w="1417" w:type="dxa"/>
            <w:shd w:val="clear" w:color="auto" w:fill="FFFFFF"/>
          </w:tcPr>
          <w:p w:rsidR="00D67BC0" w:rsidRDefault="00D67BC0" w:rsidP="00D67BC0">
            <w:pPr>
              <w:jc w:val="center"/>
            </w:pPr>
          </w:p>
          <w:p w:rsidR="00194ED1" w:rsidRDefault="00194ED1" w:rsidP="00D67BC0">
            <w:pPr>
              <w:jc w:val="center"/>
            </w:pPr>
            <w:r>
              <w:t>X</w:t>
            </w:r>
          </w:p>
        </w:tc>
        <w:tc>
          <w:tcPr>
            <w:tcW w:w="1418" w:type="dxa"/>
            <w:shd w:val="clear" w:color="auto" w:fill="FFFFFF"/>
          </w:tcPr>
          <w:p w:rsidR="00D67BC0" w:rsidRDefault="00D67BC0" w:rsidP="00D67BC0">
            <w:pPr>
              <w:jc w:val="center"/>
            </w:pPr>
          </w:p>
          <w:p w:rsidR="00DF6245" w:rsidRDefault="00DF6245" w:rsidP="00D67BC0">
            <w:pPr>
              <w:jc w:val="center"/>
            </w:pPr>
            <w:r>
              <w:t>X</w:t>
            </w:r>
          </w:p>
        </w:tc>
        <w:tc>
          <w:tcPr>
            <w:tcW w:w="1479" w:type="dxa"/>
            <w:shd w:val="clear" w:color="auto" w:fill="FFFFFF"/>
          </w:tcPr>
          <w:p w:rsidR="00D67BC0" w:rsidRDefault="00D67BC0" w:rsidP="00D67BC0">
            <w:pPr>
              <w:jc w:val="center"/>
            </w:pPr>
          </w:p>
        </w:tc>
      </w:tr>
      <w:tr w:rsidR="0053721B" w:rsidRPr="00DE34A9" w:rsidTr="00DE34A9">
        <w:tc>
          <w:tcPr>
            <w:tcW w:w="4928" w:type="dxa"/>
            <w:shd w:val="clear" w:color="auto" w:fill="CBE9D3"/>
          </w:tcPr>
          <w:p w:rsidR="0053721B" w:rsidRDefault="00194ED1" w:rsidP="0053721B">
            <w:r>
              <w:t>T</w:t>
            </w:r>
            <w:r w:rsidRPr="00194ED1">
              <w:t>o implement the powers to control tree felling as set out in Part II of the Act</w:t>
            </w:r>
          </w:p>
        </w:tc>
        <w:tc>
          <w:tcPr>
            <w:tcW w:w="1417" w:type="dxa"/>
            <w:shd w:val="clear" w:color="auto" w:fill="FFFFFF"/>
          </w:tcPr>
          <w:p w:rsidR="0053721B" w:rsidRDefault="0053721B" w:rsidP="00D67BC0">
            <w:pPr>
              <w:jc w:val="center"/>
            </w:pPr>
          </w:p>
        </w:tc>
        <w:tc>
          <w:tcPr>
            <w:tcW w:w="1418" w:type="dxa"/>
            <w:shd w:val="clear" w:color="auto" w:fill="FFFFFF"/>
          </w:tcPr>
          <w:p w:rsidR="00194ED1" w:rsidRDefault="00194ED1" w:rsidP="00D67BC0">
            <w:pPr>
              <w:jc w:val="center"/>
            </w:pPr>
          </w:p>
          <w:p w:rsidR="0053721B" w:rsidRDefault="0053721B" w:rsidP="00194ED1">
            <w:pPr>
              <w:jc w:val="center"/>
            </w:pPr>
            <w:r>
              <w:t>X</w:t>
            </w:r>
          </w:p>
        </w:tc>
        <w:tc>
          <w:tcPr>
            <w:tcW w:w="1479" w:type="dxa"/>
            <w:shd w:val="clear" w:color="auto" w:fill="FFFFFF"/>
          </w:tcPr>
          <w:p w:rsidR="0053721B" w:rsidRDefault="0053721B" w:rsidP="00D67BC0">
            <w:pPr>
              <w:jc w:val="center"/>
            </w:pPr>
          </w:p>
        </w:tc>
      </w:tr>
      <w:tr w:rsidR="00194ED1" w:rsidRPr="00DE34A9" w:rsidTr="00DE34A9">
        <w:tc>
          <w:tcPr>
            <w:tcW w:w="4928" w:type="dxa"/>
            <w:shd w:val="clear" w:color="auto" w:fill="CBE9D3"/>
          </w:tcPr>
          <w:p w:rsidR="00194ED1" w:rsidRDefault="00194ED1" w:rsidP="00194ED1">
            <w:r>
              <w:t>U</w:t>
            </w:r>
            <w:r w:rsidRPr="00194ED1">
              <w:t>ndertake the collection, preparation, publication and distribution of statistics relating to forestry;</w:t>
            </w:r>
          </w:p>
        </w:tc>
        <w:tc>
          <w:tcPr>
            <w:tcW w:w="1417" w:type="dxa"/>
            <w:shd w:val="clear" w:color="auto" w:fill="FFFFFF"/>
          </w:tcPr>
          <w:p w:rsidR="00194ED1" w:rsidRDefault="00194ED1" w:rsidP="00D67BC0">
            <w:pPr>
              <w:jc w:val="center"/>
            </w:pPr>
          </w:p>
        </w:tc>
        <w:tc>
          <w:tcPr>
            <w:tcW w:w="1418" w:type="dxa"/>
            <w:shd w:val="clear" w:color="auto" w:fill="FFFFFF"/>
          </w:tcPr>
          <w:p w:rsidR="00194ED1" w:rsidRDefault="00194ED1" w:rsidP="00D67BC0">
            <w:pPr>
              <w:jc w:val="center"/>
            </w:pPr>
          </w:p>
        </w:tc>
        <w:tc>
          <w:tcPr>
            <w:tcW w:w="1479" w:type="dxa"/>
            <w:shd w:val="clear" w:color="auto" w:fill="FFFFFF"/>
          </w:tcPr>
          <w:p w:rsidR="00194ED1" w:rsidRDefault="00194ED1" w:rsidP="00D67BC0">
            <w:pPr>
              <w:jc w:val="center"/>
            </w:pPr>
          </w:p>
          <w:p w:rsidR="00A90420" w:rsidRDefault="00A90420" w:rsidP="00D67BC0">
            <w:pPr>
              <w:jc w:val="center"/>
            </w:pPr>
            <w:r>
              <w:t>X</w:t>
            </w:r>
          </w:p>
        </w:tc>
      </w:tr>
      <w:tr w:rsidR="00194ED1" w:rsidRPr="00DE34A9" w:rsidTr="00DE34A9">
        <w:tc>
          <w:tcPr>
            <w:tcW w:w="4928" w:type="dxa"/>
            <w:shd w:val="clear" w:color="auto" w:fill="CBE9D3"/>
          </w:tcPr>
          <w:p w:rsidR="00194ED1" w:rsidRDefault="00A90420" w:rsidP="00194ED1">
            <w:pPr>
              <w:spacing w:before="120" w:after="0" w:line="240" w:lineRule="auto"/>
              <w:rPr>
                <w:rFonts w:ascii="Arial" w:hAnsi="Arial" w:cs="Arial"/>
              </w:rPr>
            </w:pPr>
            <w:r>
              <w:t>P</w:t>
            </w:r>
            <w:r w:rsidR="00194ED1" w:rsidRPr="00194ED1">
              <w:t>romote and develop instruction and training in forestry</w:t>
            </w:r>
          </w:p>
        </w:tc>
        <w:tc>
          <w:tcPr>
            <w:tcW w:w="1417" w:type="dxa"/>
            <w:shd w:val="clear" w:color="auto" w:fill="FFFFFF"/>
          </w:tcPr>
          <w:p w:rsidR="00194ED1" w:rsidRDefault="00194ED1" w:rsidP="00D67BC0">
            <w:pPr>
              <w:jc w:val="center"/>
            </w:pPr>
          </w:p>
          <w:p w:rsidR="006F2D1C" w:rsidRDefault="006F2D1C" w:rsidP="00D67BC0">
            <w:pPr>
              <w:jc w:val="center"/>
            </w:pPr>
            <w:r>
              <w:t>X</w:t>
            </w:r>
          </w:p>
        </w:tc>
        <w:tc>
          <w:tcPr>
            <w:tcW w:w="1418" w:type="dxa"/>
            <w:shd w:val="clear" w:color="auto" w:fill="FFFFFF"/>
          </w:tcPr>
          <w:p w:rsidR="00194ED1" w:rsidRDefault="00194ED1" w:rsidP="00D67BC0">
            <w:pPr>
              <w:jc w:val="center"/>
            </w:pPr>
          </w:p>
          <w:p w:rsidR="006F2D1C" w:rsidRDefault="006F2D1C" w:rsidP="00D67BC0">
            <w:pPr>
              <w:jc w:val="center"/>
            </w:pPr>
            <w:r>
              <w:t>X</w:t>
            </w:r>
          </w:p>
        </w:tc>
        <w:tc>
          <w:tcPr>
            <w:tcW w:w="1479" w:type="dxa"/>
            <w:shd w:val="clear" w:color="auto" w:fill="FFFFFF"/>
          </w:tcPr>
          <w:p w:rsidR="006F2D1C" w:rsidRDefault="006F2D1C" w:rsidP="00D67BC0">
            <w:pPr>
              <w:jc w:val="center"/>
            </w:pPr>
          </w:p>
          <w:p w:rsidR="00194ED1" w:rsidRDefault="006F2D1C" w:rsidP="00D67BC0">
            <w:pPr>
              <w:jc w:val="center"/>
            </w:pPr>
            <w:r>
              <w:t>X</w:t>
            </w:r>
          </w:p>
        </w:tc>
      </w:tr>
      <w:tr w:rsidR="006F2D1C" w:rsidRPr="00DE34A9" w:rsidTr="00DE34A9">
        <w:tc>
          <w:tcPr>
            <w:tcW w:w="4928" w:type="dxa"/>
            <w:shd w:val="clear" w:color="auto" w:fill="CBE9D3"/>
          </w:tcPr>
          <w:p w:rsidR="006F2D1C" w:rsidRPr="006F2D1C" w:rsidRDefault="00A90420" w:rsidP="006F2D1C">
            <w:pPr>
              <w:spacing w:before="120" w:after="0" w:line="240" w:lineRule="auto"/>
            </w:pPr>
            <w:r>
              <w:t>C</w:t>
            </w:r>
            <w:r w:rsidR="006F2D1C" w:rsidRPr="006F2D1C">
              <w:t>arry out experiments and research either directly or with others for the purpose of promoting forestry and publish the results of research aid the disseminate the information on forestry;</w:t>
            </w:r>
          </w:p>
          <w:p w:rsidR="006F2D1C" w:rsidRPr="00194ED1" w:rsidRDefault="006F2D1C" w:rsidP="006F2D1C">
            <w:pPr>
              <w:spacing w:before="120" w:after="0" w:line="240" w:lineRule="auto"/>
            </w:pPr>
          </w:p>
        </w:tc>
        <w:tc>
          <w:tcPr>
            <w:tcW w:w="1417" w:type="dxa"/>
            <w:shd w:val="clear" w:color="auto" w:fill="FFFFFF"/>
          </w:tcPr>
          <w:p w:rsidR="006F2D1C" w:rsidRDefault="006F2D1C" w:rsidP="00D67BC0">
            <w:pPr>
              <w:jc w:val="center"/>
            </w:pPr>
          </w:p>
        </w:tc>
        <w:tc>
          <w:tcPr>
            <w:tcW w:w="1418" w:type="dxa"/>
            <w:shd w:val="clear" w:color="auto" w:fill="FFFFFF"/>
          </w:tcPr>
          <w:p w:rsidR="006F2D1C" w:rsidRDefault="006F2D1C" w:rsidP="00D67BC0">
            <w:pPr>
              <w:jc w:val="center"/>
            </w:pPr>
          </w:p>
        </w:tc>
        <w:tc>
          <w:tcPr>
            <w:tcW w:w="1479" w:type="dxa"/>
            <w:shd w:val="clear" w:color="auto" w:fill="FFFFFF"/>
          </w:tcPr>
          <w:p w:rsidR="006F2D1C" w:rsidRDefault="006F2D1C" w:rsidP="00D67BC0">
            <w:pPr>
              <w:jc w:val="center"/>
            </w:pPr>
          </w:p>
          <w:p w:rsidR="006F2D1C" w:rsidRDefault="006F2D1C" w:rsidP="00D67BC0">
            <w:pPr>
              <w:jc w:val="center"/>
            </w:pPr>
            <w:r>
              <w:t>X</w:t>
            </w:r>
          </w:p>
        </w:tc>
      </w:tr>
      <w:tr w:rsidR="00B11F48" w:rsidRPr="00DE34A9" w:rsidTr="00DE34A9">
        <w:tc>
          <w:tcPr>
            <w:tcW w:w="4928" w:type="dxa"/>
            <w:shd w:val="clear" w:color="auto" w:fill="CBE9D3"/>
          </w:tcPr>
          <w:p w:rsidR="00194ED1" w:rsidRPr="006F2D1C" w:rsidRDefault="00A90420" w:rsidP="006F2D1C">
            <w:pPr>
              <w:spacing w:before="120" w:after="0" w:line="300" w:lineRule="exact"/>
              <w:jc w:val="both"/>
            </w:pPr>
            <w:r>
              <w:lastRenderedPageBreak/>
              <w:t>E</w:t>
            </w:r>
            <w:r w:rsidR="00194ED1" w:rsidRPr="006F2D1C">
              <w:t xml:space="preserve">xploit any intellectual property or intangible assets arising from the carrying out of any activity. </w:t>
            </w:r>
          </w:p>
          <w:p w:rsidR="00B11F48" w:rsidRDefault="00B11F48" w:rsidP="00B11F48"/>
        </w:tc>
        <w:tc>
          <w:tcPr>
            <w:tcW w:w="1417" w:type="dxa"/>
            <w:shd w:val="clear" w:color="auto" w:fill="FFFFFF"/>
          </w:tcPr>
          <w:p w:rsidR="00B11F48" w:rsidRDefault="00B11F48" w:rsidP="00D67BC0">
            <w:pPr>
              <w:jc w:val="center"/>
            </w:pPr>
          </w:p>
          <w:p w:rsidR="00E84839" w:rsidRDefault="006F2D1C" w:rsidP="009433F9">
            <w:pPr>
              <w:jc w:val="center"/>
            </w:pPr>
            <w:r>
              <w:t>X</w:t>
            </w:r>
          </w:p>
        </w:tc>
        <w:tc>
          <w:tcPr>
            <w:tcW w:w="1418" w:type="dxa"/>
            <w:shd w:val="clear" w:color="auto" w:fill="FFFFFF"/>
          </w:tcPr>
          <w:p w:rsidR="00B11F48" w:rsidRDefault="00B11F48" w:rsidP="00D67BC0">
            <w:pPr>
              <w:jc w:val="center"/>
            </w:pPr>
          </w:p>
          <w:p w:rsidR="006F2D1C" w:rsidRDefault="006F2D1C" w:rsidP="00D67BC0">
            <w:pPr>
              <w:jc w:val="center"/>
            </w:pPr>
            <w:r>
              <w:t>X</w:t>
            </w:r>
          </w:p>
        </w:tc>
        <w:tc>
          <w:tcPr>
            <w:tcW w:w="1479" w:type="dxa"/>
            <w:shd w:val="clear" w:color="auto" w:fill="FFFFFF"/>
          </w:tcPr>
          <w:p w:rsidR="00B11F48" w:rsidRDefault="00B11F48" w:rsidP="00D67BC0">
            <w:pPr>
              <w:jc w:val="center"/>
            </w:pPr>
          </w:p>
          <w:p w:rsidR="00B11F48" w:rsidRDefault="00B11F48" w:rsidP="00D71C78">
            <w:pPr>
              <w:jc w:val="center"/>
            </w:pPr>
            <w:r>
              <w:t>X</w:t>
            </w:r>
            <w:r w:rsidR="00D71C78">
              <w:t xml:space="preserve"> </w:t>
            </w:r>
          </w:p>
        </w:tc>
      </w:tr>
      <w:tr w:rsidR="003E1DAC" w:rsidRPr="00DE34A9" w:rsidTr="00DE34A9">
        <w:tc>
          <w:tcPr>
            <w:tcW w:w="4928" w:type="dxa"/>
            <w:shd w:val="clear" w:color="auto" w:fill="CBE9D3"/>
          </w:tcPr>
          <w:p w:rsidR="003E1DAC" w:rsidRPr="00B11F48" w:rsidRDefault="003E1DAC" w:rsidP="006F2D1C">
            <w:r>
              <w:t xml:space="preserve">The establishment </w:t>
            </w:r>
            <w:r w:rsidR="006F2D1C">
              <w:t xml:space="preserve">and maintenance </w:t>
            </w:r>
            <w:r>
              <w:t xml:space="preserve">of </w:t>
            </w:r>
            <w:r w:rsidR="006F2D1C">
              <w:t xml:space="preserve">regional </w:t>
            </w:r>
            <w:r>
              <w:t>advisory committees</w:t>
            </w:r>
          </w:p>
        </w:tc>
        <w:tc>
          <w:tcPr>
            <w:tcW w:w="1417" w:type="dxa"/>
            <w:shd w:val="clear" w:color="auto" w:fill="FFFFFF"/>
          </w:tcPr>
          <w:p w:rsidR="003E1DAC" w:rsidRDefault="003E1DAC" w:rsidP="00D67BC0">
            <w:pPr>
              <w:jc w:val="center"/>
            </w:pPr>
          </w:p>
        </w:tc>
        <w:tc>
          <w:tcPr>
            <w:tcW w:w="1418" w:type="dxa"/>
            <w:shd w:val="clear" w:color="auto" w:fill="FFFFFF"/>
          </w:tcPr>
          <w:p w:rsidR="003E1DAC" w:rsidRDefault="003E1DAC" w:rsidP="00D67BC0">
            <w:pPr>
              <w:jc w:val="center"/>
            </w:pPr>
          </w:p>
          <w:p w:rsidR="003E1DAC" w:rsidRDefault="003E1DAC" w:rsidP="00D67BC0">
            <w:pPr>
              <w:jc w:val="center"/>
            </w:pPr>
            <w:r>
              <w:t>X</w:t>
            </w:r>
          </w:p>
        </w:tc>
        <w:tc>
          <w:tcPr>
            <w:tcW w:w="1479" w:type="dxa"/>
            <w:shd w:val="clear" w:color="auto" w:fill="FFFFFF"/>
          </w:tcPr>
          <w:p w:rsidR="003E1DAC" w:rsidRDefault="003E1DAC" w:rsidP="00D67BC0">
            <w:pPr>
              <w:jc w:val="center"/>
            </w:pPr>
          </w:p>
        </w:tc>
      </w:tr>
      <w:tr w:rsidR="008D63E6" w:rsidRPr="00DE34A9" w:rsidTr="00DE34A9">
        <w:tc>
          <w:tcPr>
            <w:tcW w:w="4928" w:type="dxa"/>
            <w:shd w:val="clear" w:color="auto" w:fill="CBE9D3"/>
          </w:tcPr>
          <w:p w:rsidR="008D63E6" w:rsidRDefault="008D63E6" w:rsidP="006F2D1C">
            <w:r w:rsidRPr="008D63E6">
              <w:rPr>
                <w:b/>
              </w:rPr>
              <w:t>Countryside Act 1968</w:t>
            </w:r>
            <w:r w:rsidR="006F2D1C">
              <w:rPr>
                <w:b/>
              </w:rPr>
              <w:t xml:space="preserve"> (as amended)</w:t>
            </w:r>
          </w:p>
        </w:tc>
        <w:tc>
          <w:tcPr>
            <w:tcW w:w="1417" w:type="dxa"/>
            <w:shd w:val="clear" w:color="auto" w:fill="FFFFFF"/>
          </w:tcPr>
          <w:p w:rsidR="008D63E6" w:rsidRDefault="008D63E6" w:rsidP="00D67BC0">
            <w:pPr>
              <w:jc w:val="center"/>
            </w:pPr>
          </w:p>
        </w:tc>
        <w:tc>
          <w:tcPr>
            <w:tcW w:w="1418" w:type="dxa"/>
            <w:shd w:val="clear" w:color="auto" w:fill="FFFFFF"/>
          </w:tcPr>
          <w:p w:rsidR="008D63E6" w:rsidRDefault="008D63E6" w:rsidP="00D67BC0">
            <w:pPr>
              <w:jc w:val="center"/>
            </w:pPr>
          </w:p>
        </w:tc>
        <w:tc>
          <w:tcPr>
            <w:tcW w:w="1479" w:type="dxa"/>
            <w:shd w:val="clear" w:color="auto" w:fill="FFFFFF"/>
          </w:tcPr>
          <w:p w:rsidR="008D63E6" w:rsidRDefault="008D63E6" w:rsidP="00D67BC0">
            <w:pPr>
              <w:jc w:val="center"/>
            </w:pPr>
          </w:p>
        </w:tc>
      </w:tr>
      <w:tr w:rsidR="008D63E6" w:rsidRPr="00DE34A9" w:rsidTr="00DE34A9">
        <w:tc>
          <w:tcPr>
            <w:tcW w:w="4928" w:type="dxa"/>
            <w:shd w:val="clear" w:color="auto" w:fill="CBE9D3"/>
          </w:tcPr>
          <w:p w:rsidR="008D63E6" w:rsidRDefault="006F2D1C" w:rsidP="006F2D1C">
            <w:r>
              <w:t xml:space="preserve">To </w:t>
            </w:r>
            <w:r w:rsidRPr="006F2D1C">
              <w:t>provide, or arrange for or assist in the provision of, tourist, recreational or sporting facilities on the land placed at the disposal of the Forestry Commissioners</w:t>
            </w:r>
            <w:r>
              <w:rPr>
                <w:rFonts w:ascii="Arial" w:hAnsi="Arial"/>
              </w:rPr>
              <w:t xml:space="preserve"> </w:t>
            </w:r>
          </w:p>
        </w:tc>
        <w:tc>
          <w:tcPr>
            <w:tcW w:w="1417" w:type="dxa"/>
            <w:shd w:val="clear" w:color="auto" w:fill="FFFFFF"/>
          </w:tcPr>
          <w:p w:rsidR="008D63E6" w:rsidRDefault="008D63E6" w:rsidP="00D67BC0">
            <w:pPr>
              <w:jc w:val="center"/>
            </w:pPr>
          </w:p>
          <w:p w:rsidR="008D63E6" w:rsidRDefault="008D63E6" w:rsidP="00D67BC0">
            <w:pPr>
              <w:jc w:val="center"/>
            </w:pPr>
            <w:r>
              <w:t>X</w:t>
            </w:r>
          </w:p>
        </w:tc>
        <w:tc>
          <w:tcPr>
            <w:tcW w:w="1418" w:type="dxa"/>
            <w:shd w:val="clear" w:color="auto" w:fill="FFFFFF"/>
          </w:tcPr>
          <w:p w:rsidR="008D63E6" w:rsidRDefault="008D63E6" w:rsidP="00D67BC0">
            <w:pPr>
              <w:jc w:val="center"/>
            </w:pPr>
          </w:p>
        </w:tc>
        <w:tc>
          <w:tcPr>
            <w:tcW w:w="1479" w:type="dxa"/>
            <w:shd w:val="clear" w:color="auto" w:fill="FFFFFF"/>
          </w:tcPr>
          <w:p w:rsidR="008D63E6" w:rsidRDefault="008D63E6" w:rsidP="00D67BC0">
            <w:pPr>
              <w:jc w:val="center"/>
            </w:pPr>
          </w:p>
        </w:tc>
      </w:tr>
      <w:tr w:rsidR="00DD4E34" w:rsidRPr="00DE34A9" w:rsidTr="00DE34A9">
        <w:tc>
          <w:tcPr>
            <w:tcW w:w="4928" w:type="dxa"/>
            <w:shd w:val="clear" w:color="auto" w:fill="CBE9D3"/>
          </w:tcPr>
          <w:p w:rsidR="00DD4E34" w:rsidRPr="00B11F48" w:rsidRDefault="00DD4E34" w:rsidP="00B11F48">
            <w:r w:rsidRPr="00DD4E34">
              <w:rPr>
                <w:b/>
              </w:rPr>
              <w:t>Plant Varieties and Seeds Act 1964</w:t>
            </w:r>
            <w:r>
              <w:rPr>
                <w:b/>
              </w:rPr>
              <w:t>:</w:t>
            </w:r>
          </w:p>
        </w:tc>
        <w:tc>
          <w:tcPr>
            <w:tcW w:w="1417" w:type="dxa"/>
            <w:shd w:val="clear" w:color="auto" w:fill="FFFFFF"/>
          </w:tcPr>
          <w:p w:rsidR="00DD4E34" w:rsidRDefault="00DD4E34" w:rsidP="00D67BC0">
            <w:pPr>
              <w:jc w:val="center"/>
            </w:pPr>
          </w:p>
        </w:tc>
        <w:tc>
          <w:tcPr>
            <w:tcW w:w="1418" w:type="dxa"/>
            <w:shd w:val="clear" w:color="auto" w:fill="FFFFFF"/>
          </w:tcPr>
          <w:p w:rsidR="00DD4E34" w:rsidRDefault="00DD4E34" w:rsidP="00D67BC0">
            <w:pPr>
              <w:jc w:val="center"/>
            </w:pP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9433F9" w:rsidP="009433F9">
            <w:r>
              <w:t>T</w:t>
            </w:r>
            <w:r w:rsidRPr="009433F9">
              <w:t>he establishment and maintenance of an official seed testing station for silvicultural propagating and planting material and charging powers in respect of seed testing activity</w:t>
            </w:r>
            <w:r>
              <w:t>.</w:t>
            </w:r>
          </w:p>
        </w:tc>
        <w:tc>
          <w:tcPr>
            <w:tcW w:w="1417" w:type="dxa"/>
            <w:shd w:val="clear" w:color="auto" w:fill="FFFFFF"/>
          </w:tcPr>
          <w:p w:rsidR="00DD4E34" w:rsidRDefault="00DD4E34" w:rsidP="00D67BC0">
            <w:pPr>
              <w:jc w:val="center"/>
            </w:pPr>
          </w:p>
          <w:p w:rsidR="009433F9" w:rsidRDefault="009433F9" w:rsidP="00D67BC0">
            <w:pPr>
              <w:jc w:val="center"/>
            </w:pPr>
            <w:r>
              <w:t>X</w:t>
            </w:r>
          </w:p>
        </w:tc>
        <w:tc>
          <w:tcPr>
            <w:tcW w:w="1418" w:type="dxa"/>
            <w:shd w:val="clear" w:color="auto" w:fill="FFFFFF"/>
          </w:tcPr>
          <w:p w:rsidR="00DD4E34" w:rsidRDefault="00DD4E34" w:rsidP="00D67BC0">
            <w:pPr>
              <w:jc w:val="center"/>
            </w:pP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4E6318" w:rsidP="00B11F48">
            <w:r w:rsidRPr="004E6318">
              <w:rPr>
                <w:b/>
              </w:rPr>
              <w:t>Plant Health Act 1967</w:t>
            </w:r>
            <w:r>
              <w:rPr>
                <w:b/>
              </w:rPr>
              <w:t>:</w:t>
            </w:r>
          </w:p>
        </w:tc>
        <w:tc>
          <w:tcPr>
            <w:tcW w:w="1417" w:type="dxa"/>
            <w:shd w:val="clear" w:color="auto" w:fill="FFFFFF"/>
          </w:tcPr>
          <w:p w:rsidR="00DD4E34" w:rsidRDefault="00DD4E34" w:rsidP="00D67BC0">
            <w:pPr>
              <w:jc w:val="center"/>
            </w:pPr>
          </w:p>
        </w:tc>
        <w:tc>
          <w:tcPr>
            <w:tcW w:w="1418" w:type="dxa"/>
            <w:shd w:val="clear" w:color="auto" w:fill="FFFFFF"/>
          </w:tcPr>
          <w:p w:rsidR="00DD4E34" w:rsidRDefault="00DD4E34" w:rsidP="00D67BC0">
            <w:pPr>
              <w:jc w:val="center"/>
            </w:pP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4E6318" w:rsidP="004E6318">
            <w:r>
              <w:t>T</w:t>
            </w:r>
            <w:r w:rsidRPr="004E6318">
              <w:t>he competent authority for the protection of forest trees and timber from attack by pests and diseases, and the power to make orders</w:t>
            </w:r>
          </w:p>
        </w:tc>
        <w:tc>
          <w:tcPr>
            <w:tcW w:w="1417" w:type="dxa"/>
            <w:shd w:val="clear" w:color="auto" w:fill="FFFFFF"/>
          </w:tcPr>
          <w:p w:rsidR="00DD4E34" w:rsidRDefault="00DD4E34" w:rsidP="00D67BC0">
            <w:pPr>
              <w:jc w:val="center"/>
            </w:pPr>
          </w:p>
        </w:tc>
        <w:tc>
          <w:tcPr>
            <w:tcW w:w="1418" w:type="dxa"/>
            <w:shd w:val="clear" w:color="auto" w:fill="FFFFFF"/>
          </w:tcPr>
          <w:p w:rsidR="00DD4E34" w:rsidRDefault="00DD4E34" w:rsidP="00D67BC0">
            <w:pPr>
              <w:jc w:val="center"/>
            </w:pPr>
          </w:p>
          <w:p w:rsidR="004E6318" w:rsidRDefault="004E6318" w:rsidP="00D67BC0">
            <w:pPr>
              <w:jc w:val="center"/>
            </w:pPr>
            <w:r>
              <w:t>X</w:t>
            </w: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9D7110" w:rsidP="00B11F48">
            <w:r w:rsidRPr="009D7110">
              <w:rPr>
                <w:b/>
              </w:rPr>
              <w:t>Forest Reproductive Material (Great Britain) Regulations 2002</w:t>
            </w:r>
            <w:r>
              <w:rPr>
                <w:b/>
              </w:rPr>
              <w:t>:</w:t>
            </w:r>
          </w:p>
        </w:tc>
        <w:tc>
          <w:tcPr>
            <w:tcW w:w="1417" w:type="dxa"/>
            <w:shd w:val="clear" w:color="auto" w:fill="FFFFFF"/>
          </w:tcPr>
          <w:p w:rsidR="00DD4E34" w:rsidRDefault="00DD4E34" w:rsidP="00D67BC0">
            <w:pPr>
              <w:jc w:val="center"/>
            </w:pPr>
          </w:p>
        </w:tc>
        <w:tc>
          <w:tcPr>
            <w:tcW w:w="1418" w:type="dxa"/>
            <w:shd w:val="clear" w:color="auto" w:fill="FFFFFF"/>
          </w:tcPr>
          <w:p w:rsidR="00DD4E34" w:rsidRDefault="00DD4E34" w:rsidP="00D67BC0">
            <w:pPr>
              <w:jc w:val="center"/>
            </w:pP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9D7110" w:rsidP="009D7110">
            <w:r>
              <w:t>T</w:t>
            </w:r>
            <w:r w:rsidRPr="009D7110">
              <w:t>he selection, development and marketing of seeds for use as forest reproductive materials, including establishing labelling, marking and record keeping requirements; in particular, they establish a regime for registration of basic reproductive materials and for their regions of provenance.  The Regulations implement an EU Directive on the marketing of forest reproductive material and on external quality standards for forest reproductive material marketed within the EU</w:t>
            </w:r>
            <w:r>
              <w:t>.</w:t>
            </w:r>
          </w:p>
        </w:tc>
        <w:tc>
          <w:tcPr>
            <w:tcW w:w="1417" w:type="dxa"/>
            <w:shd w:val="clear" w:color="auto" w:fill="FFFFFF"/>
          </w:tcPr>
          <w:p w:rsidR="00DD4E34" w:rsidRDefault="00DD4E34" w:rsidP="00D67BC0">
            <w:pPr>
              <w:jc w:val="center"/>
            </w:pPr>
          </w:p>
          <w:p w:rsidR="009D7110" w:rsidRDefault="009D7110" w:rsidP="00D67BC0">
            <w:pPr>
              <w:jc w:val="center"/>
            </w:pPr>
          </w:p>
          <w:p w:rsidR="009D7110" w:rsidRDefault="009D7110" w:rsidP="00D67BC0">
            <w:pPr>
              <w:jc w:val="center"/>
            </w:pPr>
            <w:r>
              <w:t>X</w:t>
            </w:r>
          </w:p>
          <w:p w:rsidR="009D7110" w:rsidRDefault="009D7110" w:rsidP="009D7110">
            <w:pPr>
              <w:jc w:val="center"/>
            </w:pPr>
            <w:r>
              <w:t>[Application]</w:t>
            </w:r>
          </w:p>
        </w:tc>
        <w:tc>
          <w:tcPr>
            <w:tcW w:w="1418" w:type="dxa"/>
            <w:shd w:val="clear" w:color="auto" w:fill="FFFFFF"/>
          </w:tcPr>
          <w:p w:rsidR="00DD4E34" w:rsidRDefault="00DD4E34" w:rsidP="00D67BC0">
            <w:pPr>
              <w:jc w:val="center"/>
            </w:pPr>
          </w:p>
          <w:p w:rsidR="009D7110" w:rsidRDefault="009D7110" w:rsidP="00D67BC0">
            <w:pPr>
              <w:jc w:val="center"/>
            </w:pPr>
          </w:p>
          <w:p w:rsidR="009D7110" w:rsidRDefault="009D7110" w:rsidP="00D67BC0">
            <w:pPr>
              <w:jc w:val="center"/>
            </w:pPr>
            <w:r>
              <w:t>X</w:t>
            </w:r>
          </w:p>
          <w:p w:rsidR="009D7110" w:rsidRDefault="009D7110" w:rsidP="00D67BC0">
            <w:pPr>
              <w:jc w:val="center"/>
            </w:pPr>
            <w:r>
              <w:t>[Regulations]</w:t>
            </w:r>
          </w:p>
          <w:p w:rsidR="009D7110" w:rsidRDefault="009D7110" w:rsidP="00D67BC0">
            <w:pPr>
              <w:jc w:val="center"/>
            </w:pP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790393" w:rsidP="00B11F48">
            <w:r w:rsidRPr="00790393">
              <w:rPr>
                <w:b/>
              </w:rPr>
              <w:t xml:space="preserve">Environmental Impact Assessment (Forestry) (England and Wales) Regulations 1999 </w:t>
            </w:r>
            <w:r w:rsidRPr="00790393">
              <w:t>and</w:t>
            </w:r>
            <w:r w:rsidRPr="00790393">
              <w:rPr>
                <w:b/>
              </w:rPr>
              <w:t xml:space="preserve"> The Environmental Impact Assessment (Forestry) (England and Wales) (Amendment) Regulations 2017</w:t>
            </w:r>
            <w:r>
              <w:rPr>
                <w:b/>
              </w:rPr>
              <w:t>:</w:t>
            </w:r>
          </w:p>
        </w:tc>
        <w:tc>
          <w:tcPr>
            <w:tcW w:w="1417" w:type="dxa"/>
            <w:shd w:val="clear" w:color="auto" w:fill="FFFFFF"/>
          </w:tcPr>
          <w:p w:rsidR="00DD4E34" w:rsidRDefault="00DD4E34" w:rsidP="00D67BC0">
            <w:pPr>
              <w:jc w:val="center"/>
            </w:pPr>
          </w:p>
        </w:tc>
        <w:tc>
          <w:tcPr>
            <w:tcW w:w="1418" w:type="dxa"/>
            <w:shd w:val="clear" w:color="auto" w:fill="FFFFFF"/>
          </w:tcPr>
          <w:p w:rsidR="00DD4E34" w:rsidRDefault="00DD4E34" w:rsidP="00D67BC0">
            <w:pPr>
              <w:jc w:val="center"/>
            </w:pPr>
          </w:p>
        </w:tc>
        <w:tc>
          <w:tcPr>
            <w:tcW w:w="1479" w:type="dxa"/>
            <w:shd w:val="clear" w:color="auto" w:fill="FFFFFF"/>
          </w:tcPr>
          <w:p w:rsidR="00DD4E34" w:rsidRDefault="00DD4E34" w:rsidP="00D67BC0">
            <w:pPr>
              <w:jc w:val="center"/>
            </w:pPr>
          </w:p>
        </w:tc>
      </w:tr>
      <w:tr w:rsidR="00DD4E34" w:rsidRPr="00DE34A9" w:rsidTr="00DE34A9">
        <w:tc>
          <w:tcPr>
            <w:tcW w:w="4928" w:type="dxa"/>
            <w:shd w:val="clear" w:color="auto" w:fill="CBE9D3"/>
          </w:tcPr>
          <w:p w:rsidR="00DD4E34" w:rsidRPr="00B11F48" w:rsidRDefault="00790393" w:rsidP="0047605D">
            <w:r>
              <w:t>T</w:t>
            </w:r>
            <w:r w:rsidR="0047605D">
              <w:t xml:space="preserve">he appropriate forestry body undertake the role set out in regulations, primarily to decide if a project </w:t>
            </w:r>
            <w:r w:rsidR="0047605D">
              <w:lastRenderedPageBreak/>
              <w:t xml:space="preserve">is a </w:t>
            </w:r>
            <w:r w:rsidRPr="00790393">
              <w:t xml:space="preserve">“relevant project” </w:t>
            </w:r>
            <w:r w:rsidR="0047605D">
              <w:t>and if so grant or refuse consent having followed due process.</w:t>
            </w:r>
          </w:p>
        </w:tc>
        <w:tc>
          <w:tcPr>
            <w:tcW w:w="1417" w:type="dxa"/>
            <w:shd w:val="clear" w:color="auto" w:fill="FFFFFF"/>
          </w:tcPr>
          <w:p w:rsidR="00DD4E34" w:rsidRDefault="00DD4E34" w:rsidP="00D67BC0">
            <w:pPr>
              <w:jc w:val="center"/>
            </w:pPr>
          </w:p>
        </w:tc>
        <w:tc>
          <w:tcPr>
            <w:tcW w:w="1418" w:type="dxa"/>
            <w:shd w:val="clear" w:color="auto" w:fill="FFFFFF"/>
          </w:tcPr>
          <w:p w:rsidR="00DD4E34" w:rsidRDefault="00DD4E34" w:rsidP="00D67BC0">
            <w:pPr>
              <w:jc w:val="center"/>
            </w:pPr>
          </w:p>
          <w:p w:rsidR="00790393" w:rsidRDefault="00790393" w:rsidP="00D67BC0">
            <w:pPr>
              <w:jc w:val="center"/>
            </w:pPr>
          </w:p>
          <w:p w:rsidR="00790393" w:rsidRDefault="00790393" w:rsidP="00D67BC0">
            <w:pPr>
              <w:jc w:val="center"/>
            </w:pPr>
            <w:r>
              <w:t>X</w:t>
            </w:r>
          </w:p>
        </w:tc>
        <w:tc>
          <w:tcPr>
            <w:tcW w:w="1479" w:type="dxa"/>
            <w:shd w:val="clear" w:color="auto" w:fill="FFFFFF"/>
          </w:tcPr>
          <w:p w:rsidR="00DD4E34" w:rsidRDefault="00DD4E34" w:rsidP="00D67BC0">
            <w:pPr>
              <w:jc w:val="center"/>
            </w:pPr>
          </w:p>
        </w:tc>
      </w:tr>
      <w:tr w:rsidR="009D7110" w:rsidRPr="00DE34A9" w:rsidTr="00DE34A9">
        <w:tc>
          <w:tcPr>
            <w:tcW w:w="4928" w:type="dxa"/>
            <w:shd w:val="clear" w:color="auto" w:fill="CBE9D3"/>
          </w:tcPr>
          <w:p w:rsidR="009D7110" w:rsidRPr="00B11F48" w:rsidRDefault="00552CFB" w:rsidP="00B11F48">
            <w:r w:rsidRPr="00552CFB">
              <w:rPr>
                <w:b/>
              </w:rPr>
              <w:lastRenderedPageBreak/>
              <w:t>Countryside and Rights of Way Act 2000</w:t>
            </w:r>
            <w:r>
              <w:rPr>
                <w:b/>
              </w:rPr>
              <w:t>:</w:t>
            </w:r>
          </w:p>
        </w:tc>
        <w:tc>
          <w:tcPr>
            <w:tcW w:w="1417" w:type="dxa"/>
            <w:shd w:val="clear" w:color="auto" w:fill="FFFFFF"/>
          </w:tcPr>
          <w:p w:rsidR="009D7110" w:rsidRDefault="009D7110" w:rsidP="00D67BC0">
            <w:pPr>
              <w:jc w:val="center"/>
            </w:pPr>
          </w:p>
        </w:tc>
        <w:tc>
          <w:tcPr>
            <w:tcW w:w="1418" w:type="dxa"/>
            <w:shd w:val="clear" w:color="auto" w:fill="FFFFFF"/>
          </w:tcPr>
          <w:p w:rsidR="009D7110" w:rsidRDefault="009D7110" w:rsidP="00D67BC0">
            <w:pPr>
              <w:jc w:val="center"/>
            </w:pPr>
          </w:p>
        </w:tc>
        <w:tc>
          <w:tcPr>
            <w:tcW w:w="1479" w:type="dxa"/>
            <w:shd w:val="clear" w:color="auto" w:fill="FFFFFF"/>
          </w:tcPr>
          <w:p w:rsidR="009D7110" w:rsidRDefault="009D7110" w:rsidP="00D67BC0">
            <w:pPr>
              <w:jc w:val="center"/>
            </w:pPr>
          </w:p>
        </w:tc>
      </w:tr>
      <w:tr w:rsidR="009D7110" w:rsidRPr="00DE34A9" w:rsidTr="00DE34A9">
        <w:tc>
          <w:tcPr>
            <w:tcW w:w="4928" w:type="dxa"/>
            <w:shd w:val="clear" w:color="auto" w:fill="CBE9D3"/>
          </w:tcPr>
          <w:p w:rsidR="009D7110" w:rsidRPr="00B11F48" w:rsidRDefault="00552CFB" w:rsidP="00904D21">
            <w:r>
              <w:t>T</w:t>
            </w:r>
            <w:r w:rsidRPr="00552CFB">
              <w:t>he “relevant authority” for all woodland in England  dedicated under the Act for public access</w:t>
            </w:r>
          </w:p>
        </w:tc>
        <w:tc>
          <w:tcPr>
            <w:tcW w:w="1417" w:type="dxa"/>
            <w:shd w:val="clear" w:color="auto" w:fill="FFFFFF"/>
          </w:tcPr>
          <w:p w:rsidR="009D7110" w:rsidRDefault="009D7110" w:rsidP="00D67BC0">
            <w:pPr>
              <w:jc w:val="center"/>
            </w:pPr>
          </w:p>
        </w:tc>
        <w:tc>
          <w:tcPr>
            <w:tcW w:w="1418" w:type="dxa"/>
            <w:shd w:val="clear" w:color="auto" w:fill="FFFFFF"/>
          </w:tcPr>
          <w:p w:rsidR="009D7110" w:rsidRDefault="009D7110" w:rsidP="00D67BC0">
            <w:pPr>
              <w:jc w:val="center"/>
            </w:pPr>
          </w:p>
          <w:p w:rsidR="00552CFB" w:rsidRDefault="00552CFB" w:rsidP="00D67BC0">
            <w:pPr>
              <w:jc w:val="center"/>
            </w:pPr>
            <w:r>
              <w:t>X</w:t>
            </w:r>
          </w:p>
        </w:tc>
        <w:tc>
          <w:tcPr>
            <w:tcW w:w="1479" w:type="dxa"/>
            <w:shd w:val="clear" w:color="auto" w:fill="FFFFFF"/>
          </w:tcPr>
          <w:p w:rsidR="009D7110" w:rsidRDefault="009D7110" w:rsidP="00D67BC0">
            <w:pPr>
              <w:jc w:val="center"/>
            </w:pPr>
          </w:p>
        </w:tc>
      </w:tr>
    </w:tbl>
    <w:p w:rsidR="00DE34A9" w:rsidRDefault="00DE34A9"/>
    <w:p w:rsidR="005C7A99" w:rsidRDefault="005C7A99"/>
    <w:sectPr w:rsidR="005C7A99" w:rsidSect="00552CFB">
      <w:headerReference w:type="default" r:id="rId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75" w:rsidRDefault="00345E75" w:rsidP="00552CFB">
      <w:pPr>
        <w:spacing w:after="0" w:line="240" w:lineRule="auto"/>
      </w:pPr>
      <w:r>
        <w:separator/>
      </w:r>
    </w:p>
  </w:endnote>
  <w:endnote w:type="continuationSeparator" w:id="0">
    <w:p w:rsidR="00345E75" w:rsidRDefault="00345E75" w:rsidP="0055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6346"/>
      <w:docPartObj>
        <w:docPartGallery w:val="Page Numbers (Bottom of Page)"/>
        <w:docPartUnique/>
      </w:docPartObj>
    </w:sdtPr>
    <w:sdtEndPr>
      <w:rPr>
        <w:noProof/>
      </w:rPr>
    </w:sdtEndPr>
    <w:sdtContent>
      <w:p w:rsidR="00552CFB" w:rsidRDefault="00552CFB">
        <w:pPr>
          <w:pStyle w:val="Footer"/>
          <w:jc w:val="right"/>
        </w:pPr>
        <w:r>
          <w:fldChar w:fldCharType="begin"/>
        </w:r>
        <w:r>
          <w:instrText xml:space="preserve"> PAGE   \* MERGEFORMAT </w:instrText>
        </w:r>
        <w:r>
          <w:fldChar w:fldCharType="separate"/>
        </w:r>
        <w:r w:rsidR="00AC6D5E">
          <w:rPr>
            <w:noProof/>
          </w:rPr>
          <w:t>1</w:t>
        </w:r>
        <w:r>
          <w:rPr>
            <w:noProof/>
          </w:rPr>
          <w:fldChar w:fldCharType="end"/>
        </w:r>
      </w:p>
    </w:sdtContent>
  </w:sdt>
  <w:p w:rsidR="00552CFB" w:rsidRDefault="0055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75" w:rsidRDefault="00345E75" w:rsidP="00552CFB">
      <w:pPr>
        <w:spacing w:after="0" w:line="240" w:lineRule="auto"/>
      </w:pPr>
      <w:r>
        <w:separator/>
      </w:r>
    </w:p>
  </w:footnote>
  <w:footnote w:type="continuationSeparator" w:id="0">
    <w:p w:rsidR="00345E75" w:rsidRDefault="00345E75" w:rsidP="00552CFB">
      <w:pPr>
        <w:spacing w:after="0" w:line="240" w:lineRule="auto"/>
      </w:pPr>
      <w:r>
        <w:continuationSeparator/>
      </w:r>
    </w:p>
  </w:footnote>
  <w:footnote w:id="1">
    <w:p w:rsidR="004860EF" w:rsidRDefault="004860EF" w:rsidP="004860EF">
      <w:pPr>
        <w:pStyle w:val="FootnoteText"/>
      </w:pPr>
      <w:r>
        <w:rPr>
          <w:rStyle w:val="FootnoteReference"/>
        </w:rPr>
        <w:footnoteRef/>
      </w:r>
      <w:r>
        <w:t xml:space="preserve">  The key relevant powers and duties of the Forestry Commissioners have been summarised in this list of key functions, the full text of the various Acts should be referred to for full details of the Commissioners powers and duties.</w:t>
      </w:r>
    </w:p>
    <w:p w:rsidR="004860EF" w:rsidRDefault="004860EF" w:rsidP="004860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78360"/>
      <w:docPartObj>
        <w:docPartGallery w:val="Watermarks"/>
        <w:docPartUnique/>
      </w:docPartObj>
    </w:sdtPr>
    <w:sdtEndPr/>
    <w:sdtContent>
      <w:p w:rsidR="00552CFB" w:rsidRDefault="00AC6D5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150D"/>
    <w:multiLevelType w:val="multilevel"/>
    <w:tmpl w:val="6532B6A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725463E8"/>
    <w:multiLevelType w:val="hybridMultilevel"/>
    <w:tmpl w:val="10D649E4"/>
    <w:lvl w:ilvl="0" w:tplc="08090017">
      <w:start w:val="1"/>
      <w:numFmt w:val="lowerLetter"/>
      <w:lvlText w:val="%1)"/>
      <w:lvlJc w:val="left"/>
      <w:pPr>
        <w:ind w:left="1200" w:hanging="360"/>
      </w:pPr>
    </w:lvl>
    <w:lvl w:ilvl="1" w:tplc="08090019">
      <w:start w:val="1"/>
      <w:numFmt w:val="lowerLetter"/>
      <w:lvlText w:val="%2."/>
      <w:lvlJc w:val="left"/>
      <w:pPr>
        <w:ind w:left="1920" w:hanging="360"/>
      </w:pPr>
    </w:lvl>
    <w:lvl w:ilvl="2" w:tplc="0809001B">
      <w:start w:val="1"/>
      <w:numFmt w:val="lowerRoman"/>
      <w:lvlText w:val="%3."/>
      <w:lvlJc w:val="right"/>
      <w:pPr>
        <w:ind w:left="2640" w:hanging="180"/>
      </w:pPr>
    </w:lvl>
    <w:lvl w:ilvl="3" w:tplc="0809000F">
      <w:start w:val="1"/>
      <w:numFmt w:val="decimal"/>
      <w:lvlText w:val="%4."/>
      <w:lvlJc w:val="left"/>
      <w:pPr>
        <w:ind w:left="3360" w:hanging="360"/>
      </w:pPr>
    </w:lvl>
    <w:lvl w:ilvl="4" w:tplc="08090019">
      <w:start w:val="1"/>
      <w:numFmt w:val="lowerLetter"/>
      <w:lvlText w:val="%5."/>
      <w:lvlJc w:val="left"/>
      <w:pPr>
        <w:ind w:left="4080" w:hanging="360"/>
      </w:pPr>
    </w:lvl>
    <w:lvl w:ilvl="5" w:tplc="0809001B">
      <w:start w:val="1"/>
      <w:numFmt w:val="lowerRoman"/>
      <w:lvlText w:val="%6."/>
      <w:lvlJc w:val="right"/>
      <w:pPr>
        <w:ind w:left="4800" w:hanging="180"/>
      </w:pPr>
    </w:lvl>
    <w:lvl w:ilvl="6" w:tplc="0809000F">
      <w:start w:val="1"/>
      <w:numFmt w:val="decimal"/>
      <w:lvlText w:val="%7."/>
      <w:lvlJc w:val="left"/>
      <w:pPr>
        <w:ind w:left="5520" w:hanging="360"/>
      </w:pPr>
    </w:lvl>
    <w:lvl w:ilvl="7" w:tplc="08090019">
      <w:start w:val="1"/>
      <w:numFmt w:val="lowerLetter"/>
      <w:lvlText w:val="%8."/>
      <w:lvlJc w:val="left"/>
      <w:pPr>
        <w:ind w:left="6240" w:hanging="360"/>
      </w:pPr>
    </w:lvl>
    <w:lvl w:ilvl="8" w:tplc="0809001B">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A9"/>
    <w:rsid w:val="000C4CFC"/>
    <w:rsid w:val="00194ED1"/>
    <w:rsid w:val="001C1BB9"/>
    <w:rsid w:val="00281B30"/>
    <w:rsid w:val="00345E75"/>
    <w:rsid w:val="003A5685"/>
    <w:rsid w:val="003E1DAC"/>
    <w:rsid w:val="00432DDC"/>
    <w:rsid w:val="0047605D"/>
    <w:rsid w:val="004859F8"/>
    <w:rsid w:val="004860EF"/>
    <w:rsid w:val="004E6318"/>
    <w:rsid w:val="005227FF"/>
    <w:rsid w:val="0053721B"/>
    <w:rsid w:val="00552CFB"/>
    <w:rsid w:val="005C7A99"/>
    <w:rsid w:val="00654D15"/>
    <w:rsid w:val="00682559"/>
    <w:rsid w:val="006A49A8"/>
    <w:rsid w:val="006F2D1C"/>
    <w:rsid w:val="00790393"/>
    <w:rsid w:val="008C08B7"/>
    <w:rsid w:val="008D63E6"/>
    <w:rsid w:val="00904D21"/>
    <w:rsid w:val="009433F9"/>
    <w:rsid w:val="009D7110"/>
    <w:rsid w:val="00A557F4"/>
    <w:rsid w:val="00A90420"/>
    <w:rsid w:val="00AC6D5E"/>
    <w:rsid w:val="00AD1814"/>
    <w:rsid w:val="00B11F48"/>
    <w:rsid w:val="00B65E57"/>
    <w:rsid w:val="00BC1A31"/>
    <w:rsid w:val="00BD0CA9"/>
    <w:rsid w:val="00C20A8C"/>
    <w:rsid w:val="00D1351F"/>
    <w:rsid w:val="00D67BC0"/>
    <w:rsid w:val="00D71C78"/>
    <w:rsid w:val="00DD4E34"/>
    <w:rsid w:val="00DE34A9"/>
    <w:rsid w:val="00DF6245"/>
    <w:rsid w:val="00E84839"/>
    <w:rsid w:val="00EC5CB7"/>
    <w:rsid w:val="00F00929"/>
    <w:rsid w:val="00F00933"/>
    <w:rsid w:val="00F460C9"/>
    <w:rsid w:val="00F82EA3"/>
    <w:rsid w:val="00FE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FB"/>
  </w:style>
  <w:style w:type="paragraph" w:styleId="Footer">
    <w:name w:val="footer"/>
    <w:basedOn w:val="Normal"/>
    <w:link w:val="FooterChar"/>
    <w:uiPriority w:val="99"/>
    <w:unhideWhenUsed/>
    <w:rsid w:val="0055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FB"/>
  </w:style>
  <w:style w:type="paragraph" w:styleId="BalloonText">
    <w:name w:val="Balloon Text"/>
    <w:basedOn w:val="Normal"/>
    <w:link w:val="BalloonTextChar"/>
    <w:uiPriority w:val="99"/>
    <w:semiHidden/>
    <w:unhideWhenUsed/>
    <w:rsid w:val="003A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85"/>
    <w:rPr>
      <w:rFonts w:ascii="Tahoma" w:hAnsi="Tahoma" w:cs="Tahoma"/>
      <w:sz w:val="16"/>
      <w:szCs w:val="16"/>
    </w:rPr>
  </w:style>
  <w:style w:type="paragraph" w:styleId="FootnoteText">
    <w:name w:val="footnote text"/>
    <w:basedOn w:val="Normal"/>
    <w:link w:val="FootnoteTextChar"/>
    <w:semiHidden/>
    <w:unhideWhenUsed/>
    <w:rsid w:val="008C08B7"/>
    <w:pPr>
      <w:spacing w:after="0" w:line="240" w:lineRule="auto"/>
    </w:pPr>
    <w:rPr>
      <w:sz w:val="20"/>
      <w:szCs w:val="20"/>
    </w:rPr>
  </w:style>
  <w:style w:type="character" w:customStyle="1" w:styleId="FootnoteTextChar">
    <w:name w:val="Footnote Text Char"/>
    <w:basedOn w:val="DefaultParagraphFont"/>
    <w:link w:val="FootnoteText"/>
    <w:semiHidden/>
    <w:rsid w:val="008C08B7"/>
    <w:rPr>
      <w:sz w:val="20"/>
      <w:szCs w:val="20"/>
    </w:rPr>
  </w:style>
  <w:style w:type="character" w:styleId="FootnoteReference">
    <w:name w:val="footnote reference"/>
    <w:basedOn w:val="DefaultParagraphFont"/>
    <w:semiHidden/>
    <w:unhideWhenUsed/>
    <w:rsid w:val="008C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FB"/>
  </w:style>
  <w:style w:type="paragraph" w:styleId="Footer">
    <w:name w:val="footer"/>
    <w:basedOn w:val="Normal"/>
    <w:link w:val="FooterChar"/>
    <w:uiPriority w:val="99"/>
    <w:unhideWhenUsed/>
    <w:rsid w:val="0055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FB"/>
  </w:style>
  <w:style w:type="paragraph" w:styleId="BalloonText">
    <w:name w:val="Balloon Text"/>
    <w:basedOn w:val="Normal"/>
    <w:link w:val="BalloonTextChar"/>
    <w:uiPriority w:val="99"/>
    <w:semiHidden/>
    <w:unhideWhenUsed/>
    <w:rsid w:val="003A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85"/>
    <w:rPr>
      <w:rFonts w:ascii="Tahoma" w:hAnsi="Tahoma" w:cs="Tahoma"/>
      <w:sz w:val="16"/>
      <w:szCs w:val="16"/>
    </w:rPr>
  </w:style>
  <w:style w:type="paragraph" w:styleId="FootnoteText">
    <w:name w:val="footnote text"/>
    <w:basedOn w:val="Normal"/>
    <w:link w:val="FootnoteTextChar"/>
    <w:semiHidden/>
    <w:unhideWhenUsed/>
    <w:rsid w:val="008C08B7"/>
    <w:pPr>
      <w:spacing w:after="0" w:line="240" w:lineRule="auto"/>
    </w:pPr>
    <w:rPr>
      <w:sz w:val="20"/>
      <w:szCs w:val="20"/>
    </w:rPr>
  </w:style>
  <w:style w:type="character" w:customStyle="1" w:styleId="FootnoteTextChar">
    <w:name w:val="Footnote Text Char"/>
    <w:basedOn w:val="DefaultParagraphFont"/>
    <w:link w:val="FootnoteText"/>
    <w:semiHidden/>
    <w:rsid w:val="008C08B7"/>
    <w:rPr>
      <w:sz w:val="20"/>
      <w:szCs w:val="20"/>
    </w:rPr>
  </w:style>
  <w:style w:type="character" w:styleId="FootnoteReference">
    <w:name w:val="footnote reference"/>
    <w:basedOn w:val="DefaultParagraphFont"/>
    <w:semiHidden/>
    <w:unhideWhenUsed/>
    <w:rsid w:val="008C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7582">
      <w:bodyDiv w:val="1"/>
      <w:marLeft w:val="0"/>
      <w:marRight w:val="0"/>
      <w:marTop w:val="0"/>
      <w:marBottom w:val="0"/>
      <w:divBdr>
        <w:top w:val="none" w:sz="0" w:space="0" w:color="auto"/>
        <w:left w:val="none" w:sz="0" w:space="0" w:color="auto"/>
        <w:bottom w:val="none" w:sz="0" w:space="0" w:color="auto"/>
        <w:right w:val="none" w:sz="0" w:space="0" w:color="auto"/>
      </w:divBdr>
    </w:div>
    <w:div w:id="1449591039">
      <w:bodyDiv w:val="1"/>
      <w:marLeft w:val="0"/>
      <w:marRight w:val="0"/>
      <w:marTop w:val="0"/>
      <w:marBottom w:val="0"/>
      <w:divBdr>
        <w:top w:val="none" w:sz="0" w:space="0" w:color="auto"/>
        <w:left w:val="none" w:sz="0" w:space="0" w:color="auto"/>
        <w:bottom w:val="none" w:sz="0" w:space="0" w:color="auto"/>
        <w:right w:val="none" w:sz="0" w:space="0" w:color="auto"/>
      </w:divBdr>
    </w:div>
    <w:div w:id="19756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141F-A556-4428-9653-B961E4C7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Meeks</dc:creator>
  <cp:lastModifiedBy>Debley, Kate</cp:lastModifiedBy>
  <cp:revision>2</cp:revision>
  <cp:lastPrinted>2018-11-26T13:26:00Z</cp:lastPrinted>
  <dcterms:created xsi:type="dcterms:W3CDTF">2018-12-04T14:24:00Z</dcterms:created>
  <dcterms:modified xsi:type="dcterms:W3CDTF">2018-12-04T14:24:00Z</dcterms:modified>
</cp:coreProperties>
</file>