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34" w:rsidRPr="00641078" w:rsidRDefault="00641078" w:rsidP="00641078">
      <w:pPr>
        <w:spacing w:after="0" w:line="240" w:lineRule="auto"/>
        <w:rPr>
          <w:b/>
        </w:rPr>
      </w:pPr>
      <w:r w:rsidRPr="00641078">
        <w:rPr>
          <w:b/>
        </w:rPr>
        <w:t>FR Transition</w:t>
      </w:r>
      <w:r>
        <w:rPr>
          <w:b/>
        </w:rPr>
        <w:t xml:space="preserve"> report</w:t>
      </w:r>
      <w:r w:rsidR="00631E24">
        <w:rPr>
          <w:b/>
        </w:rPr>
        <w:t xml:space="preserve"> for Commissioners</w:t>
      </w:r>
    </w:p>
    <w:p w:rsidR="00641078" w:rsidRDefault="00641078" w:rsidP="00641078">
      <w:pPr>
        <w:spacing w:after="0" w:line="240" w:lineRule="auto"/>
      </w:pPr>
    </w:p>
    <w:p w:rsidR="00D245FA" w:rsidRPr="00D245FA" w:rsidRDefault="00D245FA" w:rsidP="008A02D7">
      <w:pPr>
        <w:spacing w:after="0" w:line="240" w:lineRule="auto"/>
        <w:ind w:left="709" w:hanging="709"/>
      </w:pPr>
      <w:r>
        <w:t>1.</w:t>
      </w:r>
      <w:r>
        <w:tab/>
      </w:r>
      <w:r w:rsidR="00D67D44">
        <w:rPr>
          <w:b/>
        </w:rPr>
        <w:t xml:space="preserve">Programme </w:t>
      </w:r>
      <w:r w:rsidR="00975528">
        <w:rPr>
          <w:b/>
        </w:rPr>
        <w:t xml:space="preserve">current </w:t>
      </w:r>
      <w:r w:rsidR="00D67D44">
        <w:rPr>
          <w:b/>
        </w:rPr>
        <w:t>status</w:t>
      </w:r>
      <w:r>
        <w:rPr>
          <w:b/>
        </w:rPr>
        <w:t xml:space="preserve">. </w:t>
      </w:r>
      <w:r>
        <w:t xml:space="preserve">The programme is </w:t>
      </w:r>
      <w:r w:rsidR="004620D4">
        <w:t xml:space="preserve">assessed as </w:t>
      </w:r>
      <w:r>
        <w:t xml:space="preserve">on schedule to deliver </w:t>
      </w:r>
      <w:r w:rsidR="00D67D44">
        <w:t xml:space="preserve">the </w:t>
      </w:r>
      <w:r w:rsidR="004620D4">
        <w:t>desired out</w:t>
      </w:r>
      <w:r w:rsidR="00975528">
        <w:t xml:space="preserve">comes </w:t>
      </w:r>
      <w:r>
        <w:t xml:space="preserve">on time. Risks are deemed manageable, however </w:t>
      </w:r>
      <w:r w:rsidR="00421BD2">
        <w:t xml:space="preserve">two are worthy of note: </w:t>
      </w:r>
      <w:r>
        <w:t xml:space="preserve">the financial risk associated with cost exceeding allocation </w:t>
      </w:r>
      <w:r w:rsidR="00421BD2">
        <w:t>and the potential lack of capacity to maintain BAU and transition</w:t>
      </w:r>
      <w:r w:rsidR="004620D4">
        <w:t xml:space="preserve">. </w:t>
      </w:r>
    </w:p>
    <w:p w:rsidR="00D245FA" w:rsidRDefault="00D245FA" w:rsidP="008A02D7">
      <w:pPr>
        <w:spacing w:after="0" w:line="240" w:lineRule="auto"/>
        <w:ind w:left="709" w:hanging="709"/>
      </w:pPr>
    </w:p>
    <w:p w:rsidR="00641078" w:rsidRDefault="00D245FA" w:rsidP="008A02D7">
      <w:pPr>
        <w:spacing w:after="0" w:line="240" w:lineRule="auto"/>
        <w:ind w:left="709" w:hanging="709"/>
      </w:pPr>
      <w:r>
        <w:t>2</w:t>
      </w:r>
      <w:r w:rsidR="00641078" w:rsidRPr="00641078">
        <w:t>.</w:t>
      </w:r>
      <w:r w:rsidR="00641078" w:rsidRPr="00641078">
        <w:tab/>
      </w:r>
      <w:r w:rsidR="00F41DEB">
        <w:rPr>
          <w:b/>
        </w:rPr>
        <w:t>Establishing a p</w:t>
      </w:r>
      <w:r w:rsidR="00641078" w:rsidRPr="00641078">
        <w:rPr>
          <w:b/>
        </w:rPr>
        <w:t>rogramm</w:t>
      </w:r>
      <w:r w:rsidR="00F41DEB">
        <w:rPr>
          <w:b/>
        </w:rPr>
        <w:t>atic approach</w:t>
      </w:r>
      <w:r w:rsidR="00641078" w:rsidRPr="00641078">
        <w:rPr>
          <w:b/>
        </w:rPr>
        <w:t xml:space="preserve">. </w:t>
      </w:r>
      <w:r w:rsidR="00F41DEB">
        <w:t xml:space="preserve">A Programme Manager </w:t>
      </w:r>
      <w:r w:rsidR="004758A1">
        <w:t>(</w:t>
      </w:r>
      <w:proofErr w:type="spellStart"/>
      <w:r w:rsidR="004758A1">
        <w:t>PgM</w:t>
      </w:r>
      <w:proofErr w:type="spellEnd"/>
      <w:r w:rsidR="004758A1">
        <w:t xml:space="preserve">) </w:t>
      </w:r>
      <w:r w:rsidR="00F41DEB">
        <w:t xml:space="preserve">was recruited in Oct 17 to establish and manage the </w:t>
      </w:r>
      <w:r w:rsidR="00313035">
        <w:t>programme</w:t>
      </w:r>
      <w:r w:rsidR="00A516EE">
        <w:t xml:space="preserve"> and put it on a programmatic footing</w:t>
      </w:r>
      <w:r w:rsidR="00AE09AF">
        <w:t xml:space="preserve"> that is industry standard compliant – </w:t>
      </w:r>
      <w:hyperlink r:id="rId9" w:history="1">
        <w:r w:rsidR="00A516EE" w:rsidRPr="00641078">
          <w:rPr>
            <w:rStyle w:val="Hyperlink"/>
          </w:rPr>
          <w:t>Managing Successful Programmes</w:t>
        </w:r>
      </w:hyperlink>
      <w:r w:rsidR="00A516EE" w:rsidRPr="00641078">
        <w:t xml:space="preserve"> </w:t>
      </w:r>
      <w:r w:rsidR="00AE09AF">
        <w:t>(</w:t>
      </w:r>
      <w:r w:rsidR="00AE09AF">
        <w:rPr>
          <w:lang w:val="en"/>
        </w:rPr>
        <w:t>MSP®</w:t>
      </w:r>
      <w:r w:rsidR="004758A1">
        <w:t>)</w:t>
      </w:r>
      <w:r w:rsidR="00F41DEB">
        <w:t xml:space="preserve">. </w:t>
      </w:r>
      <w:r w:rsidR="00631E24">
        <w:t xml:space="preserve">This was fully achieved as of 1 Jan 18. </w:t>
      </w:r>
    </w:p>
    <w:p w:rsidR="00641078" w:rsidRDefault="00641078" w:rsidP="00641078">
      <w:pPr>
        <w:spacing w:after="0" w:line="240" w:lineRule="auto"/>
      </w:pPr>
    </w:p>
    <w:p w:rsidR="00D67D44" w:rsidRDefault="00D245FA" w:rsidP="00641078">
      <w:pPr>
        <w:spacing w:after="0" w:line="240" w:lineRule="auto"/>
        <w:rPr>
          <w:bCs/>
        </w:rPr>
      </w:pPr>
      <w:r>
        <w:t>3</w:t>
      </w:r>
      <w:r w:rsidR="00641078" w:rsidRPr="00641078">
        <w:t>.</w:t>
      </w:r>
      <w:r w:rsidR="00641078" w:rsidRPr="00641078">
        <w:tab/>
      </w:r>
      <w:r w:rsidR="00641078" w:rsidRPr="00641078">
        <w:rPr>
          <w:b/>
        </w:rPr>
        <w:t xml:space="preserve">Programme </w:t>
      </w:r>
      <w:bookmarkStart w:id="0" w:name="_Toc190244559"/>
      <w:bookmarkStart w:id="1" w:name="_Toc491326456"/>
      <w:r w:rsidR="00631E24">
        <w:rPr>
          <w:b/>
          <w:bCs/>
        </w:rPr>
        <w:t>g</w:t>
      </w:r>
      <w:r w:rsidR="00641078" w:rsidRPr="00641078">
        <w:rPr>
          <w:b/>
          <w:bCs/>
        </w:rPr>
        <w:t>overnance</w:t>
      </w:r>
      <w:bookmarkEnd w:id="0"/>
      <w:bookmarkEnd w:id="1"/>
      <w:r w:rsidR="00641078" w:rsidRPr="00641078">
        <w:rPr>
          <w:b/>
          <w:bCs/>
        </w:rPr>
        <w:t xml:space="preserve">. </w:t>
      </w:r>
      <w:r w:rsidR="00CA01C2">
        <w:rPr>
          <w:bCs/>
        </w:rPr>
        <w:t>Sound govern</w:t>
      </w:r>
      <w:r w:rsidR="004758A1">
        <w:rPr>
          <w:bCs/>
        </w:rPr>
        <w:t xml:space="preserve">ance is in place and comprises a 4 </w:t>
      </w:r>
      <w:r w:rsidR="0076329D">
        <w:rPr>
          <w:bCs/>
        </w:rPr>
        <w:t xml:space="preserve">tiered </w:t>
      </w:r>
      <w:r w:rsidR="004758A1">
        <w:rPr>
          <w:bCs/>
        </w:rPr>
        <w:t>approach</w:t>
      </w:r>
      <w:r w:rsidR="0076329D">
        <w:rPr>
          <w:bCs/>
        </w:rPr>
        <w:t xml:space="preserve">: </w:t>
      </w:r>
    </w:p>
    <w:p w:rsidR="00D67D44" w:rsidRDefault="00D67D44" w:rsidP="00D67D4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R</w:t>
      </w:r>
      <w:r w:rsidR="0076329D" w:rsidRPr="00D67D44">
        <w:rPr>
          <w:bCs/>
        </w:rPr>
        <w:t>obust Programme Board oversight</w:t>
      </w:r>
    </w:p>
    <w:p w:rsidR="00D67D44" w:rsidRDefault="00D67D44" w:rsidP="00D67D4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I</w:t>
      </w:r>
      <w:r w:rsidR="00F41DEB" w:rsidRPr="00D67D44">
        <w:rPr>
          <w:bCs/>
        </w:rPr>
        <w:t xml:space="preserve">ndustry standard </w:t>
      </w:r>
      <w:r w:rsidR="0076329D" w:rsidRPr="00D67D44">
        <w:rPr>
          <w:bCs/>
        </w:rPr>
        <w:t xml:space="preserve">management </w:t>
      </w:r>
      <w:r w:rsidR="00F41DEB" w:rsidRPr="00D67D44">
        <w:rPr>
          <w:bCs/>
        </w:rPr>
        <w:t>methodology</w:t>
      </w:r>
    </w:p>
    <w:p w:rsidR="00D67D44" w:rsidRDefault="00D67D44" w:rsidP="00D67D4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S</w:t>
      </w:r>
      <w:r w:rsidR="0076329D" w:rsidRPr="00D67D44">
        <w:rPr>
          <w:bCs/>
        </w:rPr>
        <w:t xml:space="preserve">tructured delivery </w:t>
      </w:r>
      <w:r w:rsidR="00671105">
        <w:rPr>
          <w:bCs/>
        </w:rPr>
        <w:t xml:space="preserve">through manageable </w:t>
      </w:r>
      <w:proofErr w:type="spellStart"/>
      <w:r w:rsidR="0076329D" w:rsidRPr="00D67D44">
        <w:rPr>
          <w:bCs/>
        </w:rPr>
        <w:t>workstream</w:t>
      </w:r>
      <w:r w:rsidR="00AE09AF" w:rsidRPr="00D67D44">
        <w:rPr>
          <w:bCs/>
        </w:rPr>
        <w:t>s</w:t>
      </w:r>
      <w:bookmarkStart w:id="2" w:name="_GoBack"/>
      <w:bookmarkEnd w:id="2"/>
      <w:proofErr w:type="spellEnd"/>
    </w:p>
    <w:p w:rsidR="00641078" w:rsidRPr="00D67D44" w:rsidRDefault="00D67D44" w:rsidP="00D67D44">
      <w:pPr>
        <w:pStyle w:val="ListParagraph"/>
        <w:numPr>
          <w:ilvl w:val="0"/>
          <w:numId w:val="14"/>
        </w:numPr>
        <w:spacing w:after="0" w:line="240" w:lineRule="auto"/>
        <w:rPr>
          <w:bCs/>
        </w:rPr>
      </w:pPr>
      <w:r>
        <w:rPr>
          <w:bCs/>
        </w:rPr>
        <w:t>A</w:t>
      </w:r>
      <w:r w:rsidR="00CA01C2" w:rsidRPr="00D67D44">
        <w:rPr>
          <w:bCs/>
        </w:rPr>
        <w:t xml:space="preserve">n empowered </w:t>
      </w:r>
      <w:r w:rsidR="0076329D" w:rsidRPr="00D67D44">
        <w:rPr>
          <w:bCs/>
        </w:rPr>
        <w:t xml:space="preserve">working group </w:t>
      </w:r>
      <w:r w:rsidR="004620D4" w:rsidRPr="00D67D44">
        <w:rPr>
          <w:bCs/>
        </w:rPr>
        <w:t xml:space="preserve">charged to </w:t>
      </w:r>
      <w:r w:rsidR="00CA01C2" w:rsidRPr="00D67D44">
        <w:rPr>
          <w:bCs/>
        </w:rPr>
        <w:t xml:space="preserve">manage the programme </w:t>
      </w:r>
      <w:r w:rsidR="00AE09AF" w:rsidRPr="00D67D44">
        <w:rPr>
          <w:bCs/>
        </w:rPr>
        <w:t xml:space="preserve">on an </w:t>
      </w:r>
      <w:r w:rsidR="00CA01C2" w:rsidRPr="00D67D44">
        <w:rPr>
          <w:bCs/>
        </w:rPr>
        <w:t>intimate</w:t>
      </w:r>
      <w:r w:rsidR="00AE09AF" w:rsidRPr="00D67D44">
        <w:rPr>
          <w:bCs/>
        </w:rPr>
        <w:t xml:space="preserve"> basis</w:t>
      </w:r>
    </w:p>
    <w:p w:rsidR="00641078" w:rsidRPr="00641078" w:rsidRDefault="00641078" w:rsidP="00641078">
      <w:pPr>
        <w:spacing w:after="0" w:line="240" w:lineRule="auto"/>
      </w:pPr>
    </w:p>
    <w:p w:rsidR="00641078" w:rsidRPr="0076329D" w:rsidRDefault="00D245FA" w:rsidP="008A02D7">
      <w:pPr>
        <w:spacing w:after="0" w:line="240" w:lineRule="auto"/>
        <w:ind w:left="709" w:hanging="709"/>
      </w:pPr>
      <w:r>
        <w:t>4</w:t>
      </w:r>
      <w:r w:rsidR="0076329D">
        <w:t>.</w:t>
      </w:r>
      <w:r w:rsidR="0076329D">
        <w:tab/>
      </w:r>
      <w:bookmarkStart w:id="3" w:name="_Toc491326457"/>
      <w:r w:rsidR="00631E24">
        <w:rPr>
          <w:b/>
          <w:bCs/>
        </w:rPr>
        <w:t>Programme s</w:t>
      </w:r>
      <w:r w:rsidR="00641078" w:rsidRPr="00641078">
        <w:rPr>
          <w:b/>
          <w:bCs/>
        </w:rPr>
        <w:t>tructure</w:t>
      </w:r>
      <w:bookmarkEnd w:id="3"/>
      <w:r w:rsidR="00641078" w:rsidRPr="00641078">
        <w:rPr>
          <w:b/>
          <w:bCs/>
        </w:rPr>
        <w:t>.</w:t>
      </w:r>
      <w:r w:rsidR="00641078" w:rsidRPr="00641078">
        <w:rPr>
          <w:bCs/>
        </w:rPr>
        <w:t xml:space="preserve"> The programme </w:t>
      </w:r>
      <w:r w:rsidR="00CA01C2">
        <w:rPr>
          <w:bCs/>
        </w:rPr>
        <w:t xml:space="preserve">has been </w:t>
      </w:r>
      <w:r w:rsidR="00641078" w:rsidRPr="00641078">
        <w:rPr>
          <w:bCs/>
        </w:rPr>
        <w:t xml:space="preserve">structured around the delivery of 16 </w:t>
      </w:r>
      <w:proofErr w:type="spellStart"/>
      <w:proofErr w:type="gramStart"/>
      <w:r w:rsidR="00CA01C2">
        <w:rPr>
          <w:bCs/>
        </w:rPr>
        <w:t>w</w:t>
      </w:r>
      <w:r w:rsidR="00641078" w:rsidRPr="00641078">
        <w:rPr>
          <w:bCs/>
        </w:rPr>
        <w:t>orkstreams</w:t>
      </w:r>
      <w:proofErr w:type="spellEnd"/>
      <w:r w:rsidR="00AE09AF">
        <w:rPr>
          <w:bCs/>
        </w:rPr>
        <w:t>,</w:t>
      </w:r>
      <w:proofErr w:type="gramEnd"/>
      <w:r w:rsidR="00AE09AF">
        <w:rPr>
          <w:bCs/>
        </w:rPr>
        <w:t xml:space="preserve"> e</w:t>
      </w:r>
      <w:r w:rsidR="00641078" w:rsidRPr="00641078">
        <w:rPr>
          <w:bCs/>
        </w:rPr>
        <w:t>ach ha</w:t>
      </w:r>
      <w:r w:rsidR="00AE09AF">
        <w:rPr>
          <w:bCs/>
        </w:rPr>
        <w:t>s</w:t>
      </w:r>
      <w:r w:rsidR="00641078" w:rsidRPr="00641078">
        <w:rPr>
          <w:bCs/>
        </w:rPr>
        <w:t xml:space="preserve"> </w:t>
      </w:r>
      <w:r w:rsidR="004758A1">
        <w:rPr>
          <w:bCs/>
        </w:rPr>
        <w:t xml:space="preserve">a </w:t>
      </w:r>
      <w:r w:rsidR="00641078" w:rsidRPr="00641078">
        <w:rPr>
          <w:bCs/>
        </w:rPr>
        <w:t xml:space="preserve">nominated </w:t>
      </w:r>
      <w:r w:rsidR="00CA01C2">
        <w:rPr>
          <w:bCs/>
        </w:rPr>
        <w:t>B</w:t>
      </w:r>
      <w:r w:rsidR="0076329D">
        <w:rPr>
          <w:bCs/>
        </w:rPr>
        <w:t xml:space="preserve">usiness </w:t>
      </w:r>
      <w:r w:rsidR="00CA01C2">
        <w:rPr>
          <w:bCs/>
        </w:rPr>
        <w:t>C</w:t>
      </w:r>
      <w:r w:rsidR="0076329D">
        <w:rPr>
          <w:bCs/>
        </w:rPr>
        <w:t xml:space="preserve">hange </w:t>
      </w:r>
      <w:r w:rsidR="00313035">
        <w:rPr>
          <w:bCs/>
        </w:rPr>
        <w:t>M</w:t>
      </w:r>
      <w:r w:rsidR="0076329D">
        <w:rPr>
          <w:bCs/>
        </w:rPr>
        <w:t>anager</w:t>
      </w:r>
      <w:r w:rsidR="00CA01C2">
        <w:rPr>
          <w:bCs/>
        </w:rPr>
        <w:t>.</w:t>
      </w:r>
      <w:r w:rsidR="00641078" w:rsidRPr="00641078">
        <w:rPr>
          <w:bCs/>
        </w:rPr>
        <w:t xml:space="preserve"> Overall coordination of the programme is the responsibility of the </w:t>
      </w:r>
      <w:proofErr w:type="spellStart"/>
      <w:r w:rsidR="00641078" w:rsidRPr="00641078">
        <w:rPr>
          <w:bCs/>
        </w:rPr>
        <w:t>PgM</w:t>
      </w:r>
      <w:proofErr w:type="spellEnd"/>
      <w:r w:rsidR="00641078" w:rsidRPr="00641078">
        <w:rPr>
          <w:bCs/>
        </w:rPr>
        <w:t>.</w:t>
      </w:r>
      <w:r w:rsidR="0076329D">
        <w:rPr>
          <w:bCs/>
        </w:rPr>
        <w:t xml:space="preserve"> The</w:t>
      </w:r>
      <w:r w:rsidR="00313035">
        <w:rPr>
          <w:bCs/>
        </w:rPr>
        <w:t xml:space="preserve"> </w:t>
      </w:r>
      <w:proofErr w:type="spellStart"/>
      <w:r w:rsidR="00313035">
        <w:rPr>
          <w:bCs/>
        </w:rPr>
        <w:t>workstreams</w:t>
      </w:r>
      <w:proofErr w:type="spellEnd"/>
      <w:r w:rsidR="00313035">
        <w:rPr>
          <w:bCs/>
        </w:rPr>
        <w:t xml:space="preserve"> and their out</w:t>
      </w:r>
      <w:r w:rsidR="00975528">
        <w:rPr>
          <w:bCs/>
        </w:rPr>
        <w:t xml:space="preserve">comes </w:t>
      </w:r>
      <w:r w:rsidR="00313035">
        <w:rPr>
          <w:bCs/>
        </w:rPr>
        <w:t>can be viewed on the attached dashboard report</w:t>
      </w:r>
      <w:r w:rsidR="0076329D">
        <w:rPr>
          <w:bCs/>
        </w:rPr>
        <w:t xml:space="preserve"> which is the key monthly reporting tool</w:t>
      </w:r>
      <w:r w:rsidR="00AE09AF">
        <w:rPr>
          <w:bCs/>
        </w:rPr>
        <w:t xml:space="preserve"> to the Programme Board</w:t>
      </w:r>
      <w:r w:rsidR="00313035">
        <w:rPr>
          <w:bCs/>
        </w:rPr>
        <w:t>.</w:t>
      </w:r>
    </w:p>
    <w:p w:rsidR="00975528" w:rsidRDefault="00975528" w:rsidP="008A02D7">
      <w:pPr>
        <w:spacing w:after="0" w:line="240" w:lineRule="auto"/>
        <w:ind w:left="709" w:hanging="709"/>
      </w:pPr>
    </w:p>
    <w:p w:rsidR="00975528" w:rsidRPr="00975528" w:rsidRDefault="00975528" w:rsidP="008A02D7">
      <w:pPr>
        <w:spacing w:after="0" w:line="240" w:lineRule="auto"/>
        <w:ind w:left="709" w:hanging="709"/>
      </w:pPr>
      <w:r>
        <w:t>5.</w:t>
      </w:r>
      <w:r>
        <w:tab/>
      </w:r>
      <w:r w:rsidRPr="009D784C">
        <w:rPr>
          <w:b/>
        </w:rPr>
        <w:t xml:space="preserve">Key programme achievements </w:t>
      </w:r>
      <w:r w:rsidRPr="0014365A">
        <w:rPr>
          <w:b/>
        </w:rPr>
        <w:t>to date.</w:t>
      </w:r>
      <w:r>
        <w:rPr>
          <w:b/>
        </w:rPr>
        <w:t xml:space="preserve"> </w:t>
      </w:r>
      <w:r>
        <w:t xml:space="preserve">Key achievements and dates of anticipated independent capability are tabulated below: </w:t>
      </w:r>
    </w:p>
    <w:p w:rsidR="00F41DEB" w:rsidRDefault="00F41DEB" w:rsidP="00641078">
      <w:pPr>
        <w:spacing w:after="0" w:line="240" w:lineRule="auto"/>
        <w:rPr>
          <w:bCs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414"/>
        <w:gridCol w:w="2644"/>
        <w:gridCol w:w="3847"/>
        <w:gridCol w:w="1842"/>
      </w:tblGrid>
      <w:tr w:rsidR="0054163C" w:rsidRPr="002023E0" w:rsidTr="0054163C">
        <w:trPr>
          <w:tblHeader/>
        </w:trPr>
        <w:tc>
          <w:tcPr>
            <w:tcW w:w="1414" w:type="dxa"/>
            <w:shd w:val="clear" w:color="auto" w:fill="BFBFBF" w:themeFill="background1" w:themeFillShade="BF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2023E0">
              <w:rPr>
                <w:rFonts w:ascii="Arial Narrow" w:hAnsi="Arial Narrow"/>
                <w:b/>
                <w:sz w:val="18"/>
                <w:szCs w:val="18"/>
              </w:rPr>
              <w:t>Workstream</w:t>
            </w:r>
            <w:proofErr w:type="spellEnd"/>
          </w:p>
        </w:tc>
        <w:tc>
          <w:tcPr>
            <w:tcW w:w="2644" w:type="dxa"/>
            <w:shd w:val="clear" w:color="auto" w:fill="BFBFBF" w:themeFill="background1" w:themeFillShade="BF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sz w:val="18"/>
                <w:szCs w:val="18"/>
              </w:rPr>
              <w:t>Desired outcome</w:t>
            </w:r>
          </w:p>
        </w:tc>
        <w:tc>
          <w:tcPr>
            <w:tcW w:w="3847" w:type="dxa"/>
            <w:shd w:val="clear" w:color="auto" w:fill="BFBFBF" w:themeFill="background1" w:themeFillShade="BF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sz w:val="18"/>
                <w:szCs w:val="18"/>
              </w:rPr>
              <w:t>Progress/commentary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54163C" w:rsidRPr="002023E0" w:rsidRDefault="0054163C" w:rsidP="00FB496C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sz w:val="18"/>
                <w:szCs w:val="18"/>
              </w:rPr>
              <w:t>Anticipated date: independent capability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sz w:val="18"/>
                <w:szCs w:val="18"/>
              </w:rPr>
              <w:t xml:space="preserve">Future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sz w:val="18"/>
                <w:szCs w:val="18"/>
              </w:rPr>
              <w:t>connectivity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A modern WAN, LAN and WLAN infra, delivered as a fully managed service to FR's estate.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WAN contract signed: Sep 17.</w:t>
            </w:r>
          </w:p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LAN/WLAN contract signed: 1 May 18.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Mar 19</w:t>
            </w:r>
            <w:r w:rsidRPr="002023E0">
              <w:rPr>
                <w:rFonts w:ascii="Arial Narrow" w:hAnsi="Arial Narrow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IT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infra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Hybrid-Cloud that facilitates delivery of IT services, providing tangible improvements.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Contract signed May 18.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Oct 2018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Service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desk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tabs>
                <w:tab w:val="left" w:pos="1245"/>
              </w:tabs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The selection and implementation of a suitable service desk solution.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tabs>
                <w:tab w:val="left" w:pos="1245"/>
              </w:tabs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Specification agreed Feb 18; Target Operating Model (</w:t>
            </w:r>
            <w:proofErr w:type="spellStart"/>
            <w:r w:rsidRPr="002023E0">
              <w:rPr>
                <w:rFonts w:ascii="Arial Narrow" w:hAnsi="Arial Narrow"/>
                <w:sz w:val="18"/>
                <w:szCs w:val="18"/>
              </w:rPr>
              <w:t>ToM</w:t>
            </w:r>
            <w:proofErr w:type="spellEnd"/>
            <w:r w:rsidRPr="002023E0">
              <w:rPr>
                <w:rFonts w:ascii="Arial Narrow" w:hAnsi="Arial Narrow"/>
                <w:sz w:val="18"/>
                <w:szCs w:val="18"/>
              </w:rPr>
              <w:t>) undergoing internal review.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Jul 18 (Service Model)</w:t>
            </w:r>
          </w:p>
          <w:p w:rsidR="0054163C" w:rsidRPr="002023E0" w:rsidRDefault="0054163C" w:rsidP="00FB496C">
            <w:pPr>
              <w:rPr>
                <w:rFonts w:ascii="Calibri" w:hAnsi="Calibri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Sep 18 (Service Desk)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Voice</w:t>
            </w: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The selection and implementation of a suitable voice service.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Procurement action imminent.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Mar 2019</w:t>
            </w:r>
          </w:p>
        </w:tc>
      </w:tr>
      <w:tr w:rsidR="0054163C" w:rsidRPr="002023E0" w:rsidTr="0054163C">
        <w:tc>
          <w:tcPr>
            <w:tcW w:w="141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Bespoke apps</w:t>
            </w:r>
          </w:p>
        </w:tc>
        <w:tc>
          <w:tcPr>
            <w:tcW w:w="264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Replace/</w:t>
            </w:r>
            <w:r w:rsidRPr="002023E0">
              <w:rPr>
                <w:rFonts w:ascii="Arial Narrow" w:hAnsi="Arial Narrow"/>
                <w:sz w:val="18"/>
                <w:szCs w:val="18"/>
              </w:rPr>
              <w:t xml:space="preserve">continued provision of specialist/bespoke </w:t>
            </w:r>
            <w:proofErr w:type="spellStart"/>
            <w:r w:rsidRPr="002023E0">
              <w:rPr>
                <w:rFonts w:ascii="Arial Narrow" w:hAnsi="Arial Narrow"/>
                <w:sz w:val="18"/>
                <w:szCs w:val="18"/>
              </w:rPr>
              <w:t>appls</w:t>
            </w:r>
            <w:proofErr w:type="spellEnd"/>
            <w:r w:rsidRPr="002023E0">
              <w:rPr>
                <w:rFonts w:ascii="Arial Narrow" w:hAnsi="Arial Narrow"/>
                <w:sz w:val="18"/>
                <w:szCs w:val="18"/>
              </w:rPr>
              <w:t xml:space="preserve"> and processes: ESRI, Oracle, Business Objects, Tree Alert, Intranet, etc.</w:t>
            </w:r>
          </w:p>
        </w:tc>
        <w:tc>
          <w:tcPr>
            <w:tcW w:w="3847" w:type="dxa"/>
            <w:shd w:val="clear" w:color="auto" w:fill="auto"/>
          </w:tcPr>
          <w:p w:rsidR="0054163C" w:rsidRPr="002023E0" w:rsidRDefault="00E80AED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Ongoing</w:t>
            </w:r>
          </w:p>
        </w:tc>
        <w:tc>
          <w:tcPr>
            <w:tcW w:w="1842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Feb 19</w:t>
            </w:r>
          </w:p>
        </w:tc>
      </w:tr>
      <w:tr w:rsidR="0054163C" w:rsidRPr="002023E0" w:rsidTr="0054163C">
        <w:tc>
          <w:tcPr>
            <w:tcW w:w="1414" w:type="dxa"/>
            <w:shd w:val="clear" w:color="auto" w:fill="auto"/>
          </w:tcPr>
          <w:p w:rsidR="0054163C" w:rsidRDefault="0054163C" w:rsidP="009338F3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Infra transition</w:t>
            </w:r>
          </w:p>
        </w:tc>
        <w:tc>
          <w:tcPr>
            <w:tcW w:w="264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The transition of legacy systems, licenses and server-based solutions to new Infrastructure. </w:t>
            </w:r>
          </w:p>
        </w:tc>
        <w:tc>
          <w:tcPr>
            <w:tcW w:w="3847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Likely involve a link back to the legacy WAN and domain, currently delivered by Central Services IS.</w:t>
            </w:r>
          </w:p>
        </w:tc>
        <w:tc>
          <w:tcPr>
            <w:tcW w:w="1842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F4151D">
              <w:rPr>
                <w:rFonts w:ascii="Arial Narrow" w:hAnsi="Arial Narrow"/>
                <w:sz w:val="18"/>
                <w:szCs w:val="18"/>
              </w:rPr>
              <w:t>Will remain in place until all services are transitioned</w:t>
            </w:r>
            <w:r>
              <w:rPr>
                <w:rFonts w:ascii="Arial Narrow" w:hAnsi="Arial Narrow"/>
                <w:sz w:val="18"/>
                <w:szCs w:val="18"/>
              </w:rPr>
              <w:t>, at least until Apr 19</w:t>
            </w:r>
          </w:p>
        </w:tc>
      </w:tr>
      <w:tr w:rsidR="0054163C" w:rsidRPr="002023E0" w:rsidTr="0054163C">
        <w:tc>
          <w:tcPr>
            <w:tcW w:w="1414" w:type="dxa"/>
            <w:shd w:val="clear" w:color="auto" w:fill="auto"/>
          </w:tcPr>
          <w:p w:rsidR="0054163C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Desktop migration</w:t>
            </w:r>
          </w:p>
        </w:tc>
        <w:tc>
          <w:tcPr>
            <w:tcW w:w="264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424A8D">
              <w:rPr>
                <w:rFonts w:ascii="Arial Narrow" w:hAnsi="Arial Narrow"/>
                <w:sz w:val="18"/>
                <w:szCs w:val="18"/>
              </w:rPr>
              <w:t xml:space="preserve">igration of users, services and data over to the new </w:t>
            </w:r>
            <w:r>
              <w:rPr>
                <w:rFonts w:ascii="Arial Narrow" w:hAnsi="Arial Narrow"/>
                <w:sz w:val="18"/>
                <w:szCs w:val="18"/>
              </w:rPr>
              <w:t>i</w:t>
            </w:r>
            <w:r w:rsidRPr="00424A8D">
              <w:rPr>
                <w:rFonts w:ascii="Arial Narrow" w:hAnsi="Arial Narrow"/>
                <w:sz w:val="18"/>
                <w:szCs w:val="18"/>
              </w:rPr>
              <w:t>nfra.</w:t>
            </w:r>
            <w:r>
              <w:rPr>
                <w:rFonts w:ascii="Arial Narrow" w:hAnsi="Arial Narrow"/>
                <w:sz w:val="18"/>
                <w:szCs w:val="18"/>
              </w:rPr>
              <w:t xml:space="preserve"> W</w:t>
            </w:r>
            <w:r w:rsidRPr="00424A8D">
              <w:rPr>
                <w:rFonts w:ascii="Arial Narrow" w:hAnsi="Arial Narrow"/>
                <w:sz w:val="18"/>
                <w:szCs w:val="18"/>
              </w:rPr>
              <w:t>ill include the modernisation and roll-out of supporting business process</w:t>
            </w:r>
            <w:r>
              <w:rPr>
                <w:rFonts w:ascii="Arial Narrow" w:hAnsi="Arial Narrow"/>
                <w:sz w:val="18"/>
                <w:szCs w:val="18"/>
              </w:rPr>
              <w:t>es.</w:t>
            </w:r>
          </w:p>
        </w:tc>
        <w:tc>
          <w:tcPr>
            <w:tcW w:w="3847" w:type="dxa"/>
            <w:shd w:val="clear" w:color="auto" w:fill="auto"/>
          </w:tcPr>
          <w:p w:rsidR="0054163C" w:rsidRPr="002023E0" w:rsidRDefault="00E80AED" w:rsidP="00E80AE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Will be undertaken once infrastructure is in place and operational </w:t>
            </w:r>
          </w:p>
        </w:tc>
        <w:tc>
          <w:tcPr>
            <w:tcW w:w="1842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Mar 19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Corporate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apps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Provision of a fully integrated system: ERP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847" w:type="dxa"/>
          </w:tcPr>
          <w:p w:rsidR="0054163C" w:rsidRPr="002023E0" w:rsidRDefault="0054163C" w:rsidP="0054163C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Comprehensive market research exercise completed</w:t>
            </w:r>
          </w:p>
          <w:p w:rsidR="0054163C" w:rsidRPr="002023E0" w:rsidRDefault="0054163C" w:rsidP="0054163C">
            <w:pPr>
              <w:numPr>
                <w:ilvl w:val="0"/>
                <w:numId w:val="8"/>
              </w:num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Declared intent to purchase through G-Cloud</w:t>
            </w:r>
          </w:p>
          <w:p w:rsidR="009338F3" w:rsidRPr="00C1329E" w:rsidRDefault="0054163C" w:rsidP="00C1329E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Contract signed with Unit4 provider 31 May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Feb 19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 xml:space="preserve">HR policy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&amp; process</w:t>
            </w: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Update all HR policies/procedures to make them FR specific for Apr 19.</w:t>
            </w:r>
          </w:p>
        </w:tc>
        <w:tc>
          <w:tcPr>
            <w:tcW w:w="3847" w:type="dxa"/>
          </w:tcPr>
          <w:p w:rsidR="0054163C" w:rsidRPr="002023E0" w:rsidRDefault="0054163C" w:rsidP="0054163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New Senior HR &amp; Policy Manager joins 16 Jul</w:t>
            </w:r>
          </w:p>
          <w:p w:rsidR="0054163C" w:rsidRPr="002023E0" w:rsidRDefault="0054163C" w:rsidP="0054163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Over-arching work plan being scoped by </w:t>
            </w:r>
            <w:proofErr w:type="spellStart"/>
            <w:r w:rsidRPr="002023E0">
              <w:rPr>
                <w:rFonts w:ascii="Arial Narrow" w:hAnsi="Arial Narrow"/>
                <w:sz w:val="18"/>
                <w:szCs w:val="18"/>
              </w:rPr>
              <w:t>Hd</w:t>
            </w:r>
            <w:proofErr w:type="spellEnd"/>
            <w:r w:rsidRPr="002023E0">
              <w:rPr>
                <w:rFonts w:ascii="Arial Narrow" w:hAnsi="Arial Narrow"/>
                <w:sz w:val="18"/>
                <w:szCs w:val="18"/>
              </w:rPr>
              <w:t xml:space="preserve"> HR</w:t>
            </w:r>
          </w:p>
          <w:p w:rsidR="0054163C" w:rsidRPr="002023E0" w:rsidRDefault="0054163C" w:rsidP="0054163C">
            <w:pPr>
              <w:numPr>
                <w:ilvl w:val="0"/>
                <w:numId w:val="9"/>
              </w:num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Process maps under review ahead of ERP implementation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Feb 19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Payroll &amp;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Pensions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tabs>
                <w:tab w:val="left" w:pos="1302"/>
              </w:tabs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Re-provision of current payroll and pension functions to FR.</w:t>
            </w:r>
          </w:p>
        </w:tc>
        <w:tc>
          <w:tcPr>
            <w:tcW w:w="3847" w:type="dxa"/>
          </w:tcPr>
          <w:p w:rsidR="0054163C" w:rsidRPr="002023E0" w:rsidRDefault="0054163C" w:rsidP="0054163C">
            <w:pPr>
              <w:numPr>
                <w:ilvl w:val="0"/>
                <w:numId w:val="13"/>
              </w:numPr>
              <w:tabs>
                <w:tab w:val="left" w:pos="1302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Intent to pursue a fully managed service from CGI</w:t>
            </w:r>
          </w:p>
          <w:p w:rsidR="0054163C" w:rsidRPr="002023E0" w:rsidRDefault="0054163C" w:rsidP="0054163C">
            <w:pPr>
              <w:numPr>
                <w:ilvl w:val="0"/>
                <w:numId w:val="13"/>
              </w:numPr>
              <w:tabs>
                <w:tab w:val="left" w:pos="1302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Received costing, approval given to go ahead, contract being drawn up with CGI</w:t>
            </w:r>
          </w:p>
          <w:p w:rsidR="0054163C" w:rsidRPr="002023E0" w:rsidRDefault="0054163C" w:rsidP="0054163C">
            <w:pPr>
              <w:numPr>
                <w:ilvl w:val="0"/>
                <w:numId w:val="13"/>
              </w:numPr>
              <w:tabs>
                <w:tab w:val="left" w:pos="1302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Plan to undertake parallel payroll running in July 2018 with ‘go-live’ payroll date of August 2018</w:t>
            </w:r>
          </w:p>
          <w:p w:rsidR="0054163C" w:rsidRPr="002023E0" w:rsidRDefault="0054163C" w:rsidP="0054163C">
            <w:pPr>
              <w:numPr>
                <w:ilvl w:val="0"/>
                <w:numId w:val="13"/>
              </w:numPr>
              <w:tabs>
                <w:tab w:val="left" w:pos="1302"/>
              </w:tabs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Pensions administration will form part of HR Systems and Management Information Role currently out for external recruitment 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tabs>
                <w:tab w:val="left" w:pos="1302"/>
              </w:tabs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Oct 18 (payroll)</w:t>
            </w:r>
          </w:p>
          <w:p w:rsidR="0054163C" w:rsidRPr="002023E0" w:rsidRDefault="0054163C" w:rsidP="00FB496C">
            <w:pPr>
              <w:tabs>
                <w:tab w:val="left" w:pos="1302"/>
              </w:tabs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Feb 19 (pensions)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Finance policy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&amp; process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Revise all Fin policies/procedures to suitably align them for Apr 19.</w:t>
            </w:r>
          </w:p>
        </w:tc>
        <w:tc>
          <w:tcPr>
            <w:tcW w:w="3847" w:type="dxa"/>
          </w:tcPr>
          <w:p w:rsidR="0054163C" w:rsidRPr="002023E0" w:rsidRDefault="0054163C" w:rsidP="0054163C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Meirion Nelson in post as Finance Director</w:t>
            </w:r>
          </w:p>
          <w:p w:rsidR="0054163C" w:rsidRPr="002023E0" w:rsidRDefault="0054163C" w:rsidP="0054163C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Process maps under review ahead of ERP implementation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Feb 19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Staffing</w:t>
            </w: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Recruit staff with the appropriate KSE to the new FR structure.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16 posts: 6 selected/appointed, 1 offer refused, 3 with external adverts, 2 about to progress to external, </w:t>
            </w:r>
            <w:proofErr w:type="gramStart"/>
            <w:r w:rsidRPr="002023E0">
              <w:rPr>
                <w:rFonts w:ascii="Arial Narrow" w:hAnsi="Arial Narrow"/>
                <w:sz w:val="18"/>
                <w:szCs w:val="18"/>
              </w:rPr>
              <w:t>4</w:t>
            </w:r>
            <w:proofErr w:type="gramEnd"/>
            <w:r w:rsidRPr="002023E0">
              <w:rPr>
                <w:rFonts w:ascii="Arial Narrow" w:hAnsi="Arial Narrow"/>
                <w:sz w:val="18"/>
                <w:szCs w:val="18"/>
              </w:rPr>
              <w:t xml:space="preserve"> subject to assimilation.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Sep 18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FR governance</w:t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Deliver new governance protocols to include internal management model. Develop and produce the Target Operating Model (TOM) and 5 year Business Plan.</w:t>
            </w:r>
          </w:p>
        </w:tc>
        <w:tc>
          <w:tcPr>
            <w:tcW w:w="3847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Ongoing and iterative process.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Jan 19</w:t>
            </w:r>
          </w:p>
        </w:tc>
      </w:tr>
      <w:tr w:rsidR="0054163C" w:rsidRPr="002023E0" w:rsidTr="0054163C">
        <w:tc>
          <w:tcPr>
            <w:tcW w:w="141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Communications</w:t>
            </w:r>
          </w:p>
        </w:tc>
        <w:tc>
          <w:tcPr>
            <w:tcW w:w="264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Implementing new team structure, compliant with G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2023E0">
              <w:rPr>
                <w:rFonts w:ascii="Arial Narrow" w:hAnsi="Arial Narrow"/>
                <w:sz w:val="18"/>
                <w:szCs w:val="18"/>
              </w:rPr>
              <w:t>S MCOM</w:t>
            </w:r>
            <w:r>
              <w:rPr>
                <w:rStyle w:val="FootnoteReference"/>
                <w:rFonts w:ascii="Arial Narrow" w:hAnsi="Arial Narrow"/>
                <w:sz w:val="18"/>
                <w:szCs w:val="18"/>
              </w:rPr>
              <w:footnoteReference w:id="2"/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2023E0">
              <w:rPr>
                <w:rFonts w:ascii="Arial Narrow" w:hAnsi="Arial Narrow"/>
                <w:sz w:val="18"/>
                <w:szCs w:val="18"/>
              </w:rPr>
              <w:t>Develop qualitative approach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2023E0">
              <w:rPr>
                <w:rFonts w:ascii="Arial Narrow" w:hAnsi="Arial Narrow"/>
                <w:sz w:val="18"/>
                <w:szCs w:val="18"/>
              </w:rPr>
              <w:t>measure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023E0">
              <w:rPr>
                <w:rFonts w:ascii="Arial Narrow" w:hAnsi="Arial Narrow"/>
                <w:sz w:val="18"/>
                <w:szCs w:val="18"/>
              </w:rPr>
              <w:t>effect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3847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Structure work complete.</w:t>
            </w:r>
          </w:p>
        </w:tc>
        <w:tc>
          <w:tcPr>
            <w:tcW w:w="1842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Jan 19</w:t>
            </w:r>
          </w:p>
        </w:tc>
      </w:tr>
      <w:tr w:rsidR="0054163C" w:rsidRPr="002023E0" w:rsidTr="0054163C">
        <w:tc>
          <w:tcPr>
            <w:tcW w:w="141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Programme communications</w:t>
            </w:r>
          </w:p>
        </w:tc>
        <w:tc>
          <w:tcPr>
            <w:tcW w:w="2644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Deliver communications for FR and wider stakeholder base to inform and prepare them for </w:t>
            </w:r>
            <w:r>
              <w:rPr>
                <w:rFonts w:ascii="Arial Narrow" w:hAnsi="Arial Narrow"/>
                <w:sz w:val="18"/>
                <w:szCs w:val="18"/>
              </w:rPr>
              <w:t>transition.</w:t>
            </w:r>
          </w:p>
        </w:tc>
        <w:tc>
          <w:tcPr>
            <w:tcW w:w="3847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Comms plan written and ongoing delivery throughout life of programme.</w:t>
            </w:r>
          </w:p>
        </w:tc>
        <w:tc>
          <w:tcPr>
            <w:tcW w:w="1842" w:type="dxa"/>
            <w:shd w:val="clear" w:color="auto" w:fill="auto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Continuous delivery; reviewed monthly</w:t>
            </w:r>
          </w:p>
        </w:tc>
      </w:tr>
      <w:tr w:rsidR="0054163C" w:rsidRPr="002023E0" w:rsidTr="0054163C">
        <w:tc>
          <w:tcPr>
            <w:tcW w:w="1414" w:type="dxa"/>
          </w:tcPr>
          <w:p w:rsidR="0054163C" w:rsidRPr="002023E0" w:rsidRDefault="0054163C" w:rsidP="00FB496C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Misc</w:t>
            </w:r>
            <w:proofErr w:type="spellEnd"/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54163C" w:rsidRPr="002023E0" w:rsidRDefault="0054163C" w:rsidP="00FB496C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t>basket</w:t>
            </w:r>
            <w:r w:rsidRPr="002023E0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</w:tc>
        <w:tc>
          <w:tcPr>
            <w:tcW w:w="2644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Various areas of the business that will need either new or re-provision for Apr 19+.</w:t>
            </w:r>
          </w:p>
        </w:tc>
        <w:tc>
          <w:tcPr>
            <w:tcW w:w="3847" w:type="dxa"/>
          </w:tcPr>
          <w:p w:rsidR="0054163C" w:rsidRPr="002023E0" w:rsidRDefault="0054163C" w:rsidP="0054163C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Fin Dir has brokered an in-principle agreement with Scotland that FR will call off from ‘their’ contracts post devolution</w:t>
            </w:r>
          </w:p>
          <w:p w:rsidR="0054163C" w:rsidRPr="002023E0" w:rsidRDefault="0054163C" w:rsidP="0054163C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Expectation this will be straightforward </w:t>
            </w:r>
            <w:proofErr w:type="spellStart"/>
            <w:r w:rsidRPr="002023E0">
              <w:rPr>
                <w:rFonts w:ascii="Arial Narrow" w:hAnsi="Arial Narrow"/>
                <w:sz w:val="18"/>
                <w:szCs w:val="18"/>
              </w:rPr>
              <w:t>wrt</w:t>
            </w:r>
            <w:proofErr w:type="spellEnd"/>
            <w:r w:rsidRPr="002023E0">
              <w:rPr>
                <w:rFonts w:ascii="Arial Narrow" w:hAnsi="Arial Narrow"/>
                <w:sz w:val="18"/>
                <w:szCs w:val="18"/>
              </w:rPr>
              <w:t xml:space="preserve"> England</w:t>
            </w:r>
          </w:p>
          <w:p w:rsidR="0054163C" w:rsidRPr="002023E0" w:rsidRDefault="0054163C" w:rsidP="0054163C">
            <w:pPr>
              <w:numPr>
                <w:ilvl w:val="0"/>
                <w:numId w:val="12"/>
              </w:numPr>
              <w:contextualSpacing/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 xml:space="preserve">Various agreements/way forward already established: </w:t>
            </w:r>
            <w:proofErr w:type="spellStart"/>
            <w:r w:rsidRPr="002023E0">
              <w:rPr>
                <w:rFonts w:ascii="Arial Narrow" w:hAnsi="Arial Narrow"/>
                <w:sz w:val="18"/>
                <w:szCs w:val="18"/>
              </w:rPr>
              <w:t>corp</w:t>
            </w:r>
            <w:proofErr w:type="spellEnd"/>
            <w:r w:rsidRPr="002023E0">
              <w:rPr>
                <w:rFonts w:ascii="Arial Narrow" w:hAnsi="Arial Narrow"/>
                <w:sz w:val="18"/>
                <w:szCs w:val="18"/>
              </w:rPr>
              <w:t xml:space="preserve"> clothing, legal, etc. </w:t>
            </w:r>
          </w:p>
        </w:tc>
        <w:tc>
          <w:tcPr>
            <w:tcW w:w="1842" w:type="dxa"/>
          </w:tcPr>
          <w:p w:rsidR="0054163C" w:rsidRPr="002023E0" w:rsidRDefault="0054163C" w:rsidP="00FB496C">
            <w:pPr>
              <w:rPr>
                <w:rFonts w:ascii="Arial Narrow" w:hAnsi="Arial Narrow"/>
                <w:sz w:val="18"/>
                <w:szCs w:val="18"/>
              </w:rPr>
            </w:pPr>
            <w:r w:rsidRPr="002023E0">
              <w:rPr>
                <w:rFonts w:ascii="Arial Narrow" w:hAnsi="Arial Narrow"/>
                <w:sz w:val="18"/>
                <w:szCs w:val="18"/>
              </w:rPr>
              <w:t>1 Feb 19</w:t>
            </w:r>
          </w:p>
        </w:tc>
      </w:tr>
    </w:tbl>
    <w:p w:rsidR="00671105" w:rsidRDefault="00671105" w:rsidP="00641078">
      <w:pPr>
        <w:spacing w:after="0" w:line="240" w:lineRule="auto"/>
        <w:rPr>
          <w:bCs/>
        </w:rPr>
      </w:pPr>
    </w:p>
    <w:p w:rsidR="00481038" w:rsidRPr="00631E24" w:rsidRDefault="00975528" w:rsidP="008A02D7">
      <w:pPr>
        <w:spacing w:after="0" w:line="240" w:lineRule="auto"/>
        <w:ind w:left="709" w:hanging="709"/>
        <w:rPr>
          <w:bCs/>
        </w:rPr>
      </w:pPr>
      <w:r>
        <w:rPr>
          <w:bCs/>
        </w:rPr>
        <w:t>6</w:t>
      </w:r>
      <w:r w:rsidR="00A5298A">
        <w:rPr>
          <w:bCs/>
        </w:rPr>
        <w:t>.</w:t>
      </w:r>
      <w:r w:rsidR="00A5298A">
        <w:rPr>
          <w:bCs/>
        </w:rPr>
        <w:tab/>
      </w:r>
      <w:r>
        <w:rPr>
          <w:b/>
          <w:bCs/>
        </w:rPr>
        <w:t>S</w:t>
      </w:r>
      <w:r w:rsidR="004758A1" w:rsidRPr="00481038">
        <w:rPr>
          <w:b/>
          <w:bCs/>
        </w:rPr>
        <w:t>tatus</w:t>
      </w:r>
      <w:r w:rsidR="004758A1">
        <w:rPr>
          <w:b/>
          <w:bCs/>
        </w:rPr>
        <w:t xml:space="preserve"> and contingencies for the m</w:t>
      </w:r>
      <w:r w:rsidR="00F44538">
        <w:rPr>
          <w:b/>
          <w:bCs/>
        </w:rPr>
        <w:t>ain programme area</w:t>
      </w:r>
      <w:r w:rsidR="004758A1">
        <w:rPr>
          <w:b/>
          <w:bCs/>
        </w:rPr>
        <w:t>s</w:t>
      </w:r>
      <w:r w:rsidR="00481038" w:rsidRPr="00481038">
        <w:rPr>
          <w:b/>
          <w:bCs/>
        </w:rPr>
        <w:t>.</w:t>
      </w:r>
      <w:r w:rsidR="004758A1">
        <w:rPr>
          <w:b/>
          <w:bCs/>
        </w:rPr>
        <w:t xml:space="preserve"> </w:t>
      </w:r>
      <w:r w:rsidR="004758A1" w:rsidRPr="004758A1">
        <w:rPr>
          <w:bCs/>
        </w:rPr>
        <w:t>Key</w:t>
      </w:r>
      <w:r w:rsidR="004758A1">
        <w:rPr>
          <w:b/>
          <w:bCs/>
        </w:rPr>
        <w:t xml:space="preserve"> c</w:t>
      </w:r>
      <w:r w:rsidR="00631E24">
        <w:rPr>
          <w:bCs/>
        </w:rPr>
        <w:t xml:space="preserve">ommentary on the current status and contingency plans for the main </w:t>
      </w:r>
      <w:r w:rsidR="00AE09AF">
        <w:rPr>
          <w:bCs/>
        </w:rPr>
        <w:t xml:space="preserve">programme </w:t>
      </w:r>
      <w:r w:rsidR="004620D4">
        <w:rPr>
          <w:bCs/>
        </w:rPr>
        <w:t>are</w:t>
      </w:r>
      <w:r w:rsidR="00695CE4">
        <w:rPr>
          <w:bCs/>
        </w:rPr>
        <w:t>as</w:t>
      </w:r>
      <w:r w:rsidR="004758A1">
        <w:rPr>
          <w:bCs/>
        </w:rPr>
        <w:t>:</w:t>
      </w:r>
      <w:r w:rsidR="00631E24">
        <w:rPr>
          <w:bCs/>
        </w:rPr>
        <w:t xml:space="preserve"> </w:t>
      </w:r>
    </w:p>
    <w:p w:rsidR="00481038" w:rsidRDefault="00481038" w:rsidP="00641078">
      <w:pPr>
        <w:spacing w:after="0" w:line="240" w:lineRule="auto"/>
      </w:pPr>
    </w:p>
    <w:p w:rsidR="008A02D7" w:rsidRDefault="0014365A" w:rsidP="008A02D7">
      <w:pPr>
        <w:pStyle w:val="ListParagraph"/>
        <w:numPr>
          <w:ilvl w:val="0"/>
          <w:numId w:val="15"/>
        </w:numPr>
        <w:spacing w:after="0" w:line="240" w:lineRule="auto"/>
      </w:pPr>
      <w:r w:rsidRPr="008A02D7">
        <w:rPr>
          <w:b/>
        </w:rPr>
        <w:t>IT</w:t>
      </w:r>
      <w:r w:rsidR="00481038" w:rsidRPr="008A02D7">
        <w:rPr>
          <w:b/>
        </w:rPr>
        <w:t>.</w:t>
      </w:r>
    </w:p>
    <w:p w:rsidR="00481038" w:rsidRDefault="00695CE4" w:rsidP="008A02D7">
      <w:pPr>
        <w:pStyle w:val="ListParagraph"/>
        <w:spacing w:after="0" w:line="240" w:lineRule="auto"/>
        <w:ind w:left="1425"/>
      </w:pPr>
      <w:proofErr w:type="gramStart"/>
      <w:r>
        <w:t xml:space="preserve">Currently </w:t>
      </w:r>
      <w:r w:rsidR="00481038">
        <w:t>o</w:t>
      </w:r>
      <w:r>
        <w:t>n</w:t>
      </w:r>
      <w:r w:rsidR="00481038">
        <w:t xml:space="preserve"> schedule.</w:t>
      </w:r>
      <w:proofErr w:type="gramEnd"/>
      <w:r w:rsidR="00481038">
        <w:t xml:space="preserve"> </w:t>
      </w:r>
      <w:proofErr w:type="gramStart"/>
      <w:r w:rsidR="00A516EE" w:rsidRPr="008A02D7">
        <w:rPr>
          <w:b/>
        </w:rPr>
        <w:t>Contingency</w:t>
      </w:r>
      <w:r w:rsidR="00481038" w:rsidRPr="008A02D7">
        <w:rPr>
          <w:b/>
        </w:rPr>
        <w:t>.</w:t>
      </w:r>
      <w:proofErr w:type="gramEnd"/>
      <w:r w:rsidR="00481038">
        <w:t xml:space="preserve"> </w:t>
      </w:r>
      <w:proofErr w:type="gramStart"/>
      <w:r w:rsidR="00481038">
        <w:t>Li</w:t>
      </w:r>
      <w:r w:rsidR="004758A1">
        <w:t xml:space="preserve">mited </w:t>
      </w:r>
      <w:r w:rsidR="00481038">
        <w:t>scope</w:t>
      </w:r>
      <w:r w:rsidR="004758A1">
        <w:t>.</w:t>
      </w:r>
      <w:proofErr w:type="gramEnd"/>
      <w:r w:rsidR="004758A1">
        <w:t xml:space="preserve"> Essentially </w:t>
      </w:r>
      <w:r w:rsidR="00481038">
        <w:t xml:space="preserve">request an extension </w:t>
      </w:r>
      <w:r w:rsidR="00A516EE" w:rsidRPr="00A516EE">
        <w:t xml:space="preserve">to existing Central Services IS provision for any areas </w:t>
      </w:r>
      <w:r w:rsidR="00481038">
        <w:t xml:space="preserve">not </w:t>
      </w:r>
      <w:r w:rsidR="00A516EE" w:rsidRPr="00A516EE">
        <w:t>complete</w:t>
      </w:r>
      <w:r w:rsidR="00481038">
        <w:t>d</w:t>
      </w:r>
      <w:r w:rsidR="00A516EE" w:rsidRPr="00A516EE">
        <w:t xml:space="preserve"> in time</w:t>
      </w:r>
      <w:r w:rsidR="009357D0">
        <w:t xml:space="preserve">; progress </w:t>
      </w:r>
      <w:r w:rsidR="00F44538">
        <w:t>s</w:t>
      </w:r>
      <w:r w:rsidR="00481038">
        <w:t>ubject to continuous</w:t>
      </w:r>
      <w:r w:rsidR="00AB6802">
        <w:t xml:space="preserve"> monitoring</w:t>
      </w:r>
      <w:r w:rsidR="00481038">
        <w:t>.</w:t>
      </w:r>
    </w:p>
    <w:p w:rsidR="00481038" w:rsidRDefault="00481038" w:rsidP="00A516EE">
      <w:pPr>
        <w:spacing w:after="0" w:line="240" w:lineRule="auto"/>
      </w:pPr>
    </w:p>
    <w:p w:rsidR="00A516EE" w:rsidRDefault="00A5298A" w:rsidP="00A5298A">
      <w:pPr>
        <w:spacing w:after="0" w:line="240" w:lineRule="auto"/>
        <w:ind w:left="720"/>
      </w:pPr>
      <w:proofErr w:type="gramStart"/>
      <w:r>
        <w:t>b</w:t>
      </w:r>
      <w:proofErr w:type="gramEnd"/>
      <w:r w:rsidR="00481038">
        <w:t>.</w:t>
      </w:r>
      <w:r w:rsidR="00481038">
        <w:tab/>
      </w:r>
      <w:r w:rsidR="0014365A" w:rsidRPr="00717B6C">
        <w:rPr>
          <w:b/>
        </w:rPr>
        <w:t>HR</w:t>
      </w:r>
      <w:r w:rsidR="00481038" w:rsidRPr="00717B6C">
        <w:rPr>
          <w:b/>
        </w:rPr>
        <w:t>.</w:t>
      </w:r>
      <w:r w:rsidR="00481038">
        <w:t xml:space="preserve"> </w:t>
      </w:r>
    </w:p>
    <w:p w:rsidR="00481038" w:rsidRDefault="00481038" w:rsidP="00A516EE">
      <w:pPr>
        <w:spacing w:after="0" w:line="240" w:lineRule="auto"/>
      </w:pPr>
    </w:p>
    <w:p w:rsidR="00A516EE" w:rsidRPr="00481038" w:rsidRDefault="00A5298A" w:rsidP="008A02D7">
      <w:pPr>
        <w:spacing w:after="0" w:line="240" w:lineRule="auto"/>
        <w:ind w:left="2127" w:hanging="687"/>
        <w:rPr>
          <w:b/>
          <w:bCs/>
        </w:rPr>
      </w:pPr>
      <w:r>
        <w:t>(1)</w:t>
      </w:r>
      <w:r w:rsidR="00481038">
        <w:rPr>
          <w:b/>
        </w:rPr>
        <w:tab/>
      </w:r>
      <w:r w:rsidR="00A516EE" w:rsidRPr="00A516EE">
        <w:rPr>
          <w:b/>
          <w:bCs/>
        </w:rPr>
        <w:t>P</w:t>
      </w:r>
      <w:r w:rsidR="00717B6C">
        <w:rPr>
          <w:b/>
          <w:bCs/>
        </w:rPr>
        <w:t>ensions/p</w:t>
      </w:r>
      <w:r w:rsidR="00A516EE" w:rsidRPr="00A516EE">
        <w:rPr>
          <w:b/>
          <w:bCs/>
        </w:rPr>
        <w:t>ayroll</w:t>
      </w:r>
      <w:r w:rsidR="00481038">
        <w:rPr>
          <w:b/>
          <w:bCs/>
        </w:rPr>
        <w:t>.</w:t>
      </w:r>
      <w:r w:rsidR="00717B6C">
        <w:rPr>
          <w:b/>
          <w:bCs/>
        </w:rPr>
        <w:t xml:space="preserve"> </w:t>
      </w:r>
      <w:proofErr w:type="gramStart"/>
      <w:r w:rsidR="004758A1">
        <w:rPr>
          <w:bCs/>
        </w:rPr>
        <w:t>Both o</w:t>
      </w:r>
      <w:r w:rsidR="00717B6C">
        <w:rPr>
          <w:bCs/>
        </w:rPr>
        <w:t>n track.</w:t>
      </w:r>
      <w:proofErr w:type="gramEnd"/>
      <w:r w:rsidR="00717B6C">
        <w:rPr>
          <w:bCs/>
        </w:rPr>
        <w:t xml:space="preserve"> </w:t>
      </w:r>
      <w:r w:rsidR="00481038">
        <w:t>Intent to move to a</w:t>
      </w:r>
      <w:r w:rsidR="00A516EE" w:rsidRPr="00A516EE">
        <w:t xml:space="preserve"> fully managed </w:t>
      </w:r>
      <w:r w:rsidR="009357D0">
        <w:t xml:space="preserve">payroll </w:t>
      </w:r>
      <w:r w:rsidR="00A516EE" w:rsidRPr="00A516EE">
        <w:t>service with CGI</w:t>
      </w:r>
      <w:r w:rsidR="004758A1">
        <w:t xml:space="preserve"> (they </w:t>
      </w:r>
      <w:r w:rsidR="00A516EE" w:rsidRPr="00A516EE">
        <w:t>provide services to government bodies via G-Cloud</w:t>
      </w:r>
      <w:r w:rsidR="004758A1">
        <w:t>)</w:t>
      </w:r>
      <w:r w:rsidR="00A516EE" w:rsidRPr="00A516EE">
        <w:t>. </w:t>
      </w:r>
      <w:r w:rsidR="00481038">
        <w:t>A</w:t>
      </w:r>
      <w:r w:rsidR="00A516EE" w:rsidRPr="00A516EE">
        <w:t xml:space="preserve">nticipate payroll to </w:t>
      </w:r>
      <w:r w:rsidR="00B24097">
        <w:t>parallel run in July with a ‘go-live’ payroll date of August 2018</w:t>
      </w:r>
      <w:r w:rsidR="00A516EE" w:rsidRPr="00A516EE">
        <w:t>.</w:t>
      </w:r>
      <w:r w:rsidR="00B24097">
        <w:t xml:space="preserve"> Pensions administration will form part of the PB4 HR Systems &amp; Management</w:t>
      </w:r>
      <w:r w:rsidR="006C6404">
        <w:t xml:space="preserve"> Information role (currently out for external recruitment) as well as having plans to upskill </w:t>
      </w:r>
      <w:r w:rsidR="003162F7">
        <w:t>existing</w:t>
      </w:r>
      <w:r w:rsidR="006C6404">
        <w:t xml:space="preserve"> FR HR staff in terms of pension knowledge at PB4 level and above.</w:t>
      </w:r>
      <w:r w:rsidR="009D784C">
        <w:t xml:space="preserve"> </w:t>
      </w:r>
      <w:proofErr w:type="gramStart"/>
      <w:r w:rsidR="009D784C">
        <w:rPr>
          <w:b/>
        </w:rPr>
        <w:t>Risk</w:t>
      </w:r>
      <w:r w:rsidR="00AE09AF">
        <w:rPr>
          <w:b/>
        </w:rPr>
        <w:t>/c</w:t>
      </w:r>
      <w:r w:rsidR="00481038" w:rsidRPr="00481038">
        <w:rPr>
          <w:b/>
        </w:rPr>
        <w:t>ontingency.</w:t>
      </w:r>
      <w:proofErr w:type="gramEnd"/>
      <w:r w:rsidR="00481038">
        <w:t xml:space="preserve"> </w:t>
      </w:r>
      <w:r w:rsidR="00AE09AF">
        <w:t xml:space="preserve">Low </w:t>
      </w:r>
      <w:proofErr w:type="gramStart"/>
      <w:r w:rsidR="00AE09AF">
        <w:t xml:space="preserve">risk, </w:t>
      </w:r>
      <w:r w:rsidR="009357D0">
        <w:t>CGI hold</w:t>
      </w:r>
      <w:proofErr w:type="gramEnd"/>
      <w:r w:rsidR="009357D0">
        <w:t xml:space="preserve"> payroll data currently so th</w:t>
      </w:r>
      <w:r w:rsidR="00695CE4">
        <w:t xml:space="preserve">is </w:t>
      </w:r>
      <w:r w:rsidR="00166BE2">
        <w:t xml:space="preserve">is </w:t>
      </w:r>
      <w:r w:rsidR="004758A1">
        <w:t xml:space="preserve">more </w:t>
      </w:r>
      <w:r w:rsidR="00A516EE" w:rsidRPr="00A516EE">
        <w:t>a mapping and alignment exercise</w:t>
      </w:r>
      <w:r w:rsidR="00481038">
        <w:t>.</w:t>
      </w:r>
      <w:r w:rsidR="00AB6802">
        <w:t xml:space="preserve"> </w:t>
      </w:r>
      <w:proofErr w:type="spellStart"/>
      <w:proofErr w:type="gramStart"/>
      <w:r w:rsidR="00AB6802" w:rsidRPr="00AB6802">
        <w:rPr>
          <w:b/>
        </w:rPr>
        <w:lastRenderedPageBreak/>
        <w:t>Fallback</w:t>
      </w:r>
      <w:proofErr w:type="spellEnd"/>
      <w:r w:rsidR="00AB6802" w:rsidRPr="00AB6802">
        <w:rPr>
          <w:b/>
        </w:rPr>
        <w:t>.</w:t>
      </w:r>
      <w:proofErr w:type="gramEnd"/>
      <w:r w:rsidR="00AB6802">
        <w:t xml:space="preserve"> Retain current level of </w:t>
      </w:r>
      <w:r w:rsidR="00717B6C">
        <w:t xml:space="preserve">CGI </w:t>
      </w:r>
      <w:r w:rsidR="00AB6802">
        <w:t>service and grow</w:t>
      </w:r>
      <w:r w:rsidR="00F44538">
        <w:t xml:space="preserve"> in-house</w:t>
      </w:r>
      <w:r w:rsidR="00717B6C">
        <w:t xml:space="preserve"> capability</w:t>
      </w:r>
      <w:r w:rsidR="00F44538">
        <w:t xml:space="preserve"> to meet </w:t>
      </w:r>
      <w:r w:rsidR="003E127C">
        <w:t>an</w:t>
      </w:r>
      <w:r w:rsidR="00950E11">
        <w:t>y</w:t>
      </w:r>
      <w:r w:rsidR="003E127C">
        <w:t xml:space="preserve"> skill shortages</w:t>
      </w:r>
      <w:r w:rsidR="00A516EE" w:rsidRPr="00A516EE">
        <w:t>.</w:t>
      </w:r>
    </w:p>
    <w:p w:rsidR="00A516EE" w:rsidRDefault="00A516EE" w:rsidP="00A516EE">
      <w:pPr>
        <w:spacing w:after="0" w:line="240" w:lineRule="auto"/>
      </w:pPr>
    </w:p>
    <w:p w:rsidR="00A516EE" w:rsidRPr="00717B6C" w:rsidRDefault="00A5298A" w:rsidP="008A02D7">
      <w:pPr>
        <w:spacing w:after="0" w:line="240" w:lineRule="auto"/>
        <w:ind w:left="2127" w:hanging="687"/>
        <w:rPr>
          <w:b/>
        </w:rPr>
      </w:pPr>
      <w:r>
        <w:t>(2)</w:t>
      </w:r>
      <w:r w:rsidR="00717B6C">
        <w:tab/>
      </w:r>
      <w:r w:rsidR="00A516EE" w:rsidRPr="00A516EE">
        <w:rPr>
          <w:b/>
          <w:bCs/>
        </w:rPr>
        <w:t>Staffing</w:t>
      </w:r>
      <w:r w:rsidR="00717B6C">
        <w:rPr>
          <w:b/>
          <w:bCs/>
        </w:rPr>
        <w:t xml:space="preserve">. </w:t>
      </w:r>
      <w:proofErr w:type="gramStart"/>
      <w:r w:rsidR="00717B6C">
        <w:rPr>
          <w:bCs/>
        </w:rPr>
        <w:t>Recruiting on track.</w:t>
      </w:r>
      <w:proofErr w:type="gramEnd"/>
      <w:r w:rsidR="00717B6C">
        <w:rPr>
          <w:bCs/>
        </w:rPr>
        <w:t xml:space="preserve"> </w:t>
      </w:r>
      <w:proofErr w:type="gramStart"/>
      <w:r w:rsidR="00717B6C">
        <w:rPr>
          <w:b/>
          <w:bCs/>
        </w:rPr>
        <w:t>Risks.</w:t>
      </w:r>
      <w:proofErr w:type="gramEnd"/>
      <w:r w:rsidR="00717B6C">
        <w:rPr>
          <w:b/>
        </w:rPr>
        <w:t xml:space="preserve"> </w:t>
      </w:r>
      <w:r w:rsidR="00717B6C">
        <w:t xml:space="preserve">1. </w:t>
      </w:r>
      <w:r w:rsidR="009D784C">
        <w:t>U</w:t>
      </w:r>
      <w:r w:rsidR="00A516EE" w:rsidRPr="00A516EE">
        <w:t>nable to recruit</w:t>
      </w:r>
      <w:r w:rsidR="00717B6C">
        <w:t xml:space="preserve"> fully. 2. N</w:t>
      </w:r>
      <w:r w:rsidR="00A516EE" w:rsidRPr="00A516EE">
        <w:t xml:space="preserve">ewly recruited staff </w:t>
      </w:r>
      <w:proofErr w:type="gramStart"/>
      <w:r w:rsidR="00A516EE" w:rsidRPr="00A516EE">
        <w:t>decide</w:t>
      </w:r>
      <w:proofErr w:type="gramEnd"/>
      <w:r w:rsidR="00A516EE" w:rsidRPr="00A516EE">
        <w:t xml:space="preserve"> at the last minute not to join</w:t>
      </w:r>
      <w:r w:rsidR="00717B6C">
        <w:t>/l</w:t>
      </w:r>
      <w:r w:rsidR="00A516EE" w:rsidRPr="00A516EE">
        <w:t>eave</w:t>
      </w:r>
      <w:r w:rsidR="00717B6C">
        <w:t xml:space="preserve">. </w:t>
      </w:r>
      <w:proofErr w:type="gramStart"/>
      <w:r w:rsidR="00717B6C">
        <w:rPr>
          <w:b/>
        </w:rPr>
        <w:t>Contingency.</w:t>
      </w:r>
      <w:proofErr w:type="gramEnd"/>
      <w:r w:rsidR="00717B6C">
        <w:t xml:space="preserve"> </w:t>
      </w:r>
      <w:r w:rsidR="00F44538">
        <w:t xml:space="preserve">Go </w:t>
      </w:r>
      <w:r w:rsidR="00717B6C">
        <w:t>direct to external advertisements and use agency staff</w:t>
      </w:r>
      <w:r w:rsidR="00A516EE" w:rsidRPr="00A516EE">
        <w:t>.</w:t>
      </w:r>
    </w:p>
    <w:p w:rsidR="00A516EE" w:rsidRDefault="00A516EE" w:rsidP="00A516EE">
      <w:pPr>
        <w:spacing w:after="0" w:line="240" w:lineRule="auto"/>
      </w:pPr>
    </w:p>
    <w:p w:rsidR="008A02D7" w:rsidRDefault="00A5298A" w:rsidP="00A5298A">
      <w:pPr>
        <w:spacing w:after="0" w:line="240" w:lineRule="auto"/>
        <w:ind w:left="720"/>
        <w:rPr>
          <w:b/>
        </w:rPr>
      </w:pPr>
      <w:r>
        <w:t>c.</w:t>
      </w:r>
      <w:r w:rsidR="00717B6C">
        <w:tab/>
      </w:r>
      <w:r w:rsidR="00717B6C">
        <w:rPr>
          <w:b/>
        </w:rPr>
        <w:t>Corporate Apps – Enterp</w:t>
      </w:r>
      <w:r w:rsidR="00F44538">
        <w:rPr>
          <w:b/>
        </w:rPr>
        <w:t>r</w:t>
      </w:r>
      <w:r w:rsidR="00717B6C">
        <w:rPr>
          <w:b/>
        </w:rPr>
        <w:t>ise Resource Planning (ERP).</w:t>
      </w:r>
    </w:p>
    <w:p w:rsidR="009D784C" w:rsidRPr="00A516EE" w:rsidRDefault="00AE09AF" w:rsidP="008A02D7">
      <w:pPr>
        <w:spacing w:after="0" w:line="240" w:lineRule="auto"/>
        <w:ind w:left="1418"/>
        <w:rPr>
          <w:i/>
          <w:iCs/>
        </w:rPr>
      </w:pPr>
      <w:r>
        <w:t>C</w:t>
      </w:r>
      <w:r w:rsidR="00F44538">
        <w:t>ontract sign</w:t>
      </w:r>
      <w:r>
        <w:t xml:space="preserve">ed </w:t>
      </w:r>
      <w:r w:rsidR="00F44538">
        <w:t xml:space="preserve">31 May. </w:t>
      </w:r>
      <w:r w:rsidR="00631E24">
        <w:t>Using indicative planning guide t</w:t>
      </w:r>
      <w:r w:rsidR="00F44538">
        <w:t xml:space="preserve">his allows enough time to implement and </w:t>
      </w:r>
      <w:r w:rsidR="00631E24">
        <w:t xml:space="preserve">go-live </w:t>
      </w:r>
      <w:r w:rsidR="004758A1">
        <w:t xml:space="preserve">to </w:t>
      </w:r>
      <w:r w:rsidR="00631E24">
        <w:t>meet Apr 19 deadline</w:t>
      </w:r>
      <w:r w:rsidR="00166BE2">
        <w:t>, but there is essentially no room for slippage</w:t>
      </w:r>
      <w:r w:rsidR="00F44538">
        <w:t xml:space="preserve">. </w:t>
      </w:r>
      <w:proofErr w:type="gramStart"/>
      <w:r w:rsidR="00F44538">
        <w:rPr>
          <w:b/>
        </w:rPr>
        <w:t>Risk.</w:t>
      </w:r>
      <w:proofErr w:type="gramEnd"/>
      <w:r w:rsidR="00F44538">
        <w:t xml:space="preserve"> </w:t>
      </w:r>
      <w:proofErr w:type="gramStart"/>
      <w:r w:rsidR="00F44538">
        <w:t>Insufficient internal resource to implement</w:t>
      </w:r>
      <w:r w:rsidR="00950E11">
        <w:t xml:space="preserve"> and train on the new </w:t>
      </w:r>
      <w:r w:rsidR="004758A1">
        <w:t>system</w:t>
      </w:r>
      <w:r w:rsidR="00F44538">
        <w:t>.</w:t>
      </w:r>
      <w:proofErr w:type="gramEnd"/>
      <w:r w:rsidR="00F44538">
        <w:t xml:space="preserve"> </w:t>
      </w:r>
      <w:proofErr w:type="gramStart"/>
      <w:r w:rsidR="00F44538">
        <w:rPr>
          <w:b/>
        </w:rPr>
        <w:t>Contingencies.</w:t>
      </w:r>
      <w:proofErr w:type="gramEnd"/>
      <w:r w:rsidR="00F44538">
        <w:rPr>
          <w:b/>
        </w:rPr>
        <w:t xml:space="preserve"> </w:t>
      </w:r>
      <w:r w:rsidR="00F44538">
        <w:t>1. Senior management aware and will encourage (and if necessary</w:t>
      </w:r>
      <w:r w:rsidR="004758A1">
        <w:t xml:space="preserve"> direct) levels of commitment </w:t>
      </w:r>
      <w:r w:rsidR="00631E24">
        <w:t xml:space="preserve">and accept </w:t>
      </w:r>
      <w:r w:rsidR="00F44538">
        <w:t xml:space="preserve">BAU </w:t>
      </w:r>
      <w:r w:rsidR="00631E24">
        <w:t xml:space="preserve">will be </w:t>
      </w:r>
      <w:r w:rsidR="00F44538">
        <w:t>affected.</w:t>
      </w:r>
      <w:r w:rsidR="00FF7751">
        <w:t xml:space="preserve"> 2. Discussions for more project resource active at FR Fin Director </w:t>
      </w:r>
      <w:proofErr w:type="gramStart"/>
      <w:r w:rsidR="00FF7751">
        <w:t>level</w:t>
      </w:r>
      <w:proofErr w:type="gramEnd"/>
      <w:r w:rsidR="00FF7751">
        <w:t>. 3</w:t>
      </w:r>
      <w:r w:rsidR="00F44538">
        <w:t xml:space="preserve">. A more comprehensive training package from </w:t>
      </w:r>
      <w:r w:rsidR="009D784C">
        <w:t xml:space="preserve">ERP provider </w:t>
      </w:r>
      <w:r w:rsidR="00F44538">
        <w:t xml:space="preserve">has been </w:t>
      </w:r>
      <w:r w:rsidR="00F44538" w:rsidRPr="009D784C">
        <w:t xml:space="preserve">sourced. </w:t>
      </w:r>
    </w:p>
    <w:p w:rsidR="00717B6C" w:rsidRDefault="00717B6C" w:rsidP="00A516EE">
      <w:pPr>
        <w:spacing w:after="0" w:line="240" w:lineRule="auto"/>
      </w:pPr>
    </w:p>
    <w:p w:rsidR="008A02D7" w:rsidRDefault="00A5298A" w:rsidP="00A5298A">
      <w:pPr>
        <w:spacing w:after="0" w:line="240" w:lineRule="auto"/>
        <w:ind w:left="720"/>
        <w:rPr>
          <w:b/>
        </w:rPr>
      </w:pPr>
      <w:r>
        <w:t>d</w:t>
      </w:r>
      <w:r w:rsidR="0012094E">
        <w:t>.</w:t>
      </w:r>
      <w:r w:rsidR="0012094E" w:rsidRPr="009D784C">
        <w:tab/>
      </w:r>
      <w:r w:rsidR="0014365A" w:rsidRPr="009D784C">
        <w:rPr>
          <w:b/>
        </w:rPr>
        <w:t>Fin</w:t>
      </w:r>
      <w:r w:rsidR="0012094E" w:rsidRPr="009D784C">
        <w:rPr>
          <w:b/>
        </w:rPr>
        <w:t>ance.</w:t>
      </w:r>
    </w:p>
    <w:p w:rsidR="009D784C" w:rsidRPr="009D784C" w:rsidRDefault="0012094E" w:rsidP="008A02D7">
      <w:pPr>
        <w:spacing w:after="0" w:line="240" w:lineRule="auto"/>
        <w:ind w:left="1418"/>
        <w:rPr>
          <w:iCs/>
        </w:rPr>
      </w:pPr>
      <w:r w:rsidRPr="009D784C">
        <w:t xml:space="preserve"> </w:t>
      </w:r>
      <w:proofErr w:type="gramStart"/>
      <w:r w:rsidR="00D245FA">
        <w:t>On track.</w:t>
      </w:r>
      <w:proofErr w:type="gramEnd"/>
      <w:r w:rsidR="00D245FA">
        <w:t xml:space="preserve"> </w:t>
      </w:r>
      <w:r w:rsidR="00A516EE" w:rsidRPr="009D784C">
        <w:rPr>
          <w:iCs/>
        </w:rPr>
        <w:t>Team cap</w:t>
      </w:r>
      <w:r w:rsidR="009D784C" w:rsidRPr="009D784C">
        <w:rPr>
          <w:iCs/>
        </w:rPr>
        <w:t>acity and capability developing</w:t>
      </w:r>
      <w:r w:rsidR="00695CE4">
        <w:rPr>
          <w:iCs/>
        </w:rPr>
        <w:t xml:space="preserve"> is the current focus</w:t>
      </w:r>
      <w:r w:rsidR="009D784C" w:rsidRPr="009D784C">
        <w:rPr>
          <w:iCs/>
        </w:rPr>
        <w:t>. G</w:t>
      </w:r>
      <w:r w:rsidR="00A516EE" w:rsidRPr="009D784C">
        <w:rPr>
          <w:iCs/>
        </w:rPr>
        <w:t xml:space="preserve">ood communication with Shared Services continues with BAU delivery </w:t>
      </w:r>
      <w:r w:rsidR="009D784C" w:rsidRPr="009D784C">
        <w:rPr>
          <w:iCs/>
        </w:rPr>
        <w:t xml:space="preserve">principles agreed to Apr 19 </w:t>
      </w:r>
      <w:r w:rsidR="00A516EE" w:rsidRPr="009D784C">
        <w:rPr>
          <w:iCs/>
        </w:rPr>
        <w:t>with early adoption of certain tasks in advance of 31 Mar</w:t>
      </w:r>
      <w:r w:rsidR="00695CE4">
        <w:rPr>
          <w:iCs/>
        </w:rPr>
        <w:t>. S</w:t>
      </w:r>
      <w:r w:rsidR="00A516EE" w:rsidRPr="009D784C">
        <w:rPr>
          <w:iCs/>
        </w:rPr>
        <w:t xml:space="preserve">ome tasks retained by FAS to 30 Apr to ensure legacy financial system/data for FR 2018-19 annual accounts </w:t>
      </w:r>
      <w:proofErr w:type="gramStart"/>
      <w:r w:rsidR="00A516EE" w:rsidRPr="009D784C">
        <w:rPr>
          <w:iCs/>
        </w:rPr>
        <w:t>is</w:t>
      </w:r>
      <w:proofErr w:type="gramEnd"/>
      <w:r w:rsidR="00A516EE" w:rsidRPr="009D784C">
        <w:rPr>
          <w:iCs/>
        </w:rPr>
        <w:t xml:space="preserve"> supported.</w:t>
      </w:r>
      <w:r w:rsidR="004620D4">
        <w:rPr>
          <w:iCs/>
        </w:rPr>
        <w:t xml:space="preserve"> </w:t>
      </w:r>
      <w:proofErr w:type="gramStart"/>
      <w:r w:rsidR="009D784C" w:rsidRPr="009D784C">
        <w:rPr>
          <w:b/>
          <w:iCs/>
        </w:rPr>
        <w:t>Contingencies.</w:t>
      </w:r>
      <w:proofErr w:type="gramEnd"/>
      <w:r w:rsidR="009D784C">
        <w:rPr>
          <w:iCs/>
        </w:rPr>
        <w:t xml:space="preserve"> S</w:t>
      </w:r>
      <w:r w:rsidR="009D784C" w:rsidRPr="009D784C">
        <w:rPr>
          <w:iCs/>
        </w:rPr>
        <w:t>taff</w:t>
      </w:r>
      <w:r w:rsidR="00D245FA">
        <w:rPr>
          <w:iCs/>
        </w:rPr>
        <w:t>ing</w:t>
      </w:r>
      <w:r w:rsidR="009D784C">
        <w:rPr>
          <w:iCs/>
        </w:rPr>
        <w:t xml:space="preserve"> a</w:t>
      </w:r>
      <w:r w:rsidR="009D784C" w:rsidRPr="009D784C">
        <w:rPr>
          <w:iCs/>
        </w:rPr>
        <w:t>s per HR</w:t>
      </w:r>
      <w:r w:rsidR="009D784C">
        <w:rPr>
          <w:iCs/>
        </w:rPr>
        <w:t xml:space="preserve">, </w:t>
      </w:r>
      <w:r w:rsidR="009D784C" w:rsidRPr="009D784C">
        <w:rPr>
          <w:iCs/>
        </w:rPr>
        <w:t>also see ERP.</w:t>
      </w:r>
      <w:r w:rsidR="00A516EE" w:rsidRPr="009D784C">
        <w:rPr>
          <w:iCs/>
        </w:rPr>
        <w:t xml:space="preserve"> </w:t>
      </w:r>
    </w:p>
    <w:p w:rsidR="00A516EE" w:rsidRPr="009D784C" w:rsidRDefault="00A516EE" w:rsidP="00A516EE">
      <w:pPr>
        <w:spacing w:after="0" w:line="240" w:lineRule="auto"/>
      </w:pPr>
    </w:p>
    <w:p w:rsidR="009D784C" w:rsidRDefault="00975528" w:rsidP="00A516EE">
      <w:pPr>
        <w:spacing w:after="0" w:line="240" w:lineRule="auto"/>
        <w:rPr>
          <w:iCs/>
        </w:rPr>
      </w:pPr>
      <w:r>
        <w:rPr>
          <w:iCs/>
        </w:rPr>
        <w:t>7</w:t>
      </w:r>
      <w:r w:rsidR="009D784C" w:rsidRPr="009D784C">
        <w:rPr>
          <w:iCs/>
        </w:rPr>
        <w:t>.</w:t>
      </w:r>
      <w:r w:rsidR="009D784C" w:rsidRPr="009D784C">
        <w:rPr>
          <w:iCs/>
        </w:rPr>
        <w:tab/>
      </w:r>
      <w:r w:rsidR="009D784C" w:rsidRPr="009D784C">
        <w:rPr>
          <w:b/>
          <w:iCs/>
        </w:rPr>
        <w:t xml:space="preserve">Contract collaboration. </w:t>
      </w:r>
      <w:r w:rsidR="009D784C" w:rsidRPr="009D784C">
        <w:rPr>
          <w:iCs/>
        </w:rPr>
        <w:t>Co</w:t>
      </w:r>
      <w:r w:rsidR="00A516EE" w:rsidRPr="009D784C">
        <w:rPr>
          <w:iCs/>
        </w:rPr>
        <w:t>llaborative approach to pro</w:t>
      </w:r>
      <w:r w:rsidR="00A5298A">
        <w:rPr>
          <w:iCs/>
        </w:rPr>
        <w:t xml:space="preserve">curement/contracts post Apr </w:t>
      </w:r>
      <w:r w:rsidR="00A516EE" w:rsidRPr="009D784C">
        <w:rPr>
          <w:iCs/>
        </w:rPr>
        <w:t>19:</w:t>
      </w:r>
    </w:p>
    <w:p w:rsidR="00A5298A" w:rsidRDefault="00A5298A" w:rsidP="00A516EE">
      <w:pPr>
        <w:spacing w:after="0" w:line="240" w:lineRule="auto"/>
        <w:rPr>
          <w:iCs/>
        </w:rPr>
      </w:pPr>
    </w:p>
    <w:p w:rsidR="009D784C" w:rsidRDefault="00A516EE" w:rsidP="00A516EE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A5298A">
        <w:rPr>
          <w:b/>
          <w:iCs/>
        </w:rPr>
        <w:t>England</w:t>
      </w:r>
      <w:r w:rsidR="009D784C" w:rsidRPr="00A5298A">
        <w:rPr>
          <w:b/>
          <w:iCs/>
        </w:rPr>
        <w:t>.</w:t>
      </w:r>
      <w:r w:rsidR="009D784C">
        <w:rPr>
          <w:iCs/>
        </w:rPr>
        <w:t xml:space="preserve"> W</w:t>
      </w:r>
      <w:r w:rsidRPr="009D784C">
        <w:rPr>
          <w:iCs/>
        </w:rPr>
        <w:t xml:space="preserve">ork is underway within FR to review existing contracts and will be finalised under the Future Forestry Commission project – within the separate </w:t>
      </w:r>
      <w:proofErr w:type="spellStart"/>
      <w:r w:rsidRPr="009D784C">
        <w:rPr>
          <w:iCs/>
        </w:rPr>
        <w:t>workstream</w:t>
      </w:r>
      <w:proofErr w:type="spellEnd"/>
      <w:r w:rsidRPr="009D784C">
        <w:rPr>
          <w:iCs/>
        </w:rPr>
        <w:t xml:space="preserve"> addressing the ‘working together protocol’ </w:t>
      </w:r>
    </w:p>
    <w:p w:rsidR="00A516EE" w:rsidRPr="009D784C" w:rsidRDefault="00A516EE" w:rsidP="00A516EE">
      <w:pPr>
        <w:pStyle w:val="ListParagraph"/>
        <w:numPr>
          <w:ilvl w:val="0"/>
          <w:numId w:val="5"/>
        </w:numPr>
        <w:spacing w:after="0" w:line="240" w:lineRule="auto"/>
        <w:rPr>
          <w:iCs/>
        </w:rPr>
      </w:pPr>
      <w:r w:rsidRPr="00A5298A">
        <w:rPr>
          <w:b/>
          <w:iCs/>
        </w:rPr>
        <w:t>Scotland</w:t>
      </w:r>
      <w:r w:rsidR="009D784C" w:rsidRPr="00A5298A">
        <w:rPr>
          <w:b/>
          <w:iCs/>
        </w:rPr>
        <w:t>.</w:t>
      </w:r>
      <w:r w:rsidR="009D784C">
        <w:rPr>
          <w:iCs/>
        </w:rPr>
        <w:t xml:space="preserve"> </w:t>
      </w:r>
      <w:r w:rsidRPr="009D784C">
        <w:rPr>
          <w:iCs/>
        </w:rPr>
        <w:t>An in</w:t>
      </w:r>
      <w:r w:rsidR="00A5298A">
        <w:rPr>
          <w:iCs/>
        </w:rPr>
        <w:t>-</w:t>
      </w:r>
      <w:r w:rsidRPr="009D784C">
        <w:rPr>
          <w:iCs/>
        </w:rPr>
        <w:t xml:space="preserve">principle agreement has been made with FE Scotland that FR can use contracts tendered by the existing Scotland procurement team for use post 1 Apr, although FR will need to identify which contracts </w:t>
      </w:r>
      <w:r w:rsidR="00695CE4">
        <w:rPr>
          <w:iCs/>
        </w:rPr>
        <w:t xml:space="preserve">they </w:t>
      </w:r>
      <w:r w:rsidRPr="009D784C">
        <w:rPr>
          <w:iCs/>
        </w:rPr>
        <w:t>wish to use and advise, in order for tenders to incorporate FR for use post Apr</w:t>
      </w:r>
      <w:r w:rsidR="00D245FA">
        <w:rPr>
          <w:iCs/>
        </w:rPr>
        <w:t xml:space="preserve"> </w:t>
      </w:r>
      <w:r w:rsidR="00695CE4">
        <w:rPr>
          <w:iCs/>
        </w:rPr>
        <w:t>19</w:t>
      </w:r>
    </w:p>
    <w:p w:rsidR="00A516EE" w:rsidRDefault="00A516EE" w:rsidP="00641078">
      <w:pPr>
        <w:spacing w:after="0" w:line="240" w:lineRule="auto"/>
      </w:pPr>
    </w:p>
    <w:p w:rsidR="001303FA" w:rsidRPr="001303FA" w:rsidRDefault="00975528" w:rsidP="008A02D7">
      <w:pPr>
        <w:spacing w:after="0" w:line="240" w:lineRule="auto"/>
        <w:ind w:left="709" w:hanging="709"/>
      </w:pPr>
      <w:r>
        <w:t>8</w:t>
      </w:r>
      <w:r w:rsidR="001303FA">
        <w:t>.</w:t>
      </w:r>
      <w:r w:rsidR="001303FA">
        <w:tab/>
      </w:r>
      <w:r w:rsidR="001303FA">
        <w:rPr>
          <w:b/>
        </w:rPr>
        <w:t xml:space="preserve">Tracking dependency on shared service support. </w:t>
      </w:r>
      <w:r w:rsidR="001303FA">
        <w:t>The programme’s functional dependency to Central Services provided support is actively tracked through the CS Service and System Termination Dates spreadsheet (authored by Edward Shephard – Business Change Manager, FC Central Services).</w:t>
      </w:r>
    </w:p>
    <w:p w:rsidR="001303FA" w:rsidRDefault="001303FA" w:rsidP="008A02D7">
      <w:pPr>
        <w:spacing w:after="0" w:line="240" w:lineRule="auto"/>
        <w:ind w:left="709" w:hanging="709"/>
      </w:pPr>
    </w:p>
    <w:p w:rsidR="00166BE2" w:rsidRDefault="001303FA" w:rsidP="008A02D7">
      <w:pPr>
        <w:spacing w:after="0" w:line="240" w:lineRule="auto"/>
        <w:ind w:left="709" w:hanging="709"/>
      </w:pPr>
      <w:r>
        <w:t>9</w:t>
      </w:r>
      <w:r w:rsidR="00A5298A">
        <w:t>.</w:t>
      </w:r>
      <w:r w:rsidR="00A5298A">
        <w:tab/>
      </w:r>
      <w:r w:rsidR="00A5298A">
        <w:rPr>
          <w:b/>
        </w:rPr>
        <w:t>Risks.</w:t>
      </w:r>
      <w:r w:rsidR="00A5298A">
        <w:t xml:space="preserve"> The current iteration of the risk register is enclosed. Significant work was done to clarify proba</w:t>
      </w:r>
      <w:r w:rsidR="00166BE2">
        <w:t xml:space="preserve">bility and impact definitions. </w:t>
      </w:r>
      <w:proofErr w:type="gramStart"/>
      <w:r w:rsidR="00166BE2">
        <w:t xml:space="preserve">Whilst </w:t>
      </w:r>
      <w:r w:rsidR="00A5298A">
        <w:t xml:space="preserve">risks are </w:t>
      </w:r>
      <w:r w:rsidR="00166BE2">
        <w:t xml:space="preserve">currently </w:t>
      </w:r>
      <w:r w:rsidR="00A5298A">
        <w:t>deemed acceptable</w:t>
      </w:r>
      <w:r w:rsidR="00166BE2">
        <w:t xml:space="preserve"> two are worthy of mention</w:t>
      </w:r>
      <w:r w:rsidR="00A5298A">
        <w:t>.</w:t>
      </w:r>
      <w:proofErr w:type="gramEnd"/>
      <w:r w:rsidR="00A5298A">
        <w:t xml:space="preserve"> </w:t>
      </w:r>
    </w:p>
    <w:p w:rsidR="00166BE2" w:rsidRDefault="00166BE2" w:rsidP="00175E9A">
      <w:pPr>
        <w:spacing w:after="0" w:line="240" w:lineRule="auto"/>
      </w:pPr>
    </w:p>
    <w:p w:rsidR="009F5B2E" w:rsidRDefault="00166BE2" w:rsidP="009F5B2E">
      <w:pPr>
        <w:pStyle w:val="ListParagraph"/>
        <w:spacing w:after="0" w:line="240" w:lineRule="auto"/>
        <w:ind w:left="709"/>
      </w:pPr>
      <w:proofErr w:type="gramStart"/>
      <w:r w:rsidRPr="009F5B2E">
        <w:rPr>
          <w:b/>
        </w:rPr>
        <w:t>Financial.</w:t>
      </w:r>
      <w:proofErr w:type="gramEnd"/>
    </w:p>
    <w:p w:rsidR="00166BE2" w:rsidRDefault="00695CE4" w:rsidP="009F5B2E">
      <w:pPr>
        <w:pStyle w:val="ListParagraph"/>
        <w:spacing w:after="0" w:line="240" w:lineRule="auto"/>
        <w:ind w:left="709"/>
        <w:rPr>
          <w:iCs/>
        </w:rPr>
      </w:pPr>
      <w:r>
        <w:t>R</w:t>
      </w:r>
      <w:r w:rsidR="00A5298A">
        <w:t>isks R-P</w:t>
      </w:r>
      <w:r w:rsidR="00312647">
        <w:t>-</w:t>
      </w:r>
      <w:r w:rsidR="00A5298A">
        <w:t>3 and R-P</w:t>
      </w:r>
      <w:r w:rsidR="00312647">
        <w:t>-</w:t>
      </w:r>
      <w:r w:rsidR="00A5298A">
        <w:t>4 relate to the baseline running costs</w:t>
      </w:r>
      <w:r w:rsidR="00175E9A">
        <w:t xml:space="preserve"> of the future </w:t>
      </w:r>
      <w:proofErr w:type="spellStart"/>
      <w:r w:rsidR="00175E9A">
        <w:t>ToM</w:t>
      </w:r>
      <w:proofErr w:type="spellEnd"/>
      <w:r w:rsidR="00175E9A">
        <w:t xml:space="preserve"> and the </w:t>
      </w:r>
      <w:r w:rsidR="00A5298A">
        <w:t>cost of</w:t>
      </w:r>
      <w:r w:rsidR="00175E9A">
        <w:t xml:space="preserve"> transition</w:t>
      </w:r>
      <w:r>
        <w:t xml:space="preserve">. </w:t>
      </w:r>
      <w:r w:rsidR="00175E9A">
        <w:t>Notwithstanding mitigations, these costs are essentially non-discretionary and outwith the control of FR; the f</w:t>
      </w:r>
      <w:r w:rsidR="00A5298A" w:rsidRPr="009F5B2E">
        <w:rPr>
          <w:iCs/>
        </w:rPr>
        <w:t>inancial risk associated with exceeding the initial allocation</w:t>
      </w:r>
      <w:r w:rsidR="00175E9A" w:rsidRPr="009F5B2E">
        <w:rPr>
          <w:iCs/>
        </w:rPr>
        <w:t>s</w:t>
      </w:r>
      <w:r w:rsidR="00A5298A" w:rsidRPr="009F5B2E">
        <w:rPr>
          <w:iCs/>
        </w:rPr>
        <w:t xml:space="preserve"> from FC England (and contributed to by FC Scotland) to the transition programme costs</w:t>
      </w:r>
      <w:r w:rsidR="00D245FA" w:rsidRPr="009F5B2E">
        <w:rPr>
          <w:iCs/>
        </w:rPr>
        <w:t xml:space="preserve"> are tangible.</w:t>
      </w:r>
      <w:r w:rsidRPr="009F5B2E">
        <w:rPr>
          <w:iCs/>
        </w:rPr>
        <w:t xml:space="preserve"> </w:t>
      </w:r>
    </w:p>
    <w:p w:rsidR="009F5B2E" w:rsidRPr="009F5B2E" w:rsidRDefault="009F5B2E" w:rsidP="009F5B2E">
      <w:pPr>
        <w:pStyle w:val="ListParagraph"/>
        <w:spacing w:after="0" w:line="240" w:lineRule="auto"/>
        <w:ind w:left="709"/>
        <w:rPr>
          <w:iCs/>
        </w:rPr>
      </w:pPr>
    </w:p>
    <w:p w:rsidR="009F5B2E" w:rsidRDefault="009F5B2E">
      <w:pPr>
        <w:rPr>
          <w:b/>
          <w:iCs/>
        </w:rPr>
      </w:pPr>
      <w:r>
        <w:rPr>
          <w:b/>
          <w:iCs/>
        </w:rPr>
        <w:br w:type="page"/>
      </w:r>
    </w:p>
    <w:p w:rsidR="009F5B2E" w:rsidRPr="009F5B2E" w:rsidRDefault="00166BE2" w:rsidP="009F5B2E">
      <w:pPr>
        <w:spacing w:after="0" w:line="240" w:lineRule="auto"/>
        <w:ind w:left="709"/>
        <w:rPr>
          <w:b/>
          <w:iCs/>
        </w:rPr>
      </w:pPr>
      <w:proofErr w:type="gramStart"/>
      <w:r w:rsidRPr="009F5B2E">
        <w:rPr>
          <w:b/>
          <w:iCs/>
        </w:rPr>
        <w:lastRenderedPageBreak/>
        <w:t>Capacity.</w:t>
      </w:r>
      <w:proofErr w:type="gramEnd"/>
    </w:p>
    <w:p w:rsidR="00A5298A" w:rsidRPr="009F5B2E" w:rsidRDefault="00695CE4" w:rsidP="009F5B2E">
      <w:pPr>
        <w:pStyle w:val="ListParagraph"/>
        <w:spacing w:after="0" w:line="240" w:lineRule="auto"/>
        <w:ind w:left="709"/>
        <w:rPr>
          <w:iCs/>
        </w:rPr>
      </w:pPr>
      <w:r w:rsidRPr="009F5B2E">
        <w:rPr>
          <w:iCs/>
        </w:rPr>
        <w:t xml:space="preserve">Risk R-P-7 refers to a </w:t>
      </w:r>
      <w:r w:rsidR="00E13258" w:rsidRPr="009F5B2E">
        <w:rPr>
          <w:iCs/>
        </w:rPr>
        <w:t xml:space="preserve">potential </w:t>
      </w:r>
      <w:r w:rsidRPr="009F5B2E">
        <w:rPr>
          <w:iCs/>
        </w:rPr>
        <w:t xml:space="preserve">lack of capacity </w:t>
      </w:r>
      <w:r w:rsidR="00E13258" w:rsidRPr="009F5B2E">
        <w:rPr>
          <w:iCs/>
        </w:rPr>
        <w:t xml:space="preserve">within FR </w:t>
      </w:r>
      <w:r w:rsidRPr="009F5B2E">
        <w:rPr>
          <w:iCs/>
        </w:rPr>
        <w:t>to maintain BAU and the transition programme</w:t>
      </w:r>
      <w:r w:rsidR="00166BE2" w:rsidRPr="009F5B2E">
        <w:rPr>
          <w:iCs/>
        </w:rPr>
        <w:t>;</w:t>
      </w:r>
      <w:r w:rsidR="00E13258" w:rsidRPr="009F5B2E">
        <w:rPr>
          <w:iCs/>
        </w:rPr>
        <w:t xml:space="preserve"> whilst mitigations have been applied the risk is still AMBER on the register</w:t>
      </w:r>
      <w:r w:rsidRPr="009F5B2E">
        <w:rPr>
          <w:iCs/>
        </w:rPr>
        <w:t>.</w:t>
      </w:r>
      <w:r w:rsidR="00166BE2" w:rsidRPr="009F5B2E">
        <w:rPr>
          <w:iCs/>
        </w:rPr>
        <w:t xml:space="preserve"> Extra funding may be required to apply further mitigation (use of short term contracts).</w:t>
      </w:r>
    </w:p>
    <w:p w:rsidR="0021707C" w:rsidRDefault="0021707C" w:rsidP="00641078">
      <w:pPr>
        <w:spacing w:after="0" w:line="240" w:lineRule="auto"/>
      </w:pPr>
    </w:p>
    <w:p w:rsidR="00641078" w:rsidRDefault="00560243" w:rsidP="00641078">
      <w:pPr>
        <w:spacing w:after="0" w:line="240" w:lineRule="auto"/>
      </w:pPr>
      <w:r>
        <w:t>PDF e</w:t>
      </w:r>
      <w:r w:rsidR="00D245FA">
        <w:t>nclosures</w:t>
      </w:r>
      <w:r w:rsidR="00641078">
        <w:t>:</w:t>
      </w:r>
    </w:p>
    <w:p w:rsidR="00641078" w:rsidRDefault="00D245FA" w:rsidP="00641078">
      <w:pPr>
        <w:spacing w:after="0" w:line="240" w:lineRule="auto"/>
      </w:pPr>
      <w:r>
        <w:t>1.</w:t>
      </w:r>
      <w:r>
        <w:tab/>
        <w:t xml:space="preserve">Programme </w:t>
      </w:r>
      <w:r w:rsidR="00641078">
        <w:t>Dashboard.</w:t>
      </w:r>
    </w:p>
    <w:p w:rsidR="00641078" w:rsidRDefault="00D245FA" w:rsidP="00641078">
      <w:pPr>
        <w:spacing w:after="0" w:line="240" w:lineRule="auto"/>
      </w:pPr>
      <w:r>
        <w:t>2</w:t>
      </w:r>
      <w:r w:rsidR="00641078">
        <w:t>.</w:t>
      </w:r>
      <w:r w:rsidR="00641078">
        <w:tab/>
      </w:r>
      <w:r>
        <w:t>Programme Risk R</w:t>
      </w:r>
      <w:r w:rsidR="00641078">
        <w:t>egister</w:t>
      </w:r>
      <w:r w:rsidR="00560243">
        <w:t xml:space="preserve"> (2 pages – risks and Probability/Impact definitions)</w:t>
      </w:r>
      <w:r w:rsidR="00641078">
        <w:t>.</w:t>
      </w:r>
    </w:p>
    <w:sectPr w:rsidR="0064107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15" w:rsidRDefault="00D37D15" w:rsidP="00641078">
      <w:pPr>
        <w:spacing w:after="0" w:line="240" w:lineRule="auto"/>
      </w:pPr>
      <w:r>
        <w:separator/>
      </w:r>
    </w:p>
  </w:endnote>
  <w:endnote w:type="continuationSeparator" w:id="0">
    <w:p w:rsidR="00D37D15" w:rsidRDefault="00D37D15" w:rsidP="00641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0595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035" w:rsidRDefault="003130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4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41078" w:rsidRDefault="00641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15" w:rsidRDefault="00D37D15" w:rsidP="00641078">
      <w:pPr>
        <w:spacing w:after="0" w:line="240" w:lineRule="auto"/>
      </w:pPr>
      <w:r>
        <w:separator/>
      </w:r>
    </w:p>
  </w:footnote>
  <w:footnote w:type="continuationSeparator" w:id="0">
    <w:p w:rsidR="00D37D15" w:rsidRDefault="00D37D15" w:rsidP="00641078">
      <w:pPr>
        <w:spacing w:after="0" w:line="240" w:lineRule="auto"/>
      </w:pPr>
      <w:r>
        <w:continuationSeparator/>
      </w:r>
    </w:p>
  </w:footnote>
  <w:footnote w:id="1">
    <w:p w:rsidR="0054163C" w:rsidRPr="00593C8E" w:rsidRDefault="0054163C" w:rsidP="0054163C">
      <w:pPr>
        <w:pStyle w:val="FootnoteText"/>
        <w:rPr>
          <w:rFonts w:asciiTheme="minorHAnsi" w:hAnsiTheme="minorHAnsi"/>
          <w:sz w:val="18"/>
          <w:szCs w:val="18"/>
        </w:rPr>
      </w:pPr>
      <w:r w:rsidRPr="00671105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671105">
        <w:rPr>
          <w:rFonts w:asciiTheme="minorHAnsi" w:hAnsiTheme="minorHAnsi"/>
          <w:sz w:val="18"/>
          <w:szCs w:val="18"/>
        </w:rPr>
        <w:t xml:space="preserve"> The reason </w:t>
      </w:r>
      <w:r>
        <w:rPr>
          <w:rFonts w:asciiTheme="minorHAnsi" w:hAnsiTheme="minorHAnsi"/>
          <w:sz w:val="18"/>
          <w:szCs w:val="18"/>
        </w:rPr>
        <w:t xml:space="preserve">for </w:t>
      </w:r>
      <w:r w:rsidRPr="00671105">
        <w:rPr>
          <w:rFonts w:asciiTheme="minorHAnsi" w:hAnsiTheme="minorHAnsi"/>
          <w:sz w:val="18"/>
          <w:szCs w:val="18"/>
        </w:rPr>
        <w:t>Mar</w:t>
      </w:r>
      <w:r>
        <w:rPr>
          <w:rFonts w:asciiTheme="minorHAnsi" w:hAnsiTheme="minorHAnsi"/>
          <w:sz w:val="18"/>
          <w:szCs w:val="18"/>
        </w:rPr>
        <w:t xml:space="preserve"> 19</w:t>
      </w:r>
      <w:r w:rsidRPr="00671105">
        <w:rPr>
          <w:rFonts w:asciiTheme="minorHAnsi" w:hAnsiTheme="minorHAnsi"/>
          <w:sz w:val="18"/>
          <w:szCs w:val="18"/>
        </w:rPr>
        <w:t xml:space="preserve"> is that FR will roll these services out with the desktop. Although the services will be operational, the users won’t have them until their desktop has been updated.</w:t>
      </w:r>
    </w:p>
  </w:footnote>
  <w:footnote w:id="2">
    <w:p w:rsidR="0054163C" w:rsidRDefault="0054163C" w:rsidP="0054163C">
      <w:pPr>
        <w:pStyle w:val="FootnoteText"/>
      </w:pPr>
      <w:r w:rsidRPr="00593C8E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593C8E">
        <w:rPr>
          <w:rFonts w:asciiTheme="minorHAnsi" w:hAnsiTheme="minorHAnsi"/>
          <w:sz w:val="18"/>
          <w:szCs w:val="18"/>
        </w:rPr>
        <w:t xml:space="preserve"> CGS MCOM: Government Communication Service Modern Communications Operating Model.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D25" w:rsidRDefault="00D27D25">
    <w:pPr>
      <w:pStyle w:val="Header"/>
    </w:pPr>
    <w:r>
      <w:t xml:space="preserve">Memo </w:t>
    </w:r>
    <w:r w:rsidR="0097245F">
      <w:t>09</w:t>
    </w:r>
    <w:r>
      <w:t>/18</w:t>
    </w:r>
    <w:r>
      <w:ptab w:relativeTo="margin" w:alignment="center" w:leader="none"/>
    </w:r>
    <w:r>
      <w:ptab w:relativeTo="margin" w:alignment="right" w:leader="none"/>
    </w:r>
    <w: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D3960"/>
    <w:multiLevelType w:val="hybridMultilevel"/>
    <w:tmpl w:val="8FE2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57DE1"/>
    <w:multiLevelType w:val="hybridMultilevel"/>
    <w:tmpl w:val="EE7456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117626"/>
    <w:multiLevelType w:val="hybridMultilevel"/>
    <w:tmpl w:val="7DEC23B8"/>
    <w:lvl w:ilvl="0" w:tplc="636CA28C">
      <w:start w:val="1"/>
      <w:numFmt w:val="lowerLetter"/>
      <w:lvlText w:val="%1."/>
      <w:lvlJc w:val="left"/>
      <w:pPr>
        <w:ind w:left="142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64D4F"/>
    <w:multiLevelType w:val="hybridMultilevel"/>
    <w:tmpl w:val="BD7264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B8511C"/>
    <w:multiLevelType w:val="hybridMultilevel"/>
    <w:tmpl w:val="DF601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3A322B"/>
    <w:multiLevelType w:val="hybridMultilevel"/>
    <w:tmpl w:val="EE8AA5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28F7307"/>
    <w:multiLevelType w:val="hybridMultilevel"/>
    <w:tmpl w:val="31A83F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2E515D"/>
    <w:multiLevelType w:val="hybridMultilevel"/>
    <w:tmpl w:val="213C7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A45801"/>
    <w:multiLevelType w:val="hybridMultilevel"/>
    <w:tmpl w:val="C20A77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291DC7"/>
    <w:multiLevelType w:val="hybridMultilevel"/>
    <w:tmpl w:val="474A457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5A23DC"/>
    <w:multiLevelType w:val="hybridMultilevel"/>
    <w:tmpl w:val="95181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DD1C5F"/>
    <w:multiLevelType w:val="hybridMultilevel"/>
    <w:tmpl w:val="4CF6C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845379C"/>
    <w:multiLevelType w:val="hybridMultilevel"/>
    <w:tmpl w:val="236E86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DF61375"/>
    <w:multiLevelType w:val="hybridMultilevel"/>
    <w:tmpl w:val="44A038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9FA0FE9"/>
    <w:multiLevelType w:val="hybridMultilevel"/>
    <w:tmpl w:val="02F017A6"/>
    <w:lvl w:ilvl="0" w:tplc="87D21544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39763C"/>
    <w:multiLevelType w:val="hybridMultilevel"/>
    <w:tmpl w:val="43B61E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15"/>
  </w:num>
  <w:num w:numId="5">
    <w:abstractNumId w:val="5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13"/>
  </w:num>
  <w:num w:numId="12">
    <w:abstractNumId w:val="0"/>
  </w:num>
  <w:num w:numId="13">
    <w:abstractNumId w:val="12"/>
  </w:num>
  <w:num w:numId="14">
    <w:abstractNumId w:val="9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78"/>
    <w:rsid w:val="00014F4C"/>
    <w:rsid w:val="00014F86"/>
    <w:rsid w:val="0012094E"/>
    <w:rsid w:val="001303FA"/>
    <w:rsid w:val="0014365A"/>
    <w:rsid w:val="00166BE2"/>
    <w:rsid w:val="00175E9A"/>
    <w:rsid w:val="001D1B39"/>
    <w:rsid w:val="001E281C"/>
    <w:rsid w:val="0021707C"/>
    <w:rsid w:val="002C32A5"/>
    <w:rsid w:val="00312647"/>
    <w:rsid w:val="00313035"/>
    <w:rsid w:val="003162F7"/>
    <w:rsid w:val="0032650A"/>
    <w:rsid w:val="003529A4"/>
    <w:rsid w:val="003E127C"/>
    <w:rsid w:val="00421BD2"/>
    <w:rsid w:val="004577F1"/>
    <w:rsid w:val="004620D4"/>
    <w:rsid w:val="004758A1"/>
    <w:rsid w:val="00481038"/>
    <w:rsid w:val="004B4915"/>
    <w:rsid w:val="00515CA6"/>
    <w:rsid w:val="0054163C"/>
    <w:rsid w:val="00560243"/>
    <w:rsid w:val="00563319"/>
    <w:rsid w:val="005B7E2E"/>
    <w:rsid w:val="00631E24"/>
    <w:rsid w:val="0063748C"/>
    <w:rsid w:val="00641078"/>
    <w:rsid w:val="00671105"/>
    <w:rsid w:val="00695CE4"/>
    <w:rsid w:val="006C6404"/>
    <w:rsid w:val="00717B6C"/>
    <w:rsid w:val="0076329D"/>
    <w:rsid w:val="007D3DB9"/>
    <w:rsid w:val="008A02D7"/>
    <w:rsid w:val="008E2934"/>
    <w:rsid w:val="009338F3"/>
    <w:rsid w:val="009357D0"/>
    <w:rsid w:val="00950E11"/>
    <w:rsid w:val="0097245F"/>
    <w:rsid w:val="00975528"/>
    <w:rsid w:val="00996725"/>
    <w:rsid w:val="009B35DB"/>
    <w:rsid w:val="009D784C"/>
    <w:rsid w:val="009F5AB6"/>
    <w:rsid w:val="009F5B2E"/>
    <w:rsid w:val="00A516EE"/>
    <w:rsid w:val="00A5298A"/>
    <w:rsid w:val="00AB1A08"/>
    <w:rsid w:val="00AB6802"/>
    <w:rsid w:val="00AE09AF"/>
    <w:rsid w:val="00B24097"/>
    <w:rsid w:val="00C1329E"/>
    <w:rsid w:val="00CA01C2"/>
    <w:rsid w:val="00D13215"/>
    <w:rsid w:val="00D245FA"/>
    <w:rsid w:val="00D27D25"/>
    <w:rsid w:val="00D37D15"/>
    <w:rsid w:val="00D67D44"/>
    <w:rsid w:val="00E13258"/>
    <w:rsid w:val="00E80AED"/>
    <w:rsid w:val="00F41DEB"/>
    <w:rsid w:val="00F44538"/>
    <w:rsid w:val="00F55F55"/>
    <w:rsid w:val="00FF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78"/>
  </w:style>
  <w:style w:type="paragraph" w:styleId="Footer">
    <w:name w:val="footer"/>
    <w:basedOn w:val="Normal"/>
    <w:link w:val="FooterChar"/>
    <w:uiPriority w:val="99"/>
    <w:unhideWhenUsed/>
    <w:rsid w:val="0064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78"/>
  </w:style>
  <w:style w:type="character" w:styleId="Hyperlink">
    <w:name w:val="Hyperlink"/>
    <w:basedOn w:val="DefaultParagraphFont"/>
    <w:uiPriority w:val="99"/>
    <w:unhideWhenUsed/>
    <w:rsid w:val="006410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078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078"/>
    <w:rPr>
      <w:rFonts w:ascii="Verdana" w:eastAsia="Calibri" w:hAnsi="Verdan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41078"/>
    <w:rPr>
      <w:vertAlign w:val="superscript"/>
    </w:rPr>
  </w:style>
  <w:style w:type="table" w:styleId="TableGrid">
    <w:name w:val="Table Grid"/>
    <w:basedOn w:val="TableNormal"/>
    <w:uiPriority w:val="59"/>
    <w:rsid w:val="001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F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1078"/>
  </w:style>
  <w:style w:type="paragraph" w:styleId="Footer">
    <w:name w:val="footer"/>
    <w:basedOn w:val="Normal"/>
    <w:link w:val="FooterChar"/>
    <w:uiPriority w:val="99"/>
    <w:unhideWhenUsed/>
    <w:rsid w:val="00641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1078"/>
  </w:style>
  <w:style w:type="character" w:styleId="Hyperlink">
    <w:name w:val="Hyperlink"/>
    <w:basedOn w:val="DefaultParagraphFont"/>
    <w:uiPriority w:val="99"/>
    <w:unhideWhenUsed/>
    <w:rsid w:val="0064107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1078"/>
    <w:pPr>
      <w:spacing w:after="0" w:line="240" w:lineRule="auto"/>
    </w:pPr>
    <w:rPr>
      <w:rFonts w:ascii="Verdana" w:eastAsia="Calibri" w:hAnsi="Verdan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078"/>
    <w:rPr>
      <w:rFonts w:ascii="Verdana" w:eastAsia="Calibri" w:hAnsi="Verdana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641078"/>
    <w:rPr>
      <w:vertAlign w:val="superscript"/>
    </w:rPr>
  </w:style>
  <w:style w:type="table" w:styleId="TableGrid">
    <w:name w:val="Table Grid"/>
    <w:basedOn w:val="TableNormal"/>
    <w:uiPriority w:val="59"/>
    <w:rsid w:val="0014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55F5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0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lxgroup.com/uk/individual/training/msp/defin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56C20-F234-4576-91BD-A27F47453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Forestry Commission</Company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Symon</dc:creator>
  <cp:lastModifiedBy>Debley, Kate</cp:lastModifiedBy>
  <cp:revision>3</cp:revision>
  <cp:lastPrinted>2018-06-06T15:34:00Z</cp:lastPrinted>
  <dcterms:created xsi:type="dcterms:W3CDTF">2018-06-11T09:39:00Z</dcterms:created>
  <dcterms:modified xsi:type="dcterms:W3CDTF">2018-06-11T09:40:00Z</dcterms:modified>
</cp:coreProperties>
</file>