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62" w:rsidRPr="001F3FE0" w:rsidRDefault="002A22ED" w:rsidP="002E6262">
      <w:pPr>
        <w:rPr>
          <w:rFonts w:ascii="Arial" w:hAnsi="Arial" w:cs="Arial"/>
        </w:rPr>
      </w:pPr>
      <w:r>
        <w:rPr>
          <w:rFonts w:ascii="Arial" w:hAnsi="Arial" w:cs="Arial"/>
          <w:b/>
          <w:noProof/>
        </w:rPr>
        <w:drawing>
          <wp:inline distT="0" distB="0" distL="0" distR="0">
            <wp:extent cx="1207770" cy="655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7770" cy="655320"/>
                    </a:xfrm>
                    <a:prstGeom prst="rect">
                      <a:avLst/>
                    </a:prstGeom>
                    <a:noFill/>
                    <a:ln w="9525">
                      <a:noFill/>
                      <a:miter lim="800000"/>
                      <a:headEnd/>
                      <a:tailEnd/>
                    </a:ln>
                  </pic:spPr>
                </pic:pic>
              </a:graphicData>
            </a:graphic>
          </wp:inline>
        </w:drawing>
      </w:r>
    </w:p>
    <w:p w:rsidR="002E6262" w:rsidRDefault="002E6262" w:rsidP="002E6262">
      <w:pPr>
        <w:jc w:val="both"/>
        <w:rPr>
          <w:rFonts w:ascii="Arial" w:hAnsi="Arial" w:cs="Arial"/>
          <w:b/>
        </w:rPr>
      </w:pPr>
    </w:p>
    <w:p w:rsidR="002E6262" w:rsidRPr="00F2507C" w:rsidRDefault="00EC6E0F" w:rsidP="002E6262">
      <w:pPr>
        <w:rPr>
          <w:rFonts w:ascii="Arial" w:hAnsi="Arial" w:cs="Arial"/>
          <w:b/>
        </w:rPr>
      </w:pPr>
      <w:r>
        <w:rPr>
          <w:rFonts w:ascii="Arial" w:hAnsi="Arial" w:cs="Arial"/>
          <w:b/>
        </w:rPr>
        <w:t>Disclosure &amp; Barring Se</w:t>
      </w:r>
      <w:r w:rsidR="002A6D37">
        <w:rPr>
          <w:rFonts w:ascii="Arial" w:hAnsi="Arial" w:cs="Arial"/>
          <w:b/>
        </w:rPr>
        <w:t>rvice Gender Pay Gap Report 2018</w:t>
      </w:r>
    </w:p>
    <w:p w:rsidR="00EC6E0F" w:rsidRDefault="00EC6E0F" w:rsidP="002E6262">
      <w:pPr>
        <w:rPr>
          <w:rFonts w:ascii="Arial" w:hAnsi="Arial" w:cs="Arial"/>
          <w:b/>
        </w:rPr>
      </w:pPr>
    </w:p>
    <w:p w:rsidR="002E6262" w:rsidRPr="00333D45" w:rsidRDefault="00EC6E0F" w:rsidP="002E6262">
      <w:pPr>
        <w:pStyle w:val="ListParagraph"/>
        <w:numPr>
          <w:ilvl w:val="0"/>
          <w:numId w:val="1"/>
        </w:numPr>
        <w:rPr>
          <w:rFonts w:ascii="Arial" w:hAnsi="Arial" w:cs="Arial"/>
        </w:rPr>
      </w:pPr>
      <w:r>
        <w:rPr>
          <w:rFonts w:ascii="Arial" w:hAnsi="Arial" w:cs="Arial"/>
          <w:b/>
        </w:rPr>
        <w:t>Background</w:t>
      </w:r>
    </w:p>
    <w:p w:rsidR="002E6262" w:rsidRPr="00BF23C0" w:rsidRDefault="002E6262" w:rsidP="002E6262">
      <w:pPr>
        <w:pStyle w:val="ListParagraph"/>
        <w:ind w:left="709"/>
        <w:rPr>
          <w:rFonts w:ascii="Arial" w:hAnsi="Arial" w:cs="Arial"/>
        </w:rPr>
      </w:pPr>
    </w:p>
    <w:p w:rsidR="002E6262" w:rsidRDefault="00EC6E0F" w:rsidP="002E6262">
      <w:pPr>
        <w:pStyle w:val="ListParagraph"/>
        <w:numPr>
          <w:ilvl w:val="1"/>
          <w:numId w:val="1"/>
        </w:numPr>
        <w:rPr>
          <w:rFonts w:ascii="Arial" w:hAnsi="Arial" w:cs="Arial"/>
        </w:rPr>
      </w:pPr>
      <w:r>
        <w:rPr>
          <w:rFonts w:ascii="Arial" w:hAnsi="Arial" w:cs="Arial"/>
        </w:rPr>
        <w:t xml:space="preserve">In 2017 </w:t>
      </w:r>
      <w:r w:rsidR="009D6042" w:rsidRPr="009D6042">
        <w:rPr>
          <w:rFonts w:ascii="Arial" w:hAnsi="Arial" w:cs="Arial"/>
        </w:rPr>
        <w:t>the government introduced world-leading legislation that made it statutory for organisations with 250 or more employees to report annually on their gender pay gap. Government departments are covered by the Equality Act 2010 (Specific Duties and Public Authorities) Regulations 2017 which came into force on 31 March 2017.</w:t>
      </w:r>
    </w:p>
    <w:p w:rsidR="00EC6E0F" w:rsidRDefault="00EC6E0F" w:rsidP="00EC6E0F">
      <w:pPr>
        <w:pStyle w:val="ListParagraph"/>
        <w:rPr>
          <w:rFonts w:ascii="Arial" w:hAnsi="Arial" w:cs="Arial"/>
        </w:rPr>
      </w:pPr>
    </w:p>
    <w:p w:rsidR="002E6262" w:rsidRDefault="009D6042" w:rsidP="002E6262">
      <w:pPr>
        <w:pStyle w:val="ListParagraph"/>
        <w:ind w:left="709"/>
        <w:rPr>
          <w:rFonts w:ascii="Arial" w:hAnsi="Arial" w:cs="Arial"/>
        </w:rPr>
      </w:pPr>
      <w:r w:rsidRPr="009D6042">
        <w:rPr>
          <w:rFonts w:ascii="Arial" w:hAnsi="Arial" w:cs="Arial"/>
        </w:rPr>
        <w:t>These regulations underpin the Public Sector Equality Duty and require the relevant organisations to publish their gender pay gap data by</w:t>
      </w:r>
      <w:r w:rsidR="00F01F15">
        <w:rPr>
          <w:rFonts w:ascii="Arial" w:hAnsi="Arial" w:cs="Arial"/>
        </w:rPr>
        <w:t xml:space="preserve"> 30</w:t>
      </w:r>
      <w:r w:rsidR="008C6D67">
        <w:rPr>
          <w:rFonts w:ascii="Arial" w:hAnsi="Arial" w:cs="Arial"/>
        </w:rPr>
        <w:t>th</w:t>
      </w:r>
      <w:r w:rsidR="00F01F15">
        <w:rPr>
          <w:rFonts w:ascii="Arial" w:hAnsi="Arial" w:cs="Arial"/>
        </w:rPr>
        <w:t xml:space="preserve"> March annually</w:t>
      </w:r>
      <w:r w:rsidRPr="009D6042">
        <w:rPr>
          <w:rFonts w:ascii="Arial" w:hAnsi="Arial" w:cs="Arial"/>
        </w:rPr>
        <w:t>, including mean and median gender pay gaps; the mean and median gender bonus gaps; the proportion of men and women who received bonuses; and the proportions of male and female employees in each pay quartile.</w:t>
      </w:r>
    </w:p>
    <w:p w:rsidR="009D6042" w:rsidRDefault="009D6042" w:rsidP="002E6262">
      <w:pPr>
        <w:pStyle w:val="ListParagraph"/>
        <w:ind w:left="709"/>
        <w:rPr>
          <w:rFonts w:ascii="Arial" w:hAnsi="Arial" w:cs="Arial"/>
        </w:rPr>
      </w:pPr>
    </w:p>
    <w:p w:rsidR="009D6042" w:rsidRPr="009D6042" w:rsidRDefault="009D6042" w:rsidP="002E6262">
      <w:pPr>
        <w:pStyle w:val="ListParagraph"/>
        <w:ind w:left="709"/>
        <w:rPr>
          <w:rFonts w:ascii="Arial" w:hAnsi="Arial" w:cs="Arial"/>
        </w:rPr>
      </w:pPr>
      <w:r w:rsidRPr="009D6042">
        <w:rPr>
          <w:rFonts w:ascii="Arial" w:hAnsi="Arial" w:cs="Arial"/>
        </w:rPr>
        <w:t>The gender pay gap shows the difference in th</w:t>
      </w:r>
      <w:bookmarkStart w:id="0" w:name="_GoBack"/>
      <w:bookmarkEnd w:id="0"/>
      <w:r w:rsidRPr="009D6042">
        <w:rPr>
          <w:rFonts w:ascii="Arial" w:hAnsi="Arial" w:cs="Arial"/>
        </w:rPr>
        <w:t>e average pay between all men and women in a workforce. The gender pay gap is different to equal pay. Equal pay deals with the pay differences between men and women who carry out the same jobs, similar jobs or work of equal value. It is unlawful to pay people unequally because they are a man or a woman.</w:t>
      </w:r>
    </w:p>
    <w:p w:rsidR="009D6042" w:rsidRDefault="009D6042" w:rsidP="002E6262">
      <w:pPr>
        <w:pStyle w:val="ListParagraph"/>
        <w:ind w:left="709"/>
        <w:rPr>
          <w:rFonts w:ascii="Arial" w:hAnsi="Arial" w:cs="Arial"/>
        </w:rPr>
      </w:pPr>
    </w:p>
    <w:p w:rsidR="009D6042" w:rsidRDefault="009D6042" w:rsidP="002E6262">
      <w:pPr>
        <w:pStyle w:val="ListParagraph"/>
        <w:ind w:left="709"/>
        <w:rPr>
          <w:rFonts w:ascii="Arial" w:hAnsi="Arial" w:cs="Arial"/>
        </w:rPr>
      </w:pPr>
      <w:r w:rsidRPr="009D6042">
        <w:rPr>
          <w:rFonts w:ascii="Arial" w:hAnsi="Arial" w:cs="Arial"/>
        </w:rPr>
        <w:t>This report fulfils the department’s reporting requirements, analyses the figures in more detail and sets out what we are doing to close the gender pay gap in the organisation.</w:t>
      </w:r>
    </w:p>
    <w:p w:rsidR="00F2507C" w:rsidRDefault="00F2507C" w:rsidP="002E6262">
      <w:pPr>
        <w:pStyle w:val="ListParagraph"/>
        <w:ind w:left="709"/>
        <w:rPr>
          <w:rFonts w:ascii="Arial" w:hAnsi="Arial" w:cs="Arial"/>
        </w:rPr>
      </w:pPr>
    </w:p>
    <w:p w:rsidR="00F2507C" w:rsidRPr="004E08FE" w:rsidRDefault="00F2507C" w:rsidP="00F2507C">
      <w:pPr>
        <w:pStyle w:val="ListParagraph"/>
        <w:numPr>
          <w:ilvl w:val="0"/>
          <w:numId w:val="1"/>
        </w:numPr>
        <w:rPr>
          <w:rFonts w:ascii="Arial" w:hAnsi="Arial" w:cs="Arial"/>
          <w:b/>
        </w:rPr>
      </w:pPr>
      <w:r>
        <w:rPr>
          <w:rFonts w:ascii="Arial" w:hAnsi="Arial" w:cs="Arial"/>
          <w:b/>
        </w:rPr>
        <w:t>Calculations</w:t>
      </w:r>
    </w:p>
    <w:p w:rsidR="00F2507C" w:rsidRPr="00832616" w:rsidRDefault="00F2507C" w:rsidP="00F2507C">
      <w:pPr>
        <w:pStyle w:val="ListParagraph"/>
        <w:numPr>
          <w:ilvl w:val="1"/>
          <w:numId w:val="1"/>
        </w:numPr>
        <w:rPr>
          <w:rFonts w:ascii="Arial" w:hAnsi="Arial" w:cs="Arial"/>
          <w:b/>
        </w:rPr>
      </w:pPr>
      <w:r>
        <w:rPr>
          <w:rFonts w:ascii="Arial" w:hAnsi="Arial" w:cs="Arial"/>
        </w:rPr>
        <w:t>Our calculations followed the legislative requirements set out on hhtps://www.gov.uk/guidance/gender-pay-gap-reporting-make-your-calculations, and we confirm that the data reported is accurate</w:t>
      </w:r>
    </w:p>
    <w:p w:rsidR="00F2507C" w:rsidRDefault="00F2507C" w:rsidP="00F2507C">
      <w:pPr>
        <w:pStyle w:val="ListParagraph"/>
        <w:rPr>
          <w:rFonts w:ascii="Arial" w:hAnsi="Arial" w:cs="Arial"/>
        </w:rPr>
      </w:pPr>
    </w:p>
    <w:p w:rsidR="00F2507C" w:rsidRPr="004E08FE" w:rsidRDefault="00F2507C" w:rsidP="00F2507C">
      <w:pPr>
        <w:pStyle w:val="ListParagraph"/>
        <w:rPr>
          <w:rFonts w:ascii="Arial" w:hAnsi="Arial" w:cs="Arial"/>
          <w:b/>
        </w:rPr>
      </w:pPr>
      <w:r>
        <w:rPr>
          <w:rFonts w:ascii="Arial" w:hAnsi="Arial" w:cs="Arial"/>
        </w:rPr>
        <w:t xml:space="preserve">All staff who were deemed to be full paid relevant employees have been included in the calculations as per guidance. </w:t>
      </w:r>
    </w:p>
    <w:p w:rsidR="009D6042" w:rsidRDefault="009D6042" w:rsidP="002E6262">
      <w:pPr>
        <w:pStyle w:val="ListParagraph"/>
        <w:ind w:left="709"/>
        <w:rPr>
          <w:rFonts w:ascii="Arial" w:hAnsi="Arial" w:cs="Arial"/>
        </w:rPr>
      </w:pPr>
    </w:p>
    <w:p w:rsidR="002E6262" w:rsidRPr="00BF23C0" w:rsidRDefault="00494713" w:rsidP="002E6262">
      <w:pPr>
        <w:pStyle w:val="ListParagraph"/>
        <w:numPr>
          <w:ilvl w:val="0"/>
          <w:numId w:val="1"/>
        </w:numPr>
        <w:rPr>
          <w:rFonts w:ascii="Arial" w:hAnsi="Arial" w:cs="Arial"/>
        </w:rPr>
      </w:pPr>
      <w:r>
        <w:rPr>
          <w:rFonts w:ascii="Arial" w:hAnsi="Arial" w:cs="Arial"/>
          <w:b/>
        </w:rPr>
        <w:t>Analysis</w:t>
      </w:r>
      <w:r w:rsidR="002E6262">
        <w:rPr>
          <w:rFonts w:ascii="Arial" w:hAnsi="Arial" w:cs="Arial"/>
        </w:rPr>
        <w:t xml:space="preserve"> </w:t>
      </w:r>
    </w:p>
    <w:p w:rsidR="00434B05" w:rsidRDefault="00434B05" w:rsidP="002E6262">
      <w:pPr>
        <w:pStyle w:val="ListParagraph"/>
        <w:ind w:left="0"/>
        <w:rPr>
          <w:rFonts w:ascii="Arial" w:hAnsi="Arial" w:cs="Arial"/>
        </w:rPr>
      </w:pPr>
    </w:p>
    <w:p w:rsidR="00434B05" w:rsidRPr="0031304D" w:rsidRDefault="00434B05" w:rsidP="00434B05">
      <w:pPr>
        <w:pStyle w:val="ListParagraph"/>
        <w:ind w:left="0"/>
        <w:rPr>
          <w:rFonts w:ascii="Arial" w:hAnsi="Arial" w:cs="Arial"/>
          <w:b/>
        </w:rPr>
      </w:pPr>
      <w:r>
        <w:rPr>
          <w:rFonts w:ascii="Arial" w:hAnsi="Arial" w:cs="Arial"/>
          <w:b/>
        </w:rPr>
        <w:t>Context</w:t>
      </w:r>
    </w:p>
    <w:p w:rsidR="002E6262" w:rsidRDefault="00EC6E0F" w:rsidP="002E6262">
      <w:pPr>
        <w:pStyle w:val="ListParagraph"/>
        <w:numPr>
          <w:ilvl w:val="1"/>
          <w:numId w:val="1"/>
        </w:numPr>
        <w:rPr>
          <w:rFonts w:ascii="Arial" w:hAnsi="Arial" w:cs="Arial"/>
        </w:rPr>
      </w:pPr>
      <w:r>
        <w:rPr>
          <w:rFonts w:ascii="Arial" w:hAnsi="Arial" w:cs="Arial"/>
        </w:rPr>
        <w:t>At 31</w:t>
      </w:r>
      <w:r w:rsidRPr="00EC6E0F">
        <w:rPr>
          <w:rFonts w:ascii="Arial" w:hAnsi="Arial" w:cs="Arial"/>
          <w:vertAlign w:val="superscript"/>
        </w:rPr>
        <w:t>st</w:t>
      </w:r>
      <w:r w:rsidR="0026739C">
        <w:rPr>
          <w:rFonts w:ascii="Arial" w:hAnsi="Arial" w:cs="Arial"/>
        </w:rPr>
        <w:t xml:space="preserve"> March 2018</w:t>
      </w:r>
      <w:r>
        <w:rPr>
          <w:rFonts w:ascii="Arial" w:hAnsi="Arial" w:cs="Arial"/>
        </w:rPr>
        <w:t xml:space="preserve"> the Disclosure &amp; Barring Service employed </w:t>
      </w:r>
      <w:r w:rsidR="00482124">
        <w:rPr>
          <w:rFonts w:ascii="Arial" w:hAnsi="Arial" w:cs="Arial"/>
        </w:rPr>
        <w:t xml:space="preserve">a total of 1,040 relevant employees </w:t>
      </w:r>
      <w:r>
        <w:rPr>
          <w:rFonts w:ascii="Arial" w:hAnsi="Arial" w:cs="Arial"/>
        </w:rPr>
        <w:t xml:space="preserve">in delegated grades. </w:t>
      </w:r>
      <w:r w:rsidR="00CA484C">
        <w:rPr>
          <w:rFonts w:ascii="Arial" w:hAnsi="Arial" w:cs="Arial"/>
        </w:rPr>
        <w:t>60%</w:t>
      </w:r>
      <w:r w:rsidR="0026739C">
        <w:rPr>
          <w:rFonts w:ascii="Arial" w:hAnsi="Arial" w:cs="Arial"/>
        </w:rPr>
        <w:t xml:space="preserve"> </w:t>
      </w:r>
      <w:r>
        <w:rPr>
          <w:rFonts w:ascii="Arial" w:hAnsi="Arial" w:cs="Arial"/>
        </w:rPr>
        <w:t>of all staff were women</w:t>
      </w:r>
      <w:r w:rsidR="0026739C">
        <w:rPr>
          <w:rFonts w:ascii="Arial" w:hAnsi="Arial" w:cs="Arial"/>
        </w:rPr>
        <w:t xml:space="preserve"> </w:t>
      </w:r>
      <w:r w:rsidR="00CA484C">
        <w:rPr>
          <w:rFonts w:ascii="Arial" w:hAnsi="Arial" w:cs="Arial"/>
        </w:rPr>
        <w:t>and 40% men.</w:t>
      </w:r>
    </w:p>
    <w:p w:rsidR="00482124" w:rsidRDefault="00482124" w:rsidP="00482124">
      <w:pPr>
        <w:ind w:left="2880"/>
        <w:rPr>
          <w:rFonts w:ascii="Arial" w:hAnsi="Arial" w:cs="Arial"/>
        </w:rPr>
      </w:pPr>
      <w:r>
        <w:rPr>
          <w:noProof/>
        </w:rPr>
        <w:drawing>
          <wp:inline distT="0" distB="0" distL="0" distR="0" wp14:anchorId="5EE0C666" wp14:editId="702820ED">
            <wp:extent cx="2381250" cy="1314450"/>
            <wp:effectExtent l="0" t="0" r="0" b="0"/>
            <wp:docPr id="4" name="Chart 4">
              <a:extLst xmlns:a="http://schemas.openxmlformats.org/drawingml/2006/main">
                <a:ext uri="{FF2B5EF4-FFF2-40B4-BE49-F238E27FC236}">
                  <a16:creationId xmlns:a16="http://schemas.microsoft.com/office/drawing/2014/main" id="{D2D0C179-229D-4AD9-B9B1-928E18A56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69AD" w:rsidRDefault="000366C8" w:rsidP="002E6262">
      <w:pPr>
        <w:pStyle w:val="ListParagraph"/>
        <w:numPr>
          <w:ilvl w:val="1"/>
          <w:numId w:val="1"/>
        </w:numPr>
        <w:rPr>
          <w:rFonts w:ascii="Arial" w:hAnsi="Arial" w:cs="Arial"/>
        </w:rPr>
      </w:pPr>
      <w:r w:rsidRPr="000366C8">
        <w:rPr>
          <w:rFonts w:ascii="Arial" w:hAnsi="Arial" w:cs="Arial"/>
        </w:rPr>
        <w:lastRenderedPageBreak/>
        <w:t xml:space="preserve">The DBS follows the standard public sector approach to pay and grading. All posts within the department sit within one of seven levels (grades), and these grades have an associated pay range consisting of a minimum and maximum rate. AO grade consists of a single spot rate. Salaries are paid according to grade and annual pay awards are paid irrespective of gender. </w:t>
      </w:r>
    </w:p>
    <w:p w:rsidR="006869AD" w:rsidRDefault="006869AD" w:rsidP="006869AD">
      <w:pPr>
        <w:pStyle w:val="ListParagraph"/>
        <w:rPr>
          <w:rFonts w:ascii="Arial" w:hAnsi="Arial" w:cs="Arial"/>
        </w:rPr>
      </w:pPr>
    </w:p>
    <w:p w:rsidR="00AB009C" w:rsidRDefault="00EC6E0F" w:rsidP="00D87251">
      <w:pPr>
        <w:pStyle w:val="ListParagraph"/>
        <w:ind w:left="709"/>
        <w:rPr>
          <w:rFonts w:ascii="Arial" w:hAnsi="Arial" w:cs="Arial"/>
        </w:rPr>
      </w:pPr>
      <w:r w:rsidRPr="000366C8">
        <w:rPr>
          <w:rFonts w:ascii="Arial" w:hAnsi="Arial" w:cs="Arial"/>
        </w:rPr>
        <w:t xml:space="preserve">It is useful to have a statistical picture of the workforce composition </w:t>
      </w:r>
      <w:r w:rsidR="000366C8">
        <w:rPr>
          <w:rFonts w:ascii="Arial" w:hAnsi="Arial" w:cs="Arial"/>
        </w:rPr>
        <w:t xml:space="preserve">by grade </w:t>
      </w:r>
      <w:r w:rsidRPr="000366C8">
        <w:rPr>
          <w:rFonts w:ascii="Arial" w:hAnsi="Arial" w:cs="Arial"/>
        </w:rPr>
        <w:t>before analysing the gender pay gap, this provides context for the gender pay gap report.</w:t>
      </w:r>
    </w:p>
    <w:p w:rsidR="00AB009C" w:rsidRDefault="00AB009C" w:rsidP="002E6262">
      <w:pPr>
        <w:pStyle w:val="ListParagraph"/>
        <w:rPr>
          <w:rFonts w:ascii="Arial" w:hAnsi="Arial" w:cs="Arial"/>
        </w:rPr>
      </w:pPr>
    </w:p>
    <w:p w:rsidR="00494713" w:rsidRDefault="0033146E" w:rsidP="002E6262">
      <w:pPr>
        <w:pStyle w:val="ListParagraph"/>
        <w:numPr>
          <w:ilvl w:val="1"/>
          <w:numId w:val="1"/>
        </w:numPr>
        <w:rPr>
          <w:rFonts w:ascii="Arial" w:hAnsi="Arial" w:cs="Arial"/>
        </w:rPr>
      </w:pPr>
      <w:r>
        <w:rPr>
          <w:rFonts w:ascii="Arial" w:hAnsi="Arial" w:cs="Arial"/>
        </w:rPr>
        <w:t>Figure 1 and 2 show a breakdown</w:t>
      </w:r>
      <w:r w:rsidR="00494713">
        <w:rPr>
          <w:rFonts w:ascii="Arial" w:hAnsi="Arial" w:cs="Arial"/>
        </w:rPr>
        <w:t xml:space="preserve"> of t</w:t>
      </w:r>
      <w:r w:rsidR="002479F5">
        <w:rPr>
          <w:rFonts w:ascii="Arial" w:hAnsi="Arial" w:cs="Arial"/>
        </w:rPr>
        <w:t xml:space="preserve">he </w:t>
      </w:r>
      <w:r w:rsidR="00846877">
        <w:rPr>
          <w:rFonts w:ascii="Arial" w:hAnsi="Arial" w:cs="Arial"/>
        </w:rPr>
        <w:t>1,040 relevant employees in</w:t>
      </w:r>
      <w:r w:rsidR="00494713">
        <w:rPr>
          <w:rFonts w:ascii="Arial" w:hAnsi="Arial" w:cs="Arial"/>
        </w:rPr>
        <w:t xml:space="preserve"> DBS on 31</w:t>
      </w:r>
      <w:r w:rsidR="00494713" w:rsidRPr="00494713">
        <w:rPr>
          <w:rFonts w:ascii="Arial" w:hAnsi="Arial" w:cs="Arial"/>
          <w:vertAlign w:val="superscript"/>
        </w:rPr>
        <w:t>st</w:t>
      </w:r>
      <w:r w:rsidR="00C92173">
        <w:rPr>
          <w:rFonts w:ascii="Arial" w:hAnsi="Arial" w:cs="Arial"/>
        </w:rPr>
        <w:t xml:space="preserve"> March 2018</w:t>
      </w:r>
      <w:r>
        <w:rPr>
          <w:rFonts w:ascii="Arial" w:hAnsi="Arial" w:cs="Arial"/>
        </w:rPr>
        <w:t>.</w:t>
      </w:r>
    </w:p>
    <w:p w:rsidR="00494713" w:rsidRDefault="00494713" w:rsidP="00494713">
      <w:pPr>
        <w:pStyle w:val="ListParagraph"/>
        <w:rPr>
          <w:rFonts w:ascii="Arial" w:hAnsi="Arial" w:cs="Arial"/>
        </w:rPr>
      </w:pPr>
    </w:p>
    <w:p w:rsidR="0068271A" w:rsidRDefault="00494713" w:rsidP="00494713">
      <w:pPr>
        <w:pStyle w:val="ListParagraph"/>
        <w:rPr>
          <w:rFonts w:ascii="Arial" w:hAnsi="Arial" w:cs="Arial"/>
          <w:sz w:val="20"/>
          <w:szCs w:val="20"/>
        </w:rPr>
      </w:pPr>
      <w:r w:rsidRPr="00903280">
        <w:rPr>
          <w:rFonts w:ascii="Arial" w:hAnsi="Arial" w:cs="Arial"/>
          <w:sz w:val="20"/>
          <w:szCs w:val="20"/>
        </w:rPr>
        <w:t>Fig</w:t>
      </w:r>
      <w:r w:rsidR="00434B05" w:rsidRPr="00903280">
        <w:rPr>
          <w:rFonts w:ascii="Arial" w:hAnsi="Arial" w:cs="Arial"/>
          <w:sz w:val="20"/>
          <w:szCs w:val="20"/>
        </w:rPr>
        <w:t>ure</w:t>
      </w:r>
      <w:r w:rsidRPr="00903280">
        <w:rPr>
          <w:rFonts w:ascii="Arial" w:hAnsi="Arial" w:cs="Arial"/>
          <w:sz w:val="20"/>
          <w:szCs w:val="20"/>
        </w:rPr>
        <w:t xml:space="preserve"> 1</w:t>
      </w:r>
      <w:r w:rsidR="002479F5">
        <w:rPr>
          <w:rFonts w:ascii="Arial" w:hAnsi="Arial" w:cs="Arial"/>
          <w:sz w:val="20"/>
          <w:szCs w:val="20"/>
        </w:rPr>
        <w:t xml:space="preserve"> – DBS workforce information</w:t>
      </w:r>
    </w:p>
    <w:p w:rsidR="00E26635" w:rsidRDefault="00E26635" w:rsidP="00494713">
      <w:pPr>
        <w:pStyle w:val="ListParagraph"/>
        <w:rPr>
          <w:rFonts w:ascii="Arial" w:hAnsi="Arial" w:cs="Arial"/>
          <w:sz w:val="20"/>
          <w:szCs w:val="20"/>
        </w:rPr>
      </w:pPr>
    </w:p>
    <w:tbl>
      <w:tblPr>
        <w:tblW w:w="6799" w:type="dxa"/>
        <w:tblInd w:w="720" w:type="dxa"/>
        <w:tblLook w:val="04A0" w:firstRow="1" w:lastRow="0" w:firstColumn="1" w:lastColumn="0" w:noHBand="0" w:noVBand="1"/>
      </w:tblPr>
      <w:tblGrid>
        <w:gridCol w:w="1871"/>
        <w:gridCol w:w="962"/>
        <w:gridCol w:w="1525"/>
        <w:gridCol w:w="944"/>
        <w:gridCol w:w="1497"/>
      </w:tblGrid>
      <w:tr w:rsidR="001E6411" w:rsidRPr="001E6411" w:rsidTr="001E6411">
        <w:trPr>
          <w:trHeight w:val="348"/>
        </w:trPr>
        <w:tc>
          <w:tcPr>
            <w:tcW w:w="1871" w:type="dxa"/>
            <w:tcBorders>
              <w:top w:val="nil"/>
              <w:left w:val="nil"/>
              <w:bottom w:val="nil"/>
              <w:right w:val="nil"/>
            </w:tcBorders>
            <w:shd w:val="clear" w:color="auto" w:fill="auto"/>
            <w:noWrap/>
            <w:vAlign w:val="bottom"/>
            <w:hideMark/>
          </w:tcPr>
          <w:p w:rsidR="001E6411" w:rsidRPr="001E6411" w:rsidRDefault="001E6411" w:rsidP="001E6411">
            <w:pPr>
              <w:rPr>
                <w:sz w:val="20"/>
                <w:szCs w:val="20"/>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6411" w:rsidRPr="001E6411" w:rsidRDefault="001E6411" w:rsidP="001E6411">
            <w:pPr>
              <w:jc w:val="center"/>
              <w:rPr>
                <w:rFonts w:ascii="Calibri" w:hAnsi="Calibri" w:cs="Calibri"/>
                <w:color w:val="000000"/>
                <w:sz w:val="22"/>
                <w:szCs w:val="22"/>
              </w:rPr>
            </w:pPr>
            <w:r w:rsidRPr="001E6411">
              <w:rPr>
                <w:rFonts w:ascii="Calibri" w:hAnsi="Calibri" w:cs="Calibri"/>
                <w:color w:val="000000"/>
                <w:sz w:val="22"/>
                <w:szCs w:val="22"/>
              </w:rPr>
              <w:t>Female</w:t>
            </w: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411" w:rsidRPr="001E6411" w:rsidRDefault="001E6411" w:rsidP="001E6411">
            <w:pPr>
              <w:jc w:val="center"/>
              <w:rPr>
                <w:rFonts w:ascii="Calibri" w:hAnsi="Calibri" w:cs="Calibri"/>
                <w:color w:val="000000"/>
                <w:sz w:val="22"/>
                <w:szCs w:val="22"/>
              </w:rPr>
            </w:pPr>
            <w:r w:rsidRPr="001E6411">
              <w:rPr>
                <w:rFonts w:ascii="Calibri" w:hAnsi="Calibri" w:cs="Calibri"/>
                <w:color w:val="000000"/>
                <w:sz w:val="22"/>
                <w:szCs w:val="22"/>
              </w:rPr>
              <w:t>Male</w:t>
            </w:r>
          </w:p>
        </w:tc>
      </w:tr>
      <w:tr w:rsidR="001E6411" w:rsidRPr="001E6411" w:rsidTr="001E6411">
        <w:trPr>
          <w:trHeight w:val="348"/>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411" w:rsidRPr="001E6411" w:rsidRDefault="001E6411" w:rsidP="001E6411">
            <w:pPr>
              <w:jc w:val="center"/>
              <w:rPr>
                <w:rFonts w:ascii="Calibri" w:hAnsi="Calibri" w:cs="Calibri"/>
                <w:b/>
                <w:bCs/>
                <w:color w:val="000000"/>
                <w:sz w:val="22"/>
                <w:szCs w:val="22"/>
              </w:rPr>
            </w:pPr>
            <w:r w:rsidRPr="001E6411">
              <w:rPr>
                <w:rFonts w:ascii="Calibri" w:hAnsi="Calibri" w:cs="Calibri"/>
                <w:b/>
                <w:bCs/>
                <w:color w:val="000000"/>
                <w:sz w:val="22"/>
                <w:szCs w:val="22"/>
              </w:rPr>
              <w:t>Grade</w:t>
            </w:r>
          </w:p>
        </w:tc>
        <w:tc>
          <w:tcPr>
            <w:tcW w:w="962" w:type="dxa"/>
            <w:tcBorders>
              <w:top w:val="nil"/>
              <w:left w:val="nil"/>
              <w:bottom w:val="single" w:sz="4" w:space="0" w:color="auto"/>
              <w:right w:val="single" w:sz="4" w:space="0" w:color="auto"/>
            </w:tcBorders>
            <w:shd w:val="clear" w:color="auto" w:fill="auto"/>
            <w:noWrap/>
            <w:vAlign w:val="center"/>
            <w:hideMark/>
          </w:tcPr>
          <w:p w:rsidR="001E6411" w:rsidRPr="001E6411" w:rsidRDefault="001E6411" w:rsidP="001E6411">
            <w:pPr>
              <w:jc w:val="center"/>
              <w:rPr>
                <w:rFonts w:ascii="Calibri" w:hAnsi="Calibri" w:cs="Calibri"/>
                <w:b/>
                <w:bCs/>
                <w:color w:val="000000"/>
                <w:sz w:val="22"/>
                <w:szCs w:val="22"/>
              </w:rPr>
            </w:pPr>
            <w:r w:rsidRPr="001E6411">
              <w:rPr>
                <w:rFonts w:ascii="Calibri" w:hAnsi="Calibri" w:cs="Calibri"/>
                <w:b/>
                <w:bCs/>
                <w:color w:val="000000"/>
                <w:sz w:val="22"/>
                <w:szCs w:val="22"/>
              </w:rPr>
              <w:t>Vol</w:t>
            </w:r>
          </w:p>
        </w:tc>
        <w:tc>
          <w:tcPr>
            <w:tcW w:w="1524" w:type="dxa"/>
            <w:tcBorders>
              <w:top w:val="nil"/>
              <w:left w:val="nil"/>
              <w:bottom w:val="single" w:sz="4" w:space="0" w:color="auto"/>
              <w:right w:val="single" w:sz="4" w:space="0" w:color="auto"/>
            </w:tcBorders>
            <w:shd w:val="clear" w:color="auto" w:fill="auto"/>
            <w:noWrap/>
            <w:vAlign w:val="center"/>
            <w:hideMark/>
          </w:tcPr>
          <w:p w:rsidR="001E6411" w:rsidRPr="001E6411" w:rsidRDefault="001E6411" w:rsidP="001E6411">
            <w:pPr>
              <w:jc w:val="center"/>
              <w:rPr>
                <w:rFonts w:ascii="Calibri" w:hAnsi="Calibri" w:cs="Calibri"/>
                <w:b/>
                <w:bCs/>
                <w:color w:val="000000"/>
                <w:sz w:val="22"/>
                <w:szCs w:val="22"/>
              </w:rPr>
            </w:pPr>
            <w:r w:rsidRPr="001E6411">
              <w:rPr>
                <w:rFonts w:ascii="Calibri" w:hAnsi="Calibri" w:cs="Calibri"/>
                <w:b/>
                <w:bCs/>
                <w:color w:val="000000"/>
                <w:sz w:val="22"/>
                <w:szCs w:val="22"/>
              </w:rPr>
              <w:t>%</w:t>
            </w:r>
          </w:p>
        </w:tc>
        <w:tc>
          <w:tcPr>
            <w:tcW w:w="944" w:type="dxa"/>
            <w:tcBorders>
              <w:top w:val="nil"/>
              <w:left w:val="nil"/>
              <w:bottom w:val="single" w:sz="4" w:space="0" w:color="auto"/>
              <w:right w:val="single" w:sz="4" w:space="0" w:color="auto"/>
            </w:tcBorders>
            <w:shd w:val="clear" w:color="auto" w:fill="auto"/>
            <w:noWrap/>
            <w:vAlign w:val="center"/>
            <w:hideMark/>
          </w:tcPr>
          <w:p w:rsidR="001E6411" w:rsidRPr="001E6411" w:rsidRDefault="001E6411" w:rsidP="001E6411">
            <w:pPr>
              <w:jc w:val="center"/>
              <w:rPr>
                <w:rFonts w:ascii="Calibri" w:hAnsi="Calibri" w:cs="Calibri"/>
                <w:b/>
                <w:bCs/>
                <w:color w:val="000000"/>
                <w:sz w:val="22"/>
                <w:szCs w:val="22"/>
              </w:rPr>
            </w:pPr>
            <w:r w:rsidRPr="001E6411">
              <w:rPr>
                <w:rFonts w:ascii="Calibri" w:hAnsi="Calibri" w:cs="Calibri"/>
                <w:b/>
                <w:bCs/>
                <w:color w:val="000000"/>
                <w:sz w:val="22"/>
                <w:szCs w:val="22"/>
              </w:rPr>
              <w:t>Vol</w:t>
            </w:r>
          </w:p>
        </w:tc>
        <w:tc>
          <w:tcPr>
            <w:tcW w:w="1496" w:type="dxa"/>
            <w:tcBorders>
              <w:top w:val="nil"/>
              <w:left w:val="nil"/>
              <w:bottom w:val="single" w:sz="4" w:space="0" w:color="auto"/>
              <w:right w:val="single" w:sz="4" w:space="0" w:color="auto"/>
            </w:tcBorders>
            <w:shd w:val="clear" w:color="auto" w:fill="auto"/>
            <w:noWrap/>
            <w:vAlign w:val="center"/>
            <w:hideMark/>
          </w:tcPr>
          <w:p w:rsidR="001E6411" w:rsidRPr="001E6411" w:rsidRDefault="001E6411" w:rsidP="001E6411">
            <w:pPr>
              <w:jc w:val="center"/>
              <w:rPr>
                <w:rFonts w:ascii="Calibri" w:hAnsi="Calibri" w:cs="Calibri"/>
                <w:b/>
                <w:bCs/>
                <w:color w:val="000000"/>
                <w:sz w:val="22"/>
                <w:szCs w:val="22"/>
              </w:rPr>
            </w:pPr>
            <w:r w:rsidRPr="001E6411">
              <w:rPr>
                <w:rFonts w:ascii="Calibri" w:hAnsi="Calibri" w:cs="Calibri"/>
                <w:b/>
                <w:bCs/>
                <w:color w:val="000000"/>
                <w:sz w:val="22"/>
                <w:szCs w:val="22"/>
              </w:rPr>
              <w:t>%</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AO</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246</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61.5%</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154</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38.5%</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EO</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151</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62.9%</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89</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37.1%</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HEO</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159</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59.8%</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107</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40.2%</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SEO</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38</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49.4%</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39</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50.6%</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Grade 7</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18</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48.6%</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19</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51.4%</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Grade 6</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9</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81.8%</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2</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18.2%</w:t>
            </w:r>
          </w:p>
        </w:tc>
      </w:tr>
      <w:tr w:rsidR="001E6411" w:rsidRPr="001E6411" w:rsidTr="001E6411">
        <w:trPr>
          <w:trHeight w:val="34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SCS</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44.4%</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5</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55.6%</w:t>
            </w:r>
          </w:p>
        </w:tc>
      </w:tr>
      <w:tr w:rsidR="001E6411" w:rsidRPr="001E6411" w:rsidTr="001E6411">
        <w:trPr>
          <w:trHeight w:val="336"/>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E6411" w:rsidRPr="001E6411" w:rsidRDefault="001E6411" w:rsidP="001E6411">
            <w:pPr>
              <w:rPr>
                <w:rFonts w:ascii="Calibri" w:hAnsi="Calibri" w:cs="Calibri"/>
                <w:color w:val="000000"/>
                <w:sz w:val="22"/>
                <w:szCs w:val="22"/>
              </w:rPr>
            </w:pPr>
            <w:r w:rsidRPr="001E6411">
              <w:rPr>
                <w:rFonts w:ascii="Calibri" w:hAnsi="Calibri" w:cs="Calibri"/>
                <w:color w:val="000000"/>
                <w:sz w:val="22"/>
                <w:szCs w:val="22"/>
              </w:rPr>
              <w:t>Grand Total</w:t>
            </w:r>
          </w:p>
        </w:tc>
        <w:tc>
          <w:tcPr>
            <w:tcW w:w="962"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625</w:t>
            </w:r>
          </w:p>
        </w:tc>
        <w:tc>
          <w:tcPr>
            <w:tcW w:w="152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60.1%</w:t>
            </w:r>
          </w:p>
        </w:tc>
        <w:tc>
          <w:tcPr>
            <w:tcW w:w="944"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415</w:t>
            </w:r>
          </w:p>
        </w:tc>
        <w:tc>
          <w:tcPr>
            <w:tcW w:w="1496" w:type="dxa"/>
            <w:tcBorders>
              <w:top w:val="nil"/>
              <w:left w:val="nil"/>
              <w:bottom w:val="single" w:sz="4" w:space="0" w:color="auto"/>
              <w:right w:val="single" w:sz="4" w:space="0" w:color="auto"/>
            </w:tcBorders>
            <w:shd w:val="clear" w:color="auto" w:fill="auto"/>
            <w:noWrap/>
            <w:vAlign w:val="bottom"/>
            <w:hideMark/>
          </w:tcPr>
          <w:p w:rsidR="001E6411" w:rsidRPr="001E6411" w:rsidRDefault="001E6411" w:rsidP="001E6411">
            <w:pPr>
              <w:jc w:val="right"/>
              <w:rPr>
                <w:rFonts w:ascii="Calibri" w:hAnsi="Calibri" w:cs="Calibri"/>
                <w:color w:val="000000"/>
                <w:sz w:val="22"/>
                <w:szCs w:val="22"/>
              </w:rPr>
            </w:pPr>
            <w:r w:rsidRPr="001E6411">
              <w:rPr>
                <w:rFonts w:ascii="Calibri" w:hAnsi="Calibri" w:cs="Calibri"/>
                <w:color w:val="000000"/>
                <w:sz w:val="22"/>
                <w:szCs w:val="22"/>
              </w:rPr>
              <w:t>39.9%</w:t>
            </w:r>
          </w:p>
        </w:tc>
      </w:tr>
    </w:tbl>
    <w:p w:rsidR="0068271A" w:rsidRDefault="0068271A" w:rsidP="00494713">
      <w:pPr>
        <w:pStyle w:val="ListParagraph"/>
        <w:rPr>
          <w:rFonts w:ascii="Arial" w:hAnsi="Arial" w:cs="Arial"/>
        </w:rPr>
      </w:pPr>
    </w:p>
    <w:p w:rsidR="001E6411" w:rsidRDefault="001E6411" w:rsidP="00494713">
      <w:pPr>
        <w:pStyle w:val="ListParagraph"/>
        <w:rPr>
          <w:rFonts w:ascii="Arial" w:hAnsi="Arial" w:cs="Arial"/>
        </w:rPr>
      </w:pPr>
    </w:p>
    <w:p w:rsidR="0068271A" w:rsidRDefault="00494713" w:rsidP="00494713">
      <w:pPr>
        <w:pStyle w:val="ListParagraph"/>
        <w:rPr>
          <w:rFonts w:ascii="Arial" w:hAnsi="Arial" w:cs="Arial"/>
          <w:sz w:val="20"/>
          <w:szCs w:val="20"/>
        </w:rPr>
      </w:pPr>
      <w:r w:rsidRPr="00903280">
        <w:rPr>
          <w:rFonts w:ascii="Arial" w:hAnsi="Arial" w:cs="Arial"/>
          <w:sz w:val="20"/>
          <w:szCs w:val="20"/>
        </w:rPr>
        <w:t>Fig</w:t>
      </w:r>
      <w:r w:rsidR="00434B05" w:rsidRPr="00903280">
        <w:rPr>
          <w:rFonts w:ascii="Arial" w:hAnsi="Arial" w:cs="Arial"/>
          <w:sz w:val="20"/>
          <w:szCs w:val="20"/>
        </w:rPr>
        <w:t>ure</w:t>
      </w:r>
      <w:r w:rsidRPr="00903280">
        <w:rPr>
          <w:rFonts w:ascii="Arial" w:hAnsi="Arial" w:cs="Arial"/>
          <w:sz w:val="20"/>
          <w:szCs w:val="20"/>
        </w:rPr>
        <w:t xml:space="preserve"> 2</w:t>
      </w:r>
      <w:r w:rsidR="002479F5">
        <w:rPr>
          <w:rFonts w:ascii="Arial" w:hAnsi="Arial" w:cs="Arial"/>
          <w:sz w:val="20"/>
          <w:szCs w:val="20"/>
        </w:rPr>
        <w:t xml:space="preserve"> – Distribution of workforce by gender</w:t>
      </w:r>
    </w:p>
    <w:p w:rsidR="00204325" w:rsidRDefault="00204325" w:rsidP="00494713">
      <w:pPr>
        <w:pStyle w:val="ListParagraph"/>
        <w:rPr>
          <w:rFonts w:ascii="Arial" w:hAnsi="Arial" w:cs="Arial"/>
        </w:rPr>
      </w:pPr>
    </w:p>
    <w:p w:rsidR="00846877" w:rsidRDefault="00846877" w:rsidP="00846877">
      <w:pPr>
        <w:pStyle w:val="ListParagraph"/>
        <w:rPr>
          <w:rFonts w:ascii="Arial" w:hAnsi="Arial" w:cs="Arial"/>
        </w:rPr>
      </w:pPr>
      <w:r>
        <w:rPr>
          <w:noProof/>
        </w:rPr>
        <w:drawing>
          <wp:inline distT="0" distB="0" distL="0" distR="0" wp14:anchorId="006FB465" wp14:editId="58683466">
            <wp:extent cx="4330700" cy="2686050"/>
            <wp:effectExtent l="0" t="0" r="0" b="0"/>
            <wp:docPr id="5" name="Chart 5">
              <a:extLst xmlns:a="http://schemas.openxmlformats.org/drawingml/2006/main">
                <a:ext uri="{FF2B5EF4-FFF2-40B4-BE49-F238E27FC236}">
                  <a16:creationId xmlns:a16="http://schemas.microsoft.com/office/drawing/2014/main" id="{FDCB289F-B868-45BC-85D7-568CEEB74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713" w:rsidRDefault="00494713" w:rsidP="00494713">
      <w:pPr>
        <w:pStyle w:val="ListParagraph"/>
        <w:rPr>
          <w:rFonts w:ascii="Arial" w:hAnsi="Arial" w:cs="Arial"/>
        </w:rPr>
      </w:pPr>
    </w:p>
    <w:p w:rsidR="0068271A" w:rsidRDefault="0068271A" w:rsidP="00494713">
      <w:pPr>
        <w:pStyle w:val="ListParagraph"/>
        <w:rPr>
          <w:rFonts w:ascii="Arial" w:hAnsi="Arial" w:cs="Arial"/>
        </w:rPr>
      </w:pPr>
    </w:p>
    <w:p w:rsidR="002479F5" w:rsidRDefault="001E6411" w:rsidP="002E6262">
      <w:pPr>
        <w:pStyle w:val="ListParagraph"/>
        <w:numPr>
          <w:ilvl w:val="1"/>
          <w:numId w:val="1"/>
        </w:numPr>
        <w:rPr>
          <w:rFonts w:ascii="Arial" w:hAnsi="Arial" w:cs="Arial"/>
        </w:rPr>
      </w:pPr>
      <w:r>
        <w:rPr>
          <w:rFonts w:ascii="Arial" w:hAnsi="Arial" w:cs="Arial"/>
        </w:rPr>
        <w:t>Figures 1 and 2 shows</w:t>
      </w:r>
      <w:r w:rsidR="002479F5">
        <w:rPr>
          <w:rFonts w:ascii="Arial" w:hAnsi="Arial" w:cs="Arial"/>
        </w:rPr>
        <w:t xml:space="preserve"> that </w:t>
      </w:r>
      <w:r w:rsidR="00EF2E6F" w:rsidRPr="00EF2E6F">
        <w:rPr>
          <w:rFonts w:ascii="Arial" w:hAnsi="Arial" w:cs="Arial"/>
          <w:color w:val="000000" w:themeColor="text1"/>
        </w:rPr>
        <w:t>87</w:t>
      </w:r>
      <w:r w:rsidR="002479F5" w:rsidRPr="00EF2E6F">
        <w:rPr>
          <w:rFonts w:ascii="Arial" w:hAnsi="Arial" w:cs="Arial"/>
          <w:color w:val="000000" w:themeColor="text1"/>
        </w:rPr>
        <w:t xml:space="preserve">% </w:t>
      </w:r>
      <w:r w:rsidR="002479F5">
        <w:rPr>
          <w:rFonts w:ascii="Arial" w:hAnsi="Arial" w:cs="Arial"/>
        </w:rPr>
        <w:t>of the workforce are employed at AO, EO and HEO level.</w:t>
      </w:r>
    </w:p>
    <w:p w:rsidR="002479F5" w:rsidRDefault="002479F5" w:rsidP="002479F5">
      <w:pPr>
        <w:pStyle w:val="ListParagraph"/>
        <w:rPr>
          <w:rFonts w:ascii="Arial" w:hAnsi="Arial" w:cs="Arial"/>
        </w:rPr>
      </w:pPr>
    </w:p>
    <w:p w:rsidR="006869AD" w:rsidRDefault="00EF2E6F" w:rsidP="002479F5">
      <w:pPr>
        <w:pStyle w:val="ListParagraph"/>
        <w:rPr>
          <w:rFonts w:ascii="Arial" w:hAnsi="Arial" w:cs="Arial"/>
        </w:rPr>
      </w:pPr>
      <w:r>
        <w:rPr>
          <w:rFonts w:ascii="Arial" w:hAnsi="Arial" w:cs="Arial"/>
        </w:rPr>
        <w:lastRenderedPageBreak/>
        <w:t xml:space="preserve">Figures 1 and 2 demonstrate that across the AO, EO and HEO grades the split of men and women is representative of the overall 60% / 40% </w:t>
      </w:r>
      <w:r w:rsidR="0033146E">
        <w:rPr>
          <w:rFonts w:ascii="Arial" w:hAnsi="Arial" w:cs="Arial"/>
        </w:rPr>
        <w:t xml:space="preserve">gender </w:t>
      </w:r>
      <w:r>
        <w:rPr>
          <w:rFonts w:ascii="Arial" w:hAnsi="Arial" w:cs="Arial"/>
        </w:rPr>
        <w:t>split</w:t>
      </w:r>
      <w:r w:rsidR="001E6411">
        <w:rPr>
          <w:rFonts w:ascii="Arial" w:hAnsi="Arial" w:cs="Arial"/>
        </w:rPr>
        <w:t xml:space="preserve"> in the department</w:t>
      </w:r>
      <w:r>
        <w:rPr>
          <w:rFonts w:ascii="Arial" w:hAnsi="Arial" w:cs="Arial"/>
        </w:rPr>
        <w:t xml:space="preserve">. </w:t>
      </w:r>
      <w:r w:rsidR="001E6411">
        <w:rPr>
          <w:rFonts w:ascii="Arial" w:hAnsi="Arial" w:cs="Arial"/>
        </w:rPr>
        <w:t>There is a more equal balance a</w:t>
      </w:r>
      <w:r>
        <w:rPr>
          <w:rFonts w:ascii="Arial" w:hAnsi="Arial" w:cs="Arial"/>
        </w:rPr>
        <w:t>t SEO, Grade 7 and SCS grades</w:t>
      </w:r>
      <w:r w:rsidR="001E6411">
        <w:rPr>
          <w:rFonts w:ascii="Arial" w:hAnsi="Arial" w:cs="Arial"/>
        </w:rPr>
        <w:t xml:space="preserve"> with around a</w:t>
      </w:r>
      <w:r>
        <w:rPr>
          <w:rFonts w:ascii="Arial" w:hAnsi="Arial" w:cs="Arial"/>
        </w:rPr>
        <w:t xml:space="preserve"> 50 / 50 split of men and women. </w:t>
      </w:r>
      <w:r w:rsidR="007F025B">
        <w:rPr>
          <w:rFonts w:ascii="Arial" w:hAnsi="Arial" w:cs="Arial"/>
        </w:rPr>
        <w:t>At</w:t>
      </w:r>
      <w:r>
        <w:rPr>
          <w:rFonts w:ascii="Arial" w:hAnsi="Arial" w:cs="Arial"/>
        </w:rPr>
        <w:t xml:space="preserve"> Grade 6 there are more women, 82% compared to 18% men. </w:t>
      </w:r>
    </w:p>
    <w:p w:rsidR="00CD2889" w:rsidRDefault="00CD2889" w:rsidP="002479F5">
      <w:pPr>
        <w:pStyle w:val="ListParagraph"/>
        <w:rPr>
          <w:rFonts w:ascii="Arial" w:hAnsi="Arial" w:cs="Arial"/>
        </w:rPr>
      </w:pPr>
    </w:p>
    <w:p w:rsidR="00D34E19" w:rsidRDefault="00CD2889" w:rsidP="002479F5">
      <w:pPr>
        <w:pStyle w:val="ListParagraph"/>
        <w:rPr>
          <w:rFonts w:ascii="Arial" w:hAnsi="Arial" w:cs="Arial"/>
        </w:rPr>
      </w:pPr>
      <w:r>
        <w:rPr>
          <w:rFonts w:ascii="Arial" w:hAnsi="Arial" w:cs="Arial"/>
        </w:rPr>
        <w:t>In comparison to the 2017 DBS Gender Pay gap report there has been an increase in Female SCS employees</w:t>
      </w:r>
      <w:r w:rsidR="00D34E19">
        <w:rPr>
          <w:rFonts w:ascii="Arial" w:hAnsi="Arial" w:cs="Arial"/>
        </w:rPr>
        <w:t xml:space="preserve">, in March 2017 there were 2 women in SCS roles compared to 5 </w:t>
      </w:r>
      <w:r w:rsidR="00F17A07">
        <w:rPr>
          <w:rFonts w:ascii="Arial" w:hAnsi="Arial" w:cs="Arial"/>
        </w:rPr>
        <w:t>men. In 2018 there were</w:t>
      </w:r>
      <w:r w:rsidR="00D34E19">
        <w:rPr>
          <w:rFonts w:ascii="Arial" w:hAnsi="Arial" w:cs="Arial"/>
        </w:rPr>
        <w:t xml:space="preserve"> 4 women in SCS roles compared to 5 men.</w:t>
      </w:r>
    </w:p>
    <w:p w:rsidR="00D34E19" w:rsidRDefault="00D34E19" w:rsidP="002479F5">
      <w:pPr>
        <w:pStyle w:val="ListParagraph"/>
        <w:rPr>
          <w:rFonts w:ascii="Arial" w:hAnsi="Arial" w:cs="Arial"/>
        </w:rPr>
      </w:pPr>
    </w:p>
    <w:p w:rsidR="00CD2889" w:rsidRDefault="00D34E19" w:rsidP="002479F5">
      <w:pPr>
        <w:pStyle w:val="ListParagraph"/>
        <w:rPr>
          <w:rFonts w:ascii="Arial" w:hAnsi="Arial" w:cs="Arial"/>
        </w:rPr>
      </w:pPr>
      <w:r>
        <w:rPr>
          <w:rFonts w:ascii="Arial" w:hAnsi="Arial" w:cs="Arial"/>
        </w:rPr>
        <w:t>There has been an increase in women in SEO roles in comparison to March 2017. There were 38 women in SEO roles in March 2018</w:t>
      </w:r>
      <w:r w:rsidR="0033146E">
        <w:rPr>
          <w:rFonts w:ascii="Arial" w:hAnsi="Arial" w:cs="Arial"/>
        </w:rPr>
        <w:t>, this is in comparison</w:t>
      </w:r>
      <w:r>
        <w:rPr>
          <w:rFonts w:ascii="Arial" w:hAnsi="Arial" w:cs="Arial"/>
        </w:rPr>
        <w:t xml:space="preserve"> to 25 in March 2017. In 2017 men represented 60% of</w:t>
      </w:r>
      <w:r w:rsidR="009D4573">
        <w:rPr>
          <w:rFonts w:ascii="Arial" w:hAnsi="Arial" w:cs="Arial"/>
        </w:rPr>
        <w:t xml:space="preserve"> employees in SEO roles, this decreased to 51% in 2018 as shown in figure 1 above.</w:t>
      </w:r>
    </w:p>
    <w:p w:rsidR="006869AD" w:rsidRDefault="006869AD" w:rsidP="002479F5">
      <w:pPr>
        <w:pStyle w:val="ListParagraph"/>
        <w:rPr>
          <w:rFonts w:ascii="Arial" w:hAnsi="Arial" w:cs="Arial"/>
        </w:rPr>
      </w:pPr>
    </w:p>
    <w:p w:rsidR="006869AD" w:rsidRDefault="00F2507C" w:rsidP="002479F5">
      <w:pPr>
        <w:pStyle w:val="ListParagraph"/>
        <w:rPr>
          <w:rFonts w:ascii="Arial" w:hAnsi="Arial" w:cs="Arial"/>
        </w:rPr>
      </w:pPr>
      <w:r>
        <w:rPr>
          <w:rFonts w:ascii="Arial" w:hAnsi="Arial" w:cs="Arial"/>
        </w:rPr>
        <w:t xml:space="preserve">DBS offer positions in variety of operational, policy and corporate service roles, many of which are available on a full or part time basis, </w:t>
      </w:r>
      <w:r w:rsidR="007F025B">
        <w:rPr>
          <w:rFonts w:ascii="Arial" w:hAnsi="Arial" w:cs="Arial"/>
        </w:rPr>
        <w:t>DBS has an operational e</w:t>
      </w:r>
      <w:r>
        <w:rPr>
          <w:rFonts w:ascii="Arial" w:hAnsi="Arial" w:cs="Arial"/>
        </w:rPr>
        <w:t>vening shift</w:t>
      </w:r>
      <w:r w:rsidR="007F025B">
        <w:rPr>
          <w:rFonts w:ascii="Arial" w:hAnsi="Arial" w:cs="Arial"/>
        </w:rPr>
        <w:t>, this offers</w:t>
      </w:r>
      <w:r>
        <w:rPr>
          <w:rFonts w:ascii="Arial" w:hAnsi="Arial" w:cs="Arial"/>
        </w:rPr>
        <w:t xml:space="preserve"> more flexibility in working patterns.</w:t>
      </w:r>
      <w:r w:rsidR="00482C79">
        <w:rPr>
          <w:rFonts w:ascii="Arial" w:hAnsi="Arial" w:cs="Arial"/>
        </w:rPr>
        <w:t xml:space="preserve"> The evening shift also attracts an evening shift allowance</w:t>
      </w:r>
      <w:r w:rsidR="007F025B">
        <w:rPr>
          <w:rFonts w:ascii="Arial" w:hAnsi="Arial" w:cs="Arial"/>
        </w:rPr>
        <w:t xml:space="preserve">, 62% of employees on the evening shift </w:t>
      </w:r>
      <w:r w:rsidR="00E77C4C">
        <w:rPr>
          <w:rFonts w:ascii="Arial" w:hAnsi="Arial" w:cs="Arial"/>
        </w:rPr>
        <w:t>as at 31</w:t>
      </w:r>
      <w:r w:rsidR="00E77C4C" w:rsidRPr="00E77C4C">
        <w:rPr>
          <w:rFonts w:ascii="Arial" w:hAnsi="Arial" w:cs="Arial"/>
          <w:vertAlign w:val="superscript"/>
        </w:rPr>
        <w:t>st</w:t>
      </w:r>
      <w:r w:rsidR="00E77C4C">
        <w:rPr>
          <w:rFonts w:ascii="Arial" w:hAnsi="Arial" w:cs="Arial"/>
        </w:rPr>
        <w:t xml:space="preserve"> March 2018 were</w:t>
      </w:r>
      <w:r w:rsidR="007F025B">
        <w:rPr>
          <w:rFonts w:ascii="Arial" w:hAnsi="Arial" w:cs="Arial"/>
        </w:rPr>
        <w:t xml:space="preserve"> women</w:t>
      </w:r>
      <w:r w:rsidR="00482C79">
        <w:rPr>
          <w:rFonts w:ascii="Arial" w:hAnsi="Arial" w:cs="Arial"/>
        </w:rPr>
        <w:t>.</w:t>
      </w:r>
      <w:r>
        <w:rPr>
          <w:rFonts w:ascii="Arial" w:hAnsi="Arial" w:cs="Arial"/>
        </w:rPr>
        <w:t xml:space="preserve"> </w:t>
      </w:r>
    </w:p>
    <w:p w:rsidR="003249C0" w:rsidRDefault="003249C0" w:rsidP="002479F5">
      <w:pPr>
        <w:pStyle w:val="ListParagraph"/>
        <w:rPr>
          <w:rFonts w:ascii="Arial" w:hAnsi="Arial" w:cs="Arial"/>
        </w:rPr>
      </w:pPr>
    </w:p>
    <w:p w:rsidR="00E77C4C" w:rsidRDefault="00482C79" w:rsidP="002479F5">
      <w:pPr>
        <w:pStyle w:val="ListParagraph"/>
        <w:rPr>
          <w:rFonts w:ascii="Arial" w:hAnsi="Arial" w:cs="Arial"/>
        </w:rPr>
      </w:pPr>
      <w:r>
        <w:rPr>
          <w:rFonts w:ascii="Arial" w:hAnsi="Arial" w:cs="Arial"/>
        </w:rPr>
        <w:t xml:space="preserve">Over the course of 2017/18 </w:t>
      </w:r>
      <w:r w:rsidR="00895D55">
        <w:rPr>
          <w:rFonts w:ascii="Arial" w:hAnsi="Arial" w:cs="Arial"/>
        </w:rPr>
        <w:t xml:space="preserve">129 employees left and 230 new employees joined the DBS. </w:t>
      </w:r>
      <w:r w:rsidR="00E77C4C">
        <w:rPr>
          <w:rFonts w:ascii="Arial" w:hAnsi="Arial" w:cs="Arial"/>
        </w:rPr>
        <w:t xml:space="preserve">The DBS recruitment and promotion policies are based on the Civil Service principle of fair and open competition. </w:t>
      </w:r>
    </w:p>
    <w:p w:rsidR="006869AD" w:rsidRDefault="006869AD" w:rsidP="002479F5">
      <w:pPr>
        <w:pStyle w:val="ListParagraph"/>
        <w:rPr>
          <w:rFonts w:ascii="Arial" w:hAnsi="Arial" w:cs="Arial"/>
        </w:rPr>
      </w:pPr>
    </w:p>
    <w:p w:rsidR="002E6262" w:rsidRDefault="001A4922" w:rsidP="00434B05">
      <w:pPr>
        <w:pStyle w:val="ListParagraph"/>
        <w:ind w:left="0"/>
        <w:rPr>
          <w:rFonts w:ascii="Arial" w:hAnsi="Arial" w:cs="Arial"/>
          <w:b/>
        </w:rPr>
      </w:pPr>
      <w:r>
        <w:rPr>
          <w:rFonts w:ascii="Arial" w:hAnsi="Arial" w:cs="Arial"/>
          <w:b/>
        </w:rPr>
        <w:t>Mean and median gender pay gap</w:t>
      </w:r>
    </w:p>
    <w:p w:rsidR="007E53BA" w:rsidRPr="00434B05" w:rsidRDefault="007E53BA" w:rsidP="00434B05">
      <w:pPr>
        <w:pStyle w:val="ListParagraph"/>
        <w:ind w:left="0"/>
        <w:rPr>
          <w:rFonts w:ascii="Arial" w:hAnsi="Arial" w:cs="Arial"/>
          <w:b/>
        </w:rPr>
      </w:pPr>
    </w:p>
    <w:p w:rsidR="00494713" w:rsidRDefault="00494713" w:rsidP="00494713">
      <w:pPr>
        <w:pStyle w:val="ListParagraph"/>
        <w:numPr>
          <w:ilvl w:val="1"/>
          <w:numId w:val="1"/>
        </w:numPr>
        <w:rPr>
          <w:rFonts w:ascii="Arial" w:hAnsi="Arial" w:cs="Arial"/>
        </w:rPr>
      </w:pPr>
      <w:r w:rsidRPr="001A4922">
        <w:rPr>
          <w:rFonts w:ascii="Arial" w:hAnsi="Arial" w:cs="Arial"/>
        </w:rPr>
        <w:t>The mean gender pay gap (the difference between men’s and wo</w:t>
      </w:r>
      <w:r w:rsidR="007E53BA">
        <w:rPr>
          <w:rFonts w:ascii="Arial" w:hAnsi="Arial" w:cs="Arial"/>
        </w:rPr>
        <w:t>men’s average hourly pay) is 3.5</w:t>
      </w:r>
      <w:r w:rsidRPr="001A4922">
        <w:rPr>
          <w:rFonts w:ascii="Arial" w:hAnsi="Arial" w:cs="Arial"/>
        </w:rPr>
        <w:t xml:space="preserve">% and </w:t>
      </w:r>
      <w:r w:rsidR="007E53BA">
        <w:rPr>
          <w:rFonts w:ascii="Arial" w:hAnsi="Arial" w:cs="Arial"/>
        </w:rPr>
        <w:t>the median gender pay gap is 2.3</w:t>
      </w:r>
      <w:r w:rsidRPr="001A4922">
        <w:rPr>
          <w:rFonts w:ascii="Arial" w:hAnsi="Arial" w:cs="Arial"/>
        </w:rPr>
        <w:t>%</w:t>
      </w:r>
    </w:p>
    <w:p w:rsidR="00E77C4C" w:rsidRDefault="00E77C4C" w:rsidP="00E77C4C">
      <w:pPr>
        <w:rPr>
          <w:rFonts w:ascii="Arial" w:hAnsi="Arial" w:cs="Arial"/>
        </w:rPr>
      </w:pPr>
    </w:p>
    <w:p w:rsidR="00E77C4C" w:rsidRPr="00E77C4C" w:rsidRDefault="00E77C4C" w:rsidP="00E77C4C">
      <w:pPr>
        <w:ind w:left="709"/>
        <w:rPr>
          <w:rFonts w:ascii="Arial" w:hAnsi="Arial" w:cs="Arial"/>
        </w:rPr>
      </w:pPr>
      <w:r>
        <w:rPr>
          <w:rFonts w:ascii="Arial" w:hAnsi="Arial" w:cs="Arial"/>
        </w:rPr>
        <w:t>The mean hourly rate for w</w:t>
      </w:r>
      <w:r w:rsidR="0033146E">
        <w:rPr>
          <w:rFonts w:ascii="Arial" w:hAnsi="Arial" w:cs="Arial"/>
        </w:rPr>
        <w:t>omen is £13.82 compared to £14.3</w:t>
      </w:r>
      <w:r>
        <w:rPr>
          <w:rFonts w:ascii="Arial" w:hAnsi="Arial" w:cs="Arial"/>
        </w:rPr>
        <w:t>3 for men</w:t>
      </w:r>
    </w:p>
    <w:p w:rsidR="00E9532D" w:rsidRDefault="00E9532D" w:rsidP="00E9532D">
      <w:pPr>
        <w:rPr>
          <w:rFonts w:ascii="Arial" w:hAnsi="Arial" w:cs="Arial"/>
        </w:rPr>
      </w:pPr>
    </w:p>
    <w:p w:rsidR="00E77C4C" w:rsidRDefault="00E77C4C" w:rsidP="00E77C4C">
      <w:pPr>
        <w:ind w:left="709"/>
        <w:rPr>
          <w:rFonts w:ascii="Arial" w:hAnsi="Arial" w:cs="Arial"/>
        </w:rPr>
      </w:pPr>
      <w:r>
        <w:rPr>
          <w:rFonts w:ascii="Arial" w:hAnsi="Arial" w:cs="Arial"/>
        </w:rPr>
        <w:t>The median hourly rate for women is £12.51 compared to £12.80 for men</w:t>
      </w:r>
    </w:p>
    <w:p w:rsidR="00E77C4C" w:rsidRDefault="00E77C4C" w:rsidP="00E9532D">
      <w:pPr>
        <w:rPr>
          <w:rFonts w:ascii="Arial" w:hAnsi="Arial" w:cs="Arial"/>
        </w:rPr>
      </w:pPr>
    </w:p>
    <w:p w:rsidR="00E9532D" w:rsidRDefault="00E9532D" w:rsidP="00E9532D">
      <w:pPr>
        <w:ind w:left="709"/>
        <w:rPr>
          <w:rFonts w:ascii="Arial" w:hAnsi="Arial" w:cs="Arial"/>
        </w:rPr>
      </w:pPr>
      <w:r>
        <w:rPr>
          <w:rFonts w:ascii="Arial" w:hAnsi="Arial" w:cs="Arial"/>
        </w:rPr>
        <w:t xml:space="preserve">In comparison to last years figures there has been a reduction of </w:t>
      </w:r>
      <w:r w:rsidR="00315AC3">
        <w:rPr>
          <w:rFonts w:ascii="Arial" w:hAnsi="Arial" w:cs="Arial"/>
        </w:rPr>
        <w:t>2.0% (mean average) and 2.2% (median average)</w:t>
      </w:r>
    </w:p>
    <w:p w:rsidR="00315AC3" w:rsidRDefault="00315AC3" w:rsidP="00E9532D">
      <w:pPr>
        <w:ind w:left="709"/>
        <w:rPr>
          <w:rFonts w:ascii="Arial" w:hAnsi="Arial" w:cs="Arial"/>
        </w:rPr>
      </w:pPr>
    </w:p>
    <w:tbl>
      <w:tblPr>
        <w:tblW w:w="4320" w:type="dxa"/>
        <w:tblInd w:w="2160" w:type="dxa"/>
        <w:tblLook w:val="04A0" w:firstRow="1" w:lastRow="0" w:firstColumn="1" w:lastColumn="0" w:noHBand="0" w:noVBand="1"/>
      </w:tblPr>
      <w:tblGrid>
        <w:gridCol w:w="2400"/>
        <w:gridCol w:w="960"/>
        <w:gridCol w:w="960"/>
      </w:tblGrid>
      <w:tr w:rsidR="00315AC3" w:rsidRPr="00315AC3" w:rsidTr="00972164">
        <w:trPr>
          <w:trHeight w:val="290"/>
        </w:trPr>
        <w:tc>
          <w:tcPr>
            <w:tcW w:w="2400" w:type="dxa"/>
            <w:tcBorders>
              <w:top w:val="nil"/>
              <w:left w:val="nil"/>
              <w:bottom w:val="nil"/>
              <w:right w:val="nil"/>
            </w:tcBorders>
            <w:shd w:val="clear" w:color="auto" w:fill="auto"/>
            <w:noWrap/>
            <w:vAlign w:val="center"/>
            <w:hideMark/>
          </w:tcPr>
          <w:p w:rsidR="00315AC3" w:rsidRPr="00315AC3" w:rsidRDefault="00315AC3" w:rsidP="00315AC3">
            <w:pP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AC3" w:rsidRPr="00315AC3" w:rsidRDefault="00315AC3" w:rsidP="00315AC3">
            <w:pPr>
              <w:jc w:val="center"/>
              <w:rPr>
                <w:rFonts w:ascii="Calibri" w:hAnsi="Calibri" w:cs="Calibri"/>
                <w:color w:val="000000"/>
                <w:sz w:val="22"/>
                <w:szCs w:val="22"/>
              </w:rPr>
            </w:pPr>
            <w:r w:rsidRPr="00315AC3">
              <w:rPr>
                <w:rFonts w:ascii="Calibri" w:hAnsi="Calibri" w:cs="Calibri"/>
                <w:color w:val="000000"/>
                <w:sz w:val="22"/>
                <w:szCs w:val="22"/>
              </w:rPr>
              <w:t>Mean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5AC3" w:rsidRPr="00315AC3" w:rsidRDefault="00315AC3" w:rsidP="00315AC3">
            <w:pPr>
              <w:jc w:val="center"/>
              <w:rPr>
                <w:rFonts w:ascii="Calibri" w:hAnsi="Calibri" w:cs="Calibri"/>
                <w:color w:val="000000"/>
                <w:sz w:val="22"/>
                <w:szCs w:val="22"/>
              </w:rPr>
            </w:pPr>
            <w:r w:rsidRPr="00315AC3">
              <w:rPr>
                <w:rFonts w:ascii="Calibri" w:hAnsi="Calibri" w:cs="Calibri"/>
                <w:color w:val="000000"/>
                <w:sz w:val="22"/>
                <w:szCs w:val="22"/>
              </w:rPr>
              <w:t>Median</w:t>
            </w:r>
          </w:p>
        </w:tc>
      </w:tr>
      <w:tr w:rsidR="00315AC3" w:rsidRPr="00315AC3" w:rsidTr="00972164">
        <w:trPr>
          <w:trHeight w:val="29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sidRPr="00315AC3">
              <w:rPr>
                <w:rFonts w:ascii="Calibri" w:hAnsi="Calibri" w:cs="Calibri"/>
                <w:color w:val="000000"/>
                <w:sz w:val="22"/>
                <w:szCs w:val="22"/>
              </w:rPr>
              <w:t>2018</w:t>
            </w:r>
          </w:p>
        </w:tc>
        <w:tc>
          <w:tcPr>
            <w:tcW w:w="960" w:type="dxa"/>
            <w:tcBorders>
              <w:top w:val="nil"/>
              <w:left w:val="nil"/>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Pr>
                <w:rFonts w:ascii="Calibri" w:hAnsi="Calibri" w:cs="Calibri"/>
                <w:color w:val="000000"/>
                <w:sz w:val="22"/>
                <w:szCs w:val="22"/>
              </w:rPr>
              <w:t>3.5</w:t>
            </w:r>
            <w:r w:rsidRPr="00315AC3">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Pr>
                <w:rFonts w:ascii="Calibri" w:hAnsi="Calibri" w:cs="Calibri"/>
                <w:color w:val="000000"/>
                <w:sz w:val="22"/>
                <w:szCs w:val="22"/>
              </w:rPr>
              <w:t>2.3</w:t>
            </w:r>
            <w:r w:rsidRPr="00315AC3">
              <w:rPr>
                <w:rFonts w:ascii="Calibri" w:hAnsi="Calibri" w:cs="Calibri"/>
                <w:color w:val="000000"/>
                <w:sz w:val="22"/>
                <w:szCs w:val="22"/>
              </w:rPr>
              <w:t>%</w:t>
            </w:r>
          </w:p>
        </w:tc>
      </w:tr>
      <w:tr w:rsidR="00315AC3" w:rsidRPr="00315AC3" w:rsidTr="00972164">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sidRPr="00315AC3">
              <w:rPr>
                <w:rFonts w:ascii="Calibri" w:hAnsi="Calibri" w:cs="Calibri"/>
                <w:color w:val="000000"/>
                <w:sz w:val="22"/>
                <w:szCs w:val="22"/>
              </w:rPr>
              <w:t>2017</w:t>
            </w:r>
          </w:p>
        </w:tc>
        <w:tc>
          <w:tcPr>
            <w:tcW w:w="960" w:type="dxa"/>
            <w:tcBorders>
              <w:top w:val="nil"/>
              <w:left w:val="nil"/>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Pr>
                <w:rFonts w:ascii="Calibri" w:hAnsi="Calibri" w:cs="Calibri"/>
                <w:color w:val="000000"/>
                <w:sz w:val="22"/>
                <w:szCs w:val="22"/>
              </w:rPr>
              <w:t>5.5</w:t>
            </w:r>
            <w:r w:rsidRPr="00315AC3">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315AC3" w:rsidRPr="00315AC3" w:rsidRDefault="00315AC3" w:rsidP="00315AC3">
            <w:pPr>
              <w:jc w:val="right"/>
              <w:rPr>
                <w:rFonts w:ascii="Calibri" w:hAnsi="Calibri" w:cs="Calibri"/>
                <w:color w:val="000000"/>
                <w:sz w:val="22"/>
                <w:szCs w:val="22"/>
              </w:rPr>
            </w:pPr>
            <w:r>
              <w:rPr>
                <w:rFonts w:ascii="Calibri" w:hAnsi="Calibri" w:cs="Calibri"/>
                <w:color w:val="000000"/>
                <w:sz w:val="22"/>
                <w:szCs w:val="22"/>
              </w:rPr>
              <w:t>4.5</w:t>
            </w:r>
            <w:r w:rsidRPr="00315AC3">
              <w:rPr>
                <w:rFonts w:ascii="Calibri" w:hAnsi="Calibri" w:cs="Calibri"/>
                <w:color w:val="000000"/>
                <w:sz w:val="22"/>
                <w:szCs w:val="22"/>
              </w:rPr>
              <w:t>%</w:t>
            </w:r>
          </w:p>
        </w:tc>
      </w:tr>
    </w:tbl>
    <w:p w:rsidR="00315AC3" w:rsidRPr="001A6924" w:rsidRDefault="00315AC3" w:rsidP="00E9532D">
      <w:pPr>
        <w:ind w:left="709"/>
        <w:rPr>
          <w:rFonts w:ascii="Arial" w:hAnsi="Arial" w:cs="Arial"/>
          <w:color w:val="000000" w:themeColor="text1"/>
        </w:rPr>
      </w:pPr>
    </w:p>
    <w:p w:rsidR="001A6924" w:rsidRDefault="00315AC3" w:rsidP="002E6262">
      <w:pPr>
        <w:pStyle w:val="ListParagraph"/>
        <w:numPr>
          <w:ilvl w:val="1"/>
          <w:numId w:val="1"/>
        </w:numPr>
        <w:rPr>
          <w:rFonts w:ascii="Arial" w:hAnsi="Arial" w:cs="Arial"/>
          <w:color w:val="000000" w:themeColor="text1"/>
        </w:rPr>
      </w:pPr>
      <w:r w:rsidRPr="001A6924">
        <w:rPr>
          <w:rFonts w:ascii="Arial" w:hAnsi="Arial" w:cs="Arial"/>
          <w:color w:val="000000" w:themeColor="text1"/>
        </w:rPr>
        <w:t xml:space="preserve">DBS gender pay gap compares </w:t>
      </w:r>
      <w:r w:rsidR="001A6924" w:rsidRPr="001A6924">
        <w:rPr>
          <w:rFonts w:ascii="Arial" w:hAnsi="Arial" w:cs="Arial"/>
          <w:color w:val="000000" w:themeColor="text1"/>
        </w:rPr>
        <w:t>favourably</w:t>
      </w:r>
      <w:r w:rsidRPr="001A6924">
        <w:rPr>
          <w:rFonts w:ascii="Arial" w:hAnsi="Arial" w:cs="Arial"/>
          <w:color w:val="000000" w:themeColor="text1"/>
        </w:rPr>
        <w:t xml:space="preserve"> to UK 2018 gender pay gap. </w:t>
      </w:r>
      <w:r w:rsidR="002B56A4" w:rsidRPr="001A6924">
        <w:rPr>
          <w:rFonts w:ascii="Arial" w:hAnsi="Arial" w:cs="Arial"/>
          <w:color w:val="000000" w:themeColor="text1"/>
        </w:rPr>
        <w:t xml:space="preserve">The </w:t>
      </w:r>
      <w:r w:rsidR="00D87251" w:rsidRPr="001A6924">
        <w:rPr>
          <w:rFonts w:ascii="Arial" w:hAnsi="Arial" w:cs="Arial"/>
          <w:color w:val="000000" w:themeColor="text1"/>
        </w:rPr>
        <w:t xml:space="preserve">Office for National Statistics (ONS) published </w:t>
      </w:r>
      <w:r w:rsidR="002B56A4" w:rsidRPr="001A6924">
        <w:rPr>
          <w:rFonts w:ascii="Arial" w:hAnsi="Arial" w:cs="Arial"/>
          <w:color w:val="000000" w:themeColor="text1"/>
        </w:rPr>
        <w:t>the Annual Survey of Hours and Earnings (ASHE) on 25</w:t>
      </w:r>
      <w:r w:rsidR="002B56A4" w:rsidRPr="001A6924">
        <w:rPr>
          <w:rFonts w:ascii="Arial" w:hAnsi="Arial" w:cs="Arial"/>
          <w:color w:val="000000" w:themeColor="text1"/>
          <w:vertAlign w:val="superscript"/>
        </w:rPr>
        <w:t>th</w:t>
      </w:r>
      <w:r w:rsidR="002B56A4" w:rsidRPr="001A6924">
        <w:rPr>
          <w:rFonts w:ascii="Arial" w:hAnsi="Arial" w:cs="Arial"/>
          <w:color w:val="000000" w:themeColor="text1"/>
        </w:rPr>
        <w:t xml:space="preserve"> October 2018 which revealed a gender pay gap of 17.9%. The ASHE </w:t>
      </w:r>
      <w:r w:rsidRPr="001A6924">
        <w:rPr>
          <w:rFonts w:ascii="Arial" w:hAnsi="Arial" w:cs="Arial"/>
          <w:color w:val="000000" w:themeColor="text1"/>
        </w:rPr>
        <w:t xml:space="preserve">gender pay gap methodology uses average hourly earnings, which is similar to the methodology used in this report. </w:t>
      </w:r>
    </w:p>
    <w:p w:rsidR="00494713" w:rsidRPr="001A6924" w:rsidRDefault="00D87251" w:rsidP="001A6924">
      <w:pPr>
        <w:rPr>
          <w:rFonts w:ascii="Arial" w:hAnsi="Arial" w:cs="Arial"/>
          <w:color w:val="000000" w:themeColor="text1"/>
        </w:rPr>
      </w:pPr>
      <w:r w:rsidRPr="001A6924">
        <w:rPr>
          <w:rFonts w:ascii="Arial" w:hAnsi="Arial" w:cs="Arial"/>
          <w:color w:val="000000" w:themeColor="text1"/>
        </w:rPr>
        <w:t xml:space="preserve"> </w:t>
      </w:r>
    </w:p>
    <w:p w:rsidR="001A6924" w:rsidRPr="001A6924" w:rsidRDefault="001A6924" w:rsidP="001A6924">
      <w:pPr>
        <w:pStyle w:val="ListParagraph"/>
        <w:numPr>
          <w:ilvl w:val="1"/>
          <w:numId w:val="1"/>
        </w:numPr>
        <w:rPr>
          <w:rFonts w:ascii="Arial" w:hAnsi="Arial" w:cs="Arial"/>
          <w:color w:val="000000" w:themeColor="text1"/>
        </w:rPr>
      </w:pPr>
      <w:r>
        <w:rPr>
          <w:rFonts w:ascii="Arial" w:hAnsi="Arial" w:cs="Arial"/>
          <w:color w:val="000000" w:themeColor="text1"/>
        </w:rPr>
        <w:t>The pay gap reduction can be attributed to the increase of female employees at SCS level and also an increase at SEO level as outlined in section 3.4 of the report.</w:t>
      </w:r>
      <w:r w:rsidR="001E6411">
        <w:rPr>
          <w:rFonts w:ascii="Arial" w:hAnsi="Arial" w:cs="Arial"/>
          <w:color w:val="000000" w:themeColor="text1"/>
        </w:rPr>
        <w:t xml:space="preserve"> </w:t>
      </w:r>
      <w:r w:rsidR="004C6BFC">
        <w:rPr>
          <w:rFonts w:ascii="Arial" w:hAnsi="Arial" w:cs="Arial"/>
          <w:color w:val="000000" w:themeColor="text1"/>
        </w:rPr>
        <w:t xml:space="preserve">The </w:t>
      </w:r>
      <w:r w:rsidR="001E6411">
        <w:rPr>
          <w:rFonts w:ascii="Arial" w:hAnsi="Arial" w:cs="Arial"/>
          <w:color w:val="000000" w:themeColor="text1"/>
        </w:rPr>
        <w:t>reduction in female representation in junior roles</w:t>
      </w:r>
      <w:r w:rsidR="004C6BFC">
        <w:rPr>
          <w:rFonts w:ascii="Arial" w:hAnsi="Arial" w:cs="Arial"/>
          <w:color w:val="000000" w:themeColor="text1"/>
        </w:rPr>
        <w:t xml:space="preserve"> and turnover of staff has also impacted on the reduction in the gap.</w:t>
      </w:r>
      <w:r w:rsidR="001E6411">
        <w:rPr>
          <w:rFonts w:ascii="Arial" w:hAnsi="Arial" w:cs="Arial"/>
          <w:color w:val="000000" w:themeColor="text1"/>
        </w:rPr>
        <w:t xml:space="preserve"> </w:t>
      </w:r>
    </w:p>
    <w:p w:rsidR="002E6262" w:rsidRDefault="00434B05" w:rsidP="00434B05">
      <w:pPr>
        <w:pStyle w:val="ListParagraph"/>
        <w:ind w:left="0"/>
        <w:rPr>
          <w:rFonts w:ascii="Arial" w:hAnsi="Arial" w:cs="Arial"/>
          <w:b/>
        </w:rPr>
      </w:pPr>
      <w:r>
        <w:rPr>
          <w:rFonts w:ascii="Arial" w:hAnsi="Arial" w:cs="Arial"/>
          <w:b/>
        </w:rPr>
        <w:lastRenderedPageBreak/>
        <w:t>Hourly Pay Quartiles</w:t>
      </w:r>
    </w:p>
    <w:p w:rsidR="00972164" w:rsidRPr="00434B05" w:rsidRDefault="00972164" w:rsidP="00434B05">
      <w:pPr>
        <w:pStyle w:val="ListParagraph"/>
        <w:ind w:left="0"/>
        <w:rPr>
          <w:rFonts w:ascii="Arial" w:hAnsi="Arial" w:cs="Arial"/>
          <w:b/>
        </w:rPr>
      </w:pPr>
    </w:p>
    <w:p w:rsidR="00434B05" w:rsidRDefault="00434B05" w:rsidP="002E6262">
      <w:pPr>
        <w:pStyle w:val="ListParagraph"/>
        <w:numPr>
          <w:ilvl w:val="1"/>
          <w:numId w:val="1"/>
        </w:numPr>
        <w:rPr>
          <w:rFonts w:ascii="Arial" w:hAnsi="Arial" w:cs="Arial"/>
        </w:rPr>
      </w:pPr>
      <w:r>
        <w:rPr>
          <w:rFonts w:ascii="Arial" w:hAnsi="Arial" w:cs="Arial"/>
        </w:rPr>
        <w:t>The hourly pay quartiles data show the proportion of men and women that are in each pay quartile when staff are arranged in order of hourly pay rate</w:t>
      </w:r>
    </w:p>
    <w:p w:rsidR="00434B05" w:rsidRDefault="00434B05" w:rsidP="00434B05">
      <w:pPr>
        <w:pStyle w:val="ListParagraph"/>
        <w:rPr>
          <w:rFonts w:ascii="Arial" w:hAnsi="Arial" w:cs="Arial"/>
        </w:rPr>
      </w:pPr>
    </w:p>
    <w:p w:rsidR="000E6949" w:rsidRDefault="00434B05" w:rsidP="000E6949">
      <w:pPr>
        <w:pStyle w:val="ListParagraph"/>
        <w:rPr>
          <w:rFonts w:ascii="Arial" w:hAnsi="Arial" w:cs="Arial"/>
          <w:sz w:val="20"/>
          <w:szCs w:val="20"/>
        </w:rPr>
      </w:pPr>
      <w:r w:rsidRPr="00903280">
        <w:rPr>
          <w:rFonts w:ascii="Arial" w:hAnsi="Arial" w:cs="Arial"/>
          <w:sz w:val="20"/>
          <w:szCs w:val="20"/>
        </w:rPr>
        <w:t xml:space="preserve">Figure </w:t>
      </w:r>
      <w:r w:rsidR="00204325">
        <w:rPr>
          <w:rFonts w:ascii="Arial" w:hAnsi="Arial" w:cs="Arial"/>
          <w:sz w:val="20"/>
          <w:szCs w:val="20"/>
        </w:rPr>
        <w:t xml:space="preserve">4 – </w:t>
      </w:r>
      <w:r w:rsidR="001B0B3E">
        <w:rPr>
          <w:rFonts w:ascii="Arial" w:hAnsi="Arial" w:cs="Arial"/>
          <w:sz w:val="20"/>
          <w:szCs w:val="20"/>
        </w:rPr>
        <w:t xml:space="preserve">2018 </w:t>
      </w:r>
      <w:r w:rsidR="00204325">
        <w:rPr>
          <w:rFonts w:ascii="Arial" w:hAnsi="Arial" w:cs="Arial"/>
          <w:sz w:val="20"/>
          <w:szCs w:val="20"/>
        </w:rPr>
        <w:t>Percentage of males and females in each pay quartile</w:t>
      </w:r>
    </w:p>
    <w:p w:rsidR="00896860" w:rsidRDefault="00896860" w:rsidP="000E6949">
      <w:pPr>
        <w:pStyle w:val="ListParagraph"/>
        <w:rPr>
          <w:rFonts w:ascii="Arial" w:hAnsi="Arial" w:cs="Arial"/>
          <w:sz w:val="20"/>
          <w:szCs w:val="20"/>
        </w:rPr>
      </w:pPr>
    </w:p>
    <w:tbl>
      <w:tblPr>
        <w:tblW w:w="4377" w:type="dxa"/>
        <w:tblInd w:w="2160" w:type="dxa"/>
        <w:tblLook w:val="04A0" w:firstRow="1" w:lastRow="0" w:firstColumn="1" w:lastColumn="0" w:noHBand="0" w:noVBand="1"/>
      </w:tblPr>
      <w:tblGrid>
        <w:gridCol w:w="2400"/>
        <w:gridCol w:w="1017"/>
        <w:gridCol w:w="960"/>
      </w:tblGrid>
      <w:tr w:rsidR="00896860" w:rsidRPr="00896860" w:rsidTr="00896860">
        <w:trPr>
          <w:trHeight w:val="290"/>
        </w:trPr>
        <w:tc>
          <w:tcPr>
            <w:tcW w:w="2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860" w:rsidRPr="00896860" w:rsidRDefault="00896860" w:rsidP="00896860">
            <w:pPr>
              <w:jc w:val="center"/>
              <w:rPr>
                <w:rFonts w:ascii="Arial" w:hAnsi="Arial" w:cs="Arial"/>
                <w:color w:val="000000"/>
              </w:rPr>
            </w:pPr>
            <w:r w:rsidRPr="00896860">
              <w:rPr>
                <w:rFonts w:ascii="Arial" w:hAnsi="Arial" w:cs="Arial"/>
                <w:color w:val="000000"/>
              </w:rPr>
              <w:t>Upper Quartile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47%</w:t>
            </w:r>
          </w:p>
        </w:tc>
      </w:tr>
      <w:tr w:rsidR="00896860" w:rsidRPr="00896860" w:rsidTr="00896860">
        <w:trPr>
          <w:trHeight w:val="290"/>
        </w:trPr>
        <w:tc>
          <w:tcPr>
            <w:tcW w:w="2400" w:type="dxa"/>
            <w:vMerge/>
            <w:tcBorders>
              <w:top w:val="single" w:sz="4" w:space="0" w:color="auto"/>
              <w:left w:val="single" w:sz="4" w:space="0" w:color="auto"/>
              <w:bottom w:val="single" w:sz="4" w:space="0" w:color="000000"/>
              <w:right w:val="single" w:sz="4" w:space="0" w:color="auto"/>
            </w:tcBorders>
            <w:vAlign w:val="center"/>
            <w:hideMark/>
          </w:tcPr>
          <w:p w:rsidR="00896860" w:rsidRPr="00896860" w:rsidRDefault="00896860" w:rsidP="00896860">
            <w:pP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53%</w:t>
            </w:r>
          </w:p>
        </w:tc>
      </w:tr>
      <w:tr w:rsidR="00896860" w:rsidRPr="00896860" w:rsidTr="00896860">
        <w:trPr>
          <w:trHeight w:val="290"/>
        </w:trPr>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860" w:rsidRPr="00896860" w:rsidRDefault="00896860" w:rsidP="00896860">
            <w:pPr>
              <w:jc w:val="center"/>
              <w:rPr>
                <w:rFonts w:ascii="Arial" w:hAnsi="Arial" w:cs="Arial"/>
                <w:color w:val="000000"/>
              </w:rPr>
            </w:pPr>
            <w:r w:rsidRPr="00896860">
              <w:rPr>
                <w:rFonts w:ascii="Arial" w:hAnsi="Arial" w:cs="Arial"/>
                <w:color w:val="000000"/>
              </w:rPr>
              <w:t>Third Quartile</w:t>
            </w: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38%</w:t>
            </w:r>
          </w:p>
        </w:tc>
      </w:tr>
      <w:tr w:rsidR="00896860" w:rsidRPr="00896860" w:rsidTr="00896860">
        <w:trPr>
          <w:trHeight w:val="290"/>
        </w:trPr>
        <w:tc>
          <w:tcPr>
            <w:tcW w:w="2400" w:type="dxa"/>
            <w:vMerge/>
            <w:tcBorders>
              <w:top w:val="nil"/>
              <w:left w:val="single" w:sz="4" w:space="0" w:color="auto"/>
              <w:bottom w:val="single" w:sz="4" w:space="0" w:color="000000"/>
              <w:right w:val="single" w:sz="4" w:space="0" w:color="auto"/>
            </w:tcBorders>
            <w:vAlign w:val="center"/>
            <w:hideMark/>
          </w:tcPr>
          <w:p w:rsidR="00896860" w:rsidRPr="00896860" w:rsidRDefault="00896860" w:rsidP="00896860">
            <w:pP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62%</w:t>
            </w:r>
          </w:p>
        </w:tc>
      </w:tr>
      <w:tr w:rsidR="00896860" w:rsidRPr="00896860" w:rsidTr="00896860">
        <w:trPr>
          <w:trHeight w:val="290"/>
        </w:trPr>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860" w:rsidRPr="00896860" w:rsidRDefault="00896860" w:rsidP="00896860">
            <w:pPr>
              <w:jc w:val="center"/>
              <w:rPr>
                <w:rFonts w:ascii="Arial" w:hAnsi="Arial" w:cs="Arial"/>
                <w:color w:val="000000"/>
              </w:rPr>
            </w:pPr>
            <w:r w:rsidRPr="00896860">
              <w:rPr>
                <w:rFonts w:ascii="Arial" w:hAnsi="Arial" w:cs="Arial"/>
                <w:color w:val="000000"/>
              </w:rPr>
              <w:t>Second Quartile</w:t>
            </w: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39%</w:t>
            </w:r>
          </w:p>
        </w:tc>
      </w:tr>
      <w:tr w:rsidR="00896860" w:rsidRPr="00896860" w:rsidTr="00896860">
        <w:trPr>
          <w:trHeight w:val="290"/>
        </w:trPr>
        <w:tc>
          <w:tcPr>
            <w:tcW w:w="2400" w:type="dxa"/>
            <w:vMerge/>
            <w:tcBorders>
              <w:top w:val="nil"/>
              <w:left w:val="single" w:sz="4" w:space="0" w:color="auto"/>
              <w:bottom w:val="single" w:sz="4" w:space="0" w:color="000000"/>
              <w:right w:val="single" w:sz="4" w:space="0" w:color="auto"/>
            </w:tcBorders>
            <w:vAlign w:val="center"/>
            <w:hideMark/>
          </w:tcPr>
          <w:p w:rsidR="00896860" w:rsidRPr="00896860" w:rsidRDefault="00896860" w:rsidP="00896860">
            <w:pP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61%</w:t>
            </w:r>
          </w:p>
        </w:tc>
      </w:tr>
      <w:tr w:rsidR="00896860" w:rsidRPr="00896860" w:rsidTr="00896860">
        <w:trPr>
          <w:trHeight w:val="290"/>
        </w:trPr>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860" w:rsidRPr="00896860" w:rsidRDefault="00896860" w:rsidP="00896860">
            <w:pPr>
              <w:jc w:val="center"/>
              <w:rPr>
                <w:rFonts w:ascii="Arial" w:hAnsi="Arial" w:cs="Arial"/>
                <w:color w:val="000000"/>
              </w:rPr>
            </w:pPr>
            <w:r w:rsidRPr="00896860">
              <w:rPr>
                <w:rFonts w:ascii="Arial" w:hAnsi="Arial" w:cs="Arial"/>
                <w:color w:val="000000"/>
              </w:rPr>
              <w:t>Lower Quartile</w:t>
            </w: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38%</w:t>
            </w:r>
          </w:p>
        </w:tc>
      </w:tr>
      <w:tr w:rsidR="00896860" w:rsidRPr="00896860" w:rsidTr="00896860">
        <w:trPr>
          <w:trHeight w:val="290"/>
        </w:trPr>
        <w:tc>
          <w:tcPr>
            <w:tcW w:w="2400" w:type="dxa"/>
            <w:vMerge/>
            <w:tcBorders>
              <w:top w:val="nil"/>
              <w:left w:val="single" w:sz="4" w:space="0" w:color="auto"/>
              <w:bottom w:val="single" w:sz="4" w:space="0" w:color="000000"/>
              <w:right w:val="single" w:sz="4" w:space="0" w:color="auto"/>
            </w:tcBorders>
            <w:vAlign w:val="center"/>
            <w:hideMark/>
          </w:tcPr>
          <w:p w:rsidR="00896860" w:rsidRPr="00896860" w:rsidRDefault="00896860" w:rsidP="00896860">
            <w:pP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rPr>
                <w:rFonts w:ascii="Arial" w:hAnsi="Arial" w:cs="Arial"/>
                <w:color w:val="000000"/>
              </w:rPr>
            </w:pPr>
            <w:r w:rsidRPr="00896860">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896860" w:rsidRPr="00896860" w:rsidRDefault="00896860" w:rsidP="00896860">
            <w:pPr>
              <w:jc w:val="right"/>
              <w:rPr>
                <w:rFonts w:ascii="Arial" w:hAnsi="Arial" w:cs="Arial"/>
                <w:color w:val="000000"/>
              </w:rPr>
            </w:pPr>
            <w:r w:rsidRPr="00896860">
              <w:rPr>
                <w:rFonts w:ascii="Arial" w:hAnsi="Arial" w:cs="Arial"/>
                <w:color w:val="000000"/>
              </w:rPr>
              <w:t>62%</w:t>
            </w:r>
          </w:p>
        </w:tc>
      </w:tr>
    </w:tbl>
    <w:p w:rsidR="00896860" w:rsidRDefault="00896860" w:rsidP="000E6949">
      <w:pPr>
        <w:pStyle w:val="ListParagraph"/>
        <w:rPr>
          <w:rFonts w:ascii="Arial" w:hAnsi="Arial" w:cs="Arial"/>
          <w:sz w:val="20"/>
          <w:szCs w:val="20"/>
        </w:rPr>
      </w:pPr>
    </w:p>
    <w:p w:rsidR="00204325" w:rsidRDefault="00204325" w:rsidP="002E6262">
      <w:pPr>
        <w:pStyle w:val="ListParagraph"/>
        <w:ind w:left="709"/>
        <w:rPr>
          <w:rFonts w:ascii="Arial" w:hAnsi="Arial" w:cs="Arial"/>
        </w:rPr>
      </w:pPr>
      <w:r>
        <w:rPr>
          <w:rFonts w:ascii="Arial" w:hAnsi="Arial" w:cs="Arial"/>
        </w:rPr>
        <w:t>Figure 4 demonstrates the higher proportion of female employees</w:t>
      </w:r>
      <w:r w:rsidR="003A31A6">
        <w:rPr>
          <w:rFonts w:ascii="Arial" w:hAnsi="Arial" w:cs="Arial"/>
        </w:rPr>
        <w:t xml:space="preserve"> across the lower, second and third quartiles. The higher pr</w:t>
      </w:r>
      <w:r w:rsidR="00081624">
        <w:rPr>
          <w:rFonts w:ascii="Arial" w:hAnsi="Arial" w:cs="Arial"/>
        </w:rPr>
        <w:t xml:space="preserve">oportion of male staff in </w:t>
      </w:r>
      <w:r w:rsidR="003A31A6">
        <w:rPr>
          <w:rFonts w:ascii="Arial" w:hAnsi="Arial" w:cs="Arial"/>
        </w:rPr>
        <w:t>the</w:t>
      </w:r>
      <w:r w:rsidR="00081624">
        <w:rPr>
          <w:rFonts w:ascii="Arial" w:hAnsi="Arial" w:cs="Arial"/>
        </w:rPr>
        <w:t xml:space="preserve"> upper</w:t>
      </w:r>
      <w:r w:rsidR="003A31A6">
        <w:rPr>
          <w:rFonts w:ascii="Arial" w:hAnsi="Arial" w:cs="Arial"/>
        </w:rPr>
        <w:t xml:space="preserve"> quartile impacts on the overall pay gap, although it is worth noting </w:t>
      </w:r>
      <w:r w:rsidR="00CF2A67">
        <w:rPr>
          <w:rFonts w:ascii="Arial" w:hAnsi="Arial" w:cs="Arial"/>
        </w:rPr>
        <w:t>that it is an almost even split</w:t>
      </w:r>
      <w:r w:rsidR="003B0550">
        <w:rPr>
          <w:rFonts w:ascii="Arial" w:hAnsi="Arial" w:cs="Arial"/>
        </w:rPr>
        <w:t>.</w:t>
      </w:r>
    </w:p>
    <w:p w:rsidR="00896860" w:rsidRDefault="00896860" w:rsidP="002E6262">
      <w:pPr>
        <w:pStyle w:val="ListParagraph"/>
        <w:ind w:left="709"/>
        <w:rPr>
          <w:rFonts w:ascii="Arial" w:hAnsi="Arial" w:cs="Arial"/>
        </w:rPr>
      </w:pPr>
    </w:p>
    <w:p w:rsidR="003B0550" w:rsidRDefault="001B0B3E" w:rsidP="002E6262">
      <w:pPr>
        <w:pStyle w:val="ListParagraph"/>
        <w:ind w:left="709"/>
        <w:rPr>
          <w:rFonts w:ascii="Arial" w:hAnsi="Arial" w:cs="Arial"/>
        </w:rPr>
      </w:pPr>
      <w:r>
        <w:rPr>
          <w:rFonts w:ascii="Arial" w:hAnsi="Arial" w:cs="Arial"/>
        </w:rPr>
        <w:t>In comparison to figures published last year there are now more men in the lower quartiles. Whilst the upper quartiles show no change.</w:t>
      </w:r>
      <w:r w:rsidR="004C6BFC">
        <w:rPr>
          <w:rFonts w:ascii="Arial" w:hAnsi="Arial" w:cs="Arial"/>
        </w:rPr>
        <w:t xml:space="preserve"> The upper quartile is made up of employees at HEO, SEO, Grade 7, Grade 6 and SCS employees.</w:t>
      </w:r>
    </w:p>
    <w:p w:rsidR="001B0B3E" w:rsidRDefault="001B0B3E" w:rsidP="002E6262">
      <w:pPr>
        <w:pStyle w:val="ListParagraph"/>
        <w:ind w:left="709"/>
        <w:rPr>
          <w:rFonts w:ascii="Arial" w:hAnsi="Arial" w:cs="Arial"/>
        </w:rPr>
      </w:pPr>
    </w:p>
    <w:p w:rsidR="001B0B3E" w:rsidRDefault="001B0B3E" w:rsidP="001B0B3E">
      <w:pPr>
        <w:pStyle w:val="ListParagraph"/>
        <w:rPr>
          <w:rFonts w:ascii="Arial" w:hAnsi="Arial" w:cs="Arial"/>
          <w:sz w:val="20"/>
          <w:szCs w:val="20"/>
        </w:rPr>
      </w:pPr>
      <w:r w:rsidRPr="00903280">
        <w:rPr>
          <w:rFonts w:ascii="Arial" w:hAnsi="Arial" w:cs="Arial"/>
          <w:sz w:val="20"/>
          <w:szCs w:val="20"/>
        </w:rPr>
        <w:t xml:space="preserve">Figure </w:t>
      </w:r>
      <w:r>
        <w:rPr>
          <w:rFonts w:ascii="Arial" w:hAnsi="Arial" w:cs="Arial"/>
          <w:sz w:val="20"/>
          <w:szCs w:val="20"/>
        </w:rPr>
        <w:t>5 – 2017 Percentage of males and females in each pay quartile</w:t>
      </w:r>
    </w:p>
    <w:p w:rsidR="001B0B3E" w:rsidRDefault="001B0B3E" w:rsidP="002E6262">
      <w:pPr>
        <w:pStyle w:val="ListParagraph"/>
        <w:ind w:left="709"/>
        <w:rPr>
          <w:rFonts w:ascii="Arial" w:hAnsi="Arial" w:cs="Arial"/>
        </w:rPr>
      </w:pPr>
    </w:p>
    <w:tbl>
      <w:tblPr>
        <w:tblW w:w="4340" w:type="dxa"/>
        <w:tblInd w:w="2160" w:type="dxa"/>
        <w:tblLook w:val="04A0" w:firstRow="1" w:lastRow="0" w:firstColumn="1" w:lastColumn="0" w:noHBand="0" w:noVBand="1"/>
      </w:tblPr>
      <w:tblGrid>
        <w:gridCol w:w="2420"/>
        <w:gridCol w:w="1017"/>
        <w:gridCol w:w="960"/>
      </w:tblGrid>
      <w:tr w:rsidR="001B0B3E" w:rsidRPr="001B0B3E" w:rsidTr="001B0B3E">
        <w:trPr>
          <w:trHeight w:val="29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B3E" w:rsidRPr="001B0B3E" w:rsidRDefault="001B0B3E" w:rsidP="001B0B3E">
            <w:pPr>
              <w:jc w:val="center"/>
              <w:rPr>
                <w:rFonts w:ascii="Arial" w:hAnsi="Arial" w:cs="Arial"/>
                <w:color w:val="000000"/>
              </w:rPr>
            </w:pPr>
            <w:r w:rsidRPr="001B0B3E">
              <w:rPr>
                <w:rFonts w:ascii="Arial" w:hAnsi="Arial" w:cs="Arial"/>
                <w:color w:val="000000"/>
              </w:rPr>
              <w:t>Upper Quartile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47%</w:t>
            </w:r>
          </w:p>
        </w:tc>
      </w:tr>
      <w:tr w:rsidR="001B0B3E" w:rsidRPr="001B0B3E" w:rsidTr="001B0B3E">
        <w:trPr>
          <w:trHeight w:val="29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1B0B3E" w:rsidRPr="001B0B3E" w:rsidRDefault="001B0B3E" w:rsidP="001B0B3E">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53%</w:t>
            </w:r>
          </w:p>
        </w:tc>
      </w:tr>
      <w:tr w:rsidR="001B0B3E" w:rsidRPr="001B0B3E" w:rsidTr="001B0B3E">
        <w:trPr>
          <w:trHeight w:val="290"/>
        </w:trPr>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B3E" w:rsidRPr="001B0B3E" w:rsidRDefault="001B0B3E" w:rsidP="001B0B3E">
            <w:pPr>
              <w:jc w:val="center"/>
              <w:rPr>
                <w:rFonts w:ascii="Arial" w:hAnsi="Arial" w:cs="Arial"/>
                <w:color w:val="000000"/>
              </w:rPr>
            </w:pPr>
            <w:r w:rsidRPr="001B0B3E">
              <w:rPr>
                <w:rFonts w:ascii="Arial" w:hAnsi="Arial" w:cs="Arial"/>
                <w:color w:val="000000"/>
              </w:rPr>
              <w:t>Third quartile</w:t>
            </w: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38%</w:t>
            </w:r>
          </w:p>
        </w:tc>
      </w:tr>
      <w:tr w:rsidR="001B0B3E" w:rsidRPr="001B0B3E" w:rsidTr="001B0B3E">
        <w:trPr>
          <w:trHeight w:val="290"/>
        </w:trPr>
        <w:tc>
          <w:tcPr>
            <w:tcW w:w="2420" w:type="dxa"/>
            <w:vMerge/>
            <w:tcBorders>
              <w:top w:val="nil"/>
              <w:left w:val="single" w:sz="4" w:space="0" w:color="auto"/>
              <w:bottom w:val="single" w:sz="4" w:space="0" w:color="auto"/>
              <w:right w:val="single" w:sz="4" w:space="0" w:color="auto"/>
            </w:tcBorders>
            <w:vAlign w:val="center"/>
            <w:hideMark/>
          </w:tcPr>
          <w:p w:rsidR="001B0B3E" w:rsidRPr="001B0B3E" w:rsidRDefault="001B0B3E" w:rsidP="001B0B3E">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62%</w:t>
            </w:r>
          </w:p>
        </w:tc>
      </w:tr>
      <w:tr w:rsidR="001B0B3E" w:rsidRPr="001B0B3E" w:rsidTr="001B0B3E">
        <w:trPr>
          <w:trHeight w:val="290"/>
        </w:trPr>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B3E" w:rsidRPr="001B0B3E" w:rsidRDefault="001B0B3E" w:rsidP="001B0B3E">
            <w:pPr>
              <w:jc w:val="center"/>
              <w:rPr>
                <w:rFonts w:ascii="Arial" w:hAnsi="Arial" w:cs="Arial"/>
                <w:color w:val="000000"/>
              </w:rPr>
            </w:pPr>
            <w:r w:rsidRPr="001B0B3E">
              <w:rPr>
                <w:rFonts w:ascii="Arial" w:hAnsi="Arial" w:cs="Arial"/>
                <w:color w:val="000000"/>
              </w:rPr>
              <w:t>Second Quartile</w:t>
            </w: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37%</w:t>
            </w:r>
          </w:p>
        </w:tc>
      </w:tr>
      <w:tr w:rsidR="001B0B3E" w:rsidRPr="001B0B3E" w:rsidTr="001B0B3E">
        <w:trPr>
          <w:trHeight w:val="290"/>
        </w:trPr>
        <w:tc>
          <w:tcPr>
            <w:tcW w:w="2420" w:type="dxa"/>
            <w:vMerge/>
            <w:tcBorders>
              <w:top w:val="nil"/>
              <w:left w:val="single" w:sz="4" w:space="0" w:color="auto"/>
              <w:bottom w:val="single" w:sz="4" w:space="0" w:color="auto"/>
              <w:right w:val="single" w:sz="4" w:space="0" w:color="auto"/>
            </w:tcBorders>
            <w:vAlign w:val="center"/>
            <w:hideMark/>
          </w:tcPr>
          <w:p w:rsidR="001B0B3E" w:rsidRPr="001B0B3E" w:rsidRDefault="001B0B3E" w:rsidP="001B0B3E">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63%</w:t>
            </w:r>
          </w:p>
        </w:tc>
      </w:tr>
      <w:tr w:rsidR="001B0B3E" w:rsidRPr="001B0B3E" w:rsidTr="001B0B3E">
        <w:trPr>
          <w:trHeight w:val="290"/>
        </w:trPr>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B3E" w:rsidRPr="001B0B3E" w:rsidRDefault="001B0B3E" w:rsidP="001B0B3E">
            <w:pPr>
              <w:jc w:val="center"/>
              <w:rPr>
                <w:rFonts w:ascii="Arial" w:hAnsi="Arial" w:cs="Arial"/>
                <w:color w:val="000000"/>
              </w:rPr>
            </w:pPr>
            <w:r w:rsidRPr="001B0B3E">
              <w:rPr>
                <w:rFonts w:ascii="Arial" w:hAnsi="Arial" w:cs="Arial"/>
                <w:color w:val="000000"/>
              </w:rPr>
              <w:t>Lower Quartile</w:t>
            </w: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36%</w:t>
            </w:r>
          </w:p>
        </w:tc>
      </w:tr>
      <w:tr w:rsidR="001B0B3E" w:rsidRPr="001B0B3E" w:rsidTr="001B0B3E">
        <w:trPr>
          <w:trHeight w:val="290"/>
        </w:trPr>
        <w:tc>
          <w:tcPr>
            <w:tcW w:w="2420" w:type="dxa"/>
            <w:vMerge/>
            <w:tcBorders>
              <w:top w:val="nil"/>
              <w:left w:val="single" w:sz="4" w:space="0" w:color="auto"/>
              <w:bottom w:val="single" w:sz="4" w:space="0" w:color="auto"/>
              <w:right w:val="single" w:sz="4" w:space="0" w:color="auto"/>
            </w:tcBorders>
            <w:vAlign w:val="center"/>
            <w:hideMark/>
          </w:tcPr>
          <w:p w:rsidR="001B0B3E" w:rsidRPr="001B0B3E" w:rsidRDefault="001B0B3E" w:rsidP="001B0B3E">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1B0B3E" w:rsidRPr="001B0B3E" w:rsidRDefault="001B0B3E" w:rsidP="001B0B3E">
            <w:pPr>
              <w:rPr>
                <w:rFonts w:ascii="Arial" w:hAnsi="Arial" w:cs="Arial"/>
                <w:color w:val="000000"/>
              </w:rPr>
            </w:pPr>
            <w:r w:rsidRPr="001B0B3E">
              <w:rPr>
                <w:rFonts w:ascii="Arial" w:hAnsi="Arial" w:cs="Arial"/>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1B0B3E" w:rsidRPr="001B0B3E" w:rsidRDefault="001B0B3E" w:rsidP="001B0B3E">
            <w:pPr>
              <w:jc w:val="right"/>
              <w:rPr>
                <w:rFonts w:ascii="Arial" w:hAnsi="Arial" w:cs="Arial"/>
                <w:color w:val="000000"/>
              </w:rPr>
            </w:pPr>
            <w:r w:rsidRPr="001B0B3E">
              <w:rPr>
                <w:rFonts w:ascii="Arial" w:hAnsi="Arial" w:cs="Arial"/>
                <w:color w:val="000000"/>
              </w:rPr>
              <w:t>64%</w:t>
            </w:r>
          </w:p>
        </w:tc>
      </w:tr>
    </w:tbl>
    <w:p w:rsidR="003B0550" w:rsidRDefault="003B0550" w:rsidP="002E6262">
      <w:pPr>
        <w:pStyle w:val="ListParagraph"/>
        <w:ind w:left="709"/>
        <w:rPr>
          <w:rFonts w:ascii="Arial" w:hAnsi="Arial" w:cs="Arial"/>
        </w:rPr>
      </w:pPr>
    </w:p>
    <w:p w:rsidR="001B0B3E" w:rsidRDefault="001B0B3E" w:rsidP="002E6262">
      <w:pPr>
        <w:pStyle w:val="ListParagraph"/>
        <w:ind w:left="709"/>
        <w:rPr>
          <w:rFonts w:ascii="Arial" w:hAnsi="Arial" w:cs="Arial"/>
        </w:rPr>
      </w:pPr>
    </w:p>
    <w:p w:rsidR="002E6262" w:rsidRDefault="00832616" w:rsidP="002E6262">
      <w:pPr>
        <w:pStyle w:val="ListParagraph"/>
        <w:ind w:left="0"/>
        <w:rPr>
          <w:rFonts w:ascii="Arial" w:hAnsi="Arial" w:cs="Arial"/>
          <w:b/>
        </w:rPr>
      </w:pPr>
      <w:r>
        <w:rPr>
          <w:rFonts w:ascii="Arial" w:hAnsi="Arial" w:cs="Arial"/>
          <w:b/>
        </w:rPr>
        <w:t>Bonus Pay</w:t>
      </w:r>
      <w:r w:rsidR="002E6262">
        <w:rPr>
          <w:rFonts w:ascii="Arial" w:hAnsi="Arial" w:cs="Arial"/>
          <w:b/>
        </w:rPr>
        <w:t xml:space="preserve"> </w:t>
      </w:r>
    </w:p>
    <w:p w:rsidR="00972164" w:rsidRPr="00C75735" w:rsidRDefault="00972164" w:rsidP="002E6262">
      <w:pPr>
        <w:pStyle w:val="ListParagraph"/>
        <w:ind w:left="0"/>
        <w:rPr>
          <w:rFonts w:ascii="Arial" w:hAnsi="Arial" w:cs="Arial"/>
          <w:b/>
        </w:rPr>
      </w:pPr>
    </w:p>
    <w:p w:rsidR="003A31A6" w:rsidRPr="00490620" w:rsidRDefault="001A4922" w:rsidP="003A31A6">
      <w:pPr>
        <w:pStyle w:val="ListParagraph"/>
        <w:numPr>
          <w:ilvl w:val="1"/>
          <w:numId w:val="1"/>
        </w:numPr>
        <w:rPr>
          <w:rFonts w:ascii="Arial" w:hAnsi="Arial" w:cs="Arial"/>
        </w:rPr>
      </w:pPr>
      <w:r w:rsidRPr="00490620">
        <w:rPr>
          <w:rFonts w:ascii="Arial" w:hAnsi="Arial" w:cs="Arial"/>
        </w:rPr>
        <w:t>The Disclosure &amp; Barring Service offer in year reward and recognition awards to staff based on nominations for outstanding pieces of work</w:t>
      </w:r>
      <w:r w:rsidR="0015117C" w:rsidRPr="00490620">
        <w:rPr>
          <w:rFonts w:ascii="Arial" w:hAnsi="Arial" w:cs="Arial"/>
        </w:rPr>
        <w:t>, these are awarded in the form of vouchers or through salary, both are included for the purpose of gender pay gap calculations.</w:t>
      </w:r>
    </w:p>
    <w:p w:rsidR="0015117C" w:rsidRDefault="0015117C" w:rsidP="003A31A6">
      <w:pPr>
        <w:pStyle w:val="ListParagraph"/>
        <w:rPr>
          <w:rFonts w:ascii="Arial" w:hAnsi="Arial" w:cs="Arial"/>
        </w:rPr>
      </w:pPr>
    </w:p>
    <w:p w:rsidR="00972164" w:rsidRDefault="00972164" w:rsidP="003A31A6">
      <w:pPr>
        <w:pStyle w:val="ListParagraph"/>
        <w:rPr>
          <w:rFonts w:ascii="Arial" w:hAnsi="Arial" w:cs="Arial"/>
        </w:rPr>
      </w:pPr>
    </w:p>
    <w:p w:rsidR="0015117C" w:rsidRDefault="0015117C" w:rsidP="0015117C">
      <w:pPr>
        <w:pStyle w:val="ListParagraph"/>
        <w:ind w:left="0"/>
        <w:rPr>
          <w:rFonts w:ascii="Arial" w:hAnsi="Arial" w:cs="Arial"/>
          <w:b/>
        </w:rPr>
      </w:pPr>
      <w:r>
        <w:rPr>
          <w:rFonts w:ascii="Arial" w:hAnsi="Arial" w:cs="Arial"/>
          <w:b/>
        </w:rPr>
        <w:t>Gender Bonus Pay Gap</w:t>
      </w:r>
    </w:p>
    <w:p w:rsidR="00972164" w:rsidRDefault="00972164" w:rsidP="0015117C">
      <w:pPr>
        <w:pStyle w:val="ListParagraph"/>
        <w:ind w:left="0"/>
        <w:rPr>
          <w:rFonts w:ascii="Arial" w:hAnsi="Arial" w:cs="Arial"/>
        </w:rPr>
      </w:pPr>
    </w:p>
    <w:p w:rsidR="003A31A6" w:rsidRDefault="003A31A6" w:rsidP="003A31A6">
      <w:pPr>
        <w:pStyle w:val="ListParagraph"/>
        <w:rPr>
          <w:rFonts w:ascii="Arial" w:hAnsi="Arial" w:cs="Arial"/>
        </w:rPr>
      </w:pPr>
      <w:r>
        <w:rPr>
          <w:rFonts w:ascii="Arial" w:hAnsi="Arial" w:cs="Arial"/>
        </w:rPr>
        <w:t>The mean gender bonus gap (difference between men and women) is 7.</w:t>
      </w:r>
      <w:r w:rsidR="00715B6A">
        <w:rPr>
          <w:rFonts w:ascii="Arial" w:hAnsi="Arial" w:cs="Arial"/>
        </w:rPr>
        <w:t>0</w:t>
      </w:r>
      <w:r>
        <w:rPr>
          <w:rFonts w:ascii="Arial" w:hAnsi="Arial" w:cs="Arial"/>
        </w:rPr>
        <w:t xml:space="preserve">% and the median gender bonus gap is </w:t>
      </w:r>
      <w:r w:rsidR="00845BC9">
        <w:rPr>
          <w:rFonts w:ascii="Arial" w:hAnsi="Arial" w:cs="Arial"/>
        </w:rPr>
        <w:t>-50%</w:t>
      </w:r>
      <w:r w:rsidR="00CA50DA">
        <w:rPr>
          <w:rFonts w:ascii="Arial" w:hAnsi="Arial" w:cs="Arial"/>
        </w:rPr>
        <w:t xml:space="preserve"> (in favour of women)</w:t>
      </w:r>
      <w:r w:rsidR="00845BC9">
        <w:rPr>
          <w:rFonts w:ascii="Arial" w:hAnsi="Arial" w:cs="Arial"/>
        </w:rPr>
        <w:t xml:space="preserve"> </w:t>
      </w:r>
    </w:p>
    <w:p w:rsidR="003A31A6" w:rsidRDefault="003A31A6" w:rsidP="003A31A6">
      <w:pPr>
        <w:pStyle w:val="ListParagraph"/>
        <w:rPr>
          <w:rFonts w:ascii="Arial" w:hAnsi="Arial" w:cs="Arial"/>
        </w:rPr>
      </w:pPr>
    </w:p>
    <w:p w:rsidR="00972164" w:rsidRDefault="0015117C" w:rsidP="003A31A6">
      <w:pPr>
        <w:pStyle w:val="ListParagraph"/>
        <w:rPr>
          <w:rFonts w:ascii="Arial" w:hAnsi="Arial" w:cs="Arial"/>
        </w:rPr>
      </w:pPr>
      <w:r>
        <w:rPr>
          <w:rFonts w:ascii="Arial" w:hAnsi="Arial" w:cs="Arial"/>
        </w:rPr>
        <w:lastRenderedPageBreak/>
        <w:t xml:space="preserve">In total </w:t>
      </w:r>
      <w:r w:rsidR="007176C9">
        <w:rPr>
          <w:rFonts w:ascii="Arial" w:hAnsi="Arial" w:cs="Arial"/>
        </w:rPr>
        <w:t xml:space="preserve">319 </w:t>
      </w:r>
      <w:r>
        <w:rPr>
          <w:rFonts w:ascii="Arial" w:hAnsi="Arial" w:cs="Arial"/>
        </w:rPr>
        <w:t>women re</w:t>
      </w:r>
      <w:r w:rsidR="007176C9">
        <w:rPr>
          <w:rFonts w:ascii="Arial" w:hAnsi="Arial" w:cs="Arial"/>
        </w:rPr>
        <w:t>ceived bonuses in comparison to</w:t>
      </w:r>
      <w:r>
        <w:rPr>
          <w:rFonts w:ascii="Arial" w:hAnsi="Arial" w:cs="Arial"/>
        </w:rPr>
        <w:t xml:space="preserve"> </w:t>
      </w:r>
      <w:r w:rsidR="007176C9">
        <w:rPr>
          <w:rFonts w:ascii="Arial" w:hAnsi="Arial" w:cs="Arial"/>
        </w:rPr>
        <w:t xml:space="preserve">204 </w:t>
      </w:r>
      <w:r>
        <w:rPr>
          <w:rFonts w:ascii="Arial" w:hAnsi="Arial" w:cs="Arial"/>
        </w:rPr>
        <w:t xml:space="preserve">men. The median bonus for women was </w:t>
      </w:r>
      <w:r w:rsidR="007176C9">
        <w:rPr>
          <w:rFonts w:ascii="Arial" w:hAnsi="Arial" w:cs="Arial"/>
        </w:rPr>
        <w:t xml:space="preserve">£75 </w:t>
      </w:r>
      <w:r>
        <w:rPr>
          <w:rFonts w:ascii="Arial" w:hAnsi="Arial" w:cs="Arial"/>
        </w:rPr>
        <w:t xml:space="preserve">in comparison to </w:t>
      </w:r>
      <w:r w:rsidR="00972164">
        <w:rPr>
          <w:rFonts w:ascii="Arial" w:hAnsi="Arial" w:cs="Arial"/>
        </w:rPr>
        <w:t>£50</w:t>
      </w:r>
      <w:r w:rsidR="007176C9">
        <w:rPr>
          <w:rFonts w:ascii="Arial" w:hAnsi="Arial" w:cs="Arial"/>
        </w:rPr>
        <w:t xml:space="preserve"> </w:t>
      </w:r>
      <w:r>
        <w:rPr>
          <w:rFonts w:ascii="Arial" w:hAnsi="Arial" w:cs="Arial"/>
        </w:rPr>
        <w:t xml:space="preserve">for men. </w:t>
      </w:r>
    </w:p>
    <w:p w:rsidR="00972164" w:rsidRDefault="00972164" w:rsidP="003A31A6">
      <w:pPr>
        <w:pStyle w:val="ListParagraph"/>
        <w:rPr>
          <w:rFonts w:ascii="Arial" w:hAnsi="Arial" w:cs="Arial"/>
        </w:rPr>
      </w:pPr>
    </w:p>
    <w:tbl>
      <w:tblPr>
        <w:tblW w:w="4340" w:type="dxa"/>
        <w:tblInd w:w="2160" w:type="dxa"/>
        <w:tblLook w:val="04A0" w:firstRow="1" w:lastRow="0" w:firstColumn="1" w:lastColumn="0" w:noHBand="0" w:noVBand="1"/>
      </w:tblPr>
      <w:tblGrid>
        <w:gridCol w:w="2420"/>
        <w:gridCol w:w="960"/>
        <w:gridCol w:w="960"/>
      </w:tblGrid>
      <w:tr w:rsidR="00972164" w:rsidRPr="00972164" w:rsidTr="00972164">
        <w:trPr>
          <w:trHeight w:val="290"/>
        </w:trPr>
        <w:tc>
          <w:tcPr>
            <w:tcW w:w="2420" w:type="dxa"/>
            <w:tcBorders>
              <w:top w:val="nil"/>
              <w:left w:val="nil"/>
              <w:bottom w:val="nil"/>
              <w:right w:val="nil"/>
            </w:tcBorders>
            <w:shd w:val="clear" w:color="auto" w:fill="auto"/>
            <w:noWrap/>
            <w:vAlign w:val="center"/>
            <w:hideMark/>
          </w:tcPr>
          <w:p w:rsidR="00972164" w:rsidRPr="00972164" w:rsidRDefault="00972164" w:rsidP="00972164">
            <w:pP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164" w:rsidRPr="00972164" w:rsidRDefault="00972164" w:rsidP="00972164">
            <w:pPr>
              <w:jc w:val="center"/>
              <w:rPr>
                <w:rFonts w:ascii="Calibri" w:hAnsi="Calibri" w:cs="Calibri"/>
                <w:color w:val="000000"/>
                <w:sz w:val="22"/>
                <w:szCs w:val="22"/>
              </w:rPr>
            </w:pPr>
            <w:r w:rsidRPr="00972164">
              <w:rPr>
                <w:rFonts w:ascii="Calibri" w:hAnsi="Calibri" w:cs="Calibri"/>
                <w:color w:val="000000"/>
                <w:sz w:val="22"/>
                <w:szCs w:val="22"/>
              </w:rPr>
              <w:t>Mean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2164" w:rsidRPr="00972164" w:rsidRDefault="00972164" w:rsidP="00972164">
            <w:pPr>
              <w:jc w:val="center"/>
              <w:rPr>
                <w:rFonts w:ascii="Calibri" w:hAnsi="Calibri" w:cs="Calibri"/>
                <w:color w:val="000000"/>
                <w:sz w:val="22"/>
                <w:szCs w:val="22"/>
              </w:rPr>
            </w:pPr>
            <w:r w:rsidRPr="00972164">
              <w:rPr>
                <w:rFonts w:ascii="Calibri" w:hAnsi="Calibri" w:cs="Calibri"/>
                <w:color w:val="000000"/>
                <w:sz w:val="22"/>
                <w:szCs w:val="22"/>
              </w:rPr>
              <w:t>Median</w:t>
            </w:r>
          </w:p>
        </w:tc>
      </w:tr>
      <w:tr w:rsidR="00972164" w:rsidRPr="00972164" w:rsidTr="00972164">
        <w:trPr>
          <w:trHeight w:val="29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2018</w:t>
            </w:r>
          </w:p>
        </w:tc>
        <w:tc>
          <w:tcPr>
            <w:tcW w:w="960" w:type="dxa"/>
            <w:tcBorders>
              <w:top w:val="nil"/>
              <w:left w:val="nil"/>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-50.0%</w:t>
            </w:r>
          </w:p>
        </w:tc>
      </w:tr>
      <w:tr w:rsidR="00972164" w:rsidRPr="00972164" w:rsidTr="00972164">
        <w:trPr>
          <w:trHeight w:val="29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2017</w:t>
            </w:r>
          </w:p>
        </w:tc>
        <w:tc>
          <w:tcPr>
            <w:tcW w:w="960" w:type="dxa"/>
            <w:tcBorders>
              <w:top w:val="nil"/>
              <w:left w:val="nil"/>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972164" w:rsidRPr="00972164" w:rsidRDefault="00972164" w:rsidP="00972164">
            <w:pPr>
              <w:jc w:val="right"/>
              <w:rPr>
                <w:rFonts w:ascii="Calibri" w:hAnsi="Calibri" w:cs="Calibri"/>
                <w:color w:val="000000"/>
                <w:sz w:val="22"/>
                <w:szCs w:val="22"/>
              </w:rPr>
            </w:pPr>
            <w:r w:rsidRPr="00972164">
              <w:rPr>
                <w:rFonts w:ascii="Calibri" w:hAnsi="Calibri" w:cs="Calibri"/>
                <w:color w:val="000000"/>
                <w:sz w:val="22"/>
                <w:szCs w:val="22"/>
              </w:rPr>
              <w:t>36.8%</w:t>
            </w:r>
          </w:p>
        </w:tc>
      </w:tr>
    </w:tbl>
    <w:p w:rsidR="0015117C" w:rsidRDefault="0015117C" w:rsidP="003A31A6">
      <w:pPr>
        <w:pStyle w:val="ListParagraph"/>
        <w:rPr>
          <w:rFonts w:ascii="Arial" w:hAnsi="Arial" w:cs="Arial"/>
        </w:rPr>
      </w:pPr>
    </w:p>
    <w:p w:rsidR="00BC7091" w:rsidRDefault="0015117C" w:rsidP="0015117C">
      <w:pPr>
        <w:pStyle w:val="ListParagraph"/>
        <w:ind w:left="0"/>
        <w:rPr>
          <w:rFonts w:ascii="Arial" w:hAnsi="Arial" w:cs="Arial"/>
        </w:rPr>
      </w:pPr>
      <w:r>
        <w:rPr>
          <w:rFonts w:ascii="Arial" w:hAnsi="Arial" w:cs="Arial"/>
          <w:b/>
        </w:rPr>
        <w:t>Proportion of employees receiving a bonus</w:t>
      </w:r>
    </w:p>
    <w:p w:rsidR="003A31A6" w:rsidRPr="001A4922" w:rsidRDefault="003A31A6" w:rsidP="003A31A6">
      <w:pPr>
        <w:pStyle w:val="ListParagraph"/>
        <w:rPr>
          <w:rFonts w:ascii="Arial" w:hAnsi="Arial" w:cs="Arial"/>
        </w:rPr>
      </w:pPr>
      <w:r>
        <w:rPr>
          <w:rFonts w:ascii="Arial" w:hAnsi="Arial" w:cs="Arial"/>
        </w:rPr>
        <w:t>The proportion of</w:t>
      </w:r>
      <w:r w:rsidR="007176C9">
        <w:rPr>
          <w:rFonts w:ascii="Arial" w:hAnsi="Arial" w:cs="Arial"/>
        </w:rPr>
        <w:t xml:space="preserve"> women receiving bonuses was 51</w:t>
      </w:r>
      <w:r>
        <w:rPr>
          <w:rFonts w:ascii="Arial" w:hAnsi="Arial" w:cs="Arial"/>
        </w:rPr>
        <w:t>%</w:t>
      </w:r>
      <w:r w:rsidR="007176C9">
        <w:rPr>
          <w:rFonts w:ascii="Arial" w:hAnsi="Arial" w:cs="Arial"/>
        </w:rPr>
        <w:t xml:space="preserve"> and the proportion men was 49</w:t>
      </w:r>
      <w:r>
        <w:rPr>
          <w:rFonts w:ascii="Arial" w:hAnsi="Arial" w:cs="Arial"/>
        </w:rPr>
        <w:t xml:space="preserve">% </w:t>
      </w:r>
    </w:p>
    <w:p w:rsidR="007176C9" w:rsidRDefault="007176C9" w:rsidP="0015117C">
      <w:pPr>
        <w:pStyle w:val="ListParagraph"/>
        <w:ind w:left="0"/>
        <w:rPr>
          <w:rFonts w:ascii="Arial" w:hAnsi="Arial" w:cs="Arial"/>
        </w:rPr>
      </w:pPr>
    </w:p>
    <w:p w:rsidR="00832616" w:rsidRDefault="00972164" w:rsidP="00832616">
      <w:pPr>
        <w:pStyle w:val="ListParagraph"/>
        <w:rPr>
          <w:rFonts w:ascii="Arial" w:hAnsi="Arial" w:cs="Arial"/>
          <w:sz w:val="20"/>
          <w:szCs w:val="20"/>
        </w:rPr>
      </w:pPr>
      <w:r>
        <w:rPr>
          <w:rFonts w:ascii="Arial" w:hAnsi="Arial" w:cs="Arial"/>
          <w:sz w:val="20"/>
          <w:szCs w:val="20"/>
        </w:rPr>
        <w:t>Figure 6</w:t>
      </w:r>
      <w:r w:rsidR="0015117C" w:rsidRPr="0015117C">
        <w:rPr>
          <w:rFonts w:ascii="Arial" w:hAnsi="Arial" w:cs="Arial"/>
          <w:sz w:val="20"/>
          <w:szCs w:val="20"/>
        </w:rPr>
        <w:t xml:space="preserve"> – Proportion of employees receiving a bonus</w:t>
      </w:r>
    </w:p>
    <w:p w:rsidR="007176C9" w:rsidRDefault="007176C9" w:rsidP="00832616">
      <w:pPr>
        <w:pStyle w:val="ListParagraph"/>
        <w:rPr>
          <w:rFonts w:ascii="Arial" w:hAnsi="Arial" w:cs="Arial"/>
          <w:sz w:val="20"/>
          <w:szCs w:val="20"/>
        </w:rPr>
      </w:pPr>
    </w:p>
    <w:p w:rsidR="007176C9" w:rsidRDefault="007176C9" w:rsidP="007176C9">
      <w:pPr>
        <w:pStyle w:val="ListParagraph"/>
        <w:ind w:left="1440"/>
        <w:rPr>
          <w:rFonts w:ascii="Arial" w:hAnsi="Arial" w:cs="Arial"/>
          <w:sz w:val="20"/>
          <w:szCs w:val="20"/>
        </w:rPr>
      </w:pPr>
      <w:r>
        <w:rPr>
          <w:noProof/>
        </w:rPr>
        <w:drawing>
          <wp:inline distT="0" distB="0" distL="0" distR="0" wp14:anchorId="002DED30" wp14:editId="41922AFA">
            <wp:extent cx="3979182" cy="2080986"/>
            <wp:effectExtent l="0" t="0" r="2540" b="14605"/>
            <wp:docPr id="6" name="Chart 6">
              <a:extLst xmlns:a="http://schemas.openxmlformats.org/drawingml/2006/main">
                <a:ext uri="{FF2B5EF4-FFF2-40B4-BE49-F238E27FC236}">
                  <a16:creationId xmlns:a16="http://schemas.microsoft.com/office/drawing/2014/main" id="{48257D2D-1F46-47ED-B3AB-59982588E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6C9" w:rsidRDefault="007176C9" w:rsidP="00832616">
      <w:pPr>
        <w:pStyle w:val="ListParagraph"/>
        <w:rPr>
          <w:rFonts w:ascii="Arial" w:hAnsi="Arial" w:cs="Arial"/>
          <w:sz w:val="20"/>
          <w:szCs w:val="20"/>
        </w:rPr>
      </w:pPr>
    </w:p>
    <w:p w:rsidR="002E6262" w:rsidRDefault="00832616" w:rsidP="002E6262">
      <w:pPr>
        <w:pStyle w:val="ListParagraph"/>
        <w:numPr>
          <w:ilvl w:val="0"/>
          <w:numId w:val="1"/>
        </w:numPr>
        <w:rPr>
          <w:rFonts w:ascii="Arial" w:hAnsi="Arial" w:cs="Arial"/>
          <w:b/>
        </w:rPr>
      </w:pPr>
      <w:r>
        <w:rPr>
          <w:rFonts w:ascii="Arial" w:hAnsi="Arial" w:cs="Arial"/>
          <w:b/>
        </w:rPr>
        <w:t>Actions</w:t>
      </w:r>
    </w:p>
    <w:p w:rsidR="00903280" w:rsidRPr="004E08FE" w:rsidRDefault="00903280" w:rsidP="00903280">
      <w:pPr>
        <w:pStyle w:val="ListParagraph"/>
        <w:rPr>
          <w:rFonts w:ascii="Arial" w:hAnsi="Arial" w:cs="Arial"/>
          <w:b/>
        </w:rPr>
      </w:pPr>
    </w:p>
    <w:p w:rsidR="002E6262" w:rsidRPr="00265832" w:rsidRDefault="00265832" w:rsidP="002E6262">
      <w:pPr>
        <w:pStyle w:val="ListParagraph"/>
        <w:numPr>
          <w:ilvl w:val="1"/>
          <w:numId w:val="1"/>
        </w:numPr>
        <w:rPr>
          <w:rFonts w:ascii="Arial" w:hAnsi="Arial" w:cs="Arial"/>
          <w:b/>
        </w:rPr>
      </w:pPr>
      <w:r>
        <w:rPr>
          <w:rFonts w:ascii="Arial" w:hAnsi="Arial" w:cs="Arial"/>
        </w:rPr>
        <w:t>DBS is committed to improving equality of its pay and reward strategy and will look to address any issues in relation to gender</w:t>
      </w:r>
      <w:r w:rsidR="00490620">
        <w:rPr>
          <w:rFonts w:ascii="Arial" w:hAnsi="Arial" w:cs="Arial"/>
        </w:rPr>
        <w:t>.</w:t>
      </w:r>
      <w:r>
        <w:rPr>
          <w:rFonts w:ascii="Arial" w:hAnsi="Arial" w:cs="Arial"/>
        </w:rPr>
        <w:t xml:space="preserve"> </w:t>
      </w:r>
      <w:r w:rsidR="00490620">
        <w:rPr>
          <w:rFonts w:ascii="Arial" w:hAnsi="Arial" w:cs="Arial"/>
        </w:rPr>
        <w:t>DBS regularly monitors equality within the workforce and also has a wider equality and diversity agenda which endeavours to ensure that fair and equitable practices exist. There is scope to make</w:t>
      </w:r>
      <w:r w:rsidR="00203AB8">
        <w:rPr>
          <w:rFonts w:ascii="Arial" w:hAnsi="Arial" w:cs="Arial"/>
        </w:rPr>
        <w:t xml:space="preserve"> further improvements which are outlined in the following actions</w:t>
      </w:r>
      <w:r w:rsidR="0033146E">
        <w:rPr>
          <w:rFonts w:ascii="Arial" w:hAnsi="Arial" w:cs="Arial"/>
        </w:rPr>
        <w:t>:</w:t>
      </w:r>
    </w:p>
    <w:p w:rsidR="004629E0" w:rsidRDefault="004629E0" w:rsidP="00265832">
      <w:pPr>
        <w:pStyle w:val="ListParagraph"/>
        <w:rPr>
          <w:rFonts w:ascii="Arial" w:hAnsi="Arial" w:cs="Arial"/>
        </w:rPr>
      </w:pPr>
    </w:p>
    <w:p w:rsidR="004629E0" w:rsidRDefault="004629E0" w:rsidP="004629E0">
      <w:pPr>
        <w:ind w:left="709"/>
        <w:rPr>
          <w:rFonts w:ascii="Arial" w:hAnsi="Arial" w:cs="Arial"/>
        </w:rPr>
      </w:pPr>
      <w:r w:rsidRPr="004629E0">
        <w:rPr>
          <w:rFonts w:ascii="Arial" w:hAnsi="Arial" w:cs="Arial"/>
          <w:b/>
        </w:rPr>
        <w:t>Equal Pay Audit</w:t>
      </w:r>
    </w:p>
    <w:p w:rsidR="004629E0" w:rsidRDefault="00203AB8" w:rsidP="004629E0">
      <w:pPr>
        <w:pStyle w:val="ListParagraph"/>
        <w:numPr>
          <w:ilvl w:val="0"/>
          <w:numId w:val="4"/>
        </w:numPr>
        <w:rPr>
          <w:rFonts w:ascii="Arial" w:hAnsi="Arial" w:cs="Arial"/>
        </w:rPr>
      </w:pPr>
      <w:r>
        <w:rPr>
          <w:rFonts w:ascii="Arial" w:hAnsi="Arial" w:cs="Arial"/>
        </w:rPr>
        <w:t xml:space="preserve">Continue to </w:t>
      </w:r>
      <w:r w:rsidR="004629E0">
        <w:rPr>
          <w:rFonts w:ascii="Arial" w:hAnsi="Arial" w:cs="Arial"/>
        </w:rPr>
        <w:t xml:space="preserve">conduct an </w:t>
      </w:r>
      <w:r>
        <w:rPr>
          <w:rFonts w:ascii="Arial" w:hAnsi="Arial" w:cs="Arial"/>
        </w:rPr>
        <w:t>annual equal pay audit</w:t>
      </w:r>
      <w:r w:rsidR="00107F44">
        <w:rPr>
          <w:rFonts w:ascii="Arial" w:hAnsi="Arial" w:cs="Arial"/>
        </w:rPr>
        <w:t xml:space="preserve"> </w:t>
      </w:r>
      <w:r w:rsidR="004629E0">
        <w:rPr>
          <w:rFonts w:ascii="Arial" w:hAnsi="Arial" w:cs="Arial"/>
        </w:rPr>
        <w:t>to identify any potential areas for improvement</w:t>
      </w:r>
      <w:r w:rsidR="00107F44">
        <w:rPr>
          <w:rFonts w:ascii="Arial" w:hAnsi="Arial" w:cs="Arial"/>
        </w:rPr>
        <w:t xml:space="preserve"> and considerations for the annual pay award.</w:t>
      </w:r>
    </w:p>
    <w:p w:rsidR="004629E0" w:rsidRDefault="004629E0" w:rsidP="004629E0">
      <w:pPr>
        <w:rPr>
          <w:rFonts w:ascii="Arial" w:hAnsi="Arial" w:cs="Arial"/>
        </w:rPr>
      </w:pPr>
    </w:p>
    <w:p w:rsidR="00A767B5" w:rsidRDefault="00C1073A" w:rsidP="00A767B5">
      <w:pPr>
        <w:ind w:left="720"/>
        <w:rPr>
          <w:rFonts w:ascii="Arial" w:hAnsi="Arial" w:cs="Arial"/>
          <w:b/>
        </w:rPr>
      </w:pPr>
      <w:r>
        <w:rPr>
          <w:rFonts w:ascii="Arial" w:hAnsi="Arial" w:cs="Arial"/>
          <w:b/>
        </w:rPr>
        <w:t>Attract,</w:t>
      </w:r>
      <w:r w:rsidR="00A767B5" w:rsidRPr="00A767B5">
        <w:rPr>
          <w:rFonts w:ascii="Arial" w:hAnsi="Arial" w:cs="Arial"/>
          <w:b/>
        </w:rPr>
        <w:t xml:space="preserve"> Retain</w:t>
      </w:r>
      <w:r>
        <w:rPr>
          <w:rFonts w:ascii="Arial" w:hAnsi="Arial" w:cs="Arial"/>
          <w:b/>
        </w:rPr>
        <w:t xml:space="preserve"> &amp; Develop</w:t>
      </w:r>
    </w:p>
    <w:p w:rsidR="00107F44" w:rsidRPr="00107F44" w:rsidRDefault="00107F44" w:rsidP="00107F44">
      <w:pPr>
        <w:pStyle w:val="ListParagraph"/>
        <w:numPr>
          <w:ilvl w:val="0"/>
          <w:numId w:val="4"/>
        </w:numPr>
        <w:rPr>
          <w:rFonts w:ascii="Arial" w:hAnsi="Arial" w:cs="Arial"/>
          <w:b/>
        </w:rPr>
      </w:pPr>
      <w:r>
        <w:rPr>
          <w:rFonts w:ascii="Arial" w:hAnsi="Arial" w:cs="Arial"/>
        </w:rPr>
        <w:t xml:space="preserve">As part of its people agenda the DBS are investigating </w:t>
      </w:r>
      <w:r w:rsidR="00C1073A">
        <w:rPr>
          <w:rFonts w:ascii="Arial" w:hAnsi="Arial" w:cs="Arial"/>
        </w:rPr>
        <w:t xml:space="preserve">a range of </w:t>
      </w:r>
      <w:r>
        <w:rPr>
          <w:rFonts w:ascii="Arial" w:hAnsi="Arial" w:cs="Arial"/>
        </w:rPr>
        <w:t xml:space="preserve">methodologies to attract and retain a workforce </w:t>
      </w:r>
      <w:r w:rsidR="005630C6">
        <w:rPr>
          <w:rFonts w:ascii="Arial" w:hAnsi="Arial" w:cs="Arial"/>
        </w:rPr>
        <w:t xml:space="preserve">with </w:t>
      </w:r>
      <w:r w:rsidR="00C1073A">
        <w:rPr>
          <w:rFonts w:ascii="Arial" w:hAnsi="Arial" w:cs="Arial"/>
        </w:rPr>
        <w:t xml:space="preserve">the </w:t>
      </w:r>
      <w:r w:rsidR="005630C6">
        <w:rPr>
          <w:rFonts w:ascii="Arial" w:hAnsi="Arial" w:cs="Arial"/>
        </w:rPr>
        <w:t xml:space="preserve">capabilities and resource to deliver </w:t>
      </w:r>
      <w:r w:rsidR="001B2736">
        <w:rPr>
          <w:rFonts w:ascii="Arial" w:hAnsi="Arial" w:cs="Arial"/>
        </w:rPr>
        <w:t>its strategic objectives.</w:t>
      </w:r>
      <w:r w:rsidR="00C1073A">
        <w:rPr>
          <w:rFonts w:ascii="Arial" w:hAnsi="Arial" w:cs="Arial"/>
        </w:rPr>
        <w:t xml:space="preserve"> Consideration will be given to the reward proposition and how this impacts on the composition of the workforce. This is a piece of ongoing work and the output will be considered by the executive leadership team.</w:t>
      </w:r>
      <w:r w:rsidR="001B2736">
        <w:rPr>
          <w:rFonts w:ascii="Arial" w:hAnsi="Arial" w:cs="Arial"/>
        </w:rPr>
        <w:t xml:space="preserve"> </w:t>
      </w:r>
    </w:p>
    <w:p w:rsidR="00A767B5" w:rsidRPr="00A767B5" w:rsidRDefault="00066F99" w:rsidP="00A767B5">
      <w:pPr>
        <w:pStyle w:val="ListParagraph"/>
        <w:numPr>
          <w:ilvl w:val="0"/>
          <w:numId w:val="4"/>
        </w:numPr>
        <w:rPr>
          <w:rFonts w:ascii="Arial" w:hAnsi="Arial" w:cs="Arial"/>
          <w:b/>
        </w:rPr>
      </w:pPr>
      <w:r>
        <w:rPr>
          <w:rFonts w:ascii="Arial" w:hAnsi="Arial" w:cs="Arial"/>
        </w:rPr>
        <w:t xml:space="preserve">DBS has recently begun using success profiles and will continue update recruitment methodologies during 2018 /19. Success profiles moves away from using purely competency based assessment and draws on </w:t>
      </w:r>
      <w:r w:rsidRPr="00066F99">
        <w:rPr>
          <w:rFonts w:ascii="Arial" w:hAnsi="Arial" w:cs="Arial"/>
        </w:rPr>
        <w:t>behaviours, strengths, ability, experience and</w:t>
      </w:r>
      <w:r>
        <w:rPr>
          <w:rFonts w:ascii="Arial" w:hAnsi="Arial" w:cs="Arial"/>
        </w:rPr>
        <w:t xml:space="preserve"> technical skills  to find the most suitable candidate for the role.</w:t>
      </w:r>
    </w:p>
    <w:sectPr w:rsidR="00A767B5" w:rsidRPr="00A767B5" w:rsidSect="0040266A">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36" w:rsidRDefault="00A14636" w:rsidP="002E6262">
      <w:r>
        <w:separator/>
      </w:r>
    </w:p>
  </w:endnote>
  <w:endnote w:type="continuationSeparator" w:id="0">
    <w:p w:rsidR="00A14636" w:rsidRDefault="00A14636" w:rsidP="002E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36" w:rsidRDefault="00A14636" w:rsidP="002E6262">
      <w:r>
        <w:separator/>
      </w:r>
    </w:p>
  </w:footnote>
  <w:footnote w:type="continuationSeparator" w:id="0">
    <w:p w:rsidR="00A14636" w:rsidRDefault="00A14636" w:rsidP="002E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5A4"/>
    <w:multiLevelType w:val="hybridMultilevel"/>
    <w:tmpl w:val="7A7422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33B41AF"/>
    <w:multiLevelType w:val="multilevel"/>
    <w:tmpl w:val="7A9C401C"/>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i w:val="0"/>
      </w:rPr>
    </w:lvl>
    <w:lvl w:ilvl="2">
      <w:start w:val="1"/>
      <w:numFmt w:val="lowerLetter"/>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55610A"/>
    <w:multiLevelType w:val="hybridMultilevel"/>
    <w:tmpl w:val="2B42F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E47DCB"/>
    <w:multiLevelType w:val="hybridMultilevel"/>
    <w:tmpl w:val="4D367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62"/>
    <w:rsid w:val="000366C8"/>
    <w:rsid w:val="00060506"/>
    <w:rsid w:val="00066F99"/>
    <w:rsid w:val="00081624"/>
    <w:rsid w:val="00091B43"/>
    <w:rsid w:val="000B0114"/>
    <w:rsid w:val="000E024A"/>
    <w:rsid w:val="000E6949"/>
    <w:rsid w:val="000E746B"/>
    <w:rsid w:val="00107F44"/>
    <w:rsid w:val="00116EAC"/>
    <w:rsid w:val="0015117C"/>
    <w:rsid w:val="00157043"/>
    <w:rsid w:val="00175CBC"/>
    <w:rsid w:val="00186C6B"/>
    <w:rsid w:val="00192051"/>
    <w:rsid w:val="00192608"/>
    <w:rsid w:val="001A4922"/>
    <w:rsid w:val="001A6924"/>
    <w:rsid w:val="001B0B3E"/>
    <w:rsid w:val="001B2736"/>
    <w:rsid w:val="001C1249"/>
    <w:rsid w:val="001C2D30"/>
    <w:rsid w:val="001E6411"/>
    <w:rsid w:val="00203AB8"/>
    <w:rsid w:val="00204325"/>
    <w:rsid w:val="00220A39"/>
    <w:rsid w:val="00234980"/>
    <w:rsid w:val="00247295"/>
    <w:rsid w:val="002479F5"/>
    <w:rsid w:val="00265832"/>
    <w:rsid w:val="0026739C"/>
    <w:rsid w:val="002818F6"/>
    <w:rsid w:val="00281926"/>
    <w:rsid w:val="0029083C"/>
    <w:rsid w:val="002952FD"/>
    <w:rsid w:val="002A22ED"/>
    <w:rsid w:val="002A2DF3"/>
    <w:rsid w:val="002A6D37"/>
    <w:rsid w:val="002B33A8"/>
    <w:rsid w:val="002B56A4"/>
    <w:rsid w:val="002C3A30"/>
    <w:rsid w:val="002D0CCA"/>
    <w:rsid w:val="002E6262"/>
    <w:rsid w:val="00302B41"/>
    <w:rsid w:val="003057BF"/>
    <w:rsid w:val="00315AC3"/>
    <w:rsid w:val="003206BB"/>
    <w:rsid w:val="0032315A"/>
    <w:rsid w:val="003249C0"/>
    <w:rsid w:val="0033146E"/>
    <w:rsid w:val="00336F91"/>
    <w:rsid w:val="003451D2"/>
    <w:rsid w:val="003469BF"/>
    <w:rsid w:val="0035655D"/>
    <w:rsid w:val="003807EE"/>
    <w:rsid w:val="003A31A6"/>
    <w:rsid w:val="003B0550"/>
    <w:rsid w:val="003B7EC0"/>
    <w:rsid w:val="003C124D"/>
    <w:rsid w:val="003C1CE0"/>
    <w:rsid w:val="003C3E1E"/>
    <w:rsid w:val="003F52BF"/>
    <w:rsid w:val="0040266A"/>
    <w:rsid w:val="00432EF3"/>
    <w:rsid w:val="00434B05"/>
    <w:rsid w:val="00435FF8"/>
    <w:rsid w:val="0044148A"/>
    <w:rsid w:val="0045006C"/>
    <w:rsid w:val="004629E0"/>
    <w:rsid w:val="00482124"/>
    <w:rsid w:val="00482B19"/>
    <w:rsid w:val="00482C79"/>
    <w:rsid w:val="00490216"/>
    <w:rsid w:val="00490620"/>
    <w:rsid w:val="00494713"/>
    <w:rsid w:val="00497434"/>
    <w:rsid w:val="004A55D9"/>
    <w:rsid w:val="004B51F4"/>
    <w:rsid w:val="004C60E6"/>
    <w:rsid w:val="004C6BFC"/>
    <w:rsid w:val="004D29C6"/>
    <w:rsid w:val="004D4553"/>
    <w:rsid w:val="004F20FD"/>
    <w:rsid w:val="0053479C"/>
    <w:rsid w:val="00541B86"/>
    <w:rsid w:val="00546553"/>
    <w:rsid w:val="00550F14"/>
    <w:rsid w:val="00553282"/>
    <w:rsid w:val="005630C6"/>
    <w:rsid w:val="00572C9E"/>
    <w:rsid w:val="00592A15"/>
    <w:rsid w:val="005A0E71"/>
    <w:rsid w:val="005F7E55"/>
    <w:rsid w:val="00620B71"/>
    <w:rsid w:val="00623283"/>
    <w:rsid w:val="00632EFF"/>
    <w:rsid w:val="00641092"/>
    <w:rsid w:val="0065405E"/>
    <w:rsid w:val="0065617E"/>
    <w:rsid w:val="0068271A"/>
    <w:rsid w:val="006869AD"/>
    <w:rsid w:val="00686CBD"/>
    <w:rsid w:val="006B0AEE"/>
    <w:rsid w:val="006C7495"/>
    <w:rsid w:val="006E444D"/>
    <w:rsid w:val="007006F0"/>
    <w:rsid w:val="00700F58"/>
    <w:rsid w:val="00715B6A"/>
    <w:rsid w:val="007176C9"/>
    <w:rsid w:val="00735EFB"/>
    <w:rsid w:val="007412B2"/>
    <w:rsid w:val="007413B1"/>
    <w:rsid w:val="0075791E"/>
    <w:rsid w:val="0076090A"/>
    <w:rsid w:val="007E53BA"/>
    <w:rsid w:val="007F016B"/>
    <w:rsid w:val="007F025B"/>
    <w:rsid w:val="00804BD7"/>
    <w:rsid w:val="00807861"/>
    <w:rsid w:val="00832616"/>
    <w:rsid w:val="00832A6F"/>
    <w:rsid w:val="00845BC9"/>
    <w:rsid w:val="00846877"/>
    <w:rsid w:val="00846BC8"/>
    <w:rsid w:val="008829B9"/>
    <w:rsid w:val="008912B6"/>
    <w:rsid w:val="00892AAF"/>
    <w:rsid w:val="008938D6"/>
    <w:rsid w:val="00895D55"/>
    <w:rsid w:val="00896860"/>
    <w:rsid w:val="00897590"/>
    <w:rsid w:val="008A1117"/>
    <w:rsid w:val="008B69D0"/>
    <w:rsid w:val="008B6EC3"/>
    <w:rsid w:val="008C03BE"/>
    <w:rsid w:val="008C4E53"/>
    <w:rsid w:val="008C6D67"/>
    <w:rsid w:val="008E08DE"/>
    <w:rsid w:val="00903280"/>
    <w:rsid w:val="00905B6B"/>
    <w:rsid w:val="0092670D"/>
    <w:rsid w:val="00930253"/>
    <w:rsid w:val="00931F1E"/>
    <w:rsid w:val="009511AB"/>
    <w:rsid w:val="00952732"/>
    <w:rsid w:val="00972164"/>
    <w:rsid w:val="00992F49"/>
    <w:rsid w:val="009A292B"/>
    <w:rsid w:val="009B4CB7"/>
    <w:rsid w:val="009C6A53"/>
    <w:rsid w:val="009D4573"/>
    <w:rsid w:val="009D6042"/>
    <w:rsid w:val="009F4B66"/>
    <w:rsid w:val="009F7A9F"/>
    <w:rsid w:val="00A11FAC"/>
    <w:rsid w:val="00A12FB8"/>
    <w:rsid w:val="00A14636"/>
    <w:rsid w:val="00A4300D"/>
    <w:rsid w:val="00A51649"/>
    <w:rsid w:val="00A700C5"/>
    <w:rsid w:val="00A767B5"/>
    <w:rsid w:val="00A9164A"/>
    <w:rsid w:val="00AB009C"/>
    <w:rsid w:val="00AF0EBE"/>
    <w:rsid w:val="00B12987"/>
    <w:rsid w:val="00B36486"/>
    <w:rsid w:val="00B4338D"/>
    <w:rsid w:val="00B61886"/>
    <w:rsid w:val="00B743F4"/>
    <w:rsid w:val="00BC193F"/>
    <w:rsid w:val="00BC7091"/>
    <w:rsid w:val="00C0395F"/>
    <w:rsid w:val="00C055F1"/>
    <w:rsid w:val="00C1073A"/>
    <w:rsid w:val="00C1191B"/>
    <w:rsid w:val="00C14762"/>
    <w:rsid w:val="00C16D7B"/>
    <w:rsid w:val="00C242E2"/>
    <w:rsid w:val="00C257AF"/>
    <w:rsid w:val="00C31205"/>
    <w:rsid w:val="00C711D5"/>
    <w:rsid w:val="00C728AD"/>
    <w:rsid w:val="00C86E3B"/>
    <w:rsid w:val="00C92173"/>
    <w:rsid w:val="00C9598F"/>
    <w:rsid w:val="00CA1C59"/>
    <w:rsid w:val="00CA484C"/>
    <w:rsid w:val="00CA50DA"/>
    <w:rsid w:val="00CD2889"/>
    <w:rsid w:val="00CE08A6"/>
    <w:rsid w:val="00CF2A67"/>
    <w:rsid w:val="00D05BF7"/>
    <w:rsid w:val="00D34E19"/>
    <w:rsid w:val="00D55EE2"/>
    <w:rsid w:val="00D566A5"/>
    <w:rsid w:val="00D728BE"/>
    <w:rsid w:val="00D87251"/>
    <w:rsid w:val="00D904FE"/>
    <w:rsid w:val="00D94CEB"/>
    <w:rsid w:val="00D96FE1"/>
    <w:rsid w:val="00DD37D7"/>
    <w:rsid w:val="00DE0325"/>
    <w:rsid w:val="00DF6B09"/>
    <w:rsid w:val="00E25571"/>
    <w:rsid w:val="00E26635"/>
    <w:rsid w:val="00E62E12"/>
    <w:rsid w:val="00E74480"/>
    <w:rsid w:val="00E77C4C"/>
    <w:rsid w:val="00E91564"/>
    <w:rsid w:val="00E93CB6"/>
    <w:rsid w:val="00E9532D"/>
    <w:rsid w:val="00EA5472"/>
    <w:rsid w:val="00EC2181"/>
    <w:rsid w:val="00EC6E0F"/>
    <w:rsid w:val="00EE3260"/>
    <w:rsid w:val="00EF27B6"/>
    <w:rsid w:val="00EF2E6F"/>
    <w:rsid w:val="00EF624F"/>
    <w:rsid w:val="00F01F15"/>
    <w:rsid w:val="00F12313"/>
    <w:rsid w:val="00F17A07"/>
    <w:rsid w:val="00F2507C"/>
    <w:rsid w:val="00F30FF7"/>
    <w:rsid w:val="00F56634"/>
    <w:rsid w:val="00F6076E"/>
    <w:rsid w:val="00F76FDF"/>
    <w:rsid w:val="00F77970"/>
    <w:rsid w:val="00F86361"/>
    <w:rsid w:val="00F94516"/>
    <w:rsid w:val="00F94CF4"/>
    <w:rsid w:val="00FA57D1"/>
    <w:rsid w:val="00FC2CBC"/>
    <w:rsid w:val="00FC6441"/>
    <w:rsid w:val="00FE25C0"/>
    <w:rsid w:val="00FE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3D86-AECF-4B23-B5CB-49B4D76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2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62"/>
    <w:pPr>
      <w:ind w:left="720"/>
      <w:contextualSpacing/>
    </w:pPr>
  </w:style>
  <w:style w:type="paragraph" w:styleId="BalloonText">
    <w:name w:val="Balloon Text"/>
    <w:basedOn w:val="Normal"/>
    <w:link w:val="BalloonTextChar"/>
    <w:uiPriority w:val="99"/>
    <w:semiHidden/>
    <w:unhideWhenUsed/>
    <w:rsid w:val="002E6262"/>
    <w:rPr>
      <w:rFonts w:ascii="Tahoma" w:hAnsi="Tahoma" w:cs="Tahoma"/>
      <w:sz w:val="16"/>
      <w:szCs w:val="16"/>
    </w:rPr>
  </w:style>
  <w:style w:type="character" w:customStyle="1" w:styleId="BalloonTextChar">
    <w:name w:val="Balloon Text Char"/>
    <w:basedOn w:val="DefaultParagraphFont"/>
    <w:link w:val="BalloonText"/>
    <w:uiPriority w:val="99"/>
    <w:semiHidden/>
    <w:rsid w:val="002E6262"/>
    <w:rPr>
      <w:rFonts w:ascii="Tahoma" w:eastAsia="Times New Roman" w:hAnsi="Tahoma" w:cs="Tahoma"/>
      <w:sz w:val="16"/>
      <w:szCs w:val="16"/>
      <w:lang w:eastAsia="en-GB"/>
    </w:rPr>
  </w:style>
  <w:style w:type="paragraph" w:styleId="Header">
    <w:name w:val="header"/>
    <w:basedOn w:val="Normal"/>
    <w:link w:val="HeaderChar"/>
    <w:uiPriority w:val="99"/>
    <w:unhideWhenUsed/>
    <w:rsid w:val="002E6262"/>
    <w:pPr>
      <w:tabs>
        <w:tab w:val="center" w:pos="4513"/>
        <w:tab w:val="right" w:pos="9026"/>
      </w:tabs>
    </w:pPr>
  </w:style>
  <w:style w:type="character" w:customStyle="1" w:styleId="HeaderChar">
    <w:name w:val="Header Char"/>
    <w:basedOn w:val="DefaultParagraphFont"/>
    <w:link w:val="Header"/>
    <w:uiPriority w:val="99"/>
    <w:rsid w:val="002E626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2E6262"/>
    <w:pPr>
      <w:tabs>
        <w:tab w:val="center" w:pos="4513"/>
        <w:tab w:val="right" w:pos="9026"/>
      </w:tabs>
    </w:pPr>
  </w:style>
  <w:style w:type="character" w:customStyle="1" w:styleId="FooterChar">
    <w:name w:val="Footer Char"/>
    <w:basedOn w:val="DefaultParagraphFont"/>
    <w:link w:val="Footer"/>
    <w:uiPriority w:val="99"/>
    <w:rsid w:val="002E6262"/>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121">
      <w:bodyDiv w:val="1"/>
      <w:marLeft w:val="0"/>
      <w:marRight w:val="0"/>
      <w:marTop w:val="0"/>
      <w:marBottom w:val="0"/>
      <w:divBdr>
        <w:top w:val="none" w:sz="0" w:space="0" w:color="auto"/>
        <w:left w:val="none" w:sz="0" w:space="0" w:color="auto"/>
        <w:bottom w:val="none" w:sz="0" w:space="0" w:color="auto"/>
        <w:right w:val="none" w:sz="0" w:space="0" w:color="auto"/>
      </w:divBdr>
    </w:div>
    <w:div w:id="397899232">
      <w:bodyDiv w:val="1"/>
      <w:marLeft w:val="0"/>
      <w:marRight w:val="0"/>
      <w:marTop w:val="0"/>
      <w:marBottom w:val="0"/>
      <w:divBdr>
        <w:top w:val="none" w:sz="0" w:space="0" w:color="auto"/>
        <w:left w:val="none" w:sz="0" w:space="0" w:color="auto"/>
        <w:bottom w:val="none" w:sz="0" w:space="0" w:color="auto"/>
        <w:right w:val="none" w:sz="0" w:space="0" w:color="auto"/>
      </w:divBdr>
    </w:div>
    <w:div w:id="775750928">
      <w:bodyDiv w:val="1"/>
      <w:marLeft w:val="0"/>
      <w:marRight w:val="0"/>
      <w:marTop w:val="0"/>
      <w:marBottom w:val="0"/>
      <w:divBdr>
        <w:top w:val="none" w:sz="0" w:space="0" w:color="auto"/>
        <w:left w:val="none" w:sz="0" w:space="0" w:color="auto"/>
        <w:bottom w:val="none" w:sz="0" w:space="0" w:color="auto"/>
        <w:right w:val="none" w:sz="0" w:space="0" w:color="auto"/>
      </w:divBdr>
    </w:div>
    <w:div w:id="873663484">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
    <w:div w:id="1322081294">
      <w:bodyDiv w:val="1"/>
      <w:marLeft w:val="0"/>
      <w:marRight w:val="0"/>
      <w:marTop w:val="0"/>
      <w:marBottom w:val="0"/>
      <w:divBdr>
        <w:top w:val="none" w:sz="0" w:space="0" w:color="auto"/>
        <w:left w:val="none" w:sz="0" w:space="0" w:color="auto"/>
        <w:bottom w:val="none" w:sz="0" w:space="0" w:color="auto"/>
        <w:right w:val="none" w:sz="0" w:space="0" w:color="auto"/>
      </w:divBdr>
    </w:div>
    <w:div w:id="1331062686">
      <w:bodyDiv w:val="1"/>
      <w:marLeft w:val="0"/>
      <w:marRight w:val="0"/>
      <w:marTop w:val="0"/>
      <w:marBottom w:val="0"/>
      <w:divBdr>
        <w:top w:val="none" w:sz="0" w:space="0" w:color="auto"/>
        <w:left w:val="none" w:sz="0" w:space="0" w:color="auto"/>
        <w:bottom w:val="none" w:sz="0" w:space="0" w:color="auto"/>
        <w:right w:val="none" w:sz="0" w:space="0" w:color="auto"/>
      </w:divBdr>
    </w:div>
    <w:div w:id="1442073554">
      <w:bodyDiv w:val="1"/>
      <w:marLeft w:val="0"/>
      <w:marRight w:val="0"/>
      <w:marTop w:val="0"/>
      <w:marBottom w:val="0"/>
      <w:divBdr>
        <w:top w:val="none" w:sz="0" w:space="0" w:color="auto"/>
        <w:left w:val="none" w:sz="0" w:space="0" w:color="auto"/>
        <w:bottom w:val="none" w:sz="0" w:space="0" w:color="auto"/>
        <w:right w:val="none" w:sz="0" w:space="0" w:color="auto"/>
      </w:divBdr>
    </w:div>
    <w:div w:id="1502575135">
      <w:bodyDiv w:val="1"/>
      <w:marLeft w:val="0"/>
      <w:marRight w:val="0"/>
      <w:marTop w:val="0"/>
      <w:marBottom w:val="0"/>
      <w:divBdr>
        <w:top w:val="none" w:sz="0" w:space="0" w:color="auto"/>
        <w:left w:val="none" w:sz="0" w:space="0" w:color="auto"/>
        <w:bottom w:val="none" w:sz="0" w:space="0" w:color="auto"/>
        <w:right w:val="none" w:sz="0" w:space="0" w:color="auto"/>
      </w:divBdr>
    </w:div>
    <w:div w:id="18985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Poise.HomeOffice.Local\Home\LSCA\Users\hughesr52\My%20Documents\GPG%20Employee%20Gross%20Pay%20Elements%20March%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oise.HomeOffice.Local\Home\LSCA\Users\hughesr52\My%20Documents\GPG%20Employee%20Gross%20Pay%20Elements%20March%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oise.HomeOffice.Local\Home\LSCA\Users\hughesr52\My%20Documents\GPG%20Employee%20Gross%20Pay%20Elements%20March%20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lumMod val="75000"/>
                </a:schemeClr>
              </a:solidFill>
              <a:ln>
                <a:noFill/>
              </a:ln>
              <a:effectLst/>
            </c:spPr>
            <c:extLst>
              <c:ext xmlns:c16="http://schemas.microsoft.com/office/drawing/2014/chart" uri="{C3380CC4-5D6E-409C-BE32-E72D297353CC}">
                <c16:uniqueId val="{00000001-9A72-4260-9CFE-F72A50C006A5}"/>
              </c:ext>
            </c:extLst>
          </c:dPt>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3-9A72-4260-9CFE-F72A50C006A5}"/>
              </c:ext>
            </c:extLst>
          </c:dPt>
          <c:dLbls>
            <c:dLbl>
              <c:idx val="0"/>
              <c:layout>
                <c:manualLayout>
                  <c:x val="-5.0925337632079971E-17"/>
                  <c:y val="0.305194805194805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72-4260-9CFE-F72A50C006A5}"/>
                </c:ext>
              </c:extLst>
            </c:dLbl>
            <c:dLbl>
              <c:idx val="1"/>
              <c:layout>
                <c:manualLayout>
                  <c:x val="-2.7777777777777779E-3"/>
                  <c:y val="0.233766233766233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72-4260-9CFE-F72A50C006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Sheet2!$A$23:$A$24</c:f>
              <c:strCache>
                <c:ptCount val="2"/>
                <c:pt idx="0">
                  <c:v>Female</c:v>
                </c:pt>
                <c:pt idx="1">
                  <c:v>Male</c:v>
                </c:pt>
              </c:strCache>
            </c:strRef>
          </c:cat>
          <c:val>
            <c:numRef>
              <c:f>Sheet2!$B$23:$B$24</c:f>
              <c:numCache>
                <c:formatCode>General</c:formatCode>
                <c:ptCount val="2"/>
                <c:pt idx="0">
                  <c:v>625</c:v>
                </c:pt>
                <c:pt idx="1">
                  <c:v>415</c:v>
                </c:pt>
              </c:numCache>
            </c:numRef>
          </c:val>
          <c:extLst>
            <c:ext xmlns:c16="http://schemas.microsoft.com/office/drawing/2014/chart" uri="{C3380CC4-5D6E-409C-BE32-E72D297353CC}">
              <c16:uniqueId val="{00000004-9A72-4260-9CFE-F72A50C006A5}"/>
            </c:ext>
          </c:extLst>
        </c:ser>
        <c:dLbls>
          <c:showLegendKey val="0"/>
          <c:showVal val="0"/>
          <c:showCatName val="0"/>
          <c:showSerName val="0"/>
          <c:showPercent val="0"/>
          <c:showBubbleSize val="0"/>
        </c:dLbls>
        <c:gapWidth val="50"/>
        <c:overlap val="-27"/>
        <c:axId val="487307112"/>
        <c:axId val="487306784"/>
      </c:barChart>
      <c:catAx>
        <c:axId val="48730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06784"/>
        <c:crosses val="autoZero"/>
        <c:auto val="1"/>
        <c:lblAlgn val="ctr"/>
        <c:lblOffset val="100"/>
        <c:noMultiLvlLbl val="0"/>
      </c:catAx>
      <c:valAx>
        <c:axId val="487306784"/>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487307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Sheet2!$B$69</c:f>
              <c:strCache>
                <c:ptCount val="1"/>
                <c:pt idx="0">
                  <c:v>Female</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Sheet2!$A$70:$A$76</c:f>
              <c:strCache>
                <c:ptCount val="7"/>
                <c:pt idx="0">
                  <c:v>AO</c:v>
                </c:pt>
                <c:pt idx="1">
                  <c:v>EO</c:v>
                </c:pt>
                <c:pt idx="2">
                  <c:v>HEO</c:v>
                </c:pt>
                <c:pt idx="3">
                  <c:v>SEO</c:v>
                </c:pt>
                <c:pt idx="4">
                  <c:v>Grade 7</c:v>
                </c:pt>
                <c:pt idx="5">
                  <c:v>Grade 6</c:v>
                </c:pt>
                <c:pt idx="6">
                  <c:v>SCS</c:v>
                </c:pt>
              </c:strCache>
            </c:strRef>
          </c:cat>
          <c:val>
            <c:numRef>
              <c:f>Sheet2!$B$70:$B$76</c:f>
              <c:numCache>
                <c:formatCode>General</c:formatCode>
                <c:ptCount val="7"/>
                <c:pt idx="0">
                  <c:v>246</c:v>
                </c:pt>
                <c:pt idx="1">
                  <c:v>151</c:v>
                </c:pt>
                <c:pt idx="2">
                  <c:v>159</c:v>
                </c:pt>
                <c:pt idx="3">
                  <c:v>38</c:v>
                </c:pt>
                <c:pt idx="4">
                  <c:v>18</c:v>
                </c:pt>
                <c:pt idx="5">
                  <c:v>9</c:v>
                </c:pt>
                <c:pt idx="6">
                  <c:v>4</c:v>
                </c:pt>
              </c:numCache>
            </c:numRef>
          </c:val>
          <c:extLst>
            <c:ext xmlns:c16="http://schemas.microsoft.com/office/drawing/2014/chart" uri="{C3380CC4-5D6E-409C-BE32-E72D297353CC}">
              <c16:uniqueId val="{00000000-9312-4F16-8C6D-708117E4BA12}"/>
            </c:ext>
          </c:extLst>
        </c:ser>
        <c:ser>
          <c:idx val="1"/>
          <c:order val="1"/>
          <c:tx>
            <c:strRef>
              <c:f>Sheet2!$C$69</c:f>
              <c:strCache>
                <c:ptCount val="1"/>
                <c:pt idx="0">
                  <c:v>Male</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Sheet2!$A$70:$A$76</c:f>
              <c:strCache>
                <c:ptCount val="7"/>
                <c:pt idx="0">
                  <c:v>AO</c:v>
                </c:pt>
                <c:pt idx="1">
                  <c:v>EO</c:v>
                </c:pt>
                <c:pt idx="2">
                  <c:v>HEO</c:v>
                </c:pt>
                <c:pt idx="3">
                  <c:v>SEO</c:v>
                </c:pt>
                <c:pt idx="4">
                  <c:v>Grade 7</c:v>
                </c:pt>
                <c:pt idx="5">
                  <c:v>Grade 6</c:v>
                </c:pt>
                <c:pt idx="6">
                  <c:v>SCS</c:v>
                </c:pt>
              </c:strCache>
            </c:strRef>
          </c:cat>
          <c:val>
            <c:numRef>
              <c:f>Sheet2!$C$70:$C$76</c:f>
              <c:numCache>
                <c:formatCode>General</c:formatCode>
                <c:ptCount val="7"/>
                <c:pt idx="0">
                  <c:v>154</c:v>
                </c:pt>
                <c:pt idx="1">
                  <c:v>89</c:v>
                </c:pt>
                <c:pt idx="2">
                  <c:v>107</c:v>
                </c:pt>
                <c:pt idx="3">
                  <c:v>39</c:v>
                </c:pt>
                <c:pt idx="4">
                  <c:v>19</c:v>
                </c:pt>
                <c:pt idx="5">
                  <c:v>2</c:v>
                </c:pt>
                <c:pt idx="6">
                  <c:v>5</c:v>
                </c:pt>
              </c:numCache>
            </c:numRef>
          </c:val>
          <c:extLst>
            <c:ext xmlns:c16="http://schemas.microsoft.com/office/drawing/2014/chart" uri="{C3380CC4-5D6E-409C-BE32-E72D297353CC}">
              <c16:uniqueId val="{00000001-9312-4F16-8C6D-708117E4BA12}"/>
            </c:ext>
          </c:extLst>
        </c:ser>
        <c:dLbls>
          <c:showLegendKey val="0"/>
          <c:showVal val="0"/>
          <c:showCatName val="0"/>
          <c:showSerName val="0"/>
          <c:showPercent val="0"/>
          <c:showBubbleSize val="0"/>
        </c:dLbls>
        <c:gapWidth val="136"/>
        <c:overlap val="-27"/>
        <c:axId val="487287104"/>
        <c:axId val="487282512"/>
      </c:barChart>
      <c:catAx>
        <c:axId val="48728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282512"/>
        <c:crosses val="autoZero"/>
        <c:auto val="1"/>
        <c:lblAlgn val="ctr"/>
        <c:lblOffset val="100"/>
        <c:noMultiLvlLbl val="0"/>
      </c:catAx>
      <c:valAx>
        <c:axId val="4872825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728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lumMod val="75000"/>
                </a:schemeClr>
              </a:solidFill>
              <a:ln>
                <a:noFill/>
              </a:ln>
              <a:effectLst/>
            </c:spPr>
            <c:extLst>
              <c:ext xmlns:c16="http://schemas.microsoft.com/office/drawing/2014/chart" uri="{C3380CC4-5D6E-409C-BE32-E72D297353CC}">
                <c16:uniqueId val="{00000001-1DDD-4D02-868D-8C89860DEA8E}"/>
              </c:ext>
            </c:extLst>
          </c:dPt>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3-1DDD-4D02-868D-8C89860DEA8E}"/>
              </c:ext>
            </c:extLst>
          </c:dPt>
          <c:dLbls>
            <c:dLbl>
              <c:idx val="0"/>
              <c:layout>
                <c:manualLayout>
                  <c:x val="-3.1916107380863703E-3"/>
                  <c:y val="0.299040935402736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DD-4D02-868D-8C89860DEA8E}"/>
                </c:ext>
              </c:extLst>
            </c:dLbl>
            <c:dLbl>
              <c:idx val="1"/>
              <c:layout>
                <c:manualLayout>
                  <c:x val="-3.1916107380863703E-3"/>
                  <c:y val="0.28073230670461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DD-4D02-868D-8C89860DEA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CALCULATIONS!$N$37:$N$38</c:f>
              <c:strCache>
                <c:ptCount val="2"/>
                <c:pt idx="0">
                  <c:v>Female</c:v>
                </c:pt>
                <c:pt idx="1">
                  <c:v>Male</c:v>
                </c:pt>
              </c:strCache>
            </c:strRef>
          </c:cat>
          <c:val>
            <c:numRef>
              <c:f>CALCULATIONS!$O$37:$O$38</c:f>
              <c:numCache>
                <c:formatCode>0%</c:formatCode>
                <c:ptCount val="2"/>
                <c:pt idx="0">
                  <c:v>0.51039999999999996</c:v>
                </c:pt>
                <c:pt idx="1">
                  <c:v>0.49156626506024098</c:v>
                </c:pt>
              </c:numCache>
            </c:numRef>
          </c:val>
          <c:extLst>
            <c:ext xmlns:c16="http://schemas.microsoft.com/office/drawing/2014/chart" uri="{C3380CC4-5D6E-409C-BE32-E72D297353CC}">
              <c16:uniqueId val="{00000004-1DDD-4D02-868D-8C89860DEA8E}"/>
            </c:ext>
          </c:extLst>
        </c:ser>
        <c:dLbls>
          <c:showLegendKey val="0"/>
          <c:showVal val="0"/>
          <c:showCatName val="0"/>
          <c:showSerName val="0"/>
          <c:showPercent val="0"/>
          <c:showBubbleSize val="0"/>
        </c:dLbls>
        <c:gapWidth val="96"/>
        <c:overlap val="-27"/>
        <c:axId val="487280544"/>
        <c:axId val="487281200"/>
      </c:barChart>
      <c:catAx>
        <c:axId val="4872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281200"/>
        <c:crosses val="autoZero"/>
        <c:auto val="1"/>
        <c:lblAlgn val="ctr"/>
        <c:lblOffset val="100"/>
        <c:noMultiLvlLbl val="0"/>
      </c:catAx>
      <c:valAx>
        <c:axId val="487281200"/>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28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2E9C-0B26-49E5-82DF-261FB63F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D349438A</Template>
  <TotalTime>1</TotalTime>
  <Pages>5</Pages>
  <Words>1279</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Jewell</dc:creator>
  <cp:lastModifiedBy>Greene Kelsea (DBS)</cp:lastModifiedBy>
  <cp:revision>2</cp:revision>
  <cp:lastPrinted>2019-03-29T12:34:00Z</cp:lastPrinted>
  <dcterms:created xsi:type="dcterms:W3CDTF">2019-03-29T12:47:00Z</dcterms:created>
  <dcterms:modified xsi:type="dcterms:W3CDTF">2019-03-29T12:47:00Z</dcterms:modified>
</cp:coreProperties>
</file>