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A2E3F" w14:textId="77777777" w:rsidR="0065306A" w:rsidRPr="0046232B" w:rsidRDefault="004B669F" w:rsidP="00A4556C">
      <w:pPr>
        <w:jc w:val="center"/>
        <w:rPr>
          <w:rFonts w:cs="Arial"/>
          <w:sz w:val="28"/>
        </w:rPr>
      </w:pPr>
      <w:bookmarkStart w:id="0" w:name="_GoBack"/>
      <w:bookmarkEnd w:id="0"/>
      <w:r w:rsidRPr="0046232B">
        <w:rPr>
          <w:rFonts w:cs="Arial"/>
          <w:b/>
          <w:sz w:val="28"/>
        </w:rPr>
        <w:t>Annual Review</w:t>
      </w:r>
      <w:r w:rsidR="0065306A" w:rsidRPr="0046232B">
        <w:rPr>
          <w:rFonts w:cs="Arial"/>
          <w:b/>
          <w:sz w:val="28"/>
        </w:rPr>
        <w:t xml:space="preserve"> </w:t>
      </w:r>
      <w:r w:rsidR="00067681" w:rsidRPr="0046232B">
        <w:rPr>
          <w:rFonts w:cs="Arial"/>
          <w:b/>
          <w:sz w:val="28"/>
        </w:rPr>
        <w:t xml:space="preserve">- </w:t>
      </w:r>
      <w:r w:rsidR="0065306A" w:rsidRPr="0046232B">
        <w:rPr>
          <w:rFonts w:cs="Arial"/>
          <w:b/>
          <w:sz w:val="28"/>
        </w:rPr>
        <w:t>Summary Sheet</w:t>
      </w:r>
    </w:p>
    <w:p w14:paraId="57ECE0E1" w14:textId="77777777" w:rsidR="0065306A" w:rsidRDefault="0065306A" w:rsidP="00A4556C">
      <w:pPr>
        <w:rPr>
          <w:i/>
        </w:rPr>
      </w:pPr>
    </w:p>
    <w:p w14:paraId="7253A561" w14:textId="77777777" w:rsidR="00E82897" w:rsidRPr="0046232B" w:rsidRDefault="00E82897" w:rsidP="00A4556C">
      <w:pPr>
        <w:jc w:val="center"/>
        <w:rPr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7"/>
        <w:gridCol w:w="2895"/>
        <w:gridCol w:w="277"/>
        <w:gridCol w:w="548"/>
        <w:gridCol w:w="3085"/>
        <w:gridCol w:w="1342"/>
      </w:tblGrid>
      <w:tr w:rsidR="00673A17" w:rsidRPr="00EA0900" w14:paraId="275730CE" w14:textId="77777777" w:rsidTr="00673A17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DFC6910" w14:textId="7F62ECD6" w:rsidR="00673A17" w:rsidRPr="00EA0900" w:rsidRDefault="00217702" w:rsidP="00BA4B66">
            <w:pPr>
              <w:rPr>
                <w:rFonts w:cs="Arial"/>
                <w:b/>
                <w:sz w:val="22"/>
                <w:szCs w:val="22"/>
              </w:rPr>
            </w:pPr>
            <w:r w:rsidRPr="00EA0900">
              <w:rPr>
                <w:rFonts w:cs="Arial"/>
                <w:b/>
                <w:sz w:val="22"/>
                <w:szCs w:val="22"/>
              </w:rPr>
              <w:t>PROGRAMME TITLE:</w:t>
            </w:r>
            <w:r w:rsidR="00B8482D" w:rsidRPr="00EA0900">
              <w:rPr>
                <w:rFonts w:cs="Arial"/>
                <w:b/>
                <w:sz w:val="22"/>
                <w:szCs w:val="22"/>
              </w:rPr>
              <w:t xml:space="preserve"> Sudan Improving International Standards in the Defence Sector</w:t>
            </w:r>
            <w:r w:rsidR="00C83F1C">
              <w:rPr>
                <w:rFonts w:cs="Arial"/>
                <w:b/>
                <w:sz w:val="22"/>
                <w:szCs w:val="22"/>
              </w:rPr>
              <w:t xml:space="preserve"> (IISDS)</w:t>
            </w:r>
          </w:p>
        </w:tc>
      </w:tr>
      <w:tr w:rsidR="00673A17" w:rsidRPr="00EA0900" w14:paraId="40E0DE8C" w14:textId="77777777" w:rsidTr="00217702">
        <w:tc>
          <w:tcPr>
            <w:tcW w:w="1004" w:type="pct"/>
            <w:tcBorders>
              <w:bottom w:val="single" w:sz="4" w:space="0" w:color="auto"/>
            </w:tcBorders>
          </w:tcPr>
          <w:p w14:paraId="56F805D5" w14:textId="77777777" w:rsidR="00673A17" w:rsidRPr="006427A4" w:rsidRDefault="00673A17" w:rsidP="00BA4B66">
            <w:pPr>
              <w:rPr>
                <w:rFonts w:cs="Arial"/>
                <w:b/>
                <w:sz w:val="22"/>
                <w:szCs w:val="22"/>
              </w:rPr>
            </w:pPr>
            <w:r w:rsidRPr="006427A4">
              <w:rPr>
                <w:rFonts w:cs="Arial"/>
                <w:b/>
                <w:sz w:val="22"/>
                <w:szCs w:val="22"/>
              </w:rPr>
              <w:t>Country/Region:</w:t>
            </w:r>
          </w:p>
        </w:tc>
        <w:tc>
          <w:tcPr>
            <w:tcW w:w="3996" w:type="pct"/>
            <w:gridSpan w:val="5"/>
            <w:tcBorders>
              <w:bottom w:val="single" w:sz="4" w:space="0" w:color="auto"/>
            </w:tcBorders>
          </w:tcPr>
          <w:p w14:paraId="0404A2A9" w14:textId="77777777" w:rsidR="00673A17" w:rsidRPr="00FB0D78" w:rsidRDefault="00B8482D" w:rsidP="00BA4B66">
            <w:pPr>
              <w:rPr>
                <w:rFonts w:cs="Arial"/>
                <w:sz w:val="22"/>
                <w:szCs w:val="22"/>
              </w:rPr>
            </w:pPr>
            <w:r w:rsidRPr="00FB0D78">
              <w:rPr>
                <w:rFonts w:cs="Arial"/>
                <w:sz w:val="22"/>
                <w:szCs w:val="22"/>
              </w:rPr>
              <w:t>Sudan</w:t>
            </w:r>
          </w:p>
        </w:tc>
      </w:tr>
      <w:tr w:rsidR="00217702" w:rsidRPr="00EA0900" w14:paraId="384B8951" w14:textId="77777777" w:rsidTr="00217702">
        <w:tc>
          <w:tcPr>
            <w:tcW w:w="1004" w:type="pct"/>
            <w:tcBorders>
              <w:bottom w:val="single" w:sz="4" w:space="0" w:color="auto"/>
            </w:tcBorders>
          </w:tcPr>
          <w:p w14:paraId="0DC680B2" w14:textId="77777777" w:rsidR="00217702" w:rsidRPr="006427A4" w:rsidRDefault="00217702" w:rsidP="00BA4B66">
            <w:pPr>
              <w:rPr>
                <w:rFonts w:cs="Arial"/>
                <w:b/>
                <w:sz w:val="22"/>
                <w:szCs w:val="22"/>
              </w:rPr>
            </w:pPr>
            <w:r w:rsidRPr="006427A4">
              <w:rPr>
                <w:rFonts w:cs="Arial"/>
                <w:b/>
                <w:sz w:val="22"/>
                <w:szCs w:val="22"/>
              </w:rPr>
              <w:t xml:space="preserve">HMG Partners </w:t>
            </w:r>
          </w:p>
          <w:p w14:paraId="1343EC5B" w14:textId="77777777" w:rsidR="00217702" w:rsidRPr="00FB0D78" w:rsidRDefault="00217702" w:rsidP="00BA4B66">
            <w:pPr>
              <w:rPr>
                <w:rFonts w:cs="Arial"/>
                <w:b/>
                <w:sz w:val="22"/>
                <w:szCs w:val="22"/>
              </w:rPr>
            </w:pPr>
            <w:r w:rsidRPr="00FB0D78">
              <w:rPr>
                <w:rFonts w:cs="Arial"/>
                <w:b/>
                <w:sz w:val="22"/>
                <w:szCs w:val="22"/>
              </w:rPr>
              <w:t>(LEAD in bold)</w:t>
            </w:r>
          </w:p>
        </w:tc>
        <w:tc>
          <w:tcPr>
            <w:tcW w:w="3996" w:type="pct"/>
            <w:gridSpan w:val="5"/>
            <w:tcBorders>
              <w:bottom w:val="single" w:sz="4" w:space="0" w:color="auto"/>
            </w:tcBorders>
          </w:tcPr>
          <w:p w14:paraId="2FCF21AC" w14:textId="0F7EE136" w:rsidR="00217702" w:rsidRPr="00F8458E" w:rsidRDefault="00093055" w:rsidP="00BA4B6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Ministry of Defence (</w:t>
            </w:r>
            <w:r w:rsidR="00B8482D" w:rsidRPr="00F8458E">
              <w:rPr>
                <w:rFonts w:cs="Arial"/>
                <w:b/>
                <w:sz w:val="22"/>
                <w:szCs w:val="22"/>
              </w:rPr>
              <w:t>M</w:t>
            </w:r>
            <w:r>
              <w:rPr>
                <w:rFonts w:cs="Arial"/>
                <w:b/>
                <w:sz w:val="22"/>
                <w:szCs w:val="22"/>
              </w:rPr>
              <w:t>o</w:t>
            </w:r>
            <w:r w:rsidR="00B8482D" w:rsidRPr="00F8458E">
              <w:rPr>
                <w:rFonts w:cs="Arial"/>
                <w:b/>
                <w:sz w:val="22"/>
                <w:szCs w:val="22"/>
              </w:rPr>
              <w:t>D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673A17" w:rsidRPr="00EA0900" w14:paraId="347B84F0" w14:textId="77777777" w:rsidTr="00217702">
        <w:tc>
          <w:tcPr>
            <w:tcW w:w="1004" w:type="pct"/>
            <w:tcBorders>
              <w:bottom w:val="single" w:sz="4" w:space="0" w:color="auto"/>
            </w:tcBorders>
          </w:tcPr>
          <w:p w14:paraId="44DFCD5B" w14:textId="119294AF" w:rsidR="00673A17" w:rsidRPr="006427A4" w:rsidRDefault="00673A17" w:rsidP="00BA4B66">
            <w:pPr>
              <w:rPr>
                <w:rFonts w:cs="Arial"/>
                <w:b/>
                <w:sz w:val="22"/>
                <w:szCs w:val="22"/>
              </w:rPr>
            </w:pPr>
            <w:r w:rsidRPr="006427A4">
              <w:rPr>
                <w:rFonts w:cs="Arial"/>
                <w:b/>
                <w:sz w:val="22"/>
                <w:szCs w:val="22"/>
              </w:rPr>
              <w:t xml:space="preserve">Total </w:t>
            </w:r>
            <w:r w:rsidR="00093055">
              <w:rPr>
                <w:rFonts w:cs="Arial"/>
                <w:b/>
                <w:sz w:val="22"/>
                <w:szCs w:val="22"/>
              </w:rPr>
              <w:t xml:space="preserve">Spend  </w:t>
            </w:r>
            <w:r w:rsidRPr="006427A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1825" w:type="pct"/>
            <w:gridSpan w:val="3"/>
            <w:tcBorders>
              <w:bottom w:val="single" w:sz="4" w:space="0" w:color="auto"/>
            </w:tcBorders>
          </w:tcPr>
          <w:p w14:paraId="58D5E93C" w14:textId="74A71161" w:rsidR="00673A17" w:rsidRPr="006427A4" w:rsidRDefault="00673A17" w:rsidP="00BA4B66">
            <w:pPr>
              <w:rPr>
                <w:rFonts w:cs="Arial"/>
                <w:sz w:val="22"/>
                <w:szCs w:val="22"/>
              </w:rPr>
            </w:pPr>
            <w:r w:rsidRPr="006427A4">
              <w:rPr>
                <w:rFonts w:cs="Arial"/>
                <w:sz w:val="22"/>
                <w:szCs w:val="22"/>
              </w:rPr>
              <w:t>ODA:</w:t>
            </w:r>
            <w:r w:rsidR="00B8482D" w:rsidRPr="006427A4">
              <w:rPr>
                <w:rFonts w:cs="Arial"/>
                <w:sz w:val="22"/>
                <w:szCs w:val="22"/>
              </w:rPr>
              <w:t xml:space="preserve"> </w:t>
            </w:r>
            <w:r w:rsidR="00C83F1C">
              <w:rPr>
                <w:rFonts w:cs="Arial"/>
                <w:sz w:val="22"/>
                <w:szCs w:val="22"/>
              </w:rPr>
              <w:t>£</w:t>
            </w:r>
            <w:r w:rsidR="00B8482D" w:rsidRPr="006427A4">
              <w:rPr>
                <w:rFonts w:cs="Arial"/>
                <w:sz w:val="22"/>
                <w:szCs w:val="22"/>
              </w:rPr>
              <w:t>0.078m</w:t>
            </w:r>
          </w:p>
        </w:tc>
        <w:tc>
          <w:tcPr>
            <w:tcW w:w="2171" w:type="pct"/>
            <w:gridSpan w:val="2"/>
            <w:tcBorders>
              <w:bottom w:val="single" w:sz="4" w:space="0" w:color="auto"/>
            </w:tcBorders>
          </w:tcPr>
          <w:p w14:paraId="21618016" w14:textId="4852B790" w:rsidR="00673A17" w:rsidRPr="006427A4" w:rsidRDefault="00673A17" w:rsidP="00BA4B66">
            <w:pPr>
              <w:rPr>
                <w:rFonts w:cs="Arial"/>
                <w:sz w:val="22"/>
                <w:szCs w:val="22"/>
              </w:rPr>
            </w:pPr>
            <w:r w:rsidRPr="006427A4">
              <w:rPr>
                <w:rFonts w:cs="Arial"/>
                <w:sz w:val="22"/>
                <w:szCs w:val="22"/>
              </w:rPr>
              <w:t>Non-ODA:</w:t>
            </w:r>
            <w:r w:rsidR="00B8482D" w:rsidRPr="006427A4">
              <w:rPr>
                <w:rFonts w:cs="Arial"/>
                <w:sz w:val="22"/>
                <w:szCs w:val="22"/>
              </w:rPr>
              <w:t xml:space="preserve"> </w:t>
            </w:r>
            <w:r w:rsidR="00C83F1C">
              <w:rPr>
                <w:rFonts w:cs="Arial"/>
                <w:sz w:val="22"/>
                <w:szCs w:val="22"/>
              </w:rPr>
              <w:t>£</w:t>
            </w:r>
            <w:r w:rsidR="00B8482D" w:rsidRPr="006427A4">
              <w:rPr>
                <w:rFonts w:cs="Arial"/>
                <w:sz w:val="22"/>
                <w:szCs w:val="22"/>
              </w:rPr>
              <w:t xml:space="preserve">0.4m </w:t>
            </w:r>
          </w:p>
        </w:tc>
      </w:tr>
      <w:tr w:rsidR="00673A17" w:rsidRPr="00EA0900" w14:paraId="78D757BE" w14:textId="77777777" w:rsidTr="00673A17">
        <w:tc>
          <w:tcPr>
            <w:tcW w:w="2424" w:type="pct"/>
            <w:gridSpan w:val="2"/>
            <w:tcBorders>
              <w:bottom w:val="single" w:sz="12" w:space="0" w:color="auto"/>
            </w:tcBorders>
          </w:tcPr>
          <w:p w14:paraId="01A7C6D4" w14:textId="2BBE2B16" w:rsidR="00673A17" w:rsidRPr="006427A4" w:rsidRDefault="00673A17" w:rsidP="00F8626F">
            <w:pPr>
              <w:rPr>
                <w:rFonts w:cs="Arial"/>
                <w:b/>
                <w:sz w:val="22"/>
                <w:szCs w:val="22"/>
              </w:rPr>
            </w:pPr>
            <w:r w:rsidRPr="006427A4">
              <w:rPr>
                <w:rFonts w:cs="Arial"/>
                <w:b/>
                <w:sz w:val="22"/>
                <w:szCs w:val="22"/>
              </w:rPr>
              <w:t>Start Date:</w:t>
            </w:r>
            <w:r w:rsidR="00B8482D" w:rsidRPr="006427A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F8626F">
              <w:rPr>
                <w:rFonts w:cs="Arial"/>
                <w:b/>
                <w:sz w:val="22"/>
                <w:szCs w:val="22"/>
              </w:rPr>
              <w:t xml:space="preserve">April </w:t>
            </w:r>
            <w:r w:rsidR="00B8482D" w:rsidRPr="006427A4">
              <w:rPr>
                <w:rFonts w:cs="Arial"/>
                <w:b/>
                <w:sz w:val="22"/>
                <w:szCs w:val="22"/>
              </w:rPr>
              <w:t>2015</w:t>
            </w:r>
          </w:p>
        </w:tc>
        <w:tc>
          <w:tcPr>
            <w:tcW w:w="2576" w:type="pct"/>
            <w:gridSpan w:val="4"/>
            <w:tcBorders>
              <w:bottom w:val="single" w:sz="12" w:space="0" w:color="auto"/>
            </w:tcBorders>
          </w:tcPr>
          <w:p w14:paraId="1C836C1D" w14:textId="15BB8E54" w:rsidR="00673A17" w:rsidRPr="001F7086" w:rsidRDefault="00673A17" w:rsidP="00BA4B66">
            <w:pPr>
              <w:rPr>
                <w:rFonts w:cs="Arial"/>
                <w:b/>
                <w:sz w:val="22"/>
                <w:szCs w:val="22"/>
              </w:rPr>
            </w:pPr>
            <w:r w:rsidRPr="00FB0D78">
              <w:rPr>
                <w:rFonts w:cs="Arial"/>
                <w:b/>
                <w:sz w:val="22"/>
                <w:szCs w:val="22"/>
              </w:rPr>
              <w:t xml:space="preserve">End </w:t>
            </w:r>
            <w:r w:rsidR="00730350" w:rsidRPr="00FB0D78">
              <w:rPr>
                <w:rFonts w:cs="Arial"/>
                <w:b/>
                <w:sz w:val="22"/>
                <w:szCs w:val="22"/>
              </w:rPr>
              <w:t>Date:</w:t>
            </w:r>
            <w:r w:rsidR="00730350">
              <w:rPr>
                <w:rFonts w:cs="Arial"/>
                <w:b/>
                <w:sz w:val="22"/>
                <w:szCs w:val="22"/>
              </w:rPr>
              <w:t xml:space="preserve"> March</w:t>
            </w:r>
            <w:r w:rsidR="00B8482D" w:rsidRPr="00FB0D78">
              <w:rPr>
                <w:rFonts w:cs="Arial"/>
                <w:b/>
                <w:sz w:val="22"/>
                <w:szCs w:val="22"/>
              </w:rPr>
              <w:t xml:space="preserve"> 2021</w:t>
            </w:r>
          </w:p>
        </w:tc>
      </w:tr>
      <w:tr w:rsidR="00673A17" w:rsidRPr="00EA0900" w14:paraId="34F0B478" w14:textId="77777777" w:rsidTr="00673A17">
        <w:tc>
          <w:tcPr>
            <w:tcW w:w="4342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84E1D1A" w14:textId="77777777" w:rsidR="00673A17" w:rsidRPr="006427A4" w:rsidRDefault="00673A17" w:rsidP="00BA4B66">
            <w:pPr>
              <w:rPr>
                <w:rFonts w:cs="Arial"/>
                <w:b/>
                <w:sz w:val="22"/>
                <w:szCs w:val="22"/>
              </w:rPr>
            </w:pPr>
            <w:r w:rsidRPr="006427A4">
              <w:rPr>
                <w:rFonts w:cs="Arial"/>
                <w:b/>
                <w:sz w:val="22"/>
                <w:szCs w:val="22"/>
              </w:rPr>
              <w:t>Outputs</w:t>
            </w: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</w:tcPr>
          <w:p w14:paraId="67BF6774" w14:textId="77777777" w:rsidR="00673A17" w:rsidRPr="00FB0D78" w:rsidRDefault="00673A17" w:rsidP="00BA4B66">
            <w:pPr>
              <w:tabs>
                <w:tab w:val="left" w:pos="1046"/>
              </w:tabs>
              <w:rPr>
                <w:rFonts w:cs="Arial"/>
                <w:b/>
                <w:sz w:val="22"/>
                <w:szCs w:val="22"/>
              </w:rPr>
            </w:pPr>
            <w:r w:rsidRPr="00FB0D78">
              <w:rPr>
                <w:rFonts w:cs="Arial"/>
                <w:b/>
                <w:sz w:val="22"/>
                <w:szCs w:val="22"/>
              </w:rPr>
              <w:t>Score</w:t>
            </w:r>
            <w:r w:rsidRPr="00FB0D78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673A17" w:rsidRPr="00EA0900" w14:paraId="17DDFB01" w14:textId="77777777" w:rsidTr="00673A17">
        <w:tc>
          <w:tcPr>
            <w:tcW w:w="4342" w:type="pct"/>
            <w:gridSpan w:val="5"/>
          </w:tcPr>
          <w:p w14:paraId="11482594" w14:textId="0ADCF1EA" w:rsidR="00673A17" w:rsidRPr="006427A4" w:rsidRDefault="00B8482D" w:rsidP="00F8458E">
            <w:pPr>
              <w:rPr>
                <w:rFonts w:cs="Arial"/>
                <w:sz w:val="22"/>
                <w:szCs w:val="22"/>
              </w:rPr>
            </w:pPr>
            <w:r w:rsidRPr="00EA0900">
              <w:rPr>
                <w:rFonts w:cs="Arial"/>
                <w:bCs/>
                <w:color w:val="000000" w:themeColor="text1"/>
                <w:sz w:val="22"/>
                <w:szCs w:val="22"/>
              </w:rPr>
              <w:t>Programme of training and study tours/visits designed to build exposure, skills and knowledge in key aspects of international standards for security sector actors (</w:t>
            </w:r>
            <w:r w:rsidR="00F8458E">
              <w:rPr>
                <w:rFonts w:cs="Arial"/>
                <w:bCs/>
                <w:color w:val="000000" w:themeColor="text1"/>
                <w:sz w:val="22"/>
                <w:szCs w:val="22"/>
              </w:rPr>
              <w:t>I</w:t>
            </w:r>
            <w:r w:rsidR="00C83F1C">
              <w:rPr>
                <w:rFonts w:cs="Arial"/>
                <w:bCs/>
                <w:color w:val="000000" w:themeColor="text1"/>
                <w:sz w:val="22"/>
                <w:szCs w:val="22"/>
              </w:rPr>
              <w:t>nternational humanitarian law (IHL)</w:t>
            </w:r>
            <w:r w:rsidRPr="00EA0900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; conflict </w:t>
            </w:r>
            <w:r w:rsidR="00F8458E">
              <w:rPr>
                <w:rFonts w:cs="Arial"/>
                <w:bCs/>
                <w:color w:val="000000" w:themeColor="text1"/>
                <w:sz w:val="22"/>
                <w:szCs w:val="22"/>
              </w:rPr>
              <w:t>and</w:t>
            </w:r>
            <w:r w:rsidRPr="00EA0900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peacekeeping; management skills, English Language) targeting both men and women</w:t>
            </w:r>
          </w:p>
        </w:tc>
        <w:tc>
          <w:tcPr>
            <w:tcW w:w="658" w:type="pct"/>
          </w:tcPr>
          <w:p w14:paraId="17D66B45" w14:textId="77777777" w:rsidR="00673A17" w:rsidRPr="00FB0D78" w:rsidRDefault="00B8482D" w:rsidP="00BA4B66">
            <w:pPr>
              <w:rPr>
                <w:rFonts w:cs="Arial"/>
                <w:sz w:val="22"/>
                <w:szCs w:val="22"/>
              </w:rPr>
            </w:pPr>
            <w:r w:rsidRPr="00FB0D78">
              <w:rPr>
                <w:rFonts w:cs="Arial"/>
                <w:sz w:val="22"/>
                <w:szCs w:val="22"/>
              </w:rPr>
              <w:t>B</w:t>
            </w:r>
          </w:p>
        </w:tc>
      </w:tr>
      <w:tr w:rsidR="00673A17" w:rsidRPr="00EA0900" w14:paraId="2DFD6290" w14:textId="77777777" w:rsidTr="00673A17">
        <w:tc>
          <w:tcPr>
            <w:tcW w:w="4342" w:type="pct"/>
            <w:gridSpan w:val="5"/>
          </w:tcPr>
          <w:p w14:paraId="39F30D09" w14:textId="457C0D1A" w:rsidR="00673A17" w:rsidRPr="006427A4" w:rsidRDefault="00B8482D" w:rsidP="00BA4B66">
            <w:pPr>
              <w:rPr>
                <w:rFonts w:cs="Arial"/>
                <w:sz w:val="22"/>
                <w:szCs w:val="22"/>
              </w:rPr>
            </w:pPr>
            <w:r w:rsidRPr="00EA0900">
              <w:rPr>
                <w:rFonts w:cs="Arial"/>
                <w:bCs/>
                <w:color w:val="000000" w:themeColor="text1"/>
                <w:sz w:val="22"/>
                <w:szCs w:val="22"/>
              </w:rPr>
              <w:t>A solid programme of engagement and influencing with</w:t>
            </w:r>
            <w:r w:rsidR="00C83F1C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Sudanese Armed Forces</w:t>
            </w:r>
            <w:r w:rsidRPr="00EA0900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83F1C">
              <w:rPr>
                <w:rFonts w:cs="Arial"/>
                <w:bCs/>
                <w:color w:val="000000" w:themeColor="text1"/>
                <w:sz w:val="22"/>
                <w:szCs w:val="22"/>
              </w:rPr>
              <w:t>(</w:t>
            </w:r>
            <w:r w:rsidRPr="00EA0900">
              <w:rPr>
                <w:rFonts w:cs="Arial"/>
                <w:bCs/>
                <w:color w:val="000000" w:themeColor="text1"/>
                <w:sz w:val="22"/>
                <w:szCs w:val="22"/>
              </w:rPr>
              <w:t>SAF</w:t>
            </w:r>
            <w:r w:rsidR="00C83F1C">
              <w:rPr>
                <w:rFonts w:cs="Arial"/>
                <w:bCs/>
                <w:color w:val="000000" w:themeColor="text1"/>
                <w:sz w:val="22"/>
                <w:szCs w:val="22"/>
              </w:rPr>
              <w:t>)</w:t>
            </w:r>
            <w:r w:rsidRPr="00EA0900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leadership in respect of I</w:t>
            </w:r>
            <w:r w:rsidR="00C83F1C">
              <w:rPr>
                <w:rFonts w:cs="Arial"/>
                <w:bCs/>
                <w:color w:val="000000" w:themeColor="text1"/>
                <w:sz w:val="22"/>
                <w:szCs w:val="22"/>
              </w:rPr>
              <w:t>HL</w:t>
            </w:r>
            <w:r w:rsidRPr="00EA0900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and respect for international standards</w:t>
            </w:r>
          </w:p>
        </w:tc>
        <w:tc>
          <w:tcPr>
            <w:tcW w:w="658" w:type="pct"/>
          </w:tcPr>
          <w:p w14:paraId="3C47EA89" w14:textId="77777777" w:rsidR="00673A17" w:rsidRPr="00FB0D78" w:rsidRDefault="00B8482D" w:rsidP="00BA4B66">
            <w:pPr>
              <w:rPr>
                <w:rFonts w:cs="Arial"/>
                <w:sz w:val="22"/>
                <w:szCs w:val="22"/>
              </w:rPr>
            </w:pPr>
            <w:r w:rsidRPr="00FB0D78">
              <w:rPr>
                <w:rFonts w:cs="Arial"/>
                <w:sz w:val="22"/>
                <w:szCs w:val="22"/>
              </w:rPr>
              <w:t>B</w:t>
            </w:r>
          </w:p>
        </w:tc>
      </w:tr>
      <w:tr w:rsidR="00673A17" w:rsidRPr="00EA0900" w14:paraId="6D59AAE1" w14:textId="77777777" w:rsidTr="00673A17">
        <w:tc>
          <w:tcPr>
            <w:tcW w:w="4342" w:type="pct"/>
            <w:gridSpan w:val="5"/>
            <w:tcBorders>
              <w:bottom w:val="single" w:sz="4" w:space="0" w:color="auto"/>
            </w:tcBorders>
          </w:tcPr>
          <w:p w14:paraId="6CBAEB27" w14:textId="30FD062B" w:rsidR="00673A17" w:rsidRPr="006427A4" w:rsidRDefault="00B8482D" w:rsidP="00BA4B66">
            <w:pPr>
              <w:rPr>
                <w:rFonts w:cs="Arial"/>
                <w:sz w:val="22"/>
                <w:szCs w:val="22"/>
              </w:rPr>
            </w:pPr>
            <w:r w:rsidRPr="00EA0900">
              <w:rPr>
                <w:rFonts w:cs="Arial"/>
                <w:color w:val="000000" w:themeColor="text1"/>
                <w:sz w:val="22"/>
                <w:szCs w:val="22"/>
              </w:rPr>
              <w:t xml:space="preserve">Regular insight and analysis of SAF developments relevant to NSC objectives, together with identification of opportunity areas for </w:t>
            </w:r>
            <w:r w:rsidR="00EB1170">
              <w:rPr>
                <w:rFonts w:cs="Arial"/>
                <w:color w:val="000000" w:themeColor="text1"/>
                <w:sz w:val="22"/>
                <w:szCs w:val="22"/>
              </w:rPr>
              <w:t xml:space="preserve">UK </w:t>
            </w:r>
            <w:r w:rsidR="00730350">
              <w:rPr>
                <w:rFonts w:cs="Arial"/>
                <w:color w:val="000000" w:themeColor="text1"/>
                <w:sz w:val="22"/>
                <w:szCs w:val="22"/>
              </w:rPr>
              <w:t>Government</w:t>
            </w:r>
            <w:r w:rsidR="00730350" w:rsidRPr="00EA0900">
              <w:rPr>
                <w:rFonts w:cs="Arial"/>
                <w:color w:val="000000" w:themeColor="text1"/>
                <w:sz w:val="22"/>
                <w:szCs w:val="22"/>
              </w:rPr>
              <w:t xml:space="preserve"> influence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14:paraId="59DC23E3" w14:textId="77777777" w:rsidR="00673A17" w:rsidRPr="00FB0D78" w:rsidRDefault="00B8482D" w:rsidP="00BA4B66">
            <w:pPr>
              <w:rPr>
                <w:rFonts w:cs="Arial"/>
                <w:sz w:val="22"/>
                <w:szCs w:val="22"/>
              </w:rPr>
            </w:pPr>
            <w:r w:rsidRPr="00FB0D78">
              <w:rPr>
                <w:rFonts w:cs="Arial"/>
                <w:sz w:val="22"/>
                <w:szCs w:val="22"/>
              </w:rPr>
              <w:t>B</w:t>
            </w:r>
          </w:p>
        </w:tc>
      </w:tr>
      <w:tr w:rsidR="00673A17" w:rsidRPr="00EA0900" w14:paraId="62BC1043" w14:textId="77777777" w:rsidTr="00673A17">
        <w:tc>
          <w:tcPr>
            <w:tcW w:w="4342" w:type="pct"/>
            <w:gridSpan w:val="5"/>
            <w:tcBorders>
              <w:bottom w:val="single" w:sz="12" w:space="0" w:color="auto"/>
            </w:tcBorders>
          </w:tcPr>
          <w:p w14:paraId="23FD7DC4" w14:textId="77777777" w:rsidR="00673A17" w:rsidRPr="006427A4" w:rsidRDefault="00A90ED9" w:rsidP="00BA4B66">
            <w:pPr>
              <w:rPr>
                <w:rFonts w:cs="Arial"/>
                <w:b/>
                <w:sz w:val="22"/>
                <w:szCs w:val="22"/>
              </w:rPr>
            </w:pPr>
            <w:r w:rsidRPr="006427A4">
              <w:rPr>
                <w:rFonts w:cs="Arial"/>
                <w:b/>
                <w:sz w:val="22"/>
                <w:szCs w:val="22"/>
              </w:rPr>
              <w:t>Overall output score</w:t>
            </w:r>
            <w:r w:rsidR="00B8482D" w:rsidRPr="006427A4">
              <w:rPr>
                <w:rFonts w:cs="Arial"/>
                <w:b/>
                <w:sz w:val="22"/>
                <w:szCs w:val="22"/>
              </w:rPr>
              <w:t>: B</w:t>
            </w: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4ECE7DC7" w14:textId="77777777" w:rsidR="00673A17" w:rsidRPr="00FB0D78" w:rsidRDefault="00673A17" w:rsidP="00BA4B6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73A17" w:rsidRPr="00EA0900" w14:paraId="02258091" w14:textId="77777777" w:rsidTr="00B8482D">
        <w:trPr>
          <w:trHeight w:val="1683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63C8B36D" w14:textId="77777777" w:rsidR="00B8482D" w:rsidRPr="00F8458E" w:rsidRDefault="00673A17" w:rsidP="00B8482D">
            <w:pPr>
              <w:rPr>
                <w:rFonts w:cs="Arial"/>
                <w:b/>
                <w:sz w:val="22"/>
                <w:szCs w:val="22"/>
              </w:rPr>
            </w:pPr>
            <w:r w:rsidRPr="006427A4">
              <w:rPr>
                <w:rFonts w:cs="Arial"/>
                <w:b/>
                <w:sz w:val="22"/>
                <w:szCs w:val="22"/>
              </w:rPr>
              <w:t>Outcome</w:t>
            </w:r>
            <w:r w:rsidR="00357950" w:rsidRPr="006427A4">
              <w:rPr>
                <w:rFonts w:cs="Arial"/>
                <w:b/>
                <w:sz w:val="22"/>
                <w:szCs w:val="22"/>
              </w:rPr>
              <w:t xml:space="preserve"> Assessment</w:t>
            </w:r>
            <w:r w:rsidRPr="006427A4">
              <w:rPr>
                <w:rFonts w:cs="Arial"/>
                <w:b/>
                <w:sz w:val="22"/>
                <w:szCs w:val="22"/>
              </w:rPr>
              <w:t>:</w:t>
            </w:r>
            <w:r w:rsidR="00B8482D" w:rsidRPr="00F8458E">
              <w:rPr>
                <w:rFonts w:cs="Arial"/>
                <w:b/>
                <w:sz w:val="22"/>
                <w:szCs w:val="22"/>
              </w:rPr>
              <w:t xml:space="preserve"> Outcome (s): </w:t>
            </w:r>
          </w:p>
          <w:p w14:paraId="25985BAE" w14:textId="420AEB43" w:rsidR="00B8482D" w:rsidRPr="00EA0900" w:rsidRDefault="00B8482D" w:rsidP="00B8482D">
            <w:pPr>
              <w:rPr>
                <w:rFonts w:cs="Arial"/>
                <w:color w:val="000000"/>
                <w:sz w:val="22"/>
                <w:szCs w:val="22"/>
              </w:rPr>
            </w:pPr>
            <w:r w:rsidRPr="00EA0900">
              <w:rPr>
                <w:rFonts w:cs="Arial"/>
                <w:color w:val="000000"/>
                <w:sz w:val="22"/>
                <w:szCs w:val="22"/>
              </w:rPr>
              <w:t xml:space="preserve">(1) SAF senior personnel (including women wherever possible) gain greater professional skills and knowledge in international standards and </w:t>
            </w:r>
            <w:r w:rsidR="00D169BE">
              <w:rPr>
                <w:rFonts w:cs="Arial"/>
                <w:color w:val="000000"/>
                <w:sz w:val="22"/>
                <w:szCs w:val="22"/>
              </w:rPr>
              <w:t>I</w:t>
            </w:r>
            <w:r w:rsidR="00F31F6A">
              <w:rPr>
                <w:rFonts w:cs="Arial"/>
                <w:color w:val="000000"/>
                <w:sz w:val="22"/>
                <w:szCs w:val="22"/>
              </w:rPr>
              <w:t>HL</w:t>
            </w:r>
          </w:p>
          <w:p w14:paraId="6101D815" w14:textId="77777777" w:rsidR="00B8482D" w:rsidRPr="00EA0900" w:rsidRDefault="00B8482D" w:rsidP="00B8482D">
            <w:pPr>
              <w:rPr>
                <w:rFonts w:cs="Arial"/>
                <w:color w:val="000000"/>
                <w:sz w:val="22"/>
                <w:szCs w:val="22"/>
              </w:rPr>
            </w:pPr>
            <w:r w:rsidRPr="00EA0900">
              <w:rPr>
                <w:rFonts w:cs="Arial"/>
                <w:color w:val="000000"/>
                <w:sz w:val="22"/>
                <w:szCs w:val="22"/>
              </w:rPr>
              <w:t>(2) SAF leadership display evidence of increased commitment, leadership and openness in respect of IHL and international standards</w:t>
            </w:r>
          </w:p>
          <w:p w14:paraId="1ECB8E79" w14:textId="1E394623" w:rsidR="00673A17" w:rsidRPr="006427A4" w:rsidRDefault="00B8482D" w:rsidP="00B8482D">
            <w:pPr>
              <w:rPr>
                <w:rFonts w:cs="Arial"/>
                <w:b/>
                <w:sz w:val="22"/>
                <w:szCs w:val="22"/>
              </w:rPr>
            </w:pPr>
            <w:r w:rsidRPr="00EA0900">
              <w:rPr>
                <w:rFonts w:cs="Arial"/>
                <w:color w:val="000000"/>
                <w:sz w:val="22"/>
                <w:szCs w:val="22"/>
              </w:rPr>
              <w:t xml:space="preserve">(3) </w:t>
            </w:r>
            <w:r w:rsidR="00EB1170">
              <w:rPr>
                <w:rFonts w:cs="Arial"/>
                <w:color w:val="000000"/>
                <w:sz w:val="22"/>
                <w:szCs w:val="22"/>
              </w:rPr>
              <w:t>UK Government</w:t>
            </w:r>
            <w:r w:rsidRPr="00EA0900">
              <w:rPr>
                <w:rFonts w:cs="Arial"/>
                <w:color w:val="000000"/>
                <w:sz w:val="22"/>
                <w:szCs w:val="22"/>
              </w:rPr>
              <w:t xml:space="preserve"> has a stronger understanding of SAF actors and dynamics, its approach on key issues such as IHL, and opportunity areas for longer-term transformation of the security sector.</w:t>
            </w:r>
          </w:p>
        </w:tc>
      </w:tr>
      <w:tr w:rsidR="00673A17" w:rsidRPr="00EA0900" w14:paraId="7F647CF3" w14:textId="77777777" w:rsidTr="00673A17">
        <w:tc>
          <w:tcPr>
            <w:tcW w:w="2560" w:type="pct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3C1EE86" w14:textId="77777777" w:rsidR="00673A17" w:rsidRPr="00FB0D78" w:rsidRDefault="000012E3" w:rsidP="00BA4B66">
            <w:pPr>
              <w:rPr>
                <w:rFonts w:cs="Arial"/>
                <w:b/>
                <w:sz w:val="22"/>
                <w:szCs w:val="22"/>
              </w:rPr>
            </w:pPr>
            <w:r w:rsidRPr="006427A4">
              <w:rPr>
                <w:rFonts w:cs="Arial"/>
                <w:b/>
                <w:sz w:val="22"/>
                <w:szCs w:val="22"/>
              </w:rPr>
              <w:t>Outcome</w:t>
            </w:r>
            <w:r w:rsidR="00357950" w:rsidRPr="006427A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73A17" w:rsidRPr="006427A4">
              <w:rPr>
                <w:rFonts w:cs="Arial"/>
                <w:b/>
                <w:sz w:val="22"/>
                <w:szCs w:val="22"/>
              </w:rPr>
              <w:t>Score:</w:t>
            </w:r>
            <w:r w:rsidR="00B8482D" w:rsidRPr="006427A4">
              <w:rPr>
                <w:rFonts w:cs="Arial"/>
                <w:b/>
                <w:sz w:val="22"/>
                <w:szCs w:val="22"/>
              </w:rPr>
              <w:t xml:space="preserve"> B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1E87F31" w14:textId="77777777" w:rsidR="00673A17" w:rsidRPr="001F7086" w:rsidRDefault="00673A17" w:rsidP="00BA4B66">
            <w:pPr>
              <w:rPr>
                <w:rFonts w:cs="Arial"/>
                <w:b/>
                <w:sz w:val="22"/>
                <w:szCs w:val="22"/>
              </w:rPr>
            </w:pPr>
            <w:r w:rsidRPr="001F7086">
              <w:rPr>
                <w:rFonts w:cs="Arial"/>
                <w:b/>
                <w:sz w:val="22"/>
                <w:szCs w:val="22"/>
              </w:rPr>
              <w:t>Risk:</w:t>
            </w:r>
            <w:r w:rsidR="00B8482D" w:rsidRPr="001F7086">
              <w:rPr>
                <w:rFonts w:cs="Arial"/>
                <w:b/>
                <w:sz w:val="22"/>
                <w:szCs w:val="22"/>
              </w:rPr>
              <w:t xml:space="preserve"> Medium High </w:t>
            </w:r>
          </w:p>
        </w:tc>
      </w:tr>
    </w:tbl>
    <w:p w14:paraId="4D1A63BF" w14:textId="77777777" w:rsidR="00745E9A" w:rsidRPr="006427A4" w:rsidRDefault="00745E9A" w:rsidP="00A4556C">
      <w:pPr>
        <w:rPr>
          <w:rFonts w:cs="Arial"/>
          <w:b/>
          <w:sz w:val="22"/>
          <w:szCs w:val="22"/>
        </w:rPr>
      </w:pPr>
    </w:p>
    <w:p w14:paraId="08717EC4" w14:textId="77777777" w:rsidR="00745E9A" w:rsidRPr="00FB0D78" w:rsidRDefault="00144C58" w:rsidP="00A4556C">
      <w:pPr>
        <w:rPr>
          <w:rFonts w:cs="Arial"/>
          <w:b/>
          <w:sz w:val="22"/>
          <w:szCs w:val="22"/>
        </w:rPr>
      </w:pPr>
      <w:r w:rsidRPr="00FB0D78">
        <w:rPr>
          <w:rFonts w:cs="Arial"/>
          <w:b/>
          <w:sz w:val="22"/>
          <w:szCs w:val="22"/>
        </w:rPr>
        <w:t xml:space="preserve">Summary of Programme Performance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843"/>
        <w:gridCol w:w="567"/>
        <w:gridCol w:w="1134"/>
      </w:tblGrid>
      <w:tr w:rsidR="00B8697E" w:rsidRPr="00EA0900" w14:paraId="2A97A7C0" w14:textId="77777777" w:rsidTr="002F07DD">
        <w:tc>
          <w:tcPr>
            <w:tcW w:w="1413" w:type="dxa"/>
          </w:tcPr>
          <w:p w14:paraId="0518D9A8" w14:textId="77777777" w:rsidR="00B8697E" w:rsidRPr="001F7086" w:rsidRDefault="00B8697E" w:rsidP="00A4556C">
            <w:pPr>
              <w:rPr>
                <w:rFonts w:cs="Arial"/>
                <w:sz w:val="22"/>
                <w:szCs w:val="22"/>
              </w:rPr>
            </w:pPr>
            <w:r w:rsidRPr="001F7086">
              <w:rPr>
                <w:rFonts w:cs="Arial"/>
                <w:sz w:val="22"/>
                <w:szCs w:val="22"/>
              </w:rPr>
              <w:t>Year</w:t>
            </w:r>
          </w:p>
        </w:tc>
        <w:tc>
          <w:tcPr>
            <w:tcW w:w="2551" w:type="dxa"/>
          </w:tcPr>
          <w:p w14:paraId="2562BB34" w14:textId="77777777" w:rsidR="00B8697E" w:rsidRPr="008D3548" w:rsidRDefault="00B8697E" w:rsidP="00A4556C">
            <w:pPr>
              <w:rPr>
                <w:rFonts w:cs="Arial"/>
                <w:b/>
                <w:sz w:val="22"/>
                <w:szCs w:val="22"/>
              </w:rPr>
            </w:pPr>
            <w:r w:rsidRPr="008D3548">
              <w:rPr>
                <w:rFonts w:cs="Arial"/>
                <w:b/>
                <w:sz w:val="22"/>
                <w:szCs w:val="22"/>
              </w:rPr>
              <w:t>2015/16</w:t>
            </w:r>
          </w:p>
        </w:tc>
        <w:tc>
          <w:tcPr>
            <w:tcW w:w="1843" w:type="dxa"/>
          </w:tcPr>
          <w:p w14:paraId="57B48412" w14:textId="77777777" w:rsidR="00B8697E" w:rsidRPr="00DD34AC" w:rsidRDefault="00B8697E" w:rsidP="00A4556C">
            <w:pPr>
              <w:rPr>
                <w:rFonts w:cs="Arial"/>
                <w:b/>
                <w:sz w:val="22"/>
                <w:szCs w:val="22"/>
              </w:rPr>
            </w:pPr>
            <w:r w:rsidRPr="00DD34AC">
              <w:rPr>
                <w:rFonts w:cs="Arial"/>
                <w:b/>
                <w:sz w:val="22"/>
                <w:szCs w:val="22"/>
              </w:rPr>
              <w:t>2016/17</w:t>
            </w:r>
          </w:p>
        </w:tc>
        <w:tc>
          <w:tcPr>
            <w:tcW w:w="1701" w:type="dxa"/>
            <w:gridSpan w:val="2"/>
          </w:tcPr>
          <w:p w14:paraId="3CB944F8" w14:textId="02010E31" w:rsidR="00B8697E" w:rsidRPr="00F8458E" w:rsidRDefault="00B8697E" w:rsidP="00A4556C">
            <w:pPr>
              <w:rPr>
                <w:rFonts w:cs="Arial"/>
                <w:b/>
                <w:sz w:val="22"/>
                <w:szCs w:val="22"/>
              </w:rPr>
            </w:pPr>
            <w:r w:rsidRPr="00F8458E">
              <w:rPr>
                <w:rFonts w:cs="Arial"/>
                <w:b/>
                <w:sz w:val="22"/>
                <w:szCs w:val="22"/>
              </w:rPr>
              <w:t>2017/18*</w:t>
            </w:r>
          </w:p>
        </w:tc>
      </w:tr>
      <w:tr w:rsidR="00B8697E" w:rsidRPr="00EA0900" w14:paraId="6AC76285" w14:textId="77777777" w:rsidTr="002F07DD">
        <w:tc>
          <w:tcPr>
            <w:tcW w:w="1413" w:type="dxa"/>
          </w:tcPr>
          <w:p w14:paraId="170B396F" w14:textId="77777777" w:rsidR="00B8697E" w:rsidRPr="006427A4" w:rsidRDefault="00B8697E" w:rsidP="00A4556C">
            <w:pPr>
              <w:rPr>
                <w:rFonts w:cs="Arial"/>
                <w:sz w:val="22"/>
                <w:szCs w:val="22"/>
              </w:rPr>
            </w:pPr>
            <w:r w:rsidRPr="006427A4">
              <w:rPr>
                <w:rFonts w:cs="Arial"/>
                <w:sz w:val="22"/>
                <w:szCs w:val="22"/>
              </w:rPr>
              <w:t>Programme Score</w:t>
            </w:r>
          </w:p>
        </w:tc>
        <w:tc>
          <w:tcPr>
            <w:tcW w:w="2551" w:type="dxa"/>
          </w:tcPr>
          <w:p w14:paraId="24A71225" w14:textId="18454243" w:rsidR="00B8697E" w:rsidRPr="00EA0900" w:rsidRDefault="00B8697E" w:rsidP="00DD34AC">
            <w:pPr>
              <w:rPr>
                <w:rFonts w:cs="Arial"/>
                <w:sz w:val="22"/>
                <w:szCs w:val="22"/>
              </w:rPr>
            </w:pPr>
            <w:r w:rsidRPr="00EA0900">
              <w:rPr>
                <w:rFonts w:cs="Arial"/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</w:tcPr>
          <w:p w14:paraId="36DCEA1E" w14:textId="7D4B02FC" w:rsidR="00B8697E" w:rsidRPr="00EA0900" w:rsidRDefault="00B8697E">
            <w:pPr>
              <w:rPr>
                <w:rFonts w:cs="Arial"/>
                <w:sz w:val="22"/>
                <w:szCs w:val="22"/>
              </w:rPr>
            </w:pPr>
            <w:r w:rsidRPr="00EA0900">
              <w:rPr>
                <w:rFonts w:cs="Arial"/>
                <w:sz w:val="22"/>
                <w:szCs w:val="22"/>
              </w:rPr>
              <w:t xml:space="preserve">A / B </w:t>
            </w:r>
          </w:p>
        </w:tc>
        <w:tc>
          <w:tcPr>
            <w:tcW w:w="567" w:type="dxa"/>
          </w:tcPr>
          <w:p w14:paraId="540E4D79" w14:textId="77777777" w:rsidR="00B8697E" w:rsidRPr="00EA0900" w:rsidRDefault="00B8697E" w:rsidP="00A4556C">
            <w:pPr>
              <w:rPr>
                <w:rFonts w:cs="Arial"/>
                <w:sz w:val="22"/>
                <w:szCs w:val="22"/>
              </w:rPr>
            </w:pPr>
            <w:r w:rsidRPr="00EA0900"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14:paraId="31CB995D" w14:textId="7FB401E7" w:rsidR="00B8697E" w:rsidRPr="006427A4" w:rsidRDefault="00B8697E" w:rsidP="00A4556C">
            <w:pPr>
              <w:rPr>
                <w:rFonts w:cs="Arial"/>
                <w:b/>
                <w:sz w:val="22"/>
                <w:szCs w:val="22"/>
              </w:rPr>
            </w:pPr>
            <w:r w:rsidRPr="00EA0900">
              <w:rPr>
                <w:rFonts w:cs="Arial"/>
                <w:sz w:val="22"/>
                <w:szCs w:val="22"/>
              </w:rPr>
              <w:t>B</w:t>
            </w:r>
          </w:p>
        </w:tc>
      </w:tr>
      <w:tr w:rsidR="00B8697E" w:rsidRPr="00EA0900" w14:paraId="638A2753" w14:textId="77777777" w:rsidTr="002F07DD">
        <w:tc>
          <w:tcPr>
            <w:tcW w:w="1413" w:type="dxa"/>
          </w:tcPr>
          <w:p w14:paraId="7E1B6B12" w14:textId="77777777" w:rsidR="00B8697E" w:rsidRPr="006427A4" w:rsidRDefault="00B8697E" w:rsidP="00A4556C">
            <w:pPr>
              <w:rPr>
                <w:rFonts w:cs="Arial"/>
                <w:sz w:val="22"/>
                <w:szCs w:val="22"/>
              </w:rPr>
            </w:pPr>
            <w:r w:rsidRPr="006427A4">
              <w:rPr>
                <w:rFonts w:cs="Arial"/>
                <w:sz w:val="22"/>
                <w:szCs w:val="22"/>
              </w:rPr>
              <w:t>Risk Rating</w:t>
            </w:r>
          </w:p>
        </w:tc>
        <w:tc>
          <w:tcPr>
            <w:tcW w:w="2551" w:type="dxa"/>
          </w:tcPr>
          <w:p w14:paraId="7CE77AF6" w14:textId="77777777" w:rsidR="00B8697E" w:rsidRPr="00FB0D78" w:rsidRDefault="00B8697E" w:rsidP="00A4556C">
            <w:pPr>
              <w:rPr>
                <w:rFonts w:cs="Arial"/>
                <w:b/>
                <w:sz w:val="22"/>
                <w:szCs w:val="22"/>
              </w:rPr>
            </w:pPr>
            <w:r w:rsidRPr="00FB0D78">
              <w:rPr>
                <w:rFonts w:cs="Arial"/>
                <w:b/>
                <w:sz w:val="22"/>
                <w:szCs w:val="22"/>
              </w:rPr>
              <w:t>Medium High</w:t>
            </w:r>
          </w:p>
        </w:tc>
        <w:tc>
          <w:tcPr>
            <w:tcW w:w="1843" w:type="dxa"/>
          </w:tcPr>
          <w:p w14:paraId="57651F16" w14:textId="77777777" w:rsidR="00B8697E" w:rsidRPr="001F7086" w:rsidRDefault="00B8697E" w:rsidP="00A4556C">
            <w:pPr>
              <w:rPr>
                <w:rFonts w:cs="Arial"/>
                <w:b/>
                <w:sz w:val="22"/>
                <w:szCs w:val="22"/>
              </w:rPr>
            </w:pPr>
            <w:r w:rsidRPr="001F7086">
              <w:rPr>
                <w:rFonts w:cs="Arial"/>
                <w:b/>
                <w:sz w:val="22"/>
                <w:szCs w:val="22"/>
              </w:rPr>
              <w:t>Medium High</w:t>
            </w:r>
          </w:p>
        </w:tc>
        <w:tc>
          <w:tcPr>
            <w:tcW w:w="1701" w:type="dxa"/>
            <w:gridSpan w:val="2"/>
          </w:tcPr>
          <w:p w14:paraId="7CC66E80" w14:textId="2C9865BD" w:rsidR="00B8697E" w:rsidRPr="008D3548" w:rsidRDefault="00B8697E" w:rsidP="00A4556C">
            <w:pPr>
              <w:rPr>
                <w:rFonts w:cs="Arial"/>
                <w:b/>
                <w:sz w:val="22"/>
                <w:szCs w:val="22"/>
              </w:rPr>
            </w:pPr>
            <w:r w:rsidRPr="008D3548">
              <w:rPr>
                <w:rFonts w:cs="Arial"/>
                <w:b/>
                <w:sz w:val="22"/>
                <w:szCs w:val="22"/>
              </w:rPr>
              <w:t>Medium High</w:t>
            </w:r>
          </w:p>
        </w:tc>
      </w:tr>
    </w:tbl>
    <w:p w14:paraId="46137AB0" w14:textId="77777777" w:rsidR="00745E9A" w:rsidRPr="00F8458E" w:rsidRDefault="000012E3" w:rsidP="00A4556C">
      <w:pPr>
        <w:rPr>
          <w:rFonts w:cs="Arial"/>
          <w:b/>
          <w:sz w:val="22"/>
          <w:szCs w:val="22"/>
        </w:rPr>
      </w:pPr>
      <w:r w:rsidRPr="00F8458E">
        <w:rPr>
          <w:rFonts w:cs="Arial"/>
          <w:b/>
          <w:sz w:val="22"/>
          <w:szCs w:val="22"/>
        </w:rPr>
        <w:t>*output/outcome scores</w:t>
      </w:r>
    </w:p>
    <w:p w14:paraId="74567C1D" w14:textId="77777777" w:rsidR="000012E3" w:rsidRPr="006427A4" w:rsidRDefault="000012E3" w:rsidP="00A4556C">
      <w:pPr>
        <w:rPr>
          <w:rFonts w:cs="Arial"/>
          <w:b/>
          <w:sz w:val="22"/>
          <w:szCs w:val="22"/>
        </w:rPr>
      </w:pPr>
    </w:p>
    <w:p w14:paraId="34E45DFF" w14:textId="77777777" w:rsidR="00E54157" w:rsidRPr="001F7086" w:rsidRDefault="00E54157" w:rsidP="00EB1170">
      <w:pPr>
        <w:rPr>
          <w:rFonts w:cs="Arial"/>
          <w:b/>
          <w:sz w:val="22"/>
          <w:szCs w:val="22"/>
        </w:rPr>
      </w:pPr>
      <w:r w:rsidRPr="001F7086">
        <w:rPr>
          <w:rFonts w:cs="Arial"/>
          <w:b/>
          <w:sz w:val="22"/>
          <w:szCs w:val="22"/>
        </w:rPr>
        <w:t>What support is the UK providing?</w:t>
      </w:r>
    </w:p>
    <w:p w14:paraId="6AD7EAEF" w14:textId="77777777" w:rsidR="00192F26" w:rsidRDefault="00192F26" w:rsidP="00CC3A0B">
      <w:pPr>
        <w:rPr>
          <w:rFonts w:cs="Arial"/>
          <w:sz w:val="22"/>
          <w:szCs w:val="22"/>
        </w:rPr>
      </w:pPr>
    </w:p>
    <w:p w14:paraId="37F6C40C" w14:textId="61BC2E8B" w:rsidR="00B8482D" w:rsidRPr="00EA0900" w:rsidRDefault="00DD34AC" w:rsidP="00CC3A0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programme </w:t>
      </w:r>
      <w:r w:rsidRPr="00EA0900">
        <w:rPr>
          <w:rFonts w:cs="Arial"/>
          <w:sz w:val="22"/>
          <w:szCs w:val="22"/>
        </w:rPr>
        <w:t>seeks to improve respect for international humanitarian law</w:t>
      </w:r>
      <w:r>
        <w:rPr>
          <w:rFonts w:cs="Arial"/>
          <w:sz w:val="22"/>
          <w:szCs w:val="22"/>
        </w:rPr>
        <w:t xml:space="preserve"> (IHL)</w:t>
      </w:r>
      <w:r w:rsidRPr="00EA0900">
        <w:rPr>
          <w:rFonts w:cs="Arial"/>
          <w:sz w:val="22"/>
          <w:szCs w:val="22"/>
        </w:rPr>
        <w:t xml:space="preserve"> and democratic accountability, through inculcating thinking on governance and the development of ‘human capital’ within the senior leadership</w:t>
      </w:r>
      <w:r w:rsidR="007162E4">
        <w:rPr>
          <w:rFonts w:cs="Arial"/>
          <w:sz w:val="22"/>
          <w:szCs w:val="22"/>
        </w:rPr>
        <w:t xml:space="preserve"> of the Sudanese Armed Forces (SAF)</w:t>
      </w:r>
      <w:r w:rsidRPr="00EA0900">
        <w:rPr>
          <w:rFonts w:cs="Arial"/>
          <w:sz w:val="22"/>
          <w:szCs w:val="22"/>
        </w:rPr>
        <w:t xml:space="preserve">.  This is achieved through the delivery of courses primarily in Sudan, but also in the UK. </w:t>
      </w:r>
      <w:r w:rsidR="00B8482D" w:rsidRPr="00EA0900">
        <w:rPr>
          <w:rFonts w:cs="Arial"/>
          <w:sz w:val="22"/>
          <w:szCs w:val="22"/>
        </w:rPr>
        <w:t xml:space="preserve">The programme is underpinned by a package of English Language Training (ELT) supporting the delivery of defence training and education.  </w:t>
      </w:r>
    </w:p>
    <w:p w14:paraId="10CBD3FC" w14:textId="77777777" w:rsidR="00B8482D" w:rsidRPr="00EA0900" w:rsidRDefault="00B8482D" w:rsidP="00CC3A0B">
      <w:pPr>
        <w:tabs>
          <w:tab w:val="left" w:pos="6915"/>
          <w:tab w:val="left" w:pos="9495"/>
        </w:tabs>
        <w:rPr>
          <w:rFonts w:cs="Arial"/>
          <w:sz w:val="22"/>
          <w:szCs w:val="22"/>
        </w:rPr>
      </w:pPr>
    </w:p>
    <w:p w14:paraId="43618CC4" w14:textId="77777777" w:rsidR="00B8482D" w:rsidRPr="00FB0D78" w:rsidRDefault="00F10281" w:rsidP="00EB1170">
      <w:pPr>
        <w:tabs>
          <w:tab w:val="left" w:pos="6915"/>
          <w:tab w:val="left" w:pos="9495"/>
        </w:tabs>
        <w:rPr>
          <w:rFonts w:cs="Arial"/>
          <w:b/>
          <w:sz w:val="22"/>
          <w:szCs w:val="22"/>
        </w:rPr>
      </w:pPr>
      <w:r w:rsidRPr="006427A4">
        <w:rPr>
          <w:rFonts w:cs="Arial"/>
          <w:b/>
          <w:sz w:val="22"/>
          <w:szCs w:val="22"/>
        </w:rPr>
        <w:t>Summary of progress</w:t>
      </w:r>
      <w:r w:rsidR="00BD38CF" w:rsidRPr="006427A4">
        <w:rPr>
          <w:rFonts w:cs="Arial"/>
          <w:b/>
          <w:sz w:val="22"/>
          <w:szCs w:val="22"/>
        </w:rPr>
        <w:t xml:space="preserve"> and </w:t>
      </w:r>
      <w:r w:rsidRPr="006427A4">
        <w:rPr>
          <w:rFonts w:cs="Arial"/>
          <w:b/>
          <w:sz w:val="22"/>
          <w:szCs w:val="22"/>
        </w:rPr>
        <w:t>lessons learnt</w:t>
      </w:r>
      <w:r w:rsidR="006C13D9" w:rsidRPr="006427A4">
        <w:rPr>
          <w:rFonts w:cs="Arial"/>
          <w:b/>
          <w:sz w:val="22"/>
          <w:szCs w:val="22"/>
        </w:rPr>
        <w:t>/actions taken</w:t>
      </w:r>
      <w:r w:rsidRPr="006427A4">
        <w:rPr>
          <w:rFonts w:cs="Arial"/>
          <w:b/>
          <w:sz w:val="22"/>
          <w:szCs w:val="22"/>
        </w:rPr>
        <w:t xml:space="preserve"> </w:t>
      </w:r>
      <w:r w:rsidR="00BD38CF" w:rsidRPr="006427A4">
        <w:rPr>
          <w:rFonts w:cs="Arial"/>
          <w:b/>
          <w:sz w:val="22"/>
          <w:szCs w:val="22"/>
        </w:rPr>
        <w:t>since last review</w:t>
      </w:r>
    </w:p>
    <w:p w14:paraId="10621AD1" w14:textId="77777777" w:rsidR="00B274AC" w:rsidRPr="00F8458E" w:rsidRDefault="00B274AC">
      <w:pPr>
        <w:tabs>
          <w:tab w:val="left" w:pos="6915"/>
          <w:tab w:val="left" w:pos="9495"/>
        </w:tabs>
        <w:rPr>
          <w:rFonts w:cs="Arial"/>
          <w:b/>
          <w:sz w:val="22"/>
          <w:szCs w:val="22"/>
        </w:rPr>
      </w:pPr>
      <w:r w:rsidRPr="00F8458E">
        <w:rPr>
          <w:rFonts w:cs="Arial"/>
          <w:b/>
          <w:sz w:val="22"/>
          <w:szCs w:val="22"/>
        </w:rPr>
        <w:tab/>
      </w:r>
    </w:p>
    <w:p w14:paraId="72068873" w14:textId="7D28E8C0" w:rsidR="00DD34AC" w:rsidRDefault="00DD34AC" w:rsidP="00CC3A0B">
      <w:pPr>
        <w:tabs>
          <w:tab w:val="left" w:pos="6915"/>
          <w:tab w:val="left" w:pos="9495"/>
        </w:tabs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A </w:t>
      </w:r>
      <w:r w:rsidR="00B8482D" w:rsidRPr="00EA0900">
        <w:rPr>
          <w:rFonts w:cs="Arial"/>
          <w:color w:val="000000" w:themeColor="text1"/>
          <w:sz w:val="22"/>
          <w:szCs w:val="22"/>
        </w:rPr>
        <w:t xml:space="preserve">revised defence engagement programme was approved by the Local Strategy Board (LSB) in March 2017. </w:t>
      </w:r>
      <w:r w:rsidRPr="00EA0900">
        <w:rPr>
          <w:rFonts w:cs="Arial"/>
          <w:sz w:val="22"/>
          <w:szCs w:val="22"/>
        </w:rPr>
        <w:t>Reporting on progress has primarily been activity based</w:t>
      </w:r>
      <w:r>
        <w:rPr>
          <w:rFonts w:cs="Arial"/>
          <w:sz w:val="22"/>
          <w:szCs w:val="22"/>
        </w:rPr>
        <w:t xml:space="preserve"> e.g.</w:t>
      </w:r>
      <w:r w:rsidRPr="00EA0900">
        <w:rPr>
          <w:rFonts w:cs="Arial"/>
          <w:sz w:val="22"/>
          <w:szCs w:val="22"/>
        </w:rPr>
        <w:t xml:space="preserve"> number of courses</w:t>
      </w:r>
      <w:r>
        <w:rPr>
          <w:rFonts w:cs="Arial"/>
          <w:sz w:val="22"/>
          <w:szCs w:val="22"/>
        </w:rPr>
        <w:t xml:space="preserve"> or</w:t>
      </w:r>
      <w:r w:rsidRPr="00EA0900">
        <w:rPr>
          <w:rFonts w:cs="Arial"/>
          <w:sz w:val="22"/>
          <w:szCs w:val="22"/>
        </w:rPr>
        <w:t xml:space="preserve"> number of participants</w:t>
      </w:r>
      <w:r>
        <w:rPr>
          <w:rFonts w:cs="Arial"/>
          <w:sz w:val="22"/>
          <w:szCs w:val="22"/>
        </w:rPr>
        <w:t>.</w:t>
      </w:r>
      <w:r w:rsidRPr="00EA090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G</w:t>
      </w:r>
      <w:r w:rsidRPr="00EA0900">
        <w:rPr>
          <w:rFonts w:cs="Arial"/>
          <w:sz w:val="22"/>
          <w:szCs w:val="22"/>
        </w:rPr>
        <w:t xml:space="preserve">ood progress </w:t>
      </w:r>
      <w:r>
        <w:rPr>
          <w:rFonts w:cs="Arial"/>
          <w:sz w:val="22"/>
          <w:szCs w:val="22"/>
        </w:rPr>
        <w:t xml:space="preserve">has been </w:t>
      </w:r>
      <w:r w:rsidRPr="00EA0900">
        <w:rPr>
          <w:rFonts w:cs="Arial"/>
          <w:sz w:val="22"/>
          <w:szCs w:val="22"/>
        </w:rPr>
        <w:t xml:space="preserve">reported against some of the expected outcomes. </w:t>
      </w:r>
    </w:p>
    <w:p w14:paraId="404E0A67" w14:textId="77777777" w:rsidR="00DD34AC" w:rsidRDefault="00DD34AC" w:rsidP="00CC3A0B">
      <w:pPr>
        <w:tabs>
          <w:tab w:val="left" w:pos="6915"/>
          <w:tab w:val="left" w:pos="9495"/>
        </w:tabs>
        <w:rPr>
          <w:rFonts w:cs="Arial"/>
          <w:sz w:val="22"/>
          <w:szCs w:val="22"/>
        </w:rPr>
      </w:pPr>
    </w:p>
    <w:p w14:paraId="1D0393F7" w14:textId="16446849" w:rsidR="00DD34AC" w:rsidRDefault="00DD34AC" w:rsidP="00CC3A0B">
      <w:pPr>
        <w:tabs>
          <w:tab w:val="left" w:pos="6915"/>
          <w:tab w:val="left" w:pos="9495"/>
        </w:tabs>
        <w:rPr>
          <w:rFonts w:cs="Arial"/>
          <w:color w:val="000000" w:themeColor="text1"/>
          <w:sz w:val="22"/>
          <w:szCs w:val="22"/>
        </w:rPr>
      </w:pPr>
      <w:r w:rsidRPr="00EA0900">
        <w:rPr>
          <w:rFonts w:cs="Arial"/>
          <w:sz w:val="22"/>
          <w:szCs w:val="22"/>
        </w:rPr>
        <w:t>Access, as an output indicator</w:t>
      </w:r>
      <w:r>
        <w:rPr>
          <w:rFonts w:cs="Arial"/>
          <w:sz w:val="22"/>
          <w:szCs w:val="22"/>
        </w:rPr>
        <w:t>,</w:t>
      </w:r>
      <w:r w:rsidRPr="00EA0900">
        <w:rPr>
          <w:rFonts w:cs="Arial"/>
          <w:sz w:val="22"/>
          <w:szCs w:val="22"/>
        </w:rPr>
        <w:t xml:space="preserve"> is reported as good</w:t>
      </w:r>
      <w:r w:rsidR="00F8458E">
        <w:rPr>
          <w:rFonts w:cs="Arial"/>
          <w:sz w:val="22"/>
          <w:szCs w:val="22"/>
        </w:rPr>
        <w:t>,</w:t>
      </w:r>
      <w:r w:rsidRPr="00EA0900">
        <w:rPr>
          <w:rFonts w:cs="Arial"/>
          <w:sz w:val="22"/>
          <w:szCs w:val="22"/>
        </w:rPr>
        <w:t xml:space="preserve"> but SAF rotations a</w:t>
      </w:r>
      <w:r>
        <w:rPr>
          <w:rFonts w:cs="Arial"/>
          <w:sz w:val="22"/>
          <w:szCs w:val="22"/>
        </w:rPr>
        <w:t>re a</w:t>
      </w:r>
      <w:r w:rsidRPr="00EA0900">
        <w:rPr>
          <w:rFonts w:cs="Arial"/>
          <w:sz w:val="22"/>
          <w:szCs w:val="22"/>
        </w:rPr>
        <w:t xml:space="preserve"> challenge to maintaining relationships</w:t>
      </w:r>
      <w:r>
        <w:rPr>
          <w:rFonts w:cs="Arial"/>
          <w:sz w:val="22"/>
          <w:szCs w:val="22"/>
        </w:rPr>
        <w:t xml:space="preserve"> and </w:t>
      </w:r>
      <w:r w:rsidRPr="00EA0900">
        <w:rPr>
          <w:rFonts w:cs="Arial"/>
          <w:sz w:val="22"/>
          <w:szCs w:val="22"/>
        </w:rPr>
        <w:t>report</w:t>
      </w:r>
      <w:r>
        <w:rPr>
          <w:rFonts w:cs="Arial"/>
          <w:sz w:val="22"/>
          <w:szCs w:val="22"/>
        </w:rPr>
        <w:t xml:space="preserve">ing indicates </w:t>
      </w:r>
      <w:r w:rsidRPr="00EA0900">
        <w:rPr>
          <w:rFonts w:cs="Arial"/>
          <w:sz w:val="22"/>
          <w:szCs w:val="22"/>
        </w:rPr>
        <w:t>no insights or influence gained of SAF developments of IH</w:t>
      </w:r>
      <w:r>
        <w:rPr>
          <w:rFonts w:cs="Arial"/>
          <w:sz w:val="22"/>
          <w:szCs w:val="22"/>
        </w:rPr>
        <w:t>L</w:t>
      </w:r>
      <w:r w:rsidRPr="00EA0900">
        <w:rPr>
          <w:rFonts w:cs="Arial"/>
          <w:sz w:val="22"/>
          <w:szCs w:val="22"/>
        </w:rPr>
        <w:t xml:space="preserve"> and PSVI, or of </w:t>
      </w:r>
      <w:r w:rsidR="00EB1170">
        <w:rPr>
          <w:rFonts w:cs="Arial"/>
          <w:sz w:val="22"/>
          <w:szCs w:val="22"/>
        </w:rPr>
        <w:t>the UK Government’s</w:t>
      </w:r>
      <w:r w:rsidRPr="00EA0900">
        <w:rPr>
          <w:rFonts w:cs="Arial"/>
          <w:sz w:val="22"/>
          <w:szCs w:val="22"/>
        </w:rPr>
        <w:t xml:space="preserve"> ability to influence IHL and international standards.</w:t>
      </w:r>
    </w:p>
    <w:p w14:paraId="228D5C6E" w14:textId="4EEB128C" w:rsidR="00B8482D" w:rsidRPr="00EA0900" w:rsidRDefault="00B8482D" w:rsidP="00CC3A0B">
      <w:pPr>
        <w:tabs>
          <w:tab w:val="left" w:pos="6915"/>
          <w:tab w:val="left" w:pos="9495"/>
        </w:tabs>
        <w:rPr>
          <w:rFonts w:cs="Arial"/>
          <w:sz w:val="22"/>
          <w:szCs w:val="22"/>
        </w:rPr>
      </w:pPr>
    </w:p>
    <w:p w14:paraId="6ED9A3FB" w14:textId="09079BD3" w:rsidR="008440C4" w:rsidRPr="00EA0900" w:rsidRDefault="00DD34AC" w:rsidP="00CC3A0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="008440C4" w:rsidRPr="00EA0900">
        <w:rPr>
          <w:rFonts w:cs="Arial"/>
          <w:sz w:val="22"/>
          <w:szCs w:val="22"/>
        </w:rPr>
        <w:t>vidence supplied to support the Annual Review indicates that</w:t>
      </w:r>
      <w:r>
        <w:rPr>
          <w:rFonts w:cs="Arial"/>
          <w:sz w:val="22"/>
          <w:szCs w:val="22"/>
        </w:rPr>
        <w:t xml:space="preserve"> the </w:t>
      </w:r>
      <w:r w:rsidR="00730350">
        <w:rPr>
          <w:rFonts w:cs="Arial"/>
          <w:sz w:val="22"/>
          <w:szCs w:val="22"/>
        </w:rPr>
        <w:t xml:space="preserve">programme </w:t>
      </w:r>
      <w:r w:rsidR="00730350" w:rsidRPr="00EA0900">
        <w:rPr>
          <w:rFonts w:cs="Arial"/>
          <w:sz w:val="22"/>
          <w:szCs w:val="22"/>
        </w:rPr>
        <w:t>is</w:t>
      </w:r>
      <w:r w:rsidR="008440C4" w:rsidRPr="00EA0900">
        <w:rPr>
          <w:rFonts w:cs="Arial"/>
          <w:sz w:val="22"/>
          <w:szCs w:val="22"/>
        </w:rPr>
        <w:t xml:space="preserve"> </w:t>
      </w:r>
      <w:r w:rsidR="00E6254E">
        <w:rPr>
          <w:rFonts w:cs="Arial"/>
          <w:sz w:val="22"/>
          <w:szCs w:val="22"/>
        </w:rPr>
        <w:t>not</w:t>
      </w:r>
      <w:r w:rsidR="00E6254E" w:rsidRPr="00EA0900">
        <w:rPr>
          <w:rFonts w:cs="Arial"/>
          <w:sz w:val="22"/>
          <w:szCs w:val="22"/>
        </w:rPr>
        <w:t xml:space="preserve"> </w:t>
      </w:r>
      <w:r w:rsidR="008440C4" w:rsidRPr="00EA0900">
        <w:rPr>
          <w:rFonts w:cs="Arial"/>
          <w:sz w:val="22"/>
          <w:szCs w:val="22"/>
        </w:rPr>
        <w:t xml:space="preserve">governed, monitored and administered in a robust, systematic way, in compliance with CSSF programme management. This is likely due to being delivered as a stand-alone programme, divorced from other </w:t>
      </w:r>
      <w:r w:rsidR="008440C4" w:rsidRPr="00EA0900">
        <w:rPr>
          <w:rFonts w:cs="Arial"/>
          <w:sz w:val="22"/>
          <w:szCs w:val="22"/>
        </w:rPr>
        <w:lastRenderedPageBreak/>
        <w:t>CSSF programmes</w:t>
      </w:r>
      <w:r w:rsidR="00F8458E">
        <w:rPr>
          <w:rFonts w:cs="Arial"/>
          <w:sz w:val="22"/>
          <w:szCs w:val="22"/>
        </w:rPr>
        <w:t>.</w:t>
      </w:r>
      <w:r w:rsidR="008440C4" w:rsidRPr="00EA0900">
        <w:rPr>
          <w:rFonts w:cs="Arial"/>
          <w:sz w:val="22"/>
          <w:szCs w:val="22"/>
        </w:rPr>
        <w:t xml:space="preserve"> There is clear M</w:t>
      </w:r>
      <w:r w:rsidR="00EB1170">
        <w:rPr>
          <w:rFonts w:cs="Arial"/>
          <w:sz w:val="22"/>
          <w:szCs w:val="22"/>
        </w:rPr>
        <w:t>o</w:t>
      </w:r>
      <w:r w:rsidR="008440C4" w:rsidRPr="00EA0900">
        <w:rPr>
          <w:rFonts w:cs="Arial"/>
          <w:sz w:val="22"/>
          <w:szCs w:val="22"/>
        </w:rPr>
        <w:t>D ownership and oversight of this programme, however, wider CSSF oversight and governance requires substantial review and re-engagement</w:t>
      </w:r>
      <w:r w:rsidR="00545A81">
        <w:rPr>
          <w:rFonts w:cs="Arial"/>
          <w:sz w:val="22"/>
          <w:szCs w:val="22"/>
        </w:rPr>
        <w:t xml:space="preserve"> </w:t>
      </w:r>
      <w:r w:rsidR="008440C4" w:rsidRPr="00EA0900">
        <w:rPr>
          <w:rFonts w:cs="Arial"/>
          <w:sz w:val="22"/>
          <w:szCs w:val="22"/>
        </w:rPr>
        <w:t>in order to instil CSSF programme principles and management. There are obvious tensions between programme management and the M</w:t>
      </w:r>
      <w:r w:rsidR="00EB1170">
        <w:rPr>
          <w:rFonts w:cs="Arial"/>
          <w:sz w:val="22"/>
          <w:szCs w:val="22"/>
        </w:rPr>
        <w:t>o</w:t>
      </w:r>
      <w:r w:rsidR="008440C4" w:rsidRPr="00EA0900">
        <w:rPr>
          <w:rFonts w:cs="Arial"/>
          <w:sz w:val="22"/>
          <w:szCs w:val="22"/>
        </w:rPr>
        <w:t xml:space="preserve">D programming legacy, coupled with the challenges of measuring and assessing impact. </w:t>
      </w:r>
    </w:p>
    <w:p w14:paraId="52B14F89" w14:textId="77777777" w:rsidR="00B274AC" w:rsidRPr="00EA0900" w:rsidRDefault="00B274AC" w:rsidP="00CC3A0B">
      <w:pPr>
        <w:tabs>
          <w:tab w:val="left" w:pos="6915"/>
          <w:tab w:val="left" w:pos="9495"/>
        </w:tabs>
        <w:rPr>
          <w:rFonts w:cs="Arial"/>
          <w:sz w:val="22"/>
          <w:szCs w:val="22"/>
        </w:rPr>
      </w:pPr>
    </w:p>
    <w:p w14:paraId="77452683" w14:textId="77777777" w:rsidR="00B274AC" w:rsidRPr="00EA0900" w:rsidRDefault="007D0BE4" w:rsidP="00CC3A0B">
      <w:pPr>
        <w:tabs>
          <w:tab w:val="left" w:pos="6915"/>
          <w:tab w:val="left" w:pos="9495"/>
        </w:tabs>
        <w:rPr>
          <w:rFonts w:cs="Arial"/>
          <w:b/>
          <w:sz w:val="22"/>
          <w:szCs w:val="22"/>
        </w:rPr>
      </w:pPr>
      <w:r w:rsidRPr="00EA0900">
        <w:rPr>
          <w:rFonts w:cs="Arial"/>
          <w:b/>
          <w:sz w:val="22"/>
          <w:szCs w:val="22"/>
        </w:rPr>
        <w:t>Summary of recommendations for the next year</w:t>
      </w:r>
    </w:p>
    <w:p w14:paraId="32E37770" w14:textId="77777777" w:rsidR="00B8482D" w:rsidRPr="00EA0900" w:rsidRDefault="00B8482D" w:rsidP="00CC3A0B">
      <w:pPr>
        <w:tabs>
          <w:tab w:val="left" w:pos="6915"/>
          <w:tab w:val="left" w:pos="9495"/>
        </w:tabs>
        <w:rPr>
          <w:rFonts w:cs="Arial"/>
          <w:b/>
          <w:sz w:val="22"/>
          <w:szCs w:val="22"/>
        </w:rPr>
      </w:pPr>
    </w:p>
    <w:p w14:paraId="7E39E986" w14:textId="293E3A75" w:rsidR="006427A4" w:rsidRPr="00F8458E" w:rsidRDefault="00B8482D" w:rsidP="00CC3A0B">
      <w:pPr>
        <w:pStyle w:val="ListParagraph"/>
        <w:numPr>
          <w:ilvl w:val="0"/>
          <w:numId w:val="41"/>
        </w:numPr>
        <w:rPr>
          <w:rFonts w:cs="Arial"/>
          <w:sz w:val="22"/>
          <w:szCs w:val="22"/>
        </w:rPr>
      </w:pPr>
      <w:r w:rsidRPr="00F8458E">
        <w:rPr>
          <w:rFonts w:cs="Arial"/>
          <w:sz w:val="22"/>
          <w:szCs w:val="22"/>
        </w:rPr>
        <w:t xml:space="preserve">A </w:t>
      </w:r>
      <w:r w:rsidR="00545A81" w:rsidRPr="00F8458E">
        <w:rPr>
          <w:rFonts w:cs="Arial"/>
          <w:sz w:val="22"/>
          <w:szCs w:val="22"/>
        </w:rPr>
        <w:t xml:space="preserve">fuller </w:t>
      </w:r>
      <w:r w:rsidRPr="00F8458E">
        <w:rPr>
          <w:rFonts w:cs="Arial"/>
          <w:sz w:val="22"/>
          <w:szCs w:val="22"/>
        </w:rPr>
        <w:t xml:space="preserve">review to </w:t>
      </w:r>
      <w:r w:rsidR="00F8458E">
        <w:rPr>
          <w:rFonts w:cs="Arial"/>
          <w:sz w:val="22"/>
          <w:szCs w:val="22"/>
        </w:rPr>
        <w:t xml:space="preserve">assess the programme’s fit </w:t>
      </w:r>
      <w:r w:rsidRPr="00F8458E">
        <w:rPr>
          <w:rFonts w:cs="Arial"/>
          <w:sz w:val="22"/>
          <w:szCs w:val="22"/>
        </w:rPr>
        <w:t xml:space="preserve">as a CSSF programme and as part of the wider CSSF portfolio. Currently as a stand-alone element, it operates completely divorced from wider CSSF discussions, governance and oversight. Consideration should be given to how to address this serious challenge. </w:t>
      </w:r>
      <w:r w:rsidR="006427A4" w:rsidRPr="00F8458E">
        <w:rPr>
          <w:rFonts w:cs="Arial"/>
          <w:sz w:val="22"/>
          <w:szCs w:val="22"/>
        </w:rPr>
        <w:t xml:space="preserve">It should set out the strategic case for the programme based on key DE contributions to the </w:t>
      </w:r>
      <w:r w:rsidR="008D3548" w:rsidRPr="00F8458E">
        <w:rPr>
          <w:rFonts w:cs="Arial"/>
          <w:sz w:val="22"/>
          <w:szCs w:val="22"/>
        </w:rPr>
        <w:t xml:space="preserve">UK-Sudan </w:t>
      </w:r>
      <w:r w:rsidR="006427A4" w:rsidRPr="00F8458E">
        <w:rPr>
          <w:rFonts w:cs="Arial"/>
          <w:sz w:val="22"/>
          <w:szCs w:val="22"/>
        </w:rPr>
        <w:t>Strategic Dialogue (SD)</w:t>
      </w:r>
      <w:r w:rsidR="008D3548" w:rsidRPr="00F8458E">
        <w:rPr>
          <w:rFonts w:cs="Arial"/>
          <w:sz w:val="22"/>
          <w:szCs w:val="22"/>
        </w:rPr>
        <w:t xml:space="preserve">, a main element of </w:t>
      </w:r>
      <w:r w:rsidR="00EB1170">
        <w:rPr>
          <w:rFonts w:cs="Arial"/>
          <w:sz w:val="22"/>
          <w:szCs w:val="22"/>
        </w:rPr>
        <w:t>the UK Government</w:t>
      </w:r>
      <w:r w:rsidR="008D3548" w:rsidRPr="00F8458E">
        <w:rPr>
          <w:rFonts w:cs="Arial"/>
          <w:sz w:val="22"/>
          <w:szCs w:val="22"/>
        </w:rPr>
        <w:t xml:space="preserve"> effort.</w:t>
      </w:r>
    </w:p>
    <w:p w14:paraId="10E4993B" w14:textId="77777777" w:rsidR="006427A4" w:rsidRDefault="006427A4" w:rsidP="00CC3A0B">
      <w:pPr>
        <w:tabs>
          <w:tab w:val="left" w:pos="6915"/>
          <w:tab w:val="left" w:pos="9495"/>
        </w:tabs>
        <w:contextualSpacing/>
        <w:rPr>
          <w:rFonts w:cs="Arial"/>
          <w:sz w:val="22"/>
          <w:szCs w:val="22"/>
        </w:rPr>
      </w:pPr>
    </w:p>
    <w:p w14:paraId="017E0057" w14:textId="25C85359" w:rsidR="00F65E91" w:rsidRDefault="00F8458E" w:rsidP="00CC3A0B">
      <w:pPr>
        <w:pStyle w:val="ListParagraph"/>
        <w:numPr>
          <w:ilvl w:val="0"/>
          <w:numId w:val="41"/>
        </w:numPr>
        <w:tabs>
          <w:tab w:val="left" w:pos="6915"/>
          <w:tab w:val="left" w:pos="949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Establish greater </w:t>
      </w:r>
      <w:r w:rsidR="00B8482D" w:rsidRPr="00F8458E">
        <w:rPr>
          <w:rFonts w:cs="Arial"/>
          <w:sz w:val="22"/>
          <w:szCs w:val="22"/>
        </w:rPr>
        <w:t>clarity on</w:t>
      </w:r>
      <w:r w:rsidR="006427A4" w:rsidRPr="00F8458E">
        <w:rPr>
          <w:rFonts w:cs="Arial"/>
          <w:sz w:val="22"/>
          <w:szCs w:val="22"/>
        </w:rPr>
        <w:t xml:space="preserve"> the</w:t>
      </w:r>
      <w:r w:rsidR="00B8482D" w:rsidRPr="00F8458E">
        <w:rPr>
          <w:rFonts w:cs="Arial"/>
          <w:sz w:val="22"/>
          <w:szCs w:val="22"/>
        </w:rPr>
        <w:t xml:space="preserve"> relationship of the CSSF element of </w:t>
      </w:r>
      <w:r w:rsidR="006427A4" w:rsidRPr="00F8458E">
        <w:rPr>
          <w:rFonts w:cs="Arial"/>
          <w:sz w:val="22"/>
          <w:szCs w:val="22"/>
        </w:rPr>
        <w:t>Defence Engagement (</w:t>
      </w:r>
      <w:r w:rsidR="00B8482D" w:rsidRPr="00F8458E">
        <w:rPr>
          <w:rFonts w:cs="Arial"/>
          <w:sz w:val="22"/>
          <w:szCs w:val="22"/>
        </w:rPr>
        <w:t>DE</w:t>
      </w:r>
      <w:r w:rsidR="006427A4" w:rsidRPr="00F8458E">
        <w:rPr>
          <w:rFonts w:cs="Arial"/>
          <w:sz w:val="22"/>
          <w:szCs w:val="22"/>
        </w:rPr>
        <w:t>)</w:t>
      </w:r>
      <w:r w:rsidR="00B8482D" w:rsidRPr="00F8458E">
        <w:rPr>
          <w:rFonts w:cs="Arial"/>
          <w:sz w:val="22"/>
          <w:szCs w:val="22"/>
        </w:rPr>
        <w:t xml:space="preserve"> with the M</w:t>
      </w:r>
      <w:r w:rsidR="00EB1170">
        <w:rPr>
          <w:rFonts w:cs="Arial"/>
          <w:sz w:val="22"/>
          <w:szCs w:val="22"/>
        </w:rPr>
        <w:t>o</w:t>
      </w:r>
      <w:r w:rsidR="00B8482D" w:rsidRPr="00F8458E">
        <w:rPr>
          <w:rFonts w:cs="Arial"/>
          <w:sz w:val="22"/>
          <w:szCs w:val="22"/>
        </w:rPr>
        <w:t>D element. This would spell</w:t>
      </w:r>
      <w:r>
        <w:rPr>
          <w:rFonts w:cs="Arial"/>
          <w:sz w:val="22"/>
          <w:szCs w:val="22"/>
        </w:rPr>
        <w:t xml:space="preserve"> </w:t>
      </w:r>
      <w:r w:rsidR="00B8482D" w:rsidRPr="00F8458E">
        <w:rPr>
          <w:rFonts w:cs="Arial"/>
          <w:sz w:val="22"/>
          <w:szCs w:val="22"/>
        </w:rPr>
        <w:t xml:space="preserve">out </w:t>
      </w:r>
      <w:r>
        <w:rPr>
          <w:rFonts w:cs="Arial"/>
          <w:sz w:val="22"/>
          <w:szCs w:val="22"/>
        </w:rPr>
        <w:t xml:space="preserve">clearly </w:t>
      </w:r>
      <w:r w:rsidR="00B8482D" w:rsidRPr="00F8458E">
        <w:rPr>
          <w:rFonts w:cs="Arial"/>
          <w:sz w:val="22"/>
          <w:szCs w:val="22"/>
        </w:rPr>
        <w:t xml:space="preserve">which projects are CSSF and which are </w:t>
      </w:r>
      <w:r w:rsidR="00B367E7" w:rsidRPr="00F8458E">
        <w:rPr>
          <w:rFonts w:cs="Arial"/>
          <w:sz w:val="22"/>
          <w:szCs w:val="22"/>
        </w:rPr>
        <w:t>not</w:t>
      </w:r>
      <w:r w:rsidR="00B8482D" w:rsidRPr="00F8458E">
        <w:rPr>
          <w:rFonts w:cs="Arial"/>
          <w:sz w:val="22"/>
          <w:szCs w:val="22"/>
        </w:rPr>
        <w:t xml:space="preserve">, for management, administration, oversight and reporting purposes. </w:t>
      </w:r>
      <w:r w:rsidR="006427A4" w:rsidRPr="00F8458E">
        <w:rPr>
          <w:rFonts w:cs="Arial"/>
          <w:sz w:val="22"/>
          <w:szCs w:val="22"/>
        </w:rPr>
        <w:t xml:space="preserve">The rationale for CSSF funding to international defence education </w:t>
      </w:r>
      <w:r>
        <w:rPr>
          <w:rFonts w:cs="Arial"/>
          <w:sz w:val="22"/>
          <w:szCs w:val="22"/>
        </w:rPr>
        <w:t>should be clearly</w:t>
      </w:r>
      <w:r w:rsidR="00D97788">
        <w:rPr>
          <w:rFonts w:cs="Arial"/>
          <w:sz w:val="22"/>
          <w:szCs w:val="22"/>
        </w:rPr>
        <w:t xml:space="preserve"> </w:t>
      </w:r>
      <w:r w:rsidR="00730350" w:rsidRPr="00F8458E">
        <w:rPr>
          <w:rFonts w:cs="Arial"/>
          <w:sz w:val="22"/>
          <w:szCs w:val="22"/>
        </w:rPr>
        <w:t>articulated. There</w:t>
      </w:r>
      <w:r w:rsidR="00545A81" w:rsidRPr="00F8458E">
        <w:rPr>
          <w:rFonts w:cs="Arial"/>
          <w:sz w:val="22"/>
          <w:szCs w:val="22"/>
        </w:rPr>
        <w:t xml:space="preserve"> a need for a better understanding of the criteria for using CSSF within the Defence Section </w:t>
      </w:r>
      <w:r w:rsidR="00730350" w:rsidRPr="00F8458E">
        <w:rPr>
          <w:rFonts w:cs="Arial"/>
          <w:sz w:val="22"/>
          <w:szCs w:val="22"/>
        </w:rPr>
        <w:t>via training</w:t>
      </w:r>
      <w:r w:rsidR="00545A81" w:rsidRPr="00F8458E">
        <w:rPr>
          <w:rFonts w:cs="Arial"/>
          <w:sz w:val="22"/>
          <w:szCs w:val="22"/>
        </w:rPr>
        <w:t xml:space="preserve"> and guidance. </w:t>
      </w:r>
    </w:p>
    <w:p w14:paraId="67163BA1" w14:textId="3987C73B" w:rsidR="00545A81" w:rsidRPr="00F8626F" w:rsidRDefault="00545A81" w:rsidP="00F8626F">
      <w:pPr>
        <w:tabs>
          <w:tab w:val="left" w:pos="6915"/>
          <w:tab w:val="left" w:pos="9495"/>
        </w:tabs>
        <w:rPr>
          <w:rFonts w:cs="Arial"/>
          <w:sz w:val="22"/>
          <w:szCs w:val="22"/>
        </w:rPr>
      </w:pPr>
    </w:p>
    <w:p w14:paraId="564B0ECB" w14:textId="1A89755A" w:rsidR="00545A81" w:rsidRPr="00F8458E" w:rsidRDefault="00F8458E" w:rsidP="00CC3A0B">
      <w:pPr>
        <w:pStyle w:val="ListParagraph"/>
        <w:numPr>
          <w:ilvl w:val="0"/>
          <w:numId w:val="41"/>
        </w:numPr>
        <w:tabs>
          <w:tab w:val="left" w:pos="6915"/>
          <w:tab w:val="left" w:pos="949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There is </w:t>
      </w:r>
      <w:r w:rsidR="006427A4" w:rsidRPr="00F8458E">
        <w:rPr>
          <w:rFonts w:cs="Arial"/>
          <w:sz w:val="22"/>
          <w:szCs w:val="22"/>
        </w:rPr>
        <w:t xml:space="preserve">need for a more senior programme manager, or oversight from a senior member of the Embassy. </w:t>
      </w:r>
    </w:p>
    <w:p w14:paraId="44005CA4" w14:textId="77777777" w:rsidR="006427A4" w:rsidRDefault="006427A4" w:rsidP="00CC3A0B">
      <w:pPr>
        <w:tabs>
          <w:tab w:val="left" w:pos="6915"/>
          <w:tab w:val="left" w:pos="9495"/>
        </w:tabs>
        <w:ind w:left="360"/>
        <w:contextualSpacing/>
        <w:rPr>
          <w:rFonts w:cs="Arial"/>
          <w:sz w:val="22"/>
          <w:szCs w:val="22"/>
        </w:rPr>
      </w:pPr>
    </w:p>
    <w:p w14:paraId="34D60976" w14:textId="532486AC" w:rsidR="00B8482D" w:rsidRPr="00F8458E" w:rsidRDefault="00F8458E" w:rsidP="00CC3A0B">
      <w:pPr>
        <w:pStyle w:val="ListParagraph"/>
        <w:numPr>
          <w:ilvl w:val="0"/>
          <w:numId w:val="22"/>
        </w:numPr>
        <w:tabs>
          <w:tab w:val="left" w:pos="6915"/>
          <w:tab w:val="left" w:pos="9495"/>
        </w:tabs>
        <w:rPr>
          <w:rFonts w:cs="Arial"/>
          <w:sz w:val="22"/>
          <w:szCs w:val="22"/>
        </w:rPr>
      </w:pPr>
      <w:r w:rsidRPr="00F8458E">
        <w:rPr>
          <w:rFonts w:cs="Arial"/>
          <w:sz w:val="22"/>
          <w:szCs w:val="22"/>
        </w:rPr>
        <w:t>A programme review should be underpinned by institutional analysis to assess the SAF’s potential future role</w:t>
      </w:r>
      <w:r w:rsidR="00B8482D" w:rsidRPr="00F8458E">
        <w:rPr>
          <w:rFonts w:cs="Arial"/>
          <w:sz w:val="22"/>
          <w:szCs w:val="22"/>
        </w:rPr>
        <w:t xml:space="preserve">. </w:t>
      </w:r>
      <w:r w:rsidR="006427A4" w:rsidRPr="00F8458E">
        <w:rPr>
          <w:rFonts w:cs="Arial"/>
          <w:sz w:val="22"/>
          <w:szCs w:val="22"/>
        </w:rPr>
        <w:t>This should include:</w:t>
      </w:r>
      <w:r w:rsidRPr="00F8458E">
        <w:rPr>
          <w:rFonts w:cs="Arial"/>
          <w:sz w:val="22"/>
          <w:szCs w:val="22"/>
        </w:rPr>
        <w:t xml:space="preserve"> m</w:t>
      </w:r>
      <w:r w:rsidR="00B8482D" w:rsidRPr="00F8458E">
        <w:rPr>
          <w:rFonts w:cs="Arial"/>
          <w:sz w:val="22"/>
          <w:szCs w:val="22"/>
        </w:rPr>
        <w:t>apping of other p</w:t>
      </w:r>
      <w:r w:rsidRPr="00F8458E">
        <w:rPr>
          <w:rFonts w:cs="Arial"/>
          <w:sz w:val="22"/>
          <w:szCs w:val="22"/>
        </w:rPr>
        <w:t>artners, s</w:t>
      </w:r>
      <w:r w:rsidR="00B8482D" w:rsidRPr="00F8458E">
        <w:rPr>
          <w:rFonts w:cs="Arial"/>
          <w:sz w:val="22"/>
          <w:szCs w:val="22"/>
        </w:rPr>
        <w:t>takeholder analysis</w:t>
      </w:r>
      <w:r w:rsidRPr="00F8458E">
        <w:rPr>
          <w:rFonts w:cs="Arial"/>
          <w:sz w:val="22"/>
          <w:szCs w:val="22"/>
        </w:rPr>
        <w:t xml:space="preserve"> and </w:t>
      </w:r>
      <w:r>
        <w:rPr>
          <w:rFonts w:cs="Arial"/>
          <w:sz w:val="22"/>
          <w:szCs w:val="22"/>
        </w:rPr>
        <w:t>an i</w:t>
      </w:r>
      <w:r w:rsidR="00B8482D" w:rsidRPr="00F8458E">
        <w:rPr>
          <w:rFonts w:cs="Arial"/>
          <w:sz w:val="22"/>
          <w:szCs w:val="22"/>
        </w:rPr>
        <w:t xml:space="preserve">nfluence </w:t>
      </w:r>
      <w:r>
        <w:rPr>
          <w:rFonts w:cs="Arial"/>
          <w:sz w:val="22"/>
          <w:szCs w:val="22"/>
        </w:rPr>
        <w:t>m</w:t>
      </w:r>
      <w:r w:rsidR="00B8482D" w:rsidRPr="00F8458E">
        <w:rPr>
          <w:rFonts w:cs="Arial"/>
          <w:sz w:val="22"/>
          <w:szCs w:val="22"/>
        </w:rPr>
        <w:t>ap</w:t>
      </w:r>
      <w:r>
        <w:rPr>
          <w:rFonts w:cs="Arial"/>
          <w:sz w:val="22"/>
          <w:szCs w:val="22"/>
        </w:rPr>
        <w:t xml:space="preserve">. </w:t>
      </w:r>
      <w:r w:rsidR="00B8482D" w:rsidRPr="00F8458E">
        <w:rPr>
          <w:rFonts w:cs="Arial"/>
          <w:sz w:val="22"/>
          <w:szCs w:val="22"/>
        </w:rPr>
        <w:t xml:space="preserve"> </w:t>
      </w:r>
    </w:p>
    <w:p w14:paraId="4FC05B28" w14:textId="77777777" w:rsidR="006427A4" w:rsidRPr="00EA0900" w:rsidRDefault="006427A4" w:rsidP="00CC3A0B">
      <w:pPr>
        <w:tabs>
          <w:tab w:val="left" w:pos="6915"/>
          <w:tab w:val="left" w:pos="9495"/>
        </w:tabs>
        <w:rPr>
          <w:rFonts w:cs="Arial"/>
          <w:sz w:val="22"/>
          <w:szCs w:val="22"/>
        </w:rPr>
      </w:pPr>
    </w:p>
    <w:p w14:paraId="5B1B599A" w14:textId="70857E6B" w:rsidR="00B274AC" w:rsidRPr="00F8458E" w:rsidRDefault="00F8458E" w:rsidP="00CC3A0B">
      <w:pPr>
        <w:pStyle w:val="ListParagraph"/>
        <w:numPr>
          <w:ilvl w:val="0"/>
          <w:numId w:val="42"/>
        </w:numPr>
        <w:tabs>
          <w:tab w:val="left" w:pos="6915"/>
          <w:tab w:val="left" w:pos="9495"/>
        </w:tabs>
        <w:rPr>
          <w:sz w:val="22"/>
          <w:szCs w:val="22"/>
        </w:rPr>
      </w:pPr>
      <w:r>
        <w:rPr>
          <w:rFonts w:cs="Arial"/>
          <w:sz w:val="22"/>
          <w:szCs w:val="22"/>
        </w:rPr>
        <w:t>Improve the programme’s c</w:t>
      </w:r>
      <w:r w:rsidR="00B8482D" w:rsidRPr="00F8458E">
        <w:rPr>
          <w:rFonts w:cs="Arial"/>
          <w:sz w:val="22"/>
          <w:szCs w:val="22"/>
        </w:rPr>
        <w:t>ompliance with CSSF requirements, particularly by Implementing Partners</w:t>
      </w:r>
      <w:r w:rsidR="006427A4" w:rsidRPr="00F8458E">
        <w:rPr>
          <w:rFonts w:cs="Arial"/>
          <w:sz w:val="22"/>
          <w:szCs w:val="22"/>
        </w:rPr>
        <w:t xml:space="preserve"> (IPs)</w:t>
      </w:r>
      <w:r>
        <w:rPr>
          <w:rFonts w:cs="Arial"/>
          <w:sz w:val="22"/>
          <w:szCs w:val="22"/>
        </w:rPr>
        <w:t xml:space="preserve">. </w:t>
      </w:r>
      <w:r w:rsidR="00B8482D" w:rsidRPr="00F8458E">
        <w:rPr>
          <w:rFonts w:cs="Arial"/>
          <w:sz w:val="22"/>
          <w:szCs w:val="22"/>
        </w:rPr>
        <w:t>This may require a review of IP contracts. If this is not possible or different arrangement</w:t>
      </w:r>
      <w:r>
        <w:rPr>
          <w:rFonts w:cs="Arial"/>
          <w:sz w:val="22"/>
          <w:szCs w:val="22"/>
        </w:rPr>
        <w:t>s</w:t>
      </w:r>
      <w:r w:rsidR="00B8482D" w:rsidRPr="00F8458E">
        <w:rPr>
          <w:rFonts w:cs="Arial"/>
          <w:sz w:val="22"/>
          <w:szCs w:val="22"/>
        </w:rPr>
        <w:t xml:space="preserve"> are </w:t>
      </w:r>
      <w:r>
        <w:rPr>
          <w:rFonts w:cs="Arial"/>
          <w:sz w:val="22"/>
          <w:szCs w:val="22"/>
        </w:rPr>
        <w:t>put in place</w:t>
      </w:r>
      <w:r w:rsidR="00B8482D" w:rsidRPr="00F8458E">
        <w:rPr>
          <w:rFonts w:cs="Arial"/>
          <w:sz w:val="22"/>
          <w:szCs w:val="22"/>
        </w:rPr>
        <w:t xml:space="preserve">, these need to be </w:t>
      </w:r>
      <w:r>
        <w:rPr>
          <w:rFonts w:cs="Arial"/>
          <w:sz w:val="22"/>
          <w:szCs w:val="22"/>
        </w:rPr>
        <w:t xml:space="preserve">clearly </w:t>
      </w:r>
      <w:r w:rsidR="00B8482D" w:rsidRPr="00F8458E">
        <w:rPr>
          <w:rFonts w:cs="Arial"/>
          <w:sz w:val="22"/>
          <w:szCs w:val="22"/>
        </w:rPr>
        <w:t>articulated and agreed.</w:t>
      </w:r>
      <w:r w:rsidR="006427A4" w:rsidRPr="00F8458E">
        <w:rPr>
          <w:rFonts w:cs="Arial"/>
          <w:sz w:val="22"/>
          <w:szCs w:val="22"/>
        </w:rPr>
        <w:t xml:space="preserve"> </w:t>
      </w:r>
    </w:p>
    <w:sectPr w:rsidR="00B274AC" w:rsidRPr="00F8458E" w:rsidSect="009F6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19" w:right="85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45B1C" w14:textId="77777777" w:rsidR="008440C4" w:rsidRDefault="008440C4">
      <w:r>
        <w:separator/>
      </w:r>
    </w:p>
  </w:endnote>
  <w:endnote w:type="continuationSeparator" w:id="0">
    <w:p w14:paraId="15F88F1C" w14:textId="77777777" w:rsidR="008440C4" w:rsidRDefault="0084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7FF69" w14:textId="77777777" w:rsidR="003C1036" w:rsidRDefault="003C1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2EDEA" w14:textId="77777777" w:rsidR="008440C4" w:rsidRPr="00AE1D30" w:rsidRDefault="008440C4" w:rsidP="00AE1D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CF1FB" w14:textId="77777777" w:rsidR="003C1036" w:rsidRDefault="003C1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A87A5" w14:textId="77777777" w:rsidR="008440C4" w:rsidRDefault="008440C4">
      <w:r>
        <w:separator/>
      </w:r>
    </w:p>
  </w:footnote>
  <w:footnote w:type="continuationSeparator" w:id="0">
    <w:p w14:paraId="56065593" w14:textId="77777777" w:rsidR="008440C4" w:rsidRDefault="0084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99BBF" w14:textId="77777777" w:rsidR="003C1036" w:rsidRDefault="003C1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88E3B" w14:textId="77777777" w:rsidR="003C1036" w:rsidRDefault="003C10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B003" w14:textId="77777777" w:rsidR="003C1036" w:rsidRDefault="003C1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158"/>
    <w:multiLevelType w:val="hybridMultilevel"/>
    <w:tmpl w:val="2604C6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3C8F"/>
    <w:multiLevelType w:val="hybridMultilevel"/>
    <w:tmpl w:val="931C3BFE"/>
    <w:lvl w:ilvl="0" w:tplc="050283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776B"/>
    <w:multiLevelType w:val="hybridMultilevel"/>
    <w:tmpl w:val="2CECE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E248E"/>
    <w:multiLevelType w:val="hybridMultilevel"/>
    <w:tmpl w:val="09F0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2988"/>
    <w:multiLevelType w:val="hybridMultilevel"/>
    <w:tmpl w:val="18BA17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3D48"/>
    <w:multiLevelType w:val="hybridMultilevel"/>
    <w:tmpl w:val="F934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676E0"/>
    <w:multiLevelType w:val="multilevel"/>
    <w:tmpl w:val="69704D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60409C"/>
    <w:multiLevelType w:val="hybridMultilevel"/>
    <w:tmpl w:val="F1341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01B68"/>
    <w:multiLevelType w:val="hybridMultilevel"/>
    <w:tmpl w:val="DC008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97ED9"/>
    <w:multiLevelType w:val="hybridMultilevel"/>
    <w:tmpl w:val="316EBC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5C74E1"/>
    <w:multiLevelType w:val="hybridMultilevel"/>
    <w:tmpl w:val="E22A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27438"/>
    <w:multiLevelType w:val="hybridMultilevel"/>
    <w:tmpl w:val="F3CEAA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7340A"/>
    <w:multiLevelType w:val="hybridMultilevel"/>
    <w:tmpl w:val="602E25D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5541D5"/>
    <w:multiLevelType w:val="hybridMultilevel"/>
    <w:tmpl w:val="CD0CC44A"/>
    <w:lvl w:ilvl="0" w:tplc="DA1631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B7E5B"/>
    <w:multiLevelType w:val="hybridMultilevel"/>
    <w:tmpl w:val="887A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85FF2"/>
    <w:multiLevelType w:val="hybridMultilevel"/>
    <w:tmpl w:val="ACEA2C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D79D6"/>
    <w:multiLevelType w:val="hybridMultilevel"/>
    <w:tmpl w:val="D5BADE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77042"/>
    <w:multiLevelType w:val="hybridMultilevel"/>
    <w:tmpl w:val="3FFC19A4"/>
    <w:lvl w:ilvl="0" w:tplc="2A92AA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B7BE1"/>
    <w:multiLevelType w:val="hybridMultilevel"/>
    <w:tmpl w:val="C364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E6B34"/>
    <w:multiLevelType w:val="hybridMultilevel"/>
    <w:tmpl w:val="CEFA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A4137"/>
    <w:multiLevelType w:val="hybridMultilevel"/>
    <w:tmpl w:val="54F0F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433B4"/>
    <w:multiLevelType w:val="hybridMultilevel"/>
    <w:tmpl w:val="4CCEE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E6D31"/>
    <w:multiLevelType w:val="hybridMultilevel"/>
    <w:tmpl w:val="6A5E03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35CB0"/>
    <w:multiLevelType w:val="hybridMultilevel"/>
    <w:tmpl w:val="224A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1281A"/>
    <w:multiLevelType w:val="hybridMultilevel"/>
    <w:tmpl w:val="71C2A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E73407"/>
    <w:multiLevelType w:val="hybridMultilevel"/>
    <w:tmpl w:val="044A0A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D530F"/>
    <w:multiLevelType w:val="hybridMultilevel"/>
    <w:tmpl w:val="5FAE0D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F406F"/>
    <w:multiLevelType w:val="hybridMultilevel"/>
    <w:tmpl w:val="7B80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F4FFA"/>
    <w:multiLevelType w:val="hybridMultilevel"/>
    <w:tmpl w:val="B9D008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1272A"/>
    <w:multiLevelType w:val="hybridMultilevel"/>
    <w:tmpl w:val="180287C8"/>
    <w:lvl w:ilvl="0" w:tplc="7214E5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6572E"/>
    <w:multiLevelType w:val="hybridMultilevel"/>
    <w:tmpl w:val="9EB63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65DA7"/>
    <w:multiLevelType w:val="hybridMultilevel"/>
    <w:tmpl w:val="139A601A"/>
    <w:lvl w:ilvl="0" w:tplc="5FEA2E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90243"/>
    <w:multiLevelType w:val="hybridMultilevel"/>
    <w:tmpl w:val="F7284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82106"/>
    <w:multiLevelType w:val="hybridMultilevel"/>
    <w:tmpl w:val="CEF4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77DB2"/>
    <w:multiLevelType w:val="hybridMultilevel"/>
    <w:tmpl w:val="DE90F7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176D2"/>
    <w:multiLevelType w:val="hybridMultilevel"/>
    <w:tmpl w:val="44E09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DB25BA"/>
    <w:multiLevelType w:val="hybridMultilevel"/>
    <w:tmpl w:val="D346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C2242"/>
    <w:multiLevelType w:val="hybridMultilevel"/>
    <w:tmpl w:val="0A04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90D4D"/>
    <w:multiLevelType w:val="hybridMultilevel"/>
    <w:tmpl w:val="F258A7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325E2"/>
    <w:multiLevelType w:val="hybridMultilevel"/>
    <w:tmpl w:val="F934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84B4A"/>
    <w:multiLevelType w:val="hybridMultilevel"/>
    <w:tmpl w:val="27C65B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0163A"/>
    <w:multiLevelType w:val="hybridMultilevel"/>
    <w:tmpl w:val="9D287E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1"/>
  </w:num>
  <w:num w:numId="4">
    <w:abstractNumId w:val="26"/>
  </w:num>
  <w:num w:numId="5">
    <w:abstractNumId w:val="41"/>
  </w:num>
  <w:num w:numId="6">
    <w:abstractNumId w:val="16"/>
  </w:num>
  <w:num w:numId="7">
    <w:abstractNumId w:val="29"/>
  </w:num>
  <w:num w:numId="8">
    <w:abstractNumId w:val="31"/>
  </w:num>
  <w:num w:numId="9">
    <w:abstractNumId w:val="13"/>
  </w:num>
  <w:num w:numId="10">
    <w:abstractNumId w:val="15"/>
  </w:num>
  <w:num w:numId="11">
    <w:abstractNumId w:val="25"/>
  </w:num>
  <w:num w:numId="12">
    <w:abstractNumId w:val="0"/>
  </w:num>
  <w:num w:numId="13">
    <w:abstractNumId w:val="12"/>
  </w:num>
  <w:num w:numId="14">
    <w:abstractNumId w:val="22"/>
  </w:num>
  <w:num w:numId="15">
    <w:abstractNumId w:val="28"/>
  </w:num>
  <w:num w:numId="16">
    <w:abstractNumId w:val="34"/>
  </w:num>
  <w:num w:numId="17">
    <w:abstractNumId w:val="11"/>
  </w:num>
  <w:num w:numId="18">
    <w:abstractNumId w:val="30"/>
  </w:num>
  <w:num w:numId="19">
    <w:abstractNumId w:val="38"/>
  </w:num>
  <w:num w:numId="20">
    <w:abstractNumId w:val="4"/>
  </w:num>
  <w:num w:numId="21">
    <w:abstractNumId w:val="2"/>
  </w:num>
  <w:num w:numId="22">
    <w:abstractNumId w:val="14"/>
  </w:num>
  <w:num w:numId="23">
    <w:abstractNumId w:val="7"/>
  </w:num>
  <w:num w:numId="24">
    <w:abstractNumId w:val="24"/>
  </w:num>
  <w:num w:numId="25">
    <w:abstractNumId w:val="20"/>
  </w:num>
  <w:num w:numId="26">
    <w:abstractNumId w:val="8"/>
  </w:num>
  <w:num w:numId="27">
    <w:abstractNumId w:val="37"/>
  </w:num>
  <w:num w:numId="28">
    <w:abstractNumId w:val="18"/>
  </w:num>
  <w:num w:numId="29">
    <w:abstractNumId w:val="6"/>
  </w:num>
  <w:num w:numId="30">
    <w:abstractNumId w:val="36"/>
  </w:num>
  <w:num w:numId="31">
    <w:abstractNumId w:val="9"/>
  </w:num>
  <w:num w:numId="32">
    <w:abstractNumId w:val="32"/>
  </w:num>
  <w:num w:numId="33">
    <w:abstractNumId w:val="39"/>
  </w:num>
  <w:num w:numId="34">
    <w:abstractNumId w:val="23"/>
  </w:num>
  <w:num w:numId="35">
    <w:abstractNumId w:val="5"/>
  </w:num>
  <w:num w:numId="36">
    <w:abstractNumId w:val="33"/>
  </w:num>
  <w:num w:numId="37">
    <w:abstractNumId w:val="10"/>
  </w:num>
  <w:num w:numId="38">
    <w:abstractNumId w:val="3"/>
  </w:num>
  <w:num w:numId="39">
    <w:abstractNumId w:val="27"/>
  </w:num>
  <w:num w:numId="40">
    <w:abstractNumId w:val="35"/>
  </w:num>
  <w:num w:numId="41">
    <w:abstractNumId w:val="21"/>
  </w:num>
  <w:num w:numId="4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MPD"/>
    <w:docVar w:name="PDAddr1" w:val=" "/>
    <w:docVar w:name="PDAddr2" w:val=" "/>
    <w:docVar w:name="PDAddr3" w:val=" "/>
    <w:docVar w:name="PDAddr4" w:val=" "/>
    <w:docVar w:name="PDDepartment" w:val="Multilateral Policy Directorate"/>
    <w:docVar w:name="PDEmail" w:val=" "/>
    <w:docVar w:name="PDFaxNo" w:val=" "/>
    <w:docVar w:name="PDFormalName" w:val=" "/>
    <w:docVar w:name="PDFullName" w:val="Amanda Harris"/>
    <w:docVar w:name="PDMaintainMarking" w:val="-1"/>
    <w:docVar w:name="PDMaintainPath" w:val="-1"/>
    <w:docVar w:name="PDPhoneNo" w:val=" "/>
    <w:docVar w:name="PDSection" w:val=" "/>
  </w:docVars>
  <w:rsids>
    <w:rsidRoot w:val="00745E9A"/>
    <w:rsid w:val="000012BB"/>
    <w:rsid w:val="000012E3"/>
    <w:rsid w:val="00001BF5"/>
    <w:rsid w:val="00015B32"/>
    <w:rsid w:val="000160FD"/>
    <w:rsid w:val="0001644D"/>
    <w:rsid w:val="00017DBE"/>
    <w:rsid w:val="00020936"/>
    <w:rsid w:val="00022CBB"/>
    <w:rsid w:val="00023509"/>
    <w:rsid w:val="00025F43"/>
    <w:rsid w:val="00026B51"/>
    <w:rsid w:val="00032A47"/>
    <w:rsid w:val="0003530F"/>
    <w:rsid w:val="00036951"/>
    <w:rsid w:val="00036CB4"/>
    <w:rsid w:val="00040896"/>
    <w:rsid w:val="00040D57"/>
    <w:rsid w:val="0005219C"/>
    <w:rsid w:val="00053DF6"/>
    <w:rsid w:val="0005426A"/>
    <w:rsid w:val="0005744C"/>
    <w:rsid w:val="00062BEF"/>
    <w:rsid w:val="0006359B"/>
    <w:rsid w:val="000663DE"/>
    <w:rsid w:val="00066929"/>
    <w:rsid w:val="00067681"/>
    <w:rsid w:val="00071F45"/>
    <w:rsid w:val="00075CE4"/>
    <w:rsid w:val="00076648"/>
    <w:rsid w:val="00082A07"/>
    <w:rsid w:val="000833F2"/>
    <w:rsid w:val="00093055"/>
    <w:rsid w:val="0009310B"/>
    <w:rsid w:val="00097D0A"/>
    <w:rsid w:val="000A0748"/>
    <w:rsid w:val="000A183A"/>
    <w:rsid w:val="000B003E"/>
    <w:rsid w:val="000B55DC"/>
    <w:rsid w:val="000C0B4D"/>
    <w:rsid w:val="000C0C1F"/>
    <w:rsid w:val="000C21B5"/>
    <w:rsid w:val="000D2D54"/>
    <w:rsid w:val="000D6C85"/>
    <w:rsid w:val="000E0555"/>
    <w:rsid w:val="000E0876"/>
    <w:rsid w:val="000E1866"/>
    <w:rsid w:val="000E1BD7"/>
    <w:rsid w:val="000F05D0"/>
    <w:rsid w:val="000F1AE7"/>
    <w:rsid w:val="000F3176"/>
    <w:rsid w:val="000F5A58"/>
    <w:rsid w:val="000F5D64"/>
    <w:rsid w:val="000F7B81"/>
    <w:rsid w:val="00103116"/>
    <w:rsid w:val="00103221"/>
    <w:rsid w:val="0010327B"/>
    <w:rsid w:val="0010355D"/>
    <w:rsid w:val="00104997"/>
    <w:rsid w:val="0011381A"/>
    <w:rsid w:val="00113CA3"/>
    <w:rsid w:val="00120A59"/>
    <w:rsid w:val="00127CFC"/>
    <w:rsid w:val="00133377"/>
    <w:rsid w:val="001351D5"/>
    <w:rsid w:val="0013733F"/>
    <w:rsid w:val="00143A48"/>
    <w:rsid w:val="00144C58"/>
    <w:rsid w:val="00145B0C"/>
    <w:rsid w:val="00146121"/>
    <w:rsid w:val="00150FE9"/>
    <w:rsid w:val="00152D1D"/>
    <w:rsid w:val="0015320B"/>
    <w:rsid w:val="00155B27"/>
    <w:rsid w:val="0015604B"/>
    <w:rsid w:val="00157035"/>
    <w:rsid w:val="001602E0"/>
    <w:rsid w:val="001621BC"/>
    <w:rsid w:val="00162226"/>
    <w:rsid w:val="00164AC6"/>
    <w:rsid w:val="00165280"/>
    <w:rsid w:val="00165705"/>
    <w:rsid w:val="0016625A"/>
    <w:rsid w:val="00174232"/>
    <w:rsid w:val="00177863"/>
    <w:rsid w:val="001808D5"/>
    <w:rsid w:val="00181B82"/>
    <w:rsid w:val="00182855"/>
    <w:rsid w:val="00185018"/>
    <w:rsid w:val="001905FB"/>
    <w:rsid w:val="001910FF"/>
    <w:rsid w:val="00192F26"/>
    <w:rsid w:val="001944EB"/>
    <w:rsid w:val="001A20A3"/>
    <w:rsid w:val="001A4F86"/>
    <w:rsid w:val="001A5D5D"/>
    <w:rsid w:val="001B0335"/>
    <w:rsid w:val="001B0610"/>
    <w:rsid w:val="001B187C"/>
    <w:rsid w:val="001B7659"/>
    <w:rsid w:val="001B7C39"/>
    <w:rsid w:val="001D1C44"/>
    <w:rsid w:val="001D2B21"/>
    <w:rsid w:val="001D5F8A"/>
    <w:rsid w:val="001D654E"/>
    <w:rsid w:val="001D78CE"/>
    <w:rsid w:val="001E0204"/>
    <w:rsid w:val="001E2E6F"/>
    <w:rsid w:val="001E30A4"/>
    <w:rsid w:val="001E3D9B"/>
    <w:rsid w:val="001E6997"/>
    <w:rsid w:val="001F01F1"/>
    <w:rsid w:val="001F43A7"/>
    <w:rsid w:val="001F46CC"/>
    <w:rsid w:val="001F6868"/>
    <w:rsid w:val="001F7086"/>
    <w:rsid w:val="001F730B"/>
    <w:rsid w:val="0020237C"/>
    <w:rsid w:val="0020464E"/>
    <w:rsid w:val="002149CF"/>
    <w:rsid w:val="0021506D"/>
    <w:rsid w:val="00217702"/>
    <w:rsid w:val="00220976"/>
    <w:rsid w:val="00222AA6"/>
    <w:rsid w:val="00237750"/>
    <w:rsid w:val="00237FF2"/>
    <w:rsid w:val="00240E74"/>
    <w:rsid w:val="002410D6"/>
    <w:rsid w:val="002428B6"/>
    <w:rsid w:val="00244FE3"/>
    <w:rsid w:val="002455B3"/>
    <w:rsid w:val="0024799A"/>
    <w:rsid w:val="00250B60"/>
    <w:rsid w:val="00252239"/>
    <w:rsid w:val="00254ABB"/>
    <w:rsid w:val="00254B3C"/>
    <w:rsid w:val="00256C02"/>
    <w:rsid w:val="00261FF4"/>
    <w:rsid w:val="00262DCB"/>
    <w:rsid w:val="0027232C"/>
    <w:rsid w:val="00272D0D"/>
    <w:rsid w:val="002806BB"/>
    <w:rsid w:val="00285D4A"/>
    <w:rsid w:val="00287132"/>
    <w:rsid w:val="00287BD6"/>
    <w:rsid w:val="00295B52"/>
    <w:rsid w:val="002965D2"/>
    <w:rsid w:val="00297433"/>
    <w:rsid w:val="002A7D65"/>
    <w:rsid w:val="002B06A7"/>
    <w:rsid w:val="002B1B64"/>
    <w:rsid w:val="002B1B68"/>
    <w:rsid w:val="002B2AB8"/>
    <w:rsid w:val="002B2F32"/>
    <w:rsid w:val="002B3D01"/>
    <w:rsid w:val="002D21B6"/>
    <w:rsid w:val="002D67ED"/>
    <w:rsid w:val="002D7DC5"/>
    <w:rsid w:val="002E17FB"/>
    <w:rsid w:val="002E4421"/>
    <w:rsid w:val="002E543D"/>
    <w:rsid w:val="002F0383"/>
    <w:rsid w:val="002F07DD"/>
    <w:rsid w:val="002F0E6B"/>
    <w:rsid w:val="002F4B26"/>
    <w:rsid w:val="002F60DA"/>
    <w:rsid w:val="002F6E7E"/>
    <w:rsid w:val="00302878"/>
    <w:rsid w:val="0030539D"/>
    <w:rsid w:val="00310328"/>
    <w:rsid w:val="00312707"/>
    <w:rsid w:val="0031278B"/>
    <w:rsid w:val="00315A7C"/>
    <w:rsid w:val="0031773B"/>
    <w:rsid w:val="00321924"/>
    <w:rsid w:val="0032597D"/>
    <w:rsid w:val="003301DC"/>
    <w:rsid w:val="00330A0B"/>
    <w:rsid w:val="00334C6E"/>
    <w:rsid w:val="00343D21"/>
    <w:rsid w:val="003457F8"/>
    <w:rsid w:val="003469B8"/>
    <w:rsid w:val="00353475"/>
    <w:rsid w:val="00354399"/>
    <w:rsid w:val="00357950"/>
    <w:rsid w:val="00360032"/>
    <w:rsid w:val="003612A2"/>
    <w:rsid w:val="00362D9E"/>
    <w:rsid w:val="003645D7"/>
    <w:rsid w:val="00364AD2"/>
    <w:rsid w:val="0036773C"/>
    <w:rsid w:val="0038646B"/>
    <w:rsid w:val="0039040B"/>
    <w:rsid w:val="003913DB"/>
    <w:rsid w:val="00393C63"/>
    <w:rsid w:val="00395558"/>
    <w:rsid w:val="003A077A"/>
    <w:rsid w:val="003A09F2"/>
    <w:rsid w:val="003A30A5"/>
    <w:rsid w:val="003A50FD"/>
    <w:rsid w:val="003A77BB"/>
    <w:rsid w:val="003B4532"/>
    <w:rsid w:val="003B7C82"/>
    <w:rsid w:val="003C090A"/>
    <w:rsid w:val="003C1036"/>
    <w:rsid w:val="003C1703"/>
    <w:rsid w:val="003C2C4C"/>
    <w:rsid w:val="003C320D"/>
    <w:rsid w:val="003C4414"/>
    <w:rsid w:val="003C4630"/>
    <w:rsid w:val="003C4BEB"/>
    <w:rsid w:val="003C524B"/>
    <w:rsid w:val="003C6438"/>
    <w:rsid w:val="003C723A"/>
    <w:rsid w:val="003D5062"/>
    <w:rsid w:val="003E0ED6"/>
    <w:rsid w:val="003E15C2"/>
    <w:rsid w:val="003E7E85"/>
    <w:rsid w:val="003F1F0B"/>
    <w:rsid w:val="003F2B18"/>
    <w:rsid w:val="003F5D5C"/>
    <w:rsid w:val="0040116C"/>
    <w:rsid w:val="00401547"/>
    <w:rsid w:val="00402B7A"/>
    <w:rsid w:val="00403B10"/>
    <w:rsid w:val="00403CB4"/>
    <w:rsid w:val="00404AA2"/>
    <w:rsid w:val="004065E5"/>
    <w:rsid w:val="00410DBD"/>
    <w:rsid w:val="004110D6"/>
    <w:rsid w:val="00412D76"/>
    <w:rsid w:val="0041412D"/>
    <w:rsid w:val="00422AFC"/>
    <w:rsid w:val="004268A7"/>
    <w:rsid w:val="004320C2"/>
    <w:rsid w:val="00432F30"/>
    <w:rsid w:val="00433544"/>
    <w:rsid w:val="0043492A"/>
    <w:rsid w:val="00442104"/>
    <w:rsid w:val="004443CA"/>
    <w:rsid w:val="004451AA"/>
    <w:rsid w:val="00450671"/>
    <w:rsid w:val="00455FB8"/>
    <w:rsid w:val="00456214"/>
    <w:rsid w:val="00457C18"/>
    <w:rsid w:val="00460B9F"/>
    <w:rsid w:val="0046232B"/>
    <w:rsid w:val="00463EA4"/>
    <w:rsid w:val="00467543"/>
    <w:rsid w:val="00467C21"/>
    <w:rsid w:val="0047030E"/>
    <w:rsid w:val="00474458"/>
    <w:rsid w:val="00476A4F"/>
    <w:rsid w:val="00484B8D"/>
    <w:rsid w:val="0048798B"/>
    <w:rsid w:val="0049027B"/>
    <w:rsid w:val="00491C71"/>
    <w:rsid w:val="00492925"/>
    <w:rsid w:val="00496FAC"/>
    <w:rsid w:val="004A0EB8"/>
    <w:rsid w:val="004A12EE"/>
    <w:rsid w:val="004A2CDA"/>
    <w:rsid w:val="004A47F7"/>
    <w:rsid w:val="004A6BE5"/>
    <w:rsid w:val="004A79AF"/>
    <w:rsid w:val="004B090E"/>
    <w:rsid w:val="004B163A"/>
    <w:rsid w:val="004B1A17"/>
    <w:rsid w:val="004B5652"/>
    <w:rsid w:val="004B669F"/>
    <w:rsid w:val="004C02CF"/>
    <w:rsid w:val="004C6AAD"/>
    <w:rsid w:val="004C71BA"/>
    <w:rsid w:val="004C7C87"/>
    <w:rsid w:val="004D118C"/>
    <w:rsid w:val="004D27A7"/>
    <w:rsid w:val="004D45C6"/>
    <w:rsid w:val="004D47A2"/>
    <w:rsid w:val="004D5892"/>
    <w:rsid w:val="004F1211"/>
    <w:rsid w:val="004F6979"/>
    <w:rsid w:val="004F7C86"/>
    <w:rsid w:val="00501838"/>
    <w:rsid w:val="00502171"/>
    <w:rsid w:val="00504BBD"/>
    <w:rsid w:val="00504E18"/>
    <w:rsid w:val="00505EAC"/>
    <w:rsid w:val="0050688D"/>
    <w:rsid w:val="00506959"/>
    <w:rsid w:val="00506E5C"/>
    <w:rsid w:val="0050746C"/>
    <w:rsid w:val="0050753E"/>
    <w:rsid w:val="00512929"/>
    <w:rsid w:val="00517F51"/>
    <w:rsid w:val="00521737"/>
    <w:rsid w:val="00521EB8"/>
    <w:rsid w:val="005221E5"/>
    <w:rsid w:val="005233B8"/>
    <w:rsid w:val="00526D84"/>
    <w:rsid w:val="00527BA1"/>
    <w:rsid w:val="00533752"/>
    <w:rsid w:val="00534936"/>
    <w:rsid w:val="00534E41"/>
    <w:rsid w:val="00534E73"/>
    <w:rsid w:val="005426B0"/>
    <w:rsid w:val="00543787"/>
    <w:rsid w:val="0054411C"/>
    <w:rsid w:val="00544332"/>
    <w:rsid w:val="00545A81"/>
    <w:rsid w:val="00554A80"/>
    <w:rsid w:val="0057188B"/>
    <w:rsid w:val="005807F0"/>
    <w:rsid w:val="0058187C"/>
    <w:rsid w:val="00583E29"/>
    <w:rsid w:val="00585488"/>
    <w:rsid w:val="00590049"/>
    <w:rsid w:val="00591580"/>
    <w:rsid w:val="0059343C"/>
    <w:rsid w:val="00597163"/>
    <w:rsid w:val="005A16C4"/>
    <w:rsid w:val="005A4716"/>
    <w:rsid w:val="005A50CB"/>
    <w:rsid w:val="005A700E"/>
    <w:rsid w:val="005C1EFE"/>
    <w:rsid w:val="005C2CEA"/>
    <w:rsid w:val="005C3C5A"/>
    <w:rsid w:val="005C5708"/>
    <w:rsid w:val="005C7052"/>
    <w:rsid w:val="005D12F3"/>
    <w:rsid w:val="005D17A0"/>
    <w:rsid w:val="005D20F0"/>
    <w:rsid w:val="005E201C"/>
    <w:rsid w:val="005E6421"/>
    <w:rsid w:val="005E6634"/>
    <w:rsid w:val="005F5801"/>
    <w:rsid w:val="0060393E"/>
    <w:rsid w:val="006100B5"/>
    <w:rsid w:val="006135C7"/>
    <w:rsid w:val="0061372E"/>
    <w:rsid w:val="0061591D"/>
    <w:rsid w:val="00615EC0"/>
    <w:rsid w:val="006209C4"/>
    <w:rsid w:val="00622D8C"/>
    <w:rsid w:val="006255BE"/>
    <w:rsid w:val="00635ECE"/>
    <w:rsid w:val="00636BD0"/>
    <w:rsid w:val="00637C20"/>
    <w:rsid w:val="006427A4"/>
    <w:rsid w:val="0064339B"/>
    <w:rsid w:val="00644989"/>
    <w:rsid w:val="006462E9"/>
    <w:rsid w:val="00647C7C"/>
    <w:rsid w:val="0065306A"/>
    <w:rsid w:val="00654B17"/>
    <w:rsid w:val="0066084C"/>
    <w:rsid w:val="006625A4"/>
    <w:rsid w:val="0066421A"/>
    <w:rsid w:val="00666A2D"/>
    <w:rsid w:val="00667199"/>
    <w:rsid w:val="00667A81"/>
    <w:rsid w:val="0067097D"/>
    <w:rsid w:val="00670ED5"/>
    <w:rsid w:val="0067170F"/>
    <w:rsid w:val="00673A17"/>
    <w:rsid w:val="006764FB"/>
    <w:rsid w:val="00682495"/>
    <w:rsid w:val="00682F63"/>
    <w:rsid w:val="006840DB"/>
    <w:rsid w:val="00694AB2"/>
    <w:rsid w:val="0069530A"/>
    <w:rsid w:val="0069697C"/>
    <w:rsid w:val="006971EB"/>
    <w:rsid w:val="006A0FE3"/>
    <w:rsid w:val="006A1D57"/>
    <w:rsid w:val="006A3BA9"/>
    <w:rsid w:val="006A5340"/>
    <w:rsid w:val="006A71BD"/>
    <w:rsid w:val="006B347B"/>
    <w:rsid w:val="006C041E"/>
    <w:rsid w:val="006C084C"/>
    <w:rsid w:val="006C13D9"/>
    <w:rsid w:val="006C146E"/>
    <w:rsid w:val="006C529C"/>
    <w:rsid w:val="006C712A"/>
    <w:rsid w:val="006C7378"/>
    <w:rsid w:val="006D4C2B"/>
    <w:rsid w:val="006D7E24"/>
    <w:rsid w:val="006E0D78"/>
    <w:rsid w:val="006E1262"/>
    <w:rsid w:val="006E1965"/>
    <w:rsid w:val="006E1C74"/>
    <w:rsid w:val="006E3253"/>
    <w:rsid w:val="006E47E7"/>
    <w:rsid w:val="006E78E5"/>
    <w:rsid w:val="006F357C"/>
    <w:rsid w:val="006F7625"/>
    <w:rsid w:val="0070077F"/>
    <w:rsid w:val="0070168C"/>
    <w:rsid w:val="00702FB2"/>
    <w:rsid w:val="00703EF8"/>
    <w:rsid w:val="0070607C"/>
    <w:rsid w:val="00707FCA"/>
    <w:rsid w:val="007162E4"/>
    <w:rsid w:val="007217E5"/>
    <w:rsid w:val="00722CEA"/>
    <w:rsid w:val="0072549E"/>
    <w:rsid w:val="00730350"/>
    <w:rsid w:val="00730515"/>
    <w:rsid w:val="00731210"/>
    <w:rsid w:val="00731821"/>
    <w:rsid w:val="00732D87"/>
    <w:rsid w:val="007336DF"/>
    <w:rsid w:val="00734A9B"/>
    <w:rsid w:val="00742263"/>
    <w:rsid w:val="007452FA"/>
    <w:rsid w:val="007459F1"/>
    <w:rsid w:val="00745E9A"/>
    <w:rsid w:val="00746853"/>
    <w:rsid w:val="00747A51"/>
    <w:rsid w:val="00747FDB"/>
    <w:rsid w:val="00752942"/>
    <w:rsid w:val="00762A7D"/>
    <w:rsid w:val="00767299"/>
    <w:rsid w:val="00767DD8"/>
    <w:rsid w:val="00767F5C"/>
    <w:rsid w:val="0077093F"/>
    <w:rsid w:val="0077110F"/>
    <w:rsid w:val="0077594C"/>
    <w:rsid w:val="00780F9E"/>
    <w:rsid w:val="0078259E"/>
    <w:rsid w:val="00783AA7"/>
    <w:rsid w:val="0078574B"/>
    <w:rsid w:val="00787A7B"/>
    <w:rsid w:val="0079090B"/>
    <w:rsid w:val="00791E8C"/>
    <w:rsid w:val="0079622D"/>
    <w:rsid w:val="00797F0E"/>
    <w:rsid w:val="007A527F"/>
    <w:rsid w:val="007B00E4"/>
    <w:rsid w:val="007B2540"/>
    <w:rsid w:val="007B5122"/>
    <w:rsid w:val="007B6289"/>
    <w:rsid w:val="007B69D0"/>
    <w:rsid w:val="007B788C"/>
    <w:rsid w:val="007D0BE4"/>
    <w:rsid w:val="007D3253"/>
    <w:rsid w:val="007D74C8"/>
    <w:rsid w:val="007D7B6D"/>
    <w:rsid w:val="007E6D2A"/>
    <w:rsid w:val="007F003B"/>
    <w:rsid w:val="007F18D4"/>
    <w:rsid w:val="00806801"/>
    <w:rsid w:val="00810976"/>
    <w:rsid w:val="008121B6"/>
    <w:rsid w:val="008219AA"/>
    <w:rsid w:val="0082645E"/>
    <w:rsid w:val="008310FD"/>
    <w:rsid w:val="00831B62"/>
    <w:rsid w:val="008345D6"/>
    <w:rsid w:val="008348F2"/>
    <w:rsid w:val="008361F3"/>
    <w:rsid w:val="0083637B"/>
    <w:rsid w:val="00842C58"/>
    <w:rsid w:val="008440C4"/>
    <w:rsid w:val="0084592B"/>
    <w:rsid w:val="00845EFB"/>
    <w:rsid w:val="0085053B"/>
    <w:rsid w:val="0085206D"/>
    <w:rsid w:val="00855624"/>
    <w:rsid w:val="00857DC5"/>
    <w:rsid w:val="00861F0B"/>
    <w:rsid w:val="00862C27"/>
    <w:rsid w:val="008647F9"/>
    <w:rsid w:val="00864EB8"/>
    <w:rsid w:val="0086635E"/>
    <w:rsid w:val="00871D53"/>
    <w:rsid w:val="00872E03"/>
    <w:rsid w:val="0087653B"/>
    <w:rsid w:val="00876B49"/>
    <w:rsid w:val="00880A26"/>
    <w:rsid w:val="00885FC4"/>
    <w:rsid w:val="0088622D"/>
    <w:rsid w:val="00893388"/>
    <w:rsid w:val="00893D6C"/>
    <w:rsid w:val="008975F9"/>
    <w:rsid w:val="008A3ED1"/>
    <w:rsid w:val="008A72A6"/>
    <w:rsid w:val="008C2787"/>
    <w:rsid w:val="008D1277"/>
    <w:rsid w:val="008D3548"/>
    <w:rsid w:val="008D5231"/>
    <w:rsid w:val="008E3C8F"/>
    <w:rsid w:val="008E4C02"/>
    <w:rsid w:val="008E5B4E"/>
    <w:rsid w:val="008E7C4C"/>
    <w:rsid w:val="008F66E7"/>
    <w:rsid w:val="00904179"/>
    <w:rsid w:val="0091098A"/>
    <w:rsid w:val="00910A3F"/>
    <w:rsid w:val="00910AA2"/>
    <w:rsid w:val="00910CFF"/>
    <w:rsid w:val="00913D23"/>
    <w:rsid w:val="00915077"/>
    <w:rsid w:val="0091655F"/>
    <w:rsid w:val="0091702B"/>
    <w:rsid w:val="009173D1"/>
    <w:rsid w:val="0092020E"/>
    <w:rsid w:val="00921F1B"/>
    <w:rsid w:val="00922613"/>
    <w:rsid w:val="00923176"/>
    <w:rsid w:val="009275CD"/>
    <w:rsid w:val="00930158"/>
    <w:rsid w:val="00931CF6"/>
    <w:rsid w:val="0093342A"/>
    <w:rsid w:val="00933EB2"/>
    <w:rsid w:val="009366BA"/>
    <w:rsid w:val="00940793"/>
    <w:rsid w:val="00940B21"/>
    <w:rsid w:val="00940E28"/>
    <w:rsid w:val="00942923"/>
    <w:rsid w:val="00944BE2"/>
    <w:rsid w:val="009453BA"/>
    <w:rsid w:val="00950BC5"/>
    <w:rsid w:val="0095553D"/>
    <w:rsid w:val="00955C04"/>
    <w:rsid w:val="009575A2"/>
    <w:rsid w:val="009603E7"/>
    <w:rsid w:val="0096190A"/>
    <w:rsid w:val="009641CD"/>
    <w:rsid w:val="009712DF"/>
    <w:rsid w:val="00973C56"/>
    <w:rsid w:val="00980213"/>
    <w:rsid w:val="00980F6A"/>
    <w:rsid w:val="00982070"/>
    <w:rsid w:val="009821AF"/>
    <w:rsid w:val="009828E5"/>
    <w:rsid w:val="0099392E"/>
    <w:rsid w:val="0099747F"/>
    <w:rsid w:val="009A07CC"/>
    <w:rsid w:val="009A0FA6"/>
    <w:rsid w:val="009A4A9E"/>
    <w:rsid w:val="009A4C99"/>
    <w:rsid w:val="009A631B"/>
    <w:rsid w:val="009B0314"/>
    <w:rsid w:val="009B4AFB"/>
    <w:rsid w:val="009C0E2C"/>
    <w:rsid w:val="009C4691"/>
    <w:rsid w:val="009D0D90"/>
    <w:rsid w:val="009D1C32"/>
    <w:rsid w:val="009D1F49"/>
    <w:rsid w:val="009D5212"/>
    <w:rsid w:val="009D65B9"/>
    <w:rsid w:val="009E0243"/>
    <w:rsid w:val="009E11F9"/>
    <w:rsid w:val="009E1B5E"/>
    <w:rsid w:val="009E51FF"/>
    <w:rsid w:val="009E540D"/>
    <w:rsid w:val="009F099C"/>
    <w:rsid w:val="009F126D"/>
    <w:rsid w:val="009F26CF"/>
    <w:rsid w:val="009F6FAB"/>
    <w:rsid w:val="009F7F21"/>
    <w:rsid w:val="00A02C85"/>
    <w:rsid w:val="00A0477D"/>
    <w:rsid w:val="00A10ACE"/>
    <w:rsid w:val="00A15055"/>
    <w:rsid w:val="00A16325"/>
    <w:rsid w:val="00A2083F"/>
    <w:rsid w:val="00A20BCE"/>
    <w:rsid w:val="00A229E2"/>
    <w:rsid w:val="00A22B9E"/>
    <w:rsid w:val="00A34041"/>
    <w:rsid w:val="00A40046"/>
    <w:rsid w:val="00A4036C"/>
    <w:rsid w:val="00A42F59"/>
    <w:rsid w:val="00A432CB"/>
    <w:rsid w:val="00A449FC"/>
    <w:rsid w:val="00A4556C"/>
    <w:rsid w:val="00A473AA"/>
    <w:rsid w:val="00A516E6"/>
    <w:rsid w:val="00A57400"/>
    <w:rsid w:val="00A578D8"/>
    <w:rsid w:val="00A62FD7"/>
    <w:rsid w:val="00A662DA"/>
    <w:rsid w:val="00A7340E"/>
    <w:rsid w:val="00A74197"/>
    <w:rsid w:val="00A83DBF"/>
    <w:rsid w:val="00A84B07"/>
    <w:rsid w:val="00A85DF7"/>
    <w:rsid w:val="00A90ED9"/>
    <w:rsid w:val="00A92785"/>
    <w:rsid w:val="00A93FEB"/>
    <w:rsid w:val="00A95864"/>
    <w:rsid w:val="00A96B2D"/>
    <w:rsid w:val="00AA1335"/>
    <w:rsid w:val="00AA5F3F"/>
    <w:rsid w:val="00AB01AF"/>
    <w:rsid w:val="00AB3060"/>
    <w:rsid w:val="00AB3EFE"/>
    <w:rsid w:val="00AC1DA2"/>
    <w:rsid w:val="00AC3C9A"/>
    <w:rsid w:val="00AC5E2E"/>
    <w:rsid w:val="00AC5FBF"/>
    <w:rsid w:val="00AC729E"/>
    <w:rsid w:val="00AD3DB5"/>
    <w:rsid w:val="00AE1D30"/>
    <w:rsid w:val="00AF27A8"/>
    <w:rsid w:val="00AF4884"/>
    <w:rsid w:val="00AF536D"/>
    <w:rsid w:val="00AF7B08"/>
    <w:rsid w:val="00B0418B"/>
    <w:rsid w:val="00B0541D"/>
    <w:rsid w:val="00B07E08"/>
    <w:rsid w:val="00B11F67"/>
    <w:rsid w:val="00B13963"/>
    <w:rsid w:val="00B172CA"/>
    <w:rsid w:val="00B21ED9"/>
    <w:rsid w:val="00B22136"/>
    <w:rsid w:val="00B224BE"/>
    <w:rsid w:val="00B23232"/>
    <w:rsid w:val="00B241FB"/>
    <w:rsid w:val="00B271E0"/>
    <w:rsid w:val="00B274AC"/>
    <w:rsid w:val="00B359F6"/>
    <w:rsid w:val="00B367E7"/>
    <w:rsid w:val="00B36DE7"/>
    <w:rsid w:val="00B40EBD"/>
    <w:rsid w:val="00B41ECF"/>
    <w:rsid w:val="00B50479"/>
    <w:rsid w:val="00B577D6"/>
    <w:rsid w:val="00B63F5C"/>
    <w:rsid w:val="00B641B2"/>
    <w:rsid w:val="00B658D7"/>
    <w:rsid w:val="00B70EA9"/>
    <w:rsid w:val="00B72443"/>
    <w:rsid w:val="00B72D91"/>
    <w:rsid w:val="00B755F1"/>
    <w:rsid w:val="00B76A63"/>
    <w:rsid w:val="00B80657"/>
    <w:rsid w:val="00B82756"/>
    <w:rsid w:val="00B82F08"/>
    <w:rsid w:val="00B8335B"/>
    <w:rsid w:val="00B8482D"/>
    <w:rsid w:val="00B8697E"/>
    <w:rsid w:val="00B90531"/>
    <w:rsid w:val="00B90730"/>
    <w:rsid w:val="00B91906"/>
    <w:rsid w:val="00B92666"/>
    <w:rsid w:val="00B959D7"/>
    <w:rsid w:val="00B96D9F"/>
    <w:rsid w:val="00BA058B"/>
    <w:rsid w:val="00BA0B57"/>
    <w:rsid w:val="00BA4B66"/>
    <w:rsid w:val="00BA51E6"/>
    <w:rsid w:val="00BA5D3B"/>
    <w:rsid w:val="00BB205F"/>
    <w:rsid w:val="00BC0B41"/>
    <w:rsid w:val="00BC1D13"/>
    <w:rsid w:val="00BC54C2"/>
    <w:rsid w:val="00BC75F6"/>
    <w:rsid w:val="00BD27CC"/>
    <w:rsid w:val="00BD38CF"/>
    <w:rsid w:val="00BE46A1"/>
    <w:rsid w:val="00BE7AF0"/>
    <w:rsid w:val="00BF39EE"/>
    <w:rsid w:val="00C07653"/>
    <w:rsid w:val="00C10095"/>
    <w:rsid w:val="00C123F6"/>
    <w:rsid w:val="00C13A98"/>
    <w:rsid w:val="00C1440C"/>
    <w:rsid w:val="00C151B7"/>
    <w:rsid w:val="00C162CA"/>
    <w:rsid w:val="00C2671A"/>
    <w:rsid w:val="00C275DA"/>
    <w:rsid w:val="00C31C21"/>
    <w:rsid w:val="00C31E8F"/>
    <w:rsid w:val="00C32CB6"/>
    <w:rsid w:val="00C33C81"/>
    <w:rsid w:val="00C34E54"/>
    <w:rsid w:val="00C3578F"/>
    <w:rsid w:val="00C37B6A"/>
    <w:rsid w:val="00C413BC"/>
    <w:rsid w:val="00C425AC"/>
    <w:rsid w:val="00C4274D"/>
    <w:rsid w:val="00C43D33"/>
    <w:rsid w:val="00C45E28"/>
    <w:rsid w:val="00C4697F"/>
    <w:rsid w:val="00C47954"/>
    <w:rsid w:val="00C52DDD"/>
    <w:rsid w:val="00C539CA"/>
    <w:rsid w:val="00C55110"/>
    <w:rsid w:val="00C61937"/>
    <w:rsid w:val="00C64246"/>
    <w:rsid w:val="00C6429A"/>
    <w:rsid w:val="00C70DE2"/>
    <w:rsid w:val="00C8136A"/>
    <w:rsid w:val="00C813AE"/>
    <w:rsid w:val="00C83F1C"/>
    <w:rsid w:val="00C84A5F"/>
    <w:rsid w:val="00C85C0E"/>
    <w:rsid w:val="00C86373"/>
    <w:rsid w:val="00C90E18"/>
    <w:rsid w:val="00C94C53"/>
    <w:rsid w:val="00CA01F5"/>
    <w:rsid w:val="00CA4476"/>
    <w:rsid w:val="00CA4EF7"/>
    <w:rsid w:val="00CB10DB"/>
    <w:rsid w:val="00CB1E8D"/>
    <w:rsid w:val="00CB4BD0"/>
    <w:rsid w:val="00CB6B28"/>
    <w:rsid w:val="00CB6FFD"/>
    <w:rsid w:val="00CC012E"/>
    <w:rsid w:val="00CC0651"/>
    <w:rsid w:val="00CC337A"/>
    <w:rsid w:val="00CC34CA"/>
    <w:rsid w:val="00CC3A0B"/>
    <w:rsid w:val="00CD1921"/>
    <w:rsid w:val="00CD3E30"/>
    <w:rsid w:val="00CD5367"/>
    <w:rsid w:val="00CD54F8"/>
    <w:rsid w:val="00CE586B"/>
    <w:rsid w:val="00CE64B7"/>
    <w:rsid w:val="00CF3E47"/>
    <w:rsid w:val="00CF584C"/>
    <w:rsid w:val="00D034B4"/>
    <w:rsid w:val="00D12547"/>
    <w:rsid w:val="00D169BE"/>
    <w:rsid w:val="00D178C9"/>
    <w:rsid w:val="00D20CC3"/>
    <w:rsid w:val="00D210FD"/>
    <w:rsid w:val="00D21AD5"/>
    <w:rsid w:val="00D25C0A"/>
    <w:rsid w:val="00D26408"/>
    <w:rsid w:val="00D267C2"/>
    <w:rsid w:val="00D31C14"/>
    <w:rsid w:val="00D33031"/>
    <w:rsid w:val="00D41074"/>
    <w:rsid w:val="00D42F2A"/>
    <w:rsid w:val="00D45210"/>
    <w:rsid w:val="00D4584E"/>
    <w:rsid w:val="00D4683D"/>
    <w:rsid w:val="00D51C65"/>
    <w:rsid w:val="00D56F79"/>
    <w:rsid w:val="00D60502"/>
    <w:rsid w:val="00D67511"/>
    <w:rsid w:val="00D72987"/>
    <w:rsid w:val="00D734FE"/>
    <w:rsid w:val="00D773F5"/>
    <w:rsid w:val="00D77B5B"/>
    <w:rsid w:val="00D82D08"/>
    <w:rsid w:val="00D83BDF"/>
    <w:rsid w:val="00D90D53"/>
    <w:rsid w:val="00D92869"/>
    <w:rsid w:val="00D97788"/>
    <w:rsid w:val="00DA03BD"/>
    <w:rsid w:val="00DA7DEF"/>
    <w:rsid w:val="00DB0B12"/>
    <w:rsid w:val="00DB3981"/>
    <w:rsid w:val="00DB3FF3"/>
    <w:rsid w:val="00DC2685"/>
    <w:rsid w:val="00DC60AA"/>
    <w:rsid w:val="00DC7CA3"/>
    <w:rsid w:val="00DD23AC"/>
    <w:rsid w:val="00DD3153"/>
    <w:rsid w:val="00DD34AC"/>
    <w:rsid w:val="00DE5554"/>
    <w:rsid w:val="00DE7986"/>
    <w:rsid w:val="00DF6DC3"/>
    <w:rsid w:val="00E01B29"/>
    <w:rsid w:val="00E04F6D"/>
    <w:rsid w:val="00E1150E"/>
    <w:rsid w:val="00E11C87"/>
    <w:rsid w:val="00E122C9"/>
    <w:rsid w:val="00E17B0E"/>
    <w:rsid w:val="00E25A3F"/>
    <w:rsid w:val="00E26073"/>
    <w:rsid w:val="00E26C0A"/>
    <w:rsid w:val="00E3057B"/>
    <w:rsid w:val="00E4069F"/>
    <w:rsid w:val="00E473D6"/>
    <w:rsid w:val="00E54157"/>
    <w:rsid w:val="00E5633E"/>
    <w:rsid w:val="00E5743D"/>
    <w:rsid w:val="00E62312"/>
    <w:rsid w:val="00E6254E"/>
    <w:rsid w:val="00E63024"/>
    <w:rsid w:val="00E66AAD"/>
    <w:rsid w:val="00E670E8"/>
    <w:rsid w:val="00E70D0B"/>
    <w:rsid w:val="00E713E7"/>
    <w:rsid w:val="00E71CC7"/>
    <w:rsid w:val="00E74A53"/>
    <w:rsid w:val="00E74FE1"/>
    <w:rsid w:val="00E76E98"/>
    <w:rsid w:val="00E76EAF"/>
    <w:rsid w:val="00E82897"/>
    <w:rsid w:val="00E83BED"/>
    <w:rsid w:val="00E876C2"/>
    <w:rsid w:val="00E9026B"/>
    <w:rsid w:val="00E913CE"/>
    <w:rsid w:val="00E9404B"/>
    <w:rsid w:val="00E95580"/>
    <w:rsid w:val="00E9738F"/>
    <w:rsid w:val="00EA0900"/>
    <w:rsid w:val="00EA2015"/>
    <w:rsid w:val="00EA292B"/>
    <w:rsid w:val="00EA3909"/>
    <w:rsid w:val="00EA402D"/>
    <w:rsid w:val="00EA5322"/>
    <w:rsid w:val="00EB0A56"/>
    <w:rsid w:val="00EB1170"/>
    <w:rsid w:val="00EC0087"/>
    <w:rsid w:val="00EC08AC"/>
    <w:rsid w:val="00EC0BD7"/>
    <w:rsid w:val="00EC3637"/>
    <w:rsid w:val="00EC541F"/>
    <w:rsid w:val="00ED1FCC"/>
    <w:rsid w:val="00EE22E8"/>
    <w:rsid w:val="00EE2D9A"/>
    <w:rsid w:val="00EE7331"/>
    <w:rsid w:val="00EF1EE8"/>
    <w:rsid w:val="00EF2CEB"/>
    <w:rsid w:val="00EF3352"/>
    <w:rsid w:val="00EF4F03"/>
    <w:rsid w:val="00EF742C"/>
    <w:rsid w:val="00F018E2"/>
    <w:rsid w:val="00F10281"/>
    <w:rsid w:val="00F10FED"/>
    <w:rsid w:val="00F12A82"/>
    <w:rsid w:val="00F214FC"/>
    <w:rsid w:val="00F23873"/>
    <w:rsid w:val="00F23F15"/>
    <w:rsid w:val="00F31F6A"/>
    <w:rsid w:val="00F32060"/>
    <w:rsid w:val="00F33FB9"/>
    <w:rsid w:val="00F3585B"/>
    <w:rsid w:val="00F35F17"/>
    <w:rsid w:val="00F403E6"/>
    <w:rsid w:val="00F522A0"/>
    <w:rsid w:val="00F532AF"/>
    <w:rsid w:val="00F5414C"/>
    <w:rsid w:val="00F60883"/>
    <w:rsid w:val="00F629FA"/>
    <w:rsid w:val="00F641BD"/>
    <w:rsid w:val="00F658B3"/>
    <w:rsid w:val="00F65E91"/>
    <w:rsid w:val="00F70EF7"/>
    <w:rsid w:val="00F75024"/>
    <w:rsid w:val="00F77763"/>
    <w:rsid w:val="00F82D5D"/>
    <w:rsid w:val="00F833E8"/>
    <w:rsid w:val="00F844D5"/>
    <w:rsid w:val="00F8451E"/>
    <w:rsid w:val="00F8458E"/>
    <w:rsid w:val="00F8626F"/>
    <w:rsid w:val="00F87B60"/>
    <w:rsid w:val="00F92D0F"/>
    <w:rsid w:val="00F95977"/>
    <w:rsid w:val="00F96ED2"/>
    <w:rsid w:val="00F97BC8"/>
    <w:rsid w:val="00FA0108"/>
    <w:rsid w:val="00FA049D"/>
    <w:rsid w:val="00FA44DE"/>
    <w:rsid w:val="00FA76C2"/>
    <w:rsid w:val="00FB0D78"/>
    <w:rsid w:val="00FB25D3"/>
    <w:rsid w:val="00FB6C5E"/>
    <w:rsid w:val="00FC058D"/>
    <w:rsid w:val="00FD6B4C"/>
    <w:rsid w:val="00FE08C1"/>
    <w:rsid w:val="00FE10BB"/>
    <w:rsid w:val="00FE2BE5"/>
    <w:rsid w:val="00FE5471"/>
    <w:rsid w:val="00FF00A0"/>
    <w:rsid w:val="00FF22F3"/>
    <w:rsid w:val="00FF2E02"/>
    <w:rsid w:val="00FF3409"/>
    <w:rsid w:val="00FF3D8B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6DF2A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FB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578D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7340E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A7340E"/>
  </w:style>
  <w:style w:type="paragraph" w:customStyle="1" w:styleId="HorizontalLine">
    <w:name w:val="Horizontal Line"/>
    <w:basedOn w:val="Normal"/>
    <w:rsid w:val="00A7340E"/>
  </w:style>
  <w:style w:type="paragraph" w:customStyle="1" w:styleId="ParagraphImageWrapLeft">
    <w:name w:val="Paragraph Image Wrap Left"/>
    <w:basedOn w:val="Normal"/>
    <w:rsid w:val="00A7340E"/>
  </w:style>
  <w:style w:type="paragraph" w:customStyle="1" w:styleId="ParagraphImageWrapRight">
    <w:name w:val="Paragraph Image Wrap Right"/>
    <w:basedOn w:val="Normal"/>
    <w:rsid w:val="00A7340E"/>
  </w:style>
  <w:style w:type="paragraph" w:customStyle="1" w:styleId="Summary">
    <w:name w:val="Summary"/>
    <w:basedOn w:val="Normal"/>
    <w:rsid w:val="00A7340E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table" w:customStyle="1" w:styleId="TableDFID">
    <w:name w:val="Table DFID"/>
    <w:basedOn w:val="TableNormal"/>
    <w:rsid w:val="00A7340E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A7340E"/>
  </w:style>
  <w:style w:type="paragraph" w:customStyle="1" w:styleId="TableDFIDStart">
    <w:name w:val="Table DFID Start"/>
    <w:basedOn w:val="Normal"/>
    <w:rsid w:val="00A7340E"/>
  </w:style>
  <w:style w:type="paragraph" w:customStyle="1" w:styleId="TableHeadings">
    <w:name w:val="Table Headings"/>
    <w:basedOn w:val="Normal"/>
    <w:rsid w:val="00A7340E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A7340E"/>
    <w:tblPr/>
  </w:style>
  <w:style w:type="character" w:styleId="CommentReference">
    <w:name w:val="annotation reference"/>
    <w:rsid w:val="0039040B"/>
    <w:rPr>
      <w:sz w:val="16"/>
      <w:szCs w:val="16"/>
    </w:rPr>
  </w:style>
  <w:style w:type="paragraph" w:styleId="CommentText">
    <w:name w:val="annotation text"/>
    <w:basedOn w:val="Normal"/>
    <w:semiHidden/>
    <w:rsid w:val="003904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040B"/>
    <w:rPr>
      <w:b/>
      <w:bCs/>
    </w:rPr>
  </w:style>
  <w:style w:type="paragraph" w:styleId="BalloonText">
    <w:name w:val="Balloon Text"/>
    <w:basedOn w:val="Normal"/>
    <w:semiHidden/>
    <w:rsid w:val="0039040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A578D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5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885FC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Header">
    <w:name w:val="header"/>
    <w:basedOn w:val="Normal"/>
    <w:rsid w:val="006F76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F7625"/>
    <w:pPr>
      <w:tabs>
        <w:tab w:val="center" w:pos="4153"/>
        <w:tab w:val="right" w:pos="8306"/>
      </w:tabs>
    </w:pPr>
  </w:style>
  <w:style w:type="character" w:styleId="Strong">
    <w:name w:val="Strong"/>
    <w:qFormat/>
    <w:rsid w:val="00622D8C"/>
    <w:rPr>
      <w:b/>
      <w:bCs/>
    </w:rPr>
  </w:style>
  <w:style w:type="character" w:styleId="PageNumber">
    <w:name w:val="page number"/>
    <w:basedOn w:val="DefaultParagraphFont"/>
    <w:rsid w:val="00872E03"/>
  </w:style>
  <w:style w:type="table" w:styleId="TableList4">
    <w:name w:val="Table List 4"/>
    <w:basedOn w:val="TableNormal"/>
    <w:rsid w:val="00C43D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Grid3">
    <w:name w:val="Table Grid 3"/>
    <w:basedOn w:val="TableNormal"/>
    <w:rsid w:val="009820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E1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A5F"/>
    <w:pPr>
      <w:ind w:left="720"/>
      <w:contextualSpacing/>
    </w:pPr>
  </w:style>
  <w:style w:type="paragraph" w:styleId="Revision">
    <w:name w:val="Revision"/>
    <w:hidden/>
    <w:uiPriority w:val="99"/>
    <w:semiHidden/>
    <w:rsid w:val="00B274AC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1D30"/>
    <w:rPr>
      <w:rFonts w:ascii="Arial" w:hAnsi="Arial"/>
      <w:sz w:val="24"/>
      <w:szCs w:val="24"/>
      <w:lang w:eastAsia="en-US"/>
    </w:rPr>
  </w:style>
  <w:style w:type="character" w:customStyle="1" w:styleId="fhb">
    <w:name w:val="fhb"/>
    <w:basedOn w:val="DefaultParagraphFont"/>
    <w:rsid w:val="000A0748"/>
  </w:style>
  <w:style w:type="character" w:customStyle="1" w:styleId="fh">
    <w:name w:val="fh"/>
    <w:basedOn w:val="DefaultParagraphFont"/>
    <w:rsid w:val="000A0748"/>
  </w:style>
  <w:style w:type="character" w:styleId="Hyperlink">
    <w:name w:val="Hyperlink"/>
    <w:basedOn w:val="DefaultParagraphFont"/>
    <w:unhideWhenUsed/>
    <w:rsid w:val="0020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3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E5F7-26BF-446A-ADFD-8329D3B7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2019-03-05T11:36:00Z</dcterms:created>
  <dcterms:modified xsi:type="dcterms:W3CDTF">2019-03-05T11:37:00Z</dcterms:modified>
</cp:coreProperties>
</file>