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DA17B" w14:textId="77777777" w:rsidR="0065306A" w:rsidRPr="0046232B" w:rsidRDefault="00A551DB" w:rsidP="00A4556C">
      <w:pPr>
        <w:jc w:val="center"/>
        <w:rPr>
          <w:rFonts w:cs="Arial"/>
          <w:sz w:val="28"/>
        </w:rPr>
      </w:pPr>
      <w:bookmarkStart w:id="0" w:name="_GoBack"/>
      <w:bookmarkEnd w:id="0"/>
      <w:r>
        <w:rPr>
          <w:rFonts w:cs="Arial"/>
          <w:b/>
          <w:sz w:val="28"/>
        </w:rPr>
        <w:t xml:space="preserve"> </w:t>
      </w:r>
      <w:r w:rsidR="004B669F" w:rsidRPr="0046232B">
        <w:rPr>
          <w:rFonts w:cs="Arial"/>
          <w:b/>
          <w:sz w:val="28"/>
        </w:rPr>
        <w:t>Annual Review</w:t>
      </w:r>
      <w:r w:rsidR="0065306A" w:rsidRPr="0046232B">
        <w:rPr>
          <w:rFonts w:cs="Arial"/>
          <w:b/>
          <w:sz w:val="28"/>
        </w:rPr>
        <w:t xml:space="preserve"> </w:t>
      </w:r>
      <w:r w:rsidR="00067681" w:rsidRPr="0046232B">
        <w:rPr>
          <w:rFonts w:cs="Arial"/>
          <w:b/>
          <w:sz w:val="28"/>
        </w:rPr>
        <w:t xml:space="preserve">- </w:t>
      </w:r>
      <w:r w:rsidR="0065306A" w:rsidRPr="0046232B">
        <w:rPr>
          <w:rFonts w:cs="Arial"/>
          <w:b/>
          <w:sz w:val="28"/>
        </w:rPr>
        <w:t>Summary Sheet</w:t>
      </w:r>
    </w:p>
    <w:p w14:paraId="3CC8EAB0" w14:textId="77777777" w:rsidR="00E82897" w:rsidRPr="0046232B" w:rsidRDefault="00E82897" w:rsidP="000A75CF">
      <w:pPr>
        <w:rPr>
          <w:b/>
          <w:sz w:val="22"/>
          <w:szCs w:val="22"/>
        </w:rPr>
      </w:pPr>
    </w:p>
    <w:tbl>
      <w:tblPr>
        <w:tblStyle w:val="TableGrid"/>
        <w:tblW w:w="5000" w:type="pct"/>
        <w:tblLook w:val="04A0" w:firstRow="1" w:lastRow="0" w:firstColumn="1" w:lastColumn="0" w:noHBand="0" w:noVBand="1"/>
      </w:tblPr>
      <w:tblGrid>
        <w:gridCol w:w="2046"/>
        <w:gridCol w:w="2893"/>
        <w:gridCol w:w="275"/>
        <w:gridCol w:w="877"/>
        <w:gridCol w:w="2761"/>
        <w:gridCol w:w="1342"/>
      </w:tblGrid>
      <w:tr w:rsidR="00673A17" w:rsidRPr="00B85D63" w14:paraId="59B72BCA" w14:textId="77777777" w:rsidTr="00673A17">
        <w:tc>
          <w:tcPr>
            <w:tcW w:w="5000" w:type="pct"/>
            <w:gridSpan w:val="6"/>
            <w:tcBorders>
              <w:bottom w:val="single" w:sz="4" w:space="0" w:color="auto"/>
            </w:tcBorders>
          </w:tcPr>
          <w:p w14:paraId="02E03736" w14:textId="77777777" w:rsidR="00673A17" w:rsidRDefault="00217702" w:rsidP="00343FCD">
            <w:pPr>
              <w:rPr>
                <w:rFonts w:cs="Arial"/>
                <w:b/>
                <w:sz w:val="22"/>
                <w:szCs w:val="22"/>
              </w:rPr>
            </w:pPr>
            <w:r w:rsidRPr="00B85D63">
              <w:rPr>
                <w:rFonts w:cs="Arial"/>
                <w:b/>
                <w:sz w:val="22"/>
                <w:szCs w:val="22"/>
              </w:rPr>
              <w:t>PROGRAMME TITLE:</w:t>
            </w:r>
            <w:r w:rsidR="00025209" w:rsidRPr="00B85D63">
              <w:rPr>
                <w:rFonts w:cs="Arial"/>
                <w:b/>
                <w:sz w:val="22"/>
                <w:szCs w:val="22"/>
              </w:rPr>
              <w:t xml:space="preserve"> </w:t>
            </w:r>
            <w:r w:rsidR="00B85D63">
              <w:rPr>
                <w:rFonts w:cs="Arial"/>
                <w:b/>
                <w:sz w:val="22"/>
                <w:szCs w:val="22"/>
              </w:rPr>
              <w:t xml:space="preserve">Justice, Security &amp; Governance </w:t>
            </w:r>
            <w:r w:rsidR="00343FCD">
              <w:rPr>
                <w:rFonts w:cs="Arial"/>
                <w:b/>
                <w:sz w:val="22"/>
                <w:szCs w:val="22"/>
              </w:rPr>
              <w:t xml:space="preserve">(JSG) – </w:t>
            </w:r>
            <w:r w:rsidR="00343FCD">
              <w:rPr>
                <w:rFonts w:cs="Arial"/>
                <w:sz w:val="22"/>
                <w:szCs w:val="22"/>
              </w:rPr>
              <w:t xml:space="preserve">integrating elements of the </w:t>
            </w:r>
            <w:r w:rsidR="00025209" w:rsidRPr="00B85D63">
              <w:rPr>
                <w:rFonts w:cs="Arial"/>
                <w:b/>
                <w:sz w:val="22"/>
                <w:szCs w:val="22"/>
              </w:rPr>
              <w:t>Securit</w:t>
            </w:r>
            <w:r w:rsidR="00B85D63">
              <w:rPr>
                <w:rFonts w:cs="Arial"/>
                <w:b/>
                <w:sz w:val="22"/>
                <w:szCs w:val="22"/>
              </w:rPr>
              <w:t>y, Good Governance &amp;</w:t>
            </w:r>
            <w:r w:rsidR="00025209" w:rsidRPr="00B85D63">
              <w:rPr>
                <w:rFonts w:cs="Arial"/>
                <w:b/>
                <w:sz w:val="22"/>
                <w:szCs w:val="22"/>
              </w:rPr>
              <w:t xml:space="preserve"> Disaster Management </w:t>
            </w:r>
            <w:r w:rsidR="00343FCD">
              <w:rPr>
                <w:rFonts w:cs="Arial"/>
                <w:b/>
                <w:sz w:val="22"/>
                <w:szCs w:val="22"/>
              </w:rPr>
              <w:t>(S</w:t>
            </w:r>
            <w:r w:rsidR="00C34E66" w:rsidRPr="00B85D63">
              <w:rPr>
                <w:rFonts w:cs="Arial"/>
                <w:b/>
                <w:sz w:val="22"/>
                <w:szCs w:val="22"/>
              </w:rPr>
              <w:t>GDM)</w:t>
            </w:r>
            <w:r w:rsidR="00343FCD">
              <w:rPr>
                <w:rFonts w:cs="Arial"/>
                <w:b/>
                <w:sz w:val="22"/>
                <w:szCs w:val="22"/>
              </w:rPr>
              <w:t xml:space="preserve"> and</w:t>
            </w:r>
            <w:r w:rsidR="00B85D63">
              <w:rPr>
                <w:rFonts w:cs="Arial"/>
                <w:b/>
                <w:sz w:val="22"/>
                <w:szCs w:val="22"/>
              </w:rPr>
              <w:t xml:space="preserve"> Sovereignty, Defence &amp; </w:t>
            </w:r>
            <w:r w:rsidR="00025209" w:rsidRPr="00B85D63">
              <w:rPr>
                <w:rFonts w:cs="Arial"/>
                <w:b/>
                <w:sz w:val="22"/>
                <w:szCs w:val="22"/>
              </w:rPr>
              <w:t xml:space="preserve">International Obligations </w:t>
            </w:r>
            <w:r w:rsidR="00C34E66" w:rsidRPr="00B85D63">
              <w:rPr>
                <w:rFonts w:cs="Arial"/>
                <w:b/>
                <w:sz w:val="22"/>
                <w:szCs w:val="22"/>
              </w:rPr>
              <w:t xml:space="preserve">(SDIO) </w:t>
            </w:r>
            <w:r w:rsidR="00343FCD">
              <w:rPr>
                <w:rFonts w:cs="Arial"/>
                <w:b/>
                <w:sz w:val="22"/>
                <w:szCs w:val="22"/>
              </w:rPr>
              <w:t>programmes</w:t>
            </w:r>
          </w:p>
          <w:p w14:paraId="6EB2BADA" w14:textId="77777777" w:rsidR="00343FCD" w:rsidRPr="00B85D63" w:rsidRDefault="00343FCD" w:rsidP="00B85D63">
            <w:pPr>
              <w:rPr>
                <w:rFonts w:cs="Arial"/>
                <w:b/>
                <w:sz w:val="22"/>
                <w:szCs w:val="22"/>
              </w:rPr>
            </w:pPr>
          </w:p>
        </w:tc>
      </w:tr>
      <w:tr w:rsidR="00673A17" w:rsidRPr="00B85D63" w14:paraId="4774E544" w14:textId="77777777" w:rsidTr="00217702">
        <w:tc>
          <w:tcPr>
            <w:tcW w:w="1004" w:type="pct"/>
            <w:tcBorders>
              <w:bottom w:val="single" w:sz="4" w:space="0" w:color="auto"/>
            </w:tcBorders>
          </w:tcPr>
          <w:p w14:paraId="6317D932" w14:textId="77777777" w:rsidR="00673A17" w:rsidRPr="00B85D63" w:rsidRDefault="00673A17" w:rsidP="00BA4B66">
            <w:pPr>
              <w:rPr>
                <w:rFonts w:cs="Arial"/>
                <w:b/>
                <w:sz w:val="22"/>
                <w:szCs w:val="22"/>
              </w:rPr>
            </w:pPr>
            <w:r w:rsidRPr="00B85D63">
              <w:rPr>
                <w:rFonts w:cs="Arial"/>
                <w:b/>
                <w:sz w:val="22"/>
                <w:szCs w:val="22"/>
              </w:rPr>
              <w:t>Country/Region:</w:t>
            </w:r>
          </w:p>
        </w:tc>
        <w:tc>
          <w:tcPr>
            <w:tcW w:w="3996" w:type="pct"/>
            <w:gridSpan w:val="5"/>
            <w:tcBorders>
              <w:bottom w:val="single" w:sz="4" w:space="0" w:color="auto"/>
            </w:tcBorders>
          </w:tcPr>
          <w:p w14:paraId="24F433D3" w14:textId="77777777" w:rsidR="00673A17" w:rsidRPr="00B85D63" w:rsidRDefault="00FD14DA" w:rsidP="00343FCD">
            <w:pPr>
              <w:rPr>
                <w:rFonts w:cs="Arial"/>
                <w:sz w:val="22"/>
                <w:szCs w:val="22"/>
              </w:rPr>
            </w:pPr>
            <w:r w:rsidRPr="00B85D63">
              <w:rPr>
                <w:rFonts w:cs="Arial"/>
                <w:sz w:val="22"/>
                <w:szCs w:val="22"/>
              </w:rPr>
              <w:t>Overseas Territories</w:t>
            </w:r>
            <w:r w:rsidR="009866FC">
              <w:rPr>
                <w:rFonts w:cs="Arial"/>
                <w:sz w:val="22"/>
                <w:szCs w:val="22"/>
              </w:rPr>
              <w:t xml:space="preserve"> (OTs)</w:t>
            </w:r>
          </w:p>
        </w:tc>
      </w:tr>
      <w:tr w:rsidR="00217702" w:rsidRPr="00B85D63" w14:paraId="13EDA57E" w14:textId="77777777" w:rsidTr="00FD0373">
        <w:trPr>
          <w:trHeight w:val="531"/>
        </w:trPr>
        <w:tc>
          <w:tcPr>
            <w:tcW w:w="1004" w:type="pct"/>
            <w:tcBorders>
              <w:bottom w:val="single" w:sz="4" w:space="0" w:color="auto"/>
            </w:tcBorders>
          </w:tcPr>
          <w:p w14:paraId="6A8C43B5" w14:textId="77777777" w:rsidR="00217702" w:rsidRPr="00B85D63" w:rsidRDefault="00217702" w:rsidP="00BA4B66">
            <w:pPr>
              <w:rPr>
                <w:rFonts w:cs="Arial"/>
                <w:b/>
                <w:sz w:val="22"/>
                <w:szCs w:val="22"/>
              </w:rPr>
            </w:pPr>
            <w:r w:rsidRPr="00B85D63">
              <w:rPr>
                <w:rFonts w:cs="Arial"/>
                <w:b/>
                <w:sz w:val="22"/>
                <w:szCs w:val="22"/>
              </w:rPr>
              <w:t xml:space="preserve">HMG Partners </w:t>
            </w:r>
          </w:p>
          <w:p w14:paraId="220E6713" w14:textId="77777777" w:rsidR="00217702" w:rsidRPr="00B85D63" w:rsidRDefault="00217702" w:rsidP="00BA4B66">
            <w:pPr>
              <w:rPr>
                <w:rFonts w:cs="Arial"/>
                <w:b/>
                <w:sz w:val="22"/>
                <w:szCs w:val="22"/>
              </w:rPr>
            </w:pPr>
            <w:r w:rsidRPr="00B85D63">
              <w:rPr>
                <w:rFonts w:cs="Arial"/>
                <w:b/>
                <w:sz w:val="22"/>
                <w:szCs w:val="22"/>
              </w:rPr>
              <w:t>(LEAD in bold)</w:t>
            </w:r>
          </w:p>
        </w:tc>
        <w:tc>
          <w:tcPr>
            <w:tcW w:w="3996" w:type="pct"/>
            <w:gridSpan w:val="5"/>
            <w:tcBorders>
              <w:bottom w:val="single" w:sz="4" w:space="0" w:color="auto"/>
            </w:tcBorders>
          </w:tcPr>
          <w:p w14:paraId="1D950218" w14:textId="77777777" w:rsidR="000A75CF" w:rsidRDefault="009866FC" w:rsidP="00B97348">
            <w:pPr>
              <w:rPr>
                <w:rFonts w:cs="Arial"/>
                <w:b/>
                <w:sz w:val="22"/>
                <w:szCs w:val="22"/>
              </w:rPr>
            </w:pPr>
            <w:r>
              <w:rPr>
                <w:rFonts w:cs="Arial"/>
                <w:b/>
                <w:sz w:val="22"/>
                <w:szCs w:val="22"/>
              </w:rPr>
              <w:t>Foreign and Commonwealth Office (</w:t>
            </w:r>
            <w:r w:rsidR="00FD14DA" w:rsidRPr="00B85D63">
              <w:rPr>
                <w:rFonts w:cs="Arial"/>
                <w:b/>
                <w:sz w:val="22"/>
                <w:szCs w:val="22"/>
              </w:rPr>
              <w:t>FCO</w:t>
            </w:r>
            <w:r>
              <w:rPr>
                <w:rFonts w:cs="Arial"/>
                <w:b/>
                <w:sz w:val="22"/>
                <w:szCs w:val="22"/>
              </w:rPr>
              <w:t>)</w:t>
            </w:r>
            <w:r w:rsidR="009975DC" w:rsidRPr="00B85D63">
              <w:rPr>
                <w:rFonts w:cs="Arial"/>
                <w:b/>
                <w:sz w:val="22"/>
                <w:szCs w:val="22"/>
              </w:rPr>
              <w:t xml:space="preserve">, </w:t>
            </w:r>
          </w:p>
          <w:p w14:paraId="787E236A" w14:textId="77777777" w:rsidR="00343FCD" w:rsidRDefault="00FD14DA" w:rsidP="00B97348">
            <w:pPr>
              <w:rPr>
                <w:rFonts w:cs="Arial"/>
                <w:b/>
                <w:sz w:val="22"/>
                <w:szCs w:val="22"/>
              </w:rPr>
            </w:pPr>
            <w:r w:rsidRPr="00B85D63">
              <w:rPr>
                <w:rFonts w:cs="Arial"/>
                <w:sz w:val="22"/>
                <w:szCs w:val="22"/>
              </w:rPr>
              <w:t>Crown Prosecution Service</w:t>
            </w:r>
            <w:r w:rsidR="009866FC">
              <w:rPr>
                <w:rFonts w:cs="Arial"/>
                <w:sz w:val="22"/>
                <w:szCs w:val="22"/>
              </w:rPr>
              <w:t xml:space="preserve"> (CPS)</w:t>
            </w:r>
            <w:r w:rsidR="009975DC" w:rsidRPr="00B85D63">
              <w:rPr>
                <w:rFonts w:cs="Arial"/>
                <w:b/>
                <w:sz w:val="22"/>
                <w:szCs w:val="22"/>
              </w:rPr>
              <w:t>,</w:t>
            </w:r>
          </w:p>
          <w:p w14:paraId="1A218B67" w14:textId="77777777" w:rsidR="00FD14DA" w:rsidRPr="00B85D63" w:rsidRDefault="00FD14DA" w:rsidP="00B97348">
            <w:pPr>
              <w:rPr>
                <w:rFonts w:cs="Arial"/>
                <w:b/>
                <w:sz w:val="22"/>
                <w:szCs w:val="22"/>
              </w:rPr>
            </w:pPr>
            <w:r w:rsidRPr="00B85D63">
              <w:rPr>
                <w:rFonts w:cs="Arial"/>
                <w:sz w:val="22"/>
                <w:szCs w:val="22"/>
              </w:rPr>
              <w:t>Public Health England</w:t>
            </w:r>
            <w:r w:rsidR="009866FC">
              <w:rPr>
                <w:rFonts w:cs="Arial"/>
                <w:sz w:val="22"/>
                <w:szCs w:val="22"/>
              </w:rPr>
              <w:t xml:space="preserve"> (PHE)</w:t>
            </w:r>
          </w:p>
        </w:tc>
      </w:tr>
      <w:tr w:rsidR="00673A17" w:rsidRPr="00B85D63" w14:paraId="1CC4FFC7" w14:textId="77777777" w:rsidTr="00C22BDD">
        <w:tc>
          <w:tcPr>
            <w:tcW w:w="1004" w:type="pct"/>
            <w:tcBorders>
              <w:bottom w:val="single" w:sz="4" w:space="0" w:color="auto"/>
            </w:tcBorders>
          </w:tcPr>
          <w:p w14:paraId="1EF299A8" w14:textId="77777777" w:rsidR="00673A17" w:rsidRPr="00B85D63" w:rsidRDefault="00673A17" w:rsidP="009866FC">
            <w:pPr>
              <w:rPr>
                <w:rFonts w:cs="Arial"/>
                <w:b/>
                <w:sz w:val="22"/>
                <w:szCs w:val="22"/>
              </w:rPr>
            </w:pPr>
            <w:r w:rsidRPr="00B85D63">
              <w:rPr>
                <w:rFonts w:cs="Arial"/>
                <w:b/>
                <w:sz w:val="22"/>
                <w:szCs w:val="22"/>
              </w:rPr>
              <w:t xml:space="preserve">Total </w:t>
            </w:r>
            <w:r w:rsidR="009866FC">
              <w:rPr>
                <w:rFonts w:cs="Arial"/>
                <w:b/>
                <w:sz w:val="22"/>
                <w:szCs w:val="22"/>
              </w:rPr>
              <w:t>Spend</w:t>
            </w:r>
            <w:r w:rsidRPr="00B85D63">
              <w:rPr>
                <w:rFonts w:cs="Arial"/>
                <w:b/>
                <w:sz w:val="22"/>
                <w:szCs w:val="22"/>
              </w:rPr>
              <w:t>:</w:t>
            </w:r>
          </w:p>
        </w:tc>
        <w:tc>
          <w:tcPr>
            <w:tcW w:w="1984" w:type="pct"/>
            <w:gridSpan w:val="3"/>
            <w:tcBorders>
              <w:bottom w:val="single" w:sz="4" w:space="0" w:color="auto"/>
            </w:tcBorders>
          </w:tcPr>
          <w:p w14:paraId="5BFD956D" w14:textId="77777777" w:rsidR="00343FCD" w:rsidRDefault="00C22BDD" w:rsidP="009866FC">
            <w:pPr>
              <w:rPr>
                <w:rFonts w:cs="Arial"/>
                <w:b/>
                <w:color w:val="000000"/>
                <w:sz w:val="22"/>
                <w:szCs w:val="22"/>
              </w:rPr>
            </w:pPr>
            <w:r w:rsidRPr="00B85D63">
              <w:rPr>
                <w:rFonts w:cs="Arial"/>
                <w:b/>
                <w:color w:val="000000"/>
                <w:sz w:val="22"/>
                <w:szCs w:val="22"/>
              </w:rPr>
              <w:t>Total</w:t>
            </w:r>
            <w:r w:rsidR="00343FCD">
              <w:rPr>
                <w:rFonts w:cs="Arial"/>
                <w:b/>
                <w:color w:val="000000"/>
                <w:sz w:val="22"/>
                <w:szCs w:val="22"/>
              </w:rPr>
              <w:t xml:space="preserve"> ODA</w:t>
            </w:r>
            <w:r w:rsidRPr="00B85D63">
              <w:rPr>
                <w:rFonts w:cs="Arial"/>
                <w:b/>
                <w:color w:val="000000"/>
                <w:sz w:val="22"/>
                <w:szCs w:val="22"/>
              </w:rPr>
              <w:t xml:space="preserve">: </w:t>
            </w:r>
          </w:p>
          <w:p w14:paraId="2A5A56CF" w14:textId="77777777" w:rsidR="00C22BDD" w:rsidRDefault="00FD0373" w:rsidP="00343FCD">
            <w:pPr>
              <w:rPr>
                <w:rFonts w:cs="Arial"/>
                <w:color w:val="000000"/>
                <w:sz w:val="22"/>
                <w:szCs w:val="22"/>
              </w:rPr>
            </w:pPr>
            <w:r>
              <w:rPr>
                <w:rFonts w:cs="Arial"/>
                <w:color w:val="000000"/>
                <w:sz w:val="22"/>
                <w:szCs w:val="22"/>
              </w:rPr>
              <w:t>SGDM - £</w:t>
            </w:r>
            <w:r w:rsidR="009866FC">
              <w:rPr>
                <w:rFonts w:cs="Arial"/>
                <w:color w:val="000000"/>
                <w:sz w:val="22"/>
                <w:szCs w:val="22"/>
              </w:rPr>
              <w:t>0.34m</w:t>
            </w:r>
            <w:r>
              <w:rPr>
                <w:rFonts w:cs="Arial"/>
                <w:color w:val="000000"/>
                <w:sz w:val="22"/>
                <w:szCs w:val="22"/>
              </w:rPr>
              <w:t xml:space="preserve"> </w:t>
            </w:r>
          </w:p>
          <w:p w14:paraId="66C0FF5D" w14:textId="77777777" w:rsidR="00343FCD" w:rsidRDefault="00343FCD" w:rsidP="00343FCD">
            <w:pPr>
              <w:rPr>
                <w:rFonts w:cs="Arial"/>
                <w:color w:val="000000"/>
                <w:sz w:val="22"/>
                <w:szCs w:val="22"/>
              </w:rPr>
            </w:pPr>
            <w:r w:rsidRPr="00343FCD">
              <w:rPr>
                <w:rFonts w:cs="Arial"/>
                <w:color w:val="000000"/>
                <w:sz w:val="22"/>
                <w:szCs w:val="22"/>
              </w:rPr>
              <w:t>SDIO</w:t>
            </w:r>
            <w:r>
              <w:rPr>
                <w:rFonts w:cs="Arial"/>
                <w:color w:val="000000"/>
                <w:sz w:val="22"/>
                <w:szCs w:val="22"/>
              </w:rPr>
              <w:t xml:space="preserve"> - £3.46m</w:t>
            </w:r>
          </w:p>
          <w:p w14:paraId="15118D85" w14:textId="77777777" w:rsidR="00343FCD" w:rsidRDefault="00343FCD" w:rsidP="00343FCD">
            <w:pPr>
              <w:rPr>
                <w:rFonts w:cs="Arial"/>
                <w:color w:val="000000"/>
                <w:sz w:val="22"/>
                <w:szCs w:val="22"/>
              </w:rPr>
            </w:pPr>
          </w:p>
          <w:p w14:paraId="5D6EEF05" w14:textId="77777777" w:rsidR="00343FCD" w:rsidRPr="00343FCD" w:rsidRDefault="00343FCD" w:rsidP="00343FCD">
            <w:pPr>
              <w:rPr>
                <w:rFonts w:cs="Arial"/>
                <w:i/>
                <w:color w:val="000000"/>
                <w:sz w:val="22"/>
                <w:szCs w:val="22"/>
              </w:rPr>
            </w:pPr>
            <w:r>
              <w:rPr>
                <w:rFonts w:cs="Arial"/>
                <w:color w:val="000000"/>
                <w:sz w:val="22"/>
                <w:szCs w:val="22"/>
              </w:rPr>
              <w:t>(</w:t>
            </w:r>
            <w:r>
              <w:rPr>
                <w:rFonts w:cs="Arial"/>
                <w:i/>
                <w:color w:val="000000"/>
                <w:sz w:val="22"/>
                <w:szCs w:val="22"/>
              </w:rPr>
              <w:t xml:space="preserve">Of which £3.42m was </w:t>
            </w:r>
            <w:r w:rsidR="00907245">
              <w:rPr>
                <w:rFonts w:cs="Arial"/>
                <w:i/>
                <w:color w:val="000000"/>
                <w:sz w:val="22"/>
                <w:szCs w:val="22"/>
              </w:rPr>
              <w:t>spend on outputs contributing to restructured JSG programme)</w:t>
            </w:r>
          </w:p>
        </w:tc>
        <w:tc>
          <w:tcPr>
            <w:tcW w:w="2012" w:type="pct"/>
            <w:gridSpan w:val="2"/>
            <w:tcBorders>
              <w:bottom w:val="single" w:sz="4" w:space="0" w:color="auto"/>
            </w:tcBorders>
          </w:tcPr>
          <w:p w14:paraId="03D48C81" w14:textId="77777777" w:rsidR="00343FCD" w:rsidRDefault="00C22BDD" w:rsidP="009866FC">
            <w:pPr>
              <w:rPr>
                <w:rFonts w:cs="Arial"/>
                <w:b/>
                <w:color w:val="000000"/>
                <w:sz w:val="22"/>
                <w:szCs w:val="22"/>
              </w:rPr>
            </w:pPr>
            <w:r w:rsidRPr="00B85D63">
              <w:rPr>
                <w:rFonts w:cs="Arial"/>
                <w:b/>
                <w:color w:val="000000"/>
                <w:sz w:val="22"/>
                <w:szCs w:val="22"/>
              </w:rPr>
              <w:t>Total</w:t>
            </w:r>
            <w:r w:rsidR="00343FCD">
              <w:rPr>
                <w:rFonts w:cs="Arial"/>
                <w:b/>
                <w:color w:val="000000"/>
                <w:sz w:val="22"/>
                <w:szCs w:val="22"/>
              </w:rPr>
              <w:t xml:space="preserve"> Non-ODA</w:t>
            </w:r>
            <w:r w:rsidRPr="00B85D63">
              <w:rPr>
                <w:rFonts w:cs="Arial"/>
                <w:b/>
                <w:color w:val="000000"/>
                <w:sz w:val="22"/>
                <w:szCs w:val="22"/>
              </w:rPr>
              <w:t xml:space="preserve">: </w:t>
            </w:r>
          </w:p>
          <w:p w14:paraId="0C1EE3BE" w14:textId="77777777" w:rsidR="00C22BDD" w:rsidRDefault="00FD0373" w:rsidP="00343FCD">
            <w:pPr>
              <w:rPr>
                <w:rFonts w:cs="Arial"/>
                <w:color w:val="000000"/>
                <w:sz w:val="22"/>
                <w:szCs w:val="22"/>
              </w:rPr>
            </w:pPr>
            <w:r>
              <w:rPr>
                <w:rFonts w:cs="Arial"/>
                <w:color w:val="000000"/>
                <w:sz w:val="22"/>
                <w:szCs w:val="22"/>
              </w:rPr>
              <w:t>SGDM - £4</w:t>
            </w:r>
            <w:r w:rsidR="009866FC">
              <w:rPr>
                <w:rFonts w:cs="Arial"/>
                <w:color w:val="000000"/>
                <w:sz w:val="22"/>
                <w:szCs w:val="22"/>
              </w:rPr>
              <w:t>.</w:t>
            </w:r>
            <w:r w:rsidR="00343FCD">
              <w:rPr>
                <w:rFonts w:cs="Arial"/>
                <w:color w:val="000000"/>
                <w:sz w:val="22"/>
                <w:szCs w:val="22"/>
              </w:rPr>
              <w:t>26</w:t>
            </w:r>
            <w:r w:rsidR="009866FC">
              <w:rPr>
                <w:rFonts w:cs="Arial"/>
                <w:color w:val="000000"/>
                <w:sz w:val="22"/>
                <w:szCs w:val="22"/>
              </w:rPr>
              <w:t>m</w:t>
            </w:r>
            <w:r>
              <w:rPr>
                <w:rFonts w:cs="Arial"/>
                <w:color w:val="000000"/>
                <w:sz w:val="22"/>
                <w:szCs w:val="22"/>
              </w:rPr>
              <w:t xml:space="preserve"> </w:t>
            </w:r>
          </w:p>
          <w:p w14:paraId="1813B051" w14:textId="77777777" w:rsidR="00343FCD" w:rsidRDefault="00343FCD" w:rsidP="00343FCD">
            <w:pPr>
              <w:rPr>
                <w:rFonts w:cs="Arial"/>
                <w:color w:val="000000"/>
                <w:sz w:val="22"/>
                <w:szCs w:val="22"/>
              </w:rPr>
            </w:pPr>
            <w:r>
              <w:rPr>
                <w:rFonts w:cs="Arial"/>
                <w:color w:val="000000"/>
                <w:sz w:val="22"/>
                <w:szCs w:val="22"/>
              </w:rPr>
              <w:t>SDIO - £9.83m</w:t>
            </w:r>
          </w:p>
          <w:p w14:paraId="465FC10F" w14:textId="77777777" w:rsidR="00907245" w:rsidRDefault="00907245" w:rsidP="00343FCD">
            <w:pPr>
              <w:rPr>
                <w:rFonts w:cs="Arial"/>
                <w:color w:val="000000"/>
                <w:sz w:val="22"/>
                <w:szCs w:val="22"/>
              </w:rPr>
            </w:pPr>
          </w:p>
          <w:p w14:paraId="627E27AD" w14:textId="77777777" w:rsidR="00907245" w:rsidRPr="00B85D63" w:rsidRDefault="00907245" w:rsidP="00907245">
            <w:pPr>
              <w:rPr>
                <w:rFonts w:cs="Arial"/>
                <w:b/>
                <w:color w:val="000000"/>
                <w:sz w:val="22"/>
                <w:szCs w:val="22"/>
              </w:rPr>
            </w:pPr>
            <w:r>
              <w:rPr>
                <w:rFonts w:cs="Arial"/>
                <w:color w:val="000000"/>
                <w:sz w:val="22"/>
                <w:szCs w:val="22"/>
              </w:rPr>
              <w:t>(</w:t>
            </w:r>
            <w:r>
              <w:rPr>
                <w:rFonts w:cs="Arial"/>
                <w:i/>
                <w:color w:val="000000"/>
                <w:sz w:val="22"/>
                <w:szCs w:val="22"/>
              </w:rPr>
              <w:t>Of which £5.08m was spend on outputs contributing to restructured JSG programme)</w:t>
            </w:r>
          </w:p>
        </w:tc>
      </w:tr>
      <w:tr w:rsidR="00673A17" w:rsidRPr="00B85D63" w14:paraId="22F25A29" w14:textId="77777777" w:rsidTr="009975DC">
        <w:tc>
          <w:tcPr>
            <w:tcW w:w="2423" w:type="pct"/>
            <w:gridSpan w:val="2"/>
            <w:tcBorders>
              <w:bottom w:val="single" w:sz="12" w:space="0" w:color="auto"/>
            </w:tcBorders>
          </w:tcPr>
          <w:p w14:paraId="4C95264C" w14:textId="77777777" w:rsidR="00673A17" w:rsidRPr="00B85D63" w:rsidRDefault="00673A17" w:rsidP="009866FC">
            <w:pPr>
              <w:rPr>
                <w:rFonts w:cs="Arial"/>
                <w:b/>
                <w:sz w:val="22"/>
                <w:szCs w:val="22"/>
              </w:rPr>
            </w:pPr>
            <w:r w:rsidRPr="00B85D63">
              <w:rPr>
                <w:rFonts w:cs="Arial"/>
                <w:b/>
                <w:sz w:val="22"/>
                <w:szCs w:val="22"/>
              </w:rPr>
              <w:t>Start Date:</w:t>
            </w:r>
            <w:r w:rsidR="00FD14DA" w:rsidRPr="00B85D63">
              <w:rPr>
                <w:rFonts w:cs="Arial"/>
                <w:b/>
                <w:sz w:val="22"/>
                <w:szCs w:val="22"/>
              </w:rPr>
              <w:t xml:space="preserve"> </w:t>
            </w:r>
            <w:r w:rsidR="009866FC">
              <w:rPr>
                <w:rFonts w:cs="Arial"/>
                <w:sz w:val="22"/>
                <w:szCs w:val="22"/>
              </w:rPr>
              <w:t xml:space="preserve">April </w:t>
            </w:r>
            <w:r w:rsidR="00FD14DA" w:rsidRPr="00B85D63">
              <w:rPr>
                <w:rFonts w:cs="Arial"/>
                <w:sz w:val="22"/>
                <w:szCs w:val="22"/>
              </w:rPr>
              <w:t>2016</w:t>
            </w:r>
          </w:p>
        </w:tc>
        <w:tc>
          <w:tcPr>
            <w:tcW w:w="2577" w:type="pct"/>
            <w:gridSpan w:val="4"/>
            <w:tcBorders>
              <w:bottom w:val="single" w:sz="12" w:space="0" w:color="auto"/>
            </w:tcBorders>
          </w:tcPr>
          <w:p w14:paraId="10EB0382" w14:textId="77777777" w:rsidR="00673A17" w:rsidRPr="00B85D63" w:rsidRDefault="00673A17" w:rsidP="00BA4B66">
            <w:pPr>
              <w:rPr>
                <w:rFonts w:cs="Arial"/>
                <w:b/>
                <w:sz w:val="22"/>
                <w:szCs w:val="22"/>
              </w:rPr>
            </w:pPr>
            <w:r w:rsidRPr="00B85D63">
              <w:rPr>
                <w:rFonts w:cs="Arial"/>
                <w:b/>
                <w:sz w:val="22"/>
                <w:szCs w:val="22"/>
              </w:rPr>
              <w:t>End Date:</w:t>
            </w:r>
            <w:r w:rsidR="00FD14DA" w:rsidRPr="00B85D63">
              <w:rPr>
                <w:rFonts w:cs="Arial"/>
                <w:b/>
                <w:sz w:val="22"/>
                <w:szCs w:val="22"/>
              </w:rPr>
              <w:t xml:space="preserve"> </w:t>
            </w:r>
            <w:r w:rsidR="00FD14DA" w:rsidRPr="00B85D63">
              <w:rPr>
                <w:rFonts w:cs="Arial"/>
                <w:sz w:val="22"/>
                <w:szCs w:val="22"/>
              </w:rPr>
              <w:t>March 2020</w:t>
            </w:r>
          </w:p>
        </w:tc>
      </w:tr>
      <w:tr w:rsidR="00673A17" w:rsidRPr="00B85D63" w14:paraId="331ABF79" w14:textId="77777777" w:rsidTr="00673A17">
        <w:tc>
          <w:tcPr>
            <w:tcW w:w="4342" w:type="pct"/>
            <w:gridSpan w:val="5"/>
            <w:tcBorders>
              <w:top w:val="single" w:sz="12" w:space="0" w:color="auto"/>
              <w:bottom w:val="single" w:sz="12" w:space="0" w:color="auto"/>
            </w:tcBorders>
          </w:tcPr>
          <w:p w14:paraId="467998C2" w14:textId="77777777" w:rsidR="00673A17" w:rsidRPr="00B85D63" w:rsidRDefault="00673A17" w:rsidP="00BA4B66">
            <w:pPr>
              <w:rPr>
                <w:rFonts w:cs="Arial"/>
                <w:b/>
                <w:sz w:val="22"/>
                <w:szCs w:val="22"/>
              </w:rPr>
            </w:pPr>
            <w:r w:rsidRPr="00B85D63">
              <w:rPr>
                <w:rFonts w:cs="Arial"/>
                <w:b/>
                <w:sz w:val="22"/>
                <w:szCs w:val="22"/>
              </w:rPr>
              <w:t>Outputs</w:t>
            </w:r>
            <w:r w:rsidR="00343FCD">
              <w:rPr>
                <w:rFonts w:cs="Arial"/>
                <w:b/>
                <w:sz w:val="22"/>
                <w:szCs w:val="22"/>
              </w:rPr>
              <w:t xml:space="preserve"> (covered in this review)</w:t>
            </w:r>
          </w:p>
        </w:tc>
        <w:tc>
          <w:tcPr>
            <w:tcW w:w="658" w:type="pct"/>
            <w:tcBorders>
              <w:top w:val="single" w:sz="12" w:space="0" w:color="auto"/>
              <w:bottom w:val="single" w:sz="12" w:space="0" w:color="auto"/>
            </w:tcBorders>
          </w:tcPr>
          <w:p w14:paraId="41E6175A" w14:textId="77777777" w:rsidR="00673A17" w:rsidRPr="00B85D63" w:rsidRDefault="00673A17" w:rsidP="00BA4B66">
            <w:pPr>
              <w:tabs>
                <w:tab w:val="left" w:pos="1046"/>
              </w:tabs>
              <w:rPr>
                <w:rFonts w:cs="Arial"/>
                <w:b/>
                <w:sz w:val="22"/>
                <w:szCs w:val="22"/>
              </w:rPr>
            </w:pPr>
            <w:r w:rsidRPr="00B85D63">
              <w:rPr>
                <w:rFonts w:cs="Arial"/>
                <w:b/>
                <w:sz w:val="22"/>
                <w:szCs w:val="22"/>
              </w:rPr>
              <w:t>Score</w:t>
            </w:r>
            <w:r w:rsidRPr="00B85D63">
              <w:rPr>
                <w:rFonts w:cs="Arial"/>
                <w:b/>
                <w:sz w:val="22"/>
                <w:szCs w:val="22"/>
              </w:rPr>
              <w:tab/>
            </w:r>
          </w:p>
        </w:tc>
      </w:tr>
      <w:tr w:rsidR="00673A17" w:rsidRPr="00B85D63" w14:paraId="55C300FD" w14:textId="77777777" w:rsidTr="00673A17">
        <w:tc>
          <w:tcPr>
            <w:tcW w:w="4342" w:type="pct"/>
            <w:gridSpan w:val="5"/>
            <w:tcBorders>
              <w:top w:val="single" w:sz="12" w:space="0" w:color="auto"/>
            </w:tcBorders>
          </w:tcPr>
          <w:p w14:paraId="24304E64" w14:textId="77777777" w:rsidR="00673A17" w:rsidRPr="00B85D63" w:rsidRDefault="00FD14DA" w:rsidP="00BA4B66">
            <w:pPr>
              <w:rPr>
                <w:rFonts w:cs="Arial"/>
                <w:sz w:val="22"/>
                <w:szCs w:val="22"/>
              </w:rPr>
            </w:pPr>
            <w:r w:rsidRPr="00B85D63">
              <w:rPr>
                <w:rFonts w:cs="Arial"/>
                <w:sz w:val="22"/>
                <w:szCs w:val="22"/>
              </w:rPr>
              <w:t>1. Child Safeguarding (RF SGGDM Outputs: 1.1, 1.2, 1.3 and 1.4)</w:t>
            </w:r>
          </w:p>
        </w:tc>
        <w:tc>
          <w:tcPr>
            <w:tcW w:w="658" w:type="pct"/>
            <w:tcBorders>
              <w:top w:val="single" w:sz="12" w:space="0" w:color="auto"/>
            </w:tcBorders>
          </w:tcPr>
          <w:p w14:paraId="6C3C061A" w14:textId="77777777" w:rsidR="00673A17" w:rsidRPr="00B85D63" w:rsidRDefault="00FD14DA" w:rsidP="00BA4B66">
            <w:pPr>
              <w:rPr>
                <w:rFonts w:cs="Arial"/>
                <w:sz w:val="22"/>
                <w:szCs w:val="22"/>
              </w:rPr>
            </w:pPr>
            <w:r w:rsidRPr="00B85D63">
              <w:rPr>
                <w:rFonts w:cs="Arial"/>
                <w:sz w:val="22"/>
                <w:szCs w:val="22"/>
              </w:rPr>
              <w:t>A</w:t>
            </w:r>
          </w:p>
        </w:tc>
      </w:tr>
      <w:tr w:rsidR="00673A17" w:rsidRPr="00B85D63" w14:paraId="0B7B1F23" w14:textId="77777777" w:rsidTr="00673A17">
        <w:tc>
          <w:tcPr>
            <w:tcW w:w="4342" w:type="pct"/>
            <w:gridSpan w:val="5"/>
          </w:tcPr>
          <w:p w14:paraId="3509D954" w14:textId="77777777" w:rsidR="00673A17" w:rsidRPr="00B85D63" w:rsidRDefault="00FD14DA" w:rsidP="00BA4B66">
            <w:pPr>
              <w:rPr>
                <w:rFonts w:cs="Arial"/>
                <w:sz w:val="22"/>
                <w:szCs w:val="22"/>
              </w:rPr>
            </w:pPr>
            <w:r w:rsidRPr="00B85D63">
              <w:rPr>
                <w:rFonts w:cs="Arial"/>
                <w:sz w:val="22"/>
                <w:szCs w:val="22"/>
              </w:rPr>
              <w:t xml:space="preserve">2. Law Enforcement </w:t>
            </w:r>
            <w:r w:rsidR="00AC668A" w:rsidRPr="00B85D63">
              <w:rPr>
                <w:rFonts w:cs="Arial"/>
                <w:sz w:val="22"/>
                <w:szCs w:val="22"/>
              </w:rPr>
              <w:t>and Criminal Justice (RF SGGDM Outputs: 2.1, 3.1, 3.2, 3.3, 3.4)</w:t>
            </w:r>
          </w:p>
        </w:tc>
        <w:tc>
          <w:tcPr>
            <w:tcW w:w="658" w:type="pct"/>
          </w:tcPr>
          <w:p w14:paraId="55E3492D" w14:textId="77777777" w:rsidR="00673A17" w:rsidRPr="00B85D63" w:rsidRDefault="00FD14DA" w:rsidP="00BA4B66">
            <w:pPr>
              <w:rPr>
                <w:rFonts w:cs="Arial"/>
                <w:sz w:val="22"/>
                <w:szCs w:val="22"/>
              </w:rPr>
            </w:pPr>
            <w:r w:rsidRPr="00B85D63">
              <w:rPr>
                <w:rFonts w:cs="Arial"/>
                <w:sz w:val="22"/>
                <w:szCs w:val="22"/>
              </w:rPr>
              <w:t>A</w:t>
            </w:r>
          </w:p>
        </w:tc>
      </w:tr>
      <w:tr w:rsidR="00AC668A" w:rsidRPr="00B85D63" w14:paraId="62B272CF" w14:textId="77777777" w:rsidTr="00673A17">
        <w:tc>
          <w:tcPr>
            <w:tcW w:w="4342" w:type="pct"/>
            <w:gridSpan w:val="5"/>
          </w:tcPr>
          <w:p w14:paraId="0D6648C0" w14:textId="77777777" w:rsidR="00AC668A" w:rsidRPr="00B85D63" w:rsidRDefault="00AC668A" w:rsidP="00BA4B66">
            <w:pPr>
              <w:rPr>
                <w:rFonts w:cs="Arial"/>
                <w:sz w:val="22"/>
                <w:szCs w:val="22"/>
              </w:rPr>
            </w:pPr>
            <w:r w:rsidRPr="00B85D63">
              <w:rPr>
                <w:rFonts w:cs="Arial"/>
                <w:sz w:val="22"/>
                <w:szCs w:val="22"/>
              </w:rPr>
              <w:t>3. Montserrat Patrol Vessel (RF SDIO Output 4.4)</w:t>
            </w:r>
          </w:p>
        </w:tc>
        <w:tc>
          <w:tcPr>
            <w:tcW w:w="658" w:type="pct"/>
          </w:tcPr>
          <w:p w14:paraId="2801A8B8" w14:textId="77777777" w:rsidR="00AC668A" w:rsidRPr="00B85D63" w:rsidRDefault="00AC668A" w:rsidP="00BA4B66">
            <w:pPr>
              <w:rPr>
                <w:rFonts w:cs="Arial"/>
                <w:sz w:val="22"/>
                <w:szCs w:val="22"/>
              </w:rPr>
            </w:pPr>
            <w:r w:rsidRPr="00B85D63">
              <w:rPr>
                <w:rFonts w:cs="Arial"/>
                <w:sz w:val="22"/>
                <w:szCs w:val="22"/>
              </w:rPr>
              <w:t>A</w:t>
            </w:r>
          </w:p>
        </w:tc>
      </w:tr>
      <w:tr w:rsidR="00AC668A" w:rsidRPr="00B85D63" w14:paraId="3C9B65F3" w14:textId="77777777" w:rsidTr="00673A17">
        <w:tc>
          <w:tcPr>
            <w:tcW w:w="4342" w:type="pct"/>
            <w:gridSpan w:val="5"/>
            <w:tcBorders>
              <w:bottom w:val="single" w:sz="4" w:space="0" w:color="auto"/>
            </w:tcBorders>
          </w:tcPr>
          <w:p w14:paraId="72EB527A" w14:textId="77777777" w:rsidR="00AC668A" w:rsidRPr="00B85D63" w:rsidRDefault="00AC668A" w:rsidP="00BA4B66">
            <w:pPr>
              <w:rPr>
                <w:rFonts w:cs="Arial"/>
                <w:sz w:val="22"/>
                <w:szCs w:val="22"/>
              </w:rPr>
            </w:pPr>
            <w:r w:rsidRPr="00B85D63">
              <w:rPr>
                <w:rFonts w:cs="Arial"/>
                <w:sz w:val="22"/>
                <w:szCs w:val="22"/>
              </w:rPr>
              <w:t>4. Health Security (RF SDIO Output 6.1)</w:t>
            </w:r>
          </w:p>
        </w:tc>
        <w:tc>
          <w:tcPr>
            <w:tcW w:w="658" w:type="pct"/>
            <w:tcBorders>
              <w:bottom w:val="single" w:sz="4" w:space="0" w:color="auto"/>
            </w:tcBorders>
          </w:tcPr>
          <w:p w14:paraId="48C80602" w14:textId="77777777" w:rsidR="00AC668A" w:rsidRPr="00B85D63" w:rsidRDefault="00AC668A" w:rsidP="00BA4B66">
            <w:pPr>
              <w:rPr>
                <w:rFonts w:cs="Arial"/>
                <w:sz w:val="22"/>
                <w:szCs w:val="22"/>
              </w:rPr>
            </w:pPr>
            <w:r w:rsidRPr="00B85D63">
              <w:rPr>
                <w:rFonts w:cs="Arial"/>
                <w:sz w:val="22"/>
                <w:szCs w:val="22"/>
              </w:rPr>
              <w:t>B</w:t>
            </w:r>
          </w:p>
        </w:tc>
      </w:tr>
      <w:tr w:rsidR="00AC668A" w:rsidRPr="00B85D63" w14:paraId="5BF2D979" w14:textId="77777777" w:rsidTr="00673A17">
        <w:tc>
          <w:tcPr>
            <w:tcW w:w="4342" w:type="pct"/>
            <w:gridSpan w:val="5"/>
            <w:tcBorders>
              <w:bottom w:val="single" w:sz="12" w:space="0" w:color="auto"/>
            </w:tcBorders>
          </w:tcPr>
          <w:p w14:paraId="30A2F258" w14:textId="77777777" w:rsidR="00AC668A" w:rsidRPr="00B85D63" w:rsidRDefault="00AC668A" w:rsidP="00BA4B66">
            <w:pPr>
              <w:rPr>
                <w:rFonts w:cs="Arial"/>
                <w:b/>
                <w:sz w:val="22"/>
                <w:szCs w:val="22"/>
              </w:rPr>
            </w:pPr>
            <w:r w:rsidRPr="00B85D63">
              <w:rPr>
                <w:rFonts w:cs="Arial"/>
                <w:b/>
                <w:sz w:val="22"/>
                <w:szCs w:val="22"/>
              </w:rPr>
              <w:t>Overall output score</w:t>
            </w:r>
          </w:p>
        </w:tc>
        <w:tc>
          <w:tcPr>
            <w:tcW w:w="658" w:type="pct"/>
            <w:tcBorders>
              <w:bottom w:val="single" w:sz="12" w:space="0" w:color="auto"/>
            </w:tcBorders>
          </w:tcPr>
          <w:p w14:paraId="7637F65A" w14:textId="77777777" w:rsidR="00AC668A" w:rsidRPr="00B85D63" w:rsidRDefault="00AC668A" w:rsidP="00BA4B66">
            <w:pPr>
              <w:rPr>
                <w:rFonts w:cs="Arial"/>
                <w:b/>
                <w:sz w:val="22"/>
                <w:szCs w:val="22"/>
              </w:rPr>
            </w:pPr>
            <w:r w:rsidRPr="00B85D63">
              <w:rPr>
                <w:rFonts w:cs="Arial"/>
                <w:b/>
                <w:sz w:val="22"/>
                <w:szCs w:val="22"/>
              </w:rPr>
              <w:t>A</w:t>
            </w:r>
          </w:p>
        </w:tc>
      </w:tr>
      <w:tr w:rsidR="00AC668A" w:rsidRPr="00B85D63" w14:paraId="737E5D89" w14:textId="77777777" w:rsidTr="00673A17">
        <w:tc>
          <w:tcPr>
            <w:tcW w:w="5000" w:type="pct"/>
            <w:gridSpan w:val="6"/>
            <w:tcBorders>
              <w:top w:val="single" w:sz="12" w:space="0" w:color="auto"/>
              <w:bottom w:val="single" w:sz="4" w:space="0" w:color="auto"/>
            </w:tcBorders>
          </w:tcPr>
          <w:p w14:paraId="0E8DDDB0" w14:textId="77777777" w:rsidR="00E771EA" w:rsidRPr="00B85D63" w:rsidRDefault="00AC668A" w:rsidP="009975DC">
            <w:pPr>
              <w:jc w:val="both"/>
              <w:rPr>
                <w:rFonts w:cs="Arial"/>
                <w:b/>
                <w:sz w:val="22"/>
                <w:szCs w:val="22"/>
              </w:rPr>
            </w:pPr>
            <w:r w:rsidRPr="00B85D63">
              <w:rPr>
                <w:rFonts w:cs="Arial"/>
                <w:b/>
                <w:sz w:val="22"/>
                <w:szCs w:val="22"/>
              </w:rPr>
              <w:t xml:space="preserve">Outcome Assessment: </w:t>
            </w:r>
          </w:p>
        </w:tc>
      </w:tr>
      <w:tr w:rsidR="00AC668A" w:rsidRPr="00B85D63" w14:paraId="24B16C96" w14:textId="77777777" w:rsidTr="009975DC">
        <w:tc>
          <w:tcPr>
            <w:tcW w:w="2558" w:type="pct"/>
            <w:gridSpan w:val="3"/>
            <w:tcBorders>
              <w:top w:val="single" w:sz="4" w:space="0" w:color="auto"/>
              <w:bottom w:val="single" w:sz="12" w:space="0" w:color="auto"/>
            </w:tcBorders>
          </w:tcPr>
          <w:p w14:paraId="51D73E3D" w14:textId="77777777" w:rsidR="00AC668A" w:rsidRPr="00B85D63" w:rsidRDefault="00AC668A" w:rsidP="009975DC">
            <w:pPr>
              <w:jc w:val="both"/>
              <w:rPr>
                <w:rFonts w:cs="Arial"/>
                <w:b/>
                <w:sz w:val="22"/>
                <w:szCs w:val="22"/>
              </w:rPr>
            </w:pPr>
            <w:r w:rsidRPr="00B85D63">
              <w:rPr>
                <w:rFonts w:cs="Arial"/>
                <w:b/>
                <w:sz w:val="22"/>
                <w:szCs w:val="22"/>
              </w:rPr>
              <w:t>Outcome Score: A</w:t>
            </w:r>
          </w:p>
        </w:tc>
        <w:tc>
          <w:tcPr>
            <w:tcW w:w="2442" w:type="pct"/>
            <w:gridSpan w:val="3"/>
            <w:tcBorders>
              <w:top w:val="single" w:sz="4" w:space="0" w:color="auto"/>
              <w:bottom w:val="single" w:sz="12" w:space="0" w:color="auto"/>
            </w:tcBorders>
          </w:tcPr>
          <w:p w14:paraId="497B9289" w14:textId="77777777" w:rsidR="00AC668A" w:rsidRPr="00B85D63" w:rsidRDefault="00AC668A" w:rsidP="009975DC">
            <w:pPr>
              <w:jc w:val="both"/>
              <w:rPr>
                <w:rFonts w:cs="Arial"/>
                <w:b/>
                <w:sz w:val="22"/>
                <w:szCs w:val="22"/>
              </w:rPr>
            </w:pPr>
            <w:r w:rsidRPr="00B85D63">
              <w:rPr>
                <w:rFonts w:cs="Arial"/>
                <w:b/>
                <w:sz w:val="22"/>
                <w:szCs w:val="22"/>
              </w:rPr>
              <w:t>Risk: Low to medium</w:t>
            </w:r>
          </w:p>
        </w:tc>
      </w:tr>
    </w:tbl>
    <w:p w14:paraId="459F6FAA" w14:textId="77777777" w:rsidR="00336CAF" w:rsidRPr="00B85D63" w:rsidRDefault="00336CAF" w:rsidP="009975DC">
      <w:pPr>
        <w:jc w:val="both"/>
        <w:rPr>
          <w:rFonts w:cs="Arial"/>
          <w:b/>
          <w:sz w:val="22"/>
          <w:szCs w:val="22"/>
        </w:rPr>
      </w:pPr>
    </w:p>
    <w:p w14:paraId="108B96F1" w14:textId="77777777" w:rsidR="00745E9A" w:rsidRPr="00B85D63" w:rsidRDefault="00144C58" w:rsidP="009975DC">
      <w:pPr>
        <w:jc w:val="both"/>
        <w:rPr>
          <w:rFonts w:cs="Arial"/>
          <w:b/>
          <w:sz w:val="22"/>
          <w:szCs w:val="22"/>
        </w:rPr>
      </w:pPr>
      <w:r w:rsidRPr="00B85D63">
        <w:rPr>
          <w:rFonts w:cs="Arial"/>
          <w:b/>
          <w:sz w:val="22"/>
          <w:szCs w:val="22"/>
        </w:rPr>
        <w:t xml:space="preserve">Summary of Programme Performance </w:t>
      </w:r>
      <w:r w:rsidR="009975DC" w:rsidRPr="00B85D63">
        <w:rPr>
          <w:rFonts w:cs="Arial"/>
          <w:b/>
          <w:sz w:val="22"/>
          <w:szCs w:val="22"/>
        </w:rPr>
        <w:t>(*output/outcome scores)</w:t>
      </w:r>
    </w:p>
    <w:tbl>
      <w:tblPr>
        <w:tblStyle w:val="TableGrid"/>
        <w:tblW w:w="7508" w:type="dxa"/>
        <w:tblLayout w:type="fixed"/>
        <w:tblLook w:val="04A0" w:firstRow="1" w:lastRow="0" w:firstColumn="1" w:lastColumn="0" w:noHBand="0" w:noVBand="1"/>
      </w:tblPr>
      <w:tblGrid>
        <w:gridCol w:w="2438"/>
        <w:gridCol w:w="1013"/>
        <w:gridCol w:w="1222"/>
        <w:gridCol w:w="992"/>
        <w:gridCol w:w="709"/>
        <w:gridCol w:w="1134"/>
      </w:tblGrid>
      <w:tr w:rsidR="009975DC" w:rsidRPr="00B85D63" w14:paraId="367EED34" w14:textId="77777777" w:rsidTr="009975DC">
        <w:tc>
          <w:tcPr>
            <w:tcW w:w="2438" w:type="dxa"/>
          </w:tcPr>
          <w:p w14:paraId="562A4848" w14:textId="77777777" w:rsidR="009975DC" w:rsidRPr="00B85D63" w:rsidRDefault="009975DC" w:rsidP="009975DC">
            <w:pPr>
              <w:jc w:val="both"/>
              <w:rPr>
                <w:rFonts w:cs="Arial"/>
                <w:sz w:val="22"/>
                <w:szCs w:val="22"/>
              </w:rPr>
            </w:pPr>
            <w:r w:rsidRPr="00B85D63">
              <w:rPr>
                <w:rFonts w:cs="Arial"/>
                <w:sz w:val="22"/>
                <w:szCs w:val="22"/>
              </w:rPr>
              <w:t>Year</w:t>
            </w:r>
          </w:p>
        </w:tc>
        <w:tc>
          <w:tcPr>
            <w:tcW w:w="1013" w:type="dxa"/>
          </w:tcPr>
          <w:p w14:paraId="2F23DCDB" w14:textId="77777777" w:rsidR="009975DC" w:rsidRPr="00B85D63" w:rsidRDefault="009975DC" w:rsidP="009975DC">
            <w:pPr>
              <w:jc w:val="both"/>
              <w:rPr>
                <w:rFonts w:cs="Arial"/>
                <w:b/>
                <w:sz w:val="22"/>
                <w:szCs w:val="22"/>
              </w:rPr>
            </w:pPr>
            <w:r w:rsidRPr="00B85D63">
              <w:rPr>
                <w:rFonts w:cs="Arial"/>
                <w:b/>
                <w:sz w:val="22"/>
                <w:szCs w:val="22"/>
              </w:rPr>
              <w:t>2015/16</w:t>
            </w:r>
          </w:p>
        </w:tc>
        <w:tc>
          <w:tcPr>
            <w:tcW w:w="2214" w:type="dxa"/>
            <w:gridSpan w:val="2"/>
          </w:tcPr>
          <w:p w14:paraId="0DDC8A37" w14:textId="77777777" w:rsidR="009975DC" w:rsidRPr="00B85D63" w:rsidRDefault="009975DC" w:rsidP="009975DC">
            <w:pPr>
              <w:jc w:val="both"/>
              <w:rPr>
                <w:rFonts w:cs="Arial"/>
                <w:b/>
                <w:sz w:val="22"/>
                <w:szCs w:val="22"/>
              </w:rPr>
            </w:pPr>
            <w:r w:rsidRPr="00B85D63">
              <w:rPr>
                <w:rFonts w:cs="Arial"/>
                <w:b/>
                <w:sz w:val="22"/>
                <w:szCs w:val="22"/>
              </w:rPr>
              <w:t>2016/17</w:t>
            </w:r>
          </w:p>
        </w:tc>
        <w:tc>
          <w:tcPr>
            <w:tcW w:w="1843" w:type="dxa"/>
            <w:gridSpan w:val="2"/>
          </w:tcPr>
          <w:p w14:paraId="60AF0C7C" w14:textId="77777777" w:rsidR="009975DC" w:rsidRPr="00B85D63" w:rsidRDefault="009975DC" w:rsidP="009975DC">
            <w:pPr>
              <w:jc w:val="both"/>
              <w:rPr>
                <w:rFonts w:cs="Arial"/>
                <w:b/>
                <w:sz w:val="22"/>
                <w:szCs w:val="22"/>
              </w:rPr>
            </w:pPr>
            <w:r w:rsidRPr="00B85D63">
              <w:rPr>
                <w:rFonts w:cs="Arial"/>
                <w:b/>
                <w:sz w:val="22"/>
                <w:szCs w:val="22"/>
              </w:rPr>
              <w:t>2017/18*</w:t>
            </w:r>
          </w:p>
        </w:tc>
      </w:tr>
      <w:tr w:rsidR="009975DC" w:rsidRPr="00B85D63" w14:paraId="15018024" w14:textId="77777777" w:rsidTr="009975DC">
        <w:tc>
          <w:tcPr>
            <w:tcW w:w="2438" w:type="dxa"/>
          </w:tcPr>
          <w:p w14:paraId="3E5EBCE8" w14:textId="77777777" w:rsidR="009975DC" w:rsidRPr="00B85D63" w:rsidRDefault="009975DC" w:rsidP="009975DC">
            <w:pPr>
              <w:jc w:val="both"/>
              <w:rPr>
                <w:rFonts w:cs="Arial"/>
                <w:sz w:val="22"/>
                <w:szCs w:val="22"/>
              </w:rPr>
            </w:pPr>
            <w:r w:rsidRPr="00B85D63">
              <w:rPr>
                <w:rFonts w:cs="Arial"/>
                <w:sz w:val="22"/>
                <w:szCs w:val="22"/>
              </w:rPr>
              <w:t>Programme Score</w:t>
            </w:r>
          </w:p>
        </w:tc>
        <w:tc>
          <w:tcPr>
            <w:tcW w:w="1013" w:type="dxa"/>
          </w:tcPr>
          <w:p w14:paraId="5381E207" w14:textId="77777777" w:rsidR="009975DC" w:rsidRPr="00B85D63" w:rsidRDefault="009975DC" w:rsidP="009975DC">
            <w:pPr>
              <w:jc w:val="both"/>
              <w:rPr>
                <w:rFonts w:cs="Arial"/>
                <w:b/>
                <w:sz w:val="22"/>
                <w:szCs w:val="22"/>
              </w:rPr>
            </w:pPr>
            <w:r w:rsidRPr="00B85D63">
              <w:rPr>
                <w:rFonts w:cs="Arial"/>
                <w:b/>
                <w:sz w:val="22"/>
                <w:szCs w:val="22"/>
              </w:rPr>
              <w:t>n/a</w:t>
            </w:r>
          </w:p>
        </w:tc>
        <w:tc>
          <w:tcPr>
            <w:tcW w:w="1222" w:type="dxa"/>
          </w:tcPr>
          <w:p w14:paraId="38C906E7" w14:textId="77777777" w:rsidR="009975DC" w:rsidRPr="00B85D63" w:rsidRDefault="009975DC" w:rsidP="009975DC">
            <w:pPr>
              <w:jc w:val="both"/>
              <w:rPr>
                <w:rFonts w:cs="Arial"/>
                <w:b/>
                <w:sz w:val="22"/>
                <w:szCs w:val="22"/>
              </w:rPr>
            </w:pPr>
            <w:r w:rsidRPr="00B85D63">
              <w:rPr>
                <w:rFonts w:cs="Arial"/>
                <w:b/>
                <w:sz w:val="22"/>
                <w:szCs w:val="22"/>
              </w:rPr>
              <w:t>(SGGDM)</w:t>
            </w:r>
          </w:p>
          <w:p w14:paraId="131A9606" w14:textId="77777777" w:rsidR="009975DC" w:rsidRPr="00B85D63" w:rsidRDefault="009975DC" w:rsidP="009975DC">
            <w:pPr>
              <w:jc w:val="both"/>
              <w:rPr>
                <w:rFonts w:cs="Arial"/>
                <w:b/>
                <w:sz w:val="22"/>
                <w:szCs w:val="22"/>
              </w:rPr>
            </w:pPr>
            <w:r w:rsidRPr="00B85D63">
              <w:rPr>
                <w:rFonts w:cs="Arial"/>
                <w:b/>
                <w:sz w:val="22"/>
                <w:szCs w:val="22"/>
              </w:rPr>
              <w:t>A</w:t>
            </w:r>
          </w:p>
        </w:tc>
        <w:tc>
          <w:tcPr>
            <w:tcW w:w="992" w:type="dxa"/>
          </w:tcPr>
          <w:p w14:paraId="7DFA304E" w14:textId="77777777" w:rsidR="009975DC" w:rsidRPr="00B85D63" w:rsidRDefault="009975DC" w:rsidP="009975DC">
            <w:pPr>
              <w:jc w:val="both"/>
              <w:rPr>
                <w:rFonts w:cs="Arial"/>
                <w:b/>
                <w:sz w:val="22"/>
                <w:szCs w:val="22"/>
              </w:rPr>
            </w:pPr>
            <w:r w:rsidRPr="00B85D63">
              <w:rPr>
                <w:rFonts w:cs="Arial"/>
                <w:b/>
                <w:sz w:val="22"/>
                <w:szCs w:val="22"/>
              </w:rPr>
              <w:t>(SDIO)</w:t>
            </w:r>
          </w:p>
          <w:p w14:paraId="021C0F29" w14:textId="77777777" w:rsidR="009975DC" w:rsidRPr="00B85D63" w:rsidRDefault="009975DC" w:rsidP="009975DC">
            <w:pPr>
              <w:jc w:val="both"/>
              <w:rPr>
                <w:rFonts w:cs="Arial"/>
                <w:b/>
                <w:sz w:val="22"/>
                <w:szCs w:val="22"/>
              </w:rPr>
            </w:pPr>
            <w:r w:rsidRPr="00B85D63">
              <w:rPr>
                <w:rFonts w:cs="Arial"/>
                <w:b/>
                <w:sz w:val="22"/>
                <w:szCs w:val="22"/>
              </w:rPr>
              <w:t>A</w:t>
            </w:r>
          </w:p>
        </w:tc>
        <w:tc>
          <w:tcPr>
            <w:tcW w:w="709" w:type="dxa"/>
          </w:tcPr>
          <w:p w14:paraId="097E3DE3" w14:textId="77777777" w:rsidR="009975DC" w:rsidRPr="00B85D63" w:rsidRDefault="009975DC" w:rsidP="009975DC">
            <w:pPr>
              <w:jc w:val="both"/>
              <w:rPr>
                <w:rFonts w:cs="Arial"/>
                <w:b/>
                <w:sz w:val="22"/>
                <w:szCs w:val="22"/>
              </w:rPr>
            </w:pPr>
            <w:r w:rsidRPr="00B85D63">
              <w:rPr>
                <w:rFonts w:cs="Arial"/>
                <w:b/>
                <w:sz w:val="22"/>
                <w:szCs w:val="22"/>
              </w:rPr>
              <w:t>A</w:t>
            </w:r>
          </w:p>
        </w:tc>
        <w:tc>
          <w:tcPr>
            <w:tcW w:w="1134" w:type="dxa"/>
          </w:tcPr>
          <w:p w14:paraId="4B18E477" w14:textId="77777777" w:rsidR="009975DC" w:rsidRPr="00B85D63" w:rsidRDefault="009975DC" w:rsidP="009975DC">
            <w:pPr>
              <w:jc w:val="both"/>
              <w:rPr>
                <w:rFonts w:cs="Arial"/>
                <w:b/>
                <w:sz w:val="22"/>
                <w:szCs w:val="22"/>
              </w:rPr>
            </w:pPr>
            <w:r w:rsidRPr="00B85D63">
              <w:rPr>
                <w:rFonts w:cs="Arial"/>
                <w:b/>
                <w:sz w:val="22"/>
                <w:szCs w:val="22"/>
              </w:rPr>
              <w:t>A</w:t>
            </w:r>
          </w:p>
        </w:tc>
      </w:tr>
      <w:tr w:rsidR="009975DC" w:rsidRPr="00B85D63" w14:paraId="5FB7DE46" w14:textId="77777777" w:rsidTr="009975DC">
        <w:tc>
          <w:tcPr>
            <w:tcW w:w="2438" w:type="dxa"/>
          </w:tcPr>
          <w:p w14:paraId="759DA43D" w14:textId="77777777" w:rsidR="009975DC" w:rsidRPr="00B85D63" w:rsidRDefault="009975DC" w:rsidP="009975DC">
            <w:pPr>
              <w:jc w:val="both"/>
              <w:rPr>
                <w:rFonts w:cs="Arial"/>
                <w:sz w:val="22"/>
                <w:szCs w:val="22"/>
              </w:rPr>
            </w:pPr>
            <w:r w:rsidRPr="00B85D63">
              <w:rPr>
                <w:rFonts w:cs="Arial"/>
                <w:sz w:val="22"/>
                <w:szCs w:val="22"/>
              </w:rPr>
              <w:t>Risk Rating</w:t>
            </w:r>
          </w:p>
        </w:tc>
        <w:tc>
          <w:tcPr>
            <w:tcW w:w="1013" w:type="dxa"/>
          </w:tcPr>
          <w:p w14:paraId="3BB2BD15" w14:textId="77777777" w:rsidR="009975DC" w:rsidRPr="00B85D63" w:rsidRDefault="009975DC" w:rsidP="009975DC">
            <w:pPr>
              <w:jc w:val="both"/>
              <w:rPr>
                <w:rFonts w:cs="Arial"/>
                <w:b/>
                <w:sz w:val="22"/>
                <w:szCs w:val="22"/>
              </w:rPr>
            </w:pPr>
            <w:r w:rsidRPr="00B85D63">
              <w:rPr>
                <w:rFonts w:cs="Arial"/>
                <w:b/>
                <w:sz w:val="22"/>
                <w:szCs w:val="22"/>
              </w:rPr>
              <w:t>n/a</w:t>
            </w:r>
          </w:p>
        </w:tc>
        <w:tc>
          <w:tcPr>
            <w:tcW w:w="1222" w:type="dxa"/>
          </w:tcPr>
          <w:p w14:paraId="530CB175" w14:textId="77777777" w:rsidR="009975DC" w:rsidRPr="00B85D63" w:rsidRDefault="009975DC" w:rsidP="009975DC">
            <w:pPr>
              <w:jc w:val="both"/>
              <w:rPr>
                <w:rFonts w:cs="Arial"/>
                <w:b/>
                <w:sz w:val="22"/>
                <w:szCs w:val="22"/>
              </w:rPr>
            </w:pPr>
            <w:r w:rsidRPr="00B85D63">
              <w:rPr>
                <w:rFonts w:cs="Arial"/>
                <w:b/>
                <w:sz w:val="22"/>
                <w:szCs w:val="22"/>
              </w:rPr>
              <w:t>Medium</w:t>
            </w:r>
          </w:p>
        </w:tc>
        <w:tc>
          <w:tcPr>
            <w:tcW w:w="992" w:type="dxa"/>
          </w:tcPr>
          <w:p w14:paraId="2900C5C0" w14:textId="77777777" w:rsidR="009975DC" w:rsidRPr="00B85D63" w:rsidRDefault="009975DC" w:rsidP="009975DC">
            <w:pPr>
              <w:jc w:val="both"/>
              <w:rPr>
                <w:rFonts w:cs="Arial"/>
                <w:b/>
                <w:sz w:val="22"/>
                <w:szCs w:val="22"/>
              </w:rPr>
            </w:pPr>
            <w:r w:rsidRPr="00B85D63">
              <w:rPr>
                <w:rFonts w:cs="Arial"/>
                <w:b/>
                <w:sz w:val="22"/>
                <w:szCs w:val="22"/>
              </w:rPr>
              <w:t xml:space="preserve">Low </w:t>
            </w:r>
          </w:p>
        </w:tc>
        <w:tc>
          <w:tcPr>
            <w:tcW w:w="1843" w:type="dxa"/>
            <w:gridSpan w:val="2"/>
          </w:tcPr>
          <w:p w14:paraId="1DAF0DF9" w14:textId="77777777" w:rsidR="009975DC" w:rsidRPr="00B85D63" w:rsidRDefault="009975DC" w:rsidP="009975DC">
            <w:pPr>
              <w:jc w:val="both"/>
              <w:rPr>
                <w:rFonts w:cs="Arial"/>
                <w:b/>
                <w:sz w:val="22"/>
                <w:szCs w:val="22"/>
              </w:rPr>
            </w:pPr>
            <w:r w:rsidRPr="00B85D63">
              <w:rPr>
                <w:rFonts w:cs="Arial"/>
                <w:b/>
                <w:sz w:val="22"/>
                <w:szCs w:val="22"/>
              </w:rPr>
              <w:t>Medium</w:t>
            </w:r>
          </w:p>
        </w:tc>
      </w:tr>
    </w:tbl>
    <w:p w14:paraId="2BD714F3" w14:textId="77777777" w:rsidR="00343FCD" w:rsidRDefault="00343FCD" w:rsidP="009975DC">
      <w:pPr>
        <w:jc w:val="both"/>
        <w:rPr>
          <w:b/>
          <w:sz w:val="22"/>
          <w:szCs w:val="22"/>
        </w:rPr>
      </w:pPr>
    </w:p>
    <w:p w14:paraId="754B68DE" w14:textId="77777777" w:rsidR="00E54157" w:rsidRDefault="00E54157" w:rsidP="000E7A50">
      <w:pPr>
        <w:rPr>
          <w:b/>
          <w:sz w:val="22"/>
          <w:szCs w:val="22"/>
        </w:rPr>
      </w:pPr>
      <w:r>
        <w:rPr>
          <w:b/>
          <w:sz w:val="22"/>
          <w:szCs w:val="22"/>
        </w:rPr>
        <w:t>What support is the UK providing?</w:t>
      </w:r>
    </w:p>
    <w:p w14:paraId="69030E7F" w14:textId="77777777" w:rsidR="008965EA" w:rsidRDefault="008965EA" w:rsidP="000E7A50">
      <w:pPr>
        <w:rPr>
          <w:sz w:val="22"/>
          <w:szCs w:val="22"/>
        </w:rPr>
      </w:pPr>
    </w:p>
    <w:p w14:paraId="35501619" w14:textId="77777777" w:rsidR="00907245" w:rsidRDefault="00907245" w:rsidP="000E7A50">
      <w:pPr>
        <w:tabs>
          <w:tab w:val="left" w:pos="6915"/>
          <w:tab w:val="left" w:pos="9495"/>
        </w:tabs>
        <w:rPr>
          <w:sz w:val="22"/>
          <w:szCs w:val="22"/>
        </w:rPr>
      </w:pPr>
      <w:r w:rsidRPr="00DF3447">
        <w:rPr>
          <w:rFonts w:cs="Arial"/>
          <w:sz w:val="22"/>
          <w:szCs w:val="22"/>
        </w:rPr>
        <w:t>The UK Government allocated £4.3m in FY 16/17 and</w:t>
      </w:r>
      <w:r>
        <w:rPr>
          <w:rFonts w:cs="Arial"/>
          <w:sz w:val="22"/>
          <w:szCs w:val="22"/>
        </w:rPr>
        <w:t xml:space="preserve"> £4.6</w:t>
      </w:r>
      <w:r w:rsidRPr="00DF3447">
        <w:rPr>
          <w:rFonts w:cs="Arial"/>
          <w:sz w:val="22"/>
          <w:szCs w:val="22"/>
        </w:rPr>
        <w:t>m in FY 17/18 to its</w:t>
      </w:r>
      <w:r>
        <w:rPr>
          <w:rFonts w:cs="Arial"/>
          <w:sz w:val="22"/>
          <w:szCs w:val="22"/>
        </w:rPr>
        <w:t xml:space="preserve"> Security, Good Governance and Disaster Management Programme </w:t>
      </w:r>
      <w:r w:rsidRPr="00DF3447">
        <w:rPr>
          <w:rFonts w:cs="Arial"/>
          <w:sz w:val="22"/>
          <w:szCs w:val="22"/>
        </w:rPr>
        <w:t xml:space="preserve">to undertake activities that </w:t>
      </w:r>
      <w:r w:rsidR="006E3675">
        <w:rPr>
          <w:rFonts w:cs="Arial"/>
          <w:sz w:val="22"/>
          <w:szCs w:val="22"/>
        </w:rPr>
        <w:t xml:space="preserve">“safeguard security, improve governance standards and support rule of law, sound institutions and an effective public service”. The </w:t>
      </w:r>
      <w:r w:rsidR="00CE2DF0">
        <w:rPr>
          <w:rFonts w:cs="Arial"/>
          <w:sz w:val="22"/>
          <w:szCs w:val="22"/>
        </w:rPr>
        <w:t>p</w:t>
      </w:r>
      <w:r w:rsidR="006E3675">
        <w:rPr>
          <w:rFonts w:cs="Arial"/>
          <w:sz w:val="22"/>
          <w:szCs w:val="22"/>
        </w:rPr>
        <w:t xml:space="preserve">rogramme encompasses three overlapping components </w:t>
      </w:r>
      <w:r w:rsidR="00CE2DF0">
        <w:rPr>
          <w:rFonts w:cs="Arial"/>
          <w:sz w:val="22"/>
          <w:szCs w:val="22"/>
        </w:rPr>
        <w:t>covering</w:t>
      </w:r>
      <w:r w:rsidR="006E3675">
        <w:rPr>
          <w:rFonts w:cs="Arial"/>
          <w:sz w:val="22"/>
          <w:szCs w:val="22"/>
        </w:rPr>
        <w:t xml:space="preserve"> law enforcement, criminal just</w:t>
      </w:r>
      <w:r w:rsidR="00CE2DF0">
        <w:rPr>
          <w:rFonts w:cs="Arial"/>
          <w:sz w:val="22"/>
          <w:szCs w:val="22"/>
        </w:rPr>
        <w:t>ice and child safeguarding. The programme works</w:t>
      </w:r>
      <w:r w:rsidR="006E3675">
        <w:rPr>
          <w:rFonts w:cs="Arial"/>
          <w:sz w:val="22"/>
          <w:szCs w:val="22"/>
        </w:rPr>
        <w:t xml:space="preserve"> alongside FCO-funded projects on Public Sector Reform, Public Financial Management and Prisons</w:t>
      </w:r>
      <w:r w:rsidR="00CE2DF0">
        <w:rPr>
          <w:rFonts w:cs="Arial"/>
          <w:sz w:val="22"/>
          <w:szCs w:val="22"/>
        </w:rPr>
        <w:t xml:space="preserve"> and this relationship is captured in the programme document</w:t>
      </w:r>
      <w:r w:rsidR="006E3675">
        <w:rPr>
          <w:rFonts w:cs="Arial"/>
          <w:sz w:val="22"/>
          <w:szCs w:val="22"/>
        </w:rPr>
        <w:t>.</w:t>
      </w:r>
    </w:p>
    <w:p w14:paraId="5C6C8F80" w14:textId="77777777" w:rsidR="00907245" w:rsidRDefault="00907245" w:rsidP="000E7A50">
      <w:pPr>
        <w:rPr>
          <w:sz w:val="22"/>
          <w:szCs w:val="22"/>
        </w:rPr>
      </w:pPr>
    </w:p>
    <w:p w14:paraId="4BCA1A36" w14:textId="77777777" w:rsidR="00907245" w:rsidRPr="00DF3447" w:rsidRDefault="00907245" w:rsidP="000E7A50">
      <w:pPr>
        <w:rPr>
          <w:rFonts w:cs="Arial"/>
          <w:sz w:val="22"/>
          <w:szCs w:val="22"/>
        </w:rPr>
      </w:pPr>
      <w:r w:rsidRPr="00DF3447">
        <w:rPr>
          <w:rFonts w:cs="Arial"/>
          <w:sz w:val="22"/>
          <w:szCs w:val="22"/>
        </w:rPr>
        <w:t>A further £2.50m in FY 16/17 and £</w:t>
      </w:r>
      <w:r>
        <w:rPr>
          <w:rFonts w:cs="Arial"/>
          <w:sz w:val="22"/>
          <w:szCs w:val="22"/>
        </w:rPr>
        <w:t>13.2m</w:t>
      </w:r>
      <w:r w:rsidRPr="00DF3447">
        <w:rPr>
          <w:rFonts w:cs="Arial"/>
          <w:sz w:val="22"/>
          <w:szCs w:val="22"/>
        </w:rPr>
        <w:t xml:space="preserve"> in FY 17/18 was allocated to the Sovereignty, Defence and International Obligations (SDIO) project to undertake activities that promote sovereignty, defence and international obligations across UK Overseas Territories (OTs).  The programme is split into two areas of focus; </w:t>
      </w:r>
      <w:r>
        <w:rPr>
          <w:rFonts w:cs="Arial"/>
          <w:sz w:val="22"/>
          <w:szCs w:val="22"/>
        </w:rPr>
        <w:t xml:space="preserve">(i) International obligations: IMO Instruments Implementation (III) </w:t>
      </w:r>
      <w:r w:rsidRPr="00DF3447">
        <w:rPr>
          <w:rFonts w:cs="Arial"/>
          <w:sz w:val="22"/>
          <w:szCs w:val="22"/>
        </w:rPr>
        <w:t>Code, international health conventions</w:t>
      </w:r>
      <w:r>
        <w:rPr>
          <w:rFonts w:cs="Arial"/>
          <w:sz w:val="22"/>
          <w:szCs w:val="22"/>
        </w:rPr>
        <w:t xml:space="preserve">, (ii) </w:t>
      </w:r>
      <w:r w:rsidRPr="00DF3447">
        <w:rPr>
          <w:rFonts w:cs="Arial"/>
          <w:sz w:val="22"/>
          <w:szCs w:val="22"/>
        </w:rPr>
        <w:t>Sovereignty and security: BIOT, Security Needs Assessment, Montserrat Patrol Vessel, Search &amp; Rescue which links into the III Code, seabed mapping</w:t>
      </w:r>
      <w:r>
        <w:rPr>
          <w:rFonts w:cs="Arial"/>
          <w:sz w:val="22"/>
          <w:szCs w:val="22"/>
        </w:rPr>
        <w:t>.</w:t>
      </w:r>
    </w:p>
    <w:p w14:paraId="235C54FF" w14:textId="77777777" w:rsidR="00907245" w:rsidRDefault="00907245" w:rsidP="000E7A50">
      <w:pPr>
        <w:rPr>
          <w:sz w:val="22"/>
          <w:szCs w:val="22"/>
        </w:rPr>
      </w:pPr>
    </w:p>
    <w:p w14:paraId="28358A23" w14:textId="77777777" w:rsidR="00A9354F" w:rsidRPr="0006280A" w:rsidRDefault="00A9354F" w:rsidP="000E7A50">
      <w:pPr>
        <w:rPr>
          <w:sz w:val="22"/>
          <w:szCs w:val="22"/>
        </w:rPr>
      </w:pPr>
      <w:r>
        <w:rPr>
          <w:sz w:val="22"/>
          <w:szCs w:val="22"/>
        </w:rPr>
        <w:t>Both programme</w:t>
      </w:r>
      <w:r w:rsidR="00AB7884">
        <w:rPr>
          <w:sz w:val="22"/>
          <w:szCs w:val="22"/>
        </w:rPr>
        <w:t>s</w:t>
      </w:r>
      <w:r>
        <w:rPr>
          <w:sz w:val="22"/>
          <w:szCs w:val="22"/>
        </w:rPr>
        <w:t xml:space="preserve"> </w:t>
      </w:r>
      <w:r w:rsidR="00AB7884">
        <w:rPr>
          <w:sz w:val="22"/>
          <w:szCs w:val="22"/>
        </w:rPr>
        <w:t>adopted</w:t>
      </w:r>
      <w:r>
        <w:rPr>
          <w:sz w:val="22"/>
          <w:szCs w:val="22"/>
        </w:rPr>
        <w:t xml:space="preserve"> a hybrid delivery model, utilising HMG, INGO and the private sector to implement </w:t>
      </w:r>
      <w:r w:rsidR="00C16988">
        <w:rPr>
          <w:sz w:val="22"/>
          <w:szCs w:val="22"/>
        </w:rPr>
        <w:t xml:space="preserve">individual projects. </w:t>
      </w:r>
    </w:p>
    <w:p w14:paraId="29012FD7" w14:textId="77777777" w:rsidR="00E54157" w:rsidRDefault="00E54157" w:rsidP="000E7A50">
      <w:pPr>
        <w:tabs>
          <w:tab w:val="left" w:pos="6915"/>
          <w:tab w:val="left" w:pos="9495"/>
        </w:tabs>
        <w:rPr>
          <w:b/>
          <w:sz w:val="22"/>
          <w:szCs w:val="22"/>
        </w:rPr>
      </w:pPr>
    </w:p>
    <w:p w14:paraId="2D951DC1" w14:textId="77777777" w:rsidR="00B274AC" w:rsidRPr="001350CD" w:rsidRDefault="00F10281" w:rsidP="000E7A50">
      <w:pPr>
        <w:tabs>
          <w:tab w:val="left" w:pos="6915"/>
          <w:tab w:val="left" w:pos="9495"/>
        </w:tabs>
        <w:rPr>
          <w:b/>
          <w:sz w:val="22"/>
          <w:szCs w:val="22"/>
        </w:rPr>
      </w:pPr>
      <w:r w:rsidRPr="001350CD">
        <w:rPr>
          <w:b/>
          <w:sz w:val="22"/>
          <w:szCs w:val="22"/>
        </w:rPr>
        <w:t>Summary of progress</w:t>
      </w:r>
      <w:r w:rsidR="00BD38CF" w:rsidRPr="001350CD">
        <w:rPr>
          <w:b/>
          <w:sz w:val="22"/>
          <w:szCs w:val="22"/>
        </w:rPr>
        <w:t xml:space="preserve"> and </w:t>
      </w:r>
      <w:r w:rsidRPr="001350CD">
        <w:rPr>
          <w:b/>
          <w:sz w:val="22"/>
          <w:szCs w:val="22"/>
        </w:rPr>
        <w:t>lessons learnt</w:t>
      </w:r>
      <w:r w:rsidR="006C13D9" w:rsidRPr="001350CD">
        <w:rPr>
          <w:b/>
          <w:sz w:val="22"/>
          <w:szCs w:val="22"/>
        </w:rPr>
        <w:t>/actions taken</w:t>
      </w:r>
      <w:r w:rsidRPr="001350CD">
        <w:rPr>
          <w:b/>
          <w:sz w:val="22"/>
          <w:szCs w:val="22"/>
        </w:rPr>
        <w:t xml:space="preserve"> </w:t>
      </w:r>
      <w:r w:rsidR="00BD38CF" w:rsidRPr="001350CD">
        <w:rPr>
          <w:b/>
          <w:sz w:val="22"/>
          <w:szCs w:val="22"/>
        </w:rPr>
        <w:t>since last review</w:t>
      </w:r>
      <w:r w:rsidR="00B274AC" w:rsidRPr="0046232B">
        <w:rPr>
          <w:b/>
          <w:sz w:val="22"/>
          <w:szCs w:val="22"/>
        </w:rPr>
        <w:tab/>
      </w:r>
    </w:p>
    <w:p w14:paraId="4CA33600" w14:textId="57B416A3" w:rsidR="0055583B" w:rsidRDefault="0055583B" w:rsidP="000E7A50">
      <w:pPr>
        <w:rPr>
          <w:sz w:val="22"/>
          <w:szCs w:val="22"/>
        </w:rPr>
      </w:pPr>
      <w:r>
        <w:rPr>
          <w:sz w:val="22"/>
          <w:szCs w:val="22"/>
        </w:rPr>
        <w:t>This is only the second review of the Programmes. Last year’s review was an early review agai</w:t>
      </w:r>
      <w:r w:rsidR="0006280A">
        <w:rPr>
          <w:sz w:val="22"/>
          <w:szCs w:val="22"/>
        </w:rPr>
        <w:t>nst Milestone requirements and O</w:t>
      </w:r>
      <w:r>
        <w:rPr>
          <w:sz w:val="22"/>
          <w:szCs w:val="22"/>
        </w:rPr>
        <w:t xml:space="preserve">utput scores, and should only be interpreted as a judgement on progress made to that date, as opposed to the degree </w:t>
      </w:r>
      <w:r w:rsidR="006676E1">
        <w:rPr>
          <w:sz w:val="22"/>
          <w:szCs w:val="22"/>
        </w:rPr>
        <w:t>that</w:t>
      </w:r>
      <w:r>
        <w:rPr>
          <w:sz w:val="22"/>
          <w:szCs w:val="22"/>
        </w:rPr>
        <w:t xml:space="preserve"> Milestones</w:t>
      </w:r>
      <w:r w:rsidR="006676E1">
        <w:rPr>
          <w:sz w:val="22"/>
          <w:szCs w:val="22"/>
        </w:rPr>
        <w:t xml:space="preserve"> had been</w:t>
      </w:r>
      <w:r>
        <w:rPr>
          <w:sz w:val="22"/>
          <w:szCs w:val="22"/>
        </w:rPr>
        <w:t xml:space="preserve"> achieve</w:t>
      </w:r>
      <w:r w:rsidR="006676E1">
        <w:rPr>
          <w:sz w:val="22"/>
          <w:szCs w:val="22"/>
        </w:rPr>
        <w:t>d</w:t>
      </w:r>
      <w:r>
        <w:rPr>
          <w:sz w:val="22"/>
          <w:szCs w:val="22"/>
        </w:rPr>
        <w:t xml:space="preserve">. </w:t>
      </w:r>
    </w:p>
    <w:p w14:paraId="2C5B8361" w14:textId="77777777" w:rsidR="0055583B" w:rsidRDefault="0055583B" w:rsidP="000E7A50">
      <w:pPr>
        <w:rPr>
          <w:sz w:val="22"/>
          <w:szCs w:val="22"/>
        </w:rPr>
      </w:pPr>
    </w:p>
    <w:p w14:paraId="4DCBF0DC" w14:textId="77777777" w:rsidR="00AB7884" w:rsidRDefault="0055583B" w:rsidP="000E7A50">
      <w:pPr>
        <w:rPr>
          <w:sz w:val="22"/>
          <w:szCs w:val="22"/>
        </w:rPr>
      </w:pPr>
      <w:r>
        <w:rPr>
          <w:sz w:val="22"/>
          <w:szCs w:val="22"/>
        </w:rPr>
        <w:t>Both the SGGDM and the SDIO</w:t>
      </w:r>
      <w:r w:rsidR="00A9354F">
        <w:rPr>
          <w:sz w:val="22"/>
          <w:szCs w:val="22"/>
        </w:rPr>
        <w:t xml:space="preserve"> </w:t>
      </w:r>
      <w:r>
        <w:rPr>
          <w:sz w:val="22"/>
          <w:szCs w:val="22"/>
        </w:rPr>
        <w:t>Programmes</w:t>
      </w:r>
      <w:r w:rsidR="00A9354F">
        <w:rPr>
          <w:sz w:val="22"/>
          <w:szCs w:val="22"/>
        </w:rPr>
        <w:t xml:space="preserve"> were ambitious both in scope and geographical remit. </w:t>
      </w:r>
      <w:r w:rsidR="00AB7884">
        <w:rPr>
          <w:sz w:val="22"/>
          <w:szCs w:val="22"/>
        </w:rPr>
        <w:t xml:space="preserve">Progress was slow initially, but this FY has continued at a rapid pace, with all components engaged intensively in implementing activities across the region. </w:t>
      </w:r>
      <w:r w:rsidR="00744554">
        <w:rPr>
          <w:sz w:val="22"/>
          <w:szCs w:val="22"/>
        </w:rPr>
        <w:t>Progress</w:t>
      </w:r>
      <w:r w:rsidR="00AB7884">
        <w:rPr>
          <w:sz w:val="22"/>
          <w:szCs w:val="22"/>
        </w:rPr>
        <w:t xml:space="preserve"> includes:</w:t>
      </w:r>
    </w:p>
    <w:p w14:paraId="23E412D9" w14:textId="77777777" w:rsidR="009975DC" w:rsidRDefault="00AB7884" w:rsidP="000E7A50">
      <w:pPr>
        <w:pStyle w:val="ListParagraph"/>
        <w:numPr>
          <w:ilvl w:val="0"/>
          <w:numId w:val="30"/>
        </w:numPr>
        <w:rPr>
          <w:sz w:val="22"/>
          <w:szCs w:val="22"/>
        </w:rPr>
      </w:pPr>
      <w:r w:rsidRPr="009975DC">
        <w:rPr>
          <w:sz w:val="22"/>
          <w:szCs w:val="22"/>
        </w:rPr>
        <w:t>Continuation of support to Child Safeguarding Boards</w:t>
      </w:r>
      <w:r w:rsidR="00FC4F17" w:rsidRPr="009975DC">
        <w:rPr>
          <w:sz w:val="22"/>
          <w:szCs w:val="22"/>
        </w:rPr>
        <w:t xml:space="preserve">, including creating </w:t>
      </w:r>
      <w:r w:rsidR="006676E1">
        <w:rPr>
          <w:sz w:val="22"/>
          <w:szCs w:val="22"/>
        </w:rPr>
        <w:t xml:space="preserve">a </w:t>
      </w:r>
      <w:r w:rsidR="00FC4F17" w:rsidRPr="009975DC">
        <w:rPr>
          <w:sz w:val="22"/>
          <w:szCs w:val="22"/>
        </w:rPr>
        <w:t>new one (Montserrat)</w:t>
      </w:r>
      <w:r w:rsidRPr="009975DC">
        <w:rPr>
          <w:sz w:val="22"/>
          <w:szCs w:val="22"/>
        </w:rPr>
        <w:t>;</w:t>
      </w:r>
    </w:p>
    <w:p w14:paraId="7FB3CA06" w14:textId="77777777" w:rsidR="00AB7884" w:rsidRPr="009975DC" w:rsidRDefault="00AB7884" w:rsidP="000E7A50">
      <w:pPr>
        <w:pStyle w:val="ListParagraph"/>
        <w:numPr>
          <w:ilvl w:val="0"/>
          <w:numId w:val="30"/>
        </w:numPr>
        <w:rPr>
          <w:sz w:val="22"/>
          <w:szCs w:val="22"/>
        </w:rPr>
      </w:pPr>
      <w:r w:rsidRPr="009975DC">
        <w:rPr>
          <w:sz w:val="22"/>
          <w:szCs w:val="22"/>
        </w:rPr>
        <w:t>Training and development of law enforcement officers, and facilitation of OTs-owned and led police engagement across the OTs;</w:t>
      </w:r>
    </w:p>
    <w:p w14:paraId="2F5A350D" w14:textId="77777777" w:rsidR="00AB7884" w:rsidRDefault="00AB7884" w:rsidP="000E7A50">
      <w:pPr>
        <w:pStyle w:val="ListParagraph"/>
        <w:numPr>
          <w:ilvl w:val="0"/>
          <w:numId w:val="30"/>
        </w:numPr>
        <w:rPr>
          <w:sz w:val="22"/>
          <w:szCs w:val="22"/>
        </w:rPr>
      </w:pPr>
      <w:r>
        <w:rPr>
          <w:sz w:val="22"/>
          <w:szCs w:val="22"/>
        </w:rPr>
        <w:t>Acquisition of the Montserrat Patrol Vessel, which is now operational;</w:t>
      </w:r>
    </w:p>
    <w:p w14:paraId="32B20AB7" w14:textId="77777777" w:rsidR="00F10AC5" w:rsidRPr="00F10AC5" w:rsidRDefault="00AB7884" w:rsidP="000E7A50">
      <w:pPr>
        <w:pStyle w:val="ListParagraph"/>
        <w:numPr>
          <w:ilvl w:val="0"/>
          <w:numId w:val="30"/>
        </w:numPr>
        <w:rPr>
          <w:rFonts w:eastAsiaTheme="minorEastAsia" w:cs="Arial"/>
          <w:color w:val="000000"/>
          <w:sz w:val="22"/>
          <w:szCs w:val="22"/>
        </w:rPr>
      </w:pPr>
      <w:r w:rsidRPr="00F10AC5">
        <w:rPr>
          <w:sz w:val="22"/>
          <w:szCs w:val="22"/>
        </w:rPr>
        <w:t xml:space="preserve">Criminal justice reform, including drafting of relevant legislation </w:t>
      </w:r>
      <w:r w:rsidR="001350CD" w:rsidRPr="00F10AC5">
        <w:rPr>
          <w:sz w:val="22"/>
          <w:szCs w:val="22"/>
        </w:rPr>
        <w:t>(e.g. Police and Criminal Evidence Act equivalent</w:t>
      </w:r>
      <w:r w:rsidR="00F10AC5" w:rsidRPr="00F10AC5">
        <w:rPr>
          <w:sz w:val="22"/>
          <w:szCs w:val="22"/>
        </w:rPr>
        <w:t xml:space="preserve">, </w:t>
      </w:r>
      <w:r w:rsidR="00F10AC5" w:rsidRPr="00F10AC5">
        <w:rPr>
          <w:rFonts w:eastAsiaTheme="minorEastAsia" w:cs="Arial"/>
          <w:color w:val="000000"/>
          <w:sz w:val="22"/>
          <w:szCs w:val="22"/>
        </w:rPr>
        <w:t>landmark legislation in Anguilla (</w:t>
      </w:r>
      <w:r w:rsidR="00F10AC5" w:rsidRPr="00F10AC5">
        <w:rPr>
          <w:rFonts w:eastAsiaTheme="minorEastAsia" w:cs="Arial"/>
          <w:i/>
          <w:color w:val="000000"/>
          <w:sz w:val="22"/>
          <w:szCs w:val="22"/>
        </w:rPr>
        <w:t>Criminal Justice Bill and Child Protection Act</w:t>
      </w:r>
      <w:r w:rsidR="00F10AC5" w:rsidRPr="00F10AC5">
        <w:rPr>
          <w:rFonts w:eastAsiaTheme="minorEastAsia" w:cs="Arial"/>
          <w:color w:val="000000"/>
          <w:sz w:val="22"/>
          <w:szCs w:val="22"/>
        </w:rPr>
        <w:t>), Montserrat (</w:t>
      </w:r>
      <w:r w:rsidR="00F10AC5" w:rsidRPr="00F10AC5">
        <w:rPr>
          <w:rFonts w:eastAsiaTheme="minorEastAsia" w:cs="Arial"/>
          <w:i/>
          <w:color w:val="000000"/>
          <w:sz w:val="22"/>
          <w:szCs w:val="22"/>
        </w:rPr>
        <w:t>Police Powers, Bail and Sex Offender orders</w:t>
      </w:r>
      <w:r w:rsidR="00F10AC5" w:rsidRPr="00F10AC5">
        <w:rPr>
          <w:rFonts w:eastAsiaTheme="minorEastAsia" w:cs="Arial"/>
          <w:color w:val="000000"/>
          <w:sz w:val="22"/>
          <w:szCs w:val="22"/>
        </w:rPr>
        <w:t xml:space="preserve">) and in </w:t>
      </w:r>
      <w:r w:rsidR="009866FC">
        <w:rPr>
          <w:rFonts w:eastAsiaTheme="minorEastAsia" w:cs="Arial"/>
          <w:color w:val="000000"/>
          <w:sz w:val="22"/>
          <w:szCs w:val="22"/>
        </w:rPr>
        <w:t>Turks and Caicos Islands (</w:t>
      </w:r>
      <w:r w:rsidR="00F10AC5" w:rsidRPr="00F10AC5">
        <w:rPr>
          <w:rFonts w:eastAsiaTheme="minorEastAsia" w:cs="Arial"/>
          <w:color w:val="000000"/>
          <w:sz w:val="22"/>
          <w:szCs w:val="22"/>
        </w:rPr>
        <w:t>TCI</w:t>
      </w:r>
      <w:r w:rsidR="009866FC">
        <w:rPr>
          <w:rFonts w:eastAsiaTheme="minorEastAsia" w:cs="Arial"/>
          <w:color w:val="000000"/>
          <w:sz w:val="22"/>
          <w:szCs w:val="22"/>
        </w:rPr>
        <w:t>)</w:t>
      </w:r>
      <w:r w:rsidR="00F10AC5" w:rsidRPr="00F10AC5">
        <w:rPr>
          <w:rFonts w:eastAsiaTheme="minorEastAsia" w:cs="Arial"/>
          <w:color w:val="000000"/>
          <w:sz w:val="22"/>
          <w:szCs w:val="22"/>
        </w:rPr>
        <w:t xml:space="preserve"> (including regulations to implement the </w:t>
      </w:r>
      <w:r w:rsidR="00F10AC5" w:rsidRPr="00F10AC5">
        <w:rPr>
          <w:rFonts w:eastAsiaTheme="minorEastAsia" w:cs="Arial"/>
          <w:i/>
          <w:color w:val="000000"/>
          <w:sz w:val="22"/>
          <w:szCs w:val="22"/>
        </w:rPr>
        <w:t>Child Protection Ordinance</w:t>
      </w:r>
      <w:r w:rsidR="00F10AC5" w:rsidRPr="00F10AC5">
        <w:rPr>
          <w:rFonts w:eastAsiaTheme="minorEastAsia" w:cs="Arial"/>
          <w:color w:val="000000"/>
          <w:sz w:val="22"/>
          <w:szCs w:val="22"/>
        </w:rPr>
        <w:t xml:space="preserve">). </w:t>
      </w:r>
    </w:p>
    <w:p w14:paraId="7351E3E5" w14:textId="77777777" w:rsidR="00AB7884" w:rsidRPr="00AB7884" w:rsidRDefault="00AB7884" w:rsidP="000E7A50">
      <w:pPr>
        <w:pStyle w:val="ListParagraph"/>
        <w:numPr>
          <w:ilvl w:val="0"/>
          <w:numId w:val="30"/>
        </w:numPr>
        <w:rPr>
          <w:sz w:val="22"/>
          <w:szCs w:val="22"/>
        </w:rPr>
      </w:pPr>
      <w:r>
        <w:rPr>
          <w:sz w:val="22"/>
          <w:szCs w:val="22"/>
        </w:rPr>
        <w:t xml:space="preserve">On-going health assessments and emergency health planning. </w:t>
      </w:r>
    </w:p>
    <w:p w14:paraId="27A0CB18" w14:textId="77777777" w:rsidR="00030D0D" w:rsidRPr="007D0BE4" w:rsidRDefault="00030D0D" w:rsidP="000E7A50">
      <w:pPr>
        <w:tabs>
          <w:tab w:val="left" w:pos="6915"/>
          <w:tab w:val="left" w:pos="9495"/>
        </w:tabs>
        <w:rPr>
          <w:sz w:val="22"/>
          <w:szCs w:val="22"/>
        </w:rPr>
      </w:pPr>
    </w:p>
    <w:p w14:paraId="5E9C17C8" w14:textId="77777777" w:rsidR="00A9354F" w:rsidRDefault="007D0BE4" w:rsidP="000E7A50">
      <w:pPr>
        <w:tabs>
          <w:tab w:val="left" w:pos="6915"/>
          <w:tab w:val="left" w:pos="9495"/>
        </w:tabs>
        <w:rPr>
          <w:b/>
          <w:sz w:val="22"/>
          <w:szCs w:val="22"/>
        </w:rPr>
      </w:pPr>
      <w:r w:rsidRPr="00887207">
        <w:rPr>
          <w:b/>
          <w:sz w:val="22"/>
          <w:szCs w:val="22"/>
        </w:rPr>
        <w:t>Summary of recommendations for the next year</w:t>
      </w:r>
    </w:p>
    <w:p w14:paraId="2549391C" w14:textId="77777777" w:rsidR="00030D0D" w:rsidRDefault="00030D0D" w:rsidP="000E7A50">
      <w:pPr>
        <w:tabs>
          <w:tab w:val="left" w:pos="6915"/>
          <w:tab w:val="left" w:pos="9495"/>
        </w:tabs>
        <w:rPr>
          <w:b/>
          <w:sz w:val="22"/>
          <w:szCs w:val="22"/>
        </w:rPr>
      </w:pPr>
    </w:p>
    <w:p w14:paraId="0520BEC4" w14:textId="77777777" w:rsidR="00887207" w:rsidRPr="000A75CF" w:rsidRDefault="00AB7884" w:rsidP="000E7A50">
      <w:pPr>
        <w:tabs>
          <w:tab w:val="left" w:pos="6915"/>
          <w:tab w:val="left" w:pos="9495"/>
        </w:tabs>
        <w:rPr>
          <w:sz w:val="22"/>
          <w:szCs w:val="22"/>
        </w:rPr>
      </w:pPr>
      <w:r>
        <w:rPr>
          <w:sz w:val="22"/>
          <w:szCs w:val="22"/>
        </w:rPr>
        <w:t>The</w:t>
      </w:r>
      <w:r w:rsidR="00030D0D">
        <w:rPr>
          <w:sz w:val="22"/>
          <w:szCs w:val="22"/>
        </w:rPr>
        <w:t xml:space="preserve"> hurricanes devast</w:t>
      </w:r>
      <w:r w:rsidR="003C06AD">
        <w:rPr>
          <w:sz w:val="22"/>
          <w:szCs w:val="22"/>
        </w:rPr>
        <w:t>at</w:t>
      </w:r>
      <w:r w:rsidR="00030D0D">
        <w:rPr>
          <w:sz w:val="22"/>
          <w:szCs w:val="22"/>
        </w:rPr>
        <w:t xml:space="preserve">ed the region, de-railing </w:t>
      </w:r>
      <w:r>
        <w:rPr>
          <w:sz w:val="22"/>
          <w:szCs w:val="22"/>
        </w:rPr>
        <w:t xml:space="preserve">the </w:t>
      </w:r>
      <w:r w:rsidR="00887207">
        <w:rPr>
          <w:sz w:val="22"/>
          <w:szCs w:val="22"/>
        </w:rPr>
        <w:t xml:space="preserve">Programme </w:t>
      </w:r>
      <w:r w:rsidR="00030D0D">
        <w:rPr>
          <w:sz w:val="22"/>
          <w:szCs w:val="22"/>
        </w:rPr>
        <w:t>as</w:t>
      </w:r>
      <w:r w:rsidR="00887207">
        <w:rPr>
          <w:sz w:val="22"/>
          <w:szCs w:val="22"/>
        </w:rPr>
        <w:t xml:space="preserve"> resources were diverted to prioritise the relief efforts. Whilst the hurricane response has been </w:t>
      </w:r>
      <w:r w:rsidR="00B97348">
        <w:rPr>
          <w:sz w:val="22"/>
          <w:szCs w:val="22"/>
        </w:rPr>
        <w:t>considered separately</w:t>
      </w:r>
      <w:r w:rsidR="00887207">
        <w:rPr>
          <w:sz w:val="22"/>
          <w:szCs w:val="22"/>
        </w:rPr>
        <w:t xml:space="preserve">, </w:t>
      </w:r>
      <w:r w:rsidR="00887207" w:rsidRPr="009866FC">
        <w:rPr>
          <w:sz w:val="22"/>
          <w:szCs w:val="22"/>
        </w:rPr>
        <w:t xml:space="preserve">the </w:t>
      </w:r>
      <w:r w:rsidR="00887207" w:rsidRPr="000A75CF">
        <w:rPr>
          <w:sz w:val="22"/>
          <w:szCs w:val="22"/>
        </w:rPr>
        <w:t xml:space="preserve">specific issue of security and justice preparedness needs to be </w:t>
      </w:r>
      <w:r w:rsidR="00030D0D" w:rsidRPr="000A75CF">
        <w:rPr>
          <w:sz w:val="22"/>
          <w:szCs w:val="22"/>
        </w:rPr>
        <w:t>considered</w:t>
      </w:r>
      <w:r w:rsidR="00887207" w:rsidRPr="000A75CF">
        <w:rPr>
          <w:sz w:val="22"/>
          <w:szCs w:val="22"/>
        </w:rPr>
        <w:t xml:space="preserve"> so that processes and procedures are well prepared and rehearsed in anticipation of hurricane season.  </w:t>
      </w:r>
    </w:p>
    <w:p w14:paraId="544325A4" w14:textId="77777777" w:rsidR="00053DF6" w:rsidRPr="000A75CF" w:rsidRDefault="00053DF6" w:rsidP="000E7A50">
      <w:pPr>
        <w:tabs>
          <w:tab w:val="left" w:pos="6915"/>
          <w:tab w:val="left" w:pos="9495"/>
        </w:tabs>
        <w:rPr>
          <w:sz w:val="22"/>
          <w:szCs w:val="22"/>
        </w:rPr>
      </w:pPr>
    </w:p>
    <w:p w14:paraId="2F07E683" w14:textId="77777777" w:rsidR="00222145" w:rsidRDefault="00222145" w:rsidP="000E7A50">
      <w:pPr>
        <w:rPr>
          <w:rFonts w:cs="Arial"/>
          <w:bCs/>
          <w:sz w:val="22"/>
          <w:szCs w:val="22"/>
        </w:rPr>
      </w:pPr>
      <w:r w:rsidRPr="00030D0D">
        <w:rPr>
          <w:rFonts w:cs="Arial"/>
          <w:b/>
          <w:bCs/>
          <w:sz w:val="22"/>
          <w:szCs w:val="22"/>
        </w:rPr>
        <w:t>Programme documentation needs to be more streamlined</w:t>
      </w:r>
      <w:r w:rsidR="00030D0D" w:rsidRPr="00030D0D">
        <w:rPr>
          <w:rFonts w:cs="Arial"/>
          <w:b/>
          <w:bCs/>
          <w:sz w:val="22"/>
          <w:szCs w:val="22"/>
        </w:rPr>
        <w:t>,</w:t>
      </w:r>
      <w:r w:rsidRPr="00030D0D">
        <w:rPr>
          <w:rFonts w:cs="Arial"/>
          <w:b/>
          <w:bCs/>
          <w:sz w:val="22"/>
          <w:szCs w:val="22"/>
        </w:rPr>
        <w:t xml:space="preserve"> with tighter wording for Outputs an</w:t>
      </w:r>
      <w:r w:rsidR="00A65288" w:rsidRPr="00030D0D">
        <w:rPr>
          <w:rFonts w:cs="Arial"/>
          <w:b/>
          <w:bCs/>
          <w:sz w:val="22"/>
          <w:szCs w:val="22"/>
        </w:rPr>
        <w:t>d Outcomes (using SMART rules).</w:t>
      </w:r>
      <w:r w:rsidR="00A65288">
        <w:rPr>
          <w:rFonts w:cs="Arial"/>
          <w:bCs/>
          <w:sz w:val="22"/>
          <w:szCs w:val="22"/>
        </w:rPr>
        <w:t xml:space="preserve"> This can include </w:t>
      </w:r>
      <w:r>
        <w:rPr>
          <w:rFonts w:cs="Arial"/>
          <w:bCs/>
          <w:sz w:val="22"/>
          <w:szCs w:val="22"/>
        </w:rPr>
        <w:t>merging Outputs where possible</w:t>
      </w:r>
      <w:r w:rsidR="00057771">
        <w:rPr>
          <w:rFonts w:cs="Arial"/>
          <w:bCs/>
          <w:sz w:val="22"/>
          <w:szCs w:val="22"/>
        </w:rPr>
        <w:t>. The same applies to O</w:t>
      </w:r>
      <w:r w:rsidR="00A65288">
        <w:rPr>
          <w:rFonts w:cs="Arial"/>
          <w:bCs/>
          <w:sz w:val="22"/>
          <w:szCs w:val="22"/>
        </w:rPr>
        <w:t>utcomes.</w:t>
      </w:r>
      <w:r>
        <w:rPr>
          <w:rFonts w:cs="Arial"/>
          <w:bCs/>
          <w:sz w:val="22"/>
          <w:szCs w:val="22"/>
        </w:rPr>
        <w:t xml:space="preserve"> </w:t>
      </w:r>
      <w:r w:rsidR="00A65288">
        <w:rPr>
          <w:rFonts w:cs="Arial"/>
          <w:bCs/>
          <w:sz w:val="22"/>
          <w:szCs w:val="22"/>
        </w:rPr>
        <w:t>It would also be helpful to ensure the columns are all clearly labelled regarding dates and milestones</w:t>
      </w:r>
      <w:r w:rsidR="00ED497F">
        <w:rPr>
          <w:rFonts w:cs="Arial"/>
          <w:bCs/>
          <w:sz w:val="22"/>
          <w:szCs w:val="22"/>
        </w:rPr>
        <w:t xml:space="preserve">. Currently </w:t>
      </w:r>
      <w:r w:rsidR="00057771">
        <w:rPr>
          <w:rFonts w:cs="Arial"/>
          <w:bCs/>
          <w:sz w:val="22"/>
          <w:szCs w:val="22"/>
        </w:rPr>
        <w:t>the dates are not</w:t>
      </w:r>
      <w:r>
        <w:rPr>
          <w:rFonts w:cs="Arial"/>
          <w:bCs/>
          <w:sz w:val="22"/>
          <w:szCs w:val="22"/>
        </w:rPr>
        <w:t xml:space="preserve"> </w:t>
      </w:r>
      <w:r w:rsidR="00ED497F">
        <w:rPr>
          <w:rFonts w:cs="Arial"/>
          <w:bCs/>
          <w:sz w:val="22"/>
          <w:szCs w:val="22"/>
        </w:rPr>
        <w:t xml:space="preserve">all </w:t>
      </w:r>
      <w:r>
        <w:rPr>
          <w:rFonts w:cs="Arial"/>
          <w:bCs/>
          <w:sz w:val="22"/>
          <w:szCs w:val="22"/>
        </w:rPr>
        <w:t>aligned</w:t>
      </w:r>
      <w:r w:rsidR="00ED497F">
        <w:rPr>
          <w:rFonts w:cs="Arial"/>
          <w:bCs/>
          <w:sz w:val="22"/>
          <w:szCs w:val="22"/>
        </w:rPr>
        <w:t xml:space="preserve"> vertically</w:t>
      </w:r>
      <w:r w:rsidR="00057771">
        <w:rPr>
          <w:rFonts w:cs="Arial"/>
          <w:bCs/>
          <w:sz w:val="22"/>
          <w:szCs w:val="22"/>
        </w:rPr>
        <w:t>, meaning it can be confusing for teams and evaluators to know which milestones relate to which years</w:t>
      </w:r>
      <w:r w:rsidR="00887207">
        <w:rPr>
          <w:rFonts w:cs="Arial"/>
          <w:bCs/>
          <w:sz w:val="22"/>
          <w:szCs w:val="22"/>
        </w:rPr>
        <w:t xml:space="preserve">. </w:t>
      </w:r>
      <w:r w:rsidR="00057771">
        <w:rPr>
          <w:rFonts w:cs="Arial"/>
          <w:bCs/>
          <w:sz w:val="22"/>
          <w:szCs w:val="22"/>
        </w:rPr>
        <w:t>Further</w:t>
      </w:r>
      <w:r w:rsidR="00057771" w:rsidRPr="00057771">
        <w:rPr>
          <w:rFonts w:cs="Arial"/>
          <w:bCs/>
          <w:sz w:val="22"/>
          <w:szCs w:val="22"/>
        </w:rPr>
        <w:t>, t</w:t>
      </w:r>
      <w:r w:rsidRPr="00057771">
        <w:rPr>
          <w:rFonts w:cs="Arial"/>
          <w:bCs/>
          <w:sz w:val="22"/>
          <w:szCs w:val="22"/>
        </w:rPr>
        <w:t>he Results Tracker didn’t appear to be commissioned for Q2 because of the hurricanes, which is understandable, but it only sets out targets for years either side of 2019, not for 2019 itself.</w:t>
      </w:r>
      <w:r w:rsidR="00057771">
        <w:rPr>
          <w:rFonts w:cs="Arial"/>
          <w:bCs/>
          <w:sz w:val="22"/>
          <w:szCs w:val="22"/>
        </w:rPr>
        <w:t xml:space="preserve"> It would </w:t>
      </w:r>
      <w:r w:rsidR="00ED497F">
        <w:rPr>
          <w:rFonts w:cs="Arial"/>
          <w:bCs/>
          <w:sz w:val="22"/>
          <w:szCs w:val="22"/>
        </w:rPr>
        <w:t xml:space="preserve">therefore </w:t>
      </w:r>
      <w:r w:rsidR="00057771">
        <w:rPr>
          <w:rFonts w:cs="Arial"/>
          <w:bCs/>
          <w:sz w:val="22"/>
          <w:szCs w:val="22"/>
        </w:rPr>
        <w:t>be beneficial if t</w:t>
      </w:r>
      <w:r w:rsidR="00ED497F">
        <w:rPr>
          <w:rFonts w:cs="Arial"/>
          <w:bCs/>
          <w:sz w:val="22"/>
          <w:szCs w:val="22"/>
        </w:rPr>
        <w:t>he Tracker was updated for 2019</w:t>
      </w:r>
      <w:r w:rsidR="00057771">
        <w:rPr>
          <w:rFonts w:cs="Arial"/>
          <w:bCs/>
          <w:sz w:val="22"/>
          <w:szCs w:val="22"/>
        </w:rPr>
        <w:t xml:space="preserve">. </w:t>
      </w:r>
      <w:r>
        <w:rPr>
          <w:rFonts w:cs="Arial"/>
          <w:bCs/>
          <w:sz w:val="22"/>
          <w:szCs w:val="22"/>
        </w:rPr>
        <w:t xml:space="preserve">  </w:t>
      </w:r>
    </w:p>
    <w:p w14:paraId="5D22F293" w14:textId="77777777" w:rsidR="00887207" w:rsidRDefault="00887207" w:rsidP="000E7A50">
      <w:pPr>
        <w:rPr>
          <w:rFonts w:cs="Arial"/>
          <w:bCs/>
          <w:sz w:val="22"/>
          <w:szCs w:val="22"/>
        </w:rPr>
      </w:pPr>
    </w:p>
    <w:p w14:paraId="20C0DA14" w14:textId="77777777" w:rsidR="00887207" w:rsidRDefault="00887207" w:rsidP="000E7A50">
      <w:pPr>
        <w:rPr>
          <w:rFonts w:cs="Arial"/>
          <w:bCs/>
          <w:sz w:val="22"/>
          <w:szCs w:val="22"/>
        </w:rPr>
      </w:pPr>
      <w:r w:rsidRPr="00030D0D">
        <w:rPr>
          <w:rFonts w:cs="Arial"/>
          <w:b/>
          <w:bCs/>
          <w:sz w:val="22"/>
          <w:szCs w:val="22"/>
        </w:rPr>
        <w:t>Health Security is the outlier in the Programme</w:t>
      </w:r>
      <w:r w:rsidR="00030D0D">
        <w:rPr>
          <w:rFonts w:cs="Arial"/>
          <w:bCs/>
          <w:sz w:val="22"/>
          <w:szCs w:val="22"/>
        </w:rPr>
        <w:t xml:space="preserve">. </w:t>
      </w:r>
      <w:r w:rsidR="00030D0D" w:rsidRPr="00030D0D">
        <w:rPr>
          <w:rFonts w:cs="Arial"/>
          <w:b/>
          <w:bCs/>
          <w:sz w:val="22"/>
          <w:szCs w:val="22"/>
        </w:rPr>
        <w:t>Its</w:t>
      </w:r>
      <w:r w:rsidRPr="00030D0D">
        <w:rPr>
          <w:rFonts w:cs="Arial"/>
          <w:b/>
          <w:bCs/>
          <w:sz w:val="22"/>
          <w:szCs w:val="22"/>
        </w:rPr>
        <w:t xml:space="preserve"> inclusion in the new JSG should be reviewed</w:t>
      </w:r>
      <w:r w:rsidR="00030D0D">
        <w:rPr>
          <w:rFonts w:cs="Arial"/>
          <w:bCs/>
          <w:sz w:val="22"/>
          <w:szCs w:val="22"/>
        </w:rPr>
        <w:t xml:space="preserve">. </w:t>
      </w:r>
      <w:r w:rsidR="00ED497F">
        <w:rPr>
          <w:rFonts w:cs="Arial"/>
          <w:bCs/>
          <w:sz w:val="22"/>
          <w:szCs w:val="22"/>
        </w:rPr>
        <w:t>Health projects may need to be more focused, or</w:t>
      </w:r>
      <w:r w:rsidR="00057771">
        <w:rPr>
          <w:rFonts w:cs="Arial"/>
          <w:bCs/>
          <w:sz w:val="22"/>
          <w:szCs w:val="22"/>
        </w:rPr>
        <w:t xml:space="preserve"> re-positioned </w:t>
      </w:r>
      <w:r w:rsidR="00ED497F">
        <w:rPr>
          <w:rFonts w:cs="Arial"/>
          <w:bCs/>
          <w:sz w:val="22"/>
          <w:szCs w:val="22"/>
        </w:rPr>
        <w:t xml:space="preserve">/ re-communicated </w:t>
      </w:r>
      <w:r w:rsidR="00057771">
        <w:rPr>
          <w:rFonts w:cs="Arial"/>
          <w:bCs/>
          <w:sz w:val="22"/>
          <w:szCs w:val="22"/>
        </w:rPr>
        <w:t xml:space="preserve">if </w:t>
      </w:r>
      <w:r w:rsidR="00ED497F">
        <w:rPr>
          <w:rFonts w:cs="Arial"/>
          <w:bCs/>
          <w:sz w:val="22"/>
          <w:szCs w:val="22"/>
        </w:rPr>
        <w:t>they</w:t>
      </w:r>
      <w:r w:rsidR="00057771">
        <w:rPr>
          <w:rFonts w:cs="Arial"/>
          <w:bCs/>
          <w:sz w:val="22"/>
          <w:szCs w:val="22"/>
        </w:rPr>
        <w:t xml:space="preserve"> more readily relate to disaster management</w:t>
      </w:r>
      <w:r w:rsidR="00030D0D">
        <w:rPr>
          <w:rFonts w:cs="Arial"/>
          <w:bCs/>
          <w:sz w:val="22"/>
          <w:szCs w:val="22"/>
        </w:rPr>
        <w:t xml:space="preserve">, and any continued inclusion should be framed </w:t>
      </w:r>
      <w:r w:rsidR="00744554">
        <w:rPr>
          <w:rFonts w:cs="Arial"/>
          <w:bCs/>
          <w:sz w:val="22"/>
          <w:szCs w:val="22"/>
        </w:rPr>
        <w:t>using a</w:t>
      </w:r>
      <w:r w:rsidR="00030D0D">
        <w:rPr>
          <w:rFonts w:cs="Arial"/>
          <w:bCs/>
          <w:sz w:val="22"/>
          <w:szCs w:val="22"/>
        </w:rPr>
        <w:t xml:space="preserve"> logical narrative / theory of change</w:t>
      </w:r>
      <w:r w:rsidR="00744554">
        <w:rPr>
          <w:rFonts w:cs="Arial"/>
          <w:bCs/>
          <w:sz w:val="22"/>
          <w:szCs w:val="22"/>
        </w:rPr>
        <w:t xml:space="preserve"> approach</w:t>
      </w:r>
      <w:r>
        <w:rPr>
          <w:rFonts w:cs="Arial"/>
          <w:bCs/>
          <w:sz w:val="22"/>
          <w:szCs w:val="22"/>
        </w:rPr>
        <w:t xml:space="preserve">. </w:t>
      </w:r>
      <w:r w:rsidR="00057771">
        <w:rPr>
          <w:rFonts w:cs="Arial"/>
          <w:bCs/>
          <w:sz w:val="22"/>
          <w:szCs w:val="22"/>
        </w:rPr>
        <w:t xml:space="preserve">This </w:t>
      </w:r>
      <w:r w:rsidR="00030D0D">
        <w:rPr>
          <w:rFonts w:cs="Arial"/>
          <w:bCs/>
          <w:sz w:val="22"/>
          <w:szCs w:val="22"/>
        </w:rPr>
        <w:t>will also help put boundaries around projects</w:t>
      </w:r>
      <w:r w:rsidR="00744554">
        <w:rPr>
          <w:rFonts w:cs="Arial"/>
          <w:bCs/>
          <w:sz w:val="22"/>
          <w:szCs w:val="22"/>
        </w:rPr>
        <w:t xml:space="preserve"> and understand how they align with strategic thinking</w:t>
      </w:r>
      <w:r w:rsidR="00030D0D">
        <w:rPr>
          <w:rFonts w:cs="Arial"/>
          <w:bCs/>
          <w:sz w:val="22"/>
          <w:szCs w:val="22"/>
        </w:rPr>
        <w:t xml:space="preserve">, as </w:t>
      </w:r>
      <w:r w:rsidR="00057771">
        <w:rPr>
          <w:rFonts w:cs="Arial"/>
          <w:bCs/>
          <w:sz w:val="22"/>
          <w:szCs w:val="22"/>
        </w:rPr>
        <w:t xml:space="preserve">the areas in which </w:t>
      </w:r>
      <w:r w:rsidR="00744554">
        <w:rPr>
          <w:rFonts w:cs="Arial"/>
          <w:bCs/>
          <w:sz w:val="22"/>
          <w:szCs w:val="22"/>
        </w:rPr>
        <w:t xml:space="preserve">Health </w:t>
      </w:r>
      <w:r w:rsidR="00057771">
        <w:rPr>
          <w:rFonts w:cs="Arial"/>
          <w:bCs/>
          <w:sz w:val="22"/>
          <w:szCs w:val="22"/>
        </w:rPr>
        <w:t xml:space="preserve">hopes to expand (e.g. obesity) do not easily align with either security or disaster management. </w:t>
      </w:r>
    </w:p>
    <w:p w14:paraId="217B0197" w14:textId="77777777" w:rsidR="00887207" w:rsidRDefault="00887207" w:rsidP="000E7A50">
      <w:pPr>
        <w:rPr>
          <w:rFonts w:cs="Arial"/>
          <w:bCs/>
          <w:sz w:val="22"/>
          <w:szCs w:val="22"/>
        </w:rPr>
      </w:pPr>
    </w:p>
    <w:p w14:paraId="06F8CCE9" w14:textId="77777777" w:rsidR="00887207" w:rsidRDefault="00887207" w:rsidP="000E7A50">
      <w:pPr>
        <w:rPr>
          <w:rFonts w:cs="Arial"/>
          <w:bCs/>
          <w:sz w:val="22"/>
          <w:szCs w:val="22"/>
        </w:rPr>
      </w:pPr>
      <w:r>
        <w:rPr>
          <w:rFonts w:cs="Arial"/>
          <w:bCs/>
          <w:sz w:val="22"/>
          <w:szCs w:val="22"/>
        </w:rPr>
        <w:t>Significant investment has gone into the M</w:t>
      </w:r>
      <w:r w:rsidR="00343FCD">
        <w:rPr>
          <w:rFonts w:cs="Arial"/>
          <w:bCs/>
          <w:sz w:val="22"/>
          <w:szCs w:val="22"/>
        </w:rPr>
        <w:t xml:space="preserve">arine </w:t>
      </w:r>
      <w:r>
        <w:rPr>
          <w:rFonts w:cs="Arial"/>
          <w:bCs/>
          <w:sz w:val="22"/>
          <w:szCs w:val="22"/>
        </w:rPr>
        <w:t>P</w:t>
      </w:r>
      <w:r w:rsidR="00343FCD">
        <w:rPr>
          <w:rFonts w:cs="Arial"/>
          <w:bCs/>
          <w:sz w:val="22"/>
          <w:szCs w:val="22"/>
        </w:rPr>
        <w:t xml:space="preserve">atrol </w:t>
      </w:r>
      <w:r>
        <w:rPr>
          <w:rFonts w:cs="Arial"/>
          <w:bCs/>
          <w:sz w:val="22"/>
          <w:szCs w:val="22"/>
        </w:rPr>
        <w:t>V</w:t>
      </w:r>
      <w:r w:rsidR="00343FCD">
        <w:rPr>
          <w:rFonts w:cs="Arial"/>
          <w:bCs/>
          <w:sz w:val="22"/>
          <w:szCs w:val="22"/>
        </w:rPr>
        <w:t>essel</w:t>
      </w:r>
      <w:r>
        <w:rPr>
          <w:rFonts w:cs="Arial"/>
          <w:bCs/>
          <w:sz w:val="22"/>
          <w:szCs w:val="22"/>
        </w:rPr>
        <w:t xml:space="preserve"> although the speed in which it was procured meant that quality was </w:t>
      </w:r>
      <w:r w:rsidR="00B97348">
        <w:rPr>
          <w:rFonts w:cs="Arial"/>
          <w:bCs/>
          <w:sz w:val="22"/>
          <w:szCs w:val="22"/>
        </w:rPr>
        <w:t>perceived to have been</w:t>
      </w:r>
      <w:r>
        <w:rPr>
          <w:rFonts w:cs="Arial"/>
          <w:bCs/>
          <w:sz w:val="22"/>
          <w:szCs w:val="22"/>
        </w:rPr>
        <w:t xml:space="preserve"> sacrificed. </w:t>
      </w:r>
      <w:r w:rsidR="00057771">
        <w:rPr>
          <w:rFonts w:cs="Arial"/>
          <w:bCs/>
          <w:sz w:val="22"/>
          <w:szCs w:val="22"/>
        </w:rPr>
        <w:t xml:space="preserve">Whilst this was acknowledged throughout the life-cycle of the Programme, </w:t>
      </w:r>
      <w:r w:rsidR="00057771" w:rsidRPr="00030D0D">
        <w:rPr>
          <w:rFonts w:cs="Arial"/>
          <w:b/>
          <w:bCs/>
          <w:sz w:val="22"/>
          <w:szCs w:val="22"/>
        </w:rPr>
        <w:t>any lessons learned need to be absorbed for other Programmes</w:t>
      </w:r>
      <w:r w:rsidR="00057771">
        <w:rPr>
          <w:rFonts w:cs="Arial"/>
          <w:bCs/>
          <w:sz w:val="22"/>
          <w:szCs w:val="22"/>
        </w:rPr>
        <w:t xml:space="preserve">. On-going discussions </w:t>
      </w:r>
      <w:r w:rsidR="00ED497F">
        <w:rPr>
          <w:rFonts w:cs="Arial"/>
          <w:bCs/>
          <w:sz w:val="22"/>
          <w:szCs w:val="22"/>
        </w:rPr>
        <w:t>relating to the</w:t>
      </w:r>
      <w:r>
        <w:rPr>
          <w:rFonts w:cs="Arial"/>
          <w:bCs/>
          <w:sz w:val="22"/>
          <w:szCs w:val="22"/>
        </w:rPr>
        <w:t xml:space="preserve"> MPV’s maintenance and upkeep</w:t>
      </w:r>
      <w:r w:rsidR="00ED497F">
        <w:rPr>
          <w:rFonts w:cs="Arial"/>
          <w:bCs/>
          <w:sz w:val="22"/>
          <w:szCs w:val="22"/>
        </w:rPr>
        <w:t xml:space="preserve"> need to be accelerated and agreed</w:t>
      </w:r>
      <w:r>
        <w:rPr>
          <w:rFonts w:cs="Arial"/>
          <w:bCs/>
          <w:sz w:val="22"/>
          <w:szCs w:val="22"/>
        </w:rPr>
        <w:t xml:space="preserve">, as well as rectifying any </w:t>
      </w:r>
      <w:r w:rsidR="00ED497F">
        <w:rPr>
          <w:rFonts w:cs="Arial"/>
          <w:bCs/>
          <w:sz w:val="22"/>
          <w:szCs w:val="22"/>
        </w:rPr>
        <w:t xml:space="preserve">logistical outstanding </w:t>
      </w:r>
      <w:r>
        <w:rPr>
          <w:rFonts w:cs="Arial"/>
          <w:bCs/>
          <w:sz w:val="22"/>
          <w:szCs w:val="22"/>
        </w:rPr>
        <w:t xml:space="preserve">issues </w:t>
      </w:r>
      <w:r w:rsidR="00ED497F">
        <w:rPr>
          <w:rFonts w:cs="Arial"/>
          <w:bCs/>
          <w:sz w:val="22"/>
          <w:szCs w:val="22"/>
        </w:rPr>
        <w:t xml:space="preserve">in order that the </w:t>
      </w:r>
      <w:r w:rsidR="009444B2">
        <w:rPr>
          <w:rFonts w:cs="Arial"/>
          <w:bCs/>
          <w:sz w:val="22"/>
          <w:szCs w:val="22"/>
        </w:rPr>
        <w:t xml:space="preserve">vessel </w:t>
      </w:r>
      <w:r w:rsidR="00ED497F">
        <w:rPr>
          <w:rFonts w:cs="Arial"/>
          <w:bCs/>
          <w:sz w:val="22"/>
          <w:szCs w:val="22"/>
        </w:rPr>
        <w:t>operates at optimum level</w:t>
      </w:r>
      <w:r>
        <w:rPr>
          <w:rFonts w:cs="Arial"/>
          <w:bCs/>
          <w:sz w:val="22"/>
          <w:szCs w:val="22"/>
        </w:rPr>
        <w:t xml:space="preserve">. </w:t>
      </w:r>
    </w:p>
    <w:p w14:paraId="11D9ABF6" w14:textId="77777777" w:rsidR="00030D0D" w:rsidRDefault="00030D0D" w:rsidP="000E7A50">
      <w:pPr>
        <w:rPr>
          <w:rFonts w:cs="Arial"/>
          <w:bCs/>
          <w:sz w:val="22"/>
          <w:szCs w:val="22"/>
        </w:rPr>
      </w:pPr>
    </w:p>
    <w:p w14:paraId="66A6C160" w14:textId="77777777" w:rsidR="00030D0D" w:rsidRPr="00B85D63" w:rsidRDefault="00030D0D" w:rsidP="000E7A50">
      <w:pPr>
        <w:rPr>
          <w:rFonts w:cs="Arial"/>
          <w:b/>
          <w:bCs/>
          <w:sz w:val="22"/>
          <w:szCs w:val="22"/>
        </w:rPr>
      </w:pPr>
      <w:r w:rsidRPr="00030D0D">
        <w:rPr>
          <w:rFonts w:cs="Arial"/>
          <w:b/>
          <w:bCs/>
          <w:sz w:val="22"/>
          <w:szCs w:val="22"/>
        </w:rPr>
        <w:t xml:space="preserve">A further workshop for core staff regarding law enforcement and criminal justice interventions </w:t>
      </w:r>
      <w:r w:rsidRPr="00744554">
        <w:rPr>
          <w:rFonts w:cs="Arial"/>
          <w:bCs/>
          <w:sz w:val="22"/>
          <w:szCs w:val="22"/>
        </w:rPr>
        <w:t xml:space="preserve">will help focus activities and ensure they are properly sequenced across the criminal justice chain. Special consideration should also be given to </w:t>
      </w:r>
      <w:r w:rsidR="00744554">
        <w:rPr>
          <w:rFonts w:cs="Arial"/>
          <w:bCs/>
          <w:sz w:val="22"/>
          <w:szCs w:val="22"/>
        </w:rPr>
        <w:t>asking how Child Safeguarding c</w:t>
      </w:r>
      <w:r w:rsidR="00744554" w:rsidRPr="00B85D63">
        <w:rPr>
          <w:rFonts w:cs="Arial"/>
          <w:bCs/>
          <w:sz w:val="22"/>
          <w:szCs w:val="22"/>
        </w:rPr>
        <w:t xml:space="preserve">an be </w:t>
      </w:r>
      <w:r w:rsidRPr="00B85D63">
        <w:rPr>
          <w:rFonts w:cs="Arial"/>
          <w:bCs/>
          <w:sz w:val="22"/>
          <w:szCs w:val="22"/>
        </w:rPr>
        <w:t xml:space="preserve">appropriately balanced alongside other areas of </w:t>
      </w:r>
      <w:r w:rsidR="00744554" w:rsidRPr="00B85D63">
        <w:rPr>
          <w:rFonts w:cs="Arial"/>
          <w:bCs/>
          <w:sz w:val="22"/>
          <w:szCs w:val="22"/>
        </w:rPr>
        <w:t xml:space="preserve">prevalent </w:t>
      </w:r>
      <w:r w:rsidRPr="00B85D63">
        <w:rPr>
          <w:rFonts w:cs="Arial"/>
          <w:bCs/>
          <w:sz w:val="22"/>
          <w:szCs w:val="22"/>
        </w:rPr>
        <w:t>criminality</w:t>
      </w:r>
      <w:r w:rsidRPr="00B85D63">
        <w:rPr>
          <w:rFonts w:cs="Arial"/>
          <w:b/>
          <w:bCs/>
          <w:sz w:val="22"/>
          <w:szCs w:val="22"/>
        </w:rPr>
        <w:t xml:space="preserve">. </w:t>
      </w:r>
    </w:p>
    <w:p w14:paraId="265564E1" w14:textId="77777777" w:rsidR="00053DF6" w:rsidRPr="00B85D63" w:rsidRDefault="00053DF6" w:rsidP="000E7A50">
      <w:pPr>
        <w:tabs>
          <w:tab w:val="left" w:pos="6915"/>
          <w:tab w:val="left" w:pos="9495"/>
        </w:tabs>
        <w:rPr>
          <w:b/>
          <w:sz w:val="22"/>
          <w:szCs w:val="22"/>
        </w:rPr>
      </w:pPr>
    </w:p>
    <w:p w14:paraId="350BDFE2" w14:textId="77777777" w:rsidR="00B274AC" w:rsidRPr="007D0BE4" w:rsidRDefault="00B274AC" w:rsidP="009975DC">
      <w:pPr>
        <w:tabs>
          <w:tab w:val="left" w:pos="6915"/>
          <w:tab w:val="left" w:pos="9495"/>
        </w:tabs>
        <w:jc w:val="both"/>
        <w:rPr>
          <w:sz w:val="22"/>
          <w:szCs w:val="22"/>
        </w:rPr>
      </w:pPr>
    </w:p>
    <w:sectPr w:rsidR="00B274AC" w:rsidRPr="007D0BE4" w:rsidSect="009975DC">
      <w:footerReference w:type="default" r:id="rId8"/>
      <w:pgSz w:w="11906" w:h="16838" w:code="9"/>
      <w:pgMar w:top="719" w:right="851" w:bottom="1134"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ACDDE" w14:textId="77777777" w:rsidR="00DB2C17" w:rsidRDefault="00DB2C17">
      <w:r>
        <w:separator/>
      </w:r>
    </w:p>
  </w:endnote>
  <w:endnote w:type="continuationSeparator" w:id="0">
    <w:p w14:paraId="62118412" w14:textId="77777777" w:rsidR="00DB2C17" w:rsidRDefault="00DB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69DB7" w14:textId="77777777" w:rsidR="00C22BDD" w:rsidRPr="00AE1D30" w:rsidRDefault="00C22BDD" w:rsidP="00AE1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9587C" w14:textId="77777777" w:rsidR="00DB2C17" w:rsidRDefault="00DB2C17">
      <w:r>
        <w:separator/>
      </w:r>
    </w:p>
  </w:footnote>
  <w:footnote w:type="continuationSeparator" w:id="0">
    <w:p w14:paraId="303FA7F6" w14:textId="77777777" w:rsidR="00DB2C17" w:rsidRDefault="00DB2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4158"/>
    <w:multiLevelType w:val="hybridMultilevel"/>
    <w:tmpl w:val="2604C6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63C8F"/>
    <w:multiLevelType w:val="hybridMultilevel"/>
    <w:tmpl w:val="931C3BFE"/>
    <w:lvl w:ilvl="0" w:tplc="0502837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62988"/>
    <w:multiLevelType w:val="hybridMultilevel"/>
    <w:tmpl w:val="18BA17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C2C0F"/>
    <w:multiLevelType w:val="hybridMultilevel"/>
    <w:tmpl w:val="E020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27438"/>
    <w:multiLevelType w:val="hybridMultilevel"/>
    <w:tmpl w:val="F3CEAA2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67340A"/>
    <w:multiLevelType w:val="hybridMultilevel"/>
    <w:tmpl w:val="602E25D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5541D5"/>
    <w:multiLevelType w:val="hybridMultilevel"/>
    <w:tmpl w:val="CD0CC44A"/>
    <w:lvl w:ilvl="0" w:tplc="DA16312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985FF2"/>
    <w:multiLevelType w:val="hybridMultilevel"/>
    <w:tmpl w:val="ACEA2C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FD79D6"/>
    <w:multiLevelType w:val="hybridMultilevel"/>
    <w:tmpl w:val="D5BADE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4A2333"/>
    <w:multiLevelType w:val="hybridMultilevel"/>
    <w:tmpl w:val="3092CB7A"/>
    <w:lvl w:ilvl="0" w:tplc="6442B178">
      <w:numFmt w:val="bullet"/>
      <w:lvlText w:val="-"/>
      <w:lvlJc w:val="left"/>
      <w:pPr>
        <w:ind w:left="784" w:hanging="360"/>
      </w:pPr>
      <w:rPr>
        <w:rFonts w:ascii="Arial" w:eastAsia="Times New Roman" w:hAnsi="Arial" w:cs="Aria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0" w15:restartNumberingAfterBreak="0">
    <w:nsid w:val="39077042"/>
    <w:multiLevelType w:val="hybridMultilevel"/>
    <w:tmpl w:val="3FFC19A4"/>
    <w:lvl w:ilvl="0" w:tplc="2A92AA7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E6D31"/>
    <w:multiLevelType w:val="hybridMultilevel"/>
    <w:tmpl w:val="6A5E033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AA2C0F"/>
    <w:multiLevelType w:val="multilevel"/>
    <w:tmpl w:val="85208D20"/>
    <w:lvl w:ilvl="0">
      <w:start w:val="1"/>
      <w:numFmt w:val="decimal"/>
      <w:lvlText w:val="%1."/>
      <w:lvlJc w:val="left"/>
      <w:pPr>
        <w:ind w:left="720" w:hanging="360"/>
      </w:pPr>
      <w:rPr>
        <w:rFonts w:hint="default"/>
      </w:rPr>
    </w:lvl>
    <w:lvl w:ilvl="1">
      <w:start w:val="1"/>
      <w:numFmt w:val="decimal"/>
      <w:isLgl/>
      <w:lvlText w:val="%1.%2"/>
      <w:lvlJc w:val="left"/>
      <w:pPr>
        <w:ind w:left="920" w:hanging="5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940323"/>
    <w:multiLevelType w:val="hybridMultilevel"/>
    <w:tmpl w:val="CE6EFBC8"/>
    <w:lvl w:ilvl="0" w:tplc="6442B1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E73407"/>
    <w:multiLevelType w:val="hybridMultilevel"/>
    <w:tmpl w:val="044A0A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1D530F"/>
    <w:multiLevelType w:val="hybridMultilevel"/>
    <w:tmpl w:val="5FAE0D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7D3763"/>
    <w:multiLevelType w:val="hybridMultilevel"/>
    <w:tmpl w:val="D464B6E4"/>
    <w:lvl w:ilvl="0" w:tplc="8B92CAE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577D9"/>
    <w:multiLevelType w:val="hybridMultilevel"/>
    <w:tmpl w:val="E8246C78"/>
    <w:lvl w:ilvl="0" w:tplc="ACF83E4A">
      <w:start w:val="1"/>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9F4FFA"/>
    <w:multiLevelType w:val="hybridMultilevel"/>
    <w:tmpl w:val="B9D008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F1272A"/>
    <w:multiLevelType w:val="hybridMultilevel"/>
    <w:tmpl w:val="180287C8"/>
    <w:lvl w:ilvl="0" w:tplc="7214E5B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96572E"/>
    <w:multiLevelType w:val="hybridMultilevel"/>
    <w:tmpl w:val="9EB63B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265DA7"/>
    <w:multiLevelType w:val="hybridMultilevel"/>
    <w:tmpl w:val="139A601A"/>
    <w:lvl w:ilvl="0" w:tplc="5FEA2EA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077DB2"/>
    <w:multiLevelType w:val="hybridMultilevel"/>
    <w:tmpl w:val="DE90F7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05C90"/>
    <w:multiLevelType w:val="hybridMultilevel"/>
    <w:tmpl w:val="9CF4C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347274"/>
    <w:multiLevelType w:val="hybridMultilevel"/>
    <w:tmpl w:val="628AE26C"/>
    <w:lvl w:ilvl="0" w:tplc="D8C4724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E90D4D"/>
    <w:multiLevelType w:val="hybridMultilevel"/>
    <w:tmpl w:val="F258A7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BC68D0"/>
    <w:multiLevelType w:val="hybridMultilevel"/>
    <w:tmpl w:val="48E28AC6"/>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C10FFE"/>
    <w:multiLevelType w:val="hybridMultilevel"/>
    <w:tmpl w:val="A8A2F4A4"/>
    <w:lvl w:ilvl="0" w:tplc="2DBE4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A84B4A"/>
    <w:multiLevelType w:val="hybridMultilevel"/>
    <w:tmpl w:val="27C65B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80163A"/>
    <w:multiLevelType w:val="hybridMultilevel"/>
    <w:tmpl w:val="9D287E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1"/>
  </w:num>
  <w:num w:numId="4">
    <w:abstractNumId w:val="15"/>
  </w:num>
  <w:num w:numId="5">
    <w:abstractNumId w:val="29"/>
  </w:num>
  <w:num w:numId="6">
    <w:abstractNumId w:val="8"/>
  </w:num>
  <w:num w:numId="7">
    <w:abstractNumId w:val="19"/>
  </w:num>
  <w:num w:numId="8">
    <w:abstractNumId w:val="21"/>
  </w:num>
  <w:num w:numId="9">
    <w:abstractNumId w:val="6"/>
  </w:num>
  <w:num w:numId="10">
    <w:abstractNumId w:val="7"/>
  </w:num>
  <w:num w:numId="11">
    <w:abstractNumId w:val="14"/>
  </w:num>
  <w:num w:numId="12">
    <w:abstractNumId w:val="0"/>
  </w:num>
  <w:num w:numId="13">
    <w:abstractNumId w:val="5"/>
  </w:num>
  <w:num w:numId="14">
    <w:abstractNumId w:val="11"/>
  </w:num>
  <w:num w:numId="15">
    <w:abstractNumId w:val="18"/>
  </w:num>
  <w:num w:numId="16">
    <w:abstractNumId w:val="22"/>
  </w:num>
  <w:num w:numId="17">
    <w:abstractNumId w:val="4"/>
  </w:num>
  <w:num w:numId="18">
    <w:abstractNumId w:val="20"/>
  </w:num>
  <w:num w:numId="19">
    <w:abstractNumId w:val="25"/>
  </w:num>
  <w:num w:numId="20">
    <w:abstractNumId w:val="2"/>
  </w:num>
  <w:num w:numId="21">
    <w:abstractNumId w:val="12"/>
  </w:num>
  <w:num w:numId="22">
    <w:abstractNumId w:val="27"/>
  </w:num>
  <w:num w:numId="23">
    <w:abstractNumId w:val="26"/>
  </w:num>
  <w:num w:numId="24">
    <w:abstractNumId w:val="3"/>
  </w:num>
  <w:num w:numId="25">
    <w:abstractNumId w:val="23"/>
  </w:num>
  <w:num w:numId="26">
    <w:abstractNumId w:val="17"/>
  </w:num>
  <w:num w:numId="27">
    <w:abstractNumId w:val="16"/>
  </w:num>
  <w:num w:numId="28">
    <w:abstractNumId w:val="24"/>
  </w:num>
  <w:num w:numId="29">
    <w:abstractNumId w:val="13"/>
  </w:num>
  <w:num w:numId="30">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MPD"/>
    <w:docVar w:name="PDAddr1" w:val=" "/>
    <w:docVar w:name="PDAddr2" w:val=" "/>
    <w:docVar w:name="PDAddr3" w:val=" "/>
    <w:docVar w:name="PDAddr4" w:val=" "/>
    <w:docVar w:name="PDDepartment" w:val="Multilateral Policy Directorate"/>
    <w:docVar w:name="PDEmail" w:val=" "/>
    <w:docVar w:name="PDFaxNo" w:val=" "/>
    <w:docVar w:name="PDFormalName" w:val=" "/>
    <w:docVar w:name="PDFullName" w:val="Amanda Harris"/>
    <w:docVar w:name="PDMaintainMarking" w:val="-1"/>
    <w:docVar w:name="PDMaintainPath" w:val="-1"/>
    <w:docVar w:name="PDPhoneNo" w:val=" "/>
    <w:docVar w:name="PDSection" w:val=" "/>
  </w:docVars>
  <w:rsids>
    <w:rsidRoot w:val="00745E9A"/>
    <w:rsid w:val="000012BB"/>
    <w:rsid w:val="000012E3"/>
    <w:rsid w:val="00001BF5"/>
    <w:rsid w:val="00015B32"/>
    <w:rsid w:val="000160FD"/>
    <w:rsid w:val="0001644D"/>
    <w:rsid w:val="00017DBE"/>
    <w:rsid w:val="00020936"/>
    <w:rsid w:val="00022CBB"/>
    <w:rsid w:val="00023509"/>
    <w:rsid w:val="00025209"/>
    <w:rsid w:val="00025F43"/>
    <w:rsid w:val="00026B51"/>
    <w:rsid w:val="000275A9"/>
    <w:rsid w:val="00030D0D"/>
    <w:rsid w:val="00032A47"/>
    <w:rsid w:val="0003530F"/>
    <w:rsid w:val="00036951"/>
    <w:rsid w:val="00036CB4"/>
    <w:rsid w:val="0003714C"/>
    <w:rsid w:val="00040896"/>
    <w:rsid w:val="00040D57"/>
    <w:rsid w:val="00041496"/>
    <w:rsid w:val="000475C0"/>
    <w:rsid w:val="0005219C"/>
    <w:rsid w:val="00052575"/>
    <w:rsid w:val="00053DF6"/>
    <w:rsid w:val="0005426A"/>
    <w:rsid w:val="00054B7A"/>
    <w:rsid w:val="0005744C"/>
    <w:rsid w:val="000576C4"/>
    <w:rsid w:val="00057771"/>
    <w:rsid w:val="000620DD"/>
    <w:rsid w:val="0006280A"/>
    <w:rsid w:val="0006359B"/>
    <w:rsid w:val="000663DE"/>
    <w:rsid w:val="00066929"/>
    <w:rsid w:val="00067681"/>
    <w:rsid w:val="00071F45"/>
    <w:rsid w:val="00075CE4"/>
    <w:rsid w:val="00076648"/>
    <w:rsid w:val="0007756F"/>
    <w:rsid w:val="00080174"/>
    <w:rsid w:val="00082A07"/>
    <w:rsid w:val="000833F2"/>
    <w:rsid w:val="00092BED"/>
    <w:rsid w:val="0009310B"/>
    <w:rsid w:val="00097BFF"/>
    <w:rsid w:val="00097D0A"/>
    <w:rsid w:val="000A0748"/>
    <w:rsid w:val="000A183A"/>
    <w:rsid w:val="000A560D"/>
    <w:rsid w:val="000A59F6"/>
    <w:rsid w:val="000A61EA"/>
    <w:rsid w:val="000A653F"/>
    <w:rsid w:val="000A75CF"/>
    <w:rsid w:val="000B003E"/>
    <w:rsid w:val="000B26CE"/>
    <w:rsid w:val="000B55DC"/>
    <w:rsid w:val="000C0B4D"/>
    <w:rsid w:val="000C0C1F"/>
    <w:rsid w:val="000C21B5"/>
    <w:rsid w:val="000D1B29"/>
    <w:rsid w:val="000D2D54"/>
    <w:rsid w:val="000D6C85"/>
    <w:rsid w:val="000E0555"/>
    <w:rsid w:val="000E0876"/>
    <w:rsid w:val="000E1866"/>
    <w:rsid w:val="000E1BD7"/>
    <w:rsid w:val="000E64D0"/>
    <w:rsid w:val="000E7A50"/>
    <w:rsid w:val="000F05D0"/>
    <w:rsid w:val="000F1AE7"/>
    <w:rsid w:val="000F3176"/>
    <w:rsid w:val="000F5A58"/>
    <w:rsid w:val="000F5D64"/>
    <w:rsid w:val="000F7B81"/>
    <w:rsid w:val="00103116"/>
    <w:rsid w:val="00103221"/>
    <w:rsid w:val="0010327B"/>
    <w:rsid w:val="0010355D"/>
    <w:rsid w:val="00104997"/>
    <w:rsid w:val="00107312"/>
    <w:rsid w:val="0011381A"/>
    <w:rsid w:val="00113CA3"/>
    <w:rsid w:val="001154CF"/>
    <w:rsid w:val="00120A59"/>
    <w:rsid w:val="00127CFC"/>
    <w:rsid w:val="00133377"/>
    <w:rsid w:val="001350CD"/>
    <w:rsid w:val="001351D5"/>
    <w:rsid w:val="00136924"/>
    <w:rsid w:val="0013733F"/>
    <w:rsid w:val="00143A48"/>
    <w:rsid w:val="00143EF3"/>
    <w:rsid w:val="00144C58"/>
    <w:rsid w:val="00145B0C"/>
    <w:rsid w:val="00146121"/>
    <w:rsid w:val="00150FE9"/>
    <w:rsid w:val="00152D1D"/>
    <w:rsid w:val="0015320B"/>
    <w:rsid w:val="00153352"/>
    <w:rsid w:val="00155B27"/>
    <w:rsid w:val="0015604B"/>
    <w:rsid w:val="00157035"/>
    <w:rsid w:val="001602E0"/>
    <w:rsid w:val="001621BC"/>
    <w:rsid w:val="00162226"/>
    <w:rsid w:val="00164AC6"/>
    <w:rsid w:val="00165280"/>
    <w:rsid w:val="00165705"/>
    <w:rsid w:val="0016625A"/>
    <w:rsid w:val="00174232"/>
    <w:rsid w:val="00177863"/>
    <w:rsid w:val="001808D5"/>
    <w:rsid w:val="00181B82"/>
    <w:rsid w:val="00182855"/>
    <w:rsid w:val="001910FF"/>
    <w:rsid w:val="001944EB"/>
    <w:rsid w:val="001956E6"/>
    <w:rsid w:val="00196F05"/>
    <w:rsid w:val="001A20A3"/>
    <w:rsid w:val="001A4F86"/>
    <w:rsid w:val="001A5D5D"/>
    <w:rsid w:val="001B0335"/>
    <w:rsid w:val="001B0610"/>
    <w:rsid w:val="001B187C"/>
    <w:rsid w:val="001B4964"/>
    <w:rsid w:val="001B7659"/>
    <w:rsid w:val="001B7C39"/>
    <w:rsid w:val="001C14DC"/>
    <w:rsid w:val="001D1C44"/>
    <w:rsid w:val="001D2B21"/>
    <w:rsid w:val="001D654E"/>
    <w:rsid w:val="001D78CE"/>
    <w:rsid w:val="001E0204"/>
    <w:rsid w:val="001E134D"/>
    <w:rsid w:val="001E30A4"/>
    <w:rsid w:val="001E3D9B"/>
    <w:rsid w:val="001E437B"/>
    <w:rsid w:val="001E6997"/>
    <w:rsid w:val="001F01F1"/>
    <w:rsid w:val="001F43A7"/>
    <w:rsid w:val="001F46CC"/>
    <w:rsid w:val="001F6868"/>
    <w:rsid w:val="001F730B"/>
    <w:rsid w:val="0020237C"/>
    <w:rsid w:val="0020464E"/>
    <w:rsid w:val="002149CF"/>
    <w:rsid w:val="0021506D"/>
    <w:rsid w:val="00217702"/>
    <w:rsid w:val="00220976"/>
    <w:rsid w:val="00222145"/>
    <w:rsid w:val="00222AA6"/>
    <w:rsid w:val="00237750"/>
    <w:rsid w:val="00237FF2"/>
    <w:rsid w:val="00240E74"/>
    <w:rsid w:val="002410D6"/>
    <w:rsid w:val="0024123F"/>
    <w:rsid w:val="002428B6"/>
    <w:rsid w:val="00244FE3"/>
    <w:rsid w:val="002455B3"/>
    <w:rsid w:val="0024799A"/>
    <w:rsid w:val="00250B60"/>
    <w:rsid w:val="00252239"/>
    <w:rsid w:val="0025392F"/>
    <w:rsid w:val="00254ABB"/>
    <w:rsid w:val="00254B3C"/>
    <w:rsid w:val="00256C02"/>
    <w:rsid w:val="00261FF4"/>
    <w:rsid w:val="00262DCB"/>
    <w:rsid w:val="00270226"/>
    <w:rsid w:val="0027232C"/>
    <w:rsid w:val="00272D0D"/>
    <w:rsid w:val="00276AA6"/>
    <w:rsid w:val="002806BB"/>
    <w:rsid w:val="00285D4A"/>
    <w:rsid w:val="00287132"/>
    <w:rsid w:val="00287BD6"/>
    <w:rsid w:val="00295B52"/>
    <w:rsid w:val="002965D2"/>
    <w:rsid w:val="00297433"/>
    <w:rsid w:val="002A7D65"/>
    <w:rsid w:val="002B06A7"/>
    <w:rsid w:val="002B1B64"/>
    <w:rsid w:val="002B1B68"/>
    <w:rsid w:val="002B2AB8"/>
    <w:rsid w:val="002B2F32"/>
    <w:rsid w:val="002B3D01"/>
    <w:rsid w:val="002B631B"/>
    <w:rsid w:val="002C5D59"/>
    <w:rsid w:val="002C7588"/>
    <w:rsid w:val="002D21B6"/>
    <w:rsid w:val="002D67ED"/>
    <w:rsid w:val="002D7DC5"/>
    <w:rsid w:val="002E17FB"/>
    <w:rsid w:val="002E4421"/>
    <w:rsid w:val="002E543D"/>
    <w:rsid w:val="002E581D"/>
    <w:rsid w:val="002F0383"/>
    <w:rsid w:val="002F0E6B"/>
    <w:rsid w:val="002F4B26"/>
    <w:rsid w:val="002F60DA"/>
    <w:rsid w:val="002F6E7E"/>
    <w:rsid w:val="00302878"/>
    <w:rsid w:val="0030534B"/>
    <w:rsid w:val="0030539D"/>
    <w:rsid w:val="00310328"/>
    <w:rsid w:val="00311AAC"/>
    <w:rsid w:val="00312707"/>
    <w:rsid w:val="0031278B"/>
    <w:rsid w:val="00315A7C"/>
    <w:rsid w:val="0031773B"/>
    <w:rsid w:val="00321924"/>
    <w:rsid w:val="0032597D"/>
    <w:rsid w:val="003301DC"/>
    <w:rsid w:val="00330A0B"/>
    <w:rsid w:val="00334C6E"/>
    <w:rsid w:val="00336CAF"/>
    <w:rsid w:val="0034371F"/>
    <w:rsid w:val="00343D21"/>
    <w:rsid w:val="00343FCD"/>
    <w:rsid w:val="003457F8"/>
    <w:rsid w:val="003469B8"/>
    <w:rsid w:val="00353475"/>
    <w:rsid w:val="00354399"/>
    <w:rsid w:val="003578B3"/>
    <w:rsid w:val="00357950"/>
    <w:rsid w:val="00360032"/>
    <w:rsid w:val="003612A2"/>
    <w:rsid w:val="00362D9E"/>
    <w:rsid w:val="003645D7"/>
    <w:rsid w:val="00364AD2"/>
    <w:rsid w:val="0036773C"/>
    <w:rsid w:val="0038646B"/>
    <w:rsid w:val="0039040B"/>
    <w:rsid w:val="003913DB"/>
    <w:rsid w:val="00393C63"/>
    <w:rsid w:val="00395558"/>
    <w:rsid w:val="003970DA"/>
    <w:rsid w:val="003A077A"/>
    <w:rsid w:val="003A09F2"/>
    <w:rsid w:val="003A30A5"/>
    <w:rsid w:val="003A50FD"/>
    <w:rsid w:val="003A77BB"/>
    <w:rsid w:val="003B06F4"/>
    <w:rsid w:val="003B4532"/>
    <w:rsid w:val="003B7C82"/>
    <w:rsid w:val="003C06AD"/>
    <w:rsid w:val="003C090A"/>
    <w:rsid w:val="003C1703"/>
    <w:rsid w:val="003C2C4C"/>
    <w:rsid w:val="003C320D"/>
    <w:rsid w:val="003C4414"/>
    <w:rsid w:val="003C4630"/>
    <w:rsid w:val="003C4BEB"/>
    <w:rsid w:val="003C51E7"/>
    <w:rsid w:val="003C524B"/>
    <w:rsid w:val="003C6438"/>
    <w:rsid w:val="003C723A"/>
    <w:rsid w:val="003D5062"/>
    <w:rsid w:val="003E0ED6"/>
    <w:rsid w:val="003E15C2"/>
    <w:rsid w:val="003E7E85"/>
    <w:rsid w:val="003F1F0B"/>
    <w:rsid w:val="003F203F"/>
    <w:rsid w:val="003F2B18"/>
    <w:rsid w:val="003F2E6F"/>
    <w:rsid w:val="003F5D5C"/>
    <w:rsid w:val="0040116C"/>
    <w:rsid w:val="00401547"/>
    <w:rsid w:val="00402B7A"/>
    <w:rsid w:val="00403B10"/>
    <w:rsid w:val="00403CB4"/>
    <w:rsid w:val="00404AA2"/>
    <w:rsid w:val="004065E5"/>
    <w:rsid w:val="00410DBD"/>
    <w:rsid w:val="004110D6"/>
    <w:rsid w:val="00412D76"/>
    <w:rsid w:val="0041412D"/>
    <w:rsid w:val="00422AFC"/>
    <w:rsid w:val="004268A7"/>
    <w:rsid w:val="004269FB"/>
    <w:rsid w:val="004320C2"/>
    <w:rsid w:val="00432F30"/>
    <w:rsid w:val="00433544"/>
    <w:rsid w:val="0043492A"/>
    <w:rsid w:val="00441BB2"/>
    <w:rsid w:val="00442104"/>
    <w:rsid w:val="004443CA"/>
    <w:rsid w:val="004446E5"/>
    <w:rsid w:val="004451AA"/>
    <w:rsid w:val="00450671"/>
    <w:rsid w:val="00455FB8"/>
    <w:rsid w:val="00456214"/>
    <w:rsid w:val="00457C18"/>
    <w:rsid w:val="00460B9F"/>
    <w:rsid w:val="0046232B"/>
    <w:rsid w:val="004638BD"/>
    <w:rsid w:val="00463EA4"/>
    <w:rsid w:val="00467C21"/>
    <w:rsid w:val="0047030E"/>
    <w:rsid w:val="00474458"/>
    <w:rsid w:val="00476A4F"/>
    <w:rsid w:val="00483A49"/>
    <w:rsid w:val="00484B8D"/>
    <w:rsid w:val="0048798B"/>
    <w:rsid w:val="0049027B"/>
    <w:rsid w:val="00491C71"/>
    <w:rsid w:val="00492925"/>
    <w:rsid w:val="00496FAC"/>
    <w:rsid w:val="004A0EB8"/>
    <w:rsid w:val="004A12EE"/>
    <w:rsid w:val="004A2CDA"/>
    <w:rsid w:val="004A47F7"/>
    <w:rsid w:val="004A6BE5"/>
    <w:rsid w:val="004A79AF"/>
    <w:rsid w:val="004B090E"/>
    <w:rsid w:val="004B163A"/>
    <w:rsid w:val="004B1A17"/>
    <w:rsid w:val="004B5652"/>
    <w:rsid w:val="004B669F"/>
    <w:rsid w:val="004C02C3"/>
    <w:rsid w:val="004C03D7"/>
    <w:rsid w:val="004C047F"/>
    <w:rsid w:val="004C6AAD"/>
    <w:rsid w:val="004C71BA"/>
    <w:rsid w:val="004C7C87"/>
    <w:rsid w:val="004D118C"/>
    <w:rsid w:val="004D27A7"/>
    <w:rsid w:val="004D45C6"/>
    <w:rsid w:val="004D47A2"/>
    <w:rsid w:val="004D5892"/>
    <w:rsid w:val="004E39C1"/>
    <w:rsid w:val="004E412B"/>
    <w:rsid w:val="004F1211"/>
    <w:rsid w:val="004F6979"/>
    <w:rsid w:val="004F7C86"/>
    <w:rsid w:val="00501838"/>
    <w:rsid w:val="00502171"/>
    <w:rsid w:val="00504BBD"/>
    <w:rsid w:val="00504E18"/>
    <w:rsid w:val="00505EAC"/>
    <w:rsid w:val="0050688D"/>
    <w:rsid w:val="00506959"/>
    <w:rsid w:val="00506E5C"/>
    <w:rsid w:val="00507097"/>
    <w:rsid w:val="0050746C"/>
    <w:rsid w:val="0050753E"/>
    <w:rsid w:val="00512929"/>
    <w:rsid w:val="00517F51"/>
    <w:rsid w:val="00521737"/>
    <w:rsid w:val="00521EB8"/>
    <w:rsid w:val="005221E5"/>
    <w:rsid w:val="005233B8"/>
    <w:rsid w:val="00526C69"/>
    <w:rsid w:val="00526D84"/>
    <w:rsid w:val="00527BA1"/>
    <w:rsid w:val="00533752"/>
    <w:rsid w:val="00533E16"/>
    <w:rsid w:val="00533E4E"/>
    <w:rsid w:val="005345FE"/>
    <w:rsid w:val="00534936"/>
    <w:rsid w:val="00534E41"/>
    <w:rsid w:val="00534E73"/>
    <w:rsid w:val="005426B0"/>
    <w:rsid w:val="00543787"/>
    <w:rsid w:val="0054411C"/>
    <w:rsid w:val="00544332"/>
    <w:rsid w:val="00554326"/>
    <w:rsid w:val="00554A80"/>
    <w:rsid w:val="0055583B"/>
    <w:rsid w:val="0057188B"/>
    <w:rsid w:val="005807F0"/>
    <w:rsid w:val="0058187C"/>
    <w:rsid w:val="00583E29"/>
    <w:rsid w:val="00585488"/>
    <w:rsid w:val="00590049"/>
    <w:rsid w:val="00591580"/>
    <w:rsid w:val="0059343C"/>
    <w:rsid w:val="00593845"/>
    <w:rsid w:val="00597163"/>
    <w:rsid w:val="005A0CF3"/>
    <w:rsid w:val="005A16C4"/>
    <w:rsid w:val="005A4716"/>
    <w:rsid w:val="005A50CB"/>
    <w:rsid w:val="005A700E"/>
    <w:rsid w:val="005C1EFE"/>
    <w:rsid w:val="005C2CEA"/>
    <w:rsid w:val="005C3C5A"/>
    <w:rsid w:val="005C5708"/>
    <w:rsid w:val="005C7052"/>
    <w:rsid w:val="005D12F3"/>
    <w:rsid w:val="005D17A0"/>
    <w:rsid w:val="005D20F0"/>
    <w:rsid w:val="005D65D3"/>
    <w:rsid w:val="005E201C"/>
    <w:rsid w:val="005E264B"/>
    <w:rsid w:val="005E6421"/>
    <w:rsid w:val="005E6634"/>
    <w:rsid w:val="005F5801"/>
    <w:rsid w:val="00600EA4"/>
    <w:rsid w:val="0060393E"/>
    <w:rsid w:val="006100B5"/>
    <w:rsid w:val="00610D4B"/>
    <w:rsid w:val="006135C7"/>
    <w:rsid w:val="0061372E"/>
    <w:rsid w:val="006156BB"/>
    <w:rsid w:val="0061591D"/>
    <w:rsid w:val="00615EC0"/>
    <w:rsid w:val="00620914"/>
    <w:rsid w:val="006209C4"/>
    <w:rsid w:val="00622D8C"/>
    <w:rsid w:val="006255BE"/>
    <w:rsid w:val="00635ECE"/>
    <w:rsid w:val="00636BD0"/>
    <w:rsid w:val="00637C20"/>
    <w:rsid w:val="006400AA"/>
    <w:rsid w:val="00642FDE"/>
    <w:rsid w:val="0064339B"/>
    <w:rsid w:val="00644989"/>
    <w:rsid w:val="006462E9"/>
    <w:rsid w:val="00647C7C"/>
    <w:rsid w:val="00650A2E"/>
    <w:rsid w:val="0065144C"/>
    <w:rsid w:val="0065306A"/>
    <w:rsid w:val="00654B17"/>
    <w:rsid w:val="0066084C"/>
    <w:rsid w:val="006625A4"/>
    <w:rsid w:val="0066421A"/>
    <w:rsid w:val="00666A2D"/>
    <w:rsid w:val="00667199"/>
    <w:rsid w:val="006676E1"/>
    <w:rsid w:val="00667A81"/>
    <w:rsid w:val="0067097D"/>
    <w:rsid w:val="00670ED5"/>
    <w:rsid w:val="0067170F"/>
    <w:rsid w:val="00673A17"/>
    <w:rsid w:val="006764FB"/>
    <w:rsid w:val="00681699"/>
    <w:rsid w:val="00682495"/>
    <w:rsid w:val="00682F63"/>
    <w:rsid w:val="006840DB"/>
    <w:rsid w:val="00694AB2"/>
    <w:rsid w:val="0069530A"/>
    <w:rsid w:val="0069697C"/>
    <w:rsid w:val="006971EB"/>
    <w:rsid w:val="006A0FE3"/>
    <w:rsid w:val="006A1D57"/>
    <w:rsid w:val="006A3BA9"/>
    <w:rsid w:val="006A5340"/>
    <w:rsid w:val="006A71BD"/>
    <w:rsid w:val="006A724A"/>
    <w:rsid w:val="006A7AEF"/>
    <w:rsid w:val="006B347B"/>
    <w:rsid w:val="006C041E"/>
    <w:rsid w:val="006C084C"/>
    <w:rsid w:val="006C13D9"/>
    <w:rsid w:val="006C146E"/>
    <w:rsid w:val="006C2A1A"/>
    <w:rsid w:val="006C529C"/>
    <w:rsid w:val="006C712A"/>
    <w:rsid w:val="006C7378"/>
    <w:rsid w:val="006D03EE"/>
    <w:rsid w:val="006D4C2B"/>
    <w:rsid w:val="006D72BA"/>
    <w:rsid w:val="006E0D78"/>
    <w:rsid w:val="006E1262"/>
    <w:rsid w:val="006E1965"/>
    <w:rsid w:val="006E1C74"/>
    <w:rsid w:val="006E3253"/>
    <w:rsid w:val="006E3675"/>
    <w:rsid w:val="006E47E7"/>
    <w:rsid w:val="006E78E5"/>
    <w:rsid w:val="006F357C"/>
    <w:rsid w:val="006F7625"/>
    <w:rsid w:val="0070077F"/>
    <w:rsid w:val="0070168C"/>
    <w:rsid w:val="00702FB2"/>
    <w:rsid w:val="00703EF8"/>
    <w:rsid w:val="00704ED1"/>
    <w:rsid w:val="0070607C"/>
    <w:rsid w:val="00707FCA"/>
    <w:rsid w:val="007217E5"/>
    <w:rsid w:val="00722CEA"/>
    <w:rsid w:val="0072549E"/>
    <w:rsid w:val="00730515"/>
    <w:rsid w:val="00731210"/>
    <w:rsid w:val="00731821"/>
    <w:rsid w:val="00732D87"/>
    <w:rsid w:val="007336DF"/>
    <w:rsid w:val="00733BA1"/>
    <w:rsid w:val="00734A9B"/>
    <w:rsid w:val="00742263"/>
    <w:rsid w:val="00744554"/>
    <w:rsid w:val="007452FA"/>
    <w:rsid w:val="007459F1"/>
    <w:rsid w:val="00745E9A"/>
    <w:rsid w:val="00746853"/>
    <w:rsid w:val="00747A51"/>
    <w:rsid w:val="00747FDB"/>
    <w:rsid w:val="00752942"/>
    <w:rsid w:val="00762A7D"/>
    <w:rsid w:val="00767299"/>
    <w:rsid w:val="00767DD8"/>
    <w:rsid w:val="00767F5C"/>
    <w:rsid w:val="0077093F"/>
    <w:rsid w:val="0077110F"/>
    <w:rsid w:val="0077594C"/>
    <w:rsid w:val="00780F9E"/>
    <w:rsid w:val="0078259E"/>
    <w:rsid w:val="007827E9"/>
    <w:rsid w:val="00783AA7"/>
    <w:rsid w:val="0078574B"/>
    <w:rsid w:val="00787A7B"/>
    <w:rsid w:val="0079090B"/>
    <w:rsid w:val="00791E8C"/>
    <w:rsid w:val="0079622D"/>
    <w:rsid w:val="00797F0E"/>
    <w:rsid w:val="007A527F"/>
    <w:rsid w:val="007B00E4"/>
    <w:rsid w:val="007B2540"/>
    <w:rsid w:val="007B3385"/>
    <w:rsid w:val="007B5122"/>
    <w:rsid w:val="007B6289"/>
    <w:rsid w:val="007B69D0"/>
    <w:rsid w:val="007B788C"/>
    <w:rsid w:val="007C45C0"/>
    <w:rsid w:val="007C7A14"/>
    <w:rsid w:val="007D0BE4"/>
    <w:rsid w:val="007D3253"/>
    <w:rsid w:val="007D74C8"/>
    <w:rsid w:val="007D7B6D"/>
    <w:rsid w:val="007E0341"/>
    <w:rsid w:val="007E548B"/>
    <w:rsid w:val="007E6D2A"/>
    <w:rsid w:val="007F003B"/>
    <w:rsid w:val="007F18D4"/>
    <w:rsid w:val="007F2A47"/>
    <w:rsid w:val="007F4C23"/>
    <w:rsid w:val="007F7283"/>
    <w:rsid w:val="00806801"/>
    <w:rsid w:val="00810976"/>
    <w:rsid w:val="008121B6"/>
    <w:rsid w:val="008219AA"/>
    <w:rsid w:val="008250CC"/>
    <w:rsid w:val="0082645E"/>
    <w:rsid w:val="00827069"/>
    <w:rsid w:val="008310FD"/>
    <w:rsid w:val="008345D6"/>
    <w:rsid w:val="008348F2"/>
    <w:rsid w:val="008361F3"/>
    <w:rsid w:val="0083637B"/>
    <w:rsid w:val="00842C58"/>
    <w:rsid w:val="0084592B"/>
    <w:rsid w:val="00845EFB"/>
    <w:rsid w:val="0085053B"/>
    <w:rsid w:val="0085201F"/>
    <w:rsid w:val="0085206D"/>
    <w:rsid w:val="00855624"/>
    <w:rsid w:val="00857DC5"/>
    <w:rsid w:val="00861F0B"/>
    <w:rsid w:val="00862C27"/>
    <w:rsid w:val="008647F9"/>
    <w:rsid w:val="00864EB8"/>
    <w:rsid w:val="0086635E"/>
    <w:rsid w:val="00871D53"/>
    <w:rsid w:val="00872E03"/>
    <w:rsid w:val="00873397"/>
    <w:rsid w:val="0087653B"/>
    <w:rsid w:val="00876B49"/>
    <w:rsid w:val="00880A26"/>
    <w:rsid w:val="00885D0D"/>
    <w:rsid w:val="00885FC4"/>
    <w:rsid w:val="008860CA"/>
    <w:rsid w:val="0088622D"/>
    <w:rsid w:val="00887207"/>
    <w:rsid w:val="00891AAD"/>
    <w:rsid w:val="00893388"/>
    <w:rsid w:val="00893D6C"/>
    <w:rsid w:val="008965EA"/>
    <w:rsid w:val="008975F9"/>
    <w:rsid w:val="008A1A14"/>
    <w:rsid w:val="008A3ED1"/>
    <w:rsid w:val="008A72A6"/>
    <w:rsid w:val="008B4EB1"/>
    <w:rsid w:val="008C049D"/>
    <w:rsid w:val="008C2787"/>
    <w:rsid w:val="008C4D06"/>
    <w:rsid w:val="008D1277"/>
    <w:rsid w:val="008D5231"/>
    <w:rsid w:val="008E3C8F"/>
    <w:rsid w:val="008E4C02"/>
    <w:rsid w:val="008E5B4E"/>
    <w:rsid w:val="008E7C4C"/>
    <w:rsid w:val="008F66E7"/>
    <w:rsid w:val="00904179"/>
    <w:rsid w:val="00907245"/>
    <w:rsid w:val="0090758C"/>
    <w:rsid w:val="0091098A"/>
    <w:rsid w:val="00910AA2"/>
    <w:rsid w:val="00910CFF"/>
    <w:rsid w:val="00913D23"/>
    <w:rsid w:val="00915077"/>
    <w:rsid w:val="0091655F"/>
    <w:rsid w:val="0091702B"/>
    <w:rsid w:val="009173D1"/>
    <w:rsid w:val="0092020E"/>
    <w:rsid w:val="00921F1B"/>
    <w:rsid w:val="00922613"/>
    <w:rsid w:val="00923176"/>
    <w:rsid w:val="009275CD"/>
    <w:rsid w:val="00927745"/>
    <w:rsid w:val="00930158"/>
    <w:rsid w:val="00931CF6"/>
    <w:rsid w:val="0093342A"/>
    <w:rsid w:val="00933EB2"/>
    <w:rsid w:val="009366BA"/>
    <w:rsid w:val="00940793"/>
    <w:rsid w:val="00940AD2"/>
    <w:rsid w:val="00940B21"/>
    <w:rsid w:val="00940E28"/>
    <w:rsid w:val="00942923"/>
    <w:rsid w:val="009444B2"/>
    <w:rsid w:val="00944BE2"/>
    <w:rsid w:val="009453BA"/>
    <w:rsid w:val="00950BC5"/>
    <w:rsid w:val="0095553D"/>
    <w:rsid w:val="00955C04"/>
    <w:rsid w:val="00956F39"/>
    <w:rsid w:val="009575A2"/>
    <w:rsid w:val="009603E7"/>
    <w:rsid w:val="0096190A"/>
    <w:rsid w:val="009641CD"/>
    <w:rsid w:val="009712DF"/>
    <w:rsid w:val="00980213"/>
    <w:rsid w:val="00980F6A"/>
    <w:rsid w:val="00982070"/>
    <w:rsid w:val="009821AF"/>
    <w:rsid w:val="009828E5"/>
    <w:rsid w:val="009866FC"/>
    <w:rsid w:val="00992704"/>
    <w:rsid w:val="0099392E"/>
    <w:rsid w:val="0099747F"/>
    <w:rsid w:val="009975DC"/>
    <w:rsid w:val="009A07CC"/>
    <w:rsid w:val="009A0FA6"/>
    <w:rsid w:val="009A4A9E"/>
    <w:rsid w:val="009A4C99"/>
    <w:rsid w:val="009A631B"/>
    <w:rsid w:val="009B0314"/>
    <w:rsid w:val="009B11A0"/>
    <w:rsid w:val="009B1BC9"/>
    <w:rsid w:val="009B4AFB"/>
    <w:rsid w:val="009B618D"/>
    <w:rsid w:val="009C0E2C"/>
    <w:rsid w:val="009C4691"/>
    <w:rsid w:val="009C4D03"/>
    <w:rsid w:val="009C6C2A"/>
    <w:rsid w:val="009D0D90"/>
    <w:rsid w:val="009D1C32"/>
    <w:rsid w:val="009D1F49"/>
    <w:rsid w:val="009D2BCB"/>
    <w:rsid w:val="009D2EEE"/>
    <w:rsid w:val="009D5212"/>
    <w:rsid w:val="009D65B9"/>
    <w:rsid w:val="009E0243"/>
    <w:rsid w:val="009E11F9"/>
    <w:rsid w:val="009E1B5E"/>
    <w:rsid w:val="009E51FF"/>
    <w:rsid w:val="009E540D"/>
    <w:rsid w:val="009F099C"/>
    <w:rsid w:val="009F126D"/>
    <w:rsid w:val="009F26CF"/>
    <w:rsid w:val="009F7F21"/>
    <w:rsid w:val="00A02C85"/>
    <w:rsid w:val="00A0477D"/>
    <w:rsid w:val="00A10ACE"/>
    <w:rsid w:val="00A15055"/>
    <w:rsid w:val="00A16325"/>
    <w:rsid w:val="00A2083F"/>
    <w:rsid w:val="00A20BCE"/>
    <w:rsid w:val="00A229E2"/>
    <w:rsid w:val="00A22B9E"/>
    <w:rsid w:val="00A23C88"/>
    <w:rsid w:val="00A32EDB"/>
    <w:rsid w:val="00A34041"/>
    <w:rsid w:val="00A40046"/>
    <w:rsid w:val="00A42F59"/>
    <w:rsid w:val="00A432CB"/>
    <w:rsid w:val="00A449FC"/>
    <w:rsid w:val="00A4556C"/>
    <w:rsid w:val="00A473AA"/>
    <w:rsid w:val="00A516E6"/>
    <w:rsid w:val="00A551DB"/>
    <w:rsid w:val="00A578D8"/>
    <w:rsid w:val="00A62FD7"/>
    <w:rsid w:val="00A65288"/>
    <w:rsid w:val="00A6593F"/>
    <w:rsid w:val="00A662DA"/>
    <w:rsid w:val="00A709E3"/>
    <w:rsid w:val="00A71677"/>
    <w:rsid w:val="00A7340E"/>
    <w:rsid w:val="00A74197"/>
    <w:rsid w:val="00A8033E"/>
    <w:rsid w:val="00A8345D"/>
    <w:rsid w:val="00A83DBF"/>
    <w:rsid w:val="00A84B07"/>
    <w:rsid w:val="00A85DF7"/>
    <w:rsid w:val="00A90ED9"/>
    <w:rsid w:val="00A92785"/>
    <w:rsid w:val="00A9354F"/>
    <w:rsid w:val="00A93FEB"/>
    <w:rsid w:val="00A95864"/>
    <w:rsid w:val="00A96B2D"/>
    <w:rsid w:val="00AA1335"/>
    <w:rsid w:val="00AA5F3F"/>
    <w:rsid w:val="00AB01AF"/>
    <w:rsid w:val="00AB3060"/>
    <w:rsid w:val="00AB3EFE"/>
    <w:rsid w:val="00AB7884"/>
    <w:rsid w:val="00AB79A0"/>
    <w:rsid w:val="00AC1DA2"/>
    <w:rsid w:val="00AC3C9A"/>
    <w:rsid w:val="00AC5E2E"/>
    <w:rsid w:val="00AC668A"/>
    <w:rsid w:val="00AC729E"/>
    <w:rsid w:val="00AD3DB5"/>
    <w:rsid w:val="00AD7338"/>
    <w:rsid w:val="00AE1D30"/>
    <w:rsid w:val="00AF2006"/>
    <w:rsid w:val="00AF27A8"/>
    <w:rsid w:val="00AF4884"/>
    <w:rsid w:val="00AF536D"/>
    <w:rsid w:val="00AF7B08"/>
    <w:rsid w:val="00B0418B"/>
    <w:rsid w:val="00B0541D"/>
    <w:rsid w:val="00B07E08"/>
    <w:rsid w:val="00B11F67"/>
    <w:rsid w:val="00B13892"/>
    <w:rsid w:val="00B13963"/>
    <w:rsid w:val="00B1521F"/>
    <w:rsid w:val="00B15F84"/>
    <w:rsid w:val="00B172CA"/>
    <w:rsid w:val="00B21ED9"/>
    <w:rsid w:val="00B22136"/>
    <w:rsid w:val="00B224BE"/>
    <w:rsid w:val="00B23232"/>
    <w:rsid w:val="00B241FB"/>
    <w:rsid w:val="00B25007"/>
    <w:rsid w:val="00B271E0"/>
    <w:rsid w:val="00B274AC"/>
    <w:rsid w:val="00B359F6"/>
    <w:rsid w:val="00B36DE7"/>
    <w:rsid w:val="00B40EBD"/>
    <w:rsid w:val="00B41ECF"/>
    <w:rsid w:val="00B50479"/>
    <w:rsid w:val="00B53898"/>
    <w:rsid w:val="00B5418A"/>
    <w:rsid w:val="00B577D6"/>
    <w:rsid w:val="00B63F5C"/>
    <w:rsid w:val="00B641B2"/>
    <w:rsid w:val="00B658D7"/>
    <w:rsid w:val="00B70EA9"/>
    <w:rsid w:val="00B72443"/>
    <w:rsid w:val="00B72D91"/>
    <w:rsid w:val="00B755F1"/>
    <w:rsid w:val="00B76A63"/>
    <w:rsid w:val="00B80657"/>
    <w:rsid w:val="00B82756"/>
    <w:rsid w:val="00B82F08"/>
    <w:rsid w:val="00B8335B"/>
    <w:rsid w:val="00B85D63"/>
    <w:rsid w:val="00B87668"/>
    <w:rsid w:val="00B90531"/>
    <w:rsid w:val="00B90730"/>
    <w:rsid w:val="00B91906"/>
    <w:rsid w:val="00B92666"/>
    <w:rsid w:val="00B959D7"/>
    <w:rsid w:val="00B96D9F"/>
    <w:rsid w:val="00B97348"/>
    <w:rsid w:val="00BA058B"/>
    <w:rsid w:val="00BA0B57"/>
    <w:rsid w:val="00BA4B66"/>
    <w:rsid w:val="00BA51E6"/>
    <w:rsid w:val="00BA5D3B"/>
    <w:rsid w:val="00BB04F4"/>
    <w:rsid w:val="00BB205F"/>
    <w:rsid w:val="00BC0B41"/>
    <w:rsid w:val="00BC15D6"/>
    <w:rsid w:val="00BC1D13"/>
    <w:rsid w:val="00BC75F6"/>
    <w:rsid w:val="00BD27CC"/>
    <w:rsid w:val="00BD38CF"/>
    <w:rsid w:val="00BE46A1"/>
    <w:rsid w:val="00BE7AF0"/>
    <w:rsid w:val="00BF2FEB"/>
    <w:rsid w:val="00BF39EE"/>
    <w:rsid w:val="00BF65EA"/>
    <w:rsid w:val="00C07653"/>
    <w:rsid w:val="00C10095"/>
    <w:rsid w:val="00C123F6"/>
    <w:rsid w:val="00C13A98"/>
    <w:rsid w:val="00C1440C"/>
    <w:rsid w:val="00C151B7"/>
    <w:rsid w:val="00C162CA"/>
    <w:rsid w:val="00C16988"/>
    <w:rsid w:val="00C22BDD"/>
    <w:rsid w:val="00C251DA"/>
    <w:rsid w:val="00C2671A"/>
    <w:rsid w:val="00C275DA"/>
    <w:rsid w:val="00C31C21"/>
    <w:rsid w:val="00C31E8F"/>
    <w:rsid w:val="00C32CB6"/>
    <w:rsid w:val="00C33C81"/>
    <w:rsid w:val="00C34E54"/>
    <w:rsid w:val="00C34E66"/>
    <w:rsid w:val="00C3578F"/>
    <w:rsid w:val="00C37B6A"/>
    <w:rsid w:val="00C413BC"/>
    <w:rsid w:val="00C425AC"/>
    <w:rsid w:val="00C4274D"/>
    <w:rsid w:val="00C43D33"/>
    <w:rsid w:val="00C45E28"/>
    <w:rsid w:val="00C4697F"/>
    <w:rsid w:val="00C47954"/>
    <w:rsid w:val="00C52DDD"/>
    <w:rsid w:val="00C539CA"/>
    <w:rsid w:val="00C55110"/>
    <w:rsid w:val="00C61937"/>
    <w:rsid w:val="00C64246"/>
    <w:rsid w:val="00C6429A"/>
    <w:rsid w:val="00C70DE2"/>
    <w:rsid w:val="00C8136A"/>
    <w:rsid w:val="00C813AE"/>
    <w:rsid w:val="00C824D5"/>
    <w:rsid w:val="00C84A5F"/>
    <w:rsid w:val="00C85C0E"/>
    <w:rsid w:val="00C86373"/>
    <w:rsid w:val="00C90E18"/>
    <w:rsid w:val="00C94C53"/>
    <w:rsid w:val="00CA01F5"/>
    <w:rsid w:val="00CA4EF7"/>
    <w:rsid w:val="00CB10DB"/>
    <w:rsid w:val="00CB1E8D"/>
    <w:rsid w:val="00CB4BD0"/>
    <w:rsid w:val="00CB6B28"/>
    <w:rsid w:val="00CB6FFD"/>
    <w:rsid w:val="00CC012E"/>
    <w:rsid w:val="00CC0651"/>
    <w:rsid w:val="00CC337A"/>
    <w:rsid w:val="00CC34CA"/>
    <w:rsid w:val="00CC372A"/>
    <w:rsid w:val="00CC7168"/>
    <w:rsid w:val="00CD05C8"/>
    <w:rsid w:val="00CD1921"/>
    <w:rsid w:val="00CD3E30"/>
    <w:rsid w:val="00CD5367"/>
    <w:rsid w:val="00CD54F8"/>
    <w:rsid w:val="00CD71F4"/>
    <w:rsid w:val="00CE2087"/>
    <w:rsid w:val="00CE2DF0"/>
    <w:rsid w:val="00CE586B"/>
    <w:rsid w:val="00CE64B7"/>
    <w:rsid w:val="00CE7AD1"/>
    <w:rsid w:val="00CF3E47"/>
    <w:rsid w:val="00CF584C"/>
    <w:rsid w:val="00D034B4"/>
    <w:rsid w:val="00D05082"/>
    <w:rsid w:val="00D12547"/>
    <w:rsid w:val="00D1421E"/>
    <w:rsid w:val="00D178C9"/>
    <w:rsid w:val="00D20CC3"/>
    <w:rsid w:val="00D210FD"/>
    <w:rsid w:val="00D21AD5"/>
    <w:rsid w:val="00D21F7C"/>
    <w:rsid w:val="00D24DA2"/>
    <w:rsid w:val="00D255C9"/>
    <w:rsid w:val="00D25C0A"/>
    <w:rsid w:val="00D26408"/>
    <w:rsid w:val="00D267C2"/>
    <w:rsid w:val="00D31829"/>
    <w:rsid w:val="00D31C14"/>
    <w:rsid w:val="00D33031"/>
    <w:rsid w:val="00D41074"/>
    <w:rsid w:val="00D42F2A"/>
    <w:rsid w:val="00D4338A"/>
    <w:rsid w:val="00D45210"/>
    <w:rsid w:val="00D4584E"/>
    <w:rsid w:val="00D4683D"/>
    <w:rsid w:val="00D51C65"/>
    <w:rsid w:val="00D56F79"/>
    <w:rsid w:val="00D60502"/>
    <w:rsid w:val="00D65D4E"/>
    <w:rsid w:val="00D662B8"/>
    <w:rsid w:val="00D66C23"/>
    <w:rsid w:val="00D671F2"/>
    <w:rsid w:val="00D67511"/>
    <w:rsid w:val="00D72987"/>
    <w:rsid w:val="00D734FE"/>
    <w:rsid w:val="00D74E9E"/>
    <w:rsid w:val="00D773F5"/>
    <w:rsid w:val="00D77B5B"/>
    <w:rsid w:val="00D82D08"/>
    <w:rsid w:val="00D83BDF"/>
    <w:rsid w:val="00D90D53"/>
    <w:rsid w:val="00D92869"/>
    <w:rsid w:val="00DA03BD"/>
    <w:rsid w:val="00DA3201"/>
    <w:rsid w:val="00DA3B55"/>
    <w:rsid w:val="00DA6107"/>
    <w:rsid w:val="00DA612D"/>
    <w:rsid w:val="00DA7DEF"/>
    <w:rsid w:val="00DB0B12"/>
    <w:rsid w:val="00DB263D"/>
    <w:rsid w:val="00DB2C17"/>
    <w:rsid w:val="00DB3981"/>
    <w:rsid w:val="00DB3FF3"/>
    <w:rsid w:val="00DC2685"/>
    <w:rsid w:val="00DC60AA"/>
    <w:rsid w:val="00DC7CA3"/>
    <w:rsid w:val="00DD23AC"/>
    <w:rsid w:val="00DD3153"/>
    <w:rsid w:val="00DD41DA"/>
    <w:rsid w:val="00DE449A"/>
    <w:rsid w:val="00DE5554"/>
    <w:rsid w:val="00DE7986"/>
    <w:rsid w:val="00DF2256"/>
    <w:rsid w:val="00DF6DC3"/>
    <w:rsid w:val="00E01B29"/>
    <w:rsid w:val="00E04F6D"/>
    <w:rsid w:val="00E1150E"/>
    <w:rsid w:val="00E11C87"/>
    <w:rsid w:val="00E122C9"/>
    <w:rsid w:val="00E1623B"/>
    <w:rsid w:val="00E17B0E"/>
    <w:rsid w:val="00E25A3F"/>
    <w:rsid w:val="00E26073"/>
    <w:rsid w:val="00E2653E"/>
    <w:rsid w:val="00E26C0A"/>
    <w:rsid w:val="00E3057B"/>
    <w:rsid w:val="00E4069F"/>
    <w:rsid w:val="00E450A2"/>
    <w:rsid w:val="00E473D6"/>
    <w:rsid w:val="00E54157"/>
    <w:rsid w:val="00E5743D"/>
    <w:rsid w:val="00E62312"/>
    <w:rsid w:val="00E63024"/>
    <w:rsid w:val="00E66AAD"/>
    <w:rsid w:val="00E670E8"/>
    <w:rsid w:val="00E70D0B"/>
    <w:rsid w:val="00E713E7"/>
    <w:rsid w:val="00E71CC7"/>
    <w:rsid w:val="00E73642"/>
    <w:rsid w:val="00E74A53"/>
    <w:rsid w:val="00E74FE1"/>
    <w:rsid w:val="00E76E98"/>
    <w:rsid w:val="00E76EAF"/>
    <w:rsid w:val="00E771EA"/>
    <w:rsid w:val="00E82897"/>
    <w:rsid w:val="00E83BED"/>
    <w:rsid w:val="00E84663"/>
    <w:rsid w:val="00E876C2"/>
    <w:rsid w:val="00E9026B"/>
    <w:rsid w:val="00E913CE"/>
    <w:rsid w:val="00E9404B"/>
    <w:rsid w:val="00E95580"/>
    <w:rsid w:val="00E9738F"/>
    <w:rsid w:val="00EA0E7A"/>
    <w:rsid w:val="00EA2015"/>
    <w:rsid w:val="00EA292B"/>
    <w:rsid w:val="00EA3909"/>
    <w:rsid w:val="00EA402D"/>
    <w:rsid w:val="00EA4539"/>
    <w:rsid w:val="00EA5322"/>
    <w:rsid w:val="00EB0A56"/>
    <w:rsid w:val="00EC0087"/>
    <w:rsid w:val="00EC08AC"/>
    <w:rsid w:val="00EC0BD7"/>
    <w:rsid w:val="00EC3637"/>
    <w:rsid w:val="00EC3DB8"/>
    <w:rsid w:val="00EC4181"/>
    <w:rsid w:val="00EC541F"/>
    <w:rsid w:val="00ED1FCC"/>
    <w:rsid w:val="00ED497F"/>
    <w:rsid w:val="00EE22E8"/>
    <w:rsid w:val="00EE2D9A"/>
    <w:rsid w:val="00EE2FA8"/>
    <w:rsid w:val="00EE7331"/>
    <w:rsid w:val="00EF1EE8"/>
    <w:rsid w:val="00EF2CEB"/>
    <w:rsid w:val="00EF3352"/>
    <w:rsid w:val="00EF4F03"/>
    <w:rsid w:val="00EF742C"/>
    <w:rsid w:val="00F018E2"/>
    <w:rsid w:val="00F10281"/>
    <w:rsid w:val="00F10AC5"/>
    <w:rsid w:val="00F10FED"/>
    <w:rsid w:val="00F12A82"/>
    <w:rsid w:val="00F12C26"/>
    <w:rsid w:val="00F1327E"/>
    <w:rsid w:val="00F14C50"/>
    <w:rsid w:val="00F21487"/>
    <w:rsid w:val="00F214FC"/>
    <w:rsid w:val="00F21B45"/>
    <w:rsid w:val="00F23873"/>
    <w:rsid w:val="00F23F15"/>
    <w:rsid w:val="00F32060"/>
    <w:rsid w:val="00F33FB9"/>
    <w:rsid w:val="00F3585B"/>
    <w:rsid w:val="00F35F17"/>
    <w:rsid w:val="00F403E6"/>
    <w:rsid w:val="00F41339"/>
    <w:rsid w:val="00F522A0"/>
    <w:rsid w:val="00F532AF"/>
    <w:rsid w:val="00F5414C"/>
    <w:rsid w:val="00F629FA"/>
    <w:rsid w:val="00F641BD"/>
    <w:rsid w:val="00F658B3"/>
    <w:rsid w:val="00F70EF7"/>
    <w:rsid w:val="00F75024"/>
    <w:rsid w:val="00F77763"/>
    <w:rsid w:val="00F82D5D"/>
    <w:rsid w:val="00F833E8"/>
    <w:rsid w:val="00F844D5"/>
    <w:rsid w:val="00F8451E"/>
    <w:rsid w:val="00F87B60"/>
    <w:rsid w:val="00F92D0F"/>
    <w:rsid w:val="00F95977"/>
    <w:rsid w:val="00F96ED2"/>
    <w:rsid w:val="00F97BC8"/>
    <w:rsid w:val="00FA0108"/>
    <w:rsid w:val="00FA049D"/>
    <w:rsid w:val="00FA44DE"/>
    <w:rsid w:val="00FA6703"/>
    <w:rsid w:val="00FA702D"/>
    <w:rsid w:val="00FA76C2"/>
    <w:rsid w:val="00FB25D3"/>
    <w:rsid w:val="00FB6C5E"/>
    <w:rsid w:val="00FC058D"/>
    <w:rsid w:val="00FC4F17"/>
    <w:rsid w:val="00FD0373"/>
    <w:rsid w:val="00FD14DA"/>
    <w:rsid w:val="00FD5719"/>
    <w:rsid w:val="00FD6B4C"/>
    <w:rsid w:val="00FE08C1"/>
    <w:rsid w:val="00FE10BB"/>
    <w:rsid w:val="00FE2BE5"/>
    <w:rsid w:val="00FE3B86"/>
    <w:rsid w:val="00FE5471"/>
    <w:rsid w:val="00FF00A0"/>
    <w:rsid w:val="00FF1B03"/>
    <w:rsid w:val="00FF22F3"/>
    <w:rsid w:val="00FF2E02"/>
    <w:rsid w:val="00FF3409"/>
    <w:rsid w:val="00FF36B7"/>
    <w:rsid w:val="00FF3D8B"/>
    <w:rsid w:val="00FF75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AFB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1FB"/>
    <w:rPr>
      <w:rFonts w:ascii="Arial" w:hAnsi="Arial"/>
      <w:sz w:val="24"/>
      <w:szCs w:val="24"/>
      <w:lang w:eastAsia="en-US"/>
    </w:rPr>
  </w:style>
  <w:style w:type="paragraph" w:styleId="Heading2">
    <w:name w:val="heading 2"/>
    <w:basedOn w:val="Normal"/>
    <w:next w:val="Normal"/>
    <w:qFormat/>
    <w:rsid w:val="00A578D8"/>
    <w:pPr>
      <w:keepNext/>
      <w:spacing w:before="240" w:after="60"/>
      <w:outlineLvl w:val="1"/>
    </w:pPr>
    <w:rPr>
      <w:rFonts w:cs="Arial"/>
      <w:b/>
      <w:bCs/>
      <w:i/>
      <w:iCs/>
      <w:sz w:val="28"/>
      <w:szCs w:val="28"/>
    </w:rPr>
  </w:style>
  <w:style w:type="paragraph" w:styleId="Heading4">
    <w:name w:val="heading 4"/>
    <w:basedOn w:val="Normal"/>
    <w:next w:val="Normal"/>
    <w:qFormat/>
    <w:rsid w:val="00A7340E"/>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A7340E"/>
  </w:style>
  <w:style w:type="paragraph" w:customStyle="1" w:styleId="HorizontalLine">
    <w:name w:val="Horizontal Line"/>
    <w:basedOn w:val="Normal"/>
    <w:rsid w:val="00A7340E"/>
  </w:style>
  <w:style w:type="paragraph" w:customStyle="1" w:styleId="ParagraphImageWrapLeft">
    <w:name w:val="Paragraph Image Wrap Left"/>
    <w:basedOn w:val="Normal"/>
    <w:rsid w:val="00A7340E"/>
  </w:style>
  <w:style w:type="paragraph" w:customStyle="1" w:styleId="ParagraphImageWrapRight">
    <w:name w:val="Paragraph Image Wrap Right"/>
    <w:basedOn w:val="Normal"/>
    <w:rsid w:val="00A7340E"/>
  </w:style>
  <w:style w:type="paragraph" w:customStyle="1" w:styleId="Summary">
    <w:name w:val="Summary"/>
    <w:basedOn w:val="Normal"/>
    <w:rsid w:val="00A7340E"/>
    <w:pPr>
      <w:spacing w:after="77"/>
      <w:ind w:left="129" w:right="129"/>
    </w:pPr>
    <w:rPr>
      <w:rFonts w:ascii="Verdana" w:hAnsi="Verdana"/>
      <w:color w:val="666666"/>
      <w:sz w:val="15"/>
      <w:szCs w:val="15"/>
      <w:lang w:eastAsia="en-GB"/>
    </w:rPr>
  </w:style>
  <w:style w:type="table" w:customStyle="1" w:styleId="TableDFID">
    <w:name w:val="Table DFID"/>
    <w:basedOn w:val="TableNormal"/>
    <w:rsid w:val="00A7340E"/>
    <w:rPr>
      <w:rFonts w:ascii="Arial Black" w:hAnsi="Arial Blac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A7340E"/>
  </w:style>
  <w:style w:type="paragraph" w:customStyle="1" w:styleId="TableDFIDStart">
    <w:name w:val="Table DFID Start"/>
    <w:basedOn w:val="Normal"/>
    <w:rsid w:val="00A7340E"/>
  </w:style>
  <w:style w:type="paragraph" w:customStyle="1" w:styleId="TableHeadings">
    <w:name w:val="Table Headings"/>
    <w:basedOn w:val="Normal"/>
    <w:rsid w:val="00A7340E"/>
    <w:pPr>
      <w:spacing w:after="79"/>
    </w:pPr>
    <w:rPr>
      <w:b/>
      <w:bCs/>
      <w:color w:val="FFFFFF"/>
      <w:szCs w:val="20"/>
      <w:lang w:eastAsia="en-GB"/>
    </w:rPr>
  </w:style>
  <w:style w:type="table" w:customStyle="1" w:styleId="TableLayout">
    <w:name w:val="Table Layout"/>
    <w:basedOn w:val="TableNormal"/>
    <w:rsid w:val="00A7340E"/>
    <w:tblPr/>
  </w:style>
  <w:style w:type="character" w:styleId="CommentReference">
    <w:name w:val="annotation reference"/>
    <w:rsid w:val="0039040B"/>
    <w:rPr>
      <w:sz w:val="16"/>
      <w:szCs w:val="16"/>
    </w:rPr>
  </w:style>
  <w:style w:type="paragraph" w:styleId="CommentText">
    <w:name w:val="annotation text"/>
    <w:basedOn w:val="Normal"/>
    <w:semiHidden/>
    <w:rsid w:val="0039040B"/>
    <w:rPr>
      <w:sz w:val="20"/>
      <w:szCs w:val="20"/>
    </w:rPr>
  </w:style>
  <w:style w:type="paragraph" w:styleId="CommentSubject">
    <w:name w:val="annotation subject"/>
    <w:basedOn w:val="CommentText"/>
    <w:next w:val="CommentText"/>
    <w:semiHidden/>
    <w:rsid w:val="0039040B"/>
    <w:rPr>
      <w:b/>
      <w:bCs/>
    </w:rPr>
  </w:style>
  <w:style w:type="paragraph" w:styleId="BalloonText">
    <w:name w:val="Balloon Text"/>
    <w:basedOn w:val="Normal"/>
    <w:semiHidden/>
    <w:rsid w:val="0039040B"/>
    <w:rPr>
      <w:rFonts w:ascii="Tahoma" w:hAnsi="Tahoma" w:cs="Tahoma"/>
      <w:sz w:val="16"/>
      <w:szCs w:val="16"/>
    </w:rPr>
  </w:style>
  <w:style w:type="paragraph" w:customStyle="1" w:styleId="Char">
    <w:name w:val="Char"/>
    <w:basedOn w:val="Normal"/>
    <w:rsid w:val="00A578D8"/>
    <w:pPr>
      <w:spacing w:after="160" w:line="240" w:lineRule="exact"/>
    </w:pPr>
    <w:rPr>
      <w:rFonts w:ascii="Verdana" w:hAnsi="Verdana"/>
      <w:sz w:val="20"/>
      <w:szCs w:val="20"/>
      <w:lang w:val="en-US"/>
    </w:rPr>
  </w:style>
  <w:style w:type="table" w:styleId="TableGrid">
    <w:name w:val="Table Grid"/>
    <w:basedOn w:val="TableNormal"/>
    <w:uiPriority w:val="59"/>
    <w:rsid w:val="00A5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885FC4"/>
    <w:pPr>
      <w:spacing w:after="160" w:line="240" w:lineRule="exact"/>
    </w:pPr>
    <w:rPr>
      <w:rFonts w:ascii="Verdana" w:hAnsi="Verdana"/>
      <w:sz w:val="20"/>
      <w:szCs w:val="20"/>
      <w:lang w:val="en-US"/>
    </w:rPr>
  </w:style>
  <w:style w:type="paragraph" w:styleId="Header">
    <w:name w:val="header"/>
    <w:basedOn w:val="Normal"/>
    <w:rsid w:val="006F7625"/>
    <w:pPr>
      <w:tabs>
        <w:tab w:val="center" w:pos="4153"/>
        <w:tab w:val="right" w:pos="8306"/>
      </w:tabs>
    </w:pPr>
  </w:style>
  <w:style w:type="paragraph" w:styleId="Footer">
    <w:name w:val="footer"/>
    <w:basedOn w:val="Normal"/>
    <w:link w:val="FooterChar"/>
    <w:uiPriority w:val="99"/>
    <w:rsid w:val="006F7625"/>
    <w:pPr>
      <w:tabs>
        <w:tab w:val="center" w:pos="4153"/>
        <w:tab w:val="right" w:pos="8306"/>
      </w:tabs>
    </w:pPr>
  </w:style>
  <w:style w:type="character" w:styleId="Strong">
    <w:name w:val="Strong"/>
    <w:qFormat/>
    <w:rsid w:val="00622D8C"/>
    <w:rPr>
      <w:b/>
      <w:bCs/>
    </w:rPr>
  </w:style>
  <w:style w:type="character" w:styleId="PageNumber">
    <w:name w:val="page number"/>
    <w:basedOn w:val="DefaultParagraphFont"/>
    <w:rsid w:val="00872E03"/>
  </w:style>
  <w:style w:type="table" w:styleId="TableList4">
    <w:name w:val="Table List 4"/>
    <w:basedOn w:val="TableNormal"/>
    <w:rsid w:val="00C43D3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3">
    <w:name w:val="Table Grid 3"/>
    <w:basedOn w:val="TableNormal"/>
    <w:rsid w:val="009820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Theme">
    <w:name w:val="Table Theme"/>
    <w:basedOn w:val="TableNormal"/>
    <w:rsid w:val="002E1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4A5F"/>
    <w:pPr>
      <w:ind w:left="720"/>
      <w:contextualSpacing/>
    </w:pPr>
  </w:style>
  <w:style w:type="paragraph" w:styleId="Revision">
    <w:name w:val="Revision"/>
    <w:hidden/>
    <w:uiPriority w:val="99"/>
    <w:semiHidden/>
    <w:rsid w:val="00B274AC"/>
    <w:rPr>
      <w:rFonts w:ascii="Arial" w:hAnsi="Arial"/>
      <w:sz w:val="24"/>
      <w:szCs w:val="24"/>
      <w:lang w:eastAsia="en-US"/>
    </w:rPr>
  </w:style>
  <w:style w:type="character" w:customStyle="1" w:styleId="FooterChar">
    <w:name w:val="Footer Char"/>
    <w:basedOn w:val="DefaultParagraphFont"/>
    <w:link w:val="Footer"/>
    <w:uiPriority w:val="99"/>
    <w:rsid w:val="00AE1D30"/>
    <w:rPr>
      <w:rFonts w:ascii="Arial" w:hAnsi="Arial"/>
      <w:sz w:val="24"/>
      <w:szCs w:val="24"/>
      <w:lang w:eastAsia="en-US"/>
    </w:rPr>
  </w:style>
  <w:style w:type="character" w:customStyle="1" w:styleId="fhb">
    <w:name w:val="fhb"/>
    <w:basedOn w:val="DefaultParagraphFont"/>
    <w:rsid w:val="000A0748"/>
  </w:style>
  <w:style w:type="character" w:customStyle="1" w:styleId="fh">
    <w:name w:val="fh"/>
    <w:basedOn w:val="DefaultParagraphFont"/>
    <w:rsid w:val="000A0748"/>
  </w:style>
  <w:style w:type="character" w:styleId="Hyperlink">
    <w:name w:val="Hyperlink"/>
    <w:basedOn w:val="DefaultParagraphFont"/>
    <w:unhideWhenUsed/>
    <w:rsid w:val="002046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23175">
      <w:bodyDiv w:val="1"/>
      <w:marLeft w:val="0"/>
      <w:marRight w:val="0"/>
      <w:marTop w:val="0"/>
      <w:marBottom w:val="0"/>
      <w:divBdr>
        <w:top w:val="none" w:sz="0" w:space="0" w:color="auto"/>
        <w:left w:val="none" w:sz="0" w:space="0" w:color="auto"/>
        <w:bottom w:val="none" w:sz="0" w:space="0" w:color="auto"/>
        <w:right w:val="none" w:sz="0" w:space="0" w:color="auto"/>
      </w:divBdr>
    </w:div>
    <w:div w:id="335380049">
      <w:bodyDiv w:val="1"/>
      <w:marLeft w:val="0"/>
      <w:marRight w:val="0"/>
      <w:marTop w:val="0"/>
      <w:marBottom w:val="0"/>
      <w:divBdr>
        <w:top w:val="none" w:sz="0" w:space="0" w:color="auto"/>
        <w:left w:val="none" w:sz="0" w:space="0" w:color="auto"/>
        <w:bottom w:val="none" w:sz="0" w:space="0" w:color="auto"/>
        <w:right w:val="none" w:sz="0" w:space="0" w:color="auto"/>
      </w:divBdr>
    </w:div>
    <w:div w:id="339359162">
      <w:bodyDiv w:val="1"/>
      <w:marLeft w:val="0"/>
      <w:marRight w:val="0"/>
      <w:marTop w:val="0"/>
      <w:marBottom w:val="0"/>
      <w:divBdr>
        <w:top w:val="none" w:sz="0" w:space="0" w:color="auto"/>
        <w:left w:val="none" w:sz="0" w:space="0" w:color="auto"/>
        <w:bottom w:val="none" w:sz="0" w:space="0" w:color="auto"/>
        <w:right w:val="none" w:sz="0" w:space="0" w:color="auto"/>
      </w:divBdr>
    </w:div>
    <w:div w:id="365452642">
      <w:bodyDiv w:val="1"/>
      <w:marLeft w:val="0"/>
      <w:marRight w:val="0"/>
      <w:marTop w:val="0"/>
      <w:marBottom w:val="0"/>
      <w:divBdr>
        <w:top w:val="none" w:sz="0" w:space="0" w:color="auto"/>
        <w:left w:val="none" w:sz="0" w:space="0" w:color="auto"/>
        <w:bottom w:val="none" w:sz="0" w:space="0" w:color="auto"/>
        <w:right w:val="none" w:sz="0" w:space="0" w:color="auto"/>
      </w:divBdr>
    </w:div>
    <w:div w:id="621765015">
      <w:bodyDiv w:val="1"/>
      <w:marLeft w:val="0"/>
      <w:marRight w:val="0"/>
      <w:marTop w:val="0"/>
      <w:marBottom w:val="0"/>
      <w:divBdr>
        <w:top w:val="none" w:sz="0" w:space="0" w:color="auto"/>
        <w:left w:val="none" w:sz="0" w:space="0" w:color="auto"/>
        <w:bottom w:val="none" w:sz="0" w:space="0" w:color="auto"/>
        <w:right w:val="none" w:sz="0" w:space="0" w:color="auto"/>
      </w:divBdr>
    </w:div>
    <w:div w:id="763301067">
      <w:bodyDiv w:val="1"/>
      <w:marLeft w:val="0"/>
      <w:marRight w:val="0"/>
      <w:marTop w:val="0"/>
      <w:marBottom w:val="0"/>
      <w:divBdr>
        <w:top w:val="none" w:sz="0" w:space="0" w:color="auto"/>
        <w:left w:val="none" w:sz="0" w:space="0" w:color="auto"/>
        <w:bottom w:val="none" w:sz="0" w:space="0" w:color="auto"/>
        <w:right w:val="none" w:sz="0" w:space="0" w:color="auto"/>
      </w:divBdr>
      <w:divsChild>
        <w:div w:id="148208463">
          <w:marLeft w:val="0"/>
          <w:marRight w:val="0"/>
          <w:marTop w:val="0"/>
          <w:marBottom w:val="0"/>
          <w:divBdr>
            <w:top w:val="none" w:sz="0" w:space="0" w:color="auto"/>
            <w:left w:val="none" w:sz="0" w:space="0" w:color="auto"/>
            <w:bottom w:val="none" w:sz="0" w:space="0" w:color="auto"/>
            <w:right w:val="none" w:sz="0" w:space="0" w:color="auto"/>
          </w:divBdr>
        </w:div>
      </w:divsChild>
    </w:div>
    <w:div w:id="941106234">
      <w:bodyDiv w:val="1"/>
      <w:marLeft w:val="0"/>
      <w:marRight w:val="0"/>
      <w:marTop w:val="0"/>
      <w:marBottom w:val="0"/>
      <w:divBdr>
        <w:top w:val="none" w:sz="0" w:space="0" w:color="auto"/>
        <w:left w:val="none" w:sz="0" w:space="0" w:color="auto"/>
        <w:bottom w:val="none" w:sz="0" w:space="0" w:color="auto"/>
        <w:right w:val="none" w:sz="0" w:space="0" w:color="auto"/>
      </w:divBdr>
    </w:div>
    <w:div w:id="1004430869">
      <w:bodyDiv w:val="1"/>
      <w:marLeft w:val="0"/>
      <w:marRight w:val="0"/>
      <w:marTop w:val="0"/>
      <w:marBottom w:val="0"/>
      <w:divBdr>
        <w:top w:val="none" w:sz="0" w:space="0" w:color="auto"/>
        <w:left w:val="none" w:sz="0" w:space="0" w:color="auto"/>
        <w:bottom w:val="none" w:sz="0" w:space="0" w:color="auto"/>
        <w:right w:val="none" w:sz="0" w:space="0" w:color="auto"/>
      </w:divBdr>
    </w:div>
    <w:div w:id="1104224203">
      <w:bodyDiv w:val="1"/>
      <w:marLeft w:val="0"/>
      <w:marRight w:val="0"/>
      <w:marTop w:val="0"/>
      <w:marBottom w:val="0"/>
      <w:divBdr>
        <w:top w:val="none" w:sz="0" w:space="0" w:color="auto"/>
        <w:left w:val="none" w:sz="0" w:space="0" w:color="auto"/>
        <w:bottom w:val="none" w:sz="0" w:space="0" w:color="auto"/>
        <w:right w:val="none" w:sz="0" w:space="0" w:color="auto"/>
      </w:divBdr>
    </w:div>
    <w:div w:id="1165436064">
      <w:bodyDiv w:val="1"/>
      <w:marLeft w:val="0"/>
      <w:marRight w:val="0"/>
      <w:marTop w:val="0"/>
      <w:marBottom w:val="0"/>
      <w:divBdr>
        <w:top w:val="none" w:sz="0" w:space="0" w:color="auto"/>
        <w:left w:val="none" w:sz="0" w:space="0" w:color="auto"/>
        <w:bottom w:val="none" w:sz="0" w:space="0" w:color="auto"/>
        <w:right w:val="none" w:sz="0" w:space="0" w:color="auto"/>
      </w:divBdr>
    </w:div>
    <w:div w:id="1178545868">
      <w:bodyDiv w:val="1"/>
      <w:marLeft w:val="0"/>
      <w:marRight w:val="0"/>
      <w:marTop w:val="0"/>
      <w:marBottom w:val="0"/>
      <w:divBdr>
        <w:top w:val="none" w:sz="0" w:space="0" w:color="auto"/>
        <w:left w:val="none" w:sz="0" w:space="0" w:color="auto"/>
        <w:bottom w:val="none" w:sz="0" w:space="0" w:color="auto"/>
        <w:right w:val="none" w:sz="0" w:space="0" w:color="auto"/>
      </w:divBdr>
    </w:div>
    <w:div w:id="1245651201">
      <w:bodyDiv w:val="1"/>
      <w:marLeft w:val="0"/>
      <w:marRight w:val="0"/>
      <w:marTop w:val="0"/>
      <w:marBottom w:val="0"/>
      <w:divBdr>
        <w:top w:val="none" w:sz="0" w:space="0" w:color="auto"/>
        <w:left w:val="none" w:sz="0" w:space="0" w:color="auto"/>
        <w:bottom w:val="none" w:sz="0" w:space="0" w:color="auto"/>
        <w:right w:val="none" w:sz="0" w:space="0" w:color="auto"/>
      </w:divBdr>
      <w:divsChild>
        <w:div w:id="332688080">
          <w:marLeft w:val="0"/>
          <w:marRight w:val="0"/>
          <w:marTop w:val="0"/>
          <w:marBottom w:val="0"/>
          <w:divBdr>
            <w:top w:val="none" w:sz="0" w:space="0" w:color="auto"/>
            <w:left w:val="none" w:sz="0" w:space="0" w:color="auto"/>
            <w:bottom w:val="none" w:sz="0" w:space="0" w:color="auto"/>
            <w:right w:val="none" w:sz="0" w:space="0" w:color="auto"/>
          </w:divBdr>
          <w:divsChild>
            <w:div w:id="2030520289">
              <w:marLeft w:val="0"/>
              <w:marRight w:val="0"/>
              <w:marTop w:val="0"/>
              <w:marBottom w:val="0"/>
              <w:divBdr>
                <w:top w:val="none" w:sz="0" w:space="0" w:color="auto"/>
                <w:left w:val="none" w:sz="0" w:space="0" w:color="auto"/>
                <w:bottom w:val="none" w:sz="0" w:space="0" w:color="auto"/>
                <w:right w:val="none" w:sz="0" w:space="0" w:color="auto"/>
              </w:divBdr>
              <w:divsChild>
                <w:div w:id="1080756231">
                  <w:marLeft w:val="0"/>
                  <w:marRight w:val="0"/>
                  <w:marTop w:val="0"/>
                  <w:marBottom w:val="0"/>
                  <w:divBdr>
                    <w:top w:val="none" w:sz="0" w:space="0" w:color="auto"/>
                    <w:left w:val="none" w:sz="0" w:space="0" w:color="auto"/>
                    <w:bottom w:val="none" w:sz="0" w:space="0" w:color="auto"/>
                    <w:right w:val="none" w:sz="0" w:space="0" w:color="auto"/>
                  </w:divBdr>
                  <w:divsChild>
                    <w:div w:id="25253702">
                      <w:marLeft w:val="0"/>
                      <w:marRight w:val="0"/>
                      <w:marTop w:val="0"/>
                      <w:marBottom w:val="0"/>
                      <w:divBdr>
                        <w:top w:val="none" w:sz="0" w:space="0" w:color="auto"/>
                        <w:left w:val="none" w:sz="0" w:space="0" w:color="auto"/>
                        <w:bottom w:val="none" w:sz="0" w:space="0" w:color="auto"/>
                        <w:right w:val="none" w:sz="0" w:space="0" w:color="auto"/>
                      </w:divBdr>
                      <w:divsChild>
                        <w:div w:id="1321040257">
                          <w:marLeft w:val="0"/>
                          <w:marRight w:val="0"/>
                          <w:marTop w:val="0"/>
                          <w:marBottom w:val="0"/>
                          <w:divBdr>
                            <w:top w:val="none" w:sz="0" w:space="0" w:color="auto"/>
                            <w:left w:val="none" w:sz="0" w:space="0" w:color="auto"/>
                            <w:bottom w:val="none" w:sz="0" w:space="0" w:color="auto"/>
                            <w:right w:val="none" w:sz="0" w:space="0" w:color="auto"/>
                          </w:divBdr>
                          <w:divsChild>
                            <w:div w:id="2020429860">
                              <w:marLeft w:val="0"/>
                              <w:marRight w:val="0"/>
                              <w:marTop w:val="0"/>
                              <w:marBottom w:val="0"/>
                              <w:divBdr>
                                <w:top w:val="none" w:sz="0" w:space="0" w:color="auto"/>
                                <w:left w:val="none" w:sz="0" w:space="0" w:color="auto"/>
                                <w:bottom w:val="none" w:sz="0" w:space="0" w:color="auto"/>
                                <w:right w:val="none" w:sz="0" w:space="0" w:color="auto"/>
                              </w:divBdr>
                            </w:div>
                            <w:div w:id="39323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112828">
      <w:bodyDiv w:val="1"/>
      <w:marLeft w:val="0"/>
      <w:marRight w:val="0"/>
      <w:marTop w:val="0"/>
      <w:marBottom w:val="0"/>
      <w:divBdr>
        <w:top w:val="none" w:sz="0" w:space="0" w:color="auto"/>
        <w:left w:val="none" w:sz="0" w:space="0" w:color="auto"/>
        <w:bottom w:val="none" w:sz="0" w:space="0" w:color="auto"/>
        <w:right w:val="none" w:sz="0" w:space="0" w:color="auto"/>
      </w:divBdr>
    </w:div>
    <w:div w:id="1396004736">
      <w:bodyDiv w:val="1"/>
      <w:marLeft w:val="0"/>
      <w:marRight w:val="0"/>
      <w:marTop w:val="0"/>
      <w:marBottom w:val="0"/>
      <w:divBdr>
        <w:top w:val="none" w:sz="0" w:space="0" w:color="auto"/>
        <w:left w:val="none" w:sz="0" w:space="0" w:color="auto"/>
        <w:bottom w:val="none" w:sz="0" w:space="0" w:color="auto"/>
        <w:right w:val="none" w:sz="0" w:space="0" w:color="auto"/>
      </w:divBdr>
      <w:divsChild>
        <w:div w:id="314139820">
          <w:marLeft w:val="0"/>
          <w:marRight w:val="0"/>
          <w:marTop w:val="0"/>
          <w:marBottom w:val="0"/>
          <w:divBdr>
            <w:top w:val="none" w:sz="0" w:space="0" w:color="auto"/>
            <w:left w:val="none" w:sz="0" w:space="0" w:color="auto"/>
            <w:bottom w:val="none" w:sz="0" w:space="0" w:color="auto"/>
            <w:right w:val="none" w:sz="0" w:space="0" w:color="auto"/>
          </w:divBdr>
        </w:div>
      </w:divsChild>
    </w:div>
    <w:div w:id="1480614174">
      <w:bodyDiv w:val="1"/>
      <w:marLeft w:val="0"/>
      <w:marRight w:val="0"/>
      <w:marTop w:val="0"/>
      <w:marBottom w:val="0"/>
      <w:divBdr>
        <w:top w:val="none" w:sz="0" w:space="0" w:color="auto"/>
        <w:left w:val="none" w:sz="0" w:space="0" w:color="auto"/>
        <w:bottom w:val="none" w:sz="0" w:space="0" w:color="auto"/>
        <w:right w:val="none" w:sz="0" w:space="0" w:color="auto"/>
      </w:divBdr>
    </w:div>
    <w:div w:id="1502813153">
      <w:bodyDiv w:val="1"/>
      <w:marLeft w:val="0"/>
      <w:marRight w:val="0"/>
      <w:marTop w:val="0"/>
      <w:marBottom w:val="0"/>
      <w:divBdr>
        <w:top w:val="none" w:sz="0" w:space="0" w:color="auto"/>
        <w:left w:val="none" w:sz="0" w:space="0" w:color="auto"/>
        <w:bottom w:val="none" w:sz="0" w:space="0" w:color="auto"/>
        <w:right w:val="none" w:sz="0" w:space="0" w:color="auto"/>
      </w:divBdr>
    </w:div>
    <w:div w:id="1577128450">
      <w:bodyDiv w:val="1"/>
      <w:marLeft w:val="0"/>
      <w:marRight w:val="0"/>
      <w:marTop w:val="0"/>
      <w:marBottom w:val="0"/>
      <w:divBdr>
        <w:top w:val="none" w:sz="0" w:space="0" w:color="auto"/>
        <w:left w:val="none" w:sz="0" w:space="0" w:color="auto"/>
        <w:bottom w:val="none" w:sz="0" w:space="0" w:color="auto"/>
        <w:right w:val="none" w:sz="0" w:space="0" w:color="auto"/>
      </w:divBdr>
    </w:div>
    <w:div w:id="1589803823">
      <w:bodyDiv w:val="1"/>
      <w:marLeft w:val="0"/>
      <w:marRight w:val="0"/>
      <w:marTop w:val="0"/>
      <w:marBottom w:val="0"/>
      <w:divBdr>
        <w:top w:val="none" w:sz="0" w:space="0" w:color="auto"/>
        <w:left w:val="none" w:sz="0" w:space="0" w:color="auto"/>
        <w:bottom w:val="none" w:sz="0" w:space="0" w:color="auto"/>
        <w:right w:val="none" w:sz="0" w:space="0" w:color="auto"/>
      </w:divBdr>
    </w:div>
    <w:div w:id="1806963753">
      <w:bodyDiv w:val="1"/>
      <w:marLeft w:val="0"/>
      <w:marRight w:val="0"/>
      <w:marTop w:val="0"/>
      <w:marBottom w:val="0"/>
      <w:divBdr>
        <w:top w:val="none" w:sz="0" w:space="0" w:color="auto"/>
        <w:left w:val="none" w:sz="0" w:space="0" w:color="auto"/>
        <w:bottom w:val="none" w:sz="0" w:space="0" w:color="auto"/>
        <w:right w:val="none" w:sz="0" w:space="0" w:color="auto"/>
      </w:divBdr>
    </w:div>
    <w:div w:id="1865511431">
      <w:bodyDiv w:val="1"/>
      <w:marLeft w:val="0"/>
      <w:marRight w:val="0"/>
      <w:marTop w:val="0"/>
      <w:marBottom w:val="0"/>
      <w:divBdr>
        <w:top w:val="none" w:sz="0" w:space="0" w:color="auto"/>
        <w:left w:val="none" w:sz="0" w:space="0" w:color="auto"/>
        <w:bottom w:val="none" w:sz="0" w:space="0" w:color="auto"/>
        <w:right w:val="none" w:sz="0" w:space="0" w:color="auto"/>
      </w:divBdr>
    </w:div>
    <w:div w:id="1886673726">
      <w:bodyDiv w:val="1"/>
      <w:marLeft w:val="0"/>
      <w:marRight w:val="0"/>
      <w:marTop w:val="0"/>
      <w:marBottom w:val="0"/>
      <w:divBdr>
        <w:top w:val="none" w:sz="0" w:space="0" w:color="auto"/>
        <w:left w:val="none" w:sz="0" w:space="0" w:color="auto"/>
        <w:bottom w:val="none" w:sz="0" w:space="0" w:color="auto"/>
        <w:right w:val="none" w:sz="0" w:space="0" w:color="auto"/>
      </w:divBdr>
    </w:div>
    <w:div w:id="2079546872">
      <w:bodyDiv w:val="1"/>
      <w:marLeft w:val="0"/>
      <w:marRight w:val="0"/>
      <w:marTop w:val="0"/>
      <w:marBottom w:val="0"/>
      <w:divBdr>
        <w:top w:val="none" w:sz="0" w:space="0" w:color="auto"/>
        <w:left w:val="none" w:sz="0" w:space="0" w:color="auto"/>
        <w:bottom w:val="none" w:sz="0" w:space="0" w:color="auto"/>
        <w:right w:val="none" w:sz="0" w:space="0" w:color="auto"/>
      </w:divBdr>
    </w:div>
    <w:div w:id="212874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49286-F76A-42EF-8D1D-0A11F52F5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2019-03-05T15:57:00Z</dcterms:created>
  <dcterms:modified xsi:type="dcterms:W3CDTF">2019-03-05T15:57:00Z</dcterms:modified>
</cp:coreProperties>
</file>