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E5D" w14:textId="78B2E5AF" w:rsidR="004C20C8" w:rsidRPr="003B4916" w:rsidRDefault="004C20C8" w:rsidP="004C20C8">
      <w:pPr>
        <w:spacing w:after="120" w:line="280" w:lineRule="atLeast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Deddf Atebolrwydd Sifil 2018 – Trosolwg</w:t>
      </w:r>
    </w:p>
    <w:p w14:paraId="6C581BA0" w14:textId="01C18B81" w:rsidR="004C20C8" w:rsidRDefault="004C20C8" w:rsidP="004C20C8">
      <w:pPr>
        <w:spacing w:after="120" w:line="280" w:lineRule="atLeast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9118A55" w14:textId="3B0655DB" w:rsidR="004C20C8" w:rsidRPr="004C20C8" w:rsidRDefault="008937D6" w:rsidP="003B4916">
      <w:pPr>
        <w:spacing w:line="280" w:lineRule="atLeast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Rhagarweiniad</w:t>
      </w:r>
    </w:p>
    <w:p w14:paraId="4560C7C2" w14:textId="1F4D8F13" w:rsidR="004C20C8" w:rsidRPr="004C20C8" w:rsidRDefault="004C20C8" w:rsidP="003B4916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Pwrpas y Ddeddf yw diwygio’r broses o hawlio am anafiadau chwiplach </w:t>
      </w:r>
      <w:r w:rsidR="00F200F4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y</w:t>
      </w:r>
      <w:r w:rsidR="00F200F4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n gysylltiedig â damweiniau traffig ar y ffyrdd, a newid y ffordd o osod cyfradd ddisgownt anaf personol sy’n cael ei chymhwyso i </w:t>
      </w:r>
      <w:r w:rsidR="00F200F4">
        <w:rPr>
          <w:rFonts w:ascii="Arial" w:hAnsi="Arial"/>
          <w:sz w:val="22"/>
          <w:szCs w:val="22"/>
        </w:rPr>
        <w:t>iawndaliadau</w:t>
      </w:r>
      <w:r w:rsidR="0067731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ddigolledu rhag colled yn y dyfodol. </w:t>
      </w:r>
    </w:p>
    <w:p w14:paraId="2CDC2C61" w14:textId="77777777" w:rsidR="004C20C8" w:rsidRPr="004C20C8" w:rsidRDefault="004C20C8" w:rsidP="003B4916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tair rhan i’r Ddeddf: </w:t>
      </w:r>
    </w:p>
    <w:p w14:paraId="52CEB40C" w14:textId="2179FA22" w:rsidR="008D74DE" w:rsidRPr="008D74DE" w:rsidRDefault="008D74DE" w:rsidP="003B4916">
      <w:pPr>
        <w:pStyle w:val="ListParagraph"/>
        <w:numPr>
          <w:ilvl w:val="1"/>
          <w:numId w:val="29"/>
        </w:numPr>
        <w:spacing w:after="120" w:line="280" w:lineRule="atLeast"/>
        <w:ind w:left="851" w:hanging="357"/>
        <w:contextualSpacing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Rhan 1 yn ymwneud â hawliadau am anafiadau chwiplach, pan nad yw hyd yr anaf (neu’r anafiadau) yn fwy na dwy flynedd. Mae’n darparu diffiniad o “anaf chwiplach”, a gall rheoliadau ddiwygio’r diffiniad hwnnw, </w:t>
      </w:r>
      <w:r w:rsidR="00F200F4">
        <w:rPr>
          <w:rFonts w:ascii="Arial" w:hAnsi="Arial"/>
          <w:sz w:val="22"/>
          <w:szCs w:val="22"/>
        </w:rPr>
        <w:t>a gall fod yn destun</w:t>
      </w:r>
      <w:r>
        <w:rPr>
          <w:rFonts w:ascii="Arial" w:hAnsi="Arial"/>
          <w:sz w:val="22"/>
          <w:szCs w:val="22"/>
        </w:rPr>
        <w:t xml:space="preserve"> iawndal am boen, dioddefaint a cholli amwynder yn deillio o anafiadau o'r fath. Mae hefyd yn ei gwneud yn ofynnol fod rhaid cael tystiolaeth feddygol cyn gallu setlo hawliad am anaf chwiplach. </w:t>
      </w:r>
    </w:p>
    <w:p w14:paraId="19D96470" w14:textId="16A1BE9E" w:rsidR="004C20C8" w:rsidRPr="004C20C8" w:rsidRDefault="004C20C8" w:rsidP="003B4916">
      <w:pPr>
        <w:numPr>
          <w:ilvl w:val="1"/>
          <w:numId w:val="29"/>
        </w:numPr>
        <w:spacing w:after="120" w:line="280" w:lineRule="atLeast"/>
        <w:ind w:left="851" w:right="-59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Rhan 2 yn gwneud darpariaeth am y gyfradd ddisgownt anaf personol. Mae’n cyflwyno gofyniad i adolygu'r gyfradd yn rheolaidd, ac mae’n pennu pwy y mae’n rhaid i'r Arglwydd Ganghellor ymgynghori â nhw wrth gynnal adolygiad. Mae hefyd yn newid, </w:t>
      </w:r>
      <w:r w:rsidR="00F200F4">
        <w:rPr>
          <w:rFonts w:ascii="Arial" w:hAnsi="Arial"/>
          <w:sz w:val="22"/>
          <w:szCs w:val="22"/>
        </w:rPr>
        <w:t>at</w:t>
      </w:r>
      <w:r>
        <w:rPr>
          <w:rFonts w:ascii="Arial" w:hAnsi="Arial"/>
          <w:sz w:val="22"/>
          <w:szCs w:val="22"/>
        </w:rPr>
        <w:t xml:space="preserve"> ddibenion gosod y gyfradd, lefel y risg y rhagdybir bod buddsoddwr iawndal yn barod i’w gymryd wrth fuddsoddi </w:t>
      </w:r>
      <w:r w:rsidR="00F200F4">
        <w:rPr>
          <w:rFonts w:ascii="Arial" w:hAnsi="Arial"/>
          <w:sz w:val="22"/>
          <w:szCs w:val="22"/>
        </w:rPr>
        <w:t>iawndal</w:t>
      </w:r>
      <w:r>
        <w:rPr>
          <w:rFonts w:ascii="Arial" w:hAnsi="Arial"/>
          <w:sz w:val="22"/>
          <w:szCs w:val="22"/>
        </w:rPr>
        <w:t xml:space="preserve"> am golled ariannol yn y dyfodol o “isel iawn” i “isel”. </w:t>
      </w:r>
    </w:p>
    <w:p w14:paraId="43EEDA94" w14:textId="3EC5E54C" w:rsidR="004C20C8" w:rsidRPr="004C20C8" w:rsidRDefault="004C20C8" w:rsidP="003B4916">
      <w:pPr>
        <w:numPr>
          <w:ilvl w:val="1"/>
          <w:numId w:val="29"/>
        </w:numPr>
        <w:spacing w:after="240" w:line="280" w:lineRule="atLeast"/>
        <w:ind w:left="851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Mae Rhan 3 yn cynnwys darpariaethau cyffredinol sy'n gymwys i'r Ddeddf. Mae’n gwneud darpariaeth i alluogi'r Trysorlys i bennu bod yswirwyr yn darparu gwybodaeth i’r Awdurdod Ymddygiad Ariannol am effeithiau Rhan 1 a 2 Bil y Ddeddf ar gwsmeriaid yng Nghymru a Lloegr sydd wedi prynu polisïau yswiriant sy'n cynnwys sicrwydd anaf personol. Mae hefyd yn gwneud y ddarpariaeth gyfreithiol angenrheidiol ar gyfer teitl byr y Ddeddf, y rhychwant, y gorchmynion, y rheoliadau a'r gweithdrefnau seneddol, a phwerau i wneud darpariaeth ganlyniadol, gysylltiedig</w:t>
      </w:r>
      <w:r w:rsidR="00F200F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ac yn y blaen.  </w:t>
      </w:r>
    </w:p>
    <w:p w14:paraId="3D443AF4" w14:textId="77777777" w:rsidR="004C20C8" w:rsidRPr="004C20C8" w:rsidRDefault="004C20C8" w:rsidP="003B4916">
      <w:pPr>
        <w:spacing w:line="280" w:lineRule="atLeast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Cefndir polisi </w:t>
      </w:r>
    </w:p>
    <w:p w14:paraId="7D967EA6" w14:textId="3A1F3742" w:rsidR="004C20C8" w:rsidRPr="004C20C8" w:rsidRDefault="004C20C8" w:rsidP="003B4916">
      <w:pPr>
        <w:numPr>
          <w:ilvl w:val="0"/>
          <w:numId w:val="29"/>
        </w:numPr>
        <w:spacing w:after="120" w:line="280" w:lineRule="atLeast"/>
        <w:ind w:left="426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Ym mis Mehefin 2017, fe wnaeth y blaid Geidwadol ffurfio Llywodraeth gydag ymrwymiad yn ei maniffesto i “leihau costau yswiriant i fodurwyr cyffredin drwy fynd i’r afael â'r parhad yn nifer a chost uchel hawliadau chwiplach”. Mae'r Ddeddf yn cynnwys mesurau sy'n rhoi </w:t>
      </w:r>
      <w:r w:rsidR="00F200F4">
        <w:rPr>
          <w:rFonts w:ascii="Arial" w:hAnsi="Arial"/>
          <w:sz w:val="22"/>
          <w:szCs w:val="22"/>
        </w:rPr>
        <w:t>grym</w:t>
      </w:r>
      <w:r>
        <w:rPr>
          <w:rFonts w:ascii="Arial" w:hAnsi="Arial"/>
          <w:sz w:val="22"/>
          <w:szCs w:val="22"/>
        </w:rPr>
        <w:t xml:space="preserve"> i bolisïau a amlinellwyd mewn ymatebion i ymgynghoriadau blaenorol a gynhaliwyd gan y Llywodraeth ynglŷn ag anafiadau chwiplach yn deillio o ddamweiniau traffig ar y ffyrdd ac ar y fframwaith a ddefnyddir i osod </w:t>
      </w:r>
      <w:r w:rsidR="00F200F4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gyfradd ddisgownt anaf personol</w:t>
      </w:r>
      <w:r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hAnsi="Arial"/>
          <w:sz w:val="22"/>
          <w:szCs w:val="22"/>
        </w:rPr>
        <w:t xml:space="preserve">. </w:t>
      </w:r>
    </w:p>
    <w:p w14:paraId="1185A89C" w14:textId="7880EAA5" w:rsidR="004C20C8" w:rsidRPr="004C20C8" w:rsidRDefault="004C20C8" w:rsidP="003B4916">
      <w:pPr>
        <w:numPr>
          <w:ilvl w:val="0"/>
          <w:numId w:val="29"/>
        </w:numPr>
        <w:spacing w:after="24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Mae’r Ddeddf hon yn cynnwys darpariaethau a amlinellwyd yn Araith y Frenhines ym mis Mehefin 2017</w:t>
      </w:r>
      <w:r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hAnsi="Arial"/>
          <w:sz w:val="22"/>
          <w:szCs w:val="22"/>
        </w:rPr>
        <w:t xml:space="preserve"> i helpu i ostwng premiymau yswiriant moduron.</w:t>
      </w:r>
    </w:p>
    <w:p w14:paraId="60BF0AF8" w14:textId="77777777" w:rsidR="003B4916" w:rsidRDefault="003B4916" w:rsidP="008937D6">
      <w:pPr>
        <w:spacing w:line="280" w:lineRule="atLeas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CA93082" w14:textId="77777777" w:rsidR="003B4916" w:rsidRDefault="003B4916" w:rsidP="008937D6">
      <w:pPr>
        <w:spacing w:line="280" w:lineRule="atLeas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82DBF32" w14:textId="77777777" w:rsidR="003B4916" w:rsidRDefault="003B4916" w:rsidP="008937D6">
      <w:pPr>
        <w:spacing w:line="280" w:lineRule="atLeas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FA2175A" w14:textId="59351536" w:rsidR="004C20C8" w:rsidRPr="004C20C8" w:rsidRDefault="004C20C8" w:rsidP="008937D6">
      <w:pPr>
        <w:spacing w:line="280" w:lineRule="atLeast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Chwiplach </w:t>
      </w:r>
    </w:p>
    <w:p w14:paraId="1866B7C2" w14:textId="4686599F" w:rsidR="004C20C8" w:rsidRDefault="004F5B84" w:rsidP="003B4916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Rhwng Tachwedd 2016 ac Ionawr 2017, cynhaliwyd ymgynghoriad </w:t>
      </w:r>
      <w:r w:rsidR="004C20C8"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3"/>
      </w:r>
      <w:r>
        <w:rPr>
          <w:rFonts w:ascii="Arial" w:hAnsi="Arial"/>
          <w:sz w:val="22"/>
          <w:szCs w:val="22"/>
        </w:rPr>
        <w:t xml:space="preserve"> ar becyn o fesurau i ddelio â'r parhad yn y nifer uchel o hawliadau chwiplach, </w:t>
      </w:r>
      <w:r w:rsidR="00F200F4">
        <w:rPr>
          <w:rFonts w:ascii="Arial" w:hAnsi="Arial"/>
          <w:sz w:val="22"/>
          <w:szCs w:val="22"/>
        </w:rPr>
        <w:t>cost</w:t>
      </w:r>
      <w:r>
        <w:rPr>
          <w:rFonts w:ascii="Arial" w:hAnsi="Arial"/>
          <w:sz w:val="22"/>
          <w:szCs w:val="22"/>
        </w:rPr>
        <w:t xml:space="preserve"> uchel yr hawliadau hynny, a’u heffaith ar bremiymau yswiriant moduron. Fe wnaeth y Llywodraeth gyhoeddi ei ymateb ar 23 Chwefror 2017</w:t>
      </w:r>
      <w:r w:rsidR="004C20C8"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"/>
      </w:r>
      <w:r>
        <w:rPr>
          <w:rFonts w:ascii="Arial" w:hAnsi="Arial"/>
          <w:sz w:val="22"/>
          <w:szCs w:val="22"/>
        </w:rPr>
        <w:t>.</w:t>
      </w:r>
    </w:p>
    <w:p w14:paraId="6D825E8E" w14:textId="38733125" w:rsidR="004F5B84" w:rsidRPr="004C20C8" w:rsidRDefault="00125572" w:rsidP="003B4916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Bydd y darpariaethau yn Rhan 1 o'r Ddeddf hon yn sicrhau y bydd hawlwyr chwiplach didwyll yn parhau i gael iawndal cymesur am eu hanafiadau, ynghyd ag iawndal arbennig am unrhyw golledion ariannol, megis colli enillion. Mae’r Ddeddf hefyd yn caniatáu i'r farnwriaeth gynyddu'r iawndal y gellid ei thalu dan y tariff mewn amgylchiadau eithriadol. Bydd y rheoliadau’n gosod ffigyrau'r tariff a lefel yr ymgodiad barnwrol.</w:t>
      </w:r>
    </w:p>
    <w:p w14:paraId="6432CCA1" w14:textId="3D47072D" w:rsidR="00B87FC1" w:rsidRDefault="004C20C8" w:rsidP="003B4916">
      <w:pPr>
        <w:numPr>
          <w:ilvl w:val="0"/>
          <w:numId w:val="29"/>
        </w:numPr>
        <w:spacing w:after="240" w:line="280" w:lineRule="atLeast"/>
        <w:ind w:left="426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Mae'r Llywodraeth wedi nodi ei barn fod lefel yr iawndal, sy’n cael ei thalu i unigolion sy’n hawlio am chwiplach, yn anghytbwys, a’i bod yn bwriadu cyflwyno mesurau i sicrhau bod hawlwyr sydd </w:t>
      </w:r>
      <w:r w:rsidR="00F200F4">
        <w:rPr>
          <w:rFonts w:ascii="Arial" w:hAnsi="Arial"/>
          <w:sz w:val="22"/>
          <w:szCs w:val="22"/>
        </w:rPr>
        <w:t xml:space="preserve">wirioneddol wedi cael anaf </w:t>
      </w:r>
      <w:r>
        <w:rPr>
          <w:rFonts w:ascii="Arial" w:hAnsi="Arial"/>
          <w:sz w:val="22"/>
          <w:szCs w:val="22"/>
        </w:rPr>
        <w:t>yn parhau i gael swm cymesur o iawndal, ac i ddatgymell pobl rhag gwneud mân hawliadau, gorliwio hawliadau, a gwneud hawliadau twyllodrus.  Mae Rhan 1 y Ddeddf yn rhan o becyn o ddiwygiadau a fydd yn mynd i'r afael â’r materion hyn. Hefyd, gwneir newidiadau ychwanegol i gynyddu'r terfyn hawliadau bychain ar gyfer hawliadau anaf personol sy’n gysylltiedig â damweiniau traffig ar y ffyrdd i £5,000, a phob hawliad anaf personol arall i £2,000.</w:t>
      </w:r>
    </w:p>
    <w:p w14:paraId="5C8ABC1B" w14:textId="77777777" w:rsidR="004C20C8" w:rsidRPr="004C20C8" w:rsidRDefault="004C20C8" w:rsidP="004F5B84">
      <w:pPr>
        <w:spacing w:line="280" w:lineRule="atLeast"/>
        <w:ind w:left="68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Cyfradd Ddisgownt Anaf Personol </w:t>
      </w:r>
    </w:p>
    <w:p w14:paraId="515F322C" w14:textId="105F5624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Bwriad iawndal anaf personol yw digolledu’r hawliwr am yr holl golledion, yn y gorffennol a’r dyfodol, a achosir gan yr anaf (“y rheol 100%”). Gellir talu iawndal am golled ariannol yn y dyfodol (e.e. colli incwm a chostau gofal) drwy </w:t>
      </w:r>
      <w:r w:rsidR="0067731E">
        <w:rPr>
          <w:rFonts w:ascii="Arial" w:hAnsi="Arial"/>
          <w:sz w:val="22"/>
          <w:szCs w:val="22"/>
        </w:rPr>
        <w:t>gyfandaliad</w:t>
      </w:r>
      <w:r>
        <w:rPr>
          <w:rFonts w:ascii="Arial" w:hAnsi="Arial"/>
          <w:sz w:val="22"/>
          <w:szCs w:val="22"/>
        </w:rPr>
        <w:t xml:space="preserve"> neu </w:t>
      </w:r>
      <w:r w:rsidR="000D3AEC">
        <w:rPr>
          <w:rFonts w:ascii="Arial" w:hAnsi="Arial"/>
          <w:sz w:val="22"/>
          <w:szCs w:val="22"/>
        </w:rPr>
        <w:t>res</w:t>
      </w:r>
      <w:r>
        <w:rPr>
          <w:rFonts w:ascii="Arial" w:hAnsi="Arial"/>
          <w:sz w:val="22"/>
          <w:szCs w:val="22"/>
        </w:rPr>
        <w:t xml:space="preserve"> o daliadau yn y dyfodol dan Orchymyn Taliadau Cyfnodol</w:t>
      </w:r>
      <w:r w:rsidR="00F200F4">
        <w:rPr>
          <w:rFonts w:ascii="Arial" w:hAnsi="Arial"/>
          <w:sz w:val="22"/>
          <w:szCs w:val="22"/>
        </w:rPr>
        <w:t xml:space="preserve"> (“PPO”)</w:t>
      </w:r>
      <w:r>
        <w:rPr>
          <w:rFonts w:ascii="Arial" w:hAnsi="Arial"/>
          <w:sz w:val="22"/>
          <w:szCs w:val="22"/>
        </w:rPr>
        <w:t xml:space="preserve">, neu gymysgedd o’r ddau. </w:t>
      </w:r>
    </w:p>
    <w:p w14:paraId="4C149E12" w14:textId="08D5F315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Mae'r broses o gyfrifo </w:t>
      </w:r>
      <w:r w:rsidR="0067731E">
        <w:rPr>
          <w:rFonts w:ascii="Arial" w:hAnsi="Arial"/>
          <w:sz w:val="22"/>
          <w:szCs w:val="22"/>
        </w:rPr>
        <w:t>cyfandaliad</w:t>
      </w:r>
      <w:r>
        <w:rPr>
          <w:rFonts w:ascii="Arial" w:hAnsi="Arial"/>
          <w:sz w:val="22"/>
          <w:szCs w:val="22"/>
        </w:rPr>
        <w:t xml:space="preserve"> ar gyfer colled ariannol yn y dyfodol yn cynnwys cymhwyso cyfradd ddisgownt sy’n cynrychioli cyfradd yr adenillion y mae disgwyl i'r hawlwyr ei gael wrth ei fuddsoddi. Bwriad y gyfradd ddisgownt yw sicrhau nad yw'r cyfle i fuddsoddi yn arwain naill ai at dalu gormod o iawndal neu at fethu â thalu digon.  </w:t>
      </w:r>
    </w:p>
    <w:p w14:paraId="4E00FB72" w14:textId="3B3BFEA7" w:rsidR="004C20C8" w:rsidRPr="004C20C8" w:rsidRDefault="004C20C8" w:rsidP="003B4916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Mewn egwyddor, gallai’r gyfradd ddisgownt gael ei gosod yn unigol fesul achos. Ond er mwyn symleiddio’r broses o weinyddu cyfiawnder, arferiad y llys yw cyfeirio at un gyfradd oni bai ei fod wedi'i argyhoeddi yn ystod yr achos y dylai cyfradd arall fod yn gymwys (ers 2001, ni chredir bod yr un llys wedi gwyro o'r gyfradd safonol). Cafodd y gyfradd hon ei gosod gan y llysoedd yn wreiddiol. Ers yr achos blaenllaw </w:t>
      </w:r>
      <w:r>
        <w:rPr>
          <w:rFonts w:ascii="Arial" w:hAnsi="Arial"/>
          <w:i/>
          <w:sz w:val="22"/>
          <w:szCs w:val="22"/>
        </w:rPr>
        <w:t>Wells v Wells</w:t>
      </w:r>
      <w:r w:rsidR="002110FC"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"/>
      </w:r>
      <w:r w:rsidR="00125572">
        <w:rPr>
          <w:rFonts w:ascii="Arial" w:hAnsi="Arial" w:cs="Arial"/>
          <w:sz w:val="22"/>
          <w:szCs w:val="22"/>
        </w:rPr>
        <w:t xml:space="preserve"> yn Nhŷ'r Arglwyddi, cyfrifwyd y gyfradd ar y sail fod yr hawlydd yn fuddsoddwr sy’n gyndyn iawn o gymryd risg. Yn unol â’r egwyddor hon, mae’r gyfradd wedi cael ei gosod drwy gyfeirio at arenillion </w:t>
      </w:r>
      <w:r w:rsidR="00F200F4">
        <w:rPr>
          <w:rFonts w:ascii="Arial" w:hAnsi="Arial" w:cs="Arial"/>
          <w:sz w:val="22"/>
          <w:szCs w:val="22"/>
        </w:rPr>
        <w:t>Index Linked Gilts (</w:t>
      </w:r>
      <w:r w:rsidR="00125572">
        <w:rPr>
          <w:rFonts w:ascii="Arial" w:hAnsi="Arial" w:cs="Arial"/>
          <w:sz w:val="22"/>
          <w:szCs w:val="22"/>
        </w:rPr>
        <w:t>ILG</w:t>
      </w:r>
      <w:r w:rsidR="00F200F4">
        <w:rPr>
          <w:rFonts w:ascii="Arial" w:hAnsi="Arial" w:cs="Arial"/>
          <w:sz w:val="22"/>
          <w:szCs w:val="22"/>
        </w:rPr>
        <w:t>s)</w:t>
      </w:r>
      <w:r w:rsidR="00125572">
        <w:rPr>
          <w:rFonts w:ascii="Arial" w:hAnsi="Arial" w:cs="Arial"/>
          <w:sz w:val="22"/>
          <w:szCs w:val="22"/>
        </w:rPr>
        <w:t xml:space="preserve"> </w:t>
      </w:r>
      <w:r w:rsidR="00F200F4">
        <w:rPr>
          <w:rFonts w:ascii="Arial" w:hAnsi="Arial" w:cs="Arial"/>
          <w:sz w:val="22"/>
          <w:szCs w:val="22"/>
        </w:rPr>
        <w:t>e</w:t>
      </w:r>
      <w:r w:rsidR="00125572">
        <w:rPr>
          <w:rFonts w:ascii="Arial" w:hAnsi="Arial" w:cs="Arial"/>
          <w:sz w:val="22"/>
          <w:szCs w:val="22"/>
        </w:rPr>
        <w:t xml:space="preserve">rs 1998. Mae adran 1 Deddf Iawndal 1996 (“Deddf 1996”) yn rhoi pŵer i'r Arglwydd Ganghellor osod y gyfradd, </w:t>
      </w:r>
      <w:r w:rsidR="00125572">
        <w:rPr>
          <w:rFonts w:ascii="Arial" w:hAnsi="Arial" w:cs="Arial"/>
          <w:sz w:val="22"/>
          <w:szCs w:val="22"/>
        </w:rPr>
        <w:lastRenderedPageBreak/>
        <w:t>a bydd y llys yn ei chymhwyso oni bai fod y llys wedi’i argyhoeddi bod cyfradd arall yn fwy priodol ar gyfer yr achos sydd ger ei fron.</w:t>
      </w:r>
    </w:p>
    <w:p w14:paraId="16BB1544" w14:textId="4F1F98D9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Mae'r pŵer dan adran 1 yn rhychwantu i osod cyfraddau gwahanol ar gyfer gwahanol gategorïau o achosion (er mai dim ond cyfraddau sengl, yn cwmpasu pob achos, a ragnodwyd hyd yma). Gellir defnyddio’r pŵer o bryd i'w gilydd, heb unrhyw ddarpariaeth ar gyfer bylchau penodol rhwng adolygiadau. Nid yw </w:t>
      </w:r>
      <w:r w:rsidR="00F200F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dran 1 yn pennu'r dull i'w ddilyn wrth osod y gyfradd – mae hyn wedi’i reoli gan mwyaf gan egwyddorion a osodwyd gan y llysoedd yn y gyfraith achosion (yn arbennig, penderfyniad Tŷ'r Arglwyddi yn </w:t>
      </w:r>
      <w:r>
        <w:rPr>
          <w:rFonts w:ascii="Arial" w:hAnsi="Arial"/>
          <w:i/>
          <w:sz w:val="22"/>
          <w:szCs w:val="22"/>
        </w:rPr>
        <w:t>Wells v Wells</w:t>
      </w:r>
      <w:r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>
        <w:rPr>
          <w:rFonts w:ascii="Arial" w:hAnsi="Arial"/>
          <w:sz w:val="22"/>
          <w:szCs w:val="22"/>
        </w:rPr>
        <w:t xml:space="preserve">). Mae hyd yn oed newidiadau bach yn y gyfradd yn gallu gwneud gwahaniaeth mawr ym maint dyfarniad unigol.  </w:t>
      </w:r>
    </w:p>
    <w:p w14:paraId="222B84CE" w14:textId="77777777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dyletswydd gyfreithiol barhaus ar yr Arglwydd Ganghellor i sicrhau nad yw’r gyfradd a ragnodir yn un amhriodol, a hynny drwy gyfeirio at ofynion y gyfraith. Mae’r gyfradd a ragnodir gan yr Arglwydd Ganghellor yn gymwys i Gymru a Lloegr yn unig (mae darpariaeth arall yn cael ei chreu yn adran 1 ar gyfer pennu’r gyfradd yn yr Alban </w:t>
      </w:r>
      <w:r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7"/>
      </w:r>
      <w:r>
        <w:rPr>
          <w:rFonts w:ascii="Arial" w:hAnsi="Arial"/>
          <w:sz w:val="22"/>
          <w:szCs w:val="22"/>
        </w:rPr>
        <w:t xml:space="preserve"> a Gogledd Iwerddon).    </w:t>
      </w:r>
    </w:p>
    <w:p w14:paraId="7A92A807" w14:textId="43DF7CF7" w:rsidR="004C20C8" w:rsidRPr="004C20C8" w:rsidRDefault="00F9352B" w:rsidP="003B4916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 ond ddwywaith erioed y defnyddiwyd pŵer yr Arglwydd Ganghellor. Gosodwyd y gyfradd ar 2.5% ym mis Mehefin 2001, ac ar finws 0.75% ym mis Mawrth 2017.  Mae'r ddwy gyfradd yn “real”, sef maent yn cynrychioli adenillion yn uwch na chwyddiant, fel y mesurir gan y Mynegai Pris Manwerthu. Rhaid pennu’r gyfradd fesul adolygiad, yn unol â thelerau'r ddeddfwriaeth. Bydd newidiadau yn y gyfradd ddisgownt yn effeithio ar faint o gyfandaliadau digolledu colled ariannol a geir yn y dyfodol. Bydd y dyfarniadau’n lleihau wrth i'r gyfradd gynyddu, a byddant yn chwyddo os yw honno’n gostwng. O ran y gyfradd ddisgownt a osodir dan y gyfraith bresennol drwy gyfeirio at fuddsoddwr sy’n gyndyn iawn o gymryd risg, bydd y newid i fuddsoddwr risg isel yn creu cyfradd ddisgownt gymharol uwch nag a fyddai wedi cael ei gosod dan y gyfraith bresennol.  </w:t>
      </w:r>
    </w:p>
    <w:p w14:paraId="67450289" w14:textId="7D1EB86B" w:rsidR="004C20C8" w:rsidRPr="004C20C8" w:rsidRDefault="00125572" w:rsidP="003B4916">
      <w:pPr>
        <w:numPr>
          <w:ilvl w:val="0"/>
          <w:numId w:val="29"/>
        </w:numPr>
        <w:spacing w:after="120" w:line="280" w:lineRule="atLeast"/>
        <w:ind w:left="425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gyhoeddodd yr Arglwydd Ganghellor ar y pryd ei bod am osod y gyfradd ar finws 0.75% ar 27 Chwefror 2017, dywedodd:  </w:t>
      </w:r>
    </w:p>
    <w:p w14:paraId="5D7F347C" w14:textId="4749BAE1" w:rsidR="004C20C8" w:rsidRPr="004C20C8" w:rsidRDefault="004C20C8" w:rsidP="003B4916">
      <w:pPr>
        <w:spacing w:after="120" w:line="280" w:lineRule="atLeast"/>
        <w:ind w:left="425"/>
        <w:rPr>
          <w:rFonts w:ascii="Arial" w:eastAsiaTheme="minorHAnsi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"Yn amlwg, bydd goblygiadau sylweddol ar draws y sector cyhoeddus a’r sector preifat. Mae’r Llywodraeth wedi ymrwymo i sicrhau bod Awdurdod Ymgyfreitha'r Gwasanaeth Iechyd Gwladol yn meddu ar gyllid priodol i dalu am newidiadau yng nghostau esgeuluster clinigol mewn ysbytai. Hefyd, bydd yr Adr</w:t>
      </w:r>
      <w:r w:rsidR="00F200F4">
        <w:rPr>
          <w:rFonts w:ascii="Arial" w:hAnsi="Arial"/>
          <w:i/>
          <w:sz w:val="22"/>
          <w:szCs w:val="22"/>
        </w:rPr>
        <w:t>an Iechyd yn gweithio’n agos â M</w:t>
      </w:r>
      <w:r>
        <w:rPr>
          <w:rFonts w:ascii="Arial" w:hAnsi="Arial"/>
          <w:i/>
          <w:sz w:val="22"/>
          <w:szCs w:val="22"/>
        </w:rPr>
        <w:t xml:space="preserve">eddygon </w:t>
      </w:r>
      <w:r w:rsidR="00F200F4">
        <w:rPr>
          <w:rFonts w:ascii="Arial" w:hAnsi="Arial"/>
          <w:i/>
          <w:sz w:val="22"/>
          <w:szCs w:val="22"/>
        </w:rPr>
        <w:t>T</w:t>
      </w:r>
      <w:r>
        <w:rPr>
          <w:rFonts w:ascii="Arial" w:hAnsi="Arial"/>
          <w:i/>
          <w:sz w:val="22"/>
          <w:szCs w:val="22"/>
        </w:rPr>
        <w:t xml:space="preserve">eulu </w:t>
      </w:r>
      <w:r w:rsidR="00F200F4">
        <w:rPr>
          <w:rFonts w:ascii="Arial" w:hAnsi="Arial"/>
          <w:i/>
          <w:sz w:val="22"/>
          <w:szCs w:val="22"/>
        </w:rPr>
        <w:t xml:space="preserve">(GPs) </w:t>
      </w:r>
      <w:r>
        <w:rPr>
          <w:rFonts w:ascii="Arial" w:hAnsi="Arial"/>
          <w:i/>
          <w:sz w:val="22"/>
          <w:szCs w:val="22"/>
        </w:rPr>
        <w:t xml:space="preserve">a Sefydliadau Amddiffyn Meddygol i sicrhau bod cyllid priodol ar gael i dalu costau ychwanegol i </w:t>
      </w:r>
      <w:r w:rsidR="00F200F4">
        <w:rPr>
          <w:rFonts w:ascii="Arial" w:hAnsi="Arial"/>
          <w:i/>
          <w:sz w:val="22"/>
          <w:szCs w:val="22"/>
        </w:rPr>
        <w:t>GPs</w:t>
      </w:r>
      <w:r>
        <w:rPr>
          <w:rFonts w:ascii="Arial" w:hAnsi="Arial"/>
          <w:i/>
          <w:sz w:val="22"/>
          <w:szCs w:val="22"/>
        </w:rPr>
        <w:t xml:space="preserve">, gan gydnabod y rhan hollbwysig y maent yn ei chwarae yn darparu gofal y GIG.”  </w:t>
      </w:r>
    </w:p>
    <w:p w14:paraId="740D5668" w14:textId="77777777" w:rsidR="004C20C8" w:rsidRPr="004C20C8" w:rsidRDefault="004C20C8" w:rsidP="003B4916">
      <w:pPr>
        <w:numPr>
          <w:ilvl w:val="0"/>
          <w:numId w:val="29"/>
        </w:numPr>
        <w:spacing w:after="120" w:line="280" w:lineRule="atLeast"/>
        <w:ind w:left="425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Ychwanegodd:  </w:t>
      </w:r>
    </w:p>
    <w:p w14:paraId="3EB8BA0F" w14:textId="60AA8D4E" w:rsidR="004C20C8" w:rsidRPr="004C20C8" w:rsidRDefault="004C20C8" w:rsidP="003B4916">
      <w:pPr>
        <w:spacing w:after="120" w:line="280" w:lineRule="atLeast"/>
        <w:ind w:left="426"/>
        <w:rPr>
          <w:rFonts w:ascii="Arial" w:eastAsiaTheme="minorHAnsi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"Bydd y Llywodraeth yn adolygu’r fframwaith a ddefnyddiais i osod y gyfradd heddiw, a hynny er mwyn sicrhau ei fod yn parhau’n addas i'r pwrpas yn y dyfodol. Byddaf yn cyflwyno deddfwriaeth cyn y Pasg i ystyried opsiynau ar gyfer diwygio, gan gynnwys y materion canlynol: a ddylai'r gyfradd gael ei gosod gan gorff annibynnol yn y dyfodol; a fyddai adolygiadau amlach yn cynyddu'r gallu i ragweld a’r sicrwydd i bob ochr; ac a yw'r dull – sydd, mewn gwirionedd, yn rhagdybio mai dim ond mewn giltiau yn gysylltiedig â’r </w:t>
      </w:r>
      <w:r w:rsidR="00125572">
        <w:rPr>
          <w:rFonts w:ascii="Arial" w:hAnsi="Arial"/>
          <w:i/>
          <w:sz w:val="22"/>
          <w:szCs w:val="22"/>
        </w:rPr>
        <w:t>m</w:t>
      </w:r>
      <w:r>
        <w:rPr>
          <w:rFonts w:ascii="Arial" w:hAnsi="Arial"/>
          <w:i/>
          <w:sz w:val="22"/>
          <w:szCs w:val="22"/>
        </w:rPr>
        <w:t xml:space="preserve">ynegai y byddai'r hawlwyr yn buddsoddi – yn briodol ar gyfer y dyfodol. Yn dilyn yr ymgynghoriad, a fydd yn ystyried a oes fframwaith </w:t>
      </w:r>
      <w:r>
        <w:rPr>
          <w:rFonts w:ascii="Arial" w:hAnsi="Arial"/>
          <w:i/>
          <w:sz w:val="22"/>
          <w:szCs w:val="22"/>
        </w:rPr>
        <w:lastRenderedPageBreak/>
        <w:t xml:space="preserve">gwell neu decach ar gael i hawlwyr a diffynyddion, bydd y Llywodraeth yn dwyn unrhyw ddeddfwriaeth angenrheidiol ymlaen yn gynnar.”   </w:t>
      </w:r>
    </w:p>
    <w:p w14:paraId="4FC6A90A" w14:textId="77777777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Yn dilyn yr ymrwymiad hwn, cafodd papur ymgynghori o'r enw “</w:t>
      </w:r>
      <w:r>
        <w:rPr>
          <w:rFonts w:ascii="Arial" w:hAnsi="Arial"/>
          <w:i/>
          <w:sz w:val="22"/>
          <w:szCs w:val="22"/>
        </w:rPr>
        <w:t>The personal injury discount rate: how it should be set in future</w:t>
      </w:r>
      <w:r w:rsidRPr="004C20C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8"/>
      </w:r>
      <w:r>
        <w:rPr>
          <w:rFonts w:ascii="Arial" w:hAnsi="Arial"/>
          <w:sz w:val="22"/>
          <w:szCs w:val="22"/>
        </w:rPr>
        <w:t>” ei gyhoeddi ar 30 Mawrth 2017.</w:t>
      </w:r>
      <w:r>
        <w:rPr>
          <w:rFonts w:ascii="Arial" w:hAnsi="Arial"/>
          <w:sz w:val="22"/>
          <w:szCs w:val="22"/>
          <w:vertAlign w:val="superscript"/>
        </w:rPr>
        <w:t>7</w:t>
      </w:r>
      <w:r>
        <w:rPr>
          <w:rFonts w:ascii="Arial" w:hAnsi="Arial"/>
          <w:sz w:val="22"/>
          <w:szCs w:val="22"/>
        </w:rPr>
        <w:t xml:space="preserve"> Roedd hwn yn ystyried opsiynau ynglŷn â sut, pryd a gan bwy y dylai'r gyfradd ddisgownt gael ei gosod. Daeth yr ymgynghoriad i ben ar 11 Mai 2017. Cyhoeddwyd crynodeb o'r ymatebion a ddaeth i law yn ystod yr ymgynghoriad. Oherwydd yr ymatebion, a’r ymchwil pellach a wnaed, mae’r Llywodraeth wedi penderfynu ei bod yn iawn newid y gyfraith bresennol ar osod y gyfradd ddisgownt.    </w:t>
      </w:r>
    </w:p>
    <w:p w14:paraId="134FCB70" w14:textId="2553A00E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6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Dyma’r prif gynigion a </w:t>
      </w:r>
      <w:r w:rsidR="00F200F4">
        <w:rPr>
          <w:rFonts w:ascii="Arial" w:hAnsi="Arial"/>
          <w:sz w:val="22"/>
          <w:szCs w:val="22"/>
        </w:rPr>
        <w:t>effeithir arnynt</w:t>
      </w:r>
      <w:r>
        <w:rPr>
          <w:rFonts w:ascii="Arial" w:hAnsi="Arial"/>
          <w:sz w:val="22"/>
          <w:szCs w:val="22"/>
        </w:rPr>
        <w:t xml:space="preserve"> gan y Ddeddf: </w:t>
      </w:r>
    </w:p>
    <w:p w14:paraId="773C4341" w14:textId="1D44790F" w:rsidR="004C20C8" w:rsidRPr="004C20C8" w:rsidRDefault="004C20C8" w:rsidP="003B4916">
      <w:pPr>
        <w:tabs>
          <w:tab w:val="left" w:pos="851"/>
        </w:tabs>
        <w:spacing w:after="120" w:line="280" w:lineRule="atLeast"/>
        <w:ind w:left="851" w:hanging="414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a. </w:t>
      </w:r>
      <w:r>
        <w:rPr>
          <w:rFonts w:ascii="Arial" w:hAnsi="Arial"/>
          <w:sz w:val="22"/>
          <w:szCs w:val="22"/>
        </w:rPr>
        <w:tab/>
        <w:t xml:space="preserve">Gosod y gyfradd drwy gyfeirio at fuddsoddiadau “risg isel” yn hytrach na “risg isel iawn”. Bydd hyn yn effeithio drwy gynyddu cyfradd ddisgwyliedig yr adenillion, o’i gymharu â’r hyn y byddai wedi bod dan y gyfraith flaenorol.  Felly, gellir disgwyl i </w:t>
      </w:r>
      <w:r w:rsidR="00F200F4">
        <w:rPr>
          <w:rFonts w:ascii="Arial" w:hAnsi="Arial"/>
          <w:sz w:val="22"/>
          <w:szCs w:val="22"/>
        </w:rPr>
        <w:t xml:space="preserve">iawndaliadau </w:t>
      </w:r>
      <w:r>
        <w:rPr>
          <w:rFonts w:ascii="Arial" w:hAnsi="Arial"/>
          <w:sz w:val="22"/>
          <w:szCs w:val="22"/>
        </w:rPr>
        <w:t>digolledu rhag colled yn y dyfodol fod yn is na’r hyn y byddent wedi bod petai'r gyfraith heb newid.</w:t>
      </w:r>
    </w:p>
    <w:p w14:paraId="5DECFDF6" w14:textId="4C7C95FE" w:rsidR="004C20C8" w:rsidRPr="004C20C8" w:rsidRDefault="004C20C8" w:rsidP="003B4916">
      <w:pPr>
        <w:tabs>
          <w:tab w:val="left" w:pos="851"/>
        </w:tabs>
        <w:spacing w:after="120" w:line="280" w:lineRule="atLeast"/>
        <w:ind w:left="851" w:hanging="414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b. </w:t>
      </w:r>
      <w:r>
        <w:rPr>
          <w:rFonts w:ascii="Arial" w:hAnsi="Arial"/>
          <w:sz w:val="22"/>
          <w:szCs w:val="22"/>
        </w:rPr>
        <w:tab/>
        <w:t xml:space="preserve">I ddechrau, bydd y gyfradd yn cael ei hadolygu’n brydlon ar ôl i'r ddeddfwriaeth ddod i rym, ac wedi hynny, o leiaf bob pum mlynedd, gan ailosod y cyfnod hwnnw pan ddaw adolygiad i ben. Bydd yr adolygiadau’n cael eu cynnal, a’u cwblhau, o fewn cyfnodau penodol. Mae’r Ddeddf yn darparu y bydd yr adolygiad cyntaf yn dechrau cyn pen 90 diwrnod ar ôl y Cydsyniad Brenhinol, ac y bydd yn cael ei gwblhau cyn pen 140 </w:t>
      </w:r>
      <w:r w:rsidR="00F200F4">
        <w:rPr>
          <w:rFonts w:ascii="Arial" w:hAnsi="Arial"/>
          <w:sz w:val="22"/>
          <w:szCs w:val="22"/>
        </w:rPr>
        <w:t xml:space="preserve">diwrnod </w:t>
      </w:r>
      <w:r>
        <w:rPr>
          <w:rFonts w:ascii="Arial" w:hAnsi="Arial"/>
          <w:sz w:val="22"/>
          <w:szCs w:val="22"/>
        </w:rPr>
        <w:t>ar ôl iddo ddechrau.</w:t>
      </w:r>
    </w:p>
    <w:p w14:paraId="67D7AF31" w14:textId="6AA840E2" w:rsidR="004C20C8" w:rsidRPr="004C20C8" w:rsidRDefault="004C20C8" w:rsidP="003B4916">
      <w:pPr>
        <w:tabs>
          <w:tab w:val="left" w:pos="851"/>
        </w:tabs>
        <w:spacing w:after="240" w:line="280" w:lineRule="atLeast"/>
        <w:ind w:left="851" w:hanging="414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 </w:t>
      </w:r>
      <w:r>
        <w:rPr>
          <w:rFonts w:ascii="Arial" w:hAnsi="Arial"/>
          <w:sz w:val="22"/>
          <w:szCs w:val="22"/>
        </w:rPr>
        <w:tab/>
        <w:t xml:space="preserve">Bydd y gyfradd yn cael ei gosod gan yr Arglwydd Ganghellor, a fydd yn ymgynghori ag Actiwari'r Llywodraeth ynghylch yr adolygiad cyntaf (fel dan y gyfraith flaenorol), ag â phanel o arbenigwyr annibynnol, dan gadeiryddiaeth Actiwari'r Llywodraeth, ynghylch yr adolygiadau dilynol. Fel dan y gyfraith flaenorol, bydd rhaid ymgynghori’n statudol â Thrysorlys Ei Mawrhydi ar adeg pob adolygiad. </w:t>
      </w:r>
    </w:p>
    <w:p w14:paraId="6F9BAEC4" w14:textId="7BC852B1" w:rsidR="004C20C8" w:rsidRPr="004C20C8" w:rsidRDefault="004C20C8" w:rsidP="00B87FC1">
      <w:pPr>
        <w:spacing w:line="280" w:lineRule="atLeast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 cefndir cyfreithiol</w:t>
      </w:r>
      <w:r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b/>
          <w:sz w:val="22"/>
          <w:szCs w:val="22"/>
        </w:rPr>
        <w:t xml:space="preserve">Chwiplach </w:t>
      </w:r>
    </w:p>
    <w:p w14:paraId="428C776F" w14:textId="6E6ADCA2" w:rsidR="004C20C8" w:rsidRPr="004C20C8" w:rsidRDefault="004C20C8" w:rsidP="004C20C8">
      <w:pPr>
        <w:numPr>
          <w:ilvl w:val="0"/>
          <w:numId w:val="29"/>
        </w:numPr>
        <w:spacing w:after="12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Ar hyn o bryd, nid oes unrhyw ddarpariaethau deddfwriaethol yn ceisio rheoleiddio’r iawndal am boen, dioddefaint a cholli amwynder am anafiadau chwiplach yn gysylltiedig â damweiniau traffig ar y ffyrdd</w:t>
      </w:r>
      <w:r w:rsidR="00F200F4">
        <w:rPr>
          <w:rFonts w:ascii="Arial" w:hAnsi="Arial"/>
          <w:sz w:val="22"/>
          <w:szCs w:val="22"/>
        </w:rPr>
        <w:t xml:space="preserve"> (“RTA”)</w:t>
      </w:r>
      <w:r>
        <w:rPr>
          <w:rFonts w:ascii="Arial" w:hAnsi="Arial"/>
          <w:sz w:val="22"/>
          <w:szCs w:val="22"/>
        </w:rPr>
        <w:t xml:space="preserve">. Mater i'r llys, drwy gyfeirio at ffeithiau’r achos, gan gynnwys difrifoldeb yr anafiadau a dyfarniadau blaenorol am anafiadau tebyg, fydd y gwaith o asesu a dyfarnu’r iawndal. Mae Canllawiau Asesu Iawndal Cyffredinol mewn Achosion Anafiadau Personol Coleg y Farnwriaeth yn darparu arweiniad ar iawndal. </w:t>
      </w:r>
    </w:p>
    <w:p w14:paraId="329343E6" w14:textId="3B1B27F6" w:rsidR="00B87FC1" w:rsidRDefault="004C20C8" w:rsidP="00B87FC1">
      <w:pPr>
        <w:numPr>
          <w:ilvl w:val="0"/>
          <w:numId w:val="29"/>
        </w:numPr>
        <w:spacing w:after="24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 hyn o bryd, nid oes unrhyw ddarpariaethau deddfwriaeth yn gwahardd gwahodd a chynnig talu a derbyn setliadau mewn hawliadau chwiplach </w:t>
      </w:r>
      <w:r w:rsidR="00F200F4">
        <w:rPr>
          <w:rFonts w:ascii="Arial" w:hAnsi="Arial"/>
          <w:sz w:val="22"/>
          <w:szCs w:val="22"/>
        </w:rPr>
        <w:t>RTA</w:t>
      </w:r>
      <w:r>
        <w:rPr>
          <w:rFonts w:ascii="Arial" w:hAnsi="Arial"/>
          <w:sz w:val="22"/>
          <w:szCs w:val="22"/>
        </w:rPr>
        <w:t xml:space="preserve"> gan bersonau rheoledig cyn cael tystiolaeth feddygol.  Ond mae adrannau 6 i 9 o'r Ddeddf yn mabwysiadu dull tebyg o ymdrin â darpariaethau yn adrannau 56 i 60 o Ddeddf Cymorth Cyfreithiol, Dedfrydu a Chosbi Troseddwyr 2012, sy’n gwahardd talu a derbyn ffioedd atgyfeirio, ac adrannau 57 i 61 o Ddeddf Cyfiawnder Troseddol a’r Llysoedd 2015, sy'n gwahardd cynnig ysgogiadau mewn perthynas â hawliadau anaf personol. Yn y ddau achos, mae’r gwaharddiad yn gymwys i “bersonau rheoledig” (er enghraifft, cyfreithwyr a bargyfreithwyr), ac mae’n cael ei fonitro a’i orfodi gan y rheoleiddiwr perthnasol (er enghraifft, Cymdeithas y Gyfraith a Chyngor y Bar) a allai wneud darpariaeth </w:t>
      </w:r>
      <w:r>
        <w:rPr>
          <w:rFonts w:ascii="Arial" w:hAnsi="Arial"/>
          <w:sz w:val="22"/>
          <w:szCs w:val="22"/>
        </w:rPr>
        <w:lastRenderedPageBreak/>
        <w:t xml:space="preserve">mewn rheoliadau ar gyfer hynny. Caiff yr Arglwydd Ganghellor ychwanegu at y rhestrau o bersonau rheoledig y dylai'r gwaharddiad fod yn gymwys iddynt, a rheoleiddwyr perthnasol. </w:t>
      </w:r>
    </w:p>
    <w:p w14:paraId="0D9B9D7B" w14:textId="1518E44C" w:rsidR="00B87FC1" w:rsidRPr="00B87FC1" w:rsidRDefault="00B87FC1" w:rsidP="00B87FC1">
      <w:pPr>
        <w:spacing w:line="280" w:lineRule="atLeast"/>
        <w:ind w:left="68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 Cefndir Cyfreithiol - Cyfradd Ddisgownt Anaf Personol </w:t>
      </w:r>
    </w:p>
    <w:p w14:paraId="21CEBC43" w14:textId="31CEF46F" w:rsidR="004C20C8" w:rsidRPr="00B87FC1" w:rsidRDefault="00B87FC1" w:rsidP="00B87FC1">
      <w:pPr>
        <w:pStyle w:val="ListParagraph"/>
        <w:numPr>
          <w:ilvl w:val="0"/>
          <w:numId w:val="29"/>
        </w:numPr>
        <w:spacing w:after="240" w:line="280" w:lineRule="atLeast"/>
        <w:ind w:left="425" w:hanging="357"/>
        <w:contextualSpacing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esboniad o’r cefndir cyfreithiol perthnasol ar gael ym mharagraffau 8-17 o'r nodyn hwn. </w:t>
      </w:r>
    </w:p>
    <w:p w14:paraId="13190F23" w14:textId="77777777" w:rsidR="004C20C8" w:rsidRPr="004C20C8" w:rsidRDefault="004C20C8" w:rsidP="00B87FC1">
      <w:pPr>
        <w:spacing w:line="280" w:lineRule="atLeast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Rhychwant tiriogaethol a chymhwyso </w:t>
      </w:r>
    </w:p>
    <w:p w14:paraId="43667F6A" w14:textId="30C4F083" w:rsidR="004C20C8" w:rsidRPr="004C20C8" w:rsidRDefault="00B87FC1" w:rsidP="004C20C8">
      <w:pPr>
        <w:numPr>
          <w:ilvl w:val="0"/>
          <w:numId w:val="29"/>
        </w:numPr>
        <w:spacing w:after="120" w:line="280" w:lineRule="atLeast"/>
        <w:ind w:left="425" w:hanging="357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adran 13 o'r Ddeddf yn nodi rhychwant y darpariaethau. Gall rhychwant Deddf fod yn wahanol i'w chymhwysiad. Mae cymhwysiad yn cyfeirio at y mater o ble mae Deddf yn creu effaith ymarferol.  </w:t>
      </w:r>
    </w:p>
    <w:p w14:paraId="4E32ED35" w14:textId="4AE62091" w:rsidR="004C20C8" w:rsidRPr="004C20C8" w:rsidRDefault="00125572" w:rsidP="004C20C8">
      <w:pPr>
        <w:numPr>
          <w:ilvl w:val="0"/>
          <w:numId w:val="29"/>
        </w:numPr>
        <w:spacing w:after="120" w:line="280" w:lineRule="atLeast"/>
        <w:ind w:left="426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Mae’r darpariaethau sy’n ymwneud ag anafiadau ac iawndal chwiplach yn rhychwantu ac yn gymwys i Gymru a Lloegr yn unig. Mae’r darpariaethau sy’n ymwneud â’r gyfradd ddisgownt yn rhychwantu ac yn gymwys i Gymru a Lloegr yn unig. Fel hyn y mae pethau ac eithrio rhai newidiadau canlyniadol mân iawn i Ddeddf 1996. Mae'r darpariaethau sydd yn adran 11 (adrodd ynghylch effaith Rhannau 1 a 2) yn rhychwantu ac yn gymwys i Gymru a Lloegr yn unig, ac eithrio rhai mân ddiwygiadau canlyniadol i Ddeddf Gwasanaethau a Marchnadoedd Ariannol 2000.</w:t>
      </w:r>
    </w:p>
    <w:p w14:paraId="7AB27F66" w14:textId="77777777" w:rsidR="00960D68" w:rsidRPr="00B213BF" w:rsidRDefault="00960D68" w:rsidP="0075676D">
      <w:pPr>
        <w:spacing w:after="120" w:line="280" w:lineRule="atLeast"/>
        <w:rPr>
          <w:rFonts w:asciiTheme="minorHAnsi" w:hAnsiTheme="minorHAnsi" w:cstheme="minorHAnsi"/>
          <w:sz w:val="22"/>
          <w:szCs w:val="22"/>
        </w:rPr>
      </w:pPr>
      <w:bookmarkStart w:id="1" w:name="cysill"/>
      <w:bookmarkEnd w:id="1"/>
    </w:p>
    <w:sectPr w:rsidR="00960D68" w:rsidRPr="00B213BF" w:rsidSect="003662F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021" w:bottom="2268" w:left="102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8519" w14:textId="77777777" w:rsidR="00146070" w:rsidRDefault="00146070">
      <w:r>
        <w:separator/>
      </w:r>
    </w:p>
  </w:endnote>
  <w:endnote w:type="continuationSeparator" w:id="0">
    <w:p w14:paraId="18F02379" w14:textId="77777777" w:rsidR="00146070" w:rsidRDefault="001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B1C4" w14:textId="77777777" w:rsidR="007A7CFA" w:rsidRDefault="007A7CFA" w:rsidP="007C7960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7BD8" w14:textId="77777777" w:rsidR="007A7CFA" w:rsidRDefault="00960D68" w:rsidP="00B0614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31DCC3" wp14:editId="5CEEFFE1">
              <wp:simplePos x="0" y="0"/>
              <wp:positionH relativeFrom="column">
                <wp:posOffset>6073140</wp:posOffset>
              </wp:positionH>
              <wp:positionV relativeFrom="paragraph">
                <wp:posOffset>-35560</wp:posOffset>
              </wp:positionV>
              <wp:extent cx="254635" cy="2209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7024AD" w14:textId="1A8B93A2" w:rsidR="00B06149" w:rsidRPr="00FF5837" w:rsidRDefault="00B06149" w:rsidP="00B0614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F583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F5837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FF583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A778A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F583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1DC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78.2pt;margin-top:-2.8pt;width:20.05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" filled="f" stroked="f" strokeweight=".5pt">
              <v:textbox inset="1mm,1mm,1mm,1mm">
                <w:txbxContent>
                  <w:p w14:paraId="627024AD" w14:textId="1A8B93A2" w:rsidR="00B06149" w:rsidRPr="00FF5837" w:rsidRDefault="00B06149" w:rsidP="00B0614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F5837">
                      <w:rPr>
                        <w:rFonts w:ascii="Arial" w:hAnsi="Arial" w:cs="Arial"/>
                      </w:rPr>
                      <w:fldChar w:fldCharType="begin"/>
                    </w:r>
                    <w:r w:rsidRPr="00FF5837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FF5837">
                      <w:rPr>
                        <w:rFonts w:ascii="Arial" w:hAnsi="Arial" w:cs="Arial"/>
                      </w:rPr>
                      <w:fldChar w:fldCharType="separate"/>
                    </w:r>
                    <w:r w:rsidR="007A778A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FF583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F249" w14:textId="77777777" w:rsidR="00146070" w:rsidRDefault="00146070">
      <w:r>
        <w:separator/>
      </w:r>
    </w:p>
  </w:footnote>
  <w:footnote w:type="continuationSeparator" w:id="0">
    <w:p w14:paraId="27F5FE1E" w14:textId="77777777" w:rsidR="00146070" w:rsidRDefault="00146070">
      <w:r>
        <w:continuationSeparator/>
      </w:r>
    </w:p>
  </w:footnote>
  <w:footnote w:id="1">
    <w:p w14:paraId="12C2F315" w14:textId="4BEEE2A9" w:rsidR="004C20C8" w:rsidRDefault="004C20C8" w:rsidP="004C20C8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/>
          <w:sz w:val="16"/>
          <w:szCs w:val="16"/>
        </w:rPr>
        <w:t xml:space="preserve">: </w:t>
      </w:r>
      <w:hyperlink r:id="rId1" w:history="1">
        <w:r>
          <w:rPr>
            <w:rStyle w:val="Hyperlink"/>
            <w:sz w:val="16"/>
            <w:szCs w:val="16"/>
          </w:rPr>
          <w:t>https://consult.justice.gov.uk/digital-communications/personal-injury-discount-rate/</w:t>
        </w:r>
      </w:hyperlink>
      <w:r>
        <w:rPr>
          <w:rFonts w:ascii="Arial" w:hAnsi="Arial"/>
          <w:sz w:val="22"/>
          <w:szCs w:val="22"/>
        </w:rPr>
        <w:t xml:space="preserve"> </w:t>
      </w:r>
    </w:p>
  </w:footnote>
  <w:footnote w:id="2">
    <w:p w14:paraId="5BF42486" w14:textId="77777777" w:rsidR="004C20C8" w:rsidRDefault="004C20C8" w:rsidP="004C20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  <w:sz w:val="16"/>
            <w:szCs w:val="16"/>
          </w:rPr>
          <w:t>https://www.gov.uk/government/speeches/queens-speech-2017</w:t>
        </w:r>
      </w:hyperlink>
      <w:r>
        <w:rPr>
          <w:rFonts w:ascii="Arial" w:hAnsi="Arial"/>
          <w:sz w:val="16"/>
          <w:szCs w:val="16"/>
        </w:rPr>
        <w:t xml:space="preserve"> </w:t>
      </w:r>
      <w:r>
        <w:t xml:space="preserve">  </w:t>
      </w:r>
    </w:p>
  </w:footnote>
  <w:footnote w:id="3">
    <w:p w14:paraId="402A15DA" w14:textId="13B7E35B" w:rsidR="004C20C8" w:rsidRDefault="004C20C8" w:rsidP="004C20C8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/>
          <w:sz w:val="16"/>
          <w:szCs w:val="16"/>
        </w:rPr>
        <w:t>: https://assets.publishing.service.gov.uk/government/uploads/system/uploads/attachment_data/file/603337/whiplash-consultation-2016-cym.pdf</w:t>
      </w:r>
      <w:r>
        <w:t xml:space="preserve">  </w:t>
      </w:r>
    </w:p>
    <w:p w14:paraId="1099C6CB" w14:textId="77777777" w:rsidR="003B4916" w:rsidRDefault="003B4916" w:rsidP="004C20C8">
      <w:pPr>
        <w:pStyle w:val="FootnoteText"/>
      </w:pPr>
    </w:p>
  </w:footnote>
  <w:footnote w:id="4">
    <w:p w14:paraId="299518A0" w14:textId="0F23C880" w:rsidR="004C20C8" w:rsidRDefault="004C20C8" w:rsidP="004C20C8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  <w:sz w:val="16"/>
            <w:szCs w:val="16"/>
          </w:rPr>
          <w:t>https://assets.publishing.service.gov.uk/government/uploads/system/uploads/attachment_data/file/603338/cym-part-1-response-_to-reforming-soft-tissue-injury.pdf</w:t>
        </w:r>
      </w:hyperlink>
    </w:p>
    <w:p w14:paraId="0D6A42F6" w14:textId="77777777" w:rsidR="003B4916" w:rsidRPr="00560F87" w:rsidRDefault="003B4916" w:rsidP="004C20C8">
      <w:pPr>
        <w:pStyle w:val="FootnoteText"/>
        <w:rPr>
          <w:sz w:val="16"/>
          <w:szCs w:val="16"/>
        </w:rPr>
      </w:pPr>
    </w:p>
  </w:footnote>
  <w:footnote w:id="5">
    <w:p w14:paraId="57D8FA20" w14:textId="77777777" w:rsidR="002110FC" w:rsidRDefault="002110FC" w:rsidP="00211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[1999] 1 AC 345</w:t>
      </w:r>
    </w:p>
  </w:footnote>
  <w:footnote w:id="6">
    <w:p w14:paraId="57DE7017" w14:textId="77777777" w:rsidR="004C20C8" w:rsidRDefault="004C20C8" w:rsidP="004C20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[1999] 1 AC 345</w:t>
      </w:r>
    </w:p>
  </w:footnote>
  <w:footnote w:id="7">
    <w:p w14:paraId="0B7F0484" w14:textId="77777777" w:rsidR="004C20C8" w:rsidRDefault="004C20C8" w:rsidP="004C20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 xml:space="preserve">Mae Llywodraeth yr Alban wedi cyflwyno </w:t>
      </w:r>
      <w:r>
        <w:rPr>
          <w:rFonts w:ascii="Arial" w:hAnsi="Arial"/>
          <w:sz w:val="16"/>
          <w:szCs w:val="16"/>
        </w:rPr>
        <w:t>Deddf Iawndal (Adenillion Buddsoddiadau a Thaliadau Cyfnodol) (Yr Alban), sy’n cyflwyno darpariaeth ynglŷn â sut i osod cyfradd ddisgownt anaf personol yn yr Alban, i Senedd yr Alban ar 14 Mehefin 2018 (</w:t>
      </w:r>
      <w:hyperlink r:id="rId4" w:history="1">
        <w:r>
          <w:rPr>
            <w:rStyle w:val="Hyperlink"/>
            <w:sz w:val="16"/>
            <w:szCs w:val="16"/>
          </w:rPr>
          <w:t>http://www.parliament.scot/parliamentarybusiness/Acts/576.aspx</w:t>
        </w:r>
      </w:hyperlink>
      <w:r>
        <w:rPr>
          <w:rFonts w:ascii="Arial" w:hAnsi="Arial"/>
          <w:sz w:val="16"/>
          <w:szCs w:val="16"/>
        </w:rPr>
        <w:t>).</w:t>
      </w:r>
    </w:p>
  </w:footnote>
  <w:footnote w:id="8">
    <w:p w14:paraId="22DCED7C" w14:textId="77777777" w:rsidR="004C20C8" w:rsidRDefault="004C20C8" w:rsidP="004C20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  <w:sz w:val="16"/>
            <w:szCs w:val="16"/>
          </w:rPr>
          <w:t>https://www.gov.uk/government/consultations/personal-injury-discount-rate-how-it-should-be-set-in-future</w:t>
        </w:r>
      </w:hyperlink>
      <w:r>
        <w:rPr>
          <w:rFonts w:ascii="Arial" w:hAnsi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5000" w14:textId="77777777" w:rsidR="007A7CFA" w:rsidRPr="0034092D" w:rsidRDefault="00960D68" w:rsidP="003409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4D8445" wp14:editId="01D82C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1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5D66" w14:textId="65E4DF2A" w:rsidR="001E240A" w:rsidRDefault="00CC1B69">
    <w:pPr>
      <w:pStyle w:val="Header"/>
    </w:pPr>
    <w:r>
      <w:rPr>
        <w:noProof/>
      </w:rPr>
      <w:drawing>
        <wp:inline distT="0" distB="0" distL="0" distR="0" wp14:anchorId="18FC1CAE" wp14:editId="3767FE3F">
          <wp:extent cx="1536192" cy="859331"/>
          <wp:effectExtent l="0" t="0" r="6985" b="0"/>
          <wp:docPr id="4" name="Picture 4" descr="C:\Users\QPH65Q\AppData\Local\Microsoft\Windows\INetCache\Content.Word\MOJ_BLK_WELSH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QPH65Q\AppData\Local\Microsoft\Windows\INetCache\Content.Word\MOJ_BLK_WELSH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991" cy="8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229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3A4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0726B"/>
    <w:multiLevelType w:val="singleLevel"/>
    <w:tmpl w:val="7A546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B622BC1"/>
    <w:multiLevelType w:val="singleLevel"/>
    <w:tmpl w:val="2C622974"/>
    <w:lvl w:ilvl="0">
      <w:start w:val="1"/>
      <w:numFmt w:val="bullet"/>
      <w:pStyle w:val="Bulletundernumberedtex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4" w15:restartNumberingAfterBreak="0">
    <w:nsid w:val="1FFC3900"/>
    <w:multiLevelType w:val="singleLevel"/>
    <w:tmpl w:val="60DE78CA"/>
    <w:lvl w:ilvl="0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25F42E0E"/>
    <w:multiLevelType w:val="hybridMultilevel"/>
    <w:tmpl w:val="0D72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436D"/>
    <w:multiLevelType w:val="singleLevel"/>
    <w:tmpl w:val="DE3E92F6"/>
    <w:lvl w:ilvl="0">
      <w:start w:val="1"/>
      <w:numFmt w:val="decimal"/>
      <w:pStyle w:val="Tex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275DF5"/>
    <w:multiLevelType w:val="hybridMultilevel"/>
    <w:tmpl w:val="75A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6D0"/>
    <w:multiLevelType w:val="hybridMultilevel"/>
    <w:tmpl w:val="EB44229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351A56B5"/>
    <w:multiLevelType w:val="hybridMultilevel"/>
    <w:tmpl w:val="30E2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1B674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1D99"/>
    <w:multiLevelType w:val="hybridMultilevel"/>
    <w:tmpl w:val="358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F26"/>
    <w:multiLevelType w:val="singleLevel"/>
    <w:tmpl w:val="54BC29C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9D50E2"/>
    <w:multiLevelType w:val="hybridMultilevel"/>
    <w:tmpl w:val="D116C952"/>
    <w:lvl w:ilvl="0" w:tplc="08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 w15:restartNumberingAfterBreak="0">
    <w:nsid w:val="45AA529C"/>
    <w:multiLevelType w:val="hybridMultilevel"/>
    <w:tmpl w:val="F2AC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1F7C"/>
    <w:multiLevelType w:val="hybridMultilevel"/>
    <w:tmpl w:val="2C24CAE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E2E5A87"/>
    <w:multiLevelType w:val="hybridMultilevel"/>
    <w:tmpl w:val="5CF8E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64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E763AA"/>
    <w:multiLevelType w:val="hybridMultilevel"/>
    <w:tmpl w:val="B28AE9D4"/>
    <w:lvl w:ilvl="0" w:tplc="0526FD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0"/>
  </w:num>
  <w:num w:numId="21">
    <w:abstractNumId w:val="10"/>
  </w:num>
  <w:num w:numId="22">
    <w:abstractNumId w:val="14"/>
  </w:num>
  <w:num w:numId="23">
    <w:abstractNumId w:val="12"/>
  </w:num>
  <w:num w:numId="24">
    <w:abstractNumId w:val="17"/>
  </w:num>
  <w:num w:numId="25">
    <w:abstractNumId w:val="15"/>
  </w:num>
  <w:num w:numId="26">
    <w:abstractNumId w:val="5"/>
  </w:num>
  <w:num w:numId="27">
    <w:abstractNumId w:val="7"/>
  </w:num>
  <w:num w:numId="28">
    <w:abstractNumId w:val="13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8"/>
    <w:rsid w:val="00002FCC"/>
    <w:rsid w:val="00003F5F"/>
    <w:rsid w:val="00040A19"/>
    <w:rsid w:val="000538FB"/>
    <w:rsid w:val="00056E4E"/>
    <w:rsid w:val="00071AA3"/>
    <w:rsid w:val="00082208"/>
    <w:rsid w:val="000A0449"/>
    <w:rsid w:val="000C5827"/>
    <w:rsid w:val="000D3AEC"/>
    <w:rsid w:val="000D3CC2"/>
    <w:rsid w:val="000D4FF7"/>
    <w:rsid w:val="000D6120"/>
    <w:rsid w:val="000E328B"/>
    <w:rsid w:val="00104BA9"/>
    <w:rsid w:val="0012520B"/>
    <w:rsid w:val="00125572"/>
    <w:rsid w:val="00130B57"/>
    <w:rsid w:val="00137CB8"/>
    <w:rsid w:val="00146070"/>
    <w:rsid w:val="00155DFC"/>
    <w:rsid w:val="0018051D"/>
    <w:rsid w:val="00193CCB"/>
    <w:rsid w:val="001960F2"/>
    <w:rsid w:val="001B7EF1"/>
    <w:rsid w:val="001C2E08"/>
    <w:rsid w:val="001E240A"/>
    <w:rsid w:val="001F4CB8"/>
    <w:rsid w:val="00201E9A"/>
    <w:rsid w:val="002110FC"/>
    <w:rsid w:val="00246E37"/>
    <w:rsid w:val="00254B23"/>
    <w:rsid w:val="002574E8"/>
    <w:rsid w:val="0027434C"/>
    <w:rsid w:val="002B601B"/>
    <w:rsid w:val="003006E4"/>
    <w:rsid w:val="003049F1"/>
    <w:rsid w:val="0031241C"/>
    <w:rsid w:val="003144D1"/>
    <w:rsid w:val="003158FF"/>
    <w:rsid w:val="00317848"/>
    <w:rsid w:val="00322DC9"/>
    <w:rsid w:val="00327779"/>
    <w:rsid w:val="00337A77"/>
    <w:rsid w:val="0034092D"/>
    <w:rsid w:val="003412FB"/>
    <w:rsid w:val="003545DA"/>
    <w:rsid w:val="00362C91"/>
    <w:rsid w:val="0036517D"/>
    <w:rsid w:val="003662FF"/>
    <w:rsid w:val="00366A83"/>
    <w:rsid w:val="00373D54"/>
    <w:rsid w:val="003A053F"/>
    <w:rsid w:val="003A2A22"/>
    <w:rsid w:val="003B4916"/>
    <w:rsid w:val="003D2018"/>
    <w:rsid w:val="003E32E3"/>
    <w:rsid w:val="00406E85"/>
    <w:rsid w:val="00413671"/>
    <w:rsid w:val="004457A3"/>
    <w:rsid w:val="00456AEA"/>
    <w:rsid w:val="00471AFD"/>
    <w:rsid w:val="004B6BA6"/>
    <w:rsid w:val="004B7A22"/>
    <w:rsid w:val="004C20C8"/>
    <w:rsid w:val="004C7876"/>
    <w:rsid w:val="004F5B84"/>
    <w:rsid w:val="00517E8C"/>
    <w:rsid w:val="0052711B"/>
    <w:rsid w:val="005503EC"/>
    <w:rsid w:val="005545F7"/>
    <w:rsid w:val="00564813"/>
    <w:rsid w:val="00570031"/>
    <w:rsid w:val="00596C42"/>
    <w:rsid w:val="00597CB3"/>
    <w:rsid w:val="005C6D6E"/>
    <w:rsid w:val="005D728B"/>
    <w:rsid w:val="00615F44"/>
    <w:rsid w:val="006351A9"/>
    <w:rsid w:val="00644A07"/>
    <w:rsid w:val="006715F2"/>
    <w:rsid w:val="0067731E"/>
    <w:rsid w:val="006C1A1D"/>
    <w:rsid w:val="006D1A27"/>
    <w:rsid w:val="006D4DBB"/>
    <w:rsid w:val="00711CF3"/>
    <w:rsid w:val="00731C07"/>
    <w:rsid w:val="00732812"/>
    <w:rsid w:val="00755F94"/>
    <w:rsid w:val="0075676D"/>
    <w:rsid w:val="007623AA"/>
    <w:rsid w:val="00783966"/>
    <w:rsid w:val="00792F01"/>
    <w:rsid w:val="007A778A"/>
    <w:rsid w:val="007A7CFA"/>
    <w:rsid w:val="007C7960"/>
    <w:rsid w:val="007D0A4B"/>
    <w:rsid w:val="007F0FB4"/>
    <w:rsid w:val="007F5020"/>
    <w:rsid w:val="0083085B"/>
    <w:rsid w:val="0084017E"/>
    <w:rsid w:val="008431DF"/>
    <w:rsid w:val="00854153"/>
    <w:rsid w:val="00855D27"/>
    <w:rsid w:val="00866036"/>
    <w:rsid w:val="008674EB"/>
    <w:rsid w:val="00884AAB"/>
    <w:rsid w:val="00887B9C"/>
    <w:rsid w:val="008937D6"/>
    <w:rsid w:val="008B04CD"/>
    <w:rsid w:val="008D0894"/>
    <w:rsid w:val="008D1BC6"/>
    <w:rsid w:val="008D74DE"/>
    <w:rsid w:val="008E6A6A"/>
    <w:rsid w:val="008F4EB4"/>
    <w:rsid w:val="0092100C"/>
    <w:rsid w:val="009264B8"/>
    <w:rsid w:val="00960D68"/>
    <w:rsid w:val="0097399B"/>
    <w:rsid w:val="00985D57"/>
    <w:rsid w:val="009A3435"/>
    <w:rsid w:val="009B54F6"/>
    <w:rsid w:val="009D0A28"/>
    <w:rsid w:val="009D2BEE"/>
    <w:rsid w:val="009E28C3"/>
    <w:rsid w:val="00A20129"/>
    <w:rsid w:val="00A26D3A"/>
    <w:rsid w:val="00A30A60"/>
    <w:rsid w:val="00A401A7"/>
    <w:rsid w:val="00A43A92"/>
    <w:rsid w:val="00A7630E"/>
    <w:rsid w:val="00A76F72"/>
    <w:rsid w:val="00A97702"/>
    <w:rsid w:val="00AA01DC"/>
    <w:rsid w:val="00AA4933"/>
    <w:rsid w:val="00AB7073"/>
    <w:rsid w:val="00AC283E"/>
    <w:rsid w:val="00AD0E30"/>
    <w:rsid w:val="00AD42F8"/>
    <w:rsid w:val="00AF4810"/>
    <w:rsid w:val="00AF7C9A"/>
    <w:rsid w:val="00B0377E"/>
    <w:rsid w:val="00B06149"/>
    <w:rsid w:val="00B213BF"/>
    <w:rsid w:val="00B33A51"/>
    <w:rsid w:val="00B40BA6"/>
    <w:rsid w:val="00B4573C"/>
    <w:rsid w:val="00B57663"/>
    <w:rsid w:val="00B62CC7"/>
    <w:rsid w:val="00B87FC1"/>
    <w:rsid w:val="00BB50AC"/>
    <w:rsid w:val="00BC086C"/>
    <w:rsid w:val="00BE44BA"/>
    <w:rsid w:val="00C5293E"/>
    <w:rsid w:val="00C8094E"/>
    <w:rsid w:val="00C81E85"/>
    <w:rsid w:val="00CA1B62"/>
    <w:rsid w:val="00CA215B"/>
    <w:rsid w:val="00CA2763"/>
    <w:rsid w:val="00CC1B69"/>
    <w:rsid w:val="00CD26C7"/>
    <w:rsid w:val="00CD4198"/>
    <w:rsid w:val="00D723BD"/>
    <w:rsid w:val="00D73192"/>
    <w:rsid w:val="00D9327C"/>
    <w:rsid w:val="00DB1CFE"/>
    <w:rsid w:val="00DE4475"/>
    <w:rsid w:val="00E26C3B"/>
    <w:rsid w:val="00E576EB"/>
    <w:rsid w:val="00E62991"/>
    <w:rsid w:val="00E65FE5"/>
    <w:rsid w:val="00E664DB"/>
    <w:rsid w:val="00E6746F"/>
    <w:rsid w:val="00E813F7"/>
    <w:rsid w:val="00E9515D"/>
    <w:rsid w:val="00EB57C0"/>
    <w:rsid w:val="00EB6697"/>
    <w:rsid w:val="00EE0102"/>
    <w:rsid w:val="00EE4C1E"/>
    <w:rsid w:val="00F07614"/>
    <w:rsid w:val="00F200F4"/>
    <w:rsid w:val="00F241E8"/>
    <w:rsid w:val="00F2616E"/>
    <w:rsid w:val="00F4290E"/>
    <w:rsid w:val="00F563CC"/>
    <w:rsid w:val="00F64366"/>
    <w:rsid w:val="00F87504"/>
    <w:rsid w:val="00F9352B"/>
    <w:rsid w:val="00F954A2"/>
    <w:rsid w:val="00F97FE7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C474A28"/>
  <w15:chartTrackingRefBased/>
  <w15:docId w15:val="{90D62B93-C93D-4906-A0D4-3FE2C33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nhideWhenUsed="1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uiPriority="0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D68"/>
    <w:rPr>
      <w:sz w:val="24"/>
      <w:szCs w:val="24"/>
    </w:rPr>
  </w:style>
  <w:style w:type="paragraph" w:styleId="Heading1">
    <w:name w:val="heading 1"/>
    <w:next w:val="Text"/>
    <w:qFormat/>
    <w:rsid w:val="00B06149"/>
    <w:pPr>
      <w:keepNext/>
      <w:spacing w:before="48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next w:val="Text"/>
    <w:qFormat/>
    <w:rsid w:val="003662FF"/>
    <w:pPr>
      <w:keepNext/>
      <w:keepLines/>
      <w:spacing w:before="120" w:after="120"/>
      <w:outlineLvl w:val="1"/>
    </w:pPr>
    <w:rPr>
      <w:rFonts w:ascii="Arial" w:hAnsi="Arial"/>
      <w:b/>
      <w:sz w:val="22"/>
      <w:lang w:eastAsia="en-US"/>
    </w:rPr>
  </w:style>
  <w:style w:type="paragraph" w:styleId="Heading3">
    <w:name w:val="heading 3"/>
    <w:basedOn w:val="Heading1"/>
    <w:next w:val="Text"/>
    <w:rsid w:val="00732812"/>
    <w:pPr>
      <w:outlineLvl w:val="2"/>
    </w:pPr>
    <w:rPr>
      <w:b w:val="0"/>
      <w:sz w:val="24"/>
    </w:rPr>
  </w:style>
  <w:style w:type="paragraph" w:styleId="Heading4">
    <w:name w:val="heading 4"/>
    <w:basedOn w:val="Heading1"/>
    <w:next w:val="Text"/>
    <w:uiPriority w:val="99"/>
    <w:unhideWhenUsed/>
    <w:rsid w:val="006351A9"/>
    <w:pPr>
      <w:outlineLvl w:val="3"/>
    </w:pPr>
    <w:rPr>
      <w:b w:val="0"/>
      <w:sz w:val="24"/>
    </w:rPr>
  </w:style>
  <w:style w:type="paragraph" w:styleId="Heading5">
    <w:name w:val="heading 5"/>
    <w:basedOn w:val="Heading1"/>
    <w:next w:val="Text"/>
    <w:uiPriority w:val="99"/>
    <w:unhideWhenUsed/>
    <w:rsid w:val="006351A9"/>
    <w:pPr>
      <w:outlineLvl w:val="4"/>
    </w:pPr>
    <w:rPr>
      <w:b w:val="0"/>
      <w:sz w:val="24"/>
    </w:rPr>
  </w:style>
  <w:style w:type="paragraph" w:styleId="Heading6">
    <w:name w:val="heading 6"/>
    <w:basedOn w:val="Heading1"/>
    <w:next w:val="Text"/>
    <w:uiPriority w:val="99"/>
    <w:unhideWhenUsed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Text"/>
    <w:uiPriority w:val="99"/>
    <w:unhideWhenUsed/>
    <w:rsid w:val="005D728B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rsid w:val="00731C07"/>
    <w:rPr>
      <w:rFonts w:ascii="Arial" w:hAnsi="Arial"/>
      <w:sz w:val="22"/>
      <w:lang w:val="cy-GB" w:eastAsia="en-GB" w:bidi="ar-SA"/>
    </w:rPr>
  </w:style>
  <w:style w:type="paragraph" w:styleId="TOC1">
    <w:name w:val="toc 1"/>
    <w:uiPriority w:val="99"/>
    <w:semiHidden/>
    <w:rsid w:val="009A3435"/>
    <w:pPr>
      <w:tabs>
        <w:tab w:val="right" w:pos="8789"/>
      </w:tabs>
      <w:spacing w:before="120" w:after="120"/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B06149"/>
    <w:rPr>
      <w:rFonts w:ascii="Arial" w:hAnsi="Arial"/>
      <w:sz w:val="18"/>
    </w:rPr>
  </w:style>
  <w:style w:type="paragraph" w:customStyle="1" w:styleId="Textnumbered">
    <w:name w:val="Text numbered"/>
    <w:qFormat/>
    <w:rsid w:val="005D728B"/>
    <w:pPr>
      <w:numPr>
        <w:numId w:val="18"/>
      </w:numPr>
      <w:spacing w:after="240"/>
      <w:ind w:left="357" w:hanging="357"/>
    </w:pPr>
    <w:rPr>
      <w:rFonts w:ascii="Arial" w:hAnsi="Arial"/>
      <w:sz w:val="22"/>
    </w:rPr>
  </w:style>
  <w:style w:type="paragraph" w:customStyle="1" w:styleId="Bulletundernumberedtext">
    <w:name w:val="Bullet (under numbered text)"/>
    <w:uiPriority w:val="1"/>
    <w:qFormat/>
    <w:rsid w:val="00F64366"/>
    <w:pPr>
      <w:numPr>
        <w:numId w:val="11"/>
      </w:numPr>
      <w:spacing w:after="240"/>
    </w:pPr>
    <w:rPr>
      <w:rFonts w:ascii="Arial" w:hAnsi="Arial"/>
      <w:sz w:val="22"/>
    </w:rPr>
  </w:style>
  <w:style w:type="paragraph" w:styleId="Title">
    <w:name w:val="Title"/>
    <w:next w:val="Subtitle"/>
    <w:rsid w:val="00B06149"/>
    <w:pPr>
      <w:spacing w:before="1800" w:after="240"/>
      <w:outlineLvl w:val="0"/>
    </w:pPr>
    <w:rPr>
      <w:rFonts w:ascii="Arial" w:hAnsi="Arial"/>
      <w:b/>
      <w:sz w:val="44"/>
    </w:rPr>
  </w:style>
  <w:style w:type="paragraph" w:customStyle="1" w:styleId="Bulletundertext">
    <w:name w:val="Bullet (under text)"/>
    <w:uiPriority w:val="1"/>
    <w:qFormat/>
    <w:rsid w:val="00F64366"/>
    <w:pPr>
      <w:numPr>
        <w:numId w:val="15"/>
      </w:numPr>
      <w:spacing w:after="240"/>
    </w:pPr>
    <w:rPr>
      <w:rFonts w:ascii="Arial" w:hAnsi="Arial"/>
      <w:sz w:val="22"/>
    </w:rPr>
  </w:style>
  <w:style w:type="table" w:styleId="TableGrid">
    <w:name w:val="Table Grid"/>
    <w:basedOn w:val="TableNormal"/>
    <w:rsid w:val="005D728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Text"/>
    <w:uiPriority w:val="99"/>
    <w:semiHidden/>
    <w:rsid w:val="007C7960"/>
    <w:rPr>
      <w:b/>
      <w:sz w:val="18"/>
    </w:rPr>
  </w:style>
  <w:style w:type="paragraph" w:styleId="Footer">
    <w:name w:val="footer"/>
    <w:basedOn w:val="Text"/>
    <w:link w:val="FooterChar"/>
    <w:uiPriority w:val="99"/>
    <w:rsid w:val="00C81E85"/>
    <w:pPr>
      <w:spacing w:after="0"/>
      <w:jc w:val="center"/>
    </w:pPr>
    <w:rPr>
      <w:sz w:val="18"/>
    </w:rPr>
  </w:style>
  <w:style w:type="character" w:styleId="Hyperlink">
    <w:name w:val="Hyperlink"/>
    <w:rsid w:val="00AB7073"/>
    <w:rPr>
      <w:rFonts w:ascii="Arial" w:hAnsi="Arial"/>
      <w:color w:val="auto"/>
      <w:u w:val="none"/>
    </w:rPr>
  </w:style>
  <w:style w:type="paragraph" w:customStyle="1" w:styleId="Text">
    <w:name w:val="Text"/>
    <w:link w:val="TextChar"/>
    <w:qFormat/>
    <w:rsid w:val="00D9327C"/>
    <w:p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qFormat/>
    <w:rsid w:val="00D9327C"/>
    <w:pPr>
      <w:spacing w:after="240"/>
      <w:ind w:left="357"/>
    </w:pPr>
    <w:rPr>
      <w:rFonts w:ascii="Arial" w:hAnsi="Arial"/>
      <w:sz w:val="22"/>
      <w:lang w:eastAsia="en-US"/>
    </w:rPr>
  </w:style>
  <w:style w:type="paragraph" w:styleId="Subtitle">
    <w:name w:val="Subtitle"/>
    <w:basedOn w:val="Normal"/>
    <w:next w:val="Text"/>
    <w:link w:val="SubtitleChar"/>
    <w:rsid w:val="00B06149"/>
    <w:pPr>
      <w:spacing w:after="360"/>
      <w:outlineLvl w:val="0"/>
    </w:pPr>
    <w:rPr>
      <w:sz w:val="36"/>
    </w:rPr>
  </w:style>
  <w:style w:type="character" w:customStyle="1" w:styleId="SubtitleChar">
    <w:name w:val="Subtitle Char"/>
    <w:link w:val="Subtitle"/>
    <w:rsid w:val="00B06149"/>
    <w:rPr>
      <w:rFonts w:ascii="Arial" w:hAnsi="Arial"/>
      <w:sz w:val="36"/>
    </w:rPr>
  </w:style>
  <w:style w:type="paragraph" w:styleId="ListParagraph">
    <w:name w:val="List Paragraph"/>
    <w:basedOn w:val="Normal"/>
    <w:uiPriority w:val="99"/>
    <w:rsid w:val="00B33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8B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5676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0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0C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20C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136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3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sets.publishing.service.gov.uk/government/uploads/system/uploads/attachment_data/file/603338/cym-part-1-response-_to-reforming-soft-tissue-injury.pdf" TargetMode="External"/><Relationship Id="rId2" Type="http://schemas.openxmlformats.org/officeDocument/2006/relationships/hyperlink" Target="https://www.gov.uk/government/speeches/queens-speech-2017" TargetMode="External"/><Relationship Id="rId1" Type="http://schemas.openxmlformats.org/officeDocument/2006/relationships/hyperlink" Target="https://consult.justice.gov.uk/digital-communications/personal-injury-discount-rate/" TargetMode="External"/><Relationship Id="rId5" Type="http://schemas.openxmlformats.org/officeDocument/2006/relationships/hyperlink" Target="https://www.gov.uk/government/consultations/personal-injury-discount-rate-how-it-should-be-set-in-future" TargetMode="External"/><Relationship Id="rId4" Type="http://schemas.openxmlformats.org/officeDocument/2006/relationships/hyperlink" Target="http://www.parliament.scot/parliamentarybusiness/Acts/576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bbritt\AppData\Local\Microsoft\Windows\INetCache\IE\TFFAUSV9\word-docum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FB10-3C52-4A59-8913-8E57A329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word-document-template.dot</Template>
  <TotalTime>0</TotalTime>
  <Pages>5</Pages>
  <Words>1939</Words>
  <Characters>11058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[Insert title of document]</vt:lpstr>
      <vt:lpstr>[Insert title of document]</vt:lpstr>
    </vt:vector>
  </TitlesOfParts>
  <Manager>Ministry of Justice</Manager>
  <Company>Ministry of Justice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document]</dc:title>
  <dc:subject>[Insert subtitle and/or short description of document]</dc:subject>
  <dc:creator>Tubbritt, Scott</dc:creator>
  <cp:keywords>Ministry of Justice, [other keywords]</cp:keywords>
  <dc:description/>
  <cp:lastModifiedBy>Brady, Honor</cp:lastModifiedBy>
  <cp:revision>2</cp:revision>
  <cp:lastPrinted>2019-02-04T08:24:00Z</cp:lastPrinted>
  <dcterms:created xsi:type="dcterms:W3CDTF">2019-02-05T11:20:00Z</dcterms:created>
  <dcterms:modified xsi:type="dcterms:W3CDTF">2019-02-05T11:20:00Z</dcterms:modified>
</cp:coreProperties>
</file>