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E5D79" w14:textId="77777777" w:rsidR="00DF4E57" w:rsidRPr="001C7208" w:rsidRDefault="001C7208" w:rsidP="001C7208">
      <w:pPr>
        <w:jc w:val="center"/>
        <w:rPr>
          <w:rFonts w:ascii="Arial" w:hAnsi="Arial" w:cs="Arial"/>
          <w:b/>
        </w:rPr>
      </w:pPr>
      <w:r w:rsidRPr="001C7208">
        <w:rPr>
          <w:rFonts w:ascii="Arial" w:hAnsi="Arial" w:cs="Arial"/>
          <w:b/>
        </w:rPr>
        <w:t>Civil Liability Bill</w:t>
      </w:r>
      <w:bookmarkStart w:id="0" w:name="_GoBack"/>
      <w:bookmarkEnd w:id="0"/>
    </w:p>
    <w:p w14:paraId="5004C073" w14:textId="77777777" w:rsidR="001C7208" w:rsidRPr="001C7208" w:rsidRDefault="001C7208" w:rsidP="001C7208">
      <w:pPr>
        <w:jc w:val="center"/>
        <w:rPr>
          <w:rFonts w:ascii="Arial" w:hAnsi="Arial" w:cs="Arial"/>
          <w:b/>
        </w:rPr>
      </w:pPr>
    </w:p>
    <w:p w14:paraId="6157DF48" w14:textId="77777777" w:rsidR="001C7208" w:rsidRPr="001C7208" w:rsidRDefault="001C7208" w:rsidP="001C7208">
      <w:pPr>
        <w:jc w:val="center"/>
        <w:rPr>
          <w:rFonts w:ascii="Arial" w:hAnsi="Arial" w:cs="Arial"/>
          <w:b/>
        </w:rPr>
      </w:pPr>
      <w:r>
        <w:rPr>
          <w:rFonts w:ascii="Arial" w:hAnsi="Arial" w:cs="Arial"/>
          <w:b/>
        </w:rPr>
        <w:t>Personal Injury Discount Rate</w:t>
      </w:r>
    </w:p>
    <w:p w14:paraId="031DAF64" w14:textId="77777777" w:rsidR="001C7208" w:rsidRPr="001C7208" w:rsidRDefault="001C7208" w:rsidP="001C7208">
      <w:pPr>
        <w:rPr>
          <w:rFonts w:ascii="Arial" w:hAnsi="Arial" w:cs="Arial"/>
          <w:b/>
        </w:rPr>
      </w:pPr>
      <w:r w:rsidRPr="001C7208">
        <w:rPr>
          <w:rFonts w:ascii="Arial" w:hAnsi="Arial" w:cs="Arial"/>
          <w:b/>
        </w:rPr>
        <w:t>Introduction</w:t>
      </w:r>
    </w:p>
    <w:p w14:paraId="24DE47D3" w14:textId="77777777" w:rsidR="001C7208" w:rsidRPr="00B57482" w:rsidRDefault="001C7208" w:rsidP="001C7208">
      <w:pPr>
        <w:pStyle w:val="Textnumbered"/>
      </w:pPr>
      <w:r w:rsidRPr="00B57482">
        <w:t xml:space="preserve">A lump sum award of damages for future pecuniary loss is intended to compensate the </w:t>
      </w:r>
      <w:r w:rsidR="001B61C0">
        <w:t xml:space="preserve">unlawfully </w:t>
      </w:r>
      <w:r w:rsidRPr="00B57482">
        <w:t xml:space="preserve">injured person for all the loss expected to be suffered by him or her as a result of the injury, neither more nor less. The aim is to provide full compensation and, in so far as a sum of money can do so, to put the claimant in the same position as he or she would have been in but for the injury. This is known as the 100% compensation principle. </w:t>
      </w:r>
    </w:p>
    <w:p w14:paraId="7E7641D8" w14:textId="77777777" w:rsidR="001C7208" w:rsidRDefault="001C7208" w:rsidP="001C7208">
      <w:pPr>
        <w:pStyle w:val="Textnumbered"/>
        <w:ind w:left="357" w:hanging="357"/>
      </w:pPr>
      <w:r>
        <w:t>T</w:t>
      </w:r>
      <w:r w:rsidRPr="00B57482">
        <w:t>he personal injury discount rate</w:t>
      </w:r>
      <w:r>
        <w:t xml:space="preserve"> is applied</w:t>
      </w:r>
      <w:r w:rsidRPr="00B57482">
        <w:t xml:space="preserve"> in th</w:t>
      </w:r>
      <w:r>
        <w:t>e calculation of the lump sum in order</w:t>
      </w:r>
      <w:r w:rsidRPr="00B57482">
        <w:t xml:space="preserve"> to adjust the size of the award for the return expected to be earned on the lump sum before it is expected to be spent in meeting the losses and costs assessed in the court order or settlement agreement as flowing from the injury. If the discount rate applied is greater than the rate of return </w:t>
      </w:r>
      <w:proofErr w:type="gramStart"/>
      <w:r w:rsidRPr="00B57482">
        <w:t>actually received</w:t>
      </w:r>
      <w:proofErr w:type="gramEnd"/>
      <w:r w:rsidRPr="00B57482">
        <w:t xml:space="preserve"> by a claimant, the claimant will in the end receive less money from the award than was e</w:t>
      </w:r>
      <w:r w:rsidR="0017155D">
        <w:t>xpected at the time it was made;</w:t>
      </w:r>
      <w:r w:rsidRPr="00B57482">
        <w:t xml:space="preserve"> conversely, if the </w:t>
      </w:r>
      <w:r>
        <w:t xml:space="preserve">discount rate applied is less than the </w:t>
      </w:r>
      <w:r w:rsidRPr="00B57482">
        <w:t>r</w:t>
      </w:r>
      <w:r>
        <w:t>ate of return received</w:t>
      </w:r>
      <w:r w:rsidRPr="00B57482">
        <w:t>, the claimant will receive more than w</w:t>
      </w:r>
      <w:r>
        <w:t>as expected at that time.</w:t>
      </w:r>
      <w:r w:rsidR="005C5E63">
        <w:t xml:space="preserve"> </w:t>
      </w:r>
    </w:p>
    <w:p w14:paraId="19C8E44C" w14:textId="77777777" w:rsidR="001C7208" w:rsidRPr="001C7208" w:rsidRDefault="001C7208" w:rsidP="001C7208">
      <w:pPr>
        <w:pStyle w:val="Textnumbered"/>
        <w:ind w:left="357" w:hanging="357"/>
      </w:pPr>
      <w:r>
        <w:t xml:space="preserve">The Government </w:t>
      </w:r>
      <w:r w:rsidRPr="00B57482">
        <w:t xml:space="preserve">believes </w:t>
      </w:r>
      <w:r>
        <w:t xml:space="preserve">that </w:t>
      </w:r>
      <w:r w:rsidRPr="00B57482">
        <w:t xml:space="preserve">the assumptions made by the present law on the setting of the discount rate as to how claimants invest are unrealistic and may produce significantly larger awards than are necessary to provide 100% compensation. This has a significant effect on taxpayers through the additional cost of personal injury settlements paid by the National Health Service </w:t>
      </w:r>
      <w:r w:rsidR="0017155D">
        <w:t xml:space="preserve">and other </w:t>
      </w:r>
      <w:proofErr w:type="gramStart"/>
      <w:r w:rsidR="0017155D">
        <w:t>public sector</w:t>
      </w:r>
      <w:proofErr w:type="gramEnd"/>
      <w:r w:rsidR="0017155D">
        <w:t xml:space="preserve"> bodies, </w:t>
      </w:r>
      <w:r w:rsidRPr="00B57482">
        <w:t xml:space="preserve">and </w:t>
      </w:r>
      <w:r w:rsidR="0017155D">
        <w:t xml:space="preserve">on </w:t>
      </w:r>
      <w:r w:rsidRPr="00B57482">
        <w:t>businesses and individual consumers through higher insurance premiums. The framework for setting the discount rate therefo</w:t>
      </w:r>
      <w:r>
        <w:t xml:space="preserve">re needs to be re-calibrated to </w:t>
      </w:r>
      <w:r w:rsidRPr="00B57482">
        <w:t xml:space="preserve">better </w:t>
      </w:r>
      <w:r>
        <w:t>achieve the</w:t>
      </w:r>
      <w:r w:rsidRPr="00B57482">
        <w:t xml:space="preserve"> objective of 100% compensation.</w:t>
      </w:r>
    </w:p>
    <w:p w14:paraId="4AEAEF95" w14:textId="77777777" w:rsidR="001C7208" w:rsidRPr="001C7208" w:rsidRDefault="001C7208" w:rsidP="001C7208">
      <w:pPr>
        <w:rPr>
          <w:rFonts w:ascii="Arial" w:hAnsi="Arial" w:cs="Arial"/>
          <w:b/>
        </w:rPr>
      </w:pPr>
      <w:r w:rsidRPr="001C7208">
        <w:rPr>
          <w:rFonts w:ascii="Arial" w:hAnsi="Arial" w:cs="Arial"/>
          <w:b/>
        </w:rPr>
        <w:t>What is the current position?</w:t>
      </w:r>
    </w:p>
    <w:p w14:paraId="31F5F4E8" w14:textId="77777777" w:rsidR="00592AF4" w:rsidRDefault="00DA3CBE" w:rsidP="00DA3CBE">
      <w:pPr>
        <w:pStyle w:val="Textnumbered"/>
      </w:pPr>
      <w:r w:rsidRPr="00DA3CBE">
        <w:t>A discount rate could</w:t>
      </w:r>
      <w:r>
        <w:t>,</w:t>
      </w:r>
      <w:r w:rsidRPr="00DA3CBE">
        <w:t xml:space="preserve"> </w:t>
      </w:r>
      <w:r>
        <w:t xml:space="preserve">in theory, </w:t>
      </w:r>
      <w:r w:rsidRPr="00DA3CBE">
        <w:t>be calculated for every individual case</w:t>
      </w:r>
      <w:r w:rsidR="00B9422A">
        <w:t xml:space="preserve">, but this would </w:t>
      </w:r>
      <w:r>
        <w:t xml:space="preserve">cause expense and delay to the parties affected in trying to reach a settlement. To avoid these problems </w:t>
      </w:r>
      <w:r w:rsidR="001C7208" w:rsidRPr="00B57482">
        <w:t xml:space="preserve">the Damages Act 1996 </w:t>
      </w:r>
      <w:r>
        <w:t xml:space="preserve">provides for the Lord Chancellor to set a standard </w:t>
      </w:r>
      <w:r w:rsidR="001C7208" w:rsidRPr="00B57482">
        <w:t>rate to be taken into account by the court in assessing the rate of return to be expected</w:t>
      </w:r>
      <w:r>
        <w:t>. This rate</w:t>
      </w:r>
      <w:r w:rsidR="001C7208" w:rsidRPr="00B57482">
        <w:t xml:space="preserve"> is set by the Lord Chancellor on the basis of principles set out in caselaw, principally the decision of the House of Lords in </w:t>
      </w:r>
      <w:r w:rsidR="001C7208" w:rsidRPr="00B57482">
        <w:rPr>
          <w:i/>
        </w:rPr>
        <w:t>Wells v Wells</w:t>
      </w:r>
      <w:r w:rsidR="001C7208" w:rsidRPr="00B57482">
        <w:t>.</w:t>
      </w:r>
      <w:r w:rsidR="001C7208" w:rsidRPr="00B57482">
        <w:rPr>
          <w:vertAlign w:val="superscript"/>
        </w:rPr>
        <w:footnoteReference w:id="1"/>
      </w:r>
      <w:r w:rsidR="001C7208" w:rsidRPr="00B57482">
        <w:t xml:space="preserve"> </w:t>
      </w:r>
    </w:p>
    <w:p w14:paraId="43C13096" w14:textId="77777777" w:rsidR="00BA2C27" w:rsidRDefault="001C7208" w:rsidP="00DA3CBE">
      <w:pPr>
        <w:pStyle w:val="Textnumbered"/>
      </w:pPr>
      <w:r w:rsidRPr="00B57482">
        <w:t>Under these principles the injured person is assumed to be a very cautious investor who has the objective of meeting his or her losses in full as they arise and without delay</w:t>
      </w:r>
      <w:r>
        <w:t xml:space="preserve">, </w:t>
      </w:r>
      <w:r w:rsidRPr="00A071F2">
        <w:t xml:space="preserve">reflecting the fact that </w:t>
      </w:r>
      <w:r>
        <w:t>he or she</w:t>
      </w:r>
      <w:r w:rsidRPr="00A071F2">
        <w:t xml:space="preserve"> may be financially dependent on the lump sum awarded</w:t>
      </w:r>
      <w:r>
        <w:t xml:space="preserve"> for the rest of their lives. </w:t>
      </w:r>
      <w:r w:rsidRPr="00B57482">
        <w:t xml:space="preserve">This leads in practice to the rate being set largely by reference to returns on Index-Linked Gilts (“ILGS”), even though the evidence from the research and consultations carried out by the Ministry of Justice show that claimants tend to invest in low risk diversified portfolios </w:t>
      </w:r>
      <w:r w:rsidR="0065233A">
        <w:t xml:space="preserve">and </w:t>
      </w:r>
      <w:r w:rsidRPr="00B57482">
        <w:t>not in ILGS alone.</w:t>
      </w:r>
      <w:r w:rsidRPr="00A071F2">
        <w:t xml:space="preserve"> </w:t>
      </w:r>
      <w:r w:rsidR="00BA2C27" w:rsidRPr="00BA2C27">
        <w:t xml:space="preserve">In March 2017, </w:t>
      </w:r>
      <w:proofErr w:type="gramStart"/>
      <w:r w:rsidR="00BA2C27" w:rsidRPr="00BA2C27">
        <w:t>on the basis of</w:t>
      </w:r>
      <w:proofErr w:type="gramEnd"/>
      <w:r w:rsidR="00BA2C27" w:rsidRPr="00BA2C27">
        <w:t xml:space="preserve"> the current law</w:t>
      </w:r>
      <w:r w:rsidR="0017155D">
        <w:t>,</w:t>
      </w:r>
      <w:r w:rsidR="00BA2C27" w:rsidRPr="00BA2C27">
        <w:t xml:space="preserve"> the then Lord Chancellor set the rate at minus 0.75%.</w:t>
      </w:r>
      <w:r w:rsidR="00BA2C27">
        <w:t xml:space="preserve"> </w:t>
      </w:r>
    </w:p>
    <w:p w14:paraId="6571CF32" w14:textId="77777777" w:rsidR="00BA2C27" w:rsidRPr="0065233A" w:rsidRDefault="00BA2C27" w:rsidP="00BA2C27">
      <w:pPr>
        <w:pStyle w:val="Textnumbered"/>
      </w:pPr>
      <w:r w:rsidRPr="00BA2C27">
        <w:t xml:space="preserve">The Government’s evidence shows that the present system is very likely to be producing significant levels of over-compensation relative to the amount of compensation that would, in the setting of the discount rate, be expected to be produced under the 100% compensation principle. This is demonstrated in the research of the Government </w:t>
      </w:r>
      <w:r w:rsidRPr="00BA2C27">
        <w:lastRenderedPageBreak/>
        <w:t>Actuary’s Department</w:t>
      </w:r>
      <w:r w:rsidRPr="00BA2C27">
        <w:rPr>
          <w:rStyle w:val="FootnoteReference"/>
          <w:rFonts w:cstheme="minorHAnsi"/>
        </w:rPr>
        <w:footnoteReference w:id="2"/>
      </w:r>
      <w:r>
        <w:t xml:space="preserve"> published alongside</w:t>
      </w:r>
      <w:r w:rsidRPr="00BA2C27">
        <w:t xml:space="preserve"> draft legislation indicating that average awards may exceed the expected return by about 35%, although after an allowance is made for necessary expenses on tax and investment management, </w:t>
      </w:r>
      <w:r w:rsidRPr="00BA2C27">
        <w:rPr>
          <w:rFonts w:cstheme="minorHAnsi"/>
        </w:rPr>
        <w:t xml:space="preserve">this figure </w:t>
      </w:r>
      <w:r w:rsidR="005C5E63">
        <w:rPr>
          <w:rFonts w:cstheme="minorHAnsi"/>
        </w:rPr>
        <w:t xml:space="preserve">may </w:t>
      </w:r>
      <w:r w:rsidRPr="00BA2C27">
        <w:rPr>
          <w:rFonts w:cstheme="minorHAnsi"/>
        </w:rPr>
        <w:t>fall to between 20-25%.</w:t>
      </w:r>
    </w:p>
    <w:p w14:paraId="5A268FCC" w14:textId="77777777" w:rsidR="001C7208" w:rsidRDefault="001C7208" w:rsidP="001C7208">
      <w:pPr>
        <w:rPr>
          <w:rFonts w:ascii="Arial" w:hAnsi="Arial" w:cs="Arial"/>
          <w:b/>
        </w:rPr>
      </w:pPr>
      <w:r w:rsidRPr="001C7208">
        <w:rPr>
          <w:rFonts w:ascii="Arial" w:hAnsi="Arial" w:cs="Arial"/>
          <w:b/>
        </w:rPr>
        <w:t>What are the proposed changes?</w:t>
      </w:r>
    </w:p>
    <w:p w14:paraId="14676EC3" w14:textId="1ECC90C1" w:rsidR="005C5E63" w:rsidRDefault="005C5E63" w:rsidP="00BA2C27">
      <w:pPr>
        <w:spacing w:line="240" w:lineRule="auto"/>
        <w:rPr>
          <w:rFonts w:ascii="Arial" w:hAnsi="Arial" w:cs="Arial"/>
        </w:rPr>
      </w:pPr>
      <w:r>
        <w:rPr>
          <w:rFonts w:ascii="Arial" w:hAnsi="Arial" w:cs="Arial"/>
        </w:rPr>
        <w:t>The</w:t>
      </w:r>
      <w:r w:rsidR="0065233A">
        <w:rPr>
          <w:rFonts w:ascii="Arial" w:hAnsi="Arial" w:cs="Arial"/>
        </w:rPr>
        <w:t xml:space="preserve"> </w:t>
      </w:r>
      <w:r w:rsidR="00221D91">
        <w:rPr>
          <w:rFonts w:ascii="Arial" w:hAnsi="Arial" w:cs="Arial"/>
        </w:rPr>
        <w:t xml:space="preserve">Act </w:t>
      </w:r>
      <w:r w:rsidR="0065233A">
        <w:rPr>
          <w:rFonts w:ascii="Arial" w:hAnsi="Arial" w:cs="Arial"/>
        </w:rPr>
        <w:t>provides for</w:t>
      </w:r>
      <w:r>
        <w:rPr>
          <w:rFonts w:ascii="Arial" w:hAnsi="Arial" w:cs="Arial"/>
        </w:rPr>
        <w:t xml:space="preserve"> the rate:</w:t>
      </w:r>
    </w:p>
    <w:p w14:paraId="5F10E6A9" w14:textId="77777777" w:rsidR="0065233A" w:rsidRPr="00735415" w:rsidRDefault="0065233A" w:rsidP="00146F21">
      <w:pPr>
        <w:pStyle w:val="ListParagraph"/>
        <w:numPr>
          <w:ilvl w:val="0"/>
          <w:numId w:val="3"/>
        </w:numPr>
        <w:rPr>
          <w:rFonts w:ascii="Arial" w:hAnsi="Arial" w:cs="Arial"/>
          <w:sz w:val="22"/>
          <w:szCs w:val="22"/>
        </w:rPr>
      </w:pPr>
      <w:r w:rsidRPr="00735415">
        <w:rPr>
          <w:rFonts w:ascii="Arial" w:hAnsi="Arial" w:cs="Arial"/>
          <w:sz w:val="22"/>
          <w:szCs w:val="22"/>
        </w:rPr>
        <w:t>to be set by reference to a low risk diversified portfolio of investments rather than very low risk investments as at present. Low risk is less risk than would be taken by an ordinary prudent investor and mor</w:t>
      </w:r>
      <w:r w:rsidR="0017155D">
        <w:rPr>
          <w:rFonts w:ascii="Arial" w:hAnsi="Arial" w:cs="Arial"/>
          <w:sz w:val="22"/>
          <w:szCs w:val="22"/>
        </w:rPr>
        <w:t>e risk than very low risk.</w:t>
      </w:r>
    </w:p>
    <w:p w14:paraId="266DC799" w14:textId="28D9FE34" w:rsidR="005C5E63" w:rsidRPr="00735415" w:rsidRDefault="00BA2C27" w:rsidP="00146F21">
      <w:pPr>
        <w:pStyle w:val="ListParagraph"/>
        <w:numPr>
          <w:ilvl w:val="0"/>
          <w:numId w:val="3"/>
        </w:numPr>
        <w:rPr>
          <w:rFonts w:ascii="Arial" w:hAnsi="Arial" w:cs="Arial"/>
          <w:sz w:val="22"/>
          <w:szCs w:val="22"/>
        </w:rPr>
      </w:pPr>
      <w:r w:rsidRPr="00735415">
        <w:rPr>
          <w:rFonts w:ascii="Arial" w:hAnsi="Arial" w:cs="Arial"/>
          <w:sz w:val="22"/>
          <w:szCs w:val="22"/>
        </w:rPr>
        <w:t>to</w:t>
      </w:r>
      <w:r w:rsidR="0065233A" w:rsidRPr="00735415">
        <w:rPr>
          <w:rFonts w:ascii="Arial" w:hAnsi="Arial" w:cs="Arial"/>
          <w:sz w:val="22"/>
          <w:szCs w:val="22"/>
        </w:rPr>
        <w:t xml:space="preserve"> be reviewed promptly after the legislation comes into force </w:t>
      </w:r>
      <w:r w:rsidR="00221D91">
        <w:rPr>
          <w:rFonts w:ascii="Arial" w:hAnsi="Arial" w:cs="Arial"/>
          <w:sz w:val="22"/>
          <w:szCs w:val="22"/>
        </w:rPr>
        <w:t xml:space="preserve">(i.e. by 5 August 2019) </w:t>
      </w:r>
      <w:r w:rsidR="0065233A" w:rsidRPr="00735415">
        <w:rPr>
          <w:rFonts w:ascii="Arial" w:hAnsi="Arial" w:cs="Arial"/>
          <w:sz w:val="22"/>
          <w:szCs w:val="22"/>
        </w:rPr>
        <w:t>and, thereaf</w:t>
      </w:r>
      <w:r w:rsidR="0017155D">
        <w:rPr>
          <w:rFonts w:ascii="Arial" w:hAnsi="Arial" w:cs="Arial"/>
          <w:sz w:val="22"/>
          <w:szCs w:val="22"/>
        </w:rPr>
        <w:t xml:space="preserve">ter, at least every </w:t>
      </w:r>
      <w:r w:rsidR="00221D91">
        <w:rPr>
          <w:rFonts w:ascii="Arial" w:hAnsi="Arial" w:cs="Arial"/>
          <w:sz w:val="22"/>
          <w:szCs w:val="22"/>
        </w:rPr>
        <w:t xml:space="preserve">five </w:t>
      </w:r>
      <w:r w:rsidR="0017155D">
        <w:rPr>
          <w:rFonts w:ascii="Arial" w:hAnsi="Arial" w:cs="Arial"/>
          <w:sz w:val="22"/>
          <w:szCs w:val="22"/>
        </w:rPr>
        <w:t>years.</w:t>
      </w:r>
      <w:r w:rsidR="0065233A" w:rsidRPr="00735415">
        <w:rPr>
          <w:rFonts w:ascii="Arial" w:hAnsi="Arial" w:cs="Arial"/>
          <w:sz w:val="22"/>
          <w:szCs w:val="22"/>
        </w:rPr>
        <w:t xml:space="preserve"> </w:t>
      </w:r>
    </w:p>
    <w:p w14:paraId="5C8F0921" w14:textId="77777777" w:rsidR="0065233A" w:rsidRPr="00735415" w:rsidRDefault="005C5E63" w:rsidP="00146F21">
      <w:pPr>
        <w:pStyle w:val="ListParagraph"/>
        <w:numPr>
          <w:ilvl w:val="0"/>
          <w:numId w:val="3"/>
        </w:numPr>
        <w:rPr>
          <w:rFonts w:ascii="Arial" w:hAnsi="Arial" w:cs="Arial"/>
          <w:sz w:val="22"/>
          <w:szCs w:val="22"/>
        </w:rPr>
      </w:pPr>
      <w:r w:rsidRPr="00735415">
        <w:rPr>
          <w:rFonts w:ascii="Arial" w:hAnsi="Arial" w:cs="Arial"/>
          <w:sz w:val="22"/>
          <w:szCs w:val="22"/>
        </w:rPr>
        <w:t xml:space="preserve">to </w:t>
      </w:r>
      <w:r w:rsidR="0065233A" w:rsidRPr="00735415">
        <w:rPr>
          <w:rFonts w:ascii="Arial" w:hAnsi="Arial" w:cs="Arial"/>
          <w:sz w:val="22"/>
          <w:szCs w:val="22"/>
        </w:rPr>
        <w:t xml:space="preserve">be set by the Lord Chancellor following consultation </w:t>
      </w:r>
      <w:r w:rsidR="00221D91">
        <w:rPr>
          <w:rFonts w:ascii="Arial" w:hAnsi="Arial" w:cs="Arial"/>
          <w:sz w:val="22"/>
          <w:szCs w:val="22"/>
        </w:rPr>
        <w:t xml:space="preserve">on the first review with the Government Actuary and HM Treasury; and, on the second and subsequent reviews, </w:t>
      </w:r>
      <w:r w:rsidR="0065233A" w:rsidRPr="00735415">
        <w:rPr>
          <w:rFonts w:ascii="Arial" w:hAnsi="Arial" w:cs="Arial"/>
          <w:sz w:val="22"/>
          <w:szCs w:val="22"/>
        </w:rPr>
        <w:t xml:space="preserve">with an </w:t>
      </w:r>
      <w:r w:rsidR="00BA2C27" w:rsidRPr="00735415">
        <w:rPr>
          <w:rFonts w:ascii="Arial" w:hAnsi="Arial" w:cs="Arial"/>
          <w:sz w:val="22"/>
          <w:szCs w:val="22"/>
        </w:rPr>
        <w:t xml:space="preserve">independent </w:t>
      </w:r>
      <w:r w:rsidR="0065233A" w:rsidRPr="00735415">
        <w:rPr>
          <w:rFonts w:ascii="Arial" w:hAnsi="Arial" w:cs="Arial"/>
          <w:sz w:val="22"/>
          <w:szCs w:val="22"/>
        </w:rPr>
        <w:t>expert panel chaired by the Government Actuary</w:t>
      </w:r>
      <w:r w:rsidR="00221D91">
        <w:rPr>
          <w:rFonts w:ascii="Arial" w:hAnsi="Arial" w:cs="Arial"/>
          <w:sz w:val="22"/>
          <w:szCs w:val="22"/>
        </w:rPr>
        <w:t>,</w:t>
      </w:r>
      <w:r w:rsidR="0065233A" w:rsidRPr="00735415">
        <w:rPr>
          <w:rFonts w:ascii="Arial" w:hAnsi="Arial" w:cs="Arial"/>
          <w:sz w:val="22"/>
          <w:szCs w:val="22"/>
        </w:rPr>
        <w:t xml:space="preserve"> and, as at present, HM Treasury.</w:t>
      </w:r>
      <w:r w:rsidR="00221D91">
        <w:rPr>
          <w:rFonts w:ascii="Arial" w:hAnsi="Arial" w:cs="Arial"/>
          <w:sz w:val="22"/>
          <w:szCs w:val="22"/>
        </w:rPr>
        <w:t xml:space="preserve"> </w:t>
      </w:r>
    </w:p>
    <w:p w14:paraId="765E1AF1" w14:textId="77777777" w:rsidR="0065233A" w:rsidRPr="001B61C0" w:rsidRDefault="0065233A" w:rsidP="0065233A">
      <w:pPr>
        <w:pStyle w:val="Text"/>
        <w:spacing w:after="120"/>
        <w:ind w:left="357" w:hanging="357"/>
      </w:pPr>
    </w:p>
    <w:p w14:paraId="133C753B" w14:textId="77777777" w:rsidR="0065233A" w:rsidRPr="001B61C0" w:rsidRDefault="001C7208" w:rsidP="0065233A">
      <w:pPr>
        <w:pStyle w:val="Text"/>
        <w:spacing w:after="120"/>
        <w:ind w:left="357" w:hanging="357"/>
      </w:pPr>
      <w:r w:rsidRPr="001B61C0">
        <w:t xml:space="preserve"> </w:t>
      </w:r>
    </w:p>
    <w:p w14:paraId="116A1EA5" w14:textId="77777777" w:rsidR="0065233A" w:rsidRDefault="0065233A" w:rsidP="0065233A">
      <w:pPr>
        <w:pStyle w:val="Text"/>
        <w:spacing w:after="120"/>
      </w:pPr>
    </w:p>
    <w:sectPr w:rsidR="006523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BDC43" w14:textId="77777777" w:rsidR="004450EA" w:rsidRDefault="004450EA" w:rsidP="001C7208">
      <w:pPr>
        <w:spacing w:after="0" w:line="240" w:lineRule="auto"/>
      </w:pPr>
      <w:r>
        <w:separator/>
      </w:r>
    </w:p>
  </w:endnote>
  <w:endnote w:type="continuationSeparator" w:id="0">
    <w:p w14:paraId="1210426F" w14:textId="77777777" w:rsidR="004450EA" w:rsidRDefault="004450EA" w:rsidP="001C7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D547B" w14:textId="77777777" w:rsidR="004450EA" w:rsidRDefault="004450EA" w:rsidP="001C7208">
      <w:pPr>
        <w:spacing w:after="0" w:line="240" w:lineRule="auto"/>
      </w:pPr>
      <w:r>
        <w:separator/>
      </w:r>
    </w:p>
  </w:footnote>
  <w:footnote w:type="continuationSeparator" w:id="0">
    <w:p w14:paraId="45651952" w14:textId="77777777" w:rsidR="004450EA" w:rsidRDefault="004450EA" w:rsidP="001C7208">
      <w:pPr>
        <w:spacing w:after="0" w:line="240" w:lineRule="auto"/>
      </w:pPr>
      <w:r>
        <w:continuationSeparator/>
      </w:r>
    </w:p>
  </w:footnote>
  <w:footnote w:id="1">
    <w:p w14:paraId="24D49A8D" w14:textId="77777777" w:rsidR="001C7208" w:rsidRDefault="001C7208" w:rsidP="001C7208">
      <w:pPr>
        <w:pStyle w:val="FootnoteText"/>
      </w:pPr>
      <w:r>
        <w:rPr>
          <w:rStyle w:val="FootnoteReference"/>
        </w:rPr>
        <w:footnoteRef/>
      </w:r>
      <w:r>
        <w:tab/>
        <w:t>[1999] 1 AC 345</w:t>
      </w:r>
    </w:p>
  </w:footnote>
  <w:footnote w:id="2">
    <w:p w14:paraId="0B39C7C0" w14:textId="77777777" w:rsidR="00BA2C27" w:rsidRDefault="00BA2C27" w:rsidP="00BA2C27">
      <w:pPr>
        <w:pStyle w:val="FootnoteText"/>
      </w:pPr>
      <w:r>
        <w:rPr>
          <w:rStyle w:val="FootnoteReference"/>
        </w:rPr>
        <w:footnoteRef/>
      </w:r>
      <w:r>
        <w:t xml:space="preserve"> Government Actuary’s Department </w:t>
      </w:r>
      <w:r w:rsidRPr="009B0DA0">
        <w:rPr>
          <w:i/>
        </w:rPr>
        <w:t>Ministry of Justice Personal Injury Discount Rate Analysis</w:t>
      </w:r>
      <w:r>
        <w:t xml:space="preserve"> </w:t>
      </w:r>
      <w:r w:rsidRPr="007A43A9">
        <w:t>https://consult.justice.gov.uk/digital-communications/personal-injury-discount-rate/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5436D"/>
    <w:multiLevelType w:val="multilevel"/>
    <w:tmpl w:val="C6A07B10"/>
    <w:lvl w:ilvl="0">
      <w:start w:val="1"/>
      <w:numFmt w:val="decimal"/>
      <w:pStyle w:val="Textnumbered"/>
      <w:lvlText w:val="%1."/>
      <w:lvlJc w:val="left"/>
      <w:pPr>
        <w:tabs>
          <w:tab w:val="num" w:pos="360"/>
        </w:tabs>
        <w:ind w:left="36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7A24DD2"/>
    <w:multiLevelType w:val="hybridMultilevel"/>
    <w:tmpl w:val="D1121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9B24CC8"/>
    <w:multiLevelType w:val="hybridMultilevel"/>
    <w:tmpl w:val="BF26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208"/>
    <w:rsid w:val="00146F21"/>
    <w:rsid w:val="0017155D"/>
    <w:rsid w:val="001B61C0"/>
    <w:rsid w:val="001C7208"/>
    <w:rsid w:val="00221D91"/>
    <w:rsid w:val="00383408"/>
    <w:rsid w:val="004450EA"/>
    <w:rsid w:val="004933B9"/>
    <w:rsid w:val="00592AF4"/>
    <w:rsid w:val="005C5E63"/>
    <w:rsid w:val="0065233A"/>
    <w:rsid w:val="00677664"/>
    <w:rsid w:val="006F179B"/>
    <w:rsid w:val="00735415"/>
    <w:rsid w:val="00966B62"/>
    <w:rsid w:val="00B9422A"/>
    <w:rsid w:val="00BA2C27"/>
    <w:rsid w:val="00C42552"/>
    <w:rsid w:val="00C72D7F"/>
    <w:rsid w:val="00D24B90"/>
    <w:rsid w:val="00DA3CBE"/>
    <w:rsid w:val="00DF4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F57F0"/>
  <w15:chartTrackingRefBased/>
  <w15:docId w15:val="{5D3BD2B0-027A-4824-B228-EB35E89D6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umbered">
    <w:name w:val="Text numbered"/>
    <w:uiPriority w:val="1"/>
    <w:qFormat/>
    <w:rsid w:val="001C7208"/>
    <w:pPr>
      <w:numPr>
        <w:numId w:val="1"/>
      </w:numPr>
      <w:spacing w:after="240" w:line="240" w:lineRule="auto"/>
    </w:pPr>
    <w:rPr>
      <w:rFonts w:ascii="Arial" w:eastAsia="Times New Roman" w:hAnsi="Arial" w:cs="Times New Roman"/>
      <w:szCs w:val="20"/>
      <w:lang w:eastAsia="en-GB"/>
    </w:rPr>
  </w:style>
  <w:style w:type="paragraph" w:styleId="FootnoteText">
    <w:name w:val="footnote text"/>
    <w:link w:val="FootnoteTextChar"/>
    <w:uiPriority w:val="99"/>
    <w:rsid w:val="001C7208"/>
    <w:pPr>
      <w:spacing w:after="60" w:line="240" w:lineRule="auto"/>
      <w:ind w:left="227" w:hanging="227"/>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rsid w:val="001C7208"/>
    <w:rPr>
      <w:rFonts w:ascii="Arial" w:eastAsia="Times New Roman" w:hAnsi="Arial" w:cs="Times New Roman"/>
      <w:sz w:val="20"/>
      <w:szCs w:val="20"/>
      <w:lang w:eastAsia="en-GB"/>
    </w:rPr>
  </w:style>
  <w:style w:type="character" w:styleId="FootnoteReference">
    <w:name w:val="footnote reference"/>
    <w:basedOn w:val="DefaultParagraphFont"/>
    <w:uiPriority w:val="99"/>
    <w:rsid w:val="001C7208"/>
    <w:rPr>
      <w:vertAlign w:val="superscript"/>
    </w:rPr>
  </w:style>
  <w:style w:type="character" w:customStyle="1" w:styleId="TextChar">
    <w:name w:val="Text Char"/>
    <w:link w:val="Text"/>
    <w:uiPriority w:val="1"/>
    <w:rsid w:val="001C7208"/>
    <w:rPr>
      <w:rFonts w:ascii="Arial" w:hAnsi="Arial"/>
    </w:rPr>
  </w:style>
  <w:style w:type="paragraph" w:customStyle="1" w:styleId="Text">
    <w:name w:val="Text"/>
    <w:link w:val="TextChar"/>
    <w:uiPriority w:val="1"/>
    <w:qFormat/>
    <w:rsid w:val="001C7208"/>
    <w:pPr>
      <w:spacing w:after="240" w:line="240" w:lineRule="auto"/>
    </w:pPr>
    <w:rPr>
      <w:rFonts w:ascii="Arial" w:hAnsi="Arial"/>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link w:val="ListParagraph"/>
    <w:uiPriority w:val="34"/>
    <w:qFormat/>
    <w:locked/>
    <w:rsid w:val="00BA2C27"/>
    <w:rPr>
      <w:rFonts w:ascii="Times New Roman" w:eastAsia="Times New Roman" w:hAnsi="Times New Roman" w:cs="Times New Roman"/>
      <w:sz w:val="20"/>
      <w:szCs w:val="20"/>
      <w:lang w:eastAsia="en-GB"/>
    </w:r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L1"/>
    <w:basedOn w:val="Normal"/>
    <w:link w:val="ListParagraphChar"/>
    <w:uiPriority w:val="34"/>
    <w:qFormat/>
    <w:rsid w:val="00BA2C27"/>
    <w:pPr>
      <w:spacing w:after="0" w:line="240" w:lineRule="auto"/>
      <w:ind w:left="720"/>
    </w:pPr>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rsid w:val="00BA2C27"/>
    <w:rPr>
      <w:sz w:val="16"/>
      <w:szCs w:val="16"/>
    </w:rPr>
  </w:style>
  <w:style w:type="paragraph" w:styleId="CommentText">
    <w:name w:val="annotation text"/>
    <w:basedOn w:val="Normal"/>
    <w:link w:val="CommentTextChar"/>
    <w:uiPriority w:val="99"/>
    <w:semiHidden/>
    <w:rsid w:val="00BA2C27"/>
    <w:pPr>
      <w:spacing w:after="24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semiHidden/>
    <w:rsid w:val="00BA2C27"/>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BA2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C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56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Jeeves, Anthony</dc:creator>
  <cp:keywords/>
  <dc:description/>
  <cp:lastModifiedBy>Brady, Honor</cp:lastModifiedBy>
  <cp:revision>3</cp:revision>
  <dcterms:created xsi:type="dcterms:W3CDTF">2019-01-23T17:58:00Z</dcterms:created>
  <dcterms:modified xsi:type="dcterms:W3CDTF">2019-01-24T17:12:00Z</dcterms:modified>
</cp:coreProperties>
</file>