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3EC962" w14:textId="77777777" w:rsidR="005E7B5C" w:rsidRPr="003F06E4" w:rsidRDefault="005E7B5C" w:rsidP="00FC0AA9">
      <w:pPr>
        <w:pStyle w:val="EMBanner"/>
      </w:pPr>
      <w:bookmarkStart w:id="0" w:name="_30j0zll" w:colFirst="0" w:colLast="0"/>
      <w:bookmarkEnd w:id="0"/>
      <w:r w:rsidRPr="003F06E4">
        <w:t xml:space="preserve">EXPLANATORY </w:t>
      </w:r>
      <w:r w:rsidRPr="00FC0AA9">
        <w:t>MEMORANDUM</w:t>
      </w:r>
      <w:r w:rsidRPr="003F06E4">
        <w:t xml:space="preserve"> TO</w:t>
      </w:r>
    </w:p>
    <w:p w14:paraId="32C0AD89" w14:textId="4D4B54D3" w:rsidR="005E7B5C" w:rsidRPr="00C53F1D" w:rsidRDefault="65D5CF92" w:rsidP="00FC0AA9">
      <w:pPr>
        <w:pStyle w:val="EMSITitle"/>
      </w:pPr>
      <w:bookmarkStart w:id="1" w:name="_1fob9te" w:colFirst="0" w:colLast="0"/>
      <w:bookmarkEnd w:id="1"/>
      <w:r>
        <w:t>THE Bilateral Investment Agreements (transitional arrangements and framework for managing Financial responsibility for Disputes) (Revocation) (EU Exit) Regulations 2019</w:t>
      </w:r>
    </w:p>
    <w:p w14:paraId="24CE4134" w14:textId="747610C5" w:rsidR="005E7B5C" w:rsidRPr="003F06E4" w:rsidRDefault="00C53F1D" w:rsidP="005E7B5C">
      <w:pPr>
        <w:pStyle w:val="EMSINumber"/>
      </w:pPr>
      <w:r w:rsidRPr="000E6A83">
        <w:t>2019</w:t>
      </w:r>
      <w:r w:rsidR="005E7B5C" w:rsidRPr="000E6A83">
        <w:t xml:space="preserve"> </w:t>
      </w:r>
      <w:r w:rsidR="005E7B5C" w:rsidRPr="003F06E4">
        <w:t>No. [XXXX]</w:t>
      </w:r>
    </w:p>
    <w:p w14:paraId="17A838F7" w14:textId="05059CC2" w:rsidR="005E7B5C" w:rsidRDefault="005E7B5C" w:rsidP="00CD4FDB">
      <w:pPr>
        <w:pStyle w:val="EMSectionTitle"/>
      </w:pPr>
      <w:r w:rsidRPr="00CD4FDB">
        <w:t>Introduction</w:t>
      </w:r>
    </w:p>
    <w:p w14:paraId="2B9E23BD" w14:textId="77DC5D14" w:rsidR="005E7B5C" w:rsidRDefault="005E7B5C" w:rsidP="005E7B5C">
      <w:pPr>
        <w:pStyle w:val="EMLevel1Paragraph"/>
      </w:pPr>
      <w:r>
        <w:t xml:space="preserve">This explanatory memorandum has been prepared by </w:t>
      </w:r>
      <w:r w:rsidR="00C53F1D">
        <w:t>the Department for International Trade</w:t>
      </w:r>
      <w:r>
        <w:t xml:space="preserve"> and is laid before Parliament by </w:t>
      </w:r>
      <w:r w:rsidR="00AC19A0">
        <w:t>Act</w:t>
      </w:r>
      <w:r>
        <w:t>.</w:t>
      </w:r>
    </w:p>
    <w:p w14:paraId="6CCDD27D" w14:textId="5BEBC3AC" w:rsidR="005E7B5C" w:rsidRPr="0011101C" w:rsidRDefault="005E7B5C" w:rsidP="005E7B5C">
      <w:pPr>
        <w:pStyle w:val="EMLevel1Paragraph"/>
      </w:pPr>
      <w:r w:rsidRPr="0011101C">
        <w:t xml:space="preserve">This memorandum contains information for the </w:t>
      </w:r>
      <w:r w:rsidR="005E280F" w:rsidRPr="0011101C">
        <w:t xml:space="preserve">Sifting </w:t>
      </w:r>
      <w:r w:rsidRPr="0011101C">
        <w:t xml:space="preserve">Committees </w:t>
      </w:r>
      <w:r w:rsidR="00710B75">
        <w:t>and the Joint Committee on Statutory Instruments</w:t>
      </w:r>
      <w:r w:rsidR="0011101C" w:rsidRPr="0011101C">
        <w:rPr>
          <w:color w:val="FF0000"/>
        </w:rPr>
        <w:t>.</w:t>
      </w:r>
    </w:p>
    <w:p w14:paraId="2F10F488" w14:textId="77777777" w:rsidR="005E7B5C" w:rsidRDefault="005E7B5C" w:rsidP="00CD4FDB">
      <w:pPr>
        <w:pStyle w:val="EMSectionTitle"/>
      </w:pPr>
      <w:r>
        <w:t>Purpose of the instrument</w:t>
      </w:r>
    </w:p>
    <w:p w14:paraId="1D74B32D" w14:textId="1BA834A2" w:rsidR="00A605CB" w:rsidRDefault="45D9FEAD" w:rsidP="005E7B5C">
      <w:pPr>
        <w:pStyle w:val="EMLevel1Paragraph"/>
      </w:pPr>
      <w:r>
        <w:t>This SI revokes, on the day of the UK’s withdrawal from the EU, two EU regulations relating to the administration of the relationship between the EU and Member States on matters relating to EU investment agreements and the Member States’ bilateral investment treaties and any related investor-state dispute settlement (ISDS) cases. Following the UK’s withdrawal from the EU these Regulations will become EU retained law, unless this SI revokes them.</w:t>
      </w:r>
    </w:p>
    <w:p w14:paraId="3881C745" w14:textId="168D3DAE" w:rsidR="005E7B5C" w:rsidRDefault="45D9FEAD" w:rsidP="005E7B5C">
      <w:pPr>
        <w:pStyle w:val="EMLevel1Paragraph"/>
      </w:pPr>
      <w:r>
        <w:t>Regulation (EU) No 1219/2012 of the European Parliament and of the Council of 12 December 2012 establishes transitional arrangements for bilateral investment agreements between Member States and third countries (the “Grandfathering Regulation”) and Regulation (EU) 912/2014 of the European Parliament and of the Council of 23 July 2014 establishes a framework for managing financial responsibility for ISDS claims where the EU or a EU Member State is a party to a bilateral investment agreement (the “Financial Responsibility Regulation”).</w:t>
      </w:r>
    </w:p>
    <w:p w14:paraId="089AFB55" w14:textId="77777777" w:rsidR="005E7B5C" w:rsidRDefault="005E7B5C" w:rsidP="007B4276">
      <w:pPr>
        <w:pStyle w:val="EMSub-sectiontitle"/>
      </w:pPr>
      <w:r>
        <w:t>Explanations</w:t>
      </w:r>
    </w:p>
    <w:p w14:paraId="3CA88EF2" w14:textId="77777777" w:rsidR="005E7B5C" w:rsidRDefault="005E7B5C" w:rsidP="007B4276">
      <w:pPr>
        <w:pStyle w:val="EMSub-sub-sectiontitle"/>
      </w:pPr>
      <w:r>
        <w:t>What did any relevant EU law do before exit day?</w:t>
      </w:r>
    </w:p>
    <w:p w14:paraId="57291925" w14:textId="427FD570" w:rsidR="006C442B" w:rsidRDefault="006C442B" w:rsidP="006F3FE7">
      <w:pPr>
        <w:pStyle w:val="EMLevel1Paragraph"/>
      </w:pPr>
      <w:r>
        <w:t xml:space="preserve">Both EU Regulations were made following the entry into force of the Treaty of Lisbon which brought foreign direct investment within EU exclusive competence. They deal with the administrative arrangements between the EU and the Member States. They do not deal with the </w:t>
      </w:r>
      <w:r w:rsidR="00B81043">
        <w:t xml:space="preserve">limits of </w:t>
      </w:r>
      <w:r w:rsidR="00B02614">
        <w:t xml:space="preserve">application or substance </w:t>
      </w:r>
      <w:r>
        <w:t>of an</w:t>
      </w:r>
      <w:r w:rsidR="0048351F">
        <w:t xml:space="preserve">y </w:t>
      </w:r>
      <w:r w:rsidR="00B02614">
        <w:t xml:space="preserve">current or future </w:t>
      </w:r>
      <w:r w:rsidR="0048351F">
        <w:t>investment agreements</w:t>
      </w:r>
      <w:r w:rsidR="00B02614">
        <w:t xml:space="preserve"> or bilateral investment treaties</w:t>
      </w:r>
      <w:r w:rsidR="0048351F">
        <w:t>.</w:t>
      </w:r>
    </w:p>
    <w:p w14:paraId="5422AD4A" w14:textId="5787B6F7" w:rsidR="006F3FE7" w:rsidRDefault="45D9FEAD" w:rsidP="006F3FE7">
      <w:pPr>
        <w:pStyle w:val="EMLevel1Paragraph"/>
      </w:pPr>
      <w:r>
        <w:t xml:space="preserve">The Grandfathering Regulation makes transitional arrangements to address the status of the Member States’ existing bilateral investment agreements.  It requires Member States to notify the Commission of all such </w:t>
      </w:r>
      <w:proofErr w:type="gramStart"/>
      <w:r>
        <w:t>agreements, and</w:t>
      </w:r>
      <w:proofErr w:type="gramEnd"/>
      <w:r>
        <w:t xml:space="preserve"> confirms that such agreements would remain in force without prejudice to the division of competencies under the Treaty for the Functioning of the European Union.  It provides terms for ensuring such agreements do not constitute an obstacle to the EU negotiating new bilateral investment agreements with third countries, with a view to replacing Member State bilateral investment agreements.  It also requires Member States to notify and seek authorisation from the Commission before entering into negotiations to amend an existing bilateral investment agreement, or to conclude a new bilateral investment </w:t>
      </w:r>
      <w:r>
        <w:lastRenderedPageBreak/>
        <w:t>agreement.</w:t>
      </w:r>
      <w:r w:rsidR="00AB7C6C">
        <w:br/>
      </w:r>
      <w:r w:rsidR="00AB7C6C">
        <w:br/>
      </w:r>
      <w:r>
        <w:t xml:space="preserve">The Financial Responsibility Regulation applies where an international agreement contains ISDS provisions and the EU is a </w:t>
      </w:r>
      <w:proofErr w:type="gramStart"/>
      <w:r>
        <w:t>party</w:t>
      </w:r>
      <w:proofErr w:type="gramEnd"/>
      <w:r>
        <w:t xml:space="preserve"> or the EU and Member States are parties.  Where an investor brings a claim against the Union and/or a Member State under such an agreement, the Regulation sets out how financial responsibility is to be apportioned between Member States and the EU.  It also provides terms for the conduct of disputes, settlement of disputes and payments of final awards or settlements.  </w:t>
      </w:r>
    </w:p>
    <w:p w14:paraId="49884444" w14:textId="77777777" w:rsidR="005E7B5C" w:rsidRDefault="005E7B5C" w:rsidP="007B4276">
      <w:pPr>
        <w:pStyle w:val="EMSub-sub-sectiontitle"/>
      </w:pPr>
      <w:r>
        <w:t xml:space="preserve">Why </w:t>
      </w:r>
      <w:r w:rsidRPr="005E7B5C">
        <w:t>is</w:t>
      </w:r>
      <w:r>
        <w:t xml:space="preserve"> it being changed?</w:t>
      </w:r>
    </w:p>
    <w:p w14:paraId="050DA1DE" w14:textId="52349C8F" w:rsidR="00EF0022" w:rsidRPr="00EF0022" w:rsidRDefault="00CA142E" w:rsidP="007B4276">
      <w:pPr>
        <w:pStyle w:val="EMLevel1Paragraph"/>
        <w:rPr>
          <w:b/>
        </w:rPr>
      </w:pPr>
      <w:r>
        <w:t xml:space="preserve">These </w:t>
      </w:r>
      <w:r w:rsidR="001F1F57">
        <w:t xml:space="preserve">two </w:t>
      </w:r>
      <w:r w:rsidR="00D62B47">
        <w:t xml:space="preserve">EU </w:t>
      </w:r>
      <w:r>
        <w:t xml:space="preserve">Regulations are being </w:t>
      </w:r>
      <w:r w:rsidR="002A5B1E">
        <w:t>revoked</w:t>
      </w:r>
      <w:r w:rsidR="001F1F57">
        <w:t xml:space="preserve"> because they </w:t>
      </w:r>
      <w:r w:rsidR="003A4B53">
        <w:t>make provision for arrangements between the EU and the UK which</w:t>
      </w:r>
      <w:r w:rsidR="005B130A">
        <w:t xml:space="preserve"> </w:t>
      </w:r>
      <w:r w:rsidR="006F3730">
        <w:t>depend on the UK being a member of the EU and therefore wi</w:t>
      </w:r>
      <w:r w:rsidR="003A4B53">
        <w:t xml:space="preserve">ll no longer be </w:t>
      </w:r>
      <w:r w:rsidR="006F3730">
        <w:t xml:space="preserve">appropriate. </w:t>
      </w:r>
      <w:r w:rsidR="00946A35">
        <w:t>This will ensure that the</w:t>
      </w:r>
      <w:r w:rsidR="00711B5E">
        <w:t xml:space="preserve"> UK is no longer bound by them.</w:t>
      </w:r>
      <w:r w:rsidR="002A5B1E">
        <w:t xml:space="preserve">  </w:t>
      </w:r>
    </w:p>
    <w:p w14:paraId="0BAFD3FA" w14:textId="2A0D1E30" w:rsidR="005E7B5C" w:rsidRDefault="002A5B1E" w:rsidP="007B4276">
      <w:pPr>
        <w:pStyle w:val="EMLevel1Paragraph"/>
        <w:rPr>
          <w:b/>
        </w:rPr>
      </w:pPr>
      <w:r>
        <w:t xml:space="preserve">With respect to the Grandfathering Regulation it would be inappropriate for the EU to govern the maintenance of </w:t>
      </w:r>
      <w:r w:rsidR="00EF0022">
        <w:t xml:space="preserve">the UK’s </w:t>
      </w:r>
      <w:r>
        <w:t xml:space="preserve">existing bilateral agreements and for the UK to need to seek authorisation from the Commission to amend or negotiate new bilateral investment agreements.  With respect to the Financial Responsibility Regulation, </w:t>
      </w:r>
      <w:r w:rsidR="00DD3CFD">
        <w:t xml:space="preserve">it would </w:t>
      </w:r>
      <w:r w:rsidR="00BE30E1">
        <w:t xml:space="preserve">be </w:t>
      </w:r>
      <w:r w:rsidR="00DD3CFD">
        <w:t xml:space="preserve">inappropriate for the UK to be required to contribute and be held responsible for costs in relation to investment disputes in circumstances where the EU would not have reciprocal financial responsibility to the UK. </w:t>
      </w:r>
    </w:p>
    <w:p w14:paraId="7363C72E" w14:textId="77777777" w:rsidR="005E7B5C" w:rsidRDefault="005E7B5C" w:rsidP="007B4276">
      <w:pPr>
        <w:pStyle w:val="EMSub-sub-sectiontitle"/>
      </w:pPr>
      <w:r>
        <w:t>What will it now do?</w:t>
      </w:r>
    </w:p>
    <w:p w14:paraId="55DD13BD" w14:textId="198AB312" w:rsidR="007376FF" w:rsidRPr="00114D28" w:rsidRDefault="00F40328" w:rsidP="00114D28">
      <w:pPr>
        <w:pStyle w:val="EMLevel1Paragraph"/>
        <w:rPr>
          <w:b/>
          <w:bCs/>
          <w:sz w:val="22"/>
          <w:szCs w:val="22"/>
        </w:rPr>
      </w:pPr>
      <w:r>
        <w:t xml:space="preserve">The </w:t>
      </w:r>
      <w:r w:rsidR="00A3169D">
        <w:t xml:space="preserve">SI entirely revokes the Regulations and does not make provision for replacement </w:t>
      </w:r>
      <w:r w:rsidR="004D56AA">
        <w:t>arrangements</w:t>
      </w:r>
      <w:r w:rsidR="008F1471">
        <w:t>.  This is because</w:t>
      </w:r>
      <w:r w:rsidR="00A3169D">
        <w:t xml:space="preserve"> </w:t>
      </w:r>
      <w:r w:rsidR="00AC711F">
        <w:rPr>
          <w:iCs/>
        </w:rPr>
        <w:t>the Regulations deal</w:t>
      </w:r>
      <w:r w:rsidR="00114D28" w:rsidRPr="00114D28">
        <w:rPr>
          <w:iCs/>
        </w:rPr>
        <w:t xml:space="preserve"> with the relationship </w:t>
      </w:r>
      <w:r w:rsidR="00CE03C8">
        <w:rPr>
          <w:iCs/>
        </w:rPr>
        <w:t>between</w:t>
      </w:r>
      <w:r w:rsidR="00CE03C8" w:rsidRPr="00114D28">
        <w:rPr>
          <w:iCs/>
        </w:rPr>
        <w:t xml:space="preserve"> </w:t>
      </w:r>
      <w:r w:rsidR="00114D28" w:rsidRPr="00114D28">
        <w:rPr>
          <w:iCs/>
        </w:rPr>
        <w:t xml:space="preserve">the EU and its </w:t>
      </w:r>
      <w:r w:rsidR="00EA3EB7">
        <w:rPr>
          <w:iCs/>
        </w:rPr>
        <w:t>M</w:t>
      </w:r>
      <w:r w:rsidR="00114D28" w:rsidRPr="00114D28">
        <w:rPr>
          <w:iCs/>
        </w:rPr>
        <w:t xml:space="preserve">ember </w:t>
      </w:r>
      <w:r w:rsidR="00EA3EB7">
        <w:rPr>
          <w:iCs/>
        </w:rPr>
        <w:t>S</w:t>
      </w:r>
      <w:r w:rsidR="00114D28" w:rsidRPr="00114D28">
        <w:rPr>
          <w:iCs/>
        </w:rPr>
        <w:t xml:space="preserve">tates </w:t>
      </w:r>
      <w:r w:rsidR="00B4785B">
        <w:rPr>
          <w:iCs/>
        </w:rPr>
        <w:t>and</w:t>
      </w:r>
      <w:r w:rsidR="00C808AC">
        <w:rPr>
          <w:iCs/>
        </w:rPr>
        <w:t xml:space="preserve"> </w:t>
      </w:r>
      <w:r w:rsidR="00114D28" w:rsidRPr="00114D28">
        <w:rPr>
          <w:iCs/>
        </w:rPr>
        <w:t>cannot be replaced by domestic legislation.</w:t>
      </w:r>
      <w:r w:rsidR="00114D28" w:rsidRPr="00114D28">
        <w:t xml:space="preserve"> </w:t>
      </w:r>
    </w:p>
    <w:p w14:paraId="670C4694" w14:textId="77777777" w:rsidR="005E7B5C" w:rsidRDefault="005E7B5C" w:rsidP="00CD4FDB">
      <w:pPr>
        <w:pStyle w:val="EMSectionTitle"/>
      </w:pPr>
      <w:r>
        <w:t xml:space="preserve">Matters of special interest to </w:t>
      </w:r>
      <w:r w:rsidRPr="00091FCF">
        <w:t>Parliament</w:t>
      </w:r>
    </w:p>
    <w:p w14:paraId="5CFC98D2" w14:textId="1D57D13D" w:rsidR="005E7B5C" w:rsidRDefault="005E7B5C" w:rsidP="007376FF">
      <w:pPr>
        <w:pStyle w:val="EMSub-sectiontitle"/>
      </w:pPr>
      <w:r>
        <w:t xml:space="preserve">Matters of special interest to the </w:t>
      </w:r>
      <w:r w:rsidR="00BE61FA">
        <w:t xml:space="preserve">Sifting </w:t>
      </w:r>
      <w:r>
        <w:t>Committees</w:t>
      </w:r>
    </w:p>
    <w:p w14:paraId="617F9032" w14:textId="1312A240" w:rsidR="005E7B5C" w:rsidRDefault="00B10277" w:rsidP="007376FF">
      <w:pPr>
        <w:pStyle w:val="EMLevel1Paragraph"/>
        <w:rPr>
          <w:highlight w:val="white"/>
        </w:rPr>
      </w:pPr>
      <w:r>
        <w:rPr>
          <w:color w:val="000000"/>
        </w:rPr>
        <w:t>This instrument is being laid for sifting by the Sifting Committees.</w:t>
      </w:r>
    </w:p>
    <w:p w14:paraId="23D8DEEE" w14:textId="77777777" w:rsidR="005E7B5C" w:rsidRDefault="005E7B5C" w:rsidP="007376FF">
      <w:pPr>
        <w:pStyle w:val="EMSub-sectiontitle"/>
      </w:pPr>
      <w:r>
        <w:t>Matters relevant to Standing Orders Nos. 83P and 83T of the Standing Orders of the House of Commons relating to Public Business (</w:t>
      </w:r>
      <w:r w:rsidR="00812201">
        <w:t>English Votes for English Laws)</w:t>
      </w:r>
    </w:p>
    <w:p w14:paraId="43A2F4B4" w14:textId="5AFE5020" w:rsidR="005E7B5C" w:rsidRDefault="00D45EE9" w:rsidP="00373B11">
      <w:pPr>
        <w:pStyle w:val="EMLevel1Paragraph"/>
        <w:rPr>
          <w:highlight w:val="white"/>
        </w:rPr>
      </w:pPr>
      <w:r w:rsidRPr="007376FF" w:rsidDel="00D45EE9">
        <w:rPr>
          <w:color w:val="FF0000"/>
        </w:rPr>
        <w:t xml:space="preserve"> </w:t>
      </w:r>
      <w:r w:rsidR="005E7B5C">
        <w:t>As the instrument is subject to negative resolution procedure there are no matters relevant to Standing Orders Nos. 83P and 83T of the Standing Orders of the House of Commons relating to Public Business at this stage.</w:t>
      </w:r>
    </w:p>
    <w:p w14:paraId="184E8F4B" w14:textId="77777777" w:rsidR="005E7B5C" w:rsidRDefault="005E7B5C" w:rsidP="00CD4FDB">
      <w:pPr>
        <w:pStyle w:val="EMSectionTitle"/>
      </w:pPr>
      <w:r>
        <w:t>Extent and Territorial Application</w:t>
      </w:r>
    </w:p>
    <w:p w14:paraId="021CD5A7" w14:textId="777892E4" w:rsidR="005E7B5C" w:rsidRDefault="005E7B5C" w:rsidP="007E7EB6">
      <w:pPr>
        <w:pStyle w:val="EMLevel1Paragraph"/>
      </w:pPr>
      <w:r>
        <w:t xml:space="preserve">The territorial extent of this instrument is </w:t>
      </w:r>
      <w:r w:rsidR="00CC35CD">
        <w:t>England and Wales, Scotland, and Northern Ireland</w:t>
      </w:r>
      <w:r>
        <w:t>.</w:t>
      </w:r>
    </w:p>
    <w:p w14:paraId="273D287C" w14:textId="67A81C27" w:rsidR="005E7B5C" w:rsidRDefault="005E7B5C" w:rsidP="007E7EB6">
      <w:pPr>
        <w:pStyle w:val="EMLevel1Paragraph"/>
      </w:pPr>
      <w:r>
        <w:t xml:space="preserve">The territorial application of this instrument is </w:t>
      </w:r>
      <w:r w:rsidR="00CC35CD">
        <w:t>England and Wales, Scotland, and Northern Ireland</w:t>
      </w:r>
    </w:p>
    <w:p w14:paraId="7D9DF9C4" w14:textId="77777777" w:rsidR="005E7B5C" w:rsidRDefault="005E7B5C" w:rsidP="00CD4FDB">
      <w:pPr>
        <w:pStyle w:val="EMSectionTitle"/>
      </w:pPr>
      <w:r>
        <w:t>European Convention on Human Rights</w:t>
      </w:r>
    </w:p>
    <w:p w14:paraId="15B01CA1" w14:textId="534948EB" w:rsidR="005E7B5C" w:rsidRPr="003F06E4" w:rsidRDefault="005E7B5C" w:rsidP="00E474AF">
      <w:pPr>
        <w:pStyle w:val="EMLevel1Paragraph"/>
      </w:pPr>
      <w:r>
        <w:t xml:space="preserve">As the instrument is subject to negative resolution procedure and does not amend </w:t>
      </w:r>
      <w:r w:rsidRPr="003F06E4">
        <w:t>primary legislation, no statement is required.</w:t>
      </w:r>
      <w:r>
        <w:t xml:space="preserve"> </w:t>
      </w:r>
    </w:p>
    <w:p w14:paraId="20470E81" w14:textId="77777777" w:rsidR="005E7B5C" w:rsidRPr="00CA30DC" w:rsidRDefault="005E7B5C" w:rsidP="00CD4FDB">
      <w:pPr>
        <w:pStyle w:val="EMSectionTitle"/>
      </w:pPr>
      <w:r w:rsidRPr="00CA30DC">
        <w:lastRenderedPageBreak/>
        <w:t>Legislative Context</w:t>
      </w:r>
    </w:p>
    <w:p w14:paraId="71E52B2B" w14:textId="7FB5F565" w:rsidR="0066270A" w:rsidRDefault="0066270A" w:rsidP="00250D1E">
      <w:pPr>
        <w:pStyle w:val="EMLevel1Paragraph"/>
      </w:pPr>
      <w:r>
        <w:t>There is no relevant UK domestic legislation.</w:t>
      </w:r>
    </w:p>
    <w:p w14:paraId="7BDB90E2" w14:textId="6F5E4FE2" w:rsidR="00CE03C8" w:rsidRDefault="00CE03C8" w:rsidP="00CE03C8">
      <w:pPr>
        <w:pStyle w:val="EMLevel1Paragraph"/>
      </w:pPr>
      <w:r>
        <w:t>If they are not revoked, both</w:t>
      </w:r>
      <w:r w:rsidRPr="00CE03C8">
        <w:t xml:space="preserve"> </w:t>
      </w:r>
      <w:r w:rsidR="00154E52" w:rsidRPr="00CE03C8">
        <w:t xml:space="preserve">EU </w:t>
      </w:r>
      <w:r w:rsidR="00B879D1" w:rsidRPr="00CE03C8">
        <w:t xml:space="preserve">Regulations will form part of UK law as “Retained EU Law” </w:t>
      </w:r>
      <w:r>
        <w:t>of</w:t>
      </w:r>
      <w:r w:rsidRPr="00CE03C8">
        <w:t xml:space="preserve"> </w:t>
      </w:r>
      <w:r w:rsidR="00B879D1" w:rsidRPr="00CE03C8">
        <w:t>the</w:t>
      </w:r>
      <w:r w:rsidR="00B879D1">
        <w:t xml:space="preserve"> E</w:t>
      </w:r>
      <w:r w:rsidR="00C23A60">
        <w:t xml:space="preserve">uropean </w:t>
      </w:r>
      <w:r w:rsidR="00B879D1">
        <w:t>U</w:t>
      </w:r>
      <w:r w:rsidR="00C23A60">
        <w:t>nion (</w:t>
      </w:r>
      <w:r w:rsidR="00B879D1">
        <w:t>W</w:t>
      </w:r>
      <w:r w:rsidR="00C23A60">
        <w:t xml:space="preserve">ithdrawal) </w:t>
      </w:r>
      <w:r w:rsidR="00B879D1">
        <w:t>A</w:t>
      </w:r>
      <w:r w:rsidR="00C23A60">
        <w:t>ct 2018</w:t>
      </w:r>
      <w:r w:rsidR="009038D2">
        <w:t xml:space="preserve"> (EUWA)</w:t>
      </w:r>
      <w:r w:rsidR="00B879D1">
        <w:t xml:space="preserve">.  </w:t>
      </w:r>
      <w:r w:rsidR="000E0FFB">
        <w:t xml:space="preserve"> </w:t>
      </w:r>
      <w:r w:rsidR="009038D2">
        <w:t xml:space="preserve">Powers under </w:t>
      </w:r>
      <w:r>
        <w:t xml:space="preserve">section 8 of </w:t>
      </w:r>
      <w:r w:rsidR="009038D2">
        <w:t xml:space="preserve">the EUWA </w:t>
      </w:r>
      <w:r>
        <w:t xml:space="preserve">enable </w:t>
      </w:r>
      <w:r w:rsidR="00D7051E">
        <w:t xml:space="preserve">the Minister </w:t>
      </w:r>
      <w:r w:rsidR="00F178F3">
        <w:t xml:space="preserve">to make </w:t>
      </w:r>
      <w:r w:rsidR="00D7051E">
        <w:t xml:space="preserve">secondary legislation to deal with </w:t>
      </w:r>
      <w:r w:rsidR="00F178F3">
        <w:t xml:space="preserve">deficiencies in retained EU law. </w:t>
      </w:r>
      <w:r w:rsidR="00B81043">
        <w:t>The</w:t>
      </w:r>
      <w:r w:rsidR="00771147">
        <w:t xml:space="preserve"> EU Regulations give rise to a number of deficiencies, in particular </w:t>
      </w:r>
      <w:r>
        <w:t>they confer functions on EU entities which will no longer have functions in relation to the United Kingdom; they make provision for reciprocal arrangements between the United Kingdom and the EU which will no longer be appropriate; they make provision for arrangements which are dependent upon the United Kingdom’s membership of the EU; and they contain EU references which are no longer appropriate</w:t>
      </w:r>
      <w:r w:rsidR="005253D2">
        <w:t xml:space="preserve">. </w:t>
      </w:r>
    </w:p>
    <w:p w14:paraId="76321F98" w14:textId="7332B877" w:rsidR="005E7B5C" w:rsidRPr="00BE30E1" w:rsidRDefault="005E7B5C" w:rsidP="00250D1E">
      <w:pPr>
        <w:pStyle w:val="EMSectionTitle"/>
      </w:pPr>
      <w:r w:rsidRPr="00BE30E1">
        <w:t>Policy background</w:t>
      </w:r>
    </w:p>
    <w:p w14:paraId="7BF2FAC2" w14:textId="77777777" w:rsidR="005E7B5C" w:rsidRPr="00BE30E1" w:rsidRDefault="005E7B5C" w:rsidP="0076508A">
      <w:pPr>
        <w:pStyle w:val="EMSub-sectiontitle"/>
      </w:pPr>
      <w:r w:rsidRPr="00BE30E1">
        <w:t>What is being done and why?</w:t>
      </w:r>
    </w:p>
    <w:p w14:paraId="6266692C" w14:textId="32561BFC" w:rsidR="00AE6A84" w:rsidRPr="00AE6A84" w:rsidRDefault="00C86FFD" w:rsidP="00C86FFD">
      <w:pPr>
        <w:pStyle w:val="EMLevel1Paragraph"/>
        <w:rPr>
          <w:b/>
        </w:rPr>
      </w:pPr>
      <w:r w:rsidRPr="00BE30E1">
        <w:t xml:space="preserve">These </w:t>
      </w:r>
      <w:r w:rsidR="00AE6A84">
        <w:t xml:space="preserve">EU </w:t>
      </w:r>
      <w:r w:rsidRPr="00BE30E1">
        <w:t>Regulations are being revoked so that the UK</w:t>
      </w:r>
      <w:r w:rsidR="00AE6A84">
        <w:t xml:space="preserve">, from the day of its </w:t>
      </w:r>
      <w:r w:rsidR="00EC5F73">
        <w:t>withdrawal</w:t>
      </w:r>
      <w:r w:rsidR="00AE6A84">
        <w:t xml:space="preserve"> from the EU,</w:t>
      </w:r>
      <w:r w:rsidRPr="00BE30E1">
        <w:t xml:space="preserve"> is no longer bound by them.</w:t>
      </w:r>
    </w:p>
    <w:p w14:paraId="0511560F" w14:textId="65EC11D5" w:rsidR="00C86FFD" w:rsidRPr="00BE30E1" w:rsidRDefault="00C86FFD" w:rsidP="00C86FFD">
      <w:pPr>
        <w:pStyle w:val="EMLevel1Paragraph"/>
        <w:rPr>
          <w:b/>
        </w:rPr>
      </w:pPr>
      <w:r w:rsidRPr="00BE30E1">
        <w:t xml:space="preserve">With respect to the Grandfathering Regulation it would be inappropriate for the EU to govern the maintenance of existing bilateral agreements and for the UK to need to seek authorisation from the Commission to amend or negotiate new bilateral investment agreements.  With respect to the Financial Responsibility Regulation, it would </w:t>
      </w:r>
      <w:r w:rsidR="00BE30E1" w:rsidRPr="00BE30E1">
        <w:t xml:space="preserve">be </w:t>
      </w:r>
      <w:r w:rsidRPr="00BE30E1">
        <w:t xml:space="preserve">inappropriate for the UK to be required to contribute and be held responsible for costs in relation to investment disputes in circumstances where the EU would not have reciprocal financial responsibility to the UK. </w:t>
      </w:r>
    </w:p>
    <w:p w14:paraId="7176C456" w14:textId="77777777" w:rsidR="005E7B5C" w:rsidRDefault="005E7B5C" w:rsidP="00CD4FDB">
      <w:pPr>
        <w:pStyle w:val="EMSectionTitle"/>
      </w:pPr>
      <w:r w:rsidRPr="00BE30E1">
        <w:t>E</w:t>
      </w:r>
      <w:r w:rsidR="0009226B" w:rsidRPr="00BE30E1">
        <w:t>uropean Union (Withdrawal) Act/</w:t>
      </w:r>
      <w:r w:rsidRPr="00BE30E1">
        <w:t>Withdrawal of the United Kingdom from the</w:t>
      </w:r>
      <w:r>
        <w:t xml:space="preserve"> European Union</w:t>
      </w:r>
    </w:p>
    <w:p w14:paraId="4A007B32" w14:textId="2C751609" w:rsidR="005E7B5C" w:rsidRDefault="65D5CF92" w:rsidP="0076508A">
      <w:pPr>
        <w:pStyle w:val="EMLevel1Paragraph"/>
      </w:pPr>
      <w:bookmarkStart w:id="2" w:name="_3znysh7" w:colFirst="0" w:colLast="0"/>
      <w:bookmarkEnd w:id="2"/>
      <w:r>
        <w:t xml:space="preserve">This instrument is being made using the power in section 8 of the European Union (Withdrawal) Act 2018 in order to address failures of retained EU law to operate effectively or other deficiencies arising from the withdrawal of the United Kingdom from the European Union. In accordance with the requirements of that Act the Minister has made the relevant statements as detailed in Part 2 of the Annex to this Explanatory Memorandum. </w:t>
      </w:r>
    </w:p>
    <w:p w14:paraId="6425EF8A" w14:textId="6FF26D38" w:rsidR="005E7B5C" w:rsidRDefault="00B07F86" w:rsidP="00CD4FDB">
      <w:pPr>
        <w:pStyle w:val="EMSectionTitle"/>
      </w:pPr>
      <w:r w:rsidDel="00B07F86">
        <w:t xml:space="preserve"> </w:t>
      </w:r>
      <w:r w:rsidR="005E7B5C">
        <w:t>Consolidation</w:t>
      </w:r>
    </w:p>
    <w:p w14:paraId="1E6371C1" w14:textId="5986EBAB" w:rsidR="005E7B5C" w:rsidRDefault="00926F31" w:rsidP="0076508A">
      <w:pPr>
        <w:pStyle w:val="EMLevel1Paragraph"/>
      </w:pPr>
      <w:r>
        <w:rPr>
          <w:color w:val="000000"/>
        </w:rPr>
        <w:t>No consolidation is required.</w:t>
      </w:r>
    </w:p>
    <w:p w14:paraId="680FACD0" w14:textId="77777777" w:rsidR="005E7B5C" w:rsidRDefault="005E7B5C" w:rsidP="00CD4FDB">
      <w:pPr>
        <w:pStyle w:val="EMSectionTitle"/>
      </w:pPr>
      <w:r>
        <w:t>Consultation outcome</w:t>
      </w:r>
    </w:p>
    <w:p w14:paraId="7BAB8328" w14:textId="70824033" w:rsidR="005E7B5C" w:rsidRPr="005668B2" w:rsidRDefault="00B9153C" w:rsidP="005668B2">
      <w:pPr>
        <w:pStyle w:val="EMLevel1Paragraph"/>
      </w:pPr>
      <w:r>
        <w:rPr>
          <w:color w:val="000000"/>
        </w:rPr>
        <w:t>The two EU Regulations deal with the administrative arrangements between the EU and its Member States and do not have an impact on individuals or businesses. Therefore, it was considered that</w:t>
      </w:r>
      <w:r w:rsidR="00B3459B">
        <w:rPr>
          <w:color w:val="000000"/>
        </w:rPr>
        <w:t xml:space="preserve"> there were no policy questions to subject to</w:t>
      </w:r>
      <w:r>
        <w:rPr>
          <w:color w:val="000000"/>
        </w:rPr>
        <w:t xml:space="preserve"> c</w:t>
      </w:r>
      <w:r w:rsidR="007639C3">
        <w:rPr>
          <w:color w:val="000000"/>
        </w:rPr>
        <w:t xml:space="preserve">onsultation </w:t>
      </w:r>
      <w:r w:rsidR="00B3459B">
        <w:rPr>
          <w:color w:val="000000"/>
        </w:rPr>
        <w:t xml:space="preserve">and it </w:t>
      </w:r>
      <w:r>
        <w:rPr>
          <w:color w:val="000000"/>
        </w:rPr>
        <w:t>would not be meaningful</w:t>
      </w:r>
      <w:r w:rsidR="006E4378">
        <w:rPr>
          <w:color w:val="000000"/>
        </w:rPr>
        <w:t>.</w:t>
      </w:r>
      <w:r w:rsidR="005E7B5C">
        <w:t xml:space="preserve"> </w:t>
      </w:r>
    </w:p>
    <w:p w14:paraId="7DD37D14" w14:textId="77777777" w:rsidR="005E7B5C" w:rsidRDefault="005E7B5C" w:rsidP="00CD4FDB">
      <w:pPr>
        <w:pStyle w:val="EMSectionTitle"/>
      </w:pPr>
      <w:r>
        <w:t>Guidance</w:t>
      </w:r>
    </w:p>
    <w:p w14:paraId="357269AB" w14:textId="4FE5D97D" w:rsidR="005E7B5C" w:rsidRDefault="00CE4EA4" w:rsidP="0076508A">
      <w:pPr>
        <w:pStyle w:val="EMLevel1Paragraph"/>
      </w:pPr>
      <w:r>
        <w:rPr>
          <w:color w:val="000000"/>
        </w:rPr>
        <w:t>In the absence of any impact on individuals or business, g</w:t>
      </w:r>
      <w:r w:rsidR="009412BD">
        <w:rPr>
          <w:color w:val="000000"/>
        </w:rPr>
        <w:t>uidance is not required</w:t>
      </w:r>
      <w:r w:rsidR="002027D4">
        <w:rPr>
          <w:color w:val="000000"/>
        </w:rPr>
        <w:t>.</w:t>
      </w:r>
    </w:p>
    <w:p w14:paraId="014C9347" w14:textId="77777777" w:rsidR="005E7B5C" w:rsidRDefault="005E7B5C" w:rsidP="00CD4FDB">
      <w:pPr>
        <w:pStyle w:val="EMSectionTitle"/>
      </w:pPr>
      <w:r>
        <w:lastRenderedPageBreak/>
        <w:t>Impact</w:t>
      </w:r>
    </w:p>
    <w:p w14:paraId="71BAA936" w14:textId="69CBDCA4" w:rsidR="005E7B5C" w:rsidRDefault="005E7B5C" w:rsidP="0076508A">
      <w:pPr>
        <w:pStyle w:val="EMLevel1Paragraph"/>
      </w:pPr>
      <w:r>
        <w:t>There is no, or no significant, impact on business,</w:t>
      </w:r>
      <w:r w:rsidR="0076508A">
        <w:t xml:space="preserve"> charities or voluntary bodies.</w:t>
      </w:r>
    </w:p>
    <w:p w14:paraId="20FA7315" w14:textId="1C094444" w:rsidR="005E7B5C" w:rsidRDefault="005E7B5C" w:rsidP="0076508A">
      <w:pPr>
        <w:pStyle w:val="EMLevel1Paragraph"/>
      </w:pPr>
      <w:r>
        <w:t>There is no, or no significant, impact on the public sector.</w:t>
      </w:r>
    </w:p>
    <w:p w14:paraId="431DB263" w14:textId="190905C9" w:rsidR="005E7B5C" w:rsidRPr="005668B2" w:rsidRDefault="005E7B5C" w:rsidP="003723A6">
      <w:pPr>
        <w:pStyle w:val="EMLevel1Paragraph"/>
      </w:pPr>
      <w:r w:rsidRPr="005668B2">
        <w:t>An Impact Assessment has not been prepared for this instrument</w:t>
      </w:r>
      <w:r w:rsidR="005668B2">
        <w:t xml:space="preserve">. </w:t>
      </w:r>
      <w:r w:rsidR="004E5649" w:rsidRPr="005668B2">
        <w:t xml:space="preserve"> </w:t>
      </w:r>
    </w:p>
    <w:p w14:paraId="65515DEC" w14:textId="77777777" w:rsidR="005E7B5C" w:rsidRPr="005668B2" w:rsidRDefault="005E7B5C" w:rsidP="00CD4FDB">
      <w:pPr>
        <w:pStyle w:val="EMSectionTitle"/>
      </w:pPr>
      <w:r w:rsidRPr="005668B2">
        <w:t>Regulating small business</w:t>
      </w:r>
    </w:p>
    <w:p w14:paraId="7D8D1E64" w14:textId="564D56A9" w:rsidR="005E7B5C" w:rsidRDefault="005E7B5C" w:rsidP="0076508A">
      <w:pPr>
        <w:pStyle w:val="EMLevel1Paragraph"/>
      </w:pPr>
      <w:r>
        <w:t xml:space="preserve">The legislation does not apply to activities that are undertaken by small businesses. </w:t>
      </w:r>
    </w:p>
    <w:p w14:paraId="702EC72B" w14:textId="77777777" w:rsidR="005E7B5C" w:rsidRDefault="005E7B5C" w:rsidP="00CD4FDB">
      <w:pPr>
        <w:pStyle w:val="EMSectionTitle"/>
      </w:pPr>
      <w:r>
        <w:t>Monitoring &amp; review</w:t>
      </w:r>
    </w:p>
    <w:p w14:paraId="49B423F2" w14:textId="4FA0FFAB" w:rsidR="005E7B5C" w:rsidRDefault="005E7B5C" w:rsidP="0076508A">
      <w:pPr>
        <w:pStyle w:val="EMLevel1Paragraph"/>
      </w:pPr>
      <w:r>
        <w:t>As this instrument is made under the EU Withdrawal Act 2018, no review clause is required.</w:t>
      </w:r>
    </w:p>
    <w:p w14:paraId="1ED3D7C1" w14:textId="77777777" w:rsidR="005E7B5C" w:rsidRDefault="005E7B5C" w:rsidP="00CD4FDB">
      <w:pPr>
        <w:pStyle w:val="EMSectionTitle"/>
      </w:pPr>
      <w:r>
        <w:t>Contact</w:t>
      </w:r>
    </w:p>
    <w:p w14:paraId="4008BC9D" w14:textId="73445F9A" w:rsidR="005E7B5C" w:rsidRDefault="00E776A6" w:rsidP="0076508A">
      <w:pPr>
        <w:pStyle w:val="EMLevel1Paragraph"/>
      </w:pPr>
      <w:r>
        <w:t>Vanessa Montgomery</w:t>
      </w:r>
      <w:r w:rsidR="005E7B5C">
        <w:t xml:space="preserve"> at the </w:t>
      </w:r>
      <w:r>
        <w:t>Department for International Trade</w:t>
      </w:r>
      <w:r w:rsidR="005E7B5C">
        <w:t xml:space="preserve"> Telephone: </w:t>
      </w:r>
      <w:r w:rsidR="00E56175">
        <w:t xml:space="preserve">020 </w:t>
      </w:r>
      <w:r w:rsidR="0071047D">
        <w:t>7215 8018</w:t>
      </w:r>
      <w:r w:rsidR="005E7B5C">
        <w:t xml:space="preserve"> or email: </w:t>
      </w:r>
      <w:r w:rsidR="0071047D">
        <w:t>vanessa.montgomery@trade.gov.uk</w:t>
      </w:r>
      <w:r w:rsidR="005E7B5C">
        <w:t xml:space="preserve"> can be contacted with any queries regarding the instrument.</w:t>
      </w:r>
    </w:p>
    <w:p w14:paraId="2A38A10A" w14:textId="3B6DF526" w:rsidR="005E7B5C" w:rsidRDefault="0071047D" w:rsidP="0076508A">
      <w:pPr>
        <w:pStyle w:val="EMLevel1Paragraph"/>
      </w:pPr>
      <w:r>
        <w:t>Lola Fadina</w:t>
      </w:r>
      <w:r w:rsidR="00BE61FA">
        <w:t>,</w:t>
      </w:r>
      <w:r w:rsidR="00EB25C4">
        <w:t xml:space="preserve"> </w:t>
      </w:r>
      <w:r w:rsidR="005E7B5C">
        <w:t xml:space="preserve">Deputy Director for </w:t>
      </w:r>
      <w:r>
        <w:t>Investment Policy</w:t>
      </w:r>
      <w:r w:rsidR="00EB25C4">
        <w:t>,</w:t>
      </w:r>
      <w:r w:rsidR="005E7B5C">
        <w:t xml:space="preserve"> at the </w:t>
      </w:r>
      <w:r>
        <w:t>Department for International Trade</w:t>
      </w:r>
      <w:r w:rsidR="005E7B5C">
        <w:t xml:space="preserve"> can confirm that this Explanatory Memorandum meets the required standard.</w:t>
      </w:r>
    </w:p>
    <w:p w14:paraId="5986B37B" w14:textId="102B822C" w:rsidR="005E7B5C" w:rsidRDefault="0071047D" w:rsidP="0076508A">
      <w:pPr>
        <w:pStyle w:val="EMLevel1Paragraph"/>
      </w:pPr>
      <w:r>
        <w:t>George Hollingbery</w:t>
      </w:r>
      <w:r w:rsidR="005E7B5C">
        <w:t xml:space="preserve"> at the </w:t>
      </w:r>
      <w:r>
        <w:t>Department for International Trade</w:t>
      </w:r>
      <w:r w:rsidR="005E7B5C">
        <w:t xml:space="preserve"> can confirm that this Explanatory Memorandum meets the required standard.</w:t>
      </w:r>
    </w:p>
    <w:p w14:paraId="1FA04E07" w14:textId="77777777" w:rsidR="005E7B5C" w:rsidRDefault="005E7B5C" w:rsidP="005E7B5C">
      <w:pPr>
        <w:pBdr>
          <w:top w:val="nil"/>
          <w:left w:val="nil"/>
          <w:bottom w:val="nil"/>
          <w:right w:val="nil"/>
          <w:between w:val="nil"/>
        </w:pBdr>
        <w:spacing w:line="276" w:lineRule="auto"/>
        <w:rPr>
          <w:color w:val="000000"/>
        </w:rPr>
      </w:pPr>
      <w:r>
        <w:br w:type="page"/>
      </w:r>
    </w:p>
    <w:p w14:paraId="5AE2A545" w14:textId="77777777" w:rsidR="005E7B5C" w:rsidRDefault="00621F47" w:rsidP="00FC0AA9">
      <w:pPr>
        <w:pStyle w:val="AnnexMainHeading"/>
      </w:pPr>
      <w:r>
        <w:lastRenderedPageBreak/>
        <w:t>Annex</w:t>
      </w:r>
    </w:p>
    <w:p w14:paraId="43EB3529" w14:textId="77777777" w:rsidR="005E7B5C" w:rsidRDefault="005E7B5C" w:rsidP="00FC0AA9">
      <w:pPr>
        <w:pStyle w:val="AnnexMainTitle"/>
      </w:pPr>
      <w:r>
        <w:t>Statements under the European Union (Withdrawal) Act 2018</w:t>
      </w:r>
    </w:p>
    <w:p w14:paraId="316351B8" w14:textId="77777777" w:rsidR="005E7B5C" w:rsidRPr="00FC0AA9" w:rsidRDefault="005E7B5C" w:rsidP="00FC0AA9">
      <w:pPr>
        <w:pStyle w:val="AnnexPartHeading"/>
      </w:pPr>
      <w:r w:rsidRPr="00FC0AA9">
        <w:t xml:space="preserve">Part 1 </w:t>
      </w:r>
    </w:p>
    <w:p w14:paraId="4A42C1EE" w14:textId="77777777" w:rsidR="005E7B5C" w:rsidRDefault="005E7B5C" w:rsidP="000C7B96">
      <w:pPr>
        <w:pStyle w:val="AnnexPartTitle"/>
      </w:pPr>
      <w:r>
        <w:t>Table of Statements under the 2018 Act</w:t>
      </w:r>
    </w:p>
    <w:p w14:paraId="7E16A93D" w14:textId="77777777" w:rsidR="005E7B5C" w:rsidRPr="000C7B96" w:rsidRDefault="005E7B5C" w:rsidP="003D51B8">
      <w:pPr>
        <w:pStyle w:val="EMParagraphContinuationUnnumbered"/>
      </w:pPr>
      <w:r w:rsidRPr="000C7B96">
        <w:t xml:space="preserve">This table sets out the statements that </w:t>
      </w:r>
      <w:r w:rsidRPr="000C7B96">
        <w:rPr>
          <w:u w:val="single"/>
        </w:rPr>
        <w:t>may</w:t>
      </w:r>
      <w:r w:rsidRPr="000C7B96">
        <w:t xml:space="preserve"> be required under the 2018 Act.</w:t>
      </w:r>
    </w:p>
    <w:tbl>
      <w:tblPr>
        <w:tblW w:w="10348" w:type="dxa"/>
        <w:tblInd w:w="-4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18"/>
        <w:gridCol w:w="2551"/>
        <w:gridCol w:w="2694"/>
        <w:gridCol w:w="3685"/>
      </w:tblGrid>
      <w:tr w:rsidR="005E7B5C" w14:paraId="6071895F" w14:textId="77777777" w:rsidTr="00152590">
        <w:tc>
          <w:tcPr>
            <w:tcW w:w="1418" w:type="dxa"/>
            <w:shd w:val="clear" w:color="auto" w:fill="auto"/>
            <w:tcMar>
              <w:top w:w="100" w:type="dxa"/>
              <w:left w:w="100" w:type="dxa"/>
              <w:bottom w:w="100" w:type="dxa"/>
              <w:right w:w="100" w:type="dxa"/>
            </w:tcMar>
          </w:tcPr>
          <w:p w14:paraId="46678AF0" w14:textId="77777777" w:rsidR="005E7B5C" w:rsidRDefault="005E7B5C" w:rsidP="003D51B8">
            <w:pPr>
              <w:pStyle w:val="AnnexTableHeadings"/>
            </w:pPr>
            <w:r>
              <w:t>Statement</w:t>
            </w:r>
          </w:p>
        </w:tc>
        <w:tc>
          <w:tcPr>
            <w:tcW w:w="2551" w:type="dxa"/>
            <w:shd w:val="clear" w:color="auto" w:fill="auto"/>
            <w:tcMar>
              <w:top w:w="100" w:type="dxa"/>
              <w:left w:w="100" w:type="dxa"/>
              <w:bottom w:w="100" w:type="dxa"/>
              <w:right w:w="100" w:type="dxa"/>
            </w:tcMar>
          </w:tcPr>
          <w:p w14:paraId="0D49E3BF" w14:textId="77777777" w:rsidR="005E7B5C" w:rsidRDefault="005E7B5C" w:rsidP="003D51B8">
            <w:pPr>
              <w:pStyle w:val="AnnexTableHeadings"/>
            </w:pPr>
            <w:r>
              <w:t>Where the requirement sits</w:t>
            </w:r>
          </w:p>
        </w:tc>
        <w:tc>
          <w:tcPr>
            <w:tcW w:w="2694" w:type="dxa"/>
            <w:shd w:val="clear" w:color="auto" w:fill="auto"/>
            <w:tcMar>
              <w:top w:w="100" w:type="dxa"/>
              <w:left w:w="100" w:type="dxa"/>
              <w:bottom w:w="100" w:type="dxa"/>
              <w:right w:w="100" w:type="dxa"/>
            </w:tcMar>
          </w:tcPr>
          <w:p w14:paraId="66B2BF98" w14:textId="77777777" w:rsidR="005E7B5C" w:rsidRDefault="005E7B5C" w:rsidP="003D51B8">
            <w:pPr>
              <w:pStyle w:val="AnnexTableHeadings"/>
            </w:pPr>
            <w:r>
              <w:t>To whom it applies</w:t>
            </w:r>
          </w:p>
        </w:tc>
        <w:tc>
          <w:tcPr>
            <w:tcW w:w="3685" w:type="dxa"/>
            <w:shd w:val="clear" w:color="auto" w:fill="auto"/>
            <w:tcMar>
              <w:top w:w="100" w:type="dxa"/>
              <w:left w:w="100" w:type="dxa"/>
              <w:bottom w:w="100" w:type="dxa"/>
              <w:right w:w="100" w:type="dxa"/>
            </w:tcMar>
          </w:tcPr>
          <w:p w14:paraId="726D26AC" w14:textId="77777777" w:rsidR="005E7B5C" w:rsidRDefault="005E7B5C" w:rsidP="003D51B8">
            <w:pPr>
              <w:pStyle w:val="AnnexTableHeadings"/>
            </w:pPr>
            <w:r>
              <w:t>What it requires</w:t>
            </w:r>
          </w:p>
        </w:tc>
      </w:tr>
      <w:tr w:rsidR="005E7B5C" w14:paraId="778F38D9" w14:textId="77777777" w:rsidTr="00152590">
        <w:tc>
          <w:tcPr>
            <w:tcW w:w="1418" w:type="dxa"/>
            <w:tcBorders>
              <w:left w:val="single" w:sz="6" w:space="0" w:color="000000"/>
            </w:tcBorders>
            <w:shd w:val="clear" w:color="auto" w:fill="auto"/>
            <w:tcMar>
              <w:top w:w="100" w:type="dxa"/>
              <w:left w:w="100" w:type="dxa"/>
              <w:bottom w:w="100" w:type="dxa"/>
              <w:right w:w="100" w:type="dxa"/>
            </w:tcMar>
          </w:tcPr>
          <w:p w14:paraId="7EAFE922" w14:textId="77777777" w:rsidR="005E7B5C" w:rsidRDefault="005E7B5C" w:rsidP="003D51B8">
            <w:pPr>
              <w:pStyle w:val="AnnexTableText"/>
            </w:pPr>
            <w:r>
              <w:t>Sifting</w:t>
            </w:r>
          </w:p>
        </w:tc>
        <w:tc>
          <w:tcPr>
            <w:tcW w:w="2551" w:type="dxa"/>
            <w:shd w:val="clear" w:color="auto" w:fill="auto"/>
            <w:tcMar>
              <w:top w:w="100" w:type="dxa"/>
              <w:left w:w="100" w:type="dxa"/>
              <w:bottom w:w="100" w:type="dxa"/>
              <w:right w:w="100" w:type="dxa"/>
            </w:tcMar>
          </w:tcPr>
          <w:p w14:paraId="3D8FC592" w14:textId="77777777" w:rsidR="005E7B5C" w:rsidRDefault="005E7B5C" w:rsidP="003D51B8">
            <w:pPr>
              <w:pStyle w:val="AnnexTableText"/>
            </w:pPr>
            <w:r>
              <w:t xml:space="preserve">Paragraphs 3(3), 3(7) and 17(3) and 17(7) of </w:t>
            </w:r>
            <w:proofErr w:type="gramStart"/>
            <w:r>
              <w:t>Schedule  7</w:t>
            </w:r>
            <w:proofErr w:type="gramEnd"/>
          </w:p>
        </w:tc>
        <w:tc>
          <w:tcPr>
            <w:tcW w:w="2694" w:type="dxa"/>
            <w:shd w:val="clear" w:color="auto" w:fill="auto"/>
            <w:tcMar>
              <w:top w:w="100" w:type="dxa"/>
              <w:left w:w="100" w:type="dxa"/>
              <w:bottom w:w="100" w:type="dxa"/>
              <w:right w:w="100" w:type="dxa"/>
            </w:tcMar>
          </w:tcPr>
          <w:p w14:paraId="4F9B5492" w14:textId="77777777" w:rsidR="005E7B5C" w:rsidRDefault="005E7B5C" w:rsidP="003A62B8">
            <w:pPr>
              <w:pStyle w:val="AnnexTableText"/>
            </w:pPr>
            <w:r>
              <w:t xml:space="preserve">Ministers of the Crown exercising </w:t>
            </w:r>
            <w:r w:rsidR="003A62B8">
              <w:t>sections</w:t>
            </w:r>
            <w:r>
              <w:t xml:space="preserve"> 8(1), 9 and 23(1) to make a Negative SI</w:t>
            </w:r>
          </w:p>
        </w:tc>
        <w:tc>
          <w:tcPr>
            <w:tcW w:w="3685" w:type="dxa"/>
            <w:shd w:val="clear" w:color="auto" w:fill="auto"/>
            <w:tcMar>
              <w:top w:w="100" w:type="dxa"/>
              <w:left w:w="100" w:type="dxa"/>
              <w:bottom w:w="100" w:type="dxa"/>
              <w:right w:w="100" w:type="dxa"/>
            </w:tcMar>
          </w:tcPr>
          <w:p w14:paraId="15083969" w14:textId="77777777" w:rsidR="005E7B5C" w:rsidRDefault="005E7B5C" w:rsidP="003D7744">
            <w:pPr>
              <w:pStyle w:val="AnnexTableText"/>
            </w:pPr>
            <w:r>
              <w:t>Explain why the instrument should be subject to the negative procedure and, if applicable, why they disagree with the recommendation(s) of the SLSC/</w:t>
            </w:r>
            <w:r w:rsidR="003D7744">
              <w:t>Sifting Committees</w:t>
            </w:r>
          </w:p>
        </w:tc>
      </w:tr>
      <w:tr w:rsidR="005E7B5C" w14:paraId="310C757A" w14:textId="77777777" w:rsidTr="00152590">
        <w:tc>
          <w:tcPr>
            <w:tcW w:w="1418" w:type="dxa"/>
            <w:shd w:val="clear" w:color="auto" w:fill="auto"/>
            <w:tcMar>
              <w:top w:w="100" w:type="dxa"/>
              <w:left w:w="100" w:type="dxa"/>
              <w:bottom w:w="100" w:type="dxa"/>
              <w:right w:w="100" w:type="dxa"/>
            </w:tcMar>
          </w:tcPr>
          <w:p w14:paraId="4C84D684" w14:textId="77777777" w:rsidR="005E7B5C" w:rsidRDefault="005E7B5C" w:rsidP="003D51B8">
            <w:pPr>
              <w:pStyle w:val="AnnexTableText"/>
            </w:pPr>
            <w:r>
              <w:t>Appropriate-</w:t>
            </w:r>
          </w:p>
          <w:p w14:paraId="1F265F32" w14:textId="77777777" w:rsidR="005E7B5C" w:rsidRDefault="005E7B5C" w:rsidP="003D51B8">
            <w:pPr>
              <w:pStyle w:val="AnnexTableText"/>
            </w:pPr>
            <w:r>
              <w:t>ness</w:t>
            </w:r>
          </w:p>
        </w:tc>
        <w:tc>
          <w:tcPr>
            <w:tcW w:w="2551" w:type="dxa"/>
            <w:shd w:val="clear" w:color="auto" w:fill="auto"/>
            <w:tcMar>
              <w:top w:w="100" w:type="dxa"/>
              <w:left w:w="100" w:type="dxa"/>
              <w:bottom w:w="100" w:type="dxa"/>
              <w:right w:w="100" w:type="dxa"/>
            </w:tcMar>
          </w:tcPr>
          <w:p w14:paraId="1E1EC174" w14:textId="77777777" w:rsidR="005E7B5C" w:rsidRDefault="005E7B5C" w:rsidP="003D51B8">
            <w:pPr>
              <w:pStyle w:val="AnnexTableText"/>
            </w:pPr>
            <w:r>
              <w:t>Sub-paragraph (2) of paragraph 28, Schedule 7</w:t>
            </w:r>
          </w:p>
        </w:tc>
        <w:tc>
          <w:tcPr>
            <w:tcW w:w="2694" w:type="dxa"/>
            <w:shd w:val="clear" w:color="auto" w:fill="auto"/>
            <w:tcMar>
              <w:top w:w="100" w:type="dxa"/>
              <w:left w:w="100" w:type="dxa"/>
              <w:bottom w:w="100" w:type="dxa"/>
              <w:right w:w="100" w:type="dxa"/>
            </w:tcMar>
          </w:tcPr>
          <w:p w14:paraId="1CF05323" w14:textId="77777777" w:rsidR="005E7B5C" w:rsidRDefault="005E7B5C" w:rsidP="003D51B8">
            <w:pPr>
              <w:pStyle w:val="AnnexTableText"/>
            </w:pPr>
            <w:r>
              <w:t xml:space="preserve">Ministers of the Crown exercising </w:t>
            </w:r>
            <w:r w:rsidR="003A62B8" w:rsidRPr="003A62B8">
              <w:t xml:space="preserve">sections </w:t>
            </w:r>
            <w:r>
              <w:t xml:space="preserve">8(1), </w:t>
            </w:r>
            <w:proofErr w:type="gramStart"/>
            <w:r>
              <w:t>9  and</w:t>
            </w:r>
            <w:proofErr w:type="gramEnd"/>
            <w:r>
              <w:t xml:space="preserve"> 23(1) or jointly exercising powers in Schedule 2</w:t>
            </w:r>
          </w:p>
        </w:tc>
        <w:tc>
          <w:tcPr>
            <w:tcW w:w="3685" w:type="dxa"/>
            <w:shd w:val="clear" w:color="auto" w:fill="auto"/>
            <w:tcMar>
              <w:top w:w="100" w:type="dxa"/>
              <w:left w:w="100" w:type="dxa"/>
              <w:bottom w:w="100" w:type="dxa"/>
              <w:right w:w="100" w:type="dxa"/>
            </w:tcMar>
          </w:tcPr>
          <w:p w14:paraId="4AB230F1" w14:textId="77777777" w:rsidR="005E7B5C" w:rsidRDefault="005E7B5C" w:rsidP="003D51B8">
            <w:pPr>
              <w:pStyle w:val="AnnexTableText"/>
            </w:pPr>
            <w:r>
              <w:t>A statement that the SI does no more than is appropriate.</w:t>
            </w:r>
          </w:p>
        </w:tc>
      </w:tr>
      <w:tr w:rsidR="005E7B5C" w14:paraId="36D63EFF" w14:textId="77777777" w:rsidTr="00152590">
        <w:tc>
          <w:tcPr>
            <w:tcW w:w="1418" w:type="dxa"/>
            <w:shd w:val="clear" w:color="auto" w:fill="auto"/>
            <w:tcMar>
              <w:top w:w="100" w:type="dxa"/>
              <w:left w:w="100" w:type="dxa"/>
              <w:bottom w:w="100" w:type="dxa"/>
              <w:right w:w="100" w:type="dxa"/>
            </w:tcMar>
          </w:tcPr>
          <w:p w14:paraId="4603A0B0" w14:textId="77777777" w:rsidR="005E7B5C" w:rsidRDefault="005E7B5C" w:rsidP="003D51B8">
            <w:pPr>
              <w:pStyle w:val="AnnexTableText"/>
            </w:pPr>
            <w:r>
              <w:t xml:space="preserve">Good Reasons </w:t>
            </w:r>
          </w:p>
        </w:tc>
        <w:tc>
          <w:tcPr>
            <w:tcW w:w="2551" w:type="dxa"/>
            <w:shd w:val="clear" w:color="auto" w:fill="auto"/>
            <w:tcMar>
              <w:top w:w="100" w:type="dxa"/>
              <w:left w:w="100" w:type="dxa"/>
              <w:bottom w:w="100" w:type="dxa"/>
              <w:right w:w="100" w:type="dxa"/>
            </w:tcMar>
          </w:tcPr>
          <w:p w14:paraId="143851D6" w14:textId="77777777" w:rsidR="005E7B5C" w:rsidRDefault="005E7B5C" w:rsidP="003D51B8">
            <w:pPr>
              <w:pStyle w:val="AnnexTableText"/>
            </w:pPr>
            <w:r>
              <w:t>Sub-paragraph (3) of paragraph 28, Schedule 7</w:t>
            </w:r>
          </w:p>
        </w:tc>
        <w:tc>
          <w:tcPr>
            <w:tcW w:w="2694" w:type="dxa"/>
            <w:shd w:val="clear" w:color="auto" w:fill="auto"/>
            <w:tcMar>
              <w:top w:w="100" w:type="dxa"/>
              <w:left w:w="100" w:type="dxa"/>
              <w:bottom w:w="100" w:type="dxa"/>
              <w:right w:w="100" w:type="dxa"/>
            </w:tcMar>
          </w:tcPr>
          <w:p w14:paraId="4FA846AC" w14:textId="77777777" w:rsidR="005E7B5C" w:rsidRDefault="005E7B5C" w:rsidP="003D51B8">
            <w:pPr>
              <w:pStyle w:val="AnnexTableText"/>
            </w:pPr>
            <w:r>
              <w:t xml:space="preserve">Ministers of the Crown exercising </w:t>
            </w:r>
            <w:r w:rsidR="003A62B8" w:rsidRPr="003A62B8">
              <w:t xml:space="preserve">sections </w:t>
            </w:r>
            <w:r>
              <w:t>8(1), 9 and 23(1) or jointly exercising powers in Schedule 2</w:t>
            </w:r>
          </w:p>
        </w:tc>
        <w:tc>
          <w:tcPr>
            <w:tcW w:w="3685" w:type="dxa"/>
            <w:shd w:val="clear" w:color="auto" w:fill="auto"/>
            <w:tcMar>
              <w:top w:w="100" w:type="dxa"/>
              <w:left w:w="100" w:type="dxa"/>
              <w:bottom w:w="100" w:type="dxa"/>
              <w:right w:w="100" w:type="dxa"/>
            </w:tcMar>
          </w:tcPr>
          <w:p w14:paraId="05AC1CB7" w14:textId="77777777" w:rsidR="005E7B5C" w:rsidRDefault="005E7B5C" w:rsidP="003D51B8">
            <w:pPr>
              <w:pStyle w:val="AnnexTableText"/>
            </w:pPr>
            <w:r>
              <w:t>Explain the good reasons for making the instrument and that what is being done is a reasonable course of action.</w:t>
            </w:r>
          </w:p>
        </w:tc>
      </w:tr>
      <w:tr w:rsidR="005E7B5C" w14:paraId="78DD27CE" w14:textId="77777777" w:rsidTr="00152590">
        <w:tc>
          <w:tcPr>
            <w:tcW w:w="1418" w:type="dxa"/>
            <w:shd w:val="clear" w:color="auto" w:fill="auto"/>
            <w:tcMar>
              <w:top w:w="100" w:type="dxa"/>
              <w:left w:w="100" w:type="dxa"/>
              <w:bottom w:w="100" w:type="dxa"/>
              <w:right w:w="100" w:type="dxa"/>
            </w:tcMar>
          </w:tcPr>
          <w:p w14:paraId="543B7E0C" w14:textId="77777777" w:rsidR="005E7B5C" w:rsidRDefault="005E7B5C" w:rsidP="003D51B8">
            <w:pPr>
              <w:pStyle w:val="AnnexTableText"/>
            </w:pPr>
            <w:r>
              <w:t>Equalities</w:t>
            </w:r>
          </w:p>
        </w:tc>
        <w:tc>
          <w:tcPr>
            <w:tcW w:w="2551" w:type="dxa"/>
            <w:shd w:val="clear" w:color="auto" w:fill="auto"/>
            <w:tcMar>
              <w:top w:w="100" w:type="dxa"/>
              <w:left w:w="100" w:type="dxa"/>
              <w:bottom w:w="100" w:type="dxa"/>
              <w:right w:w="100" w:type="dxa"/>
            </w:tcMar>
          </w:tcPr>
          <w:p w14:paraId="095F8228" w14:textId="77777777" w:rsidR="005E7B5C" w:rsidRDefault="005E7B5C" w:rsidP="003D51B8">
            <w:pPr>
              <w:pStyle w:val="AnnexTableText"/>
            </w:pPr>
            <w:r>
              <w:t>Sub-paragraphs (4) and (5) of paragraph 28, Schedule 7</w:t>
            </w:r>
          </w:p>
        </w:tc>
        <w:tc>
          <w:tcPr>
            <w:tcW w:w="2694" w:type="dxa"/>
            <w:shd w:val="clear" w:color="auto" w:fill="auto"/>
            <w:tcMar>
              <w:top w:w="100" w:type="dxa"/>
              <w:left w:w="100" w:type="dxa"/>
              <w:bottom w:w="100" w:type="dxa"/>
              <w:right w:w="100" w:type="dxa"/>
            </w:tcMar>
          </w:tcPr>
          <w:p w14:paraId="3010EC4F" w14:textId="77777777" w:rsidR="005E7B5C" w:rsidRDefault="005E7B5C" w:rsidP="003D51B8">
            <w:pPr>
              <w:pStyle w:val="AnnexTableText"/>
            </w:pPr>
            <w:r>
              <w:t xml:space="preserve">Ministers of the Crown exercising </w:t>
            </w:r>
            <w:r w:rsidR="003A62B8" w:rsidRPr="003A62B8">
              <w:t xml:space="preserve">sections </w:t>
            </w:r>
            <w:r>
              <w:t xml:space="preserve">8(1), </w:t>
            </w:r>
            <w:proofErr w:type="gramStart"/>
            <w:r>
              <w:t>9  and</w:t>
            </w:r>
            <w:proofErr w:type="gramEnd"/>
            <w:r>
              <w:t xml:space="preserve"> 23(1) or jointly exercising powers in Schedule 2</w:t>
            </w:r>
          </w:p>
        </w:tc>
        <w:tc>
          <w:tcPr>
            <w:tcW w:w="3685" w:type="dxa"/>
            <w:shd w:val="clear" w:color="auto" w:fill="auto"/>
            <w:tcMar>
              <w:top w:w="100" w:type="dxa"/>
              <w:left w:w="100" w:type="dxa"/>
              <w:bottom w:w="100" w:type="dxa"/>
              <w:right w:w="100" w:type="dxa"/>
            </w:tcMar>
          </w:tcPr>
          <w:p w14:paraId="144659E2" w14:textId="77777777" w:rsidR="005E7B5C" w:rsidRDefault="005E7B5C" w:rsidP="003D51B8">
            <w:pPr>
              <w:pStyle w:val="AnnexTableText"/>
            </w:pPr>
            <w:r>
              <w:t xml:space="preserve">Explain what, if any, amendment, repeals or revocations are being made to the Equalities Acts 2006 and 2010 and legislation made under them. </w:t>
            </w:r>
          </w:p>
          <w:p w14:paraId="69F2FC01" w14:textId="77777777" w:rsidR="005E7B5C" w:rsidRDefault="005E7B5C" w:rsidP="003D51B8">
            <w:pPr>
              <w:pStyle w:val="AnnexTableText"/>
            </w:pPr>
          </w:p>
          <w:p w14:paraId="29BAA874" w14:textId="77777777" w:rsidR="005E7B5C" w:rsidRDefault="005E7B5C" w:rsidP="003D51B8">
            <w:pPr>
              <w:pStyle w:val="AnnexTableText"/>
            </w:pPr>
            <w:r>
              <w:t>State that the Minister has had due regard to the need to eliminate discrimination and other conduct prohibited under the Equality Act 2010.</w:t>
            </w:r>
          </w:p>
        </w:tc>
      </w:tr>
      <w:tr w:rsidR="005E7B5C" w14:paraId="5CD9106B" w14:textId="77777777" w:rsidTr="00152590">
        <w:tc>
          <w:tcPr>
            <w:tcW w:w="1418" w:type="dxa"/>
            <w:shd w:val="clear" w:color="auto" w:fill="auto"/>
            <w:tcMar>
              <w:top w:w="100" w:type="dxa"/>
              <w:left w:w="100" w:type="dxa"/>
              <w:bottom w:w="100" w:type="dxa"/>
              <w:right w:w="100" w:type="dxa"/>
            </w:tcMar>
          </w:tcPr>
          <w:p w14:paraId="574CF67B" w14:textId="77777777" w:rsidR="005E7B5C" w:rsidRDefault="005E7B5C" w:rsidP="003D51B8">
            <w:pPr>
              <w:pStyle w:val="AnnexTableText"/>
            </w:pPr>
            <w:r>
              <w:t>Explanations</w:t>
            </w:r>
          </w:p>
        </w:tc>
        <w:tc>
          <w:tcPr>
            <w:tcW w:w="2551" w:type="dxa"/>
            <w:shd w:val="clear" w:color="auto" w:fill="auto"/>
            <w:tcMar>
              <w:top w:w="100" w:type="dxa"/>
              <w:left w:w="100" w:type="dxa"/>
              <w:bottom w:w="100" w:type="dxa"/>
              <w:right w:w="100" w:type="dxa"/>
            </w:tcMar>
          </w:tcPr>
          <w:p w14:paraId="3E98B535" w14:textId="77777777" w:rsidR="005E7B5C" w:rsidRDefault="005E7B5C" w:rsidP="003D51B8">
            <w:pPr>
              <w:pStyle w:val="AnnexTableText"/>
            </w:pPr>
            <w:r>
              <w:t>Sub-paragraph</w:t>
            </w:r>
            <w:r w:rsidR="00621F47">
              <w:t xml:space="preserve"> (6) of paragraph 28, Schedule </w:t>
            </w:r>
            <w:r>
              <w:t>7</w:t>
            </w:r>
          </w:p>
        </w:tc>
        <w:tc>
          <w:tcPr>
            <w:tcW w:w="2694" w:type="dxa"/>
            <w:shd w:val="clear" w:color="auto" w:fill="auto"/>
            <w:tcMar>
              <w:top w:w="100" w:type="dxa"/>
              <w:left w:w="100" w:type="dxa"/>
              <w:bottom w:w="100" w:type="dxa"/>
              <w:right w:w="100" w:type="dxa"/>
            </w:tcMar>
          </w:tcPr>
          <w:p w14:paraId="036C9B02" w14:textId="77777777" w:rsidR="005E7B5C" w:rsidRDefault="005E7B5C" w:rsidP="003D51B8">
            <w:pPr>
              <w:pStyle w:val="AnnexTableText"/>
            </w:pPr>
            <w:r>
              <w:t xml:space="preserve">Ministers of the Crown exercising </w:t>
            </w:r>
            <w:r w:rsidR="003A62B8" w:rsidRPr="003A62B8">
              <w:t xml:space="preserve">sections </w:t>
            </w:r>
            <w:r>
              <w:t>8(1), 9 and 23(1) or jointly exercising powers in Schedule 2</w:t>
            </w:r>
          </w:p>
          <w:p w14:paraId="78834CA7" w14:textId="77777777" w:rsidR="00073874" w:rsidRDefault="00073874" w:rsidP="003D51B8">
            <w:pPr>
              <w:pStyle w:val="AnnexTableText"/>
            </w:pPr>
            <w:r>
              <w:t>In addition to the statutory obligation the Government has made a political commitment to include these statements alongside all EUWA SIs</w:t>
            </w:r>
          </w:p>
        </w:tc>
        <w:tc>
          <w:tcPr>
            <w:tcW w:w="3685" w:type="dxa"/>
            <w:shd w:val="clear" w:color="auto" w:fill="auto"/>
            <w:tcMar>
              <w:top w:w="100" w:type="dxa"/>
              <w:left w:w="100" w:type="dxa"/>
              <w:bottom w:w="100" w:type="dxa"/>
              <w:right w:w="100" w:type="dxa"/>
            </w:tcMar>
          </w:tcPr>
          <w:p w14:paraId="602093F5" w14:textId="77777777" w:rsidR="005E7B5C" w:rsidRDefault="005E7B5C" w:rsidP="003D51B8">
            <w:pPr>
              <w:pStyle w:val="AnnexTableText"/>
            </w:pPr>
            <w:r>
              <w:t xml:space="preserve">Explain the instrument, identify the relevant law before exit day, explain the instrument’s effect on retained EU </w:t>
            </w:r>
            <w:r w:rsidR="005B2719">
              <w:t xml:space="preserve">law and give information about </w:t>
            </w:r>
            <w:r>
              <w:t xml:space="preserve">the purpose of the instrument, </w:t>
            </w:r>
            <w:r w:rsidR="00FC0AA9">
              <w:t>e.g.</w:t>
            </w:r>
            <w:r>
              <w:t>, whether minor or technical changes only are intended to the EU retained law.</w:t>
            </w:r>
          </w:p>
        </w:tc>
      </w:tr>
      <w:tr w:rsidR="005E7B5C" w14:paraId="3811C149" w14:textId="77777777" w:rsidTr="00152590">
        <w:tc>
          <w:tcPr>
            <w:tcW w:w="1418" w:type="dxa"/>
            <w:shd w:val="clear" w:color="auto" w:fill="auto"/>
            <w:tcMar>
              <w:top w:w="100" w:type="dxa"/>
              <w:left w:w="100" w:type="dxa"/>
              <w:bottom w:w="100" w:type="dxa"/>
              <w:right w:w="100" w:type="dxa"/>
            </w:tcMar>
          </w:tcPr>
          <w:p w14:paraId="0E57C0BA" w14:textId="77777777" w:rsidR="005E7B5C" w:rsidRDefault="005E7B5C" w:rsidP="003D51B8">
            <w:pPr>
              <w:pStyle w:val="AnnexTableText"/>
            </w:pPr>
            <w:r>
              <w:t>Criminal offences</w:t>
            </w:r>
          </w:p>
        </w:tc>
        <w:tc>
          <w:tcPr>
            <w:tcW w:w="2551" w:type="dxa"/>
            <w:shd w:val="clear" w:color="auto" w:fill="auto"/>
            <w:tcMar>
              <w:top w:w="100" w:type="dxa"/>
              <w:left w:w="100" w:type="dxa"/>
              <w:bottom w:w="100" w:type="dxa"/>
              <w:right w:w="100" w:type="dxa"/>
            </w:tcMar>
          </w:tcPr>
          <w:p w14:paraId="5789499B" w14:textId="77777777" w:rsidR="005E7B5C" w:rsidRDefault="005E7B5C" w:rsidP="003D51B8">
            <w:pPr>
              <w:pStyle w:val="AnnexTableText"/>
            </w:pPr>
            <w:r>
              <w:t>Sub-paragraphs (3) and (7) of paragraph 28, Schedule 7</w:t>
            </w:r>
          </w:p>
        </w:tc>
        <w:tc>
          <w:tcPr>
            <w:tcW w:w="2694" w:type="dxa"/>
            <w:shd w:val="clear" w:color="auto" w:fill="auto"/>
            <w:tcMar>
              <w:top w:w="100" w:type="dxa"/>
              <w:left w:w="100" w:type="dxa"/>
              <w:bottom w:w="100" w:type="dxa"/>
              <w:right w:w="100" w:type="dxa"/>
            </w:tcMar>
          </w:tcPr>
          <w:p w14:paraId="48D99553" w14:textId="77777777" w:rsidR="005E7B5C" w:rsidRDefault="005E7B5C" w:rsidP="003D51B8">
            <w:pPr>
              <w:pStyle w:val="AnnexTableText"/>
            </w:pPr>
            <w:r>
              <w:t xml:space="preserve">Ministers of the Crown exercising </w:t>
            </w:r>
            <w:r w:rsidR="003A62B8" w:rsidRPr="003A62B8">
              <w:t xml:space="preserve">sections </w:t>
            </w:r>
            <w:r>
              <w:t xml:space="preserve">8(1), 9, and </w:t>
            </w:r>
            <w:r>
              <w:lastRenderedPageBreak/>
              <w:t>23(1) or jointly exercising powers in Schedule 2 to create a criminal offence</w:t>
            </w:r>
          </w:p>
        </w:tc>
        <w:tc>
          <w:tcPr>
            <w:tcW w:w="3685" w:type="dxa"/>
            <w:shd w:val="clear" w:color="auto" w:fill="auto"/>
            <w:tcMar>
              <w:top w:w="100" w:type="dxa"/>
              <w:left w:w="100" w:type="dxa"/>
              <w:bottom w:w="100" w:type="dxa"/>
              <w:right w:w="100" w:type="dxa"/>
            </w:tcMar>
          </w:tcPr>
          <w:p w14:paraId="5E427F12" w14:textId="77777777" w:rsidR="005E7B5C" w:rsidRDefault="005E7B5C" w:rsidP="003D51B8">
            <w:pPr>
              <w:pStyle w:val="AnnexTableText"/>
            </w:pPr>
            <w:r>
              <w:lastRenderedPageBreak/>
              <w:t xml:space="preserve">Set </w:t>
            </w:r>
            <w:r w:rsidR="00BE61FA">
              <w:t>out the</w:t>
            </w:r>
            <w:r>
              <w:t xml:space="preserve"> ‘good reasons’ for creating a criminal offence, and the penalty attached.</w:t>
            </w:r>
          </w:p>
        </w:tc>
      </w:tr>
      <w:tr w:rsidR="005E7B5C" w14:paraId="55D61D60" w14:textId="77777777" w:rsidTr="00152590">
        <w:tc>
          <w:tcPr>
            <w:tcW w:w="1418" w:type="dxa"/>
            <w:shd w:val="clear" w:color="auto" w:fill="auto"/>
            <w:tcMar>
              <w:top w:w="100" w:type="dxa"/>
              <w:left w:w="100" w:type="dxa"/>
              <w:bottom w:w="100" w:type="dxa"/>
              <w:right w:w="100" w:type="dxa"/>
            </w:tcMar>
          </w:tcPr>
          <w:p w14:paraId="1C30EF01" w14:textId="77777777" w:rsidR="005E7B5C" w:rsidRDefault="005E7B5C" w:rsidP="003D51B8">
            <w:pPr>
              <w:pStyle w:val="AnnexTableText"/>
            </w:pPr>
            <w:r>
              <w:t>Sub-</w:t>
            </w:r>
          </w:p>
          <w:p w14:paraId="1C4DB8E8" w14:textId="77777777" w:rsidR="005E7B5C" w:rsidRDefault="005E7B5C" w:rsidP="003D51B8">
            <w:pPr>
              <w:pStyle w:val="AnnexTableText"/>
            </w:pPr>
            <w:r>
              <w:t>delegation</w:t>
            </w:r>
          </w:p>
        </w:tc>
        <w:tc>
          <w:tcPr>
            <w:tcW w:w="2551" w:type="dxa"/>
            <w:shd w:val="clear" w:color="auto" w:fill="auto"/>
            <w:tcMar>
              <w:top w:w="100" w:type="dxa"/>
              <w:left w:w="100" w:type="dxa"/>
              <w:bottom w:w="100" w:type="dxa"/>
              <w:right w:w="100" w:type="dxa"/>
            </w:tcMar>
          </w:tcPr>
          <w:p w14:paraId="6CBB50F4" w14:textId="77777777" w:rsidR="005E7B5C" w:rsidRDefault="005E7B5C" w:rsidP="003D51B8">
            <w:pPr>
              <w:pStyle w:val="AnnexTableText"/>
            </w:pPr>
            <w:r>
              <w:t>Paragraph 30, Schedule 7</w:t>
            </w:r>
          </w:p>
        </w:tc>
        <w:tc>
          <w:tcPr>
            <w:tcW w:w="2694" w:type="dxa"/>
            <w:shd w:val="clear" w:color="auto" w:fill="auto"/>
            <w:tcMar>
              <w:top w:w="100" w:type="dxa"/>
              <w:left w:w="100" w:type="dxa"/>
              <w:bottom w:w="100" w:type="dxa"/>
              <w:right w:w="100" w:type="dxa"/>
            </w:tcMar>
          </w:tcPr>
          <w:p w14:paraId="691D9514" w14:textId="77777777" w:rsidR="005E7B5C" w:rsidRDefault="005E7B5C" w:rsidP="003D51B8">
            <w:pPr>
              <w:pStyle w:val="AnnexTableText"/>
            </w:pPr>
            <w:r>
              <w:t xml:space="preserve">Ministers of the Crown exercising </w:t>
            </w:r>
            <w:r w:rsidR="003A62B8" w:rsidRPr="003A62B8">
              <w:t xml:space="preserve">sections </w:t>
            </w:r>
            <w:r>
              <w:t>10(1), 12 and part 1 of Schedule 4 to create a legislative power exercisable not by a Minister of the Crown or a Devolved Authority by Statutory Instrument.</w:t>
            </w:r>
          </w:p>
        </w:tc>
        <w:tc>
          <w:tcPr>
            <w:tcW w:w="3685" w:type="dxa"/>
            <w:shd w:val="clear" w:color="auto" w:fill="auto"/>
            <w:tcMar>
              <w:top w:w="100" w:type="dxa"/>
              <w:left w:w="100" w:type="dxa"/>
              <w:bottom w:w="100" w:type="dxa"/>
              <w:right w:w="100" w:type="dxa"/>
            </w:tcMar>
          </w:tcPr>
          <w:p w14:paraId="2EED0499" w14:textId="77777777" w:rsidR="005E7B5C" w:rsidRDefault="005E7B5C" w:rsidP="00DB0CAB">
            <w:pPr>
              <w:pStyle w:val="AnnexTableText"/>
            </w:pPr>
            <w:r>
              <w:t>State why it is appropriate to create such a sub-delegated power.</w:t>
            </w:r>
          </w:p>
        </w:tc>
      </w:tr>
      <w:tr w:rsidR="005E7B5C" w14:paraId="0F8D7A82" w14:textId="77777777" w:rsidTr="00152590">
        <w:tc>
          <w:tcPr>
            <w:tcW w:w="1418" w:type="dxa"/>
            <w:shd w:val="clear" w:color="auto" w:fill="auto"/>
            <w:tcMar>
              <w:top w:w="100" w:type="dxa"/>
              <w:left w:w="100" w:type="dxa"/>
              <w:bottom w:w="100" w:type="dxa"/>
              <w:right w:w="100" w:type="dxa"/>
            </w:tcMar>
          </w:tcPr>
          <w:p w14:paraId="1231C3C5" w14:textId="77777777" w:rsidR="005E7B5C" w:rsidRDefault="005E7B5C" w:rsidP="003D51B8">
            <w:pPr>
              <w:pStyle w:val="AnnexTableText"/>
            </w:pPr>
            <w:r>
              <w:t>Urgency</w:t>
            </w:r>
          </w:p>
        </w:tc>
        <w:tc>
          <w:tcPr>
            <w:tcW w:w="2551" w:type="dxa"/>
            <w:shd w:val="clear" w:color="auto" w:fill="auto"/>
            <w:tcMar>
              <w:top w:w="100" w:type="dxa"/>
              <w:left w:w="100" w:type="dxa"/>
              <w:bottom w:w="100" w:type="dxa"/>
              <w:right w:w="100" w:type="dxa"/>
            </w:tcMar>
          </w:tcPr>
          <w:p w14:paraId="1A301284" w14:textId="77777777" w:rsidR="005E7B5C" w:rsidRDefault="005E7B5C" w:rsidP="003D51B8">
            <w:pPr>
              <w:pStyle w:val="AnnexTableText"/>
            </w:pPr>
            <w:r>
              <w:t>Paragraph 34, Schedule 7</w:t>
            </w:r>
          </w:p>
        </w:tc>
        <w:tc>
          <w:tcPr>
            <w:tcW w:w="2694" w:type="dxa"/>
            <w:shd w:val="clear" w:color="auto" w:fill="auto"/>
            <w:tcMar>
              <w:top w:w="100" w:type="dxa"/>
              <w:left w:w="100" w:type="dxa"/>
              <w:bottom w:w="100" w:type="dxa"/>
              <w:right w:w="100" w:type="dxa"/>
            </w:tcMar>
          </w:tcPr>
          <w:p w14:paraId="41432367" w14:textId="77777777" w:rsidR="005E7B5C" w:rsidRDefault="005E7B5C" w:rsidP="003D51B8">
            <w:pPr>
              <w:pStyle w:val="AnnexTableText"/>
            </w:pPr>
            <w:r>
              <w:t>Ministers of the Crown using the urgent procedure in para</w:t>
            </w:r>
            <w:r w:rsidR="008676E5">
              <w:t>graphs</w:t>
            </w:r>
            <w:r>
              <w:t xml:space="preserve"> 4 or 14</w:t>
            </w:r>
            <w:r w:rsidR="005B2719">
              <w:t>,</w:t>
            </w:r>
            <w:r>
              <w:t xml:space="preserve"> Sch</w:t>
            </w:r>
            <w:r w:rsidR="000A7F37">
              <w:t>edule</w:t>
            </w:r>
            <w:r>
              <w:t xml:space="preserve"> 7.</w:t>
            </w:r>
          </w:p>
        </w:tc>
        <w:tc>
          <w:tcPr>
            <w:tcW w:w="3685" w:type="dxa"/>
            <w:shd w:val="clear" w:color="auto" w:fill="auto"/>
            <w:tcMar>
              <w:top w:w="100" w:type="dxa"/>
              <w:left w:w="100" w:type="dxa"/>
              <w:bottom w:w="100" w:type="dxa"/>
              <w:right w:w="100" w:type="dxa"/>
            </w:tcMar>
          </w:tcPr>
          <w:p w14:paraId="47B1EAE7" w14:textId="77777777" w:rsidR="005E7B5C" w:rsidRDefault="005E7B5C" w:rsidP="003D51B8">
            <w:pPr>
              <w:pStyle w:val="AnnexTableText"/>
            </w:pPr>
            <w:r>
              <w:t>Statement of the reasons for the Minister’s opinion that the SI is urgent.</w:t>
            </w:r>
          </w:p>
        </w:tc>
      </w:tr>
      <w:tr w:rsidR="005E7B5C" w14:paraId="00A0826B" w14:textId="77777777" w:rsidTr="00152590">
        <w:tc>
          <w:tcPr>
            <w:tcW w:w="1418" w:type="dxa"/>
            <w:shd w:val="clear" w:color="auto" w:fill="auto"/>
            <w:tcMar>
              <w:top w:w="100" w:type="dxa"/>
              <w:left w:w="100" w:type="dxa"/>
              <w:bottom w:w="100" w:type="dxa"/>
              <w:right w:w="100" w:type="dxa"/>
            </w:tcMar>
          </w:tcPr>
          <w:p w14:paraId="41A197DB" w14:textId="77777777" w:rsidR="005E7B5C" w:rsidRDefault="005E7B5C" w:rsidP="003D51B8">
            <w:pPr>
              <w:pStyle w:val="AnnexTableText"/>
            </w:pPr>
            <w:r>
              <w:t>Explanations wh</w:t>
            </w:r>
            <w:r w:rsidR="005B2719">
              <w:t xml:space="preserve">ere amending regulations under </w:t>
            </w:r>
            <w:r>
              <w:t>2(2) ECA 1972</w:t>
            </w:r>
          </w:p>
        </w:tc>
        <w:tc>
          <w:tcPr>
            <w:tcW w:w="2551" w:type="dxa"/>
            <w:shd w:val="clear" w:color="auto" w:fill="auto"/>
            <w:tcMar>
              <w:top w:w="100" w:type="dxa"/>
              <w:left w:w="100" w:type="dxa"/>
              <w:bottom w:w="100" w:type="dxa"/>
              <w:right w:w="100" w:type="dxa"/>
            </w:tcMar>
          </w:tcPr>
          <w:p w14:paraId="6F4B8319" w14:textId="77777777" w:rsidR="005E7B5C" w:rsidRDefault="005E7B5C" w:rsidP="003D51B8">
            <w:pPr>
              <w:pStyle w:val="AnnexTableText"/>
            </w:pPr>
            <w:r>
              <w:t>Paragraph 13, Schedule 8</w:t>
            </w:r>
          </w:p>
        </w:tc>
        <w:tc>
          <w:tcPr>
            <w:tcW w:w="2694" w:type="dxa"/>
            <w:shd w:val="clear" w:color="auto" w:fill="auto"/>
            <w:tcMar>
              <w:top w:w="100" w:type="dxa"/>
              <w:left w:w="100" w:type="dxa"/>
              <w:bottom w:w="100" w:type="dxa"/>
              <w:right w:w="100" w:type="dxa"/>
            </w:tcMar>
          </w:tcPr>
          <w:p w14:paraId="3EF14E6B" w14:textId="77777777" w:rsidR="005E7B5C" w:rsidRDefault="005E7B5C" w:rsidP="003D51B8">
            <w:pPr>
              <w:pStyle w:val="AnnexTableText"/>
            </w:pPr>
            <w:r>
              <w:t>Anybody making an SI after exit day under powers outside the European Union (Withdrawal) Act 2018 which modifies subor</w:t>
            </w:r>
            <w:r w:rsidR="000A7F37">
              <w:t>dinate legislation made under s</w:t>
            </w:r>
            <w:r w:rsidR="00BE61FA">
              <w:t>.</w:t>
            </w:r>
            <w:r w:rsidR="000A7F37">
              <w:t xml:space="preserve"> </w:t>
            </w:r>
            <w:r>
              <w:t>2(2) ECA</w:t>
            </w:r>
          </w:p>
        </w:tc>
        <w:tc>
          <w:tcPr>
            <w:tcW w:w="3685" w:type="dxa"/>
            <w:shd w:val="clear" w:color="auto" w:fill="auto"/>
            <w:tcMar>
              <w:top w:w="100" w:type="dxa"/>
              <w:left w:w="100" w:type="dxa"/>
              <w:bottom w:w="100" w:type="dxa"/>
              <w:right w:w="100" w:type="dxa"/>
            </w:tcMar>
          </w:tcPr>
          <w:p w14:paraId="4A5A2DEC" w14:textId="77777777" w:rsidR="005E7B5C" w:rsidRDefault="005E7B5C" w:rsidP="003D51B8">
            <w:pPr>
              <w:pStyle w:val="AnnexTableText"/>
            </w:pPr>
            <w:r>
              <w:t>Statement explaining the good reasons for modifying the instrument made under s.</w:t>
            </w:r>
            <w:r w:rsidR="00BE61FA">
              <w:t xml:space="preserve"> </w:t>
            </w:r>
            <w:r>
              <w:t>2(2) ECA, identifying the relevant law before exit day, and explaining the instrument’s effect on retained EU law.</w:t>
            </w:r>
          </w:p>
        </w:tc>
      </w:tr>
      <w:tr w:rsidR="005E7B5C" w14:paraId="2E0E26F4" w14:textId="77777777" w:rsidTr="00152590">
        <w:tc>
          <w:tcPr>
            <w:tcW w:w="1418" w:type="dxa"/>
            <w:shd w:val="clear" w:color="auto" w:fill="auto"/>
            <w:tcMar>
              <w:top w:w="100" w:type="dxa"/>
              <w:left w:w="100" w:type="dxa"/>
              <w:bottom w:w="100" w:type="dxa"/>
              <w:right w:w="100" w:type="dxa"/>
            </w:tcMar>
          </w:tcPr>
          <w:p w14:paraId="28B7E185" w14:textId="77777777" w:rsidR="005E7B5C" w:rsidRDefault="005E7B5C" w:rsidP="003D51B8">
            <w:pPr>
              <w:pStyle w:val="AnnexTableText"/>
            </w:pPr>
            <w:r>
              <w:t>Scrutiny statement where amending regulations u</w:t>
            </w:r>
            <w:r w:rsidR="005B2719">
              <w:t xml:space="preserve">nder </w:t>
            </w:r>
            <w:r>
              <w:t>2(2) ECA 1972</w:t>
            </w:r>
          </w:p>
        </w:tc>
        <w:tc>
          <w:tcPr>
            <w:tcW w:w="2551" w:type="dxa"/>
            <w:shd w:val="clear" w:color="auto" w:fill="auto"/>
            <w:tcMar>
              <w:top w:w="100" w:type="dxa"/>
              <w:left w:w="100" w:type="dxa"/>
              <w:bottom w:w="100" w:type="dxa"/>
              <w:right w:w="100" w:type="dxa"/>
            </w:tcMar>
          </w:tcPr>
          <w:p w14:paraId="315369F5" w14:textId="77777777" w:rsidR="005E7B5C" w:rsidRDefault="005E7B5C" w:rsidP="003D51B8">
            <w:pPr>
              <w:pStyle w:val="AnnexTableText"/>
            </w:pPr>
            <w:r>
              <w:t>Paragraph 16, Schedule 8</w:t>
            </w:r>
          </w:p>
        </w:tc>
        <w:tc>
          <w:tcPr>
            <w:tcW w:w="2694" w:type="dxa"/>
            <w:shd w:val="clear" w:color="auto" w:fill="auto"/>
            <w:tcMar>
              <w:top w:w="100" w:type="dxa"/>
              <w:left w:w="100" w:type="dxa"/>
              <w:bottom w:w="100" w:type="dxa"/>
              <w:right w:w="100" w:type="dxa"/>
            </w:tcMar>
          </w:tcPr>
          <w:p w14:paraId="6814BBA6" w14:textId="77777777" w:rsidR="005E7B5C" w:rsidRDefault="005E7B5C" w:rsidP="003D51B8">
            <w:pPr>
              <w:pStyle w:val="AnnexTableText"/>
            </w:pPr>
            <w:r>
              <w:t>Anybody making an SI after exit day under powers outside the European Union (Withdrawal) Act 2018 which modifies subordinate legislation made under s.</w:t>
            </w:r>
            <w:r w:rsidR="003A5FFB">
              <w:t xml:space="preserve"> </w:t>
            </w:r>
            <w:r>
              <w:t>2(2) ECA</w:t>
            </w:r>
          </w:p>
        </w:tc>
        <w:tc>
          <w:tcPr>
            <w:tcW w:w="3685" w:type="dxa"/>
            <w:shd w:val="clear" w:color="auto" w:fill="auto"/>
            <w:tcMar>
              <w:top w:w="100" w:type="dxa"/>
              <w:left w:w="100" w:type="dxa"/>
              <w:bottom w:w="100" w:type="dxa"/>
              <w:right w:w="100" w:type="dxa"/>
            </w:tcMar>
          </w:tcPr>
          <w:p w14:paraId="7E6FB71D" w14:textId="77777777" w:rsidR="005E7B5C" w:rsidRDefault="005E7B5C" w:rsidP="003D51B8">
            <w:pPr>
              <w:pStyle w:val="AnnexTableText"/>
            </w:pPr>
            <w:r>
              <w:t>Statement setting out:</w:t>
            </w:r>
          </w:p>
          <w:p w14:paraId="1ED0D9F5" w14:textId="77777777" w:rsidR="005E7B5C" w:rsidRDefault="005E7B5C" w:rsidP="003D51B8">
            <w:pPr>
              <w:pStyle w:val="AnnexTableText"/>
            </w:pPr>
            <w:r>
              <w:t xml:space="preserve">a) the steps which the relevant authority has taken to make the draft instrument published in accordance with paragraph 16(2), Schedule 8 available to each House of Parliament, </w:t>
            </w:r>
          </w:p>
          <w:p w14:paraId="4D4660BF" w14:textId="77777777" w:rsidR="005E7B5C" w:rsidRDefault="005E7B5C" w:rsidP="003D51B8">
            <w:pPr>
              <w:pStyle w:val="AnnexTableText"/>
            </w:pPr>
            <w:r>
              <w:t xml:space="preserve">b) containing information about the relevant authority’s response to— </w:t>
            </w:r>
          </w:p>
          <w:p w14:paraId="1FFA69F0" w14:textId="77777777" w:rsidR="005E7B5C" w:rsidRDefault="005E7B5C" w:rsidP="003D51B8">
            <w:pPr>
              <w:pStyle w:val="AnnexTableText"/>
            </w:pPr>
            <w:r>
              <w:t xml:space="preserve">(i) any recommendations made by a committee of either House of Parliament about the published draft instrument, and </w:t>
            </w:r>
          </w:p>
          <w:p w14:paraId="64BEDAE7" w14:textId="77777777" w:rsidR="005E7B5C" w:rsidRDefault="005E7B5C" w:rsidP="003D51B8">
            <w:pPr>
              <w:pStyle w:val="AnnexTableText"/>
            </w:pPr>
            <w:r>
              <w:t>(ii) any other representations made to the relevant authority about the published draft instrument, and,</w:t>
            </w:r>
          </w:p>
          <w:p w14:paraId="08E0AB09" w14:textId="77777777" w:rsidR="005E7B5C" w:rsidRDefault="005E7B5C" w:rsidP="003D51B8">
            <w:pPr>
              <w:pStyle w:val="AnnexTableText"/>
            </w:pPr>
            <w:r>
              <w:t>c) containing any other information that the relevant authority considers appropriate in relation to the scrutiny of the instrument or draft instrument which is to be laid.</w:t>
            </w:r>
          </w:p>
        </w:tc>
      </w:tr>
    </w:tbl>
    <w:p w14:paraId="6FF91855" w14:textId="77777777" w:rsidR="005E7B5C" w:rsidRDefault="003D51B8" w:rsidP="003D51B8">
      <w:pPr>
        <w:pStyle w:val="AnnexPartHeading"/>
      </w:pPr>
      <w:r>
        <w:br w:type="page"/>
      </w:r>
      <w:r w:rsidR="005E7B5C">
        <w:lastRenderedPageBreak/>
        <w:t>Part 2</w:t>
      </w:r>
    </w:p>
    <w:p w14:paraId="42276FD6" w14:textId="77777777" w:rsidR="005E7B5C" w:rsidRDefault="005E7B5C" w:rsidP="003D51B8">
      <w:pPr>
        <w:pStyle w:val="AnnexPartTitle"/>
      </w:pPr>
      <w:r>
        <w:t>Statements required when using enabling powers</w:t>
      </w:r>
    </w:p>
    <w:p w14:paraId="7DFA416D" w14:textId="77777777" w:rsidR="005E7B5C" w:rsidRDefault="005E7B5C" w:rsidP="003D51B8">
      <w:pPr>
        <w:pStyle w:val="AnnexPartTitle"/>
      </w:pPr>
      <w:r>
        <w:t xml:space="preserve"> under the European Union (Withdrawal) 2018 Act</w:t>
      </w:r>
    </w:p>
    <w:p w14:paraId="7413FD4B" w14:textId="5E17DE8F" w:rsidR="00C76234" w:rsidRPr="00C46E8B" w:rsidRDefault="65D5CF92" w:rsidP="00C7120D">
      <w:pPr>
        <w:pStyle w:val="EMSectionTitle"/>
        <w:numPr>
          <w:ilvl w:val="0"/>
          <w:numId w:val="0"/>
        </w:numPr>
        <w:jc w:val="both"/>
      </w:pPr>
      <w:r>
        <w:t>These Statements have been made for the Explanatory Memorandum to the Bilateral Investment Agreements (Transitional Arrangements and Framework for Managing Financial Responsibility) (Revocation) (EU Exit) Regulations 2019</w:t>
      </w:r>
    </w:p>
    <w:p w14:paraId="04ACE6E4" w14:textId="4438E406" w:rsidR="005E7B5C" w:rsidRPr="00296B50" w:rsidRDefault="005E7B5C" w:rsidP="00B64D20">
      <w:pPr>
        <w:pStyle w:val="EMSectionTitle"/>
        <w:numPr>
          <w:ilvl w:val="0"/>
          <w:numId w:val="0"/>
        </w:numPr>
      </w:pPr>
      <w:r w:rsidRPr="00296B50">
        <w:t>Sifting statement</w:t>
      </w:r>
    </w:p>
    <w:p w14:paraId="782268B4" w14:textId="7A68112A" w:rsidR="005E7B5C" w:rsidRPr="00EB15D8" w:rsidRDefault="005E7B5C" w:rsidP="00E20247">
      <w:pPr>
        <w:pStyle w:val="EMLevel1Paragraph"/>
        <w:numPr>
          <w:ilvl w:val="0"/>
          <w:numId w:val="0"/>
        </w:numPr>
        <w:jc w:val="both"/>
      </w:pPr>
      <w:r w:rsidRPr="00EB15D8">
        <w:t xml:space="preserve">The </w:t>
      </w:r>
      <w:r w:rsidR="00F81B8C">
        <w:t>Minister of State for Trade Policy, George Hollingbery,</w:t>
      </w:r>
      <w:r w:rsidRPr="00EB15D8">
        <w:t xml:space="preserve"> has made the following statement regarding use of legislative powers in the European Union (Withdrawal) Act 2018:</w:t>
      </w:r>
    </w:p>
    <w:p w14:paraId="5B17C437" w14:textId="11CB4E81" w:rsidR="00621F47" w:rsidRDefault="65D5CF92" w:rsidP="00E20247">
      <w:pPr>
        <w:pStyle w:val="EMParagraphContinuationUnnumbered"/>
        <w:ind w:left="0"/>
        <w:jc w:val="both"/>
      </w:pPr>
      <w:r>
        <w:t xml:space="preserve">“In my view the Bilateral Investment Agreements (Transitional Arrangements and Framework for Managing Financial Responsibility) (Revocation) (EU Exit) Regulations 2019 should be subject to annulment in pursuance of a resolution of either House of Parliament (i.e. the negative procedure). </w:t>
      </w:r>
    </w:p>
    <w:p w14:paraId="6A482C57" w14:textId="40969D5D" w:rsidR="00F465F9" w:rsidRPr="007B58D2" w:rsidRDefault="005E7B5C" w:rsidP="00E20247">
      <w:pPr>
        <w:pStyle w:val="EMLevel1Paragraph"/>
        <w:numPr>
          <w:ilvl w:val="0"/>
          <w:numId w:val="0"/>
        </w:numPr>
        <w:jc w:val="both"/>
      </w:pPr>
      <w:r w:rsidRPr="007B58D2">
        <w:t>This is the case because</w:t>
      </w:r>
      <w:r w:rsidR="0058472A" w:rsidRPr="007B58D2">
        <w:t xml:space="preserve"> </w:t>
      </w:r>
      <w:r w:rsidR="007F3C4A" w:rsidRPr="007B58D2">
        <w:t>the two EU Regulations which this instrument revoke</w:t>
      </w:r>
      <w:r w:rsidR="00174BBF">
        <w:t>s</w:t>
      </w:r>
      <w:r w:rsidR="007F3C4A" w:rsidRPr="007B58D2">
        <w:t xml:space="preserve"> </w:t>
      </w:r>
      <w:r w:rsidR="007B58D2">
        <w:t>deal with</w:t>
      </w:r>
      <w:r w:rsidR="007F3C4A" w:rsidRPr="007B58D2">
        <w:t xml:space="preserve"> the relationship between the EU and its Members </w:t>
      </w:r>
      <w:r w:rsidR="00CF3D8A" w:rsidRPr="007B58D2">
        <w:t xml:space="preserve">States. </w:t>
      </w:r>
      <w:r w:rsidR="00F465F9" w:rsidRPr="007B58D2">
        <w:t xml:space="preserve">As </w:t>
      </w:r>
      <w:r w:rsidR="0058472A" w:rsidRPr="007B58D2">
        <w:t xml:space="preserve">the UK </w:t>
      </w:r>
      <w:r w:rsidR="0020305A" w:rsidRPr="007B58D2">
        <w:t>withdraw</w:t>
      </w:r>
      <w:r w:rsidR="0060123E" w:rsidRPr="007B58D2">
        <w:t xml:space="preserve">s </w:t>
      </w:r>
      <w:r w:rsidR="0020305A" w:rsidRPr="007B58D2">
        <w:t xml:space="preserve">from </w:t>
      </w:r>
      <w:r w:rsidR="007F3C4A" w:rsidRPr="007B58D2">
        <w:t xml:space="preserve">the European Union </w:t>
      </w:r>
      <w:r w:rsidR="00CF3D8A" w:rsidRPr="007B58D2">
        <w:t>these EU Regulations will</w:t>
      </w:r>
      <w:r w:rsidR="00F465F9" w:rsidRPr="007B58D2">
        <w:t>,</w:t>
      </w:r>
      <w:r w:rsidR="00CF3D8A" w:rsidRPr="007B58D2">
        <w:t xml:space="preserve"> under the European Union (Withdrawal) Act 2018</w:t>
      </w:r>
      <w:r w:rsidR="00F465F9" w:rsidRPr="007B58D2">
        <w:t>,</w:t>
      </w:r>
      <w:r w:rsidR="00CF3D8A" w:rsidRPr="007B58D2">
        <w:t xml:space="preserve"> become retained EU law. However</w:t>
      </w:r>
      <w:r w:rsidR="00F465F9" w:rsidRPr="007B58D2">
        <w:t>,</w:t>
      </w:r>
      <w:r w:rsidR="00CF3D8A" w:rsidRPr="007B58D2">
        <w:t xml:space="preserve"> application to the UK when it is no longer </w:t>
      </w:r>
      <w:r w:rsidR="00F465F9" w:rsidRPr="007B58D2">
        <w:t xml:space="preserve">a Member State would be </w:t>
      </w:r>
      <w:r w:rsidR="00CF3D8A" w:rsidRPr="007B58D2">
        <w:t>wholly inappropriate</w:t>
      </w:r>
      <w:r w:rsidR="00F465F9" w:rsidRPr="007B58D2">
        <w:t>.</w:t>
      </w:r>
      <w:r w:rsidR="008153C3" w:rsidRPr="007B58D2">
        <w:t xml:space="preserve"> The SI does not make any new arrangements, as none are required.</w:t>
      </w:r>
    </w:p>
    <w:p w14:paraId="65F16B85" w14:textId="78AC581F" w:rsidR="0058472A" w:rsidRDefault="00F465F9" w:rsidP="00E20247">
      <w:pPr>
        <w:pStyle w:val="EMLevel1Paragraph"/>
        <w:numPr>
          <w:ilvl w:val="0"/>
          <w:numId w:val="0"/>
        </w:numPr>
        <w:jc w:val="both"/>
      </w:pPr>
      <w:r w:rsidRPr="007B58D2">
        <w:t xml:space="preserve">These Regulations are minor and deal with </w:t>
      </w:r>
      <w:r w:rsidR="00E37CC3" w:rsidRPr="007B58D2">
        <w:t>what would be clear failures and deficiencies in the application of EU retained law. As such they are suitable for the negative procedure</w:t>
      </w:r>
      <w:r w:rsidR="00C7120D">
        <w:t>”.</w:t>
      </w:r>
    </w:p>
    <w:p w14:paraId="302025EA" w14:textId="77777777" w:rsidR="00C7120D" w:rsidRDefault="00C7120D" w:rsidP="00DD1535">
      <w:pPr>
        <w:pStyle w:val="EMLevel1Paragraph"/>
        <w:numPr>
          <w:ilvl w:val="0"/>
          <w:numId w:val="0"/>
        </w:numPr>
        <w:jc w:val="both"/>
      </w:pPr>
    </w:p>
    <w:p w14:paraId="4512A330" w14:textId="6A9D3BFD" w:rsidR="005E7B5C" w:rsidRDefault="005E7B5C" w:rsidP="00E20247">
      <w:pPr>
        <w:pStyle w:val="EMSectionTitle"/>
        <w:numPr>
          <w:ilvl w:val="0"/>
          <w:numId w:val="0"/>
        </w:numPr>
        <w:jc w:val="both"/>
      </w:pPr>
      <w:r>
        <w:t xml:space="preserve">Appropriateness </w:t>
      </w:r>
      <w:r w:rsidRPr="00E42511">
        <w:t>statement</w:t>
      </w:r>
    </w:p>
    <w:p w14:paraId="770B3B4E" w14:textId="06BD9A79" w:rsidR="005E7B5C" w:rsidRDefault="005E7B5C" w:rsidP="00E20247">
      <w:pPr>
        <w:pStyle w:val="EMLevel1Paragraph"/>
        <w:numPr>
          <w:ilvl w:val="0"/>
          <w:numId w:val="0"/>
        </w:numPr>
        <w:jc w:val="both"/>
      </w:pPr>
      <w:r>
        <w:t xml:space="preserve">The </w:t>
      </w:r>
      <w:r w:rsidR="00F96C42">
        <w:t>Minister of State for Trade Policy, George Hollingbery</w:t>
      </w:r>
      <w:r w:rsidR="0020595E">
        <w:t>,</w:t>
      </w:r>
      <w:r>
        <w:t xml:space="preserve"> has made the following statement regarding use of legislative powers in the European Union (Withdrawal) Act 2018:</w:t>
      </w:r>
    </w:p>
    <w:p w14:paraId="04EF1B7F" w14:textId="2C5DFF9C" w:rsidR="00D73525" w:rsidRPr="00D73525" w:rsidRDefault="65D5CF92" w:rsidP="00E20247">
      <w:pPr>
        <w:pStyle w:val="EMParagraphContinuationUnnumbered"/>
        <w:ind w:left="0"/>
        <w:jc w:val="both"/>
      </w:pPr>
      <w:r>
        <w:t xml:space="preserve">“In my view the Bilateral Investment Agreements (Transitional Arrangements and Framework for Managing Financial Responsibility) (Revocation) (EU Exit) Regulations 2019 does no more than is appropriate”. </w:t>
      </w:r>
    </w:p>
    <w:p w14:paraId="63FE89DC" w14:textId="6F87B119" w:rsidR="005E7B5C" w:rsidRPr="00E20247" w:rsidRDefault="005E7B5C" w:rsidP="00E20247">
      <w:pPr>
        <w:pStyle w:val="EMLevel1Paragraph"/>
        <w:numPr>
          <w:ilvl w:val="0"/>
          <w:numId w:val="0"/>
        </w:numPr>
        <w:jc w:val="both"/>
        <w:rPr>
          <w:color w:val="000000"/>
        </w:rPr>
      </w:pPr>
      <w:r>
        <w:rPr>
          <w:color w:val="000000"/>
        </w:rPr>
        <w:t xml:space="preserve">This is the case </w:t>
      </w:r>
      <w:r w:rsidRPr="00782C3B">
        <w:rPr>
          <w:color w:val="000000"/>
        </w:rPr>
        <w:t>because</w:t>
      </w:r>
      <w:r w:rsidR="00E3723A">
        <w:rPr>
          <w:color w:val="000000"/>
        </w:rPr>
        <w:t xml:space="preserve"> </w:t>
      </w:r>
      <w:r w:rsidR="00E3723A" w:rsidRPr="00E3723A">
        <w:rPr>
          <w:color w:val="000000"/>
        </w:rPr>
        <w:t xml:space="preserve">after </w:t>
      </w:r>
      <w:r w:rsidR="00137324">
        <w:rPr>
          <w:color w:val="000000"/>
        </w:rPr>
        <w:t xml:space="preserve">the UK leaves the </w:t>
      </w:r>
      <w:r w:rsidR="00E3723A" w:rsidRPr="00E3723A">
        <w:rPr>
          <w:color w:val="000000"/>
        </w:rPr>
        <w:t xml:space="preserve">EU, </w:t>
      </w:r>
      <w:r w:rsidR="007824DD">
        <w:rPr>
          <w:color w:val="000000"/>
        </w:rPr>
        <w:t xml:space="preserve">the UK will no longer be a </w:t>
      </w:r>
      <w:r w:rsidR="004A290A">
        <w:rPr>
          <w:color w:val="000000"/>
        </w:rPr>
        <w:t>Member State</w:t>
      </w:r>
      <w:r w:rsidR="00E3723A" w:rsidRPr="00E3723A">
        <w:rPr>
          <w:color w:val="000000"/>
        </w:rPr>
        <w:t xml:space="preserve"> and accordingly these two </w:t>
      </w:r>
      <w:r w:rsidR="004A290A">
        <w:rPr>
          <w:color w:val="000000"/>
        </w:rPr>
        <w:t>EU R</w:t>
      </w:r>
      <w:r w:rsidR="00E3723A" w:rsidRPr="00E3723A">
        <w:rPr>
          <w:color w:val="000000"/>
        </w:rPr>
        <w:t xml:space="preserve">egulations will be redundant.  </w:t>
      </w:r>
    </w:p>
    <w:p w14:paraId="21A00EA6" w14:textId="77777777" w:rsidR="00AE3B66" w:rsidRDefault="00AE3B66" w:rsidP="00DD1535">
      <w:pPr>
        <w:pStyle w:val="EMLevel1Paragraph"/>
        <w:numPr>
          <w:ilvl w:val="0"/>
          <w:numId w:val="0"/>
        </w:numPr>
        <w:jc w:val="both"/>
      </w:pPr>
    </w:p>
    <w:p w14:paraId="36FBBC00" w14:textId="57D61BA8" w:rsidR="005E7B5C" w:rsidRDefault="005E7B5C" w:rsidP="00E20247">
      <w:pPr>
        <w:pStyle w:val="EMSectionTitle"/>
        <w:numPr>
          <w:ilvl w:val="0"/>
          <w:numId w:val="0"/>
        </w:numPr>
        <w:jc w:val="both"/>
      </w:pPr>
      <w:r>
        <w:t>Good reasons</w:t>
      </w:r>
    </w:p>
    <w:p w14:paraId="7268283C" w14:textId="625528B4" w:rsidR="005E7B5C" w:rsidRDefault="005E7B5C" w:rsidP="00E20247">
      <w:pPr>
        <w:pStyle w:val="EMLevel1Paragraph"/>
        <w:numPr>
          <w:ilvl w:val="0"/>
          <w:numId w:val="0"/>
        </w:numPr>
        <w:jc w:val="both"/>
      </w:pPr>
      <w:r>
        <w:t xml:space="preserve">The </w:t>
      </w:r>
      <w:r w:rsidR="0020595E">
        <w:t>Minister of State for Trade Policy, George Hollingbery,</w:t>
      </w:r>
      <w:r w:rsidR="00E03C90">
        <w:t xml:space="preserve"> </w:t>
      </w:r>
      <w:r>
        <w:t>has made the following statement regarding use of legislative powers in the European Union (Withdrawal) Act 2018:</w:t>
      </w:r>
    </w:p>
    <w:p w14:paraId="20DC76A4" w14:textId="331236A0" w:rsidR="00D73525" w:rsidRDefault="005E7B5C" w:rsidP="00E20247">
      <w:pPr>
        <w:pStyle w:val="EMParagraphContinuationUnnumbered"/>
        <w:ind w:left="0"/>
        <w:jc w:val="both"/>
      </w:pPr>
      <w:r>
        <w:t xml:space="preserve">“In my view there are good reasons for the provisions in this instrument, and I have concluded they are a reasonable course of action”. </w:t>
      </w:r>
    </w:p>
    <w:p w14:paraId="4D2ED39F" w14:textId="2AC6F673" w:rsidR="00D62B47" w:rsidRPr="00D62B47" w:rsidRDefault="005E7B5C" w:rsidP="00E20247">
      <w:pPr>
        <w:pStyle w:val="EMLevel1Paragraph"/>
        <w:numPr>
          <w:ilvl w:val="0"/>
          <w:numId w:val="0"/>
        </w:numPr>
        <w:jc w:val="both"/>
      </w:pPr>
      <w:r w:rsidRPr="00D64F6E">
        <w:t>These are</w:t>
      </w:r>
      <w:r w:rsidR="00D62B47" w:rsidRPr="00D64F6E">
        <w:t xml:space="preserve"> b</w:t>
      </w:r>
      <w:r w:rsidR="008B7635" w:rsidRPr="00D64F6E">
        <w:t xml:space="preserve">ecause the UK is no longer </w:t>
      </w:r>
      <w:r w:rsidR="00D62B47" w:rsidRPr="00D64F6E">
        <w:t xml:space="preserve">a Member State of the EU it should no longer be </w:t>
      </w:r>
      <w:r w:rsidR="008B7635" w:rsidRPr="00D64F6E">
        <w:t xml:space="preserve">bound by these </w:t>
      </w:r>
      <w:r w:rsidR="00D62B47" w:rsidRPr="00D64F6E">
        <w:t>EU R</w:t>
      </w:r>
      <w:r w:rsidR="008B7635" w:rsidRPr="00D64F6E">
        <w:t xml:space="preserve">egulations.  </w:t>
      </w:r>
    </w:p>
    <w:p w14:paraId="2D67678A" w14:textId="430FA885" w:rsidR="005668B2" w:rsidRDefault="008B7635" w:rsidP="00E20247">
      <w:pPr>
        <w:pStyle w:val="EMLevel1Paragraph"/>
        <w:numPr>
          <w:ilvl w:val="0"/>
          <w:numId w:val="0"/>
        </w:numPr>
        <w:jc w:val="both"/>
      </w:pPr>
      <w:r w:rsidRPr="00D64F6E">
        <w:t xml:space="preserve">With respect to the Grandfathering Regulation it would be inappropriate for the EU to govern the maintenance of existing bilateral agreements and for the UK to need to seek authorisation </w:t>
      </w:r>
      <w:r w:rsidRPr="00D64F6E">
        <w:lastRenderedPageBreak/>
        <w:t>from the Commission to amend or negotiate new bilateral investment agreements.  With respect</w:t>
      </w:r>
      <w:r w:rsidRPr="008B7635">
        <w:t xml:space="preserve"> </w:t>
      </w:r>
      <w:r w:rsidRPr="00D64F6E">
        <w:t>to the Financial Responsibility Regulation, it</w:t>
      </w:r>
      <w:r w:rsidRPr="005668B2">
        <w:rPr>
          <w:rFonts w:cs="Times New Roman"/>
          <w:szCs w:val="24"/>
        </w:rPr>
        <w:t xml:space="preserve"> would be inappropriate for the UK to be required to contribute and be held responsible for costs in relation to investment disputes in circumstances where the EU would not have reciprocal financial responsibility to the UK.</w:t>
      </w:r>
      <w:r w:rsidRPr="008B7635">
        <w:t xml:space="preserve"> </w:t>
      </w:r>
    </w:p>
    <w:p w14:paraId="637CAF00" w14:textId="77777777" w:rsidR="00AE3B66" w:rsidRDefault="00AE3B66" w:rsidP="00DD1535">
      <w:pPr>
        <w:pStyle w:val="EMLevel1Paragraph"/>
        <w:numPr>
          <w:ilvl w:val="0"/>
          <w:numId w:val="0"/>
        </w:numPr>
        <w:jc w:val="both"/>
      </w:pPr>
    </w:p>
    <w:p w14:paraId="1D8AB708" w14:textId="4E7EB48F" w:rsidR="005E7B5C" w:rsidRDefault="005460B8" w:rsidP="00E20247">
      <w:pPr>
        <w:pStyle w:val="EMSectionTitle"/>
        <w:numPr>
          <w:ilvl w:val="0"/>
          <w:numId w:val="0"/>
        </w:numPr>
        <w:jc w:val="both"/>
      </w:pPr>
      <w:r>
        <w:t>Equalities</w:t>
      </w:r>
    </w:p>
    <w:p w14:paraId="6D9C73D0" w14:textId="7807674A" w:rsidR="00701AA4" w:rsidRDefault="005E7B5C" w:rsidP="00E20247">
      <w:pPr>
        <w:pStyle w:val="EMLevel1Paragraph"/>
        <w:numPr>
          <w:ilvl w:val="0"/>
          <w:numId w:val="0"/>
        </w:numPr>
        <w:jc w:val="both"/>
      </w:pPr>
      <w:r>
        <w:t xml:space="preserve">The </w:t>
      </w:r>
      <w:r w:rsidR="00F760F4">
        <w:t>Minister of State for Trade Policy, George Hollingbery,</w:t>
      </w:r>
      <w:r>
        <w:t xml:space="preserve"> has made the following statement(s)</w:t>
      </w:r>
      <w:r w:rsidR="00701AA4">
        <w:t>:</w:t>
      </w:r>
    </w:p>
    <w:p w14:paraId="2613DE76" w14:textId="4F128349" w:rsidR="005E7B5C" w:rsidRDefault="005E7B5C" w:rsidP="00E20247">
      <w:pPr>
        <w:pStyle w:val="EMParagraphContinuationUnnumbered"/>
        <w:ind w:left="0"/>
        <w:jc w:val="both"/>
      </w:pPr>
      <w:r>
        <w:t>“The instrument does not amend, repeal or revoke a provision or provisions in the Equality Act 2006 or the Equality Act 2010 or subordinate legislation made under those Acts.</w:t>
      </w:r>
      <w:r w:rsidR="00DD1535">
        <w:t>”</w:t>
      </w:r>
    </w:p>
    <w:p w14:paraId="289EC593" w14:textId="77777777" w:rsidR="00DD1535" w:rsidRDefault="00DD1535" w:rsidP="00DD1535">
      <w:pPr>
        <w:pStyle w:val="EMLevel1Paragraph"/>
        <w:numPr>
          <w:ilvl w:val="0"/>
          <w:numId w:val="0"/>
        </w:numPr>
        <w:jc w:val="both"/>
      </w:pPr>
    </w:p>
    <w:p w14:paraId="49634CE6" w14:textId="144355AC" w:rsidR="00DD1535" w:rsidRDefault="005E7B5C" w:rsidP="00E20247">
      <w:pPr>
        <w:pStyle w:val="EMLevel1Paragraph"/>
        <w:numPr>
          <w:ilvl w:val="0"/>
          <w:numId w:val="0"/>
        </w:numPr>
        <w:jc w:val="both"/>
      </w:pPr>
      <w:r>
        <w:t xml:space="preserve">The </w:t>
      </w:r>
      <w:r w:rsidR="004030FF">
        <w:t>Minister of State for Trade Policy, George Hollingbery,</w:t>
      </w:r>
      <w:r>
        <w:t xml:space="preserve"> has made the following statement regarding use of legislative powers in the European Union (Withdrawal) Act 2018:</w:t>
      </w:r>
    </w:p>
    <w:p w14:paraId="53865FB7" w14:textId="763A6C44" w:rsidR="005E7B5C" w:rsidRDefault="005E7B5C" w:rsidP="00E20247">
      <w:pPr>
        <w:pStyle w:val="EMLevel1Paragraph"/>
        <w:numPr>
          <w:ilvl w:val="0"/>
          <w:numId w:val="0"/>
        </w:numPr>
        <w:jc w:val="both"/>
      </w:pPr>
      <w:r>
        <w:t xml:space="preserve">“In relation to the instrument, I, </w:t>
      </w:r>
      <w:r w:rsidR="004030FF">
        <w:t>George Hollingber</w:t>
      </w:r>
      <w:r w:rsidR="00DD1535">
        <w:t>y</w:t>
      </w:r>
      <w:r w:rsidR="00A0531C">
        <w:t>,</w:t>
      </w:r>
      <w:r>
        <w:t xml:space="preserve"> have had due regard to the need to eliminate discrimination, harassment, victimisation and any other conduct that is prohibited by o</w:t>
      </w:r>
      <w:r w:rsidR="008676E5">
        <w:t>r under the Equality Act 2010.”</w:t>
      </w:r>
    </w:p>
    <w:p w14:paraId="7CC38867" w14:textId="77777777" w:rsidR="00DD1535" w:rsidRDefault="00DD1535" w:rsidP="00DD1535">
      <w:pPr>
        <w:pStyle w:val="EMLevel1Paragraph"/>
        <w:numPr>
          <w:ilvl w:val="0"/>
          <w:numId w:val="0"/>
        </w:numPr>
        <w:jc w:val="both"/>
      </w:pPr>
    </w:p>
    <w:p w14:paraId="1DE19388" w14:textId="048B4170" w:rsidR="005E7B5C" w:rsidRDefault="005E7B5C" w:rsidP="00E20247">
      <w:pPr>
        <w:pStyle w:val="EMSectionTitle"/>
        <w:numPr>
          <w:ilvl w:val="0"/>
          <w:numId w:val="0"/>
        </w:numPr>
        <w:jc w:val="both"/>
      </w:pPr>
      <w:r>
        <w:t>Explanations</w:t>
      </w:r>
    </w:p>
    <w:p w14:paraId="71E58552" w14:textId="77777777" w:rsidR="005E7B5C" w:rsidRPr="009B62AE" w:rsidRDefault="005E7B5C" w:rsidP="00E20247">
      <w:pPr>
        <w:pStyle w:val="EMLevel1Paragraph"/>
        <w:numPr>
          <w:ilvl w:val="0"/>
          <w:numId w:val="0"/>
        </w:numPr>
        <w:jc w:val="both"/>
      </w:pPr>
      <w:r w:rsidRPr="009B62AE">
        <w:t>The</w:t>
      </w:r>
      <w:r w:rsidR="00073874">
        <w:t xml:space="preserve"> explanations s</w:t>
      </w:r>
      <w:r w:rsidRPr="009B62AE">
        <w:t xml:space="preserve">tatement has been made in </w:t>
      </w:r>
      <w:r w:rsidR="000432C9">
        <w:t>section</w:t>
      </w:r>
      <w:r w:rsidR="008676E5">
        <w:t xml:space="preserve"> 2</w:t>
      </w:r>
      <w:r w:rsidRPr="009B62AE">
        <w:t xml:space="preserve"> of the main body of this explanatory memorandum.</w:t>
      </w:r>
    </w:p>
    <w:p w14:paraId="0532A013" w14:textId="77777777" w:rsidR="000F7400" w:rsidRDefault="000F7400" w:rsidP="00E20247">
      <w:pPr>
        <w:pStyle w:val="EMSectionTitle"/>
        <w:numPr>
          <w:ilvl w:val="0"/>
          <w:numId w:val="0"/>
        </w:numPr>
        <w:jc w:val="both"/>
      </w:pPr>
    </w:p>
    <w:p w14:paraId="768C6813" w14:textId="37139472" w:rsidR="005E7B5C" w:rsidRDefault="005E7B5C" w:rsidP="00E20247">
      <w:pPr>
        <w:pStyle w:val="EMSectionTitle"/>
        <w:numPr>
          <w:ilvl w:val="0"/>
          <w:numId w:val="0"/>
        </w:numPr>
        <w:jc w:val="both"/>
      </w:pPr>
      <w:r>
        <w:t>Urgency</w:t>
      </w:r>
    </w:p>
    <w:p w14:paraId="655F886B" w14:textId="77777777" w:rsidR="00DD1535" w:rsidRDefault="005E7B5C" w:rsidP="00E20247">
      <w:pPr>
        <w:pStyle w:val="EMLevel1Paragraph"/>
        <w:numPr>
          <w:ilvl w:val="0"/>
          <w:numId w:val="0"/>
        </w:numPr>
        <w:jc w:val="both"/>
      </w:pPr>
      <w:r>
        <w:t xml:space="preserve">The </w:t>
      </w:r>
      <w:r w:rsidR="00782C3B">
        <w:t>Minister of State for Trade Policy, George Hollingbery,</w:t>
      </w:r>
      <w:r>
        <w:t xml:space="preserve"> has made the following statement regarding use of legislative powers in the European Union (Withdrawal) Act 2018:</w:t>
      </w:r>
    </w:p>
    <w:p w14:paraId="1E92C00B" w14:textId="5AF777DA" w:rsidR="008064EF" w:rsidRDefault="65D5CF92" w:rsidP="65D5CF92">
      <w:pPr>
        <w:pStyle w:val="EMLevel1Paragraph"/>
        <w:numPr>
          <w:ilvl w:val="1"/>
          <w:numId w:val="0"/>
        </w:numPr>
        <w:jc w:val="both"/>
      </w:pPr>
      <w:r>
        <w:t xml:space="preserve">“In my view by reason of urgency, it is necessary to make the Bilateral Investment Agreements (Transitional Arrangements and Framework for Managing Financial Responsibility) (Revocation) (EU Exit) Regulations 2019, without a draft of the instrument containing the regulations being laid before, and approved by a resolution of, each House of Parliament.” </w:t>
      </w:r>
    </w:p>
    <w:p w14:paraId="6181414D" w14:textId="32F8C9AA" w:rsidR="003E486E" w:rsidRPr="005E7B5C" w:rsidRDefault="008064EF" w:rsidP="00B64D20">
      <w:pPr>
        <w:pStyle w:val="EMLevel1Paragraph"/>
        <w:numPr>
          <w:ilvl w:val="0"/>
          <w:numId w:val="0"/>
        </w:numPr>
        <w:jc w:val="both"/>
      </w:pPr>
      <w:r>
        <w:t xml:space="preserve">This is </w:t>
      </w:r>
      <w:r w:rsidR="005E7B5C">
        <w:t>because</w:t>
      </w:r>
      <w:r w:rsidR="00782C3B">
        <w:t xml:space="preserve"> a failure to revoke these Regulations by </w:t>
      </w:r>
      <w:r w:rsidR="00663A47">
        <w:t>e</w:t>
      </w:r>
      <w:r w:rsidR="00782C3B">
        <w:t>xit day</w:t>
      </w:r>
      <w:r w:rsidR="00663A47">
        <w:t xml:space="preserve">, as defined </w:t>
      </w:r>
      <w:r w:rsidR="00CD7BD5">
        <w:t>i</w:t>
      </w:r>
      <w:r w:rsidR="00663A47">
        <w:t>n the EUWA</w:t>
      </w:r>
      <w:r w:rsidR="00CD7BD5">
        <w:t>,</w:t>
      </w:r>
      <w:r w:rsidR="00782C3B">
        <w:t xml:space="preserve"> would risk the UK continuing to be bound by them.  As explained in section 7 of this Explanatory Memorandum, it would be inappropriate for EU regulations to continue to govern the UK’s </w:t>
      </w:r>
      <w:r w:rsidR="003B5819">
        <w:t>administrative arrangements with the EU as if it continued to be a Member State</w:t>
      </w:r>
      <w:r w:rsidR="00782C3B" w:rsidRPr="00BE30E1">
        <w:t>.</w:t>
      </w:r>
      <w:bookmarkStart w:id="3" w:name="_GoBack"/>
      <w:bookmarkEnd w:id="3"/>
    </w:p>
    <w:sectPr w:rsidR="003E486E" w:rsidRPr="005E7B5C" w:rsidSect="00A870B5">
      <w:headerReference w:type="even" r:id="rId12"/>
      <w:headerReference w:type="default" r:id="rId13"/>
      <w:footerReference w:type="even" r:id="rId14"/>
      <w:footerReference w:type="default" r:id="rId15"/>
      <w:headerReference w:type="first" r:id="rId16"/>
      <w:footerReference w:type="first" r:id="rId17"/>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78EC6B" w14:textId="77777777" w:rsidR="00DF061A" w:rsidRDefault="00DF061A">
      <w:r>
        <w:separator/>
      </w:r>
    </w:p>
  </w:endnote>
  <w:endnote w:type="continuationSeparator" w:id="0">
    <w:p w14:paraId="381B2EEF" w14:textId="77777777" w:rsidR="00DF061A" w:rsidRDefault="00DF061A">
      <w:r>
        <w:continuationSeparator/>
      </w:r>
    </w:p>
  </w:endnote>
  <w:endnote w:type="continuationNotice" w:id="1">
    <w:p w14:paraId="2443781B" w14:textId="77777777" w:rsidR="00DF061A" w:rsidRDefault="00DF06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BF954" w14:textId="77777777" w:rsidR="001C1BFF" w:rsidRDefault="001C1BFF" w:rsidP="00EF480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C8D46C" w14:textId="77777777" w:rsidR="001C1BFF" w:rsidRDefault="001C1B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05509" w14:textId="77777777" w:rsidR="001C1BFF" w:rsidRPr="009D4049" w:rsidRDefault="001C1BFF" w:rsidP="00EF4806">
    <w:pPr>
      <w:pStyle w:val="Footer"/>
      <w:framePr w:wrap="around" w:vAnchor="text" w:hAnchor="margin" w:xAlign="center" w:y="1"/>
      <w:rPr>
        <w:rStyle w:val="PageNumber"/>
        <w:sz w:val="22"/>
        <w:szCs w:val="22"/>
      </w:rPr>
    </w:pPr>
    <w:r w:rsidRPr="009D4049">
      <w:rPr>
        <w:rStyle w:val="PageNumber"/>
        <w:sz w:val="22"/>
        <w:szCs w:val="22"/>
      </w:rPr>
      <w:fldChar w:fldCharType="begin"/>
    </w:r>
    <w:r w:rsidRPr="009D4049">
      <w:rPr>
        <w:rStyle w:val="PageNumber"/>
        <w:sz w:val="22"/>
        <w:szCs w:val="22"/>
      </w:rPr>
      <w:instrText xml:space="preserve">PAGE  </w:instrText>
    </w:r>
    <w:r w:rsidRPr="009D4049">
      <w:rPr>
        <w:rStyle w:val="PageNumber"/>
        <w:sz w:val="22"/>
        <w:szCs w:val="22"/>
      </w:rPr>
      <w:fldChar w:fldCharType="separate"/>
    </w:r>
    <w:r w:rsidR="0076497F">
      <w:rPr>
        <w:rStyle w:val="PageNumber"/>
        <w:noProof/>
        <w:sz w:val="22"/>
        <w:szCs w:val="22"/>
      </w:rPr>
      <w:t>7</w:t>
    </w:r>
    <w:r w:rsidRPr="009D4049">
      <w:rPr>
        <w:rStyle w:val="PageNumber"/>
        <w:sz w:val="22"/>
        <w:szCs w:val="22"/>
      </w:rPr>
      <w:fldChar w:fldCharType="end"/>
    </w:r>
  </w:p>
  <w:p w14:paraId="05EB008E" w14:textId="77777777" w:rsidR="001C1BFF" w:rsidRDefault="001C1BFF" w:rsidP="00BC2AB1">
    <w:pPr>
      <w:pStyle w:val="Footer"/>
      <w:jc w:val="center"/>
      <w:rPr>
        <w:sz w:val="16"/>
        <w:szCs w:val="16"/>
      </w:rPr>
    </w:pPr>
  </w:p>
  <w:p w14:paraId="2381099A" w14:textId="77777777" w:rsidR="001C1BFF" w:rsidRPr="004673B7" w:rsidRDefault="001C1BFF" w:rsidP="00BC2AB1">
    <w:pPr>
      <w:rPr>
        <w:rFonts w:ascii="Arial" w:hAnsi="Arial" w:cs="Arial"/>
        <w:sz w:val="14"/>
        <w:szCs w:val="14"/>
      </w:rPr>
    </w:pPr>
    <w:r>
      <w:rPr>
        <w:rFonts w:ascii="Arial" w:hAnsi="Arial" w:cs="Arial"/>
        <w:sz w:val="14"/>
        <w:szCs w:val="14"/>
      </w:rPr>
      <w:t>DExEU/EM/7-2018.2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30C95" w14:textId="77777777" w:rsidR="006C2550" w:rsidRDefault="006C25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B6EACC" w14:textId="77777777" w:rsidR="00DF061A" w:rsidRDefault="00DF061A">
      <w:r>
        <w:separator/>
      </w:r>
    </w:p>
  </w:footnote>
  <w:footnote w:type="continuationSeparator" w:id="0">
    <w:p w14:paraId="5CCB1755" w14:textId="77777777" w:rsidR="00DF061A" w:rsidRDefault="00DF061A">
      <w:r>
        <w:continuationSeparator/>
      </w:r>
    </w:p>
  </w:footnote>
  <w:footnote w:type="continuationNotice" w:id="1">
    <w:p w14:paraId="3663F7C8" w14:textId="77777777" w:rsidR="00DF061A" w:rsidRDefault="00DF061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82DC4" w14:textId="77777777" w:rsidR="006C2550" w:rsidRDefault="006C25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484323"/>
      <w:docPartObj>
        <w:docPartGallery w:val="Watermarks"/>
        <w:docPartUnique/>
      </w:docPartObj>
    </w:sdtPr>
    <w:sdtEndPr/>
    <w:sdtContent>
      <w:p w14:paraId="0B38F70A" w14:textId="3AA08A8B" w:rsidR="001C1BFF" w:rsidRDefault="00DF061A" w:rsidP="00E64BCB">
        <w:pPr>
          <w:pStyle w:val="Header"/>
          <w:jc w:val="center"/>
        </w:pPr>
        <w:r>
          <w:rPr>
            <w:noProof/>
          </w:rPr>
          <w:pict w14:anchorId="5A83D81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B2CAA" w14:textId="77777777" w:rsidR="006C2550" w:rsidRDefault="006C25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0E8AE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817ABC"/>
    <w:multiLevelType w:val="hybridMultilevel"/>
    <w:tmpl w:val="A37A0134"/>
    <w:lvl w:ilvl="0" w:tplc="04090001">
      <w:start w:val="1"/>
      <w:numFmt w:val="bullet"/>
      <w:lvlText w:val=""/>
      <w:lvlJc w:val="left"/>
      <w:pPr>
        <w:tabs>
          <w:tab w:val="num" w:pos="720"/>
        </w:tabs>
        <w:ind w:left="720" w:hanging="360"/>
      </w:pPr>
      <w:rPr>
        <w:rFonts w:ascii="Symbol" w:hAnsi="Symbol" w:hint="default"/>
      </w:rPr>
    </w:lvl>
    <w:lvl w:ilvl="1" w:tplc="A9F6D84E">
      <w:start w:val="1"/>
      <w:numFmt w:val="bullet"/>
      <w:pStyle w:val="EMLevel2Bullet"/>
      <w:lvlText w:val="o"/>
      <w:lvlJc w:val="left"/>
      <w:pPr>
        <w:tabs>
          <w:tab w:val="num" w:pos="1440"/>
        </w:tabs>
        <w:ind w:left="1440" w:hanging="216"/>
      </w:pPr>
      <w:rPr>
        <w:rFonts w:ascii="Courier New" w:hAnsi="Courier New"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9542F9"/>
    <w:multiLevelType w:val="multilevel"/>
    <w:tmpl w:val="038EDA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E550F20"/>
    <w:multiLevelType w:val="hybridMultilevel"/>
    <w:tmpl w:val="2C1EDE00"/>
    <w:lvl w:ilvl="0" w:tplc="37F639B0">
      <w:start w:val="1"/>
      <w:numFmt w:val="bullet"/>
      <w:pStyle w:val="EMLevel1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5118C2"/>
    <w:multiLevelType w:val="hybridMultilevel"/>
    <w:tmpl w:val="ABF0C20A"/>
    <w:lvl w:ilvl="0" w:tplc="DDCA1AB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7E54F45"/>
    <w:multiLevelType w:val="multilevel"/>
    <w:tmpl w:val="AB66D834"/>
    <w:lvl w:ilvl="0">
      <w:start w:val="4"/>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9296C02"/>
    <w:multiLevelType w:val="multilevel"/>
    <w:tmpl w:val="B2CCE26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1D707D85"/>
    <w:multiLevelType w:val="multilevel"/>
    <w:tmpl w:val="651A2A78"/>
    <w:lvl w:ilvl="0">
      <w:start w:val="1"/>
      <w:numFmt w:val="decimal"/>
      <w:lvlText w:val="%1."/>
      <w:lvlJc w:val="left"/>
      <w:pPr>
        <w:ind w:left="432" w:hanging="432"/>
      </w:pPr>
      <w:rPr>
        <w:rFonts w:ascii="Times New Roman" w:eastAsia="Times New Roman" w:hAnsi="Times New Roman" w:cs="Times New Roman"/>
        <w:b/>
        <w:i w:val="0"/>
        <w:color w:val="000000"/>
        <w:u w:val="none"/>
      </w:rPr>
    </w:lvl>
    <w:lvl w:ilvl="1">
      <w:start w:val="1"/>
      <w:numFmt w:val="decimal"/>
      <w:lvlText w:val="%1.%2"/>
      <w:lvlJc w:val="left"/>
      <w:pPr>
        <w:ind w:left="696" w:hanging="576"/>
      </w:pPr>
      <w:rPr>
        <w:rFonts w:ascii="Times New Roman" w:eastAsia="Times New Roman" w:hAnsi="Times New Roman" w:cs="Times New Roman"/>
        <w:b w:val="0"/>
        <w:i w:val="0"/>
        <w:color w:val="000000"/>
        <w:u w:val="none"/>
      </w:rPr>
    </w:lvl>
    <w:lvl w:ilvl="2">
      <w:start w:val="1"/>
      <w:numFmt w:val="decimal"/>
      <w:lvlText w:val="%1.%2.%3"/>
      <w:lvlJc w:val="left"/>
      <w:pPr>
        <w:ind w:left="720" w:hanging="720"/>
      </w:pPr>
      <w:rPr>
        <w:u w:val="none"/>
      </w:rPr>
    </w:lvl>
    <w:lvl w:ilvl="3">
      <w:start w:val="1"/>
      <w:numFmt w:val="decimal"/>
      <w:lvlText w:val="%1.%2.%3.%4"/>
      <w:lvlJc w:val="left"/>
      <w:pPr>
        <w:ind w:left="864" w:hanging="864"/>
      </w:pPr>
      <w:rPr>
        <w:u w:val="none"/>
      </w:rPr>
    </w:lvl>
    <w:lvl w:ilvl="4">
      <w:start w:val="1"/>
      <w:numFmt w:val="decimal"/>
      <w:lvlText w:val="%1.%2.%3.%4.%5"/>
      <w:lvlJc w:val="left"/>
      <w:pPr>
        <w:ind w:left="1008" w:hanging="1008"/>
      </w:pPr>
      <w:rPr>
        <w:u w:val="none"/>
      </w:rPr>
    </w:lvl>
    <w:lvl w:ilvl="5">
      <w:start w:val="1"/>
      <w:numFmt w:val="decimal"/>
      <w:lvlText w:val="%1.%2.%3.%4.%5.%6"/>
      <w:lvlJc w:val="left"/>
      <w:pPr>
        <w:ind w:left="1152" w:hanging="1152"/>
      </w:pPr>
      <w:rPr>
        <w:u w:val="none"/>
      </w:rPr>
    </w:lvl>
    <w:lvl w:ilvl="6">
      <w:start w:val="1"/>
      <w:numFmt w:val="decimal"/>
      <w:lvlText w:val="%1.%2.%3.%4.%5.%6.%7"/>
      <w:lvlJc w:val="left"/>
      <w:pPr>
        <w:ind w:left="1296" w:hanging="1296"/>
      </w:pPr>
      <w:rPr>
        <w:u w:val="none"/>
      </w:rPr>
    </w:lvl>
    <w:lvl w:ilvl="7">
      <w:start w:val="1"/>
      <w:numFmt w:val="decimal"/>
      <w:lvlText w:val="%1.%2.%3.%4.%5.%6.%7.%8"/>
      <w:lvlJc w:val="left"/>
      <w:pPr>
        <w:ind w:left="1440" w:hanging="1440"/>
      </w:pPr>
      <w:rPr>
        <w:u w:val="none"/>
      </w:rPr>
    </w:lvl>
    <w:lvl w:ilvl="8">
      <w:start w:val="1"/>
      <w:numFmt w:val="decimal"/>
      <w:lvlText w:val="%1.%2.%3.%4.%5.%6.%7.%8.%9"/>
      <w:lvlJc w:val="left"/>
      <w:pPr>
        <w:ind w:left="1584" w:hanging="1584"/>
      </w:pPr>
      <w:rPr>
        <w:u w:val="none"/>
      </w:rPr>
    </w:lvl>
  </w:abstractNum>
  <w:abstractNum w:abstractNumId="8" w15:restartNumberingAfterBreak="0">
    <w:nsid w:val="24533201"/>
    <w:multiLevelType w:val="hybridMultilevel"/>
    <w:tmpl w:val="ABF0C20A"/>
    <w:lvl w:ilvl="0" w:tplc="DDCA1AB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8DB1D0C"/>
    <w:multiLevelType w:val="multilevel"/>
    <w:tmpl w:val="3E861404"/>
    <w:lvl w:ilvl="0">
      <w:start w:val="7"/>
      <w:numFmt w:val="decimal"/>
      <w:lvlText w:val="%1."/>
      <w:lvlJc w:val="left"/>
      <w:pPr>
        <w:ind w:left="432" w:hanging="432"/>
      </w:pPr>
      <w:rPr>
        <w:rFonts w:ascii="Times New Roman" w:eastAsia="Times New Roman" w:hAnsi="Times New Roman" w:cs="Times New Roman"/>
        <w:b/>
        <w:i w:val="0"/>
        <w:color w:val="000000"/>
        <w:u w:val="none"/>
      </w:rPr>
    </w:lvl>
    <w:lvl w:ilvl="1">
      <w:start w:val="1"/>
      <w:numFmt w:val="decimal"/>
      <w:lvlText w:val="%1.%2"/>
      <w:lvlJc w:val="left"/>
      <w:pPr>
        <w:ind w:left="696" w:hanging="576"/>
      </w:pPr>
      <w:rPr>
        <w:rFonts w:ascii="Times New Roman" w:eastAsia="Times New Roman" w:hAnsi="Times New Roman" w:cs="Times New Roman"/>
        <w:b w:val="0"/>
        <w:i w:val="0"/>
        <w:color w:val="000000"/>
        <w:u w:val="none"/>
      </w:rPr>
    </w:lvl>
    <w:lvl w:ilvl="2">
      <w:start w:val="1"/>
      <w:numFmt w:val="decimal"/>
      <w:lvlText w:val="%1.%2.%3"/>
      <w:lvlJc w:val="left"/>
      <w:pPr>
        <w:ind w:left="720" w:hanging="720"/>
      </w:pPr>
      <w:rPr>
        <w:u w:val="none"/>
      </w:rPr>
    </w:lvl>
    <w:lvl w:ilvl="3">
      <w:start w:val="1"/>
      <w:numFmt w:val="decimal"/>
      <w:lvlText w:val="%1.%2.%3.%4"/>
      <w:lvlJc w:val="left"/>
      <w:pPr>
        <w:ind w:left="864" w:hanging="864"/>
      </w:pPr>
      <w:rPr>
        <w:u w:val="none"/>
      </w:rPr>
    </w:lvl>
    <w:lvl w:ilvl="4">
      <w:start w:val="1"/>
      <w:numFmt w:val="decimal"/>
      <w:lvlText w:val="%1.%2.%3.%4.%5"/>
      <w:lvlJc w:val="left"/>
      <w:pPr>
        <w:ind w:left="1008" w:hanging="1008"/>
      </w:pPr>
      <w:rPr>
        <w:u w:val="none"/>
      </w:rPr>
    </w:lvl>
    <w:lvl w:ilvl="5">
      <w:start w:val="1"/>
      <w:numFmt w:val="decimal"/>
      <w:lvlText w:val="%1.%2.%3.%4.%5.%6"/>
      <w:lvlJc w:val="left"/>
      <w:pPr>
        <w:ind w:left="1152" w:hanging="1152"/>
      </w:pPr>
      <w:rPr>
        <w:u w:val="none"/>
      </w:rPr>
    </w:lvl>
    <w:lvl w:ilvl="6">
      <w:start w:val="1"/>
      <w:numFmt w:val="decimal"/>
      <w:lvlText w:val="%1.%2.%3.%4.%5.%6.%7"/>
      <w:lvlJc w:val="left"/>
      <w:pPr>
        <w:ind w:left="1296" w:hanging="1296"/>
      </w:pPr>
      <w:rPr>
        <w:u w:val="none"/>
      </w:rPr>
    </w:lvl>
    <w:lvl w:ilvl="7">
      <w:start w:val="1"/>
      <w:numFmt w:val="decimal"/>
      <w:lvlText w:val="%1.%2.%3.%4.%5.%6.%7.%8"/>
      <w:lvlJc w:val="left"/>
      <w:pPr>
        <w:ind w:left="1440" w:hanging="1440"/>
      </w:pPr>
      <w:rPr>
        <w:u w:val="none"/>
      </w:rPr>
    </w:lvl>
    <w:lvl w:ilvl="8">
      <w:start w:val="1"/>
      <w:numFmt w:val="decimal"/>
      <w:lvlText w:val="%1.%2.%3.%4.%5.%6.%7.%8.%9"/>
      <w:lvlJc w:val="left"/>
      <w:pPr>
        <w:ind w:left="1584" w:hanging="1584"/>
      </w:pPr>
      <w:rPr>
        <w:u w:val="none"/>
      </w:rPr>
    </w:lvl>
  </w:abstractNum>
  <w:abstractNum w:abstractNumId="10" w15:restartNumberingAfterBreak="0">
    <w:nsid w:val="36C30F3A"/>
    <w:multiLevelType w:val="hybridMultilevel"/>
    <w:tmpl w:val="ABF0C20A"/>
    <w:lvl w:ilvl="0" w:tplc="DDCA1AB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8462304"/>
    <w:multiLevelType w:val="multilevel"/>
    <w:tmpl w:val="24EE351E"/>
    <w:lvl w:ilvl="0">
      <w:start w:val="1"/>
      <w:numFmt w:val="decimal"/>
      <w:pStyle w:val="EMSectionTitle"/>
      <w:lvlText w:val="%1."/>
      <w:lvlJc w:val="left"/>
      <w:pPr>
        <w:tabs>
          <w:tab w:val="num" w:pos="432"/>
        </w:tabs>
        <w:ind w:left="432" w:hanging="432"/>
      </w:pPr>
      <w:rPr>
        <w:rFonts w:hint="default"/>
      </w:rPr>
    </w:lvl>
    <w:lvl w:ilvl="1">
      <w:start w:val="1"/>
      <w:numFmt w:val="decimal"/>
      <w:pStyle w:val="Heading2"/>
      <w:lvlText w:val="%1.%2"/>
      <w:lvlJc w:val="left"/>
      <w:pPr>
        <w:tabs>
          <w:tab w:val="num" w:pos="696"/>
        </w:tabs>
        <w:ind w:left="696" w:hanging="576"/>
      </w:pPr>
      <w:rPr>
        <w:rFonts w:ascii="Times New Roman" w:hAnsi="Times New Roman" w:cs="Times New Roman" w:hint="default"/>
        <w:b w:val="0"/>
        <w:i w:val="0"/>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15:restartNumberingAfterBreak="0">
    <w:nsid w:val="5F8A7D79"/>
    <w:multiLevelType w:val="multilevel"/>
    <w:tmpl w:val="A39AC6C0"/>
    <w:lvl w:ilvl="0">
      <w:start w:val="5"/>
      <w:numFmt w:val="decimal"/>
      <w:lvlText w:val="%1."/>
      <w:lvlJc w:val="right"/>
      <w:pPr>
        <w:ind w:left="432" w:hanging="432"/>
      </w:pPr>
      <w:rPr>
        <w:rFonts w:ascii="Times New Roman" w:eastAsia="Times New Roman" w:hAnsi="Times New Roman" w:cs="Times New Roman"/>
        <w:b/>
        <w:i w:val="0"/>
        <w:color w:val="000000"/>
        <w:u w:val="none"/>
      </w:rPr>
    </w:lvl>
    <w:lvl w:ilvl="1">
      <w:start w:val="1"/>
      <w:numFmt w:val="decimal"/>
      <w:lvlText w:val="%1.%2."/>
      <w:lvlJc w:val="right"/>
      <w:pPr>
        <w:ind w:left="696" w:hanging="576"/>
      </w:pPr>
      <w:rPr>
        <w:rFonts w:ascii="Times New Roman" w:eastAsia="Times New Roman" w:hAnsi="Times New Roman" w:cs="Times New Roman"/>
        <w:b w:val="0"/>
        <w:i w:val="0"/>
        <w:color w:val="000000"/>
        <w:u w:val="none"/>
      </w:rPr>
    </w:lvl>
    <w:lvl w:ilvl="2">
      <w:start w:val="1"/>
      <w:numFmt w:val="decimal"/>
      <w:lvlText w:val="%1.%2.%3."/>
      <w:lvlJc w:val="right"/>
      <w:pPr>
        <w:ind w:left="720" w:hanging="720"/>
      </w:pPr>
      <w:rPr>
        <w:u w:val="none"/>
      </w:rPr>
    </w:lvl>
    <w:lvl w:ilvl="3">
      <w:start w:val="1"/>
      <w:numFmt w:val="decimal"/>
      <w:lvlText w:val="%1.%2.%3.%4."/>
      <w:lvlJc w:val="right"/>
      <w:pPr>
        <w:ind w:left="864" w:hanging="864"/>
      </w:pPr>
      <w:rPr>
        <w:u w:val="none"/>
      </w:rPr>
    </w:lvl>
    <w:lvl w:ilvl="4">
      <w:start w:val="1"/>
      <w:numFmt w:val="decimal"/>
      <w:lvlText w:val="%1.%2.%3.%4.%5."/>
      <w:lvlJc w:val="right"/>
      <w:pPr>
        <w:ind w:left="1008" w:hanging="1008"/>
      </w:pPr>
      <w:rPr>
        <w:u w:val="none"/>
      </w:rPr>
    </w:lvl>
    <w:lvl w:ilvl="5">
      <w:start w:val="1"/>
      <w:numFmt w:val="decimal"/>
      <w:lvlText w:val="%1.%2.%3.%4.%5.%6."/>
      <w:lvlJc w:val="right"/>
      <w:pPr>
        <w:ind w:left="1152" w:hanging="1152"/>
      </w:pPr>
      <w:rPr>
        <w:u w:val="none"/>
      </w:rPr>
    </w:lvl>
    <w:lvl w:ilvl="6">
      <w:start w:val="1"/>
      <w:numFmt w:val="decimal"/>
      <w:lvlText w:val="%1.%2.%3.%4.%5.%6.%7."/>
      <w:lvlJc w:val="right"/>
      <w:pPr>
        <w:ind w:left="1296" w:hanging="1296"/>
      </w:pPr>
      <w:rPr>
        <w:u w:val="none"/>
      </w:rPr>
    </w:lvl>
    <w:lvl w:ilvl="7">
      <w:start w:val="1"/>
      <w:numFmt w:val="decimal"/>
      <w:lvlText w:val="%1.%2.%3.%4.%5.%6.%7.%8."/>
      <w:lvlJc w:val="right"/>
      <w:pPr>
        <w:ind w:left="1440" w:hanging="1440"/>
      </w:pPr>
      <w:rPr>
        <w:u w:val="none"/>
      </w:rPr>
    </w:lvl>
    <w:lvl w:ilvl="8">
      <w:start w:val="1"/>
      <w:numFmt w:val="decimal"/>
      <w:lvlText w:val="%1.%2.%3.%4.%5.%6.%7.%8.%9."/>
      <w:lvlJc w:val="right"/>
      <w:pPr>
        <w:ind w:left="1584" w:hanging="1584"/>
      </w:pPr>
      <w:rPr>
        <w:u w:val="none"/>
      </w:rPr>
    </w:lvl>
  </w:abstractNum>
  <w:abstractNum w:abstractNumId="13" w15:restartNumberingAfterBreak="0">
    <w:nsid w:val="620512C3"/>
    <w:multiLevelType w:val="multilevel"/>
    <w:tmpl w:val="07268FB0"/>
    <w:lvl w:ilvl="0">
      <w:start w:val="6"/>
      <w:numFmt w:val="decimal"/>
      <w:lvlText w:val="%1."/>
      <w:lvlJc w:val="left"/>
      <w:pPr>
        <w:ind w:left="360" w:hanging="360"/>
      </w:pPr>
    </w:lvl>
    <w:lvl w:ilvl="1">
      <w:start w:val="1"/>
      <w:numFmt w:val="decimal"/>
      <w:lvlText w:val="%1.%2."/>
      <w:lvlJc w:val="left"/>
      <w:pPr>
        <w:ind w:left="792" w:hanging="432"/>
      </w:pPr>
      <w:rPr>
        <w:i w:val="0"/>
        <w:color w:val="00000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28F2A25"/>
    <w:multiLevelType w:val="multilevel"/>
    <w:tmpl w:val="DECCB18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3585751"/>
    <w:multiLevelType w:val="multilevel"/>
    <w:tmpl w:val="1518BC6A"/>
    <w:lvl w:ilvl="0">
      <w:start w:val="1"/>
      <w:numFmt w:val="decimal"/>
      <w:lvlText w:val="%1."/>
      <w:lvlJc w:val="left"/>
      <w:pPr>
        <w:tabs>
          <w:tab w:val="num" w:pos="432"/>
        </w:tabs>
        <w:ind w:left="432" w:hanging="432"/>
      </w:pPr>
      <w:rPr>
        <w:rFonts w:hint="default"/>
      </w:rPr>
    </w:lvl>
    <w:lvl w:ilvl="1">
      <w:start w:val="1"/>
      <w:numFmt w:val="bullet"/>
      <w:lvlText w:val="o"/>
      <w:lvlJc w:val="left"/>
      <w:pPr>
        <w:tabs>
          <w:tab w:val="num" w:pos="216"/>
        </w:tabs>
        <w:ind w:left="216" w:hanging="216"/>
      </w:pPr>
      <w:rPr>
        <w:rFonts w:ascii="Courier New" w:hAnsi="Courier New" w:hint="default"/>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79B44364"/>
    <w:multiLevelType w:val="hybridMultilevel"/>
    <w:tmpl w:val="F4C24E30"/>
    <w:lvl w:ilvl="0" w:tplc="0F800C10">
      <w:start w:val="1"/>
      <w:numFmt w:val="decimal"/>
      <w:lvlText w:val="x.1.%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ABC6092"/>
    <w:multiLevelType w:val="multilevel"/>
    <w:tmpl w:val="13D06D6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8" w15:restartNumberingAfterBreak="0">
    <w:nsid w:val="7DC11DF4"/>
    <w:multiLevelType w:val="multilevel"/>
    <w:tmpl w:val="F42E239E"/>
    <w:lvl w:ilvl="0">
      <w:start w:val="1"/>
      <w:numFmt w:val="decimal"/>
      <w:lvlText w:val="[x]%1."/>
      <w:lvlJc w:val="right"/>
      <w:pPr>
        <w:ind w:left="720" w:hanging="360"/>
      </w:pPr>
      <w:rPr>
        <w:rFonts w:ascii="Times New Roman" w:eastAsia="Times New Roman" w:hAnsi="Times New Roman" w:cs="Times New Roman"/>
        <w:b/>
        <w:sz w:val="24"/>
        <w:szCs w:val="24"/>
        <w:u w:val="none"/>
      </w:rPr>
    </w:lvl>
    <w:lvl w:ilvl="1">
      <w:start w:val="1"/>
      <w:numFmt w:val="decimal"/>
      <w:lvlText w:val="%1.%2."/>
      <w:lvlJc w:val="right"/>
      <w:pPr>
        <w:ind w:left="1440" w:hanging="360"/>
      </w:pPr>
      <w:rPr>
        <w:b w:val="0"/>
        <w:sz w:val="24"/>
        <w:szCs w:val="24"/>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9" w15:restartNumberingAfterBreak="0">
    <w:nsid w:val="7FD60AD9"/>
    <w:multiLevelType w:val="hybridMultilevel"/>
    <w:tmpl w:val="BD1A04F2"/>
    <w:lvl w:ilvl="0" w:tplc="BB567E6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2"/>
  </w:num>
  <w:num w:numId="3">
    <w:abstractNumId w:val="3"/>
  </w:num>
  <w:num w:numId="4">
    <w:abstractNumId w:val="6"/>
  </w:num>
  <w:num w:numId="5">
    <w:abstractNumId w:val="14"/>
  </w:num>
  <w:num w:numId="6">
    <w:abstractNumId w:val="1"/>
  </w:num>
  <w:num w:numId="7">
    <w:abstractNumId w:val="15"/>
  </w:num>
  <w:num w:numId="8">
    <w:abstractNumId w:val="1"/>
  </w:num>
  <w:num w:numId="9">
    <w:abstractNumId w:val="4"/>
  </w:num>
  <w:num w:numId="10">
    <w:abstractNumId w:val="10"/>
  </w:num>
  <w:num w:numId="11">
    <w:abstractNumId w:val="8"/>
  </w:num>
  <w:num w:numId="12">
    <w:abstractNumId w:val="19"/>
  </w:num>
  <w:num w:numId="13">
    <w:abstractNumId w:val="18"/>
  </w:num>
  <w:num w:numId="14">
    <w:abstractNumId w:val="12"/>
  </w:num>
  <w:num w:numId="15">
    <w:abstractNumId w:val="5"/>
  </w:num>
  <w:num w:numId="16">
    <w:abstractNumId w:val="13"/>
  </w:num>
  <w:num w:numId="17">
    <w:abstractNumId w:val="17"/>
  </w:num>
  <w:num w:numId="18">
    <w:abstractNumId w:val="9"/>
  </w:num>
  <w:num w:numId="19">
    <w:abstractNumId w:val="7"/>
  </w:num>
  <w:num w:numId="20">
    <w:abstractNumId w:val="1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16"/>
    <w:lvlOverride w:ilvl="0">
      <w:startOverride w:val="1"/>
    </w:lvlOverride>
  </w:num>
  <w:num w:numId="23">
    <w:abstractNumId w:val="16"/>
    <w:lvlOverride w:ilvl="0">
      <w:startOverride w:val="1"/>
    </w:lvlOverride>
  </w:num>
  <w:num w:numId="24">
    <w:abstractNumId w:val="16"/>
    <w:lvlOverride w:ilvl="0">
      <w:startOverride w:val="1"/>
    </w:lvlOverride>
  </w:num>
  <w:num w:numId="25">
    <w:abstractNumId w:val="16"/>
    <w:lvlOverride w:ilvl="0">
      <w:startOverride w:val="1"/>
    </w:lvlOverride>
  </w:num>
  <w:num w:numId="26">
    <w:abstractNumId w:val="16"/>
    <w:lvlOverride w:ilvl="0">
      <w:startOverride w:val="1"/>
    </w:lvlOverride>
  </w:num>
  <w:num w:numId="27">
    <w:abstractNumId w:val="16"/>
    <w:lvlOverride w:ilvl="0">
      <w:startOverride w:val="1"/>
    </w:lvlOverride>
  </w:num>
  <w:num w:numId="28">
    <w:abstractNumId w:val="16"/>
    <w:lvlOverride w:ilvl="0">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11"/>
  </w:num>
  <w:num w:numId="32">
    <w:abstractNumId w:val="11"/>
  </w:num>
  <w:num w:numId="33">
    <w:abstractNumId w:val="11"/>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440"/>
  <w:drawingGridHorizontalSpacing w:val="120"/>
  <w:displayHorizontalDrawingGridEvery w:val="2"/>
  <w:noPunctuationKerning/>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F98"/>
    <w:rsid w:val="00014661"/>
    <w:rsid w:val="00014967"/>
    <w:rsid w:val="00017885"/>
    <w:rsid w:val="00027AB2"/>
    <w:rsid w:val="00040B27"/>
    <w:rsid w:val="000432C9"/>
    <w:rsid w:val="0004596F"/>
    <w:rsid w:val="00061AFA"/>
    <w:rsid w:val="00063DBC"/>
    <w:rsid w:val="00072082"/>
    <w:rsid w:val="00073874"/>
    <w:rsid w:val="00091FCF"/>
    <w:rsid w:val="0009226B"/>
    <w:rsid w:val="0009269E"/>
    <w:rsid w:val="000976C3"/>
    <w:rsid w:val="000A3D20"/>
    <w:rsid w:val="000A53EE"/>
    <w:rsid w:val="000A7F37"/>
    <w:rsid w:val="000B67D0"/>
    <w:rsid w:val="000C044B"/>
    <w:rsid w:val="000C7B96"/>
    <w:rsid w:val="000D0AD9"/>
    <w:rsid w:val="000D553E"/>
    <w:rsid w:val="000E0FFB"/>
    <w:rsid w:val="000E106C"/>
    <w:rsid w:val="000E5C41"/>
    <w:rsid w:val="000E6A83"/>
    <w:rsid w:val="000F015D"/>
    <w:rsid w:val="000F7400"/>
    <w:rsid w:val="00100688"/>
    <w:rsid w:val="00110B6F"/>
    <w:rsid w:val="0011101C"/>
    <w:rsid w:val="00114D28"/>
    <w:rsid w:val="00117D08"/>
    <w:rsid w:val="00125932"/>
    <w:rsid w:val="00130BB0"/>
    <w:rsid w:val="00131403"/>
    <w:rsid w:val="001330BD"/>
    <w:rsid w:val="00134B2E"/>
    <w:rsid w:val="00137324"/>
    <w:rsid w:val="00143087"/>
    <w:rsid w:val="00152590"/>
    <w:rsid w:val="00154E52"/>
    <w:rsid w:val="0016140A"/>
    <w:rsid w:val="001664F5"/>
    <w:rsid w:val="00174BBF"/>
    <w:rsid w:val="0018056A"/>
    <w:rsid w:val="001C093F"/>
    <w:rsid w:val="001C1BFF"/>
    <w:rsid w:val="001D3AF6"/>
    <w:rsid w:val="001D4E11"/>
    <w:rsid w:val="001F1F57"/>
    <w:rsid w:val="001F7152"/>
    <w:rsid w:val="002002B8"/>
    <w:rsid w:val="0020246C"/>
    <w:rsid w:val="002027D4"/>
    <w:rsid w:val="0020305A"/>
    <w:rsid w:val="0020595E"/>
    <w:rsid w:val="00221B9A"/>
    <w:rsid w:val="00231C65"/>
    <w:rsid w:val="00245E19"/>
    <w:rsid w:val="00265C7D"/>
    <w:rsid w:val="00273C18"/>
    <w:rsid w:val="00296B50"/>
    <w:rsid w:val="002A0E8C"/>
    <w:rsid w:val="002A1ABF"/>
    <w:rsid w:val="002A1E7F"/>
    <w:rsid w:val="002A5B1E"/>
    <w:rsid w:val="002C4C19"/>
    <w:rsid w:val="002C5B0A"/>
    <w:rsid w:val="002D0514"/>
    <w:rsid w:val="002E0D9F"/>
    <w:rsid w:val="002E23C4"/>
    <w:rsid w:val="002E4562"/>
    <w:rsid w:val="002F59C5"/>
    <w:rsid w:val="00312D27"/>
    <w:rsid w:val="00314470"/>
    <w:rsid w:val="003234A6"/>
    <w:rsid w:val="003239FA"/>
    <w:rsid w:val="00325AD0"/>
    <w:rsid w:val="003273B0"/>
    <w:rsid w:val="00331E1F"/>
    <w:rsid w:val="0033480B"/>
    <w:rsid w:val="00337878"/>
    <w:rsid w:val="003401A4"/>
    <w:rsid w:val="00345934"/>
    <w:rsid w:val="00353B2F"/>
    <w:rsid w:val="0036727C"/>
    <w:rsid w:val="003723A6"/>
    <w:rsid w:val="00373B11"/>
    <w:rsid w:val="0037576D"/>
    <w:rsid w:val="00381F64"/>
    <w:rsid w:val="00395AB7"/>
    <w:rsid w:val="003A28AD"/>
    <w:rsid w:val="003A2B04"/>
    <w:rsid w:val="003A3787"/>
    <w:rsid w:val="003A4B53"/>
    <w:rsid w:val="003A5FFB"/>
    <w:rsid w:val="003A62B8"/>
    <w:rsid w:val="003A7F1C"/>
    <w:rsid w:val="003B32E0"/>
    <w:rsid w:val="003B5819"/>
    <w:rsid w:val="003B7FC1"/>
    <w:rsid w:val="003D01DC"/>
    <w:rsid w:val="003D23AA"/>
    <w:rsid w:val="003D51B8"/>
    <w:rsid w:val="003D7744"/>
    <w:rsid w:val="003E34B1"/>
    <w:rsid w:val="003E486E"/>
    <w:rsid w:val="004030FF"/>
    <w:rsid w:val="004060CE"/>
    <w:rsid w:val="00410890"/>
    <w:rsid w:val="00411961"/>
    <w:rsid w:val="00427435"/>
    <w:rsid w:val="0043141F"/>
    <w:rsid w:val="00436A2E"/>
    <w:rsid w:val="004413C7"/>
    <w:rsid w:val="00443129"/>
    <w:rsid w:val="00443BE0"/>
    <w:rsid w:val="004450D9"/>
    <w:rsid w:val="00451DF7"/>
    <w:rsid w:val="004525F5"/>
    <w:rsid w:val="004673B7"/>
    <w:rsid w:val="00473047"/>
    <w:rsid w:val="0048351F"/>
    <w:rsid w:val="00495419"/>
    <w:rsid w:val="004955CF"/>
    <w:rsid w:val="004A290A"/>
    <w:rsid w:val="004B1D7C"/>
    <w:rsid w:val="004D0BCD"/>
    <w:rsid w:val="004D56AA"/>
    <w:rsid w:val="004D5D68"/>
    <w:rsid w:val="004E5126"/>
    <w:rsid w:val="004E5649"/>
    <w:rsid w:val="004F473C"/>
    <w:rsid w:val="004F584A"/>
    <w:rsid w:val="0050717E"/>
    <w:rsid w:val="00512EA9"/>
    <w:rsid w:val="00513CA1"/>
    <w:rsid w:val="0051443C"/>
    <w:rsid w:val="00516635"/>
    <w:rsid w:val="005253D2"/>
    <w:rsid w:val="005309D8"/>
    <w:rsid w:val="0054012C"/>
    <w:rsid w:val="005460B8"/>
    <w:rsid w:val="00547C2F"/>
    <w:rsid w:val="00560F32"/>
    <w:rsid w:val="005668B2"/>
    <w:rsid w:val="005835D7"/>
    <w:rsid w:val="0058472A"/>
    <w:rsid w:val="005863E0"/>
    <w:rsid w:val="0059700A"/>
    <w:rsid w:val="005B130A"/>
    <w:rsid w:val="005B2719"/>
    <w:rsid w:val="005B74A7"/>
    <w:rsid w:val="005C3C2C"/>
    <w:rsid w:val="005C4B66"/>
    <w:rsid w:val="005E280F"/>
    <w:rsid w:val="005E6C3F"/>
    <w:rsid w:val="005E7B5C"/>
    <w:rsid w:val="005F1379"/>
    <w:rsid w:val="005F2FCC"/>
    <w:rsid w:val="0060123E"/>
    <w:rsid w:val="00606A5F"/>
    <w:rsid w:val="00614755"/>
    <w:rsid w:val="00621F47"/>
    <w:rsid w:val="0066056E"/>
    <w:rsid w:val="0066270A"/>
    <w:rsid w:val="00663A47"/>
    <w:rsid w:val="00665729"/>
    <w:rsid w:val="00667924"/>
    <w:rsid w:val="00671B54"/>
    <w:rsid w:val="00672664"/>
    <w:rsid w:val="006743A4"/>
    <w:rsid w:val="00684FC0"/>
    <w:rsid w:val="00697DE5"/>
    <w:rsid w:val="006B2E4F"/>
    <w:rsid w:val="006C2550"/>
    <w:rsid w:val="006C442B"/>
    <w:rsid w:val="006C599B"/>
    <w:rsid w:val="006C6685"/>
    <w:rsid w:val="006D0737"/>
    <w:rsid w:val="006E4378"/>
    <w:rsid w:val="006E6B83"/>
    <w:rsid w:val="006F3730"/>
    <w:rsid w:val="006F3FE7"/>
    <w:rsid w:val="006F76E7"/>
    <w:rsid w:val="00701AA4"/>
    <w:rsid w:val="007047A9"/>
    <w:rsid w:val="0071047D"/>
    <w:rsid w:val="00710B75"/>
    <w:rsid w:val="00711B5E"/>
    <w:rsid w:val="00712E19"/>
    <w:rsid w:val="00722991"/>
    <w:rsid w:val="0072498A"/>
    <w:rsid w:val="007376FF"/>
    <w:rsid w:val="00737A90"/>
    <w:rsid w:val="00743BA7"/>
    <w:rsid w:val="0075128C"/>
    <w:rsid w:val="0075368E"/>
    <w:rsid w:val="00762F9B"/>
    <w:rsid w:val="007639C3"/>
    <w:rsid w:val="0076497F"/>
    <w:rsid w:val="0076508A"/>
    <w:rsid w:val="00767AB5"/>
    <w:rsid w:val="00771147"/>
    <w:rsid w:val="00774C37"/>
    <w:rsid w:val="00774D18"/>
    <w:rsid w:val="00776214"/>
    <w:rsid w:val="007824DD"/>
    <w:rsid w:val="00782C3B"/>
    <w:rsid w:val="007852BD"/>
    <w:rsid w:val="007917DF"/>
    <w:rsid w:val="007A3904"/>
    <w:rsid w:val="007B23FF"/>
    <w:rsid w:val="007B4276"/>
    <w:rsid w:val="007B58D2"/>
    <w:rsid w:val="007C122A"/>
    <w:rsid w:val="007C5BB6"/>
    <w:rsid w:val="007E4B5A"/>
    <w:rsid w:val="007E5173"/>
    <w:rsid w:val="007E732D"/>
    <w:rsid w:val="007E7EB6"/>
    <w:rsid w:val="007F33B3"/>
    <w:rsid w:val="007F3C4A"/>
    <w:rsid w:val="008060DC"/>
    <w:rsid w:val="008064EF"/>
    <w:rsid w:val="00812201"/>
    <w:rsid w:val="008153C3"/>
    <w:rsid w:val="00821D14"/>
    <w:rsid w:val="00824895"/>
    <w:rsid w:val="00833CE6"/>
    <w:rsid w:val="00835011"/>
    <w:rsid w:val="00843A9E"/>
    <w:rsid w:val="00844502"/>
    <w:rsid w:val="00860AAB"/>
    <w:rsid w:val="008676E5"/>
    <w:rsid w:val="008704C7"/>
    <w:rsid w:val="008737C8"/>
    <w:rsid w:val="008820FB"/>
    <w:rsid w:val="00886E5D"/>
    <w:rsid w:val="00890481"/>
    <w:rsid w:val="00897C18"/>
    <w:rsid w:val="008A23DE"/>
    <w:rsid w:val="008B7635"/>
    <w:rsid w:val="008C00BE"/>
    <w:rsid w:val="008C7DB7"/>
    <w:rsid w:val="008E5118"/>
    <w:rsid w:val="008F1471"/>
    <w:rsid w:val="009038D2"/>
    <w:rsid w:val="009040BB"/>
    <w:rsid w:val="00915982"/>
    <w:rsid w:val="00924D4A"/>
    <w:rsid w:val="0092528C"/>
    <w:rsid w:val="00925CC1"/>
    <w:rsid w:val="00926F31"/>
    <w:rsid w:val="00936D55"/>
    <w:rsid w:val="009412BD"/>
    <w:rsid w:val="009459BB"/>
    <w:rsid w:val="00946A35"/>
    <w:rsid w:val="00952C2E"/>
    <w:rsid w:val="00954EEB"/>
    <w:rsid w:val="00963DC7"/>
    <w:rsid w:val="0096735B"/>
    <w:rsid w:val="00972153"/>
    <w:rsid w:val="009817E3"/>
    <w:rsid w:val="00991D04"/>
    <w:rsid w:val="00993D93"/>
    <w:rsid w:val="00994483"/>
    <w:rsid w:val="009A4972"/>
    <w:rsid w:val="009A4AD9"/>
    <w:rsid w:val="009B0E6F"/>
    <w:rsid w:val="009B5C8A"/>
    <w:rsid w:val="009D4049"/>
    <w:rsid w:val="009F6373"/>
    <w:rsid w:val="00A00C9C"/>
    <w:rsid w:val="00A01B7B"/>
    <w:rsid w:val="00A03FE4"/>
    <w:rsid w:val="00A0531C"/>
    <w:rsid w:val="00A12913"/>
    <w:rsid w:val="00A20911"/>
    <w:rsid w:val="00A242E5"/>
    <w:rsid w:val="00A2594F"/>
    <w:rsid w:val="00A2658B"/>
    <w:rsid w:val="00A3169D"/>
    <w:rsid w:val="00A3307C"/>
    <w:rsid w:val="00A43B02"/>
    <w:rsid w:val="00A45087"/>
    <w:rsid w:val="00A4611A"/>
    <w:rsid w:val="00A534D5"/>
    <w:rsid w:val="00A605CB"/>
    <w:rsid w:val="00A82AA2"/>
    <w:rsid w:val="00A836C5"/>
    <w:rsid w:val="00A8389F"/>
    <w:rsid w:val="00A870B5"/>
    <w:rsid w:val="00A97153"/>
    <w:rsid w:val="00AA0996"/>
    <w:rsid w:val="00AA5B4E"/>
    <w:rsid w:val="00AB7C6C"/>
    <w:rsid w:val="00AC12D5"/>
    <w:rsid w:val="00AC19A0"/>
    <w:rsid w:val="00AC5ABF"/>
    <w:rsid w:val="00AC711F"/>
    <w:rsid w:val="00AE2D3B"/>
    <w:rsid w:val="00AE3B66"/>
    <w:rsid w:val="00AE414B"/>
    <w:rsid w:val="00AE5C7A"/>
    <w:rsid w:val="00AE6A84"/>
    <w:rsid w:val="00AF7597"/>
    <w:rsid w:val="00B01138"/>
    <w:rsid w:val="00B02614"/>
    <w:rsid w:val="00B02F61"/>
    <w:rsid w:val="00B07F86"/>
    <w:rsid w:val="00B10277"/>
    <w:rsid w:val="00B11161"/>
    <w:rsid w:val="00B21B9D"/>
    <w:rsid w:val="00B24BC0"/>
    <w:rsid w:val="00B3369D"/>
    <w:rsid w:val="00B3459B"/>
    <w:rsid w:val="00B37491"/>
    <w:rsid w:val="00B4785B"/>
    <w:rsid w:val="00B5379C"/>
    <w:rsid w:val="00B64D20"/>
    <w:rsid w:val="00B64F89"/>
    <w:rsid w:val="00B73009"/>
    <w:rsid w:val="00B81043"/>
    <w:rsid w:val="00B8343C"/>
    <w:rsid w:val="00B879D1"/>
    <w:rsid w:val="00B9153C"/>
    <w:rsid w:val="00BC2AB1"/>
    <w:rsid w:val="00BD30B8"/>
    <w:rsid w:val="00BE175A"/>
    <w:rsid w:val="00BE30E1"/>
    <w:rsid w:val="00BE53B1"/>
    <w:rsid w:val="00BE61FA"/>
    <w:rsid w:val="00BF05D4"/>
    <w:rsid w:val="00BF1128"/>
    <w:rsid w:val="00BF1FB0"/>
    <w:rsid w:val="00C07226"/>
    <w:rsid w:val="00C0789C"/>
    <w:rsid w:val="00C224D3"/>
    <w:rsid w:val="00C23A60"/>
    <w:rsid w:val="00C343B2"/>
    <w:rsid w:val="00C35604"/>
    <w:rsid w:val="00C36321"/>
    <w:rsid w:val="00C443A6"/>
    <w:rsid w:val="00C46E8B"/>
    <w:rsid w:val="00C527DB"/>
    <w:rsid w:val="00C53F1D"/>
    <w:rsid w:val="00C626ED"/>
    <w:rsid w:val="00C7120D"/>
    <w:rsid w:val="00C73855"/>
    <w:rsid w:val="00C76234"/>
    <w:rsid w:val="00C808AC"/>
    <w:rsid w:val="00C827B1"/>
    <w:rsid w:val="00C82E0F"/>
    <w:rsid w:val="00C86FFD"/>
    <w:rsid w:val="00C92DAD"/>
    <w:rsid w:val="00CA142E"/>
    <w:rsid w:val="00CA1AF0"/>
    <w:rsid w:val="00CA30DC"/>
    <w:rsid w:val="00CC35CD"/>
    <w:rsid w:val="00CD4FDB"/>
    <w:rsid w:val="00CD7BD5"/>
    <w:rsid w:val="00CE03C8"/>
    <w:rsid w:val="00CE4EA4"/>
    <w:rsid w:val="00CF2094"/>
    <w:rsid w:val="00CF3D8A"/>
    <w:rsid w:val="00D057ED"/>
    <w:rsid w:val="00D1587B"/>
    <w:rsid w:val="00D25A61"/>
    <w:rsid w:val="00D32A13"/>
    <w:rsid w:val="00D45EE9"/>
    <w:rsid w:val="00D50910"/>
    <w:rsid w:val="00D62B47"/>
    <w:rsid w:val="00D64F6E"/>
    <w:rsid w:val="00D7051E"/>
    <w:rsid w:val="00D73525"/>
    <w:rsid w:val="00D803CC"/>
    <w:rsid w:val="00D81DF5"/>
    <w:rsid w:val="00D955CB"/>
    <w:rsid w:val="00DA6379"/>
    <w:rsid w:val="00DA687D"/>
    <w:rsid w:val="00DA7758"/>
    <w:rsid w:val="00DB0CAB"/>
    <w:rsid w:val="00DB3F98"/>
    <w:rsid w:val="00DB4107"/>
    <w:rsid w:val="00DD108B"/>
    <w:rsid w:val="00DD1535"/>
    <w:rsid w:val="00DD3CFD"/>
    <w:rsid w:val="00DE3B54"/>
    <w:rsid w:val="00DF061A"/>
    <w:rsid w:val="00DF2E1C"/>
    <w:rsid w:val="00E03C90"/>
    <w:rsid w:val="00E12174"/>
    <w:rsid w:val="00E15114"/>
    <w:rsid w:val="00E20247"/>
    <w:rsid w:val="00E33469"/>
    <w:rsid w:val="00E35039"/>
    <w:rsid w:val="00E361F5"/>
    <w:rsid w:val="00E3668D"/>
    <w:rsid w:val="00E3723A"/>
    <w:rsid w:val="00E37CC3"/>
    <w:rsid w:val="00E42511"/>
    <w:rsid w:val="00E435D7"/>
    <w:rsid w:val="00E45912"/>
    <w:rsid w:val="00E474AF"/>
    <w:rsid w:val="00E56175"/>
    <w:rsid w:val="00E600A0"/>
    <w:rsid w:val="00E64BCB"/>
    <w:rsid w:val="00E67B46"/>
    <w:rsid w:val="00E7033E"/>
    <w:rsid w:val="00E73D03"/>
    <w:rsid w:val="00E7419B"/>
    <w:rsid w:val="00E776A6"/>
    <w:rsid w:val="00E83986"/>
    <w:rsid w:val="00E86D50"/>
    <w:rsid w:val="00E9629A"/>
    <w:rsid w:val="00EA2E39"/>
    <w:rsid w:val="00EA3EB7"/>
    <w:rsid w:val="00EA4634"/>
    <w:rsid w:val="00EA79EE"/>
    <w:rsid w:val="00EB15D8"/>
    <w:rsid w:val="00EB25C4"/>
    <w:rsid w:val="00EC3688"/>
    <w:rsid w:val="00EC5507"/>
    <w:rsid w:val="00EC5F73"/>
    <w:rsid w:val="00ED5285"/>
    <w:rsid w:val="00ED73BC"/>
    <w:rsid w:val="00EE3EB8"/>
    <w:rsid w:val="00EE7510"/>
    <w:rsid w:val="00EF0022"/>
    <w:rsid w:val="00EF046A"/>
    <w:rsid w:val="00EF4338"/>
    <w:rsid w:val="00EF4806"/>
    <w:rsid w:val="00F11BAE"/>
    <w:rsid w:val="00F15391"/>
    <w:rsid w:val="00F178F3"/>
    <w:rsid w:val="00F23C0C"/>
    <w:rsid w:val="00F312CA"/>
    <w:rsid w:val="00F3394A"/>
    <w:rsid w:val="00F34CE3"/>
    <w:rsid w:val="00F40328"/>
    <w:rsid w:val="00F465F9"/>
    <w:rsid w:val="00F47E5E"/>
    <w:rsid w:val="00F57AC2"/>
    <w:rsid w:val="00F76074"/>
    <w:rsid w:val="00F760F4"/>
    <w:rsid w:val="00F81B8C"/>
    <w:rsid w:val="00F86D6D"/>
    <w:rsid w:val="00F96C42"/>
    <w:rsid w:val="00F97428"/>
    <w:rsid w:val="00FB27C6"/>
    <w:rsid w:val="00FB4768"/>
    <w:rsid w:val="00FC0AA9"/>
    <w:rsid w:val="00FC4C4A"/>
    <w:rsid w:val="00FE3A0D"/>
    <w:rsid w:val="45D9FEAD"/>
    <w:rsid w:val="65D5CF9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187EC58"/>
  <w15:docId w15:val="{A8C76B91-5F1B-43C0-A586-7CD064742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5">
    <w:lsdException w:name="Normal"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B4276"/>
    <w:rPr>
      <w:sz w:val="24"/>
      <w:szCs w:val="24"/>
    </w:rPr>
  </w:style>
  <w:style w:type="paragraph" w:styleId="Heading1">
    <w:name w:val="heading 1"/>
    <w:basedOn w:val="Normal"/>
    <w:next w:val="Normal"/>
    <w:rsid w:val="0083501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35011"/>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835011"/>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835011"/>
    <w:pPr>
      <w:keepNext/>
      <w:numPr>
        <w:ilvl w:val="3"/>
        <w:numId w:val="1"/>
      </w:numPr>
      <w:spacing w:before="240" w:after="60"/>
      <w:outlineLvl w:val="3"/>
    </w:pPr>
    <w:rPr>
      <w:b/>
      <w:bCs/>
      <w:sz w:val="28"/>
      <w:szCs w:val="28"/>
    </w:rPr>
  </w:style>
  <w:style w:type="paragraph" w:styleId="Heading5">
    <w:name w:val="heading 5"/>
    <w:basedOn w:val="Normal"/>
    <w:next w:val="Normal"/>
    <w:qFormat/>
    <w:rsid w:val="00835011"/>
    <w:pPr>
      <w:numPr>
        <w:ilvl w:val="4"/>
        <w:numId w:val="1"/>
      </w:numPr>
      <w:spacing w:before="240" w:after="60"/>
      <w:outlineLvl w:val="4"/>
    </w:pPr>
    <w:rPr>
      <w:b/>
      <w:bCs/>
      <w:i/>
      <w:iCs/>
      <w:sz w:val="26"/>
      <w:szCs w:val="26"/>
    </w:rPr>
  </w:style>
  <w:style w:type="paragraph" w:styleId="Heading6">
    <w:name w:val="heading 6"/>
    <w:basedOn w:val="Normal"/>
    <w:next w:val="Normal"/>
    <w:qFormat/>
    <w:rsid w:val="00835011"/>
    <w:pPr>
      <w:numPr>
        <w:ilvl w:val="5"/>
        <w:numId w:val="1"/>
      </w:numPr>
      <w:spacing w:before="240" w:after="60"/>
      <w:outlineLvl w:val="5"/>
    </w:pPr>
    <w:rPr>
      <w:b/>
      <w:bCs/>
      <w:sz w:val="22"/>
      <w:szCs w:val="22"/>
    </w:rPr>
  </w:style>
  <w:style w:type="paragraph" w:styleId="Heading7">
    <w:name w:val="heading 7"/>
    <w:basedOn w:val="Normal"/>
    <w:next w:val="Normal"/>
    <w:qFormat/>
    <w:rsid w:val="00835011"/>
    <w:pPr>
      <w:numPr>
        <w:ilvl w:val="6"/>
        <w:numId w:val="1"/>
      </w:numPr>
      <w:spacing w:before="240" w:after="60"/>
      <w:outlineLvl w:val="6"/>
    </w:pPr>
  </w:style>
  <w:style w:type="paragraph" w:styleId="Heading8">
    <w:name w:val="heading 8"/>
    <w:basedOn w:val="Normal"/>
    <w:next w:val="Normal"/>
    <w:qFormat/>
    <w:rsid w:val="00835011"/>
    <w:pPr>
      <w:numPr>
        <w:ilvl w:val="7"/>
        <w:numId w:val="1"/>
      </w:numPr>
      <w:spacing w:before="240" w:after="60"/>
      <w:outlineLvl w:val="7"/>
    </w:pPr>
    <w:rPr>
      <w:i/>
      <w:iCs/>
    </w:rPr>
  </w:style>
  <w:style w:type="paragraph" w:styleId="Heading9">
    <w:name w:val="heading 9"/>
    <w:basedOn w:val="Normal"/>
    <w:next w:val="Normal"/>
    <w:qFormat/>
    <w:rsid w:val="00835011"/>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870B5"/>
    <w:pPr>
      <w:tabs>
        <w:tab w:val="center" w:pos="4320"/>
        <w:tab w:val="right" w:pos="8640"/>
      </w:tabs>
    </w:pPr>
  </w:style>
  <w:style w:type="paragraph" w:styleId="Footer">
    <w:name w:val="footer"/>
    <w:basedOn w:val="Normal"/>
    <w:rsid w:val="00A870B5"/>
    <w:pPr>
      <w:tabs>
        <w:tab w:val="center" w:pos="4320"/>
        <w:tab w:val="right" w:pos="8640"/>
      </w:tabs>
    </w:pPr>
  </w:style>
  <w:style w:type="paragraph" w:customStyle="1" w:styleId="EMBanner">
    <w:name w:val="EM Banner"/>
    <w:basedOn w:val="Normal"/>
    <w:next w:val="EMSITitle"/>
    <w:rsid w:val="00072082"/>
    <w:pPr>
      <w:keepNext/>
      <w:spacing w:after="360"/>
      <w:jc w:val="center"/>
    </w:pPr>
    <w:rPr>
      <w:b/>
      <w:bCs/>
      <w:caps/>
      <w:szCs w:val="20"/>
    </w:rPr>
  </w:style>
  <w:style w:type="paragraph" w:customStyle="1" w:styleId="EMSITitle">
    <w:name w:val="EM SI Title"/>
    <w:basedOn w:val="Normal"/>
    <w:next w:val="EMSINumber"/>
    <w:rsid w:val="00072082"/>
    <w:pPr>
      <w:keepNext/>
      <w:spacing w:after="240"/>
      <w:jc w:val="center"/>
    </w:pPr>
    <w:rPr>
      <w:b/>
      <w:bCs/>
      <w:caps/>
      <w:szCs w:val="20"/>
    </w:rPr>
  </w:style>
  <w:style w:type="paragraph" w:customStyle="1" w:styleId="EMSINumber">
    <w:name w:val="EM SI Number"/>
    <w:basedOn w:val="Normal"/>
    <w:next w:val="EMSITitle"/>
    <w:rsid w:val="00072082"/>
    <w:pPr>
      <w:keepNext/>
      <w:spacing w:after="360"/>
      <w:jc w:val="center"/>
    </w:pPr>
    <w:rPr>
      <w:b/>
      <w:bCs/>
      <w:szCs w:val="20"/>
    </w:rPr>
  </w:style>
  <w:style w:type="paragraph" w:customStyle="1" w:styleId="EMSectionTitle">
    <w:name w:val="EM Section Title"/>
    <w:basedOn w:val="Heading1"/>
    <w:next w:val="EMLevel1Paragraph"/>
    <w:rsid w:val="00CD4FDB"/>
    <w:pPr>
      <w:numPr>
        <w:numId w:val="1"/>
      </w:numPr>
      <w:spacing w:after="0"/>
    </w:pPr>
    <w:rPr>
      <w:rFonts w:ascii="Times New Roman" w:hAnsi="Times New Roman"/>
      <w:sz w:val="24"/>
    </w:rPr>
  </w:style>
  <w:style w:type="paragraph" w:customStyle="1" w:styleId="EMLevel1Paragraph">
    <w:name w:val="EM Level 1 Paragraph"/>
    <w:basedOn w:val="Heading2"/>
    <w:qFormat/>
    <w:rsid w:val="00C92DAD"/>
    <w:pPr>
      <w:keepNext w:val="0"/>
      <w:spacing w:before="120"/>
    </w:pPr>
    <w:rPr>
      <w:rFonts w:ascii="Times New Roman" w:hAnsi="Times New Roman"/>
      <w:b w:val="0"/>
      <w:bCs w:val="0"/>
      <w:i w:val="0"/>
      <w:iCs w:val="0"/>
      <w:sz w:val="24"/>
    </w:rPr>
  </w:style>
  <w:style w:type="paragraph" w:customStyle="1" w:styleId="EMLevel2Paragraph">
    <w:name w:val="EM Level 2 Paragraph"/>
    <w:basedOn w:val="Heading3"/>
    <w:rsid w:val="00C92DAD"/>
    <w:pPr>
      <w:keepNext w:val="0"/>
      <w:spacing w:before="120"/>
    </w:pPr>
    <w:rPr>
      <w:rFonts w:ascii="Times New Roman" w:hAnsi="Times New Roman"/>
      <w:b w:val="0"/>
      <w:bCs w:val="0"/>
      <w:sz w:val="24"/>
    </w:rPr>
  </w:style>
  <w:style w:type="paragraph" w:customStyle="1" w:styleId="EMLevel1Bullet">
    <w:name w:val="EM Level 1 Bullet"/>
    <w:basedOn w:val="Normal"/>
    <w:rsid w:val="00F97428"/>
    <w:pPr>
      <w:numPr>
        <w:numId w:val="3"/>
      </w:numPr>
      <w:spacing w:before="60" w:after="60"/>
      <w:ind w:left="1440" w:hanging="533"/>
    </w:pPr>
  </w:style>
  <w:style w:type="paragraph" w:customStyle="1" w:styleId="EMLevel2Bullet">
    <w:name w:val="EM Level 2 Bullet"/>
    <w:basedOn w:val="Normal"/>
    <w:rsid w:val="00F97428"/>
    <w:pPr>
      <w:numPr>
        <w:ilvl w:val="1"/>
        <w:numId w:val="6"/>
      </w:numPr>
      <w:tabs>
        <w:tab w:val="clear" w:pos="1440"/>
      </w:tabs>
      <w:spacing w:before="60" w:after="60"/>
      <w:ind w:left="2160" w:hanging="540"/>
    </w:pPr>
  </w:style>
  <w:style w:type="paragraph" w:customStyle="1" w:styleId="EMSub-sectiontitle">
    <w:name w:val="EM Sub-section title"/>
    <w:basedOn w:val="Normal"/>
    <w:next w:val="EMLevel1Paragraph"/>
    <w:rsid w:val="00072082"/>
    <w:pPr>
      <w:keepNext/>
      <w:spacing w:before="240"/>
      <w:ind w:left="720"/>
    </w:pPr>
    <w:rPr>
      <w:b/>
      <w:bCs/>
      <w:i/>
      <w:iCs/>
      <w:sz w:val="22"/>
      <w:szCs w:val="20"/>
    </w:rPr>
  </w:style>
  <w:style w:type="character" w:styleId="PageNumber">
    <w:name w:val="page number"/>
    <w:basedOn w:val="DefaultParagraphFont"/>
    <w:rsid w:val="009D4049"/>
  </w:style>
  <w:style w:type="paragraph" w:customStyle="1" w:styleId="EMParagraphContinuationUnnumbered">
    <w:name w:val="EM Paragraph Continuation (Unnumbered)"/>
    <w:basedOn w:val="Normal"/>
    <w:next w:val="EMLevel1Paragraph"/>
    <w:link w:val="EMParagraphContinuationUnnumberedChar"/>
    <w:qFormat/>
    <w:rsid w:val="004F473C"/>
    <w:pPr>
      <w:tabs>
        <w:tab w:val="left" w:pos="1440"/>
        <w:tab w:val="left" w:pos="2160"/>
      </w:tabs>
      <w:spacing w:before="120" w:after="60"/>
      <w:ind w:left="720"/>
    </w:pPr>
  </w:style>
  <w:style w:type="paragraph" w:customStyle="1" w:styleId="EMLevel1ListManualNumbering">
    <w:name w:val="EM Level 1 List (Manual Numbering)"/>
    <w:basedOn w:val="Normal"/>
    <w:link w:val="EMLevel1ListManualNumberingChar"/>
    <w:rsid w:val="004B1D7C"/>
    <w:pPr>
      <w:tabs>
        <w:tab w:val="left" w:pos="1440"/>
      </w:tabs>
      <w:spacing w:before="60" w:after="60"/>
      <w:ind w:left="1440" w:hanging="540"/>
    </w:pPr>
    <w:rPr>
      <w:color w:val="000000"/>
    </w:rPr>
  </w:style>
  <w:style w:type="character" w:customStyle="1" w:styleId="EMParagraphContinuationUnnumberedChar">
    <w:name w:val="EM Paragraph Continuation (Unnumbered) Char"/>
    <w:link w:val="EMParagraphContinuationUnnumbered"/>
    <w:rsid w:val="004F473C"/>
    <w:rPr>
      <w:sz w:val="24"/>
      <w:szCs w:val="24"/>
      <w:lang w:eastAsia="en-US"/>
    </w:rPr>
  </w:style>
  <w:style w:type="paragraph" w:customStyle="1" w:styleId="EMLevel1BulletContinuation">
    <w:name w:val="EM Level 1 Bullet Continuation"/>
    <w:basedOn w:val="Normal"/>
    <w:qFormat/>
    <w:rsid w:val="00EC3688"/>
    <w:pPr>
      <w:spacing w:before="60" w:after="60"/>
      <w:ind w:left="1440"/>
    </w:pPr>
  </w:style>
  <w:style w:type="paragraph" w:customStyle="1" w:styleId="EMLevel2BulletContinuation">
    <w:name w:val="EM Level 2 Bullet Continuation"/>
    <w:basedOn w:val="Normal"/>
    <w:qFormat/>
    <w:rsid w:val="00EC3688"/>
    <w:pPr>
      <w:spacing w:before="60" w:after="60"/>
      <w:ind w:left="2160"/>
    </w:pPr>
  </w:style>
  <w:style w:type="paragraph" w:customStyle="1" w:styleId="EMLevel2ListManualNumbering">
    <w:name w:val="EM Level 2 List (Manual Numbering)"/>
    <w:basedOn w:val="Normal"/>
    <w:link w:val="EMLevel2ListManualNumberingChar"/>
    <w:rsid w:val="004B1D7C"/>
    <w:pPr>
      <w:tabs>
        <w:tab w:val="left" w:pos="2160"/>
      </w:tabs>
      <w:spacing w:before="60" w:after="60"/>
      <w:ind w:left="2160" w:hanging="540"/>
    </w:pPr>
    <w:rPr>
      <w:color w:val="000000"/>
    </w:rPr>
  </w:style>
  <w:style w:type="character" w:customStyle="1" w:styleId="EMLevel1ListManualNumberingChar">
    <w:name w:val="EM Level 1 List (Manual Numbering) Char"/>
    <w:link w:val="EMLevel1ListManualNumbering"/>
    <w:rsid w:val="00014967"/>
    <w:rPr>
      <w:color w:val="000000"/>
      <w:sz w:val="24"/>
      <w:szCs w:val="24"/>
      <w:lang w:eastAsia="en-US"/>
    </w:rPr>
  </w:style>
  <w:style w:type="paragraph" w:customStyle="1" w:styleId="AnnexMainHeading">
    <w:name w:val="Annex Main Heading"/>
    <w:basedOn w:val="Normal"/>
    <w:qFormat/>
    <w:rsid w:val="004B1D7C"/>
    <w:pPr>
      <w:pBdr>
        <w:top w:val="nil"/>
        <w:left w:val="nil"/>
        <w:bottom w:val="nil"/>
        <w:right w:val="nil"/>
        <w:between w:val="nil"/>
      </w:pBdr>
      <w:spacing w:line="276" w:lineRule="auto"/>
      <w:jc w:val="center"/>
    </w:pPr>
    <w:rPr>
      <w:b/>
      <w:color w:val="000000"/>
      <w:sz w:val="48"/>
      <w:szCs w:val="48"/>
    </w:rPr>
  </w:style>
  <w:style w:type="character" w:customStyle="1" w:styleId="EMLevel2ListManualNumberingChar">
    <w:name w:val="EM Level 2 List (Manual Numbering) Char"/>
    <w:link w:val="EMLevel2ListManualNumbering"/>
    <w:rsid w:val="00014967"/>
    <w:rPr>
      <w:color w:val="000000"/>
      <w:sz w:val="24"/>
      <w:szCs w:val="24"/>
      <w:lang w:eastAsia="en-US"/>
    </w:rPr>
  </w:style>
  <w:style w:type="paragraph" w:customStyle="1" w:styleId="AnnexMainTitle">
    <w:name w:val="Annex Main Title"/>
    <w:basedOn w:val="Normal"/>
    <w:qFormat/>
    <w:rsid w:val="004B1D7C"/>
    <w:pPr>
      <w:pBdr>
        <w:top w:val="nil"/>
        <w:left w:val="nil"/>
        <w:bottom w:val="nil"/>
        <w:right w:val="nil"/>
        <w:between w:val="nil"/>
      </w:pBdr>
      <w:spacing w:line="276" w:lineRule="auto"/>
      <w:jc w:val="center"/>
    </w:pPr>
    <w:rPr>
      <w:b/>
      <w:color w:val="000000"/>
      <w:sz w:val="36"/>
      <w:szCs w:val="36"/>
    </w:rPr>
  </w:style>
  <w:style w:type="paragraph" w:customStyle="1" w:styleId="AnnexPartHeading">
    <w:name w:val="Annex Part Heading"/>
    <w:basedOn w:val="Normal"/>
    <w:qFormat/>
    <w:rsid w:val="004B1D7C"/>
    <w:pPr>
      <w:pBdr>
        <w:top w:val="nil"/>
        <w:left w:val="nil"/>
        <w:bottom w:val="nil"/>
        <w:right w:val="nil"/>
        <w:between w:val="nil"/>
      </w:pBdr>
      <w:spacing w:before="360" w:line="276" w:lineRule="auto"/>
      <w:jc w:val="center"/>
    </w:pPr>
    <w:rPr>
      <w:b/>
      <w:color w:val="000000"/>
      <w:sz w:val="36"/>
      <w:szCs w:val="36"/>
    </w:rPr>
  </w:style>
  <w:style w:type="paragraph" w:customStyle="1" w:styleId="AnnexPartTitle">
    <w:name w:val="Annex Part Title"/>
    <w:basedOn w:val="Normal"/>
    <w:qFormat/>
    <w:rsid w:val="004B1D7C"/>
    <w:pPr>
      <w:pBdr>
        <w:top w:val="nil"/>
        <w:left w:val="nil"/>
        <w:bottom w:val="nil"/>
        <w:right w:val="nil"/>
        <w:between w:val="nil"/>
      </w:pBdr>
      <w:spacing w:line="276" w:lineRule="auto"/>
      <w:jc w:val="center"/>
    </w:pPr>
    <w:rPr>
      <w:color w:val="000000"/>
      <w:sz w:val="36"/>
      <w:szCs w:val="36"/>
    </w:rPr>
  </w:style>
  <w:style w:type="paragraph" w:customStyle="1" w:styleId="AnnexTableHeadings">
    <w:name w:val="Annex Table Headings"/>
    <w:basedOn w:val="Normal"/>
    <w:qFormat/>
    <w:rsid w:val="004B1D7C"/>
    <w:pPr>
      <w:widowControl w:val="0"/>
      <w:pBdr>
        <w:top w:val="nil"/>
        <w:left w:val="nil"/>
        <w:bottom w:val="nil"/>
        <w:right w:val="nil"/>
        <w:between w:val="nil"/>
      </w:pBdr>
      <w:spacing w:line="276" w:lineRule="auto"/>
      <w:jc w:val="center"/>
    </w:pPr>
    <w:rPr>
      <w:b/>
      <w:color w:val="000000"/>
      <w:sz w:val="20"/>
      <w:szCs w:val="20"/>
    </w:rPr>
  </w:style>
  <w:style w:type="paragraph" w:customStyle="1" w:styleId="AnnexTableText">
    <w:name w:val="Annex Table Text"/>
    <w:basedOn w:val="Normal"/>
    <w:qFormat/>
    <w:rsid w:val="004B1D7C"/>
    <w:pPr>
      <w:widowControl w:val="0"/>
      <w:pBdr>
        <w:top w:val="nil"/>
        <w:left w:val="nil"/>
        <w:bottom w:val="nil"/>
        <w:right w:val="nil"/>
        <w:between w:val="nil"/>
      </w:pBdr>
      <w:spacing w:line="276" w:lineRule="auto"/>
    </w:pPr>
    <w:rPr>
      <w:color w:val="000000"/>
      <w:sz w:val="20"/>
      <w:szCs w:val="20"/>
    </w:rPr>
  </w:style>
  <w:style w:type="paragraph" w:styleId="BalloonText">
    <w:name w:val="Balloon Text"/>
    <w:basedOn w:val="Normal"/>
    <w:link w:val="BalloonTextChar"/>
    <w:semiHidden/>
    <w:unhideWhenUsed/>
    <w:rsid w:val="008064EF"/>
    <w:rPr>
      <w:rFonts w:ascii="Segoe UI" w:hAnsi="Segoe UI" w:cs="Segoe UI"/>
      <w:sz w:val="18"/>
      <w:szCs w:val="18"/>
    </w:rPr>
  </w:style>
  <w:style w:type="paragraph" w:customStyle="1" w:styleId="EMSub-sub-sectiontitle">
    <w:name w:val="EM Sub-sub-section title"/>
    <w:basedOn w:val="EMSub-sectiontitle"/>
    <w:qFormat/>
    <w:rsid w:val="007B4276"/>
    <w:rPr>
      <w:b w:val="0"/>
      <w:u w:val="single"/>
    </w:rPr>
  </w:style>
  <w:style w:type="character" w:customStyle="1" w:styleId="BalloonTextChar">
    <w:name w:val="Balloon Text Char"/>
    <w:link w:val="BalloonText"/>
    <w:semiHidden/>
    <w:rsid w:val="008064EF"/>
    <w:rPr>
      <w:rFonts w:ascii="Segoe UI" w:hAnsi="Segoe UI" w:cs="Segoe UI"/>
      <w:sz w:val="18"/>
      <w:szCs w:val="18"/>
      <w:lang w:eastAsia="en-US"/>
    </w:rPr>
  </w:style>
  <w:style w:type="character" w:styleId="CommentReference">
    <w:name w:val="annotation reference"/>
    <w:basedOn w:val="DefaultParagraphFont"/>
    <w:uiPriority w:val="99"/>
    <w:semiHidden/>
    <w:unhideWhenUsed/>
    <w:rsid w:val="002027D4"/>
    <w:rPr>
      <w:sz w:val="16"/>
      <w:szCs w:val="16"/>
    </w:rPr>
  </w:style>
  <w:style w:type="paragraph" w:styleId="CommentText">
    <w:name w:val="annotation text"/>
    <w:basedOn w:val="Normal"/>
    <w:link w:val="CommentTextChar"/>
    <w:uiPriority w:val="99"/>
    <w:semiHidden/>
    <w:unhideWhenUsed/>
    <w:rsid w:val="002027D4"/>
    <w:rPr>
      <w:sz w:val="20"/>
      <w:szCs w:val="20"/>
    </w:rPr>
  </w:style>
  <w:style w:type="character" w:customStyle="1" w:styleId="CommentTextChar">
    <w:name w:val="Comment Text Char"/>
    <w:basedOn w:val="DefaultParagraphFont"/>
    <w:link w:val="CommentText"/>
    <w:uiPriority w:val="99"/>
    <w:semiHidden/>
    <w:rsid w:val="002027D4"/>
  </w:style>
  <w:style w:type="paragraph" w:styleId="CommentSubject">
    <w:name w:val="annotation subject"/>
    <w:basedOn w:val="CommentText"/>
    <w:next w:val="CommentText"/>
    <w:link w:val="CommentSubjectChar"/>
    <w:semiHidden/>
    <w:unhideWhenUsed/>
    <w:rsid w:val="002027D4"/>
    <w:rPr>
      <w:b/>
      <w:bCs/>
    </w:rPr>
  </w:style>
  <w:style w:type="character" w:customStyle="1" w:styleId="CommentSubjectChar">
    <w:name w:val="Comment Subject Char"/>
    <w:basedOn w:val="CommentTextChar"/>
    <w:link w:val="CommentSubject"/>
    <w:semiHidden/>
    <w:rsid w:val="002027D4"/>
    <w:rPr>
      <w:b/>
      <w:bCs/>
    </w:rPr>
  </w:style>
  <w:style w:type="character" w:customStyle="1" w:styleId="normaltextrun">
    <w:name w:val="normaltextrun"/>
    <w:basedOn w:val="DefaultParagraphFont"/>
    <w:rsid w:val="001D3A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237888">
      <w:bodyDiv w:val="1"/>
      <w:marLeft w:val="0"/>
      <w:marRight w:val="0"/>
      <w:marTop w:val="0"/>
      <w:marBottom w:val="0"/>
      <w:divBdr>
        <w:top w:val="none" w:sz="0" w:space="0" w:color="auto"/>
        <w:left w:val="none" w:sz="0" w:space="0" w:color="auto"/>
        <w:bottom w:val="none" w:sz="0" w:space="0" w:color="auto"/>
        <w:right w:val="none" w:sz="0" w:space="0" w:color="auto"/>
      </w:divBdr>
    </w:div>
    <w:div w:id="19092234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tgomeryv\Downloads\EM%20Template%2007.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CD494154588A41975F209AEE0DD42B" ma:contentTypeVersion="4086" ma:contentTypeDescription="Create a new document." ma:contentTypeScope="" ma:versionID="126826af8733df30f5121279a440723e">
  <xsd:schema xmlns:xsd="http://www.w3.org/2001/XMLSchema" xmlns:xs="http://www.w3.org/2001/XMLSchema" xmlns:p="http://schemas.microsoft.com/office/2006/metadata/properties" xmlns:ns2="b413c3fd-5a3b-4239-b985-69032e371c04" xmlns:ns3="7fd9e60a-720a-478c-bf76-b460d35d354e" xmlns:ns4="a8f60570-4bd3-4f2b-950b-a996de8ab151" xmlns:ns5="b67a7830-db79-4a49-bf27-2aff92a2201a" xmlns:ns6="a172083e-e40c-4314-b43a-827352a1ed2c" xmlns:ns7="c963a4c1-1bb4-49f2-a011-9c776a7eed2a" xmlns:ns8="a78a8386-d519-4a69-8203-e3fefc210419" xmlns:ns9="c0e5669f-1bcb-499c-94e0-3ccb733d3d13" targetNamespace="http://schemas.microsoft.com/office/2006/metadata/properties" ma:root="true" ma:fieldsID="1b1c22e311939e37de590bcb2dd06a51" ns2:_="" ns3:_="" ns4:_="" ns5:_="" ns6:_="" ns7:_="" ns8:_="" ns9:_="">
    <xsd:import namespace="b413c3fd-5a3b-4239-b985-69032e371c04"/>
    <xsd:import namespace="7fd9e60a-720a-478c-bf76-b460d35d354e"/>
    <xsd:import namespace="a8f60570-4bd3-4f2b-950b-a996de8ab151"/>
    <xsd:import namespace="b67a7830-db79-4a49-bf27-2aff92a2201a"/>
    <xsd:import namespace="a172083e-e40c-4314-b43a-827352a1ed2c"/>
    <xsd:import namespace="c963a4c1-1bb4-49f2-a011-9c776a7eed2a"/>
    <xsd:import namespace="a78a8386-d519-4a69-8203-e3fefc210419"/>
    <xsd:import namespace="c0e5669f-1bcb-499c-94e0-3ccb733d3d13"/>
    <xsd:element name="properties">
      <xsd:complexType>
        <xsd:sequence>
          <xsd:element name="documentManagement">
            <xsd:complexType>
              <xsd:all>
                <xsd:element ref="ns2:Document_x0020_Notes" minOccurs="0"/>
                <xsd:element ref="ns3:Security_x0020_Classification" minOccurs="0"/>
                <xsd:element ref="ns2:Handling_x0020_Instructions" minOccurs="0"/>
                <xsd:element ref="ns3:Descriptor" minOccurs="0"/>
                <xsd:element ref="ns2:Government_x0020_Body" minOccurs="0"/>
                <xsd:element ref="ns4:Retention_x0020_Label" minOccurs="0"/>
                <xsd:element ref="ns2:Date_x0020_Opened" minOccurs="0"/>
                <xsd:element ref="ns2:Date_x0020_Closed" minOccurs="0"/>
                <xsd:element ref="ns3:National_x0020_Caveat" minOccurs="0"/>
                <xsd:element ref="ns2:CIRRUSPreviousLocation" minOccurs="0"/>
                <xsd:element ref="ns2:CIRRUSPreviousID" minOccurs="0"/>
                <xsd:element ref="ns5:LegacyDocumentType" minOccurs="0"/>
                <xsd:element ref="ns5:LegacyFileplanTarget" minOccurs="0"/>
                <xsd:element ref="ns5:LegacyNumericClass" minOccurs="0"/>
                <xsd:element ref="ns5:LegacyFolderType" minOccurs="0"/>
                <xsd:element ref="ns5:LegacyRecordFolderIdentifier" minOccurs="0"/>
                <xsd:element ref="ns5:LegacyCopyright" minOccurs="0"/>
                <xsd:element ref="ns5:LegacyLastModifiedDate" minOccurs="0"/>
                <xsd:element ref="ns5:LegacyModifier" minOccurs="0"/>
                <xsd:element ref="ns5:LegacyFolder" minOccurs="0"/>
                <xsd:element ref="ns5:LegacyContentType" minOccurs="0"/>
                <xsd:element ref="ns5:LegacyExpiryReviewDate" minOccurs="0"/>
                <xsd:element ref="ns5:LegacyLastActionDate" minOccurs="0"/>
                <xsd:element ref="ns5:LegacyProtectiveMarking" minOccurs="0"/>
                <xsd:element ref="ns5:LegacyTags" minOccurs="0"/>
                <xsd:element ref="ns5:LegacyReferencesFromOtherItems" minOccurs="0"/>
                <xsd:element ref="ns5:LegacyStatusonTransfer" minOccurs="0"/>
                <xsd:element ref="ns5:LegacyDateClosed" minOccurs="0"/>
                <xsd:element ref="ns5:LegacyRecordCategoryIdentifier" minOccurs="0"/>
                <xsd:element ref="ns5:LegacyDispositionAsOfDate" minOccurs="0"/>
                <xsd:element ref="ns5:LegacyHomeLocation" minOccurs="0"/>
                <xsd:element ref="ns5:LegacyCurrentLocation" minOccurs="0"/>
                <xsd:element ref="ns5:LegacyAdditionalAuthors" minOccurs="0"/>
                <xsd:element ref="ns6:LegacyPhysicalFormat" minOccurs="0"/>
                <xsd:element ref="ns5:LegacyDocumentLink" minOccurs="0"/>
                <xsd:element ref="ns5:LegacyFolderLink" minOccurs="0"/>
                <xsd:element ref="ns6:LegacyDateFileReceived" minOccurs="0"/>
                <xsd:element ref="ns6:LegacyDateFileRequested" minOccurs="0"/>
                <xsd:element ref="ns6:LegacyDateFileReturned" minOccurs="0"/>
                <xsd:element ref="ns5:LegacyReferencesToOtherItems" minOccurs="0"/>
                <xsd:element ref="ns6:LegacyMinister" minOccurs="0"/>
                <xsd:element ref="ns6:LegacyMP" minOccurs="0"/>
                <xsd:element ref="ns6:LegacyFolderNotes" minOccurs="0"/>
                <xsd:element ref="ns6:LegacyPhysicalItemLocation" minOccurs="0"/>
                <xsd:element ref="ns6:LegacyRequestType" minOccurs="0"/>
                <xsd:element ref="ns5:LegacyCustodian" minOccurs="0"/>
                <xsd:element ref="ns6:LegacyDescriptor" minOccurs="0"/>
                <xsd:element ref="ns6:LegacyFolderDocumentID" minOccurs="0"/>
                <xsd:element ref="ns6:LegacyDocumentID" minOccurs="0"/>
                <xsd:element ref="ns7:m975189f4ba442ecbf67d4147307b177" minOccurs="0"/>
                <xsd:element ref="ns3:TaxCatchAll" minOccurs="0"/>
                <xsd:element ref="ns3:TaxCatchAllLabel" minOccurs="0"/>
                <xsd:element ref="ns3:_dlc_DocId" minOccurs="0"/>
                <xsd:element ref="ns3:_dlc_DocIdUrl" minOccurs="0"/>
                <xsd:element ref="ns3:_dlc_DocIdPersistId" minOccurs="0"/>
                <xsd:element ref="ns8:MediaServiceMetadata" minOccurs="0"/>
                <xsd:element ref="ns8:MediaServiceFastMetadata" minOccurs="0"/>
                <xsd:element ref="ns3:SharedWithUsers" minOccurs="0"/>
                <xsd:element ref="ns3:SharedWithDetails" minOccurs="0"/>
                <xsd:element ref="ns5:ExternallyShared" minOccurs="0"/>
                <xsd:element ref="ns2:CIRRUSPreviousRetentionPolicy" minOccurs="0"/>
                <xsd:element ref="ns9:LegacyCaseReference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13c3fd-5a3b-4239-b985-69032e371c04" elementFormDefault="qualified">
    <xsd:import namespace="http://schemas.microsoft.com/office/2006/documentManagement/types"/>
    <xsd:import namespace="http://schemas.microsoft.com/office/infopath/2007/PartnerControls"/>
    <xsd:element name="Document_x0020_Notes" ma:index="2" nillable="true" ma:displayName="Document Notes" ma:internalName="Document_0x0020_Notes">
      <xsd:simpleType>
        <xsd:restriction base="dms:Note">
          <xsd:maxLength value="255"/>
        </xsd:restriction>
      </xsd:simpleType>
    </xsd:element>
    <xsd:element name="Handling_x0020_Instructions" ma:index="4" nillable="true" ma:displayName="Handling Instructions" ma:internalName="Handling_x0020_Instructions">
      <xsd:simpleType>
        <xsd:restriction base="dms:Text">
          <xsd:maxLength value="255"/>
        </xsd:restriction>
      </xsd:simpleType>
    </xsd:element>
    <xsd:element name="Government_x0020_Body" ma:index="6" nillable="true" ma:displayName="Government Body" ma:internalName="Government_x0020_Body">
      <xsd:simpleType>
        <xsd:restriction base="dms:Text">
          <xsd:maxLength value="255"/>
        </xsd:restriction>
      </xsd:simpleType>
    </xsd:element>
    <xsd:element name="Date_x0020_Opened" ma:index="9" nillable="true" ma:displayName="Date Opened" ma:default="[Today]" ma:format="DateOnly" ma:internalName="Date_x0020_Opened">
      <xsd:simpleType>
        <xsd:restriction base="dms:DateTime"/>
      </xsd:simpleType>
    </xsd:element>
    <xsd:element name="Date_x0020_Closed" ma:index="10" nillable="true" ma:displayName="Date Closed" ma:format="DateOnly" ma:internalName="Date_x0020_Closed">
      <xsd:simpleType>
        <xsd:restriction base="dms:DateTime"/>
      </xsd:simpleType>
    </xsd:element>
    <xsd:element name="CIRRUSPreviousLocation" ma:index="12" nillable="true" ma:displayName="Previous Location" ma:description="The location the document previously resided in." ma:internalName="CIRRUSPreviousLocation">
      <xsd:simpleType>
        <xsd:restriction base="dms:Text">
          <xsd:maxLength value="255"/>
        </xsd:restriction>
      </xsd:simpleType>
    </xsd:element>
    <xsd:element name="CIRRUSPreviousID" ma:index="13" nillable="true" ma:displayName="Previous Id" ma:description="The id of the document in its previous location." ma:internalName="CIRRUSPreviousID">
      <xsd:simpleType>
        <xsd:restriction base="dms:Text">
          <xsd:maxLength value="255"/>
        </xsd:restriction>
      </xsd:simpleType>
    </xsd:element>
    <xsd:element name="CIRRUSPreviousRetentionPolicy" ma:index="69" nillable="true" ma:displayName="Previous Retention Policy" ma:description="The retention policy of the document in its previous location." ma:internalName="CIRRUSPreviousRetentionPolic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fd9e60a-720a-478c-bf76-b460d35d354e" elementFormDefault="qualified">
    <xsd:import namespace="http://schemas.microsoft.com/office/2006/documentManagement/types"/>
    <xsd:import namespace="http://schemas.microsoft.com/office/infopath/2007/PartnerControls"/>
    <xsd:element name="Security_x0020_Classification" ma:index="3" nillable="true" ma:displayName="Security Classification" ma:default="OFFICIAL" ma:format="Dropdown" ma:indexed="true" ma:internalName="Security_x0020_Classification">
      <xsd:simpleType>
        <xsd:restriction base="dms:Choice">
          <xsd:enumeration value="OFFICIAL"/>
          <xsd:enumeration value="OFFICIAL - SENSITIVE"/>
        </xsd:restriction>
      </xsd:simpleType>
    </xsd:element>
    <xsd:element name="Descriptor" ma:index="5" nillable="true" ma:displayName="Descriptor" ma:default="" ma:format="Dropdown" ma:indexed="true" ma:internalName="Descriptor">
      <xsd:simpleType>
        <xsd:restriction base="dms:Choice">
          <xsd:enumeration value="COMMERCIAL"/>
          <xsd:enumeration value="PERSONAL"/>
          <xsd:enumeration value="LOCSEN"/>
        </xsd:restriction>
      </xsd:simpleType>
    </xsd:element>
    <xsd:element name="National_x0020_Caveat" ma:index="11" nillable="true" ma:displayName="National Caveat" ma:default="" ma:format="Dropdown" ma:indexed="true" ma:internalName="National_x0020_Caveat">
      <xsd:simpleType>
        <xsd:restriction base="dms:Choice">
          <xsd:enumeration value="UK EYES ONLY"/>
        </xsd:restriction>
      </xsd:simpleType>
    </xsd:element>
    <xsd:element name="TaxCatchAll" ma:index="54" nillable="true" ma:displayName="Taxonomy Catch All Column" ma:hidden="true" ma:list="{4d192ad3-0f02-4b9f-81a5-60d8377bb230}" ma:internalName="TaxCatchAll" ma:showField="CatchAllData" ma:web="7fd9e60a-720a-478c-bf76-b460d35d354e">
      <xsd:complexType>
        <xsd:complexContent>
          <xsd:extension base="dms:MultiChoiceLookup">
            <xsd:sequence>
              <xsd:element name="Value" type="dms:Lookup" maxOccurs="unbounded" minOccurs="0" nillable="true"/>
            </xsd:sequence>
          </xsd:extension>
        </xsd:complexContent>
      </xsd:complexType>
    </xsd:element>
    <xsd:element name="TaxCatchAllLabel" ma:index="55" nillable="true" ma:displayName="Taxonomy Catch All Column1" ma:hidden="true" ma:list="{4d192ad3-0f02-4b9f-81a5-60d8377bb230}" ma:internalName="TaxCatchAllLabel" ma:readOnly="true" ma:showField="CatchAllDataLabel" ma:web="7fd9e60a-720a-478c-bf76-b460d35d354e">
      <xsd:complexType>
        <xsd:complexContent>
          <xsd:extension base="dms:MultiChoiceLookup">
            <xsd:sequence>
              <xsd:element name="Value" type="dms:Lookup" maxOccurs="unbounded" minOccurs="0" nillable="true"/>
            </xsd:sequence>
          </xsd:extension>
        </xsd:complexContent>
      </xsd:complexType>
    </xsd:element>
    <xsd:element name="_dlc_DocId" ma:index="57" nillable="true" ma:displayName="Document ID Value" ma:description="The value of the document ID assigned to this item." ma:internalName="_dlc_DocId" ma:readOnly="true">
      <xsd:simpleType>
        <xsd:restriction base="dms:Text"/>
      </xsd:simpleType>
    </xsd:element>
    <xsd:element name="_dlc_DocIdUrl" ma:index="5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9" nillable="true" ma:displayName="Persist ID" ma:description="Keep ID on add." ma:hidden="true" ma:internalName="_dlc_DocIdPersistId" ma:readOnly="true">
      <xsd:simpleType>
        <xsd:restriction base="dms:Boolean"/>
      </xsd:simpleType>
    </xsd:element>
    <xsd:element name="SharedWithUsers" ma:index="6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f60570-4bd3-4f2b-950b-a996de8ab151" elementFormDefault="qualified">
    <xsd:import namespace="http://schemas.microsoft.com/office/2006/documentManagement/types"/>
    <xsd:import namespace="http://schemas.microsoft.com/office/infopath/2007/PartnerControls"/>
    <xsd:element name="Retention_x0020_Label" ma:index="8" nillable="true" ma:displayName="Retention Label" ma:internalName="Retention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7a7830-db79-4a49-bf27-2aff92a2201a" elementFormDefault="qualified">
    <xsd:import namespace="http://schemas.microsoft.com/office/2006/documentManagement/types"/>
    <xsd:import namespace="http://schemas.microsoft.com/office/infopath/2007/PartnerControls"/>
    <xsd:element name="LegacyDocumentType" ma:index="14" nillable="true" ma:displayName="Legacy Document Type" ma:internalName="LegacyDocumentType">
      <xsd:simpleType>
        <xsd:restriction base="dms:Text">
          <xsd:maxLength value="255"/>
        </xsd:restriction>
      </xsd:simpleType>
    </xsd:element>
    <xsd:element name="LegacyFileplanTarget" ma:index="15" nillable="true" ma:displayName="Legacy Fileplan Target" ma:internalName="LegacyFileplanTarget">
      <xsd:simpleType>
        <xsd:restriction base="dms:Text">
          <xsd:maxLength value="255"/>
        </xsd:restriction>
      </xsd:simpleType>
    </xsd:element>
    <xsd:element name="LegacyNumericClass" ma:index="16" nillable="true" ma:displayName="Legacy Numeric Class" ma:internalName="LegacyNumericClass">
      <xsd:simpleType>
        <xsd:restriction base="dms:Text">
          <xsd:maxLength value="255"/>
        </xsd:restriction>
      </xsd:simpleType>
    </xsd:element>
    <xsd:element name="LegacyFolderType" ma:index="17" nillable="true" ma:displayName="Legacy Folder Type" ma:internalName="LegacyFolderType">
      <xsd:simpleType>
        <xsd:restriction base="dms:Text">
          <xsd:maxLength value="255"/>
        </xsd:restriction>
      </xsd:simpleType>
    </xsd:element>
    <xsd:element name="LegacyRecordFolderIdentifier" ma:index="18" nillable="true" ma:displayName="Legacy Record Folder Identifier" ma:internalName="LegacyRecordFolderIdentifier">
      <xsd:simpleType>
        <xsd:restriction base="dms:Text">
          <xsd:maxLength value="255"/>
        </xsd:restriction>
      </xsd:simpleType>
    </xsd:element>
    <xsd:element name="LegacyCopyright" ma:index="19" nillable="true" ma:displayName="Legacy Copyright" ma:internalName="LegacyCopyright">
      <xsd:simpleType>
        <xsd:restriction base="dms:Text">
          <xsd:maxLength value="255"/>
        </xsd:restriction>
      </xsd:simpleType>
    </xsd:element>
    <xsd:element name="LegacyLastModifiedDate" ma:index="20" nillable="true" ma:displayName="Legacy Last Modified Date" ma:format="DateTime" ma:internalName="LegacyLastModifiedDate">
      <xsd:simpleType>
        <xsd:restriction base="dms:DateTime"/>
      </xsd:simpleType>
    </xsd:element>
    <xsd:element name="LegacyModifier" ma:index="21" nillable="true" ma:displayName="Legacy Modifier" ma:SharePointGroup="0" ma:internalName="LegacyModifi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egacyFolder" ma:index="22" nillable="true" ma:displayName="Legacy Folder" ma:internalName="LegacyFolder">
      <xsd:simpleType>
        <xsd:restriction base="dms:Text">
          <xsd:maxLength value="255"/>
        </xsd:restriction>
      </xsd:simpleType>
    </xsd:element>
    <xsd:element name="LegacyContentType" ma:index="23" nillable="true" ma:displayName="Legacy Content Type" ma:internalName="LegacyContentType">
      <xsd:simpleType>
        <xsd:restriction base="dms:Text">
          <xsd:maxLength value="255"/>
        </xsd:restriction>
      </xsd:simpleType>
    </xsd:element>
    <xsd:element name="LegacyExpiryReviewDate" ma:index="24" nillable="true" ma:displayName="Legacy Expiry Review Date" ma:format="DateTime" ma:internalName="LegacyExpiryReviewDate">
      <xsd:simpleType>
        <xsd:restriction base="dms:DateTime"/>
      </xsd:simpleType>
    </xsd:element>
    <xsd:element name="LegacyLastActionDate" ma:index="25" nillable="true" ma:displayName="Legacy Last Action Date" ma:format="DateTime" ma:internalName="LegacyLastActionDate">
      <xsd:simpleType>
        <xsd:restriction base="dms:DateTime"/>
      </xsd:simpleType>
    </xsd:element>
    <xsd:element name="LegacyProtectiveMarking" ma:index="26" nillable="true" ma:displayName="Legacy Protective Marking" ma:internalName="LegacyProtectiveMarking">
      <xsd:simpleType>
        <xsd:restriction base="dms:Text">
          <xsd:maxLength value="255"/>
        </xsd:restriction>
      </xsd:simpleType>
    </xsd:element>
    <xsd:element name="LegacyTags" ma:index="27" nillable="true" ma:displayName="Legacy Tags" ma:internalName="LegacyTags">
      <xsd:simpleType>
        <xsd:restriction base="dms:Note">
          <xsd:maxLength value="255"/>
        </xsd:restriction>
      </xsd:simpleType>
    </xsd:element>
    <xsd:element name="LegacyReferencesFromOtherItems" ma:index="28" nillable="true" ma:displayName="Legacy References From Other Items" ma:internalName="LegacyReferencesFromOtherItems">
      <xsd:simpleType>
        <xsd:restriction base="dms:Text">
          <xsd:maxLength value="255"/>
        </xsd:restriction>
      </xsd:simpleType>
    </xsd:element>
    <xsd:element name="LegacyStatusonTransfer" ma:index="29" nillable="true" ma:displayName="Legacy Status on Transfer" ma:internalName="LegacyStatusonTransfer">
      <xsd:simpleType>
        <xsd:restriction base="dms:Text">
          <xsd:maxLength value="255"/>
        </xsd:restriction>
      </xsd:simpleType>
    </xsd:element>
    <xsd:element name="LegacyDateClosed" ma:index="30" nillable="true" ma:displayName="Legacy Date Closed" ma:format="DateOnly" ma:internalName="LegacyDateClosed">
      <xsd:simpleType>
        <xsd:restriction base="dms:DateTime"/>
      </xsd:simpleType>
    </xsd:element>
    <xsd:element name="LegacyRecordCategoryIdentifier" ma:index="31" nillable="true" ma:displayName="Legacy Record Category Identifier" ma:internalName="LegacyRecordCategoryIdentifier">
      <xsd:simpleType>
        <xsd:restriction base="dms:Text">
          <xsd:maxLength value="255"/>
        </xsd:restriction>
      </xsd:simpleType>
    </xsd:element>
    <xsd:element name="LegacyDispositionAsOfDate" ma:index="32" nillable="true" ma:displayName="Legacy Disposition as of Date" ma:format="DateOnly" ma:internalName="LegacyDispositionAsOfDate">
      <xsd:simpleType>
        <xsd:restriction base="dms:DateTime"/>
      </xsd:simpleType>
    </xsd:element>
    <xsd:element name="LegacyHomeLocation" ma:index="33" nillable="true" ma:displayName="Legacy Home Location" ma:internalName="LegacyHomeLocation">
      <xsd:simpleType>
        <xsd:restriction base="dms:Text">
          <xsd:maxLength value="255"/>
        </xsd:restriction>
      </xsd:simpleType>
    </xsd:element>
    <xsd:element name="LegacyCurrentLocation" ma:index="34" nillable="true" ma:displayName="Legacy Current Location" ma:internalName="LegacyCurrentLocation">
      <xsd:simpleType>
        <xsd:restriction base="dms:Text">
          <xsd:maxLength value="255"/>
        </xsd:restriction>
      </xsd:simpleType>
    </xsd:element>
    <xsd:element name="LegacyAdditionalAuthors" ma:index="35" nillable="true" ma:displayName="Legacy Additional Authors" ma:internalName="LegacyAdditionalAuthors">
      <xsd:simpleType>
        <xsd:restriction base="dms:Note">
          <xsd:maxLength value="255"/>
        </xsd:restriction>
      </xsd:simpleType>
    </xsd:element>
    <xsd:element name="LegacyDocumentLink" ma:index="37" nillable="true" ma:displayName="Legacy Document Link" ma:internalName="LegacyDocumentLink">
      <xsd:simpleType>
        <xsd:restriction base="dms:Text">
          <xsd:maxLength value="255"/>
        </xsd:restriction>
      </xsd:simpleType>
    </xsd:element>
    <xsd:element name="LegacyFolderLink" ma:index="38" nillable="true" ma:displayName="Legacy Folder Link" ma:internalName="LegacyFolderLink">
      <xsd:simpleType>
        <xsd:restriction base="dms:Text">
          <xsd:maxLength value="255"/>
        </xsd:restriction>
      </xsd:simpleType>
    </xsd:element>
    <xsd:element name="LegacyReferencesToOtherItems" ma:index="42" nillable="true" ma:displayName="Legacy References To Other Items" ma:internalName="LegacyReferencesToOtherItems">
      <xsd:simpleType>
        <xsd:restriction base="dms:Note">
          <xsd:maxLength value="255"/>
        </xsd:restriction>
      </xsd:simpleType>
    </xsd:element>
    <xsd:element name="LegacyCustodian" ma:index="48" nillable="true" ma:displayName="Legacy Custodian" ma:internalName="LegacyCustodian">
      <xsd:simpleType>
        <xsd:restriction base="dms:Note">
          <xsd:maxLength value="255"/>
        </xsd:restriction>
      </xsd:simpleType>
    </xsd:element>
    <xsd:element name="ExternallyShared" ma:index="68" nillable="true" ma:displayName="External" ma:description="Used with SPFX field customizer, displays if the item is externally shared" ma:hidden="true" ma:internalName="ExternallyShare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72083e-e40c-4314-b43a-827352a1ed2c" elementFormDefault="qualified">
    <xsd:import namespace="http://schemas.microsoft.com/office/2006/documentManagement/types"/>
    <xsd:import namespace="http://schemas.microsoft.com/office/infopath/2007/PartnerControls"/>
    <xsd:element name="LegacyPhysicalFormat" ma:index="36" nillable="true" ma:displayName="Legacy Physical Format" ma:default="0" ma:internalName="LegacyPhysicalFormat">
      <xsd:simpleType>
        <xsd:restriction base="dms:Boolean"/>
      </xsd:simpleType>
    </xsd:element>
    <xsd:element name="LegacyDateFileReceived" ma:index="39" nillable="true" ma:displayName="Legacy Date File Received" ma:format="DateOnly" ma:internalName="LegacyDateFileReceived">
      <xsd:simpleType>
        <xsd:restriction base="dms:DateTime"/>
      </xsd:simpleType>
    </xsd:element>
    <xsd:element name="LegacyDateFileRequested" ma:index="40" nillable="true" ma:displayName="Legacy Date File Requested" ma:format="DateOnly" ma:internalName="LegacyDateFileRequested">
      <xsd:simpleType>
        <xsd:restriction base="dms:DateTime"/>
      </xsd:simpleType>
    </xsd:element>
    <xsd:element name="LegacyDateFileReturned" ma:index="41" nillable="true" ma:displayName="Legacy Date File Returned" ma:format="DateOnly" ma:internalName="LegacyDateFileReturned">
      <xsd:simpleType>
        <xsd:restriction base="dms:DateTime"/>
      </xsd:simpleType>
    </xsd:element>
    <xsd:element name="LegacyMinister" ma:index="43" nillable="true" ma:displayName="Legacy Minister" ma:internalName="LegacyMinister">
      <xsd:simpleType>
        <xsd:restriction base="dms:Text">
          <xsd:maxLength value="255"/>
        </xsd:restriction>
      </xsd:simpleType>
    </xsd:element>
    <xsd:element name="LegacyMP" ma:index="44" nillable="true" ma:displayName="Legacy MP" ma:internalName="LegacyMP">
      <xsd:simpleType>
        <xsd:restriction base="dms:Text">
          <xsd:maxLength value="255"/>
        </xsd:restriction>
      </xsd:simpleType>
    </xsd:element>
    <xsd:element name="LegacyFolderNotes" ma:index="45" nillable="true" ma:displayName="Legacy Folder Notes" ma:internalName="LegacyFolderNotes">
      <xsd:simpleType>
        <xsd:restriction base="dms:Note">
          <xsd:maxLength value="255"/>
        </xsd:restriction>
      </xsd:simpleType>
    </xsd:element>
    <xsd:element name="LegacyPhysicalItemLocation" ma:index="46" nillable="true" ma:displayName="Legacy Physical Item Location" ma:format="Dropdown" ma:internalName="LegacyPhysicalItemLocation">
      <xsd:simpleType>
        <xsd:restriction base="dms:Choice">
          <xsd:enumeration value="Off-Site"/>
          <xsd:enumeration value="TNA"/>
          <xsd:enumeration value="DECC"/>
        </xsd:restriction>
      </xsd:simpleType>
    </xsd:element>
    <xsd:element name="LegacyRequestType" ma:index="47" nillable="true" ma:displayName="Legacy Request Type" ma:format="Dropdown" ma:internalName="LegacyRequestType">
      <xsd:simpleType>
        <xsd:restriction base="dms:Choice">
          <xsd:enumeration value="FOI"/>
          <xsd:enumeration value="EIR"/>
          <xsd:enumeration value="PQ"/>
          <xsd:enumeration value="MC"/>
        </xsd:restriction>
      </xsd:simpleType>
    </xsd:element>
    <xsd:element name="LegacyDescriptor" ma:index="49" nillable="true" ma:displayName="Legacy Descriptor" ma:internalName="LegacyDescriptor">
      <xsd:simpleType>
        <xsd:restriction base="dms:Note">
          <xsd:maxLength value="255"/>
        </xsd:restriction>
      </xsd:simpleType>
    </xsd:element>
    <xsd:element name="LegacyFolderDocumentID" ma:index="50" nillable="true" ma:displayName="Legacy Folder Document ID" ma:internalName="LegacyFolderDocumentID">
      <xsd:simpleType>
        <xsd:restriction base="dms:Text">
          <xsd:maxLength value="255"/>
        </xsd:restriction>
      </xsd:simpleType>
    </xsd:element>
    <xsd:element name="LegacyDocumentID" ma:index="51" nillable="true" ma:displayName="Legacy Document ID" ma:internalName="LegacyDocument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63a4c1-1bb4-49f2-a011-9c776a7eed2a" elementFormDefault="qualified">
    <xsd:import namespace="http://schemas.microsoft.com/office/2006/documentManagement/types"/>
    <xsd:import namespace="http://schemas.microsoft.com/office/infopath/2007/PartnerControls"/>
    <xsd:element name="m975189f4ba442ecbf67d4147307b177" ma:index="53" nillable="true" ma:taxonomy="true" ma:internalName="m975189f4ba442ecbf67d4147307b177" ma:taxonomyFieldName="Business_x0020_Unit" ma:displayName="Business Unit" ma:default="" ma:fieldId="{6975189f-4ba4-42ec-bf67-d4147307b177}" ma:sspId="07c4ed84-5fe0-43ce-92b1-d76889ed7488" ma:termSetId="6f71e40e-3a2e-4baf-91d9-2069eb35453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8a8386-d519-4a69-8203-e3fefc210419" elementFormDefault="qualified">
    <xsd:import namespace="http://schemas.microsoft.com/office/2006/documentManagement/types"/>
    <xsd:import namespace="http://schemas.microsoft.com/office/infopath/2007/PartnerControls"/>
    <xsd:element name="MediaServiceMetadata" ma:index="63" nillable="true" ma:displayName="MediaServiceMetadata" ma:hidden="true" ma:internalName="MediaServiceMetadata" ma:readOnly="true">
      <xsd:simpleType>
        <xsd:restriction base="dms:Note"/>
      </xsd:simpleType>
    </xsd:element>
    <xsd:element name="MediaServiceFastMetadata" ma:index="64"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0e5669f-1bcb-499c-94e0-3ccb733d3d13" elementFormDefault="qualified">
    <xsd:import namespace="http://schemas.microsoft.com/office/2006/documentManagement/types"/>
    <xsd:import namespace="http://schemas.microsoft.com/office/infopath/2007/PartnerControls"/>
    <xsd:element name="LegacyCaseReferenceNumber" ma:index="70" nillable="true" ma:displayName="Legacy Case Reference Number" ma:internalName="LegacyCaseReferenceNumber">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ecurity_x0020_Classification xmlns="7fd9e60a-720a-478c-bf76-b460d35d354e">OFFICIAL</Security_x0020_Classification>
    <Government_x0020_Body xmlns="b413c3fd-5a3b-4239-b985-69032e371c04">DIT</Government_x0020_Body>
    <Date_x0020_Opened xmlns="b413c3fd-5a3b-4239-b985-69032e371c04">2019-01-08T16:34:02+00:00</Date_x0020_Opened>
    <LegacyRecordCategoryIdentifier xmlns="b67a7830-db79-4a49-bf27-2aff92a2201a" xsi:nil="true"/>
    <LegacyDateFileRequested xmlns="a172083e-e40c-4314-b43a-827352a1ed2c" xsi:nil="true"/>
    <LegacyCaseReferenceNumber xmlns="c0e5669f-1bcb-499c-94e0-3ccb733d3d13" xsi:nil="true"/>
    <LegacyFolderType xmlns="b67a7830-db79-4a49-bf27-2aff92a2201a" xsi:nil="true"/>
    <LegacyRecordFolderIdentifier xmlns="b67a7830-db79-4a49-bf27-2aff92a2201a" xsi:nil="true"/>
    <LegacyFolder xmlns="b67a7830-db79-4a49-bf27-2aff92a2201a" xsi:nil="true"/>
    <LegacyMP xmlns="a172083e-e40c-4314-b43a-827352a1ed2c" xsi:nil="true"/>
    <LegacyDocumentID xmlns="a172083e-e40c-4314-b43a-827352a1ed2c" xsi:nil="true"/>
    <LegacyFolderDocumentID xmlns="a172083e-e40c-4314-b43a-827352a1ed2c" xsi:nil="true"/>
    <National_x0020_Caveat xmlns="7fd9e60a-720a-478c-bf76-b460d35d354e" xsi:nil="true"/>
    <LegacyFolderLink xmlns="b67a7830-db79-4a49-bf27-2aff92a2201a" xsi:nil="true"/>
    <LegacyDateFileReceived xmlns="a172083e-e40c-4314-b43a-827352a1ed2c" xsi:nil="true"/>
    <ExternallyShared xmlns="b67a7830-db79-4a49-bf27-2aff92a2201a" xsi:nil="true"/>
    <Document_x0020_Notes xmlns="b413c3fd-5a3b-4239-b985-69032e371c04" xsi:nil="true"/>
    <LegacyAdditionalAuthors xmlns="b67a7830-db79-4a49-bf27-2aff92a2201a" xsi:nil="true"/>
    <LegacyDocumentLink xmlns="b67a7830-db79-4a49-bf27-2aff92a2201a" xsi:nil="true"/>
    <CIRRUSPreviousLocation xmlns="b413c3fd-5a3b-4239-b985-69032e371c04" xsi:nil="true"/>
    <LegacyPhysicalItemLocation xmlns="a172083e-e40c-4314-b43a-827352a1ed2c" xsi:nil="true"/>
    <LegacyRequestType xmlns="a172083e-e40c-4314-b43a-827352a1ed2c" xsi:nil="true"/>
    <LegacyDescriptor xmlns="a172083e-e40c-4314-b43a-827352a1ed2c" xsi:nil="true"/>
    <LegacyLastModifiedDate xmlns="b67a7830-db79-4a49-bf27-2aff92a2201a" xsi:nil="true"/>
    <LegacyDateClosed xmlns="b67a7830-db79-4a49-bf27-2aff92a2201a" xsi:nil="true"/>
    <LegacyHomeLocation xmlns="b67a7830-db79-4a49-bf27-2aff92a2201a" xsi:nil="true"/>
    <LegacyExpiryReviewDate xmlns="b67a7830-db79-4a49-bf27-2aff92a2201a" xsi:nil="true"/>
    <LegacyPhysicalFormat xmlns="a172083e-e40c-4314-b43a-827352a1ed2c">false</LegacyPhysicalFormat>
    <LegacyDocumentType xmlns="b67a7830-db79-4a49-bf27-2aff92a2201a" xsi:nil="true"/>
    <LegacyReferencesFromOtherItems xmlns="b67a7830-db79-4a49-bf27-2aff92a2201a" xsi:nil="true"/>
    <LegacyLastActionDate xmlns="b67a7830-db79-4a49-bf27-2aff92a2201a" xsi:nil="true"/>
    <m975189f4ba442ecbf67d4147307b177 xmlns="c963a4c1-1bb4-49f2-a011-9c776a7eed2a">
      <Terms xmlns="http://schemas.microsoft.com/office/infopath/2007/PartnerControls">
        <TermInfo xmlns="http://schemas.microsoft.com/office/infopath/2007/PartnerControls">
          <TermName xmlns="http://schemas.microsoft.com/office/infopath/2007/PartnerControls">Investment</TermName>
          <TermId xmlns="http://schemas.microsoft.com/office/infopath/2007/PartnerControls">18605633-1aa8-4633-a5cb-b884ff6862fc</TermId>
        </TermInfo>
      </Terms>
    </m975189f4ba442ecbf67d4147307b177>
    <CIRRUSPreviousID xmlns="b413c3fd-5a3b-4239-b985-69032e371c04" xsi:nil="true"/>
    <LegacyModifier xmlns="b67a7830-db79-4a49-bf27-2aff92a2201a">
      <UserInfo>
        <DisplayName/>
        <AccountId xsi:nil="true"/>
        <AccountType/>
      </UserInfo>
    </LegacyModifier>
    <LegacyStatusonTransfer xmlns="b67a7830-db79-4a49-bf27-2aff92a2201a" xsi:nil="true"/>
    <LegacyDispositionAsOfDate xmlns="b67a7830-db79-4a49-bf27-2aff92a2201a" xsi:nil="true"/>
    <LegacyMinister xmlns="a172083e-e40c-4314-b43a-827352a1ed2c" xsi:nil="true"/>
    <CIRRUSPreviousRetentionPolicy xmlns="b413c3fd-5a3b-4239-b985-69032e371c04" xsi:nil="true"/>
    <LegacyFileplanTarget xmlns="b67a7830-db79-4a49-bf27-2aff92a2201a" xsi:nil="true"/>
    <LegacyContentType xmlns="b67a7830-db79-4a49-bf27-2aff92a2201a" xsi:nil="true"/>
    <LegacyCustodian xmlns="b67a7830-db79-4a49-bf27-2aff92a2201a" xsi:nil="true"/>
    <Descriptor xmlns="7fd9e60a-720a-478c-bf76-b460d35d354e" xsi:nil="true"/>
    <LegacyProtectiveMarking xmlns="b67a7830-db79-4a49-bf27-2aff92a2201a" xsi:nil="true"/>
    <LegacyDateFileReturned xmlns="a172083e-e40c-4314-b43a-827352a1ed2c" xsi:nil="true"/>
    <LegacyReferencesToOtherItems xmlns="b67a7830-db79-4a49-bf27-2aff92a2201a" xsi:nil="true"/>
    <Retention_x0020_Label xmlns="a8f60570-4bd3-4f2b-950b-a996de8ab151">Group Review</Retention_x0020_Label>
    <LegacyCopyright xmlns="b67a7830-db79-4a49-bf27-2aff92a2201a" xsi:nil="true"/>
    <Handling_x0020_Instructions xmlns="b413c3fd-5a3b-4239-b985-69032e371c04" xsi:nil="true"/>
    <Date_x0020_Closed xmlns="b413c3fd-5a3b-4239-b985-69032e371c04" xsi:nil="true"/>
    <LegacyTags xmlns="b67a7830-db79-4a49-bf27-2aff92a2201a" xsi:nil="true"/>
    <LegacyFolderNotes xmlns="a172083e-e40c-4314-b43a-827352a1ed2c" xsi:nil="true"/>
    <TaxCatchAll xmlns="7fd9e60a-720a-478c-bf76-b460d35d354e">
      <Value>145</Value>
    </TaxCatchAll>
    <LegacyNumericClass xmlns="b67a7830-db79-4a49-bf27-2aff92a2201a" xsi:nil="true"/>
    <LegacyCurrentLocation xmlns="b67a7830-db79-4a49-bf27-2aff92a2201a" xsi:nil="true"/>
    <_dlc_DocId xmlns="7fd9e60a-720a-478c-bf76-b460d35d354e">H6263HTYEWN5-1496828768-61949</_dlc_DocId>
    <_dlc_DocIdUrl xmlns="7fd9e60a-720a-478c-bf76-b460d35d354e">
      <Url>https://dbis.sharepoint.com/sites/dit/182/_layouts/15/DocIdRedir.aspx?ID=H6263HTYEWN5-1496828768-61949</Url>
      <Description>H6263HTYEWN5-1496828768-61949</Description>
    </_dlc_DocIdUrl>
    <SharedWithUsers xmlns="7fd9e60a-720a-478c-bf76-b460d35d354e">
      <UserInfo>
        <DisplayName>Ashworth, Matt (Trade)</DisplayName>
        <AccountId>3044</AccountId>
        <AccountType/>
      </UserInfo>
      <UserInfo>
        <DisplayName>Bliss, Anna (Trade)</DisplayName>
        <AccountId>4795</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1035A4-AC93-42FC-AF1A-8A22C033A8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13c3fd-5a3b-4239-b985-69032e371c04"/>
    <ds:schemaRef ds:uri="7fd9e60a-720a-478c-bf76-b460d35d354e"/>
    <ds:schemaRef ds:uri="a8f60570-4bd3-4f2b-950b-a996de8ab151"/>
    <ds:schemaRef ds:uri="b67a7830-db79-4a49-bf27-2aff92a2201a"/>
    <ds:schemaRef ds:uri="a172083e-e40c-4314-b43a-827352a1ed2c"/>
    <ds:schemaRef ds:uri="c963a4c1-1bb4-49f2-a011-9c776a7eed2a"/>
    <ds:schemaRef ds:uri="a78a8386-d519-4a69-8203-e3fefc210419"/>
    <ds:schemaRef ds:uri="c0e5669f-1bcb-499c-94e0-3ccb733d3d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A96A04-852B-450C-A1AD-4B0F341CDA89}">
  <ds:schemaRefs>
    <ds:schemaRef ds:uri="http://schemas.microsoft.com/office/2006/metadata/properties"/>
    <ds:schemaRef ds:uri="http://schemas.microsoft.com/office/infopath/2007/PartnerControls"/>
    <ds:schemaRef ds:uri="7fd9e60a-720a-478c-bf76-b460d35d354e"/>
    <ds:schemaRef ds:uri="b413c3fd-5a3b-4239-b985-69032e371c04"/>
    <ds:schemaRef ds:uri="b67a7830-db79-4a49-bf27-2aff92a2201a"/>
    <ds:schemaRef ds:uri="a172083e-e40c-4314-b43a-827352a1ed2c"/>
    <ds:schemaRef ds:uri="c0e5669f-1bcb-499c-94e0-3ccb733d3d13"/>
    <ds:schemaRef ds:uri="c963a4c1-1bb4-49f2-a011-9c776a7eed2a"/>
    <ds:schemaRef ds:uri="a8f60570-4bd3-4f2b-950b-a996de8ab151"/>
  </ds:schemaRefs>
</ds:datastoreItem>
</file>

<file path=customXml/itemProps3.xml><?xml version="1.0" encoding="utf-8"?>
<ds:datastoreItem xmlns:ds="http://schemas.openxmlformats.org/officeDocument/2006/customXml" ds:itemID="{A7401912-82A5-4278-9031-A80A067AA327}">
  <ds:schemaRefs>
    <ds:schemaRef ds:uri="http://schemas.microsoft.com/sharepoint/v3/contenttype/forms"/>
  </ds:schemaRefs>
</ds:datastoreItem>
</file>

<file path=customXml/itemProps4.xml><?xml version="1.0" encoding="utf-8"?>
<ds:datastoreItem xmlns:ds="http://schemas.openxmlformats.org/officeDocument/2006/customXml" ds:itemID="{78626DA7-DE5F-4835-ABCE-E566E49E681B}">
  <ds:schemaRefs>
    <ds:schemaRef ds:uri="http://schemas.microsoft.com/sharepoint/events"/>
  </ds:schemaRefs>
</ds:datastoreItem>
</file>

<file path=customXml/itemProps5.xml><?xml version="1.0" encoding="utf-8"?>
<ds:datastoreItem xmlns:ds="http://schemas.openxmlformats.org/officeDocument/2006/customXml" ds:itemID="{39D56CC3-B585-4324-BB7F-2196D5658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 Template 07.2018</Template>
  <TotalTime>3</TotalTime>
  <Pages>8</Pages>
  <Words>2644</Words>
  <Characters>15073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EXPLANATORY MEMORANDUM TO</vt:lpstr>
    </vt:vector>
  </TitlesOfParts>
  <Company>The National Archives</Company>
  <LinksUpToDate>false</LinksUpToDate>
  <CharactersWithSpaces>17682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MEMORANDUM TO</dc:title>
  <dc:subject/>
  <dc:creator>Montgomery, Vanessa (Trade)</dc:creator>
  <cp:keywords/>
  <cp:lastModifiedBy>Russell Woolven</cp:lastModifiedBy>
  <cp:revision>6</cp:revision>
  <cp:lastPrinted>2018-07-27T11:00:00Z</cp:lastPrinted>
  <dcterms:created xsi:type="dcterms:W3CDTF">2019-02-08T14:33:00Z</dcterms:created>
  <dcterms:modified xsi:type="dcterms:W3CDTF">2019-02-11T11:02:00Z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0x010100E2CD494154588A41975F209AEE0DD42B</vt:lpwstr>
  </property>
  <property fmtid="{D5CDD505-2E9C-101B-9397-08002B2CF9AE}" pid="3" name="Business Unit">
    <vt:lpwstr>145;#Investment|18605633-1aa8-4633-a5cb-b884ff6862fc</vt:lpwstr>
  </property>
  <property fmtid="{D5CDD505-2E9C-101B-9397-08002B2CF9AE}" pid="4" name="_dlc_DocIdItemGuid">
    <vt:lpwstr>90e2fbdd-4876-4023-b3a0-720dcfa086ca</vt:lpwstr>
  </property>
  <property fmtid="{D5CDD505-2E9C-101B-9397-08002B2CF9AE}" pid="5" name="AuthorIds_UIVersion_7">
    <vt:lpwstr>9375</vt:lpwstr>
  </property>
  <property fmtid="{D5CDD505-2E9C-101B-9397-08002B2CF9AE}" pid="6" name="AuthorIds_UIVersion_22">
    <vt:lpwstr>3044</vt:lpwstr>
  </property>
  <property fmtid="{D5CDD505-2E9C-101B-9397-08002B2CF9AE}" pid="7" name="AuthorIds_UIVersion_1">
    <vt:lpwstr>9375</vt:lpwstr>
  </property>
  <property fmtid="{D5CDD505-2E9C-101B-9397-08002B2CF9AE}" pid="8" name="AuthorIds_UIVersion_3">
    <vt:lpwstr>9375</vt:lpwstr>
  </property>
  <property fmtid="{D5CDD505-2E9C-101B-9397-08002B2CF9AE}" pid="9" name="AuthorIds_UIVersion_2">
    <vt:lpwstr>9375</vt:lpwstr>
  </property>
  <property fmtid="{D5CDD505-2E9C-101B-9397-08002B2CF9AE}" pid="10" name="_NewReviewCycle">
    <vt:lpwstr/>
  </property>
  <property fmtid="{D5CDD505-2E9C-101B-9397-08002B2CF9AE}" pid="11" name="AuthorIds_UIVersion_512">
    <vt:lpwstr>9375</vt:lpwstr>
  </property>
</Properties>
</file>