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center"/>
        <w:rPr>
          <w:rFonts w:ascii="Arial" w:cs="Arial" w:eastAsia="Arial" w:hAnsi="Arial"/>
          <w:b w:val="1"/>
          <w:sz w:val="22"/>
          <w:szCs w:val="22"/>
        </w:rPr>
      </w:pPr>
      <w:bookmarkStart w:colFirst="0" w:colLast="0" w:name="_pimeez11uesa" w:id="0"/>
      <w:bookmarkEnd w:id="0"/>
      <w:r w:rsidDel="00000000" w:rsidR="00000000" w:rsidRPr="00000000">
        <w:rPr>
          <w:rtl w:val="0"/>
        </w:rPr>
      </w:r>
    </w:p>
    <w:p w:rsidR="00000000" w:rsidDel="00000000" w:rsidP="00000000" w:rsidRDefault="00000000" w:rsidRPr="00000000" w14:paraId="00000001">
      <w:pPr>
        <w:jc w:val="center"/>
        <w:rPr>
          <w:rFonts w:ascii="Arial" w:cs="Arial" w:eastAsia="Arial" w:hAnsi="Arial"/>
          <w:color w:val="ff0000"/>
          <w:sz w:val="22"/>
          <w:szCs w:val="22"/>
        </w:rPr>
      </w:pPr>
      <w:bookmarkStart w:colFirst="0" w:colLast="0" w:name="_gjdgxs" w:id="1"/>
      <w:bookmarkEnd w:id="1"/>
      <w:r w:rsidDel="00000000" w:rsidR="00000000" w:rsidRPr="00000000">
        <w:rPr>
          <w:rFonts w:ascii="Arial" w:cs="Arial" w:eastAsia="Arial" w:hAnsi="Arial"/>
          <w:b w:val="1"/>
          <w:sz w:val="22"/>
          <w:szCs w:val="22"/>
          <w:rtl w:val="0"/>
        </w:rPr>
        <w:t xml:space="preserve">COMMITTEE ON STANDARDS IN PUBLIC </w:t>
      </w:r>
      <w:r w:rsidDel="00000000" w:rsidR="00000000" w:rsidRPr="00000000">
        <w:rPr>
          <w:rFonts w:ascii="Arial" w:cs="Arial" w:eastAsia="Arial" w:hAnsi="Arial"/>
          <w:b w:val="1"/>
          <w:sz w:val="22"/>
          <w:szCs w:val="22"/>
          <w:rtl w:val="0"/>
        </w:rPr>
        <w:t xml:space="preserve">LIFE</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TWO HUNDRED AND SIXTY-FIRST MEETING</w:t>
      </w:r>
    </w:p>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TO BE HELD ON THURSDAY 15 NOVEMBER 2018 AT 10</w:t>
      </w:r>
      <w:r w:rsidDel="00000000" w:rsidR="00000000" w:rsidRPr="00000000">
        <w:rPr>
          <w:rFonts w:ascii="Arial" w:cs="Arial" w:eastAsia="Arial" w:hAnsi="Arial"/>
          <w:b w:val="1"/>
          <w:sz w:val="22"/>
          <w:szCs w:val="22"/>
          <w:rtl w:val="0"/>
        </w:rPr>
        <w:t xml:space="preserve">.00</w:t>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CONFERENCE ROOM E, 70 WHITEHALL</w:t>
      </w:r>
    </w:p>
    <w:p w:rsidR="00000000" w:rsidDel="00000000" w:rsidP="00000000" w:rsidRDefault="00000000" w:rsidRPr="00000000" w14:paraId="00000005">
      <w:pPr>
        <w:jc w:val="center"/>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AGENDA</w:t>
      </w:r>
    </w:p>
    <w:p w:rsidR="00000000" w:rsidDel="00000000" w:rsidP="00000000" w:rsidRDefault="00000000" w:rsidRPr="00000000" w14:paraId="00000007">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Professor Allyson Allyson Macvean, Professor of Policing and Criminology</w:t>
        <w:br w:type="textWrapping"/>
        <w:t xml:space="preserve">Bath Spa University, </w:t>
      </w:r>
      <w:r w:rsidDel="00000000" w:rsidR="00000000" w:rsidRPr="00000000">
        <w:rPr>
          <w:rFonts w:ascii="Arial" w:cs="Arial" w:eastAsia="Arial" w:hAnsi="Arial"/>
          <w:b w:val="1"/>
          <w:color w:val="222222"/>
          <w:sz w:val="22"/>
          <w:szCs w:val="22"/>
          <w:highlight w:val="white"/>
          <w:rtl w:val="0"/>
        </w:rPr>
        <w:t xml:space="preserve">Professor Vassilios Papalois (Surgeon at Imperial College) and Chief Constable Julian Williams (NPCC portfolio for ethics) will join the Committee at the end of formal business to present their work in relation to the ethics and integrity through the police ethics network.</w:t>
      </w:r>
      <w:r w:rsidDel="00000000" w:rsidR="00000000" w:rsidRPr="00000000">
        <w:rPr>
          <w:rtl w:val="0"/>
        </w:rPr>
      </w:r>
    </w:p>
    <w:p w:rsidR="00000000" w:rsidDel="00000000" w:rsidP="00000000" w:rsidRDefault="00000000" w:rsidRPr="00000000" w14:paraId="00000009">
      <w:pPr>
        <w:jc w:val="left"/>
        <w:rPr>
          <w:rFonts w:ascii="Arial" w:cs="Arial" w:eastAsia="Arial" w:hAnsi="Arial"/>
          <w:b w:val="1"/>
          <w:sz w:val="22"/>
          <w:szCs w:val="22"/>
        </w:rPr>
      </w:pPr>
      <w:r w:rsidDel="00000000" w:rsidR="00000000" w:rsidRPr="00000000">
        <w:rPr>
          <w:rtl w:val="0"/>
        </w:rPr>
      </w:r>
    </w:p>
    <w:tbl>
      <w:tblPr>
        <w:tblStyle w:val="Table1"/>
        <w:tblW w:w="10800.0" w:type="dxa"/>
        <w:jc w:val="left"/>
        <w:tblInd w:w="-8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0"/>
        <w:gridCol w:w="1950"/>
        <w:gridCol w:w="5145"/>
        <w:gridCol w:w="1860"/>
        <w:gridCol w:w="1275"/>
        <w:tblGridChange w:id="0">
          <w:tblGrid>
            <w:gridCol w:w="570"/>
            <w:gridCol w:w="1950"/>
            <w:gridCol w:w="5145"/>
            <w:gridCol w:w="1860"/>
            <w:gridCol w:w="1275"/>
          </w:tblGrid>
        </w:tblGridChange>
      </w:tblGrid>
      <w:tr>
        <w:tc>
          <w:tcPr/>
          <w:p w:rsidR="00000000" w:rsidDel="00000000" w:rsidP="00000000" w:rsidRDefault="00000000" w:rsidRPr="00000000" w14:paraId="0000000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w:t>
            </w:r>
          </w:p>
        </w:tc>
        <w:tc>
          <w:tcPr/>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Agenda item</w:t>
            </w:r>
            <w:r w:rsidDel="00000000" w:rsidR="00000000" w:rsidRPr="00000000">
              <w:rPr>
                <w:rtl w:val="0"/>
              </w:rPr>
            </w:r>
          </w:p>
        </w:tc>
        <w:tc>
          <w:tcPr/>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Details</w:t>
            </w:r>
            <w:r w:rsidDel="00000000" w:rsidR="00000000" w:rsidRPr="00000000">
              <w:rPr>
                <w:rtl w:val="0"/>
              </w:rPr>
            </w:r>
          </w:p>
        </w:tc>
        <w:tc>
          <w:tcPr/>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Papers</w:t>
            </w:r>
          </w:p>
          <w:p w:rsidR="00000000" w:rsidDel="00000000" w:rsidP="00000000" w:rsidRDefault="00000000" w:rsidRPr="00000000" w14:paraId="0000000E">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Indicative timings</w:t>
            </w:r>
            <w:r w:rsidDel="00000000" w:rsidR="00000000" w:rsidRPr="00000000">
              <w:rPr>
                <w:rtl w:val="0"/>
              </w:rPr>
            </w:r>
          </w:p>
        </w:tc>
      </w:tr>
      <w:tr>
        <w:trPr>
          <w:trHeight w:val="540" w:hRule="atLeast"/>
        </w:trPr>
        <w:tc>
          <w:tcPr/>
          <w:p w:rsidR="00000000" w:rsidDel="00000000" w:rsidP="00000000" w:rsidRDefault="00000000" w:rsidRPr="00000000" w14:paraId="00000010">
            <w:pP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11">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Apologies</w:t>
            </w:r>
          </w:p>
        </w:tc>
        <w:tc>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Monisha Shah (leave of absence).</w:t>
            </w:r>
          </w:p>
        </w:tc>
        <w:tc>
          <w:tcPr/>
          <w:p w:rsidR="00000000" w:rsidDel="00000000" w:rsidP="00000000" w:rsidRDefault="00000000" w:rsidRPr="00000000" w14:paraId="0000001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10.</w:t>
            </w:r>
            <w:r w:rsidDel="00000000" w:rsidR="00000000" w:rsidRPr="00000000">
              <w:rPr>
                <w:rFonts w:ascii="Arial" w:cs="Arial" w:eastAsia="Arial" w:hAnsi="Arial"/>
                <w:sz w:val="22"/>
                <w:szCs w:val="22"/>
                <w:rtl w:val="0"/>
              </w:rPr>
              <w:t xml:space="preserve">00</w:t>
            </w:r>
            <w:r w:rsidDel="00000000" w:rsidR="00000000" w:rsidRPr="00000000">
              <w:rPr>
                <w:rtl w:val="0"/>
              </w:rPr>
            </w:r>
          </w:p>
        </w:tc>
      </w:tr>
      <w:tr>
        <w:trPr>
          <w:trHeight w:val="920" w:hRule="atLeast"/>
        </w:trPr>
        <w:tc>
          <w:tcPr/>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Registers</w:t>
            </w:r>
          </w:p>
          <w:p w:rsidR="00000000" w:rsidDel="00000000" w:rsidP="00000000" w:rsidRDefault="00000000" w:rsidRPr="00000000" w14:paraId="00000017">
            <w:pPr>
              <w:rPr>
                <w:rFonts w:ascii="Arial" w:cs="Arial" w:eastAsia="Arial" w:hAnsi="Arial"/>
                <w:color w:val="ff0000"/>
                <w:sz w:val="22"/>
                <w:szCs w:val="22"/>
              </w:rPr>
            </w:pPr>
            <w:r w:rsidDel="00000000" w:rsidR="00000000" w:rsidRPr="00000000">
              <w:rPr>
                <w:rtl w:val="0"/>
              </w:rPr>
            </w:r>
          </w:p>
        </w:tc>
        <w:tc>
          <w:tcPr/>
          <w:p w:rsidR="00000000" w:rsidDel="00000000" w:rsidP="00000000" w:rsidRDefault="00000000" w:rsidRPr="00000000" w14:paraId="00000018">
            <w:pP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The Committee will be asked to agree the register of interests for publication on the Committee’s </w:t>
            </w:r>
            <w:r w:rsidDel="00000000" w:rsidR="00000000" w:rsidRPr="00000000">
              <w:rPr>
                <w:rFonts w:ascii="Arial" w:cs="Arial" w:eastAsia="Arial" w:hAnsi="Arial"/>
                <w:sz w:val="22"/>
                <w:szCs w:val="22"/>
                <w:rtl w:val="0"/>
              </w:rPr>
              <w:t xml:space="preserve">website</w:t>
            </w:r>
            <w:r w:rsidDel="00000000" w:rsidR="00000000" w:rsidRPr="00000000">
              <w:rPr>
                <w:rFonts w:ascii="Arial" w:cs="Arial" w:eastAsia="Arial" w:hAnsi="Arial"/>
                <w:sz w:val="22"/>
                <w:szCs w:val="22"/>
                <w:rtl w:val="0"/>
              </w:rPr>
              <w:t xml:space="preserve">.</w:t>
            </w:r>
            <w:r w:rsidDel="00000000" w:rsidR="00000000" w:rsidRPr="00000000">
              <w:rPr>
                <w:rtl w:val="0"/>
              </w:rPr>
            </w:r>
          </w:p>
        </w:tc>
        <w:tc>
          <w:tcPr/>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Electronic copy </w:t>
            </w:r>
            <w:r w:rsidDel="00000000" w:rsidR="00000000" w:rsidRPr="00000000">
              <w:rPr>
                <w:rFonts w:ascii="Arial" w:cs="Arial" w:eastAsia="Arial" w:hAnsi="Arial"/>
                <w:sz w:val="22"/>
                <w:szCs w:val="22"/>
                <w:rtl w:val="0"/>
              </w:rPr>
              <w:t xml:space="preserve">only</w:t>
            </w: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10.00</w:t>
            </w:r>
          </w:p>
        </w:tc>
      </w:tr>
      <w:tr>
        <w:trPr>
          <w:trHeight w:val="1180" w:hRule="atLeast"/>
        </w:trPr>
        <w:tc>
          <w:tcPr/>
          <w:p w:rsidR="00000000" w:rsidDel="00000000" w:rsidP="00000000" w:rsidRDefault="00000000" w:rsidRPr="00000000" w14:paraId="0000001C">
            <w:pP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14:paraId="0000001D">
            <w:pPr>
              <w:spacing w:after="0" w:before="0" w:line="240"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Minutes and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b w:val="0"/>
                <w:color w:val="000000"/>
                <w:sz w:val="22"/>
                <w:szCs w:val="22"/>
                <w:rtl w:val="0"/>
              </w:rPr>
              <w:t xml:space="preserve">atters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color w:val="000000"/>
                <w:sz w:val="22"/>
                <w:szCs w:val="22"/>
                <w:rtl w:val="0"/>
              </w:rPr>
              <w:t xml:space="preserve">rising</w:t>
            </w:r>
          </w:p>
          <w:p w:rsidR="00000000" w:rsidDel="00000000" w:rsidP="00000000" w:rsidRDefault="00000000" w:rsidRPr="00000000" w14:paraId="0000001E">
            <w:pPr>
              <w:spacing w:after="0" w:before="0" w:line="240" w:lineRule="auto"/>
              <w:rPr>
                <w:rFonts w:ascii="Arial" w:cs="Arial" w:eastAsia="Arial" w:hAnsi="Arial"/>
                <w:color w:val="ff0000"/>
                <w:sz w:val="22"/>
                <w:szCs w:val="22"/>
              </w:rPr>
            </w:pPr>
            <w:r w:rsidDel="00000000" w:rsidR="00000000" w:rsidRPr="00000000">
              <w:rPr>
                <w:rtl w:val="0"/>
              </w:rPr>
            </w:r>
          </w:p>
        </w:tc>
        <w:tc>
          <w:tcPr/>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asked to approve the minutes from October’s Committee meeting and note any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sz w:val="22"/>
                <w:szCs w:val="22"/>
                <w:rtl w:val="0"/>
              </w:rPr>
              <w:t xml:space="preserve">atters </w:t>
            </w:r>
            <w:r w:rsidDel="00000000" w:rsidR="00000000" w:rsidRPr="00000000">
              <w:rPr>
                <w:rFonts w:ascii="Arial" w:cs="Arial" w:eastAsia="Arial" w:hAnsi="Arial"/>
                <w:sz w:val="22"/>
                <w:szCs w:val="22"/>
                <w:rtl w:val="0"/>
              </w:rPr>
              <w:t xml:space="preserve">arisin</w:t>
            </w:r>
            <w:r w:rsidDel="00000000" w:rsidR="00000000" w:rsidRPr="00000000">
              <w:rPr>
                <w:rFonts w:ascii="Arial" w:cs="Arial" w:eastAsia="Arial" w:hAnsi="Arial"/>
                <w:sz w:val="22"/>
                <w:szCs w:val="22"/>
                <w:rtl w:val="0"/>
              </w:rPr>
              <w:t xml:space="preserve">g</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0">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Update from the Chair</w:t>
            </w:r>
          </w:p>
          <w:p w:rsidR="00000000" w:rsidDel="00000000" w:rsidP="00000000" w:rsidRDefault="00000000" w:rsidRPr="00000000" w14:paraId="00000021">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Constitution Unit Seminar.</w:t>
            </w:r>
            <w:r w:rsidDel="00000000" w:rsidR="00000000" w:rsidRPr="00000000">
              <w:rPr>
                <w:rtl w:val="0"/>
              </w:rPr>
            </w:r>
          </w:p>
        </w:tc>
        <w:tc>
          <w:tcPr/>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CSPL (18) </w:t>
            </w:r>
            <w:r w:rsidDel="00000000" w:rsidR="00000000" w:rsidRPr="00000000">
              <w:rPr>
                <w:rFonts w:ascii="Arial" w:cs="Arial" w:eastAsia="Arial" w:hAnsi="Arial"/>
                <w:sz w:val="22"/>
                <w:szCs w:val="22"/>
                <w:rtl w:val="0"/>
              </w:rPr>
              <w:t xml:space="preserve">98</w:t>
            </w: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Oral report</w:t>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Oral report</w:t>
            </w:r>
          </w:p>
        </w:tc>
        <w:tc>
          <w:tcPr/>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10.05</w:t>
            </w:r>
          </w:p>
        </w:tc>
      </w:tr>
      <w:tr>
        <w:trPr>
          <w:trHeight w:val="660" w:hRule="atLeast"/>
        </w:trPr>
        <w:tc>
          <w:tcPr>
            <w:shd w:fill="ffffff" w:val="clear"/>
          </w:tcPr>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shd w:fill="ffffff" w:val="clear"/>
          </w:tcPr>
          <w:p w:rsidR="00000000" w:rsidDel="00000000" w:rsidP="00000000" w:rsidRDefault="00000000" w:rsidRPr="00000000" w14:paraId="00000029">
            <w:pP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Local Government Ethical standards</w:t>
            </w:r>
            <w:r w:rsidDel="00000000" w:rsidR="00000000" w:rsidRPr="00000000">
              <w:rPr>
                <w:rtl w:val="0"/>
              </w:rPr>
            </w:r>
          </w:p>
        </w:tc>
        <w:tc>
          <w:tcPr>
            <w:shd w:fill="ffffff" w:val="clear"/>
          </w:tcPr>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invited to comment on the final draft of the </w:t>
            </w:r>
            <w:r w:rsidDel="00000000" w:rsidR="00000000" w:rsidRPr="00000000">
              <w:rPr>
                <w:rFonts w:ascii="Arial" w:cs="Arial" w:eastAsia="Arial" w:hAnsi="Arial"/>
                <w:sz w:val="22"/>
                <w:szCs w:val="22"/>
                <w:rtl w:val="0"/>
              </w:rPr>
              <w:t xml:space="preserve">review</w:t>
            </w:r>
            <w:r w:rsidDel="00000000" w:rsidR="00000000" w:rsidRPr="00000000">
              <w:rPr>
                <w:rFonts w:ascii="Arial" w:cs="Arial" w:eastAsia="Arial" w:hAnsi="Arial"/>
                <w:sz w:val="22"/>
                <w:szCs w:val="22"/>
                <w:rtl w:val="0"/>
              </w:rPr>
              <w:t xml:space="preserve"> of ethical standards in local government and confirm publication </w:t>
            </w:r>
            <w:r w:rsidDel="00000000" w:rsidR="00000000" w:rsidRPr="00000000">
              <w:rPr>
                <w:rFonts w:ascii="Arial" w:cs="Arial" w:eastAsia="Arial" w:hAnsi="Arial"/>
                <w:sz w:val="22"/>
                <w:szCs w:val="22"/>
                <w:rtl w:val="0"/>
              </w:rPr>
              <w:t xml:space="preserve">plans</w:t>
            </w:r>
            <w:r w:rsidDel="00000000" w:rsidR="00000000" w:rsidRPr="00000000">
              <w:rPr>
                <w:rFonts w:ascii="Arial" w:cs="Arial" w:eastAsia="Arial" w:hAnsi="Arial"/>
                <w:sz w:val="22"/>
                <w:szCs w:val="22"/>
                <w:rtl w:val="0"/>
              </w:rPr>
              <w:t xml:space="preserve">.</w:t>
            </w:r>
          </w:p>
        </w:tc>
        <w:tc>
          <w:tcPr>
            <w:shd w:fill="ffffff" w:val="clear"/>
          </w:tcPr>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CSPL (18) 99</w:t>
            </w:r>
          </w:p>
        </w:tc>
        <w:tc>
          <w:tcPr>
            <w:shd w:fill="ffffff" w:val="clear"/>
          </w:tcPr>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10.15</w:t>
            </w:r>
          </w:p>
        </w:tc>
      </w:tr>
      <w:tr>
        <w:trPr>
          <w:trHeight w:val="840" w:hRule="atLeast"/>
        </w:trPr>
        <w:tc>
          <w:tcPr>
            <w:shd w:fill="ffffff" w:val="clear"/>
          </w:tcPr>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shd w:fill="ffffff" w:val="clear"/>
          </w:tcPr>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Bullying and Harassment in the House of Commons</w:t>
            </w:r>
          </w:p>
        </w:tc>
        <w:tc>
          <w:tcPr>
            <w:shd w:fill="ffffff" w:val="clear"/>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invited to comment and discuss a paper on bullying and harassment in the House of Commons following publication of the Cox report.</w:t>
            </w:r>
            <w:r w:rsidDel="00000000" w:rsidR="00000000" w:rsidRPr="00000000">
              <w:rPr>
                <w:rtl w:val="0"/>
              </w:rPr>
            </w:r>
          </w:p>
        </w:tc>
        <w:tc>
          <w:tcPr>
            <w:shd w:fill="ffffff" w:val="clear"/>
          </w:tcPr>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CSPL (</w:t>
            </w:r>
            <w:r w:rsidDel="00000000" w:rsidR="00000000" w:rsidRPr="00000000">
              <w:rPr>
                <w:rFonts w:ascii="Arial" w:cs="Arial" w:eastAsia="Arial" w:hAnsi="Arial"/>
                <w:sz w:val="22"/>
                <w:szCs w:val="22"/>
                <w:rtl w:val="0"/>
              </w:rPr>
              <w:t xml:space="preserve">18</w:t>
            </w:r>
            <w:r w:rsidDel="00000000" w:rsidR="00000000" w:rsidRPr="00000000">
              <w:rPr>
                <w:rFonts w:ascii="Arial" w:cs="Arial" w:eastAsia="Arial" w:hAnsi="Arial"/>
                <w:sz w:val="22"/>
                <w:szCs w:val="22"/>
                <w:rtl w:val="0"/>
              </w:rPr>
              <w:t xml:space="preserve">) 100</w:t>
            </w:r>
          </w:p>
        </w:tc>
        <w:tc>
          <w:tcPr>
            <w:shd w:fill="ffffff" w:val="clear"/>
          </w:tcPr>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10.45</w:t>
            </w:r>
          </w:p>
        </w:tc>
      </w:tr>
      <w:tr>
        <w:trPr>
          <w:trHeight w:val="840" w:hRule="atLeast"/>
        </w:trPr>
        <w:tc>
          <w:tcPr>
            <w:shd w:fill="ffffff" w:val="clear"/>
          </w:tcPr>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shd w:fill="ffffff" w:val="clear"/>
          </w:tcPr>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Intimidation in Public Life </w:t>
            </w:r>
          </w:p>
        </w:tc>
        <w:tc>
          <w:tcPr>
            <w:shd w:fill="ffffff" w:val="clear"/>
          </w:tcPr>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invited to note progress with the follow-up plan for Intimidation in Public </w:t>
            </w:r>
            <w:r w:rsidDel="00000000" w:rsidR="00000000" w:rsidRPr="00000000">
              <w:rPr>
                <w:rFonts w:ascii="Arial" w:cs="Arial" w:eastAsia="Arial" w:hAnsi="Arial"/>
                <w:sz w:val="22"/>
                <w:szCs w:val="22"/>
                <w:rtl w:val="0"/>
              </w:rPr>
              <w:t xml:space="preserve">Life</w:t>
            </w:r>
            <w:r w:rsidDel="00000000" w:rsidR="00000000" w:rsidRPr="00000000">
              <w:rPr>
                <w:rFonts w:ascii="Arial" w:cs="Arial" w:eastAsia="Arial" w:hAnsi="Arial"/>
                <w:sz w:val="22"/>
                <w:szCs w:val="22"/>
                <w:rtl w:val="0"/>
              </w:rPr>
              <w:t xml:space="preserve">.</w:t>
            </w:r>
          </w:p>
        </w:tc>
        <w:tc>
          <w:tcPr>
            <w:shd w:fill="ffffff" w:val="clear"/>
          </w:tcPr>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CSPL (18)  101</w:t>
            </w:r>
          </w:p>
        </w:tc>
        <w:tc>
          <w:tcPr>
            <w:shd w:fill="ffffff" w:val="clear"/>
          </w:tcPr>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11.15</w:t>
            </w:r>
          </w:p>
        </w:tc>
      </w:tr>
      <w:tr>
        <w:trPr>
          <w:trHeight w:val="840" w:hRule="atLeast"/>
        </w:trPr>
        <w:tc>
          <w:tcPr>
            <w:shd w:fill="ffffff" w:val="clear"/>
          </w:tcPr>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shd w:fill="ffffff" w:val="clear"/>
          </w:tcPr>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Forward Work Programme</w:t>
            </w:r>
          </w:p>
        </w:tc>
        <w:tc>
          <w:tcPr>
            <w:shd w:fill="ffffff" w:val="clear"/>
          </w:tcPr>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invited to reconsider and comment on the paper on the Committee’s forward work programme.</w:t>
            </w:r>
            <w:r w:rsidDel="00000000" w:rsidR="00000000" w:rsidRPr="00000000">
              <w:rPr>
                <w:rtl w:val="0"/>
              </w:rPr>
            </w:r>
          </w:p>
        </w:tc>
        <w:tc>
          <w:tcPr>
            <w:shd w:fill="ffffff" w:val="clear"/>
          </w:tcPr>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CSPL (18) 102</w:t>
            </w:r>
          </w:p>
        </w:tc>
        <w:tc>
          <w:tcPr>
            <w:shd w:fill="ffffff" w:val="clear"/>
          </w:tcPr>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11.30</w:t>
            </w:r>
          </w:p>
        </w:tc>
      </w:tr>
      <w:tr>
        <w:trPr>
          <w:trHeight w:val="840" w:hRule="atLeast"/>
        </w:trPr>
        <w:tc>
          <w:tcPr>
            <w:shd w:fill="ffffff" w:val="clear"/>
          </w:tcPr>
          <w:p w:rsidR="00000000" w:rsidDel="00000000" w:rsidP="00000000" w:rsidRDefault="00000000" w:rsidRPr="00000000" w14:paraId="0000003C">
            <w:pP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shd w:fill="ffffff" w:val="clear"/>
          </w:tcPr>
          <w:p w:rsidR="00000000" w:rsidDel="00000000" w:rsidP="00000000" w:rsidRDefault="00000000" w:rsidRPr="00000000" w14:paraId="0000003D">
            <w:pP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Standards Check </w:t>
            </w:r>
            <w:r w:rsidDel="00000000" w:rsidR="00000000" w:rsidRPr="00000000">
              <w:rPr>
                <w:rtl w:val="0"/>
              </w:rPr>
            </w:r>
          </w:p>
          <w:p w:rsidR="00000000" w:rsidDel="00000000" w:rsidP="00000000" w:rsidRDefault="00000000" w:rsidRPr="00000000" w14:paraId="0000003E">
            <w:pPr>
              <w:rPr>
                <w:rFonts w:ascii="Arial" w:cs="Arial" w:eastAsia="Arial" w:hAnsi="Arial"/>
                <w:color w:val="ff0000"/>
                <w:sz w:val="22"/>
                <w:szCs w:val="22"/>
              </w:rPr>
            </w:pPr>
            <w:r w:rsidDel="00000000" w:rsidR="00000000" w:rsidRPr="00000000">
              <w:rPr>
                <w:rtl w:val="0"/>
              </w:rPr>
            </w:r>
          </w:p>
        </w:tc>
        <w:tc>
          <w:tcPr>
            <w:shd w:fill="ffffff" w:val="clear"/>
          </w:tcPr>
          <w:p w:rsidR="00000000" w:rsidDel="00000000" w:rsidP="00000000" w:rsidRDefault="00000000" w:rsidRPr="00000000" w14:paraId="0000003F">
            <w:pP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The Committee will be asked to note an update on recent standards </w:t>
            </w:r>
            <w:r w:rsidDel="00000000" w:rsidR="00000000" w:rsidRPr="00000000">
              <w:rPr>
                <w:rFonts w:ascii="Arial" w:cs="Arial" w:eastAsia="Arial" w:hAnsi="Arial"/>
                <w:sz w:val="22"/>
                <w:szCs w:val="22"/>
                <w:rtl w:val="0"/>
              </w:rPr>
              <w:t xml:space="preserve">issues</w:t>
            </w:r>
            <w:r w:rsidDel="00000000" w:rsidR="00000000" w:rsidRPr="00000000">
              <w:rPr>
                <w:rFonts w:ascii="Arial" w:cs="Arial" w:eastAsia="Arial" w:hAnsi="Arial"/>
                <w:sz w:val="22"/>
                <w:szCs w:val="22"/>
                <w:rtl w:val="0"/>
              </w:rPr>
              <w:t xml:space="preserve">.</w:t>
            </w:r>
            <w:r w:rsidDel="00000000" w:rsidR="00000000" w:rsidRPr="00000000">
              <w:rPr>
                <w:rtl w:val="0"/>
              </w:rPr>
            </w:r>
          </w:p>
        </w:tc>
        <w:tc>
          <w:tcPr>
            <w:shd w:fill="ffffff" w:val="clear"/>
          </w:tcPr>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sz w:val="22"/>
                <w:szCs w:val="22"/>
                <w:rtl w:val="0"/>
              </w:rPr>
              <w:t xml:space="preserve">CSPL (18) 103 electronic copies only of articles)</w:t>
            </w:r>
          </w:p>
        </w:tc>
        <w:tc>
          <w:tcPr>
            <w:shd w:fill="ffffff" w:val="clear"/>
          </w:tcPr>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12.00</w:t>
            </w:r>
          </w:p>
        </w:tc>
      </w:tr>
      <w:tr>
        <w:trPr>
          <w:trHeight w:val="560" w:hRule="atLeast"/>
        </w:trPr>
        <w:tc>
          <w:tcPr/>
          <w:p w:rsidR="00000000" w:rsidDel="00000000" w:rsidP="00000000" w:rsidRDefault="00000000" w:rsidRPr="00000000" w14:paraId="00000042">
            <w:pPr>
              <w:ind w:left="-30.00000000000021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9</w:t>
            </w:r>
          </w:p>
        </w:tc>
        <w:tc>
          <w:tcPr/>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 xml:space="preserve">Forward Agenda</w:t>
            </w:r>
          </w:p>
          <w:p w:rsidR="00000000" w:rsidDel="00000000" w:rsidP="00000000" w:rsidRDefault="00000000" w:rsidRPr="00000000" w14:paraId="00000044">
            <w:pPr>
              <w:rPr>
                <w:rFonts w:ascii="Arial" w:cs="Arial" w:eastAsia="Arial" w:hAnsi="Arial"/>
                <w:color w:val="ff0000"/>
                <w:sz w:val="22"/>
                <w:szCs w:val="22"/>
              </w:rPr>
            </w:pPr>
            <w:r w:rsidDel="00000000" w:rsidR="00000000" w:rsidRPr="00000000">
              <w:rPr>
                <w:rtl w:val="0"/>
              </w:rPr>
            </w:r>
          </w:p>
        </w:tc>
        <w:tc>
          <w:tcPr/>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invited to note:</w:t>
            </w:r>
          </w:p>
          <w:p w:rsidR="00000000" w:rsidDel="00000000" w:rsidP="00000000" w:rsidRDefault="00000000" w:rsidRPr="00000000" w14:paraId="00000046">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forthcoming </w:t>
            </w:r>
            <w:r w:rsidDel="00000000" w:rsidR="00000000" w:rsidRPr="00000000">
              <w:rPr>
                <w:rFonts w:ascii="Arial" w:cs="Arial" w:eastAsia="Arial" w:hAnsi="Arial"/>
                <w:sz w:val="22"/>
                <w:szCs w:val="22"/>
                <w:rtl w:val="0"/>
              </w:rPr>
              <w:t xml:space="preserve">events</w:t>
            </w:r>
            <w:r w:rsidDel="00000000" w:rsidR="00000000" w:rsidRPr="00000000">
              <w:rPr>
                <w:rFonts w:ascii="Arial" w:cs="Arial" w:eastAsia="Arial" w:hAnsi="Arial"/>
                <w:sz w:val="22"/>
                <w:szCs w:val="22"/>
                <w:rtl w:val="0"/>
              </w:rPr>
              <w:t xml:space="preserve">; and</w:t>
            </w:r>
          </w:p>
          <w:p w:rsidR="00000000" w:rsidDel="00000000" w:rsidP="00000000" w:rsidRDefault="00000000" w:rsidRPr="00000000" w14:paraId="00000047">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forward </w:t>
            </w:r>
            <w:r w:rsidDel="00000000" w:rsidR="00000000" w:rsidRPr="00000000">
              <w:rPr>
                <w:rFonts w:ascii="Arial" w:cs="Arial" w:eastAsia="Arial" w:hAnsi="Arial"/>
                <w:sz w:val="22"/>
                <w:szCs w:val="22"/>
                <w:rtl w:val="0"/>
              </w:rPr>
              <w:t xml:space="preserve">agenda</w:t>
            </w:r>
            <w:r w:rsidDel="00000000" w:rsidR="00000000" w:rsidRPr="00000000">
              <w:rPr>
                <w:rFonts w:ascii="Arial" w:cs="Arial" w:eastAsia="Arial" w:hAnsi="Arial"/>
                <w:color w:val="ff0000"/>
                <w:sz w:val="22"/>
                <w:szCs w:val="22"/>
                <w:rtl w:val="0"/>
              </w:rPr>
              <w:t xml:space="preserve">.</w:t>
            </w:r>
            <w:r w:rsidDel="00000000" w:rsidR="00000000" w:rsidRPr="00000000">
              <w:rPr>
                <w:rtl w:val="0"/>
              </w:rPr>
            </w:r>
          </w:p>
        </w:tc>
        <w:tc>
          <w:tcPr/>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CSPL (18) 104</w:t>
            </w:r>
          </w:p>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CSPL (18) 105</w:t>
            </w:r>
          </w:p>
        </w:tc>
        <w:tc>
          <w:tcPr/>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12.05</w:t>
            </w:r>
          </w:p>
        </w:tc>
      </w:tr>
      <w:tr>
        <w:trPr>
          <w:trHeight w:val="1760" w:hRule="atLeast"/>
        </w:trPr>
        <w:tc>
          <w:tcPr/>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sz w:val="22"/>
                <w:szCs w:val="22"/>
                <w:rtl w:val="0"/>
              </w:rPr>
              <w:t xml:space="preserve">AOB</w:t>
            </w:r>
          </w:p>
          <w:p w:rsidR="00000000" w:rsidDel="00000000" w:rsidP="00000000" w:rsidRDefault="00000000" w:rsidRPr="00000000" w14:paraId="0000004E">
            <w:pPr>
              <w:rPr>
                <w:rFonts w:ascii="Arial" w:cs="Arial" w:eastAsia="Arial" w:hAnsi="Arial"/>
                <w:color w:val="ff0000"/>
                <w:sz w:val="22"/>
                <w:szCs w:val="22"/>
              </w:rPr>
            </w:pPr>
            <w:r w:rsidDel="00000000" w:rsidR="00000000" w:rsidRPr="00000000">
              <w:rPr>
                <w:rtl w:val="0"/>
              </w:rPr>
            </w:r>
          </w:p>
        </w:tc>
        <w:tc>
          <w:tcPr/>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invited to note:</w:t>
            </w:r>
            <w:r w:rsidDel="00000000" w:rsidR="00000000" w:rsidRPr="00000000">
              <w:rPr>
                <w:rtl w:val="0"/>
              </w:rPr>
            </w:r>
          </w:p>
          <w:p w:rsidR="00000000" w:rsidDel="00000000" w:rsidP="00000000" w:rsidRDefault="00000000" w:rsidRPr="00000000" w14:paraId="00000050">
            <w:pPr>
              <w:numPr>
                <w:ilvl w:val="0"/>
                <w:numId w:val="3"/>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Communications update for</w:t>
            </w:r>
            <w:r w:rsidDel="00000000" w:rsidR="00000000" w:rsidRPr="00000000">
              <w:rPr>
                <w:rFonts w:ascii="Arial" w:cs="Arial" w:eastAsia="Arial" w:hAnsi="Arial"/>
                <w:sz w:val="22"/>
                <w:szCs w:val="22"/>
                <w:rtl w:val="0"/>
              </w:rPr>
              <w:t xml:space="preserve"> October </w:t>
            </w:r>
            <w:r w:rsidDel="00000000" w:rsidR="00000000" w:rsidRPr="00000000">
              <w:rPr>
                <w:rFonts w:ascii="Arial" w:cs="Arial" w:eastAsia="Arial" w:hAnsi="Arial"/>
                <w:sz w:val="22"/>
                <w:szCs w:val="22"/>
                <w:rtl w:val="0"/>
              </w:rPr>
              <w:t xml:space="preserve">2018</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1">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Invitation from the Electoral Commission to attend a roundtable;</w:t>
            </w:r>
            <w:r w:rsidDel="00000000" w:rsidR="00000000" w:rsidRPr="00000000">
              <w:rPr>
                <w:rtl w:val="0"/>
              </w:rPr>
            </w:r>
          </w:p>
          <w:p w:rsidR="00000000" w:rsidDel="00000000" w:rsidP="00000000" w:rsidRDefault="00000000" w:rsidRPr="00000000" w14:paraId="00000052">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color w:val="222222"/>
                <w:sz w:val="22"/>
                <w:szCs w:val="22"/>
                <w:highlight w:val="white"/>
                <w:rtl w:val="0"/>
              </w:rPr>
              <w:t xml:space="preserve">Date of next meeting: 13 December</w:t>
            </w:r>
            <w:r w:rsidDel="00000000" w:rsidR="00000000" w:rsidRPr="00000000">
              <w:rPr>
                <w:rFonts w:ascii="Arial" w:cs="Arial" w:eastAsia="Arial" w:hAnsi="Arial"/>
                <w:sz w:val="22"/>
                <w:szCs w:val="22"/>
                <w:rtl w:val="0"/>
              </w:rPr>
              <w:t xml:space="preserve"> 2018 in Conference Room E, 70 Whitehall</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3">
            <w:pPr>
              <w:spacing w:after="0" w:before="0" w:lineRule="auto"/>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CSPL (</w:t>
            </w:r>
            <w:r w:rsidDel="00000000" w:rsidR="00000000" w:rsidRPr="00000000">
              <w:rPr>
                <w:rFonts w:ascii="Arial" w:cs="Arial" w:eastAsia="Arial" w:hAnsi="Arial"/>
                <w:sz w:val="22"/>
                <w:szCs w:val="22"/>
                <w:rtl w:val="0"/>
              </w:rPr>
              <w:t xml:space="preserve">18</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106</w:t>
            </w: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CSPL (18) 107</w:t>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sz w:val="22"/>
                <w:szCs w:val="22"/>
                <w:rtl w:val="0"/>
              </w:rPr>
              <w:t xml:space="preserve">12.10</w:t>
            </w:r>
          </w:p>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tc>
      </w:tr>
      <w:tr>
        <w:trPr>
          <w:trHeight w:val="1760" w:hRule="atLeast"/>
        </w:trPr>
        <w:tc>
          <w:tcPr/>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tc>
        <w:tc>
          <w:tcPr/>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Professor Allyson Allyson Macvean, </w:t>
            </w:r>
            <w:r w:rsidDel="00000000" w:rsidR="00000000" w:rsidRPr="00000000">
              <w:rPr>
                <w:rFonts w:ascii="Arial" w:cs="Arial" w:eastAsia="Arial" w:hAnsi="Arial"/>
                <w:color w:val="222222"/>
                <w:sz w:val="22"/>
                <w:szCs w:val="22"/>
                <w:highlight w:val="white"/>
                <w:rtl w:val="0"/>
              </w:rPr>
              <w:t xml:space="preserve">Professor Vassilios Papalois and Chief Constable Julian Williams (NPCC portfolio for ethics) will join the Committee at the end of formal business for a discussion on their work. present the work and developments in relation to the ethics and integrity through the police ethics network</w:t>
            </w:r>
            <w:r w:rsidDel="00000000" w:rsidR="00000000" w:rsidRPr="00000000">
              <w:rPr>
                <w:rtl w:val="0"/>
              </w:rPr>
            </w:r>
          </w:p>
        </w:tc>
        <w:tc>
          <w:tcPr/>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CSPL (18) 108</w:t>
            </w:r>
          </w:p>
        </w:tc>
        <w:tc>
          <w:tcPr/>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sz w:val="22"/>
                <w:szCs w:val="22"/>
                <w:rtl w:val="0"/>
              </w:rPr>
              <w:t xml:space="preserve">12.15</w:t>
            </w:r>
          </w:p>
        </w:tc>
      </w:tr>
    </w:tbl>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0" w:top="566.9291338582677" w:left="1440.0000000000002" w:right="1440.000000000000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tabs>
        <w:tab w:val="center" w:pos="4513"/>
        <w:tab w:val="right" w:pos="9026"/>
      </w:tabs>
      <w:spacing w:after="2160" w:lineRule="auto"/>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tabs>
        <w:tab w:val="center" w:pos="4513"/>
        <w:tab w:val="right" w:pos="9026"/>
      </w:tabs>
      <w:spacing w:before="720" w:lineRule="auto"/>
      <w:jc w:val="left"/>
      <w:rPr>
        <w:rFonts w:ascii="Arial" w:cs="Arial" w:eastAsia="Arial" w:hAnsi="Arial"/>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pPr>
    <w:rPr>
      <w:rFonts w:ascii="Cambria" w:cs="Cambria" w:eastAsia="Cambria" w:hAnsi="Cambria"/>
      <w:b w:val="1"/>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