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FED0" w14:textId="38F9CE65" w:rsidR="005E7B5C" w:rsidRPr="003F06E4" w:rsidRDefault="005E7B5C" w:rsidP="00FC0AA9">
      <w:pPr>
        <w:pStyle w:val="EMBanner"/>
      </w:pPr>
      <w:r w:rsidRPr="003F06E4">
        <w:t xml:space="preserve">EXPLANATORY </w:t>
      </w:r>
      <w:r w:rsidRPr="00FC0AA9">
        <w:t>MEMORANDUM</w:t>
      </w:r>
      <w:r w:rsidRPr="003F06E4">
        <w:t xml:space="preserve"> TO</w:t>
      </w:r>
    </w:p>
    <w:p w14:paraId="33082C88" w14:textId="77777777" w:rsidR="00723857" w:rsidRDefault="00723857" w:rsidP="00723857">
      <w:pPr>
        <w:pStyle w:val="EMSITitle"/>
      </w:pPr>
      <w:bookmarkStart w:id="0" w:name="_1fob9te" w:colFirst="0" w:colLast="0"/>
      <w:bookmarkEnd w:id="0"/>
      <w:r>
        <w:t>THE social security coordination (regulation (EC) No. 883/2004) (amendment) (eu exit) regulations 2018</w:t>
      </w:r>
      <w:r w:rsidRPr="00723857">
        <w:t xml:space="preserve"> </w:t>
      </w:r>
    </w:p>
    <w:p w14:paraId="11574370" w14:textId="5EB2A1A9" w:rsidR="00CF2F01" w:rsidRPr="00CF2F01" w:rsidRDefault="00CF2F01" w:rsidP="00CF2F01">
      <w:pPr>
        <w:pStyle w:val="EMSINumber"/>
      </w:pPr>
      <w:r w:rsidRPr="003F06E4">
        <w:t>[</w:t>
      </w:r>
      <w:r w:rsidR="00A229C0">
        <w:t>2018</w:t>
      </w:r>
      <w:r w:rsidRPr="003F06E4">
        <w:t>] No. [XXXX]</w:t>
      </w:r>
    </w:p>
    <w:p w14:paraId="5BA1355F" w14:textId="77777777" w:rsidR="00723857" w:rsidRDefault="00723857" w:rsidP="00723857">
      <w:pPr>
        <w:pStyle w:val="EMSITitle"/>
      </w:pPr>
      <w:r>
        <w:t>THE social security coordination (regulation (EC) No. 987/2009) (amendment) (eu exit) regulations 2018</w:t>
      </w:r>
    </w:p>
    <w:p w14:paraId="37D25E6E" w14:textId="05F0ADD5" w:rsidR="00CF2F01" w:rsidRPr="00CF2F01" w:rsidRDefault="00CF2F01" w:rsidP="00CF2F01">
      <w:pPr>
        <w:pStyle w:val="EMSINumber"/>
      </w:pPr>
      <w:r w:rsidRPr="003F06E4">
        <w:t>[</w:t>
      </w:r>
      <w:r w:rsidR="00A229C0">
        <w:t>2018</w:t>
      </w:r>
      <w:r w:rsidRPr="003F06E4">
        <w:t>] No. [XXXX]</w:t>
      </w:r>
    </w:p>
    <w:p w14:paraId="5EB7EE8D" w14:textId="77777777" w:rsidR="00EC5664" w:rsidRDefault="00EC5664" w:rsidP="00CF2F01">
      <w:pPr>
        <w:pStyle w:val="EMSINumber"/>
        <w:rPr>
          <w:caps/>
        </w:rPr>
      </w:pPr>
      <w:r w:rsidRPr="00EC5664">
        <w:rPr>
          <w:caps/>
        </w:rPr>
        <w:t>The Social Security Coordination (Council Regulation (EEC) No 1408/71 and Council Regulation (EC) No 859/2003) (Amendment) (EU Exit) Regulations 2018</w:t>
      </w:r>
    </w:p>
    <w:p w14:paraId="3AB03B72" w14:textId="51477DF3" w:rsidR="00CF2F01" w:rsidRPr="00CF2F01" w:rsidRDefault="00EC5664" w:rsidP="00CF2F01">
      <w:pPr>
        <w:pStyle w:val="EMSINumber"/>
      </w:pPr>
      <w:r w:rsidRPr="00EC5664">
        <w:rPr>
          <w:caps/>
        </w:rPr>
        <w:t xml:space="preserve"> </w:t>
      </w:r>
      <w:r w:rsidR="00CF2F01" w:rsidRPr="003F06E4">
        <w:t>[</w:t>
      </w:r>
      <w:r w:rsidR="00A229C0">
        <w:t>2018</w:t>
      </w:r>
      <w:r w:rsidR="00CF2F01" w:rsidRPr="003F06E4">
        <w:t>] No. [XXXX]</w:t>
      </w:r>
    </w:p>
    <w:p w14:paraId="7B531912" w14:textId="3EB7AE3E" w:rsidR="005E7B5C" w:rsidRPr="003F06E4" w:rsidRDefault="00723857" w:rsidP="00723857">
      <w:pPr>
        <w:pStyle w:val="EMSITitle"/>
      </w:pPr>
      <w:r>
        <w:t>THE social security coordination (regulation (E</w:t>
      </w:r>
      <w:r w:rsidR="00EC5664">
        <w:t>E</w:t>
      </w:r>
      <w:r>
        <w:t>C) No. 574/72) (amendment) (eu exit) regulations 2018</w:t>
      </w:r>
    </w:p>
    <w:p w14:paraId="3DF5B2C3" w14:textId="09705CBD" w:rsidR="005E7B5C" w:rsidRPr="003F06E4" w:rsidRDefault="005E7B5C" w:rsidP="005E7B5C">
      <w:pPr>
        <w:pStyle w:val="EMSINumber"/>
      </w:pPr>
      <w:r w:rsidRPr="003F06E4">
        <w:t>[</w:t>
      </w:r>
      <w:r w:rsidR="00A229C0">
        <w:t>2018</w:t>
      </w:r>
      <w:r w:rsidRPr="003F06E4">
        <w:t>] No. [XXXX]</w:t>
      </w:r>
    </w:p>
    <w:p w14:paraId="15D7B9FC" w14:textId="77777777" w:rsidR="005E7B5C" w:rsidRDefault="005E7B5C" w:rsidP="00CD4FDB">
      <w:pPr>
        <w:pStyle w:val="EMSectionTitle"/>
      </w:pPr>
      <w:r w:rsidRPr="00CD4FDB">
        <w:t>Introduction</w:t>
      </w:r>
    </w:p>
    <w:p w14:paraId="1006B58B" w14:textId="11F8AF45" w:rsidR="00DE1F19" w:rsidRDefault="00DE1F19" w:rsidP="00A229C0">
      <w:pPr>
        <w:pStyle w:val="EMLevel1Paragraph"/>
        <w:ind w:hanging="696"/>
      </w:pPr>
      <w:r>
        <w:t xml:space="preserve">This explanatory memorandum has been prepared by the Department for Work and Pensions (DWP) and is laid before Parliament by </w:t>
      </w:r>
      <w:r w:rsidR="00A229C0">
        <w:t>Act</w:t>
      </w:r>
      <w:r>
        <w:t>.</w:t>
      </w:r>
    </w:p>
    <w:p w14:paraId="6C6F436D" w14:textId="2300BFB9" w:rsidR="00DE1F19" w:rsidRDefault="00DE1F19" w:rsidP="00A229C0">
      <w:pPr>
        <w:pStyle w:val="EMLevel1Paragraph"/>
        <w:ind w:hanging="696"/>
      </w:pPr>
      <w:r>
        <w:t xml:space="preserve">This memorandum contains information for </w:t>
      </w:r>
      <w:r w:rsidR="00040E7F">
        <w:t xml:space="preserve">the </w:t>
      </w:r>
      <w:r>
        <w:t>Sifting Committees.</w:t>
      </w:r>
    </w:p>
    <w:p w14:paraId="037A93B4" w14:textId="77777777" w:rsidR="005E7B5C" w:rsidRDefault="005E7B5C" w:rsidP="00CD4FDB">
      <w:pPr>
        <w:pStyle w:val="EMSectionTitle"/>
      </w:pPr>
      <w:r>
        <w:t>Purpose of the instrument</w:t>
      </w:r>
    </w:p>
    <w:p w14:paraId="518BF9B2" w14:textId="5C8C3F45" w:rsidR="00E216FF" w:rsidRDefault="00E216FF" w:rsidP="00E216FF">
      <w:pPr>
        <w:pStyle w:val="EMLevel1Paragraph"/>
        <w:numPr>
          <w:ilvl w:val="1"/>
          <w:numId w:val="29"/>
        </w:numPr>
        <w:tabs>
          <w:tab w:val="clear" w:pos="696"/>
          <w:tab w:val="left" w:pos="720"/>
        </w:tabs>
        <w:ind w:left="720" w:hanging="720"/>
      </w:pPr>
      <w:r>
        <w:t>These</w:t>
      </w:r>
      <w:r w:rsidR="00EA1C7C">
        <w:t xml:space="preserve"> four Statutory I</w:t>
      </w:r>
      <w:r>
        <w:t xml:space="preserve">nstruments </w:t>
      </w:r>
      <w:r w:rsidR="00EA1C7C">
        <w:t>amend</w:t>
      </w:r>
      <w:r w:rsidRPr="00E216FF">
        <w:t xml:space="preserve"> the </w:t>
      </w:r>
      <w:r w:rsidR="00EA1C7C">
        <w:t xml:space="preserve">retained </w:t>
      </w:r>
      <w:r w:rsidRPr="00E216FF">
        <w:t>EU Regulations which provide for EU Social Security Coordination (</w:t>
      </w:r>
      <w:r w:rsidR="00AD5756">
        <w:t>t</w:t>
      </w:r>
      <w:r w:rsidRPr="00E216FF">
        <w:t xml:space="preserve">he </w:t>
      </w:r>
      <w:r w:rsidR="00A55C5C">
        <w:t>‘</w:t>
      </w:r>
      <w:r w:rsidRPr="00E216FF">
        <w:t>Coordination Regulations</w:t>
      </w:r>
      <w:r w:rsidR="00A55C5C">
        <w:t>’</w:t>
      </w:r>
      <w:r w:rsidRPr="00E216FF">
        <w:t xml:space="preserve">). The amendments remedy deficiencies arising as a result of </w:t>
      </w:r>
      <w:r w:rsidR="000329C1">
        <w:t xml:space="preserve">the United Kingdom’s withdrawal from the </w:t>
      </w:r>
      <w:r w:rsidRPr="00E216FF">
        <w:t>E</w:t>
      </w:r>
      <w:r w:rsidR="000329C1">
        <w:t xml:space="preserve">uropean </w:t>
      </w:r>
      <w:r w:rsidRPr="00E216FF">
        <w:t>U</w:t>
      </w:r>
      <w:r w:rsidR="000329C1">
        <w:t>nion (</w:t>
      </w:r>
      <w:r w:rsidR="00A55C5C">
        <w:t>‘</w:t>
      </w:r>
      <w:r w:rsidR="000329C1">
        <w:t>EU</w:t>
      </w:r>
      <w:r w:rsidR="00A55C5C">
        <w:t>’</w:t>
      </w:r>
      <w:r w:rsidR="000329C1">
        <w:t>)</w:t>
      </w:r>
      <w:r w:rsidR="00EA1C7C">
        <w:t>, ensuring</w:t>
      </w:r>
      <w:r w:rsidR="00965749">
        <w:t xml:space="preserve"> </w:t>
      </w:r>
      <w:r w:rsidRPr="00E216FF">
        <w:t>that</w:t>
      </w:r>
      <w:r>
        <w:t xml:space="preserve"> </w:t>
      </w:r>
      <w:r w:rsidRPr="00E216FF">
        <w:t>retained EU law is operable in the event there is no withdrawal agreement, and no future relationship agreement</w:t>
      </w:r>
      <w:r w:rsidR="000329C1">
        <w:t>.</w:t>
      </w:r>
      <w:r w:rsidRPr="00E216FF">
        <w:t xml:space="preserve"> </w:t>
      </w:r>
    </w:p>
    <w:p w14:paraId="76ACCFAD" w14:textId="77777777" w:rsidR="005E7B5C" w:rsidRDefault="005E7B5C" w:rsidP="007B4276">
      <w:pPr>
        <w:pStyle w:val="EMSub-sectiontitle"/>
      </w:pPr>
      <w:r>
        <w:t>Explanations</w:t>
      </w:r>
    </w:p>
    <w:p w14:paraId="5EA80872" w14:textId="3EB5BD48" w:rsidR="005E7B5C" w:rsidRDefault="005E7B5C" w:rsidP="007B4276">
      <w:pPr>
        <w:pStyle w:val="EMSub-sub-sectiontitle"/>
      </w:pPr>
      <w:r>
        <w:t>What did any relevant EU law do before exit day?</w:t>
      </w:r>
    </w:p>
    <w:p w14:paraId="3749845D" w14:textId="77777777" w:rsidR="00EA1C7C" w:rsidRDefault="00CE3BAD" w:rsidP="007B4276">
      <w:pPr>
        <w:pStyle w:val="EMLevel1Paragraph"/>
      </w:pPr>
      <w:r w:rsidRPr="00CE3BAD">
        <w:t>The Coordination Regulations</w:t>
      </w:r>
      <w:r w:rsidR="00EA1C7C">
        <w:t xml:space="preserve"> are: </w:t>
      </w:r>
    </w:p>
    <w:p w14:paraId="40DFC88B" w14:textId="22D68054" w:rsidR="00EA1C7C" w:rsidRDefault="00EA1C7C" w:rsidP="00593F74">
      <w:pPr>
        <w:pStyle w:val="EMLevel1Paragraph"/>
        <w:numPr>
          <w:ilvl w:val="0"/>
          <w:numId w:val="41"/>
        </w:numPr>
      </w:pPr>
      <w:r>
        <w:t>Regulation (EC) 883/2004</w:t>
      </w:r>
      <w:r w:rsidR="005E2DE2">
        <w:rPr>
          <w:rStyle w:val="FootnoteReference"/>
          <w:rFonts w:eastAsiaTheme="minorHAnsi"/>
        </w:rPr>
        <w:footnoteReference w:id="1"/>
      </w:r>
      <w:r>
        <w:t xml:space="preserve"> of the</w:t>
      </w:r>
      <w:r w:rsidRPr="008638D7">
        <w:t xml:space="preserve"> </w:t>
      </w:r>
      <w:r>
        <w:t>European</w:t>
      </w:r>
      <w:r w:rsidRPr="008638D7">
        <w:t xml:space="preserve"> </w:t>
      </w:r>
      <w:r>
        <w:t>Parliament</w:t>
      </w:r>
      <w:r w:rsidRPr="008638D7">
        <w:t xml:space="preserve"> </w:t>
      </w:r>
      <w:r>
        <w:t>and</w:t>
      </w:r>
      <w:r w:rsidRPr="008638D7">
        <w:t xml:space="preserve"> </w:t>
      </w:r>
      <w:r>
        <w:t>of</w:t>
      </w:r>
      <w:r w:rsidRPr="008638D7">
        <w:t xml:space="preserve"> </w:t>
      </w:r>
      <w:r>
        <w:t>the</w:t>
      </w:r>
      <w:r w:rsidRPr="008638D7">
        <w:t xml:space="preserve"> </w:t>
      </w:r>
      <w:r>
        <w:t>Council</w:t>
      </w:r>
      <w:r w:rsidRPr="008638D7">
        <w:t xml:space="preserve"> </w:t>
      </w:r>
      <w:r>
        <w:t>of</w:t>
      </w:r>
      <w:r w:rsidRPr="008638D7">
        <w:t xml:space="preserve"> </w:t>
      </w:r>
      <w:r>
        <w:t>29</w:t>
      </w:r>
      <w:r w:rsidRPr="008638D7">
        <w:t xml:space="preserve"> </w:t>
      </w:r>
      <w:r>
        <w:t>April</w:t>
      </w:r>
      <w:r w:rsidRPr="008638D7">
        <w:t xml:space="preserve"> </w:t>
      </w:r>
      <w:r>
        <w:t>2004</w:t>
      </w:r>
      <w:r w:rsidRPr="008638D7">
        <w:t xml:space="preserve"> </w:t>
      </w:r>
      <w:r>
        <w:t>on</w:t>
      </w:r>
      <w:r w:rsidRPr="008638D7">
        <w:t xml:space="preserve"> </w:t>
      </w:r>
      <w:r>
        <w:t>the</w:t>
      </w:r>
      <w:r w:rsidRPr="008638D7">
        <w:t xml:space="preserve"> </w:t>
      </w:r>
      <w:r>
        <w:t>coordination</w:t>
      </w:r>
      <w:r w:rsidRPr="008638D7">
        <w:t xml:space="preserve"> </w:t>
      </w:r>
      <w:r>
        <w:t>of</w:t>
      </w:r>
      <w:r w:rsidRPr="008638D7">
        <w:t xml:space="preserve"> </w:t>
      </w:r>
      <w:r>
        <w:t>social</w:t>
      </w:r>
      <w:r w:rsidRPr="008638D7">
        <w:t xml:space="preserve"> </w:t>
      </w:r>
      <w:r>
        <w:t>security</w:t>
      </w:r>
      <w:r w:rsidRPr="008638D7">
        <w:t xml:space="preserve"> </w:t>
      </w:r>
      <w:r>
        <w:t>systems (“Regulation 883/2004”)</w:t>
      </w:r>
    </w:p>
    <w:p w14:paraId="2EF6AEAA" w14:textId="02941A6E" w:rsidR="00EA1C7C" w:rsidRDefault="00EA1C7C" w:rsidP="00593F74">
      <w:pPr>
        <w:pStyle w:val="EMLevel1Paragraph"/>
        <w:numPr>
          <w:ilvl w:val="0"/>
          <w:numId w:val="41"/>
        </w:numPr>
      </w:pPr>
      <w:r>
        <w:t>Regulation</w:t>
      </w:r>
      <w:r w:rsidRPr="00570BED">
        <w:t xml:space="preserve"> </w:t>
      </w:r>
      <w:r>
        <w:t>(EC)</w:t>
      </w:r>
      <w:r w:rsidRPr="00570BED">
        <w:t xml:space="preserve"> </w:t>
      </w:r>
      <w:r>
        <w:t>No</w:t>
      </w:r>
      <w:r w:rsidRPr="00570BED">
        <w:t xml:space="preserve"> </w:t>
      </w:r>
      <w:r>
        <w:t>987/2009</w:t>
      </w:r>
      <w:r w:rsidR="005E2DE2">
        <w:rPr>
          <w:rStyle w:val="FootnoteReference"/>
        </w:rPr>
        <w:footnoteReference w:id="2"/>
      </w:r>
      <w:r w:rsidRPr="00570BED">
        <w:t xml:space="preserve"> </w:t>
      </w:r>
      <w:r>
        <w:t>of</w:t>
      </w:r>
      <w:r w:rsidRPr="00570BED">
        <w:t xml:space="preserve"> </w:t>
      </w:r>
      <w:r>
        <w:t>the</w:t>
      </w:r>
      <w:r w:rsidRPr="00570BED">
        <w:t xml:space="preserve"> </w:t>
      </w:r>
      <w:r>
        <w:t>European</w:t>
      </w:r>
      <w:r w:rsidRPr="00570BED">
        <w:t xml:space="preserve"> </w:t>
      </w:r>
      <w:r>
        <w:t>Parliament</w:t>
      </w:r>
      <w:r w:rsidRPr="00570BED">
        <w:t xml:space="preserve"> </w:t>
      </w:r>
      <w:r>
        <w:t>and</w:t>
      </w:r>
      <w:r w:rsidRPr="00570BED">
        <w:t xml:space="preserve"> </w:t>
      </w:r>
      <w:r>
        <w:t>of</w:t>
      </w:r>
      <w:r w:rsidRPr="00570BED">
        <w:t xml:space="preserve"> </w:t>
      </w:r>
      <w:r>
        <w:t>the</w:t>
      </w:r>
      <w:r w:rsidRPr="00570BED">
        <w:t xml:space="preserve"> </w:t>
      </w:r>
      <w:r>
        <w:t>Council</w:t>
      </w:r>
      <w:r w:rsidRPr="00570BED">
        <w:t xml:space="preserve"> </w:t>
      </w:r>
      <w:r>
        <w:t>of</w:t>
      </w:r>
      <w:r w:rsidRPr="00570BED">
        <w:t xml:space="preserve"> </w:t>
      </w:r>
      <w:r>
        <w:t>16</w:t>
      </w:r>
      <w:r w:rsidRPr="00570BED">
        <w:t xml:space="preserve"> </w:t>
      </w:r>
      <w:r>
        <w:t>September</w:t>
      </w:r>
      <w:r w:rsidRPr="00570BED">
        <w:t xml:space="preserve"> </w:t>
      </w:r>
      <w:r>
        <w:t>2009</w:t>
      </w:r>
      <w:r w:rsidRPr="00570BED">
        <w:t xml:space="preserve"> </w:t>
      </w:r>
      <w:r>
        <w:t>laying</w:t>
      </w:r>
      <w:r w:rsidRPr="00570BED">
        <w:t xml:space="preserve"> </w:t>
      </w:r>
      <w:r>
        <w:t>down</w:t>
      </w:r>
      <w:r w:rsidRPr="00570BED">
        <w:t xml:space="preserve"> </w:t>
      </w:r>
      <w:r>
        <w:t>the</w:t>
      </w:r>
      <w:r w:rsidRPr="00570BED">
        <w:t xml:space="preserve"> </w:t>
      </w:r>
      <w:r>
        <w:t>procedure</w:t>
      </w:r>
      <w:r w:rsidRPr="00570BED">
        <w:t xml:space="preserve"> </w:t>
      </w:r>
      <w:r>
        <w:t>for</w:t>
      </w:r>
      <w:r w:rsidRPr="00570BED">
        <w:t xml:space="preserve"> </w:t>
      </w:r>
      <w:r>
        <w:t>implementing</w:t>
      </w:r>
      <w:r w:rsidRPr="00570BED">
        <w:t xml:space="preserve"> </w:t>
      </w:r>
      <w:r>
        <w:t>Regulation</w:t>
      </w:r>
      <w:r w:rsidRPr="00570BED">
        <w:t xml:space="preserve"> </w:t>
      </w:r>
      <w:r>
        <w:lastRenderedPageBreak/>
        <w:t>(EC)</w:t>
      </w:r>
      <w:r w:rsidRPr="00570BED">
        <w:t xml:space="preserve"> </w:t>
      </w:r>
      <w:r>
        <w:t>No</w:t>
      </w:r>
      <w:r w:rsidRPr="00570BED">
        <w:t xml:space="preserve"> </w:t>
      </w:r>
      <w:r>
        <w:t>883/2004</w:t>
      </w:r>
      <w:r w:rsidRPr="00570BED">
        <w:t xml:space="preserve"> </w:t>
      </w:r>
      <w:r>
        <w:t>on</w:t>
      </w:r>
      <w:r w:rsidRPr="00570BED">
        <w:t xml:space="preserve"> </w:t>
      </w:r>
      <w:r>
        <w:t>the</w:t>
      </w:r>
      <w:r w:rsidRPr="00570BED">
        <w:t xml:space="preserve"> </w:t>
      </w:r>
      <w:r>
        <w:t>coordination</w:t>
      </w:r>
      <w:r w:rsidRPr="00570BED">
        <w:t xml:space="preserve"> </w:t>
      </w:r>
      <w:r>
        <w:t>of</w:t>
      </w:r>
      <w:r w:rsidRPr="00570BED">
        <w:t xml:space="preserve"> </w:t>
      </w:r>
      <w:r>
        <w:t>social</w:t>
      </w:r>
      <w:r w:rsidRPr="00570BED">
        <w:t xml:space="preserve"> </w:t>
      </w:r>
      <w:r>
        <w:t>security</w:t>
      </w:r>
      <w:r w:rsidRPr="00570BED">
        <w:t xml:space="preserve"> </w:t>
      </w:r>
      <w:r>
        <w:t>systems (“Regulation 987/2009”)</w:t>
      </w:r>
    </w:p>
    <w:p w14:paraId="44D86AFB" w14:textId="68A9D45E" w:rsidR="00EA1C7C" w:rsidRDefault="00EA1C7C" w:rsidP="00593F74">
      <w:pPr>
        <w:pStyle w:val="EMLevel1Paragraph"/>
        <w:numPr>
          <w:ilvl w:val="0"/>
          <w:numId w:val="41"/>
        </w:numPr>
      </w:pPr>
      <w:r>
        <w:t>Council</w:t>
      </w:r>
      <w:r w:rsidRPr="00260364">
        <w:t xml:space="preserve"> </w:t>
      </w:r>
      <w:r>
        <w:t>Regulation</w:t>
      </w:r>
      <w:r w:rsidRPr="00260364">
        <w:t xml:space="preserve"> </w:t>
      </w:r>
      <w:r>
        <w:t>(EEC)</w:t>
      </w:r>
      <w:r w:rsidRPr="00260364">
        <w:t xml:space="preserve"> </w:t>
      </w:r>
      <w:r>
        <w:t>No</w:t>
      </w:r>
      <w:r w:rsidRPr="00260364">
        <w:t xml:space="preserve"> </w:t>
      </w:r>
      <w:r>
        <w:t>1408/71</w:t>
      </w:r>
      <w:r w:rsidR="005E2DE2">
        <w:rPr>
          <w:rStyle w:val="FootnoteReference"/>
          <w:rFonts w:eastAsiaTheme="minorHAnsi"/>
        </w:rPr>
        <w:footnoteReference w:id="3"/>
      </w:r>
      <w:r w:rsidRPr="00260364">
        <w:t xml:space="preserve"> </w:t>
      </w:r>
      <w:r>
        <w:t>of</w:t>
      </w:r>
      <w:r w:rsidRPr="00260364">
        <w:t xml:space="preserve"> </w:t>
      </w:r>
      <w:r>
        <w:t>14</w:t>
      </w:r>
      <w:r w:rsidRPr="00260364">
        <w:t xml:space="preserve"> </w:t>
      </w:r>
      <w:r>
        <w:t>June</w:t>
      </w:r>
      <w:r w:rsidRPr="00260364">
        <w:t xml:space="preserve"> </w:t>
      </w:r>
      <w:r>
        <w:t>1971</w:t>
      </w:r>
      <w:r w:rsidRPr="00260364">
        <w:t xml:space="preserve"> </w:t>
      </w:r>
      <w:r>
        <w:t>on</w:t>
      </w:r>
      <w:r w:rsidRPr="00260364">
        <w:t xml:space="preserve"> </w:t>
      </w:r>
      <w:r>
        <w:t>the</w:t>
      </w:r>
      <w:r w:rsidRPr="00260364">
        <w:t xml:space="preserve"> </w:t>
      </w:r>
      <w:r>
        <w:t>application</w:t>
      </w:r>
      <w:r w:rsidRPr="00260364">
        <w:t xml:space="preserve"> </w:t>
      </w:r>
      <w:r>
        <w:t>of</w:t>
      </w:r>
      <w:r w:rsidRPr="00260364">
        <w:t xml:space="preserve"> </w:t>
      </w:r>
      <w:r>
        <w:t>social</w:t>
      </w:r>
      <w:r w:rsidRPr="00260364">
        <w:t xml:space="preserve"> </w:t>
      </w:r>
      <w:r>
        <w:t>security</w:t>
      </w:r>
      <w:r w:rsidRPr="00260364">
        <w:t xml:space="preserve"> </w:t>
      </w:r>
      <w:r>
        <w:t>schemes</w:t>
      </w:r>
      <w:r w:rsidRPr="00260364">
        <w:t xml:space="preserve"> </w:t>
      </w:r>
      <w:r>
        <w:t>to</w:t>
      </w:r>
      <w:r w:rsidRPr="00260364">
        <w:t xml:space="preserve"> </w:t>
      </w:r>
      <w:r>
        <w:t>employed</w:t>
      </w:r>
      <w:r w:rsidRPr="00260364">
        <w:t xml:space="preserve"> </w:t>
      </w:r>
      <w:r>
        <w:t>persons,</w:t>
      </w:r>
      <w:r w:rsidRPr="00260364">
        <w:t xml:space="preserve"> </w:t>
      </w:r>
      <w:r>
        <w:t>to</w:t>
      </w:r>
      <w:r w:rsidRPr="00260364">
        <w:t xml:space="preserve"> </w:t>
      </w:r>
      <w:r>
        <w:t>self-employed</w:t>
      </w:r>
      <w:r w:rsidRPr="00260364">
        <w:t xml:space="preserve"> </w:t>
      </w:r>
      <w:r>
        <w:t>persons</w:t>
      </w:r>
      <w:r w:rsidRPr="00260364">
        <w:t xml:space="preserve"> </w:t>
      </w:r>
      <w:r>
        <w:t>and</w:t>
      </w:r>
      <w:r w:rsidRPr="00260364">
        <w:t xml:space="preserve"> </w:t>
      </w:r>
      <w:r>
        <w:t>to</w:t>
      </w:r>
      <w:r w:rsidRPr="00260364">
        <w:t xml:space="preserve"> </w:t>
      </w:r>
      <w:r>
        <w:t>members</w:t>
      </w:r>
      <w:r w:rsidRPr="00260364">
        <w:t xml:space="preserve"> </w:t>
      </w:r>
      <w:r>
        <w:t>of</w:t>
      </w:r>
      <w:r w:rsidRPr="00260364">
        <w:t xml:space="preserve"> </w:t>
      </w:r>
      <w:r>
        <w:t>their</w:t>
      </w:r>
      <w:r w:rsidRPr="00260364">
        <w:t xml:space="preserve"> </w:t>
      </w:r>
      <w:r>
        <w:t>families</w:t>
      </w:r>
      <w:r w:rsidRPr="00260364">
        <w:t xml:space="preserve"> </w:t>
      </w:r>
      <w:r>
        <w:t>moving</w:t>
      </w:r>
      <w:r w:rsidRPr="00260364">
        <w:t xml:space="preserve"> </w:t>
      </w:r>
      <w:r>
        <w:t>within</w:t>
      </w:r>
      <w:r w:rsidRPr="00260364">
        <w:t xml:space="preserve"> </w:t>
      </w:r>
      <w:r>
        <w:t>the</w:t>
      </w:r>
      <w:r w:rsidRPr="00260364">
        <w:t xml:space="preserve"> </w:t>
      </w:r>
      <w:r>
        <w:t>Community (“Regulation 1408/71”)</w:t>
      </w:r>
    </w:p>
    <w:p w14:paraId="28F2578D" w14:textId="5C0078D9" w:rsidR="00EA1C7C" w:rsidRDefault="00EA1C7C" w:rsidP="00593F74">
      <w:pPr>
        <w:pStyle w:val="EMLevel1Paragraph"/>
        <w:numPr>
          <w:ilvl w:val="0"/>
          <w:numId w:val="41"/>
        </w:numPr>
      </w:pPr>
      <w:r>
        <w:t>Council</w:t>
      </w:r>
      <w:r w:rsidRPr="00D51D43">
        <w:t xml:space="preserve"> </w:t>
      </w:r>
      <w:r>
        <w:t>Regulation</w:t>
      </w:r>
      <w:r w:rsidRPr="00D51D43">
        <w:t xml:space="preserve"> </w:t>
      </w:r>
      <w:r>
        <w:t>(EEC)</w:t>
      </w:r>
      <w:r w:rsidRPr="00D51D43">
        <w:t xml:space="preserve"> </w:t>
      </w:r>
      <w:r>
        <w:t>No</w:t>
      </w:r>
      <w:r w:rsidRPr="00D51D43">
        <w:t xml:space="preserve"> </w:t>
      </w:r>
      <w:r>
        <w:t>574/72</w:t>
      </w:r>
      <w:r w:rsidR="005E2DE2">
        <w:rPr>
          <w:rStyle w:val="FootnoteReference"/>
        </w:rPr>
        <w:footnoteReference w:id="4"/>
      </w:r>
      <w:r w:rsidRPr="00D51D43">
        <w:t xml:space="preserve"> </w:t>
      </w:r>
      <w:r>
        <w:t>of</w:t>
      </w:r>
      <w:r w:rsidRPr="00D51D43">
        <w:t xml:space="preserve"> </w:t>
      </w:r>
      <w:r>
        <w:t>21</w:t>
      </w:r>
      <w:r w:rsidRPr="00D51D43">
        <w:t xml:space="preserve"> </w:t>
      </w:r>
      <w:r>
        <w:t>March</w:t>
      </w:r>
      <w:r w:rsidRPr="00D51D43">
        <w:t xml:space="preserve"> </w:t>
      </w:r>
      <w:r>
        <w:t>1972</w:t>
      </w:r>
      <w:r w:rsidRPr="00D51D43">
        <w:t xml:space="preserve"> </w:t>
      </w:r>
      <w:r>
        <w:t>laying</w:t>
      </w:r>
      <w:r w:rsidRPr="00D51D43">
        <w:t xml:space="preserve"> </w:t>
      </w:r>
      <w:r>
        <w:t>down</w:t>
      </w:r>
      <w:r w:rsidRPr="00D51D43">
        <w:t xml:space="preserve"> </w:t>
      </w:r>
      <w:r>
        <w:t>the</w:t>
      </w:r>
      <w:r w:rsidRPr="00D51D43">
        <w:t xml:space="preserve"> </w:t>
      </w:r>
      <w:r>
        <w:t>procedure</w:t>
      </w:r>
      <w:r w:rsidRPr="00D51D43">
        <w:t xml:space="preserve"> </w:t>
      </w:r>
      <w:r>
        <w:t>for</w:t>
      </w:r>
      <w:r w:rsidRPr="00D51D43">
        <w:t xml:space="preserve"> </w:t>
      </w:r>
      <w:r>
        <w:t>implementing</w:t>
      </w:r>
      <w:r w:rsidRPr="00D51D43">
        <w:t xml:space="preserve"> </w:t>
      </w:r>
      <w:r>
        <w:t>Regulation</w:t>
      </w:r>
      <w:r w:rsidRPr="00D51D43">
        <w:t xml:space="preserve"> </w:t>
      </w:r>
      <w:r>
        <w:t>(EEC)</w:t>
      </w:r>
      <w:r w:rsidRPr="00D51D43">
        <w:t xml:space="preserve"> </w:t>
      </w:r>
      <w:r>
        <w:t>No</w:t>
      </w:r>
      <w:r w:rsidRPr="00D51D43">
        <w:t xml:space="preserve"> </w:t>
      </w:r>
      <w:r>
        <w:t>1408/71</w:t>
      </w:r>
      <w:r w:rsidRPr="00D51D43">
        <w:t xml:space="preserve"> </w:t>
      </w:r>
      <w:r>
        <w:t>on</w:t>
      </w:r>
      <w:r w:rsidRPr="00D51D43">
        <w:t xml:space="preserve"> </w:t>
      </w:r>
      <w:r>
        <w:t>the</w:t>
      </w:r>
      <w:r w:rsidRPr="00D51D43">
        <w:t xml:space="preserve"> </w:t>
      </w:r>
      <w:r>
        <w:t>application</w:t>
      </w:r>
      <w:r w:rsidRPr="00D51D43">
        <w:t xml:space="preserve"> </w:t>
      </w:r>
      <w:r>
        <w:t>of</w:t>
      </w:r>
      <w:r w:rsidRPr="00D51D43">
        <w:t xml:space="preserve"> </w:t>
      </w:r>
      <w:r>
        <w:t>social</w:t>
      </w:r>
      <w:r w:rsidRPr="00D51D43">
        <w:t xml:space="preserve"> </w:t>
      </w:r>
      <w:r>
        <w:t>security</w:t>
      </w:r>
      <w:r w:rsidRPr="00D51D43">
        <w:t xml:space="preserve"> </w:t>
      </w:r>
      <w:r>
        <w:t>schemes</w:t>
      </w:r>
      <w:r w:rsidRPr="00D51D43">
        <w:t xml:space="preserve"> </w:t>
      </w:r>
      <w:r>
        <w:t>to</w:t>
      </w:r>
      <w:r w:rsidRPr="00D51D43">
        <w:t xml:space="preserve"> </w:t>
      </w:r>
      <w:r>
        <w:t>employed</w:t>
      </w:r>
      <w:r w:rsidRPr="00D51D43">
        <w:t xml:space="preserve"> </w:t>
      </w:r>
      <w:r>
        <w:t>persons,</w:t>
      </w:r>
      <w:r w:rsidRPr="00D51D43">
        <w:t xml:space="preserve"> </w:t>
      </w:r>
      <w:r>
        <w:t>to</w:t>
      </w:r>
      <w:r w:rsidRPr="00D51D43">
        <w:t xml:space="preserve"> </w:t>
      </w:r>
      <w:r>
        <w:t>self-employed</w:t>
      </w:r>
      <w:r w:rsidRPr="00D51D43">
        <w:t xml:space="preserve"> </w:t>
      </w:r>
      <w:r>
        <w:t>persons</w:t>
      </w:r>
      <w:r w:rsidRPr="00D51D43">
        <w:t xml:space="preserve"> </w:t>
      </w:r>
      <w:r>
        <w:t>and</w:t>
      </w:r>
      <w:r w:rsidRPr="00D51D43">
        <w:t xml:space="preserve"> </w:t>
      </w:r>
      <w:r>
        <w:t>to</w:t>
      </w:r>
      <w:r w:rsidRPr="00D51D43">
        <w:t xml:space="preserve"> </w:t>
      </w:r>
      <w:r>
        <w:t>their</w:t>
      </w:r>
      <w:r w:rsidRPr="00D51D43">
        <w:t xml:space="preserve"> </w:t>
      </w:r>
      <w:r>
        <w:t>families</w:t>
      </w:r>
      <w:r w:rsidRPr="00D51D43">
        <w:t xml:space="preserve"> </w:t>
      </w:r>
      <w:r>
        <w:t>moving</w:t>
      </w:r>
      <w:r w:rsidRPr="00D51D43">
        <w:t xml:space="preserve"> </w:t>
      </w:r>
      <w:r>
        <w:t>within</w:t>
      </w:r>
      <w:r w:rsidRPr="00D51D43">
        <w:t xml:space="preserve"> </w:t>
      </w:r>
      <w:r>
        <w:t>the</w:t>
      </w:r>
      <w:r w:rsidRPr="00D51D43">
        <w:t xml:space="preserve"> </w:t>
      </w:r>
      <w:r>
        <w:t>Community (“Regulation 574/72”)</w:t>
      </w:r>
    </w:p>
    <w:p w14:paraId="457F2195" w14:textId="75A1ABD4" w:rsidR="00EA1C7C" w:rsidRDefault="00EA1C7C" w:rsidP="004900F5">
      <w:pPr>
        <w:pStyle w:val="EMLevel1Paragraph"/>
        <w:numPr>
          <w:ilvl w:val="0"/>
          <w:numId w:val="41"/>
        </w:numPr>
      </w:pPr>
      <w:r>
        <w:t>Council</w:t>
      </w:r>
      <w:r w:rsidRPr="00260364">
        <w:t xml:space="preserve"> </w:t>
      </w:r>
      <w:r>
        <w:t>Regulation</w:t>
      </w:r>
      <w:r w:rsidRPr="00260364">
        <w:t xml:space="preserve"> </w:t>
      </w:r>
      <w:r>
        <w:t>(EC)</w:t>
      </w:r>
      <w:r w:rsidRPr="00260364">
        <w:t xml:space="preserve"> </w:t>
      </w:r>
      <w:r>
        <w:t>No</w:t>
      </w:r>
      <w:r w:rsidRPr="00260364">
        <w:t xml:space="preserve"> </w:t>
      </w:r>
      <w:r>
        <w:t>859/2003</w:t>
      </w:r>
      <w:r w:rsidR="005E2DE2">
        <w:rPr>
          <w:rStyle w:val="FootnoteReference"/>
        </w:rPr>
        <w:footnoteReference w:id="5"/>
      </w:r>
      <w:r w:rsidRPr="00260364">
        <w:t xml:space="preserve"> </w:t>
      </w:r>
      <w:r>
        <w:t>of</w:t>
      </w:r>
      <w:r w:rsidRPr="00260364">
        <w:t xml:space="preserve"> </w:t>
      </w:r>
      <w:r>
        <w:t>14</w:t>
      </w:r>
      <w:r w:rsidRPr="00260364">
        <w:t xml:space="preserve"> </w:t>
      </w:r>
      <w:r>
        <w:t>May</w:t>
      </w:r>
      <w:r w:rsidRPr="00260364">
        <w:t xml:space="preserve"> </w:t>
      </w:r>
      <w:r>
        <w:t>2003</w:t>
      </w:r>
      <w:r w:rsidRPr="00260364">
        <w:t xml:space="preserve"> </w:t>
      </w:r>
      <w:r>
        <w:t>extending</w:t>
      </w:r>
      <w:r w:rsidRPr="00260364">
        <w:t xml:space="preserve"> </w:t>
      </w:r>
      <w:r>
        <w:t>the</w:t>
      </w:r>
      <w:r w:rsidRPr="00260364">
        <w:t xml:space="preserve"> </w:t>
      </w:r>
      <w:r>
        <w:t>provisions</w:t>
      </w:r>
      <w:r w:rsidRPr="00260364">
        <w:t xml:space="preserve"> </w:t>
      </w:r>
      <w:r>
        <w:t>of</w:t>
      </w:r>
      <w:r w:rsidRPr="00260364">
        <w:t xml:space="preserve"> </w:t>
      </w:r>
      <w:r>
        <w:t>Regulation</w:t>
      </w:r>
      <w:r w:rsidRPr="00260364">
        <w:t xml:space="preserve"> </w:t>
      </w:r>
      <w:r>
        <w:t>(EEC)</w:t>
      </w:r>
      <w:r w:rsidRPr="00260364">
        <w:t xml:space="preserve"> </w:t>
      </w:r>
      <w:r>
        <w:t>No</w:t>
      </w:r>
      <w:r w:rsidRPr="00260364">
        <w:t xml:space="preserve"> </w:t>
      </w:r>
      <w:r>
        <w:t>1408/71</w:t>
      </w:r>
      <w:r w:rsidRPr="00260364">
        <w:t xml:space="preserve"> </w:t>
      </w:r>
      <w:r>
        <w:t>and</w:t>
      </w:r>
      <w:r w:rsidRPr="00260364">
        <w:t xml:space="preserve"> </w:t>
      </w:r>
      <w:r>
        <w:t>Regulation</w:t>
      </w:r>
      <w:r w:rsidRPr="00260364">
        <w:t xml:space="preserve"> </w:t>
      </w:r>
      <w:r>
        <w:t>(EEC)</w:t>
      </w:r>
      <w:r w:rsidRPr="00260364">
        <w:t xml:space="preserve"> </w:t>
      </w:r>
      <w:r>
        <w:t>No</w:t>
      </w:r>
      <w:r w:rsidRPr="00260364">
        <w:t xml:space="preserve"> </w:t>
      </w:r>
      <w:r>
        <w:t>574/72</w:t>
      </w:r>
      <w:r w:rsidRPr="00260364">
        <w:t xml:space="preserve"> </w:t>
      </w:r>
      <w:r>
        <w:t>to</w:t>
      </w:r>
      <w:r w:rsidRPr="00260364">
        <w:t xml:space="preserve"> </w:t>
      </w:r>
      <w:r>
        <w:t>nationals</w:t>
      </w:r>
      <w:r w:rsidRPr="00260364">
        <w:t xml:space="preserve"> </w:t>
      </w:r>
      <w:r>
        <w:t>of</w:t>
      </w:r>
      <w:r w:rsidRPr="00260364">
        <w:t xml:space="preserve"> </w:t>
      </w:r>
      <w:r>
        <w:t>third</w:t>
      </w:r>
      <w:r w:rsidRPr="00260364">
        <w:t xml:space="preserve"> </w:t>
      </w:r>
      <w:r>
        <w:t>countries</w:t>
      </w:r>
      <w:r w:rsidRPr="00260364">
        <w:t xml:space="preserve"> </w:t>
      </w:r>
      <w:r>
        <w:t>who</w:t>
      </w:r>
      <w:r w:rsidRPr="00260364">
        <w:t xml:space="preserve"> </w:t>
      </w:r>
      <w:r>
        <w:t>are</w:t>
      </w:r>
      <w:r w:rsidRPr="00260364">
        <w:t xml:space="preserve"> </w:t>
      </w:r>
      <w:r>
        <w:t>not</w:t>
      </w:r>
      <w:r w:rsidRPr="00260364">
        <w:t xml:space="preserve"> </w:t>
      </w:r>
      <w:r>
        <w:t>already</w:t>
      </w:r>
      <w:r w:rsidRPr="00260364">
        <w:t xml:space="preserve"> </w:t>
      </w:r>
      <w:r>
        <w:t>covered</w:t>
      </w:r>
      <w:r w:rsidRPr="00260364">
        <w:t xml:space="preserve"> </w:t>
      </w:r>
      <w:r>
        <w:t>by</w:t>
      </w:r>
      <w:r w:rsidRPr="00260364">
        <w:t xml:space="preserve"> </w:t>
      </w:r>
      <w:r>
        <w:t>those</w:t>
      </w:r>
      <w:r w:rsidRPr="00260364">
        <w:t xml:space="preserve"> </w:t>
      </w:r>
      <w:r>
        <w:t>provisions</w:t>
      </w:r>
      <w:r w:rsidRPr="00260364">
        <w:t xml:space="preserve"> </w:t>
      </w:r>
      <w:r>
        <w:t>solely</w:t>
      </w:r>
      <w:r w:rsidRPr="00260364">
        <w:t xml:space="preserve"> </w:t>
      </w:r>
      <w:r>
        <w:t>on</w:t>
      </w:r>
      <w:r w:rsidRPr="00260364">
        <w:t xml:space="preserve"> </w:t>
      </w:r>
      <w:r>
        <w:t>the</w:t>
      </w:r>
      <w:r w:rsidRPr="00260364">
        <w:t xml:space="preserve"> </w:t>
      </w:r>
      <w:r>
        <w:t>ground</w:t>
      </w:r>
      <w:r w:rsidRPr="00260364">
        <w:t xml:space="preserve"> </w:t>
      </w:r>
      <w:r>
        <w:t>of</w:t>
      </w:r>
      <w:r w:rsidRPr="00260364">
        <w:t xml:space="preserve"> </w:t>
      </w:r>
      <w:r>
        <w:t>their</w:t>
      </w:r>
      <w:r w:rsidRPr="00260364">
        <w:t xml:space="preserve"> </w:t>
      </w:r>
      <w:r>
        <w:t>nationality (“Regulation 859/2003”)</w:t>
      </w:r>
    </w:p>
    <w:p w14:paraId="67828581" w14:textId="220B0195" w:rsidR="00EA1C7C" w:rsidRDefault="00CE3BAD" w:rsidP="004900F5">
      <w:pPr>
        <w:pStyle w:val="EMLevel1Paragraph"/>
        <w:ind w:left="720" w:hanging="720"/>
      </w:pPr>
      <w:r w:rsidRPr="00CE3BAD">
        <w:t xml:space="preserve"> </w:t>
      </w:r>
      <w:r w:rsidR="00EA1C7C">
        <w:t xml:space="preserve">Together these </w:t>
      </w:r>
      <w:r w:rsidR="00A4532E">
        <w:t xml:space="preserve">Regulations </w:t>
      </w:r>
      <w:r w:rsidRPr="00CE3BAD">
        <w:t xml:space="preserve">coordinate social security systems throughout the </w:t>
      </w:r>
      <w:r>
        <w:t>EU</w:t>
      </w:r>
      <w:r w:rsidRPr="00CE3BAD">
        <w:t>.</w:t>
      </w:r>
    </w:p>
    <w:p w14:paraId="62BB0ADA" w14:textId="5C85AE77" w:rsidR="001C2FBD" w:rsidRDefault="005E7B5C" w:rsidP="001534B4">
      <w:pPr>
        <w:pStyle w:val="EMSub-sub-sectiontitle"/>
      </w:pPr>
      <w:r>
        <w:t xml:space="preserve">Why </w:t>
      </w:r>
      <w:r w:rsidRPr="005E7B5C">
        <w:t>is</w:t>
      </w:r>
      <w:r>
        <w:t xml:space="preserve"> it being changed?</w:t>
      </w:r>
    </w:p>
    <w:p w14:paraId="25928F34" w14:textId="49079F88" w:rsidR="001C2FBD" w:rsidRDefault="001C2FBD" w:rsidP="001C2FBD">
      <w:pPr>
        <w:pStyle w:val="EMLevel1Paragraph"/>
      </w:pPr>
      <w:r w:rsidRPr="001C2FBD">
        <w:t>The whole system of social security coordination relies on cooperation and reciprocity from other M</w:t>
      </w:r>
      <w:r w:rsidR="00F24582">
        <w:t xml:space="preserve">ember </w:t>
      </w:r>
      <w:r w:rsidRPr="001C2FBD">
        <w:t>S</w:t>
      </w:r>
      <w:r w:rsidR="00F24582">
        <w:t>tate</w:t>
      </w:r>
      <w:r w:rsidRPr="001C2FBD">
        <w:t>s</w:t>
      </w:r>
      <w:r w:rsidR="00611396">
        <w:t xml:space="preserve"> (</w:t>
      </w:r>
      <w:r w:rsidR="00F1230E">
        <w:t>‘</w:t>
      </w:r>
      <w:r w:rsidR="00611396">
        <w:t>MS</w:t>
      </w:r>
      <w:r w:rsidR="00F1230E">
        <w:t>’)</w:t>
      </w:r>
      <w:r w:rsidRPr="001C2FBD">
        <w:t xml:space="preserve">; but we cannot assume this would continue in a no deal scenario.  It will not be possible to impose reciprocal obligations on </w:t>
      </w:r>
      <w:r w:rsidR="0058382B">
        <w:t>MS</w:t>
      </w:r>
      <w:r w:rsidRPr="001C2FBD">
        <w:t xml:space="preserve"> when correcting deficiencies in the Coordination Regulations - such as requiring that they cooperate with </w:t>
      </w:r>
      <w:r w:rsidR="004900F5">
        <w:t>the UK</w:t>
      </w:r>
      <w:r w:rsidRPr="001C2FBD">
        <w:t xml:space="preserve"> or provide information, or that they apply the rules contained in the Coordination Regulations to individuals moving to/from the UK.</w:t>
      </w:r>
    </w:p>
    <w:p w14:paraId="24B872D2" w14:textId="08209266" w:rsidR="005E7B5C" w:rsidRDefault="005E7B5C" w:rsidP="007B4276">
      <w:pPr>
        <w:pStyle w:val="EMSub-sub-sectiontitle"/>
      </w:pPr>
      <w:r>
        <w:t>What will it now do?</w:t>
      </w:r>
    </w:p>
    <w:p w14:paraId="107B6C0B" w14:textId="5A7C6978" w:rsidR="004900F5" w:rsidRDefault="004900F5" w:rsidP="001534B4">
      <w:pPr>
        <w:pStyle w:val="EMLevel1Paragraph"/>
      </w:pPr>
      <w:r>
        <w:t>These</w:t>
      </w:r>
      <w:r w:rsidRPr="001C2FBD">
        <w:t xml:space="preserve"> </w:t>
      </w:r>
      <w:r>
        <w:t>instruments</w:t>
      </w:r>
      <w:r w:rsidRPr="001C2FBD">
        <w:t xml:space="preserve"> </w:t>
      </w:r>
      <w:r>
        <w:t>address</w:t>
      </w:r>
      <w:r w:rsidRPr="001C2FBD">
        <w:t xml:space="preserve"> deficiencies in retained law caused</w:t>
      </w:r>
      <w:r w:rsidR="00A4532E">
        <w:t xml:space="preserve"> by</w:t>
      </w:r>
      <w:r w:rsidRPr="001C2FBD">
        <w:t xml:space="preserve"> </w:t>
      </w:r>
      <w:r>
        <w:t xml:space="preserve">the UK withdrawing from the </w:t>
      </w:r>
      <w:r w:rsidR="00D35115">
        <w:t xml:space="preserve">EU, </w:t>
      </w:r>
      <w:r w:rsidR="00A4532E">
        <w:t xml:space="preserve">which would impact the operation of the retained Coordination Regulations </w:t>
      </w:r>
      <w:r w:rsidR="00D35115">
        <w:t>in a no-</w:t>
      </w:r>
      <w:r w:rsidRPr="001C2FBD">
        <w:t>deal scenario.</w:t>
      </w:r>
    </w:p>
    <w:p w14:paraId="17F53110" w14:textId="5835C03A" w:rsidR="001C2FBD" w:rsidRDefault="001534B4" w:rsidP="001534B4">
      <w:pPr>
        <w:pStyle w:val="EMLevel1Paragraph"/>
      </w:pPr>
      <w:r w:rsidRPr="001534B4">
        <w:t>The</w:t>
      </w:r>
      <w:r w:rsidR="007012B8">
        <w:t xml:space="preserve">se instruments aim to ensure </w:t>
      </w:r>
      <w:r w:rsidRPr="001534B4">
        <w:t>that</w:t>
      </w:r>
      <w:r w:rsidR="00F1230E">
        <w:t xml:space="preserve"> citizens’</w:t>
      </w:r>
      <w:r w:rsidRPr="001534B4">
        <w:t xml:space="preserve"> rights are protec</w:t>
      </w:r>
      <w:r w:rsidR="00D35115">
        <w:t>ted as far as possible in a no-deal</w:t>
      </w:r>
      <w:r w:rsidRPr="001534B4">
        <w:t xml:space="preserve"> scenario. </w:t>
      </w:r>
      <w:r>
        <w:t>A</w:t>
      </w:r>
      <w:r w:rsidRPr="001534B4">
        <w:t>s per the intent of the EU (Withdrawal) Act</w:t>
      </w:r>
      <w:r w:rsidR="00F24582">
        <w:t xml:space="preserve"> 2018</w:t>
      </w:r>
      <w:r w:rsidRPr="001534B4">
        <w:t xml:space="preserve">, these </w:t>
      </w:r>
      <w:r w:rsidR="00F24582">
        <w:t>instruments</w:t>
      </w:r>
      <w:r w:rsidR="00F24582" w:rsidRPr="001534B4">
        <w:t xml:space="preserve"> </w:t>
      </w:r>
      <w:r w:rsidRPr="001534B4">
        <w:t>aim to maintain the</w:t>
      </w:r>
      <w:r>
        <w:t xml:space="preserve"> status quo</w:t>
      </w:r>
      <w:r w:rsidR="007012B8">
        <w:t xml:space="preserve">. </w:t>
      </w:r>
      <w:r>
        <w:t>T</w:t>
      </w:r>
      <w:r w:rsidRPr="001534B4">
        <w:t xml:space="preserve">hese </w:t>
      </w:r>
      <w:r w:rsidR="00F24582">
        <w:t>instruments</w:t>
      </w:r>
      <w:r w:rsidR="00F24582" w:rsidRPr="001534B4">
        <w:t xml:space="preserve"> </w:t>
      </w:r>
      <w:r w:rsidRPr="001534B4">
        <w:t xml:space="preserve">are intended to ensure a functioning statute book in the event </w:t>
      </w:r>
      <w:r w:rsidR="00330548">
        <w:t>of a</w:t>
      </w:r>
      <w:r w:rsidRPr="001534B4">
        <w:t xml:space="preserve"> no deal</w:t>
      </w:r>
      <w:r w:rsidR="00330548">
        <w:t xml:space="preserve"> scenario</w:t>
      </w:r>
      <w:r w:rsidRPr="001534B4">
        <w:t xml:space="preserve">, </w:t>
      </w:r>
      <w:r w:rsidR="00DD20E0">
        <w:t xml:space="preserve">by fixing deficiencies in retained EU law, </w:t>
      </w:r>
      <w:r w:rsidRPr="001534B4">
        <w:t>in l</w:t>
      </w:r>
      <w:r w:rsidR="00EC5664">
        <w:t>ine with the power provided by s</w:t>
      </w:r>
      <w:r w:rsidRPr="001534B4">
        <w:t>ection 8.</w:t>
      </w:r>
    </w:p>
    <w:p w14:paraId="4E3EA09A" w14:textId="77777777" w:rsidR="005E7B5C" w:rsidRDefault="005E7B5C" w:rsidP="00CD4FDB">
      <w:pPr>
        <w:pStyle w:val="EMSectionTitle"/>
      </w:pPr>
      <w:r>
        <w:t xml:space="preserve">Matters of special interest to </w:t>
      </w:r>
      <w:r w:rsidRPr="00091FCF">
        <w:t>Parliament</w:t>
      </w:r>
    </w:p>
    <w:p w14:paraId="53A4131A" w14:textId="77777777" w:rsidR="00DE1F19" w:rsidRDefault="00DE1F19" w:rsidP="00DE1F19">
      <w:pPr>
        <w:pStyle w:val="EMSub-sectiontitle"/>
      </w:pPr>
      <w:r>
        <w:t>Matters of special interest to the Sifting Committees</w:t>
      </w:r>
    </w:p>
    <w:p w14:paraId="587DC082" w14:textId="37F25C0E" w:rsidR="00DE1F19" w:rsidRDefault="00FB6AAC" w:rsidP="00DE1F19">
      <w:pPr>
        <w:pStyle w:val="EMLevel1Paragraph"/>
        <w:rPr>
          <w:highlight w:val="white"/>
        </w:rPr>
      </w:pPr>
      <w:r>
        <w:rPr>
          <w:color w:val="000000"/>
        </w:rPr>
        <w:t>These instruments are</w:t>
      </w:r>
      <w:r w:rsidR="00DE1F19">
        <w:rPr>
          <w:color w:val="000000"/>
        </w:rPr>
        <w:t xml:space="preserve"> being laid in draft for sifting</w:t>
      </w:r>
      <w:r w:rsidR="00CC3BB5">
        <w:rPr>
          <w:color w:val="000000"/>
        </w:rPr>
        <w:t xml:space="preserve"> by the sifting committee</w:t>
      </w:r>
      <w:r w:rsidR="00DE1F19">
        <w:rPr>
          <w:color w:val="000000"/>
        </w:rPr>
        <w:t xml:space="preserve">. </w:t>
      </w:r>
    </w:p>
    <w:p w14:paraId="6B4F22ED" w14:textId="77777777" w:rsidR="005E7B5C" w:rsidRDefault="005E7B5C" w:rsidP="007376FF">
      <w:pPr>
        <w:pStyle w:val="EMSub-sectiontitle"/>
      </w:pPr>
      <w:r>
        <w:lastRenderedPageBreak/>
        <w:t>Matters relevant to Standing Orders Nos. 83P and 83T of the Standing Orders of the House of Commons relating to Public Business (</w:t>
      </w:r>
      <w:r w:rsidR="00812201">
        <w:t>English Votes for English Laws)</w:t>
      </w:r>
    </w:p>
    <w:p w14:paraId="55FBC6EC" w14:textId="46FE6448" w:rsidR="00DE1F19" w:rsidRPr="00C4747C" w:rsidRDefault="00DE1F19" w:rsidP="00DE1F19">
      <w:pPr>
        <w:pStyle w:val="EMLevel1Paragraph"/>
      </w:pPr>
      <w:r w:rsidRPr="00C4747C">
        <w:t xml:space="preserve">As </w:t>
      </w:r>
      <w:r w:rsidR="00FB6AAC">
        <w:t>these instruments are</w:t>
      </w:r>
      <w:r w:rsidRPr="00C4747C">
        <w:t xml:space="preserve"> subject to negative resolution procedure there are no matters relevant to Standing Orders Nos. 83P and 83T of the Standing Orders of the House of Commons relating to Public Busines</w:t>
      </w:r>
      <w:r w:rsidRPr="008B1FED">
        <w:t>s</w:t>
      </w:r>
      <w:r w:rsidRPr="00C4747C">
        <w:t xml:space="preserve"> at this stage.</w:t>
      </w:r>
    </w:p>
    <w:p w14:paraId="370B2A12" w14:textId="77777777" w:rsidR="005E7B5C" w:rsidRDefault="005E7B5C" w:rsidP="00CD4FDB">
      <w:pPr>
        <w:pStyle w:val="EMSectionTitle"/>
      </w:pPr>
      <w:r>
        <w:t>Extent and Territorial Application</w:t>
      </w:r>
    </w:p>
    <w:p w14:paraId="2C363BFB" w14:textId="529F52BD" w:rsidR="00FB6AAC" w:rsidRDefault="00FB6AAC" w:rsidP="00FB6AAC">
      <w:pPr>
        <w:pStyle w:val="EMLevel1Paragraph"/>
      </w:pPr>
      <w:r>
        <w:t>The territorial extent of these instruments is the United Kingdom.</w:t>
      </w:r>
    </w:p>
    <w:p w14:paraId="37A7E43A" w14:textId="2A39AFBF" w:rsidR="00FB6AAC" w:rsidRDefault="00FB6AAC" w:rsidP="00FB6AAC">
      <w:pPr>
        <w:pStyle w:val="EMLevel1Paragraph"/>
      </w:pPr>
      <w:r>
        <w:t>This territorial application of these instruments is the United Kingdom.</w:t>
      </w:r>
    </w:p>
    <w:p w14:paraId="0BAC09A3" w14:textId="77777777" w:rsidR="005E7B5C" w:rsidRDefault="005E7B5C" w:rsidP="00CD4FDB">
      <w:pPr>
        <w:pStyle w:val="EMSectionTitle"/>
      </w:pPr>
      <w:r>
        <w:t>European Convention on Human Rights</w:t>
      </w:r>
    </w:p>
    <w:p w14:paraId="031B3831" w14:textId="7CA03AFA" w:rsidR="00E315C4" w:rsidRDefault="00E315C4" w:rsidP="00E315C4">
      <w:pPr>
        <w:pStyle w:val="EMLevel1Paragraph"/>
      </w:pPr>
      <w:r>
        <w:t>As the</w:t>
      </w:r>
      <w:r w:rsidR="00F24582">
        <w:t>se</w:t>
      </w:r>
      <w:r>
        <w:t xml:space="preserve"> instrument</w:t>
      </w:r>
      <w:r w:rsidR="00F24582">
        <w:t>s</w:t>
      </w:r>
      <w:r>
        <w:t xml:space="preserve"> </w:t>
      </w:r>
      <w:r w:rsidR="00F24582">
        <w:t>are</w:t>
      </w:r>
      <w:r>
        <w:t xml:space="preserve"> subject to </w:t>
      </w:r>
      <w:r w:rsidR="00F24582">
        <w:t xml:space="preserve">the </w:t>
      </w:r>
      <w:r>
        <w:t xml:space="preserve">negative resolution procedure and do not amend primary legislation, no statement is required. </w:t>
      </w:r>
    </w:p>
    <w:p w14:paraId="16C901AF" w14:textId="77777777" w:rsidR="005E7B5C" w:rsidRDefault="005E7B5C" w:rsidP="00CD4FDB">
      <w:pPr>
        <w:pStyle w:val="EMSectionTitle"/>
      </w:pPr>
      <w:r>
        <w:t>Legislative Context</w:t>
      </w:r>
    </w:p>
    <w:p w14:paraId="38524628" w14:textId="44800E94" w:rsidR="005E7B5C" w:rsidRDefault="008B1FED" w:rsidP="0076508A">
      <w:pPr>
        <w:pStyle w:val="EMLevel1Paragraph"/>
      </w:pPr>
      <w:r w:rsidRPr="0024171E">
        <w:t>Section 3 of t</w:t>
      </w:r>
      <w:r w:rsidR="00E7602B" w:rsidRPr="0024171E">
        <w:t xml:space="preserve">he </w:t>
      </w:r>
      <w:r w:rsidR="00E7602B">
        <w:t>E</w:t>
      </w:r>
      <w:r w:rsidR="00174260">
        <w:t>uropea</w:t>
      </w:r>
      <w:r w:rsidR="0024171E">
        <w:t>n Union (Withdrawal) Act 2018 (‘</w:t>
      </w:r>
      <w:r>
        <w:t>the Act</w:t>
      </w:r>
      <w:r w:rsidR="0024171E">
        <w:t>’</w:t>
      </w:r>
      <w:r w:rsidR="00174260">
        <w:t xml:space="preserve">) </w:t>
      </w:r>
      <w:r>
        <w:t xml:space="preserve">retains EU law as part of the UK’s domestic legislation after withdrawal from the EU. Section 8 of the Act allows retained EU law to be amended to remedy any deficiencies that arise as a result of exit. These instruments make amendments to the retained Coordination Regulations, principally to remedy deficiencies that arise as a result of provisions that do not apply to the UK, confer functions on EU entities that no longer have functions in relation to the UK and make provision for, and in connection with, reciprocal arrangements between the UK and EU </w:t>
      </w:r>
      <w:r w:rsidR="0058382B">
        <w:t>MS</w:t>
      </w:r>
      <w:r>
        <w:t xml:space="preserve">. </w:t>
      </w:r>
    </w:p>
    <w:p w14:paraId="1E591AA2" w14:textId="1738927F" w:rsidR="008B1FED" w:rsidRDefault="008B1FED" w:rsidP="008B1FED">
      <w:pPr>
        <w:pStyle w:val="EMLevel1Paragraph"/>
      </w:pPr>
      <w:r w:rsidRPr="00CE3BAD">
        <w:t>Regulation 883/2004 is the</w:t>
      </w:r>
      <w:r>
        <w:t xml:space="preserve"> principal</w:t>
      </w:r>
      <w:r w:rsidRPr="00CE3BAD">
        <w:t xml:space="preserve"> </w:t>
      </w:r>
      <w:r>
        <w:t>Coordination R</w:t>
      </w:r>
      <w:r w:rsidRPr="00CE3BAD">
        <w:t xml:space="preserve">egulation and determines which </w:t>
      </w:r>
      <w:r w:rsidR="0058382B">
        <w:t>MS</w:t>
      </w:r>
      <w:r w:rsidRPr="00CE3BAD">
        <w:t xml:space="preserve"> social security legislation applies when a person moves between </w:t>
      </w:r>
      <w:r w:rsidR="0058382B">
        <w:t>MS</w:t>
      </w:r>
      <w:r>
        <w:t xml:space="preserve">, ensuring they only pay contributions into one State’s social security scheme at a time, and giving clear guidance as to which State is competent (responsible) for payment of a </w:t>
      </w:r>
      <w:r w:rsidRPr="00CE3BAD">
        <w:t>benefit</w:t>
      </w:r>
      <w:r w:rsidR="0016774A">
        <w:rPr>
          <w:rStyle w:val="FootnoteReference"/>
        </w:rPr>
        <w:footnoteReference w:id="6"/>
      </w:r>
      <w:r w:rsidRPr="00CE3BAD">
        <w:t>. It pro</w:t>
      </w:r>
      <w:r w:rsidR="00EC5664">
        <w:t xml:space="preserve">vides for equal treatment of EU </w:t>
      </w:r>
      <w:r w:rsidRPr="00CE3BAD">
        <w:t xml:space="preserve">nationals, requires </w:t>
      </w:r>
      <w:r w:rsidR="0058382B">
        <w:t>MS</w:t>
      </w:r>
      <w:r w:rsidRPr="00CE3BAD">
        <w:t xml:space="preserve"> to aggregate social security </w:t>
      </w:r>
      <w:r>
        <w:t>contributions</w:t>
      </w:r>
      <w:r w:rsidRPr="00CE3BAD">
        <w:t xml:space="preserve"> </w:t>
      </w:r>
      <w:r>
        <w:t xml:space="preserve">(or equivalent </w:t>
      </w:r>
      <w:r w:rsidRPr="00CE3BAD">
        <w:t>periods of insurance</w:t>
      </w:r>
      <w:r>
        <w:t>)</w:t>
      </w:r>
      <w:r w:rsidRPr="00CE3BAD">
        <w:t xml:space="preserve"> in another </w:t>
      </w:r>
      <w:r w:rsidR="0058382B">
        <w:t>MS</w:t>
      </w:r>
      <w:r w:rsidRPr="00CE3BAD">
        <w:t xml:space="preserve"> when necessary, and </w:t>
      </w:r>
      <w:r>
        <w:t>enables the</w:t>
      </w:r>
      <w:r w:rsidRPr="00CE3BAD">
        <w:t xml:space="preserve"> export of </w:t>
      </w:r>
      <w:r w:rsidR="00547D12">
        <w:t xml:space="preserve">certain </w:t>
      </w:r>
      <w:r w:rsidRPr="00CE3BAD">
        <w:t>benefits. It also provides for reciprocal access to healthcare</w:t>
      </w:r>
      <w:r w:rsidR="00A4503A">
        <w:rPr>
          <w:rStyle w:val="FootnoteReference"/>
        </w:rPr>
        <w:footnoteReference w:id="7"/>
      </w:r>
      <w:r w:rsidRPr="00CE3BAD">
        <w:t xml:space="preserve">. </w:t>
      </w:r>
    </w:p>
    <w:p w14:paraId="5B5F746B" w14:textId="57E02158" w:rsidR="008B1FED" w:rsidRDefault="008B1FED" w:rsidP="008B1FED">
      <w:pPr>
        <w:pStyle w:val="EMLevel1Paragraph"/>
      </w:pPr>
      <w:r w:rsidRPr="00CE3BAD">
        <w:t>Regulation 987/2009 makes more detailed provision for implementation</w:t>
      </w:r>
      <w:r w:rsidR="00A4532E">
        <w:t xml:space="preserve"> of Regulation 883/2004</w:t>
      </w:r>
      <w:r w:rsidRPr="00CE3BAD">
        <w:t xml:space="preserve">. Regulation 1408/71 and its implementing Regulation 574/72 are the older versions </w:t>
      </w:r>
      <w:r w:rsidR="00A4532E">
        <w:t xml:space="preserve">of those Regulations </w:t>
      </w:r>
      <w:r w:rsidRPr="00CE3BAD">
        <w:t>which still apply in some transitional cases. Regulation 859/2003 extends Regulations 1408/71 and 574/72 to third country nationals</w:t>
      </w:r>
      <w:r>
        <w:t>. The UK did</w:t>
      </w:r>
      <w:r w:rsidRPr="00CE3BAD">
        <w:t xml:space="preserve"> not opt into the Regulation which extends Regulations 883/2004 and 987/2009</w:t>
      </w:r>
      <w:r w:rsidR="00A4532E">
        <w:t xml:space="preserve"> to third country nationals</w:t>
      </w:r>
      <w:r w:rsidRPr="00CE3BAD">
        <w:t xml:space="preserve">. </w:t>
      </w:r>
    </w:p>
    <w:p w14:paraId="78021638" w14:textId="49F8B488" w:rsidR="008B1FED" w:rsidRDefault="008B1FED" w:rsidP="008B1FED">
      <w:pPr>
        <w:pStyle w:val="EMLevel1Paragraph"/>
      </w:pPr>
      <w:r>
        <w:t>By virtue of the European Economic Area (“EEA”) Agreement</w:t>
      </w:r>
      <w:r w:rsidR="001E3F30">
        <w:rPr>
          <w:rStyle w:val="FootnoteReference"/>
        </w:rPr>
        <w:footnoteReference w:id="8"/>
      </w:r>
      <w:r>
        <w:t xml:space="preserve"> and the Swiss</w:t>
      </w:r>
      <w:r w:rsidR="00A4532E">
        <w:t xml:space="preserve"> Free Movement of People</w:t>
      </w:r>
      <w:r>
        <w:t xml:space="preserve"> Agreement</w:t>
      </w:r>
      <w:r w:rsidR="001E3F30">
        <w:rPr>
          <w:rStyle w:val="FootnoteReference"/>
        </w:rPr>
        <w:footnoteReference w:id="9"/>
      </w:r>
      <w:r>
        <w:t>, t</w:t>
      </w:r>
      <w:r w:rsidRPr="00CE3BAD">
        <w:t xml:space="preserve">he Coordination Regulations also apply in the </w:t>
      </w:r>
      <w:r>
        <w:t xml:space="preserve">EEA </w:t>
      </w:r>
      <w:r w:rsidRPr="00CE3BAD">
        <w:t xml:space="preserve"> and Switzerland, and references in this </w:t>
      </w:r>
      <w:r>
        <w:t>Explanatory Memorandum</w:t>
      </w:r>
      <w:r w:rsidRPr="00CE3BAD">
        <w:t xml:space="preserve"> to the EU, EU </w:t>
      </w:r>
      <w:r w:rsidR="0058382B">
        <w:t>MS</w:t>
      </w:r>
      <w:r w:rsidRPr="00CE3BAD">
        <w:t xml:space="preserve">, </w:t>
      </w:r>
      <w:r w:rsidRPr="00CE3BAD">
        <w:lastRenderedPageBreak/>
        <w:t>and EU nationals, are to be understood as also applying to the EEA, Switzerland, and their nationals.</w:t>
      </w:r>
    </w:p>
    <w:p w14:paraId="7E2F46FF" w14:textId="265D65BF" w:rsidR="008B1FED" w:rsidRDefault="008B1FED" w:rsidP="008B1FED">
      <w:pPr>
        <w:pStyle w:val="EMLevel1Paragraph"/>
      </w:pPr>
      <w:r w:rsidRPr="001C2FBD">
        <w:t xml:space="preserve">The whole system of social security coordination </w:t>
      </w:r>
      <w:r w:rsidR="00A1671A">
        <w:t xml:space="preserve">across the EU </w:t>
      </w:r>
      <w:r w:rsidRPr="001C2FBD">
        <w:t>relies on cooperation and reciprocity</w:t>
      </w:r>
      <w:r>
        <w:t>, for example in relation to data-sharing about social security contributions</w:t>
      </w:r>
      <w:r w:rsidR="005D3E5C">
        <w:t xml:space="preserve"> made in different member states.</w:t>
      </w:r>
      <w:r w:rsidRPr="001C2FBD">
        <w:t xml:space="preserve"> </w:t>
      </w:r>
      <w:r>
        <w:t xml:space="preserve">The legal framework for this will cease </w:t>
      </w:r>
      <w:r w:rsidRPr="001C2FBD">
        <w:t xml:space="preserve">in a no deal scenario.  </w:t>
      </w:r>
      <w:r>
        <w:t xml:space="preserve">The UK will have no means of enforcing </w:t>
      </w:r>
      <w:r w:rsidRPr="001C2FBD">
        <w:t xml:space="preserve">reciprocal obligations on </w:t>
      </w:r>
      <w:r>
        <w:t xml:space="preserve">EU </w:t>
      </w:r>
      <w:r w:rsidR="0058382B">
        <w:t>MS</w:t>
      </w:r>
      <w:r w:rsidRPr="001C2FBD">
        <w:t xml:space="preserve"> </w:t>
      </w:r>
      <w:r w:rsidR="00A4532E">
        <w:t xml:space="preserve">and cannot therefore legislate for this </w:t>
      </w:r>
      <w:r w:rsidRPr="001C2FBD">
        <w:t xml:space="preserve">when correcting deficiencies in the Coordination Regulations - such as </w:t>
      </w:r>
      <w:r w:rsidR="00A4532E">
        <w:t>by legislating to require that EU MSs</w:t>
      </w:r>
      <w:r w:rsidRPr="001C2FBD">
        <w:t xml:space="preserve"> cooperate with us or provide information, or that they apply the rules contained in the Coordination Regulations to individuals moving to/from the UK.</w:t>
      </w:r>
    </w:p>
    <w:p w14:paraId="76C3A98E" w14:textId="77777777" w:rsidR="008B1FED" w:rsidRDefault="008B1FED" w:rsidP="008B1FED">
      <w:pPr>
        <w:pStyle w:val="EMSub-sub-sectiontitle"/>
      </w:pPr>
      <w:r>
        <w:t>What will it now do?</w:t>
      </w:r>
    </w:p>
    <w:p w14:paraId="73ABBC06" w14:textId="58D05A41" w:rsidR="008B1FED" w:rsidRDefault="00547D12" w:rsidP="00D35115">
      <w:pPr>
        <w:pStyle w:val="EMLevel1Paragraph"/>
      </w:pPr>
      <w:r>
        <w:t>T</w:t>
      </w:r>
      <w:r w:rsidR="008B1FED" w:rsidRPr="001534B4">
        <w:t>he</w:t>
      </w:r>
      <w:r w:rsidR="008B1FED">
        <w:t>se instruments aim to maintain the status quo</w:t>
      </w:r>
      <w:r>
        <w:t xml:space="preserve"> on a unilateral basis</w:t>
      </w:r>
      <w:r w:rsidR="008B1FED">
        <w:t xml:space="preserve">, ensuring </w:t>
      </w:r>
      <w:r w:rsidR="008B1FED" w:rsidRPr="001534B4">
        <w:t>that</w:t>
      </w:r>
      <w:r w:rsidR="008B1FED">
        <w:t xml:space="preserve"> citizens’</w:t>
      </w:r>
      <w:r w:rsidR="008B1FED" w:rsidRPr="001534B4">
        <w:t xml:space="preserve"> rights are protec</w:t>
      </w:r>
      <w:r w:rsidR="008B1FED">
        <w:t xml:space="preserve">ted as far as possible in a ‘no </w:t>
      </w:r>
      <w:r w:rsidR="008B1FED" w:rsidRPr="001534B4">
        <w:t>deal’ scenario</w:t>
      </w:r>
      <w:r w:rsidR="00CC3BB5">
        <w:t xml:space="preserve"> in relation to social security. </w:t>
      </w:r>
      <w:r w:rsidR="005A56D9">
        <w:t>They</w:t>
      </w:r>
      <w:r w:rsidR="008B1FED" w:rsidRPr="001534B4">
        <w:t xml:space="preserve"> are intended to ensure a functioning statute book in the event </w:t>
      </w:r>
      <w:r w:rsidR="008B1FED">
        <w:t>of a</w:t>
      </w:r>
      <w:r w:rsidR="008B1FED" w:rsidRPr="001534B4">
        <w:t xml:space="preserve"> no deal</w:t>
      </w:r>
      <w:r w:rsidR="008B1FED">
        <w:t xml:space="preserve"> scenario</w:t>
      </w:r>
      <w:r w:rsidR="008B1FED" w:rsidRPr="001534B4">
        <w:t xml:space="preserve">, </w:t>
      </w:r>
      <w:r w:rsidR="008B1FED">
        <w:t xml:space="preserve">by fixing deficiencies in retained EU law, </w:t>
      </w:r>
      <w:r w:rsidR="008B1FED" w:rsidRPr="001534B4">
        <w:t>in line with the power provided by</w:t>
      </w:r>
      <w:r w:rsidR="008B1FED">
        <w:t xml:space="preserve"> section</w:t>
      </w:r>
      <w:r w:rsidR="008B1FED" w:rsidRPr="001534B4">
        <w:t xml:space="preserve"> 8</w:t>
      </w:r>
      <w:r w:rsidR="008B1FED">
        <w:t xml:space="preserve"> of the EU (Withdrawal) Act</w:t>
      </w:r>
      <w:r w:rsidR="008B1FED" w:rsidRPr="001534B4">
        <w:t>.</w:t>
      </w:r>
    </w:p>
    <w:p w14:paraId="475A2D1F" w14:textId="77777777" w:rsidR="005E7B5C" w:rsidRPr="001534B4" w:rsidRDefault="005E7B5C" w:rsidP="00CD4FDB">
      <w:pPr>
        <w:pStyle w:val="EMSectionTitle"/>
      </w:pPr>
      <w:r w:rsidRPr="001534B4">
        <w:t>Policy background</w:t>
      </w:r>
    </w:p>
    <w:p w14:paraId="6981C7C4" w14:textId="77777777" w:rsidR="005E7B5C" w:rsidRPr="001534B4" w:rsidRDefault="005E7B5C" w:rsidP="0076508A">
      <w:pPr>
        <w:pStyle w:val="EMSub-sectiontitle"/>
      </w:pPr>
      <w:r w:rsidRPr="001534B4">
        <w:t>What is being done and why?</w:t>
      </w:r>
    </w:p>
    <w:p w14:paraId="304E9F35" w14:textId="3A530286" w:rsidR="001534B4" w:rsidRPr="001C2FBD" w:rsidRDefault="001534B4" w:rsidP="00F1230E">
      <w:pPr>
        <w:pStyle w:val="EMSub-sub-sectiontitle"/>
      </w:pPr>
      <w:r w:rsidRPr="001C2FBD">
        <w:t>Data and information sharing</w:t>
      </w:r>
    </w:p>
    <w:p w14:paraId="082B6F16" w14:textId="21669C45" w:rsidR="006D1798" w:rsidRPr="001C2FBD" w:rsidRDefault="001534B4" w:rsidP="006D1798">
      <w:pPr>
        <w:pStyle w:val="EMLevel1Paragraph"/>
      </w:pPr>
      <w:r w:rsidRPr="001C2FBD">
        <w:t xml:space="preserve">The Coordination Regulations require </w:t>
      </w:r>
      <w:r w:rsidR="000B330C">
        <w:t xml:space="preserve">EU </w:t>
      </w:r>
      <w:r w:rsidR="0058382B">
        <w:t>MS</w:t>
      </w:r>
      <w:r w:rsidR="000B330C">
        <w:t xml:space="preserve"> </w:t>
      </w:r>
      <w:r w:rsidRPr="001C2FBD">
        <w:t xml:space="preserve">to exchange information through specific administrative procedures laid down in the Regulations. Data shared is, for example, used to establish which </w:t>
      </w:r>
      <w:r w:rsidR="000B330C">
        <w:t xml:space="preserve">EU </w:t>
      </w:r>
      <w:r w:rsidR="0058382B">
        <w:t>MS</w:t>
      </w:r>
      <w:r w:rsidR="000B330C" w:rsidRPr="001C2FBD">
        <w:t xml:space="preserve"> </w:t>
      </w:r>
      <w:r w:rsidRPr="001C2FBD">
        <w:t xml:space="preserve">is responsible for payment </w:t>
      </w:r>
      <w:r w:rsidR="00DD20E0">
        <w:t>of benefits</w:t>
      </w:r>
      <w:r w:rsidR="006D1798">
        <w:t xml:space="preserve"> to avoid overlapping benefits being paid in different EU Member States.</w:t>
      </w:r>
    </w:p>
    <w:p w14:paraId="533E706C" w14:textId="19E1D320" w:rsidR="001534B4" w:rsidRPr="001C2FBD" w:rsidRDefault="001534B4" w:rsidP="008822C3">
      <w:pPr>
        <w:pStyle w:val="EMLevel1Paragraph"/>
        <w:numPr>
          <w:ilvl w:val="0"/>
          <w:numId w:val="0"/>
        </w:numPr>
        <w:ind w:left="696" w:hanging="576"/>
      </w:pPr>
    </w:p>
    <w:p w14:paraId="1D6BB39B" w14:textId="0523E682" w:rsidR="001534B4" w:rsidRDefault="001534B4" w:rsidP="001534B4">
      <w:pPr>
        <w:pStyle w:val="EMLevel1Paragraph"/>
      </w:pPr>
      <w:r w:rsidRPr="001C2FBD">
        <w:t xml:space="preserve">These </w:t>
      </w:r>
      <w:r w:rsidR="00810AF7">
        <w:t>instruments</w:t>
      </w:r>
      <w:r w:rsidR="00810AF7" w:rsidRPr="001C2FBD">
        <w:t xml:space="preserve"> </w:t>
      </w:r>
      <w:r w:rsidR="00CC3BB5">
        <w:t>will enable us to</w:t>
      </w:r>
      <w:r w:rsidR="000B330C">
        <w:t xml:space="preserve"> ask</w:t>
      </w:r>
      <w:r w:rsidRPr="001C2FBD">
        <w:t xml:space="preserve"> claimants to provide</w:t>
      </w:r>
      <w:r w:rsidR="009015E8">
        <w:t xml:space="preserve"> (within reasonable time)</w:t>
      </w:r>
      <w:r w:rsidRPr="001C2FBD">
        <w:t xml:space="preserve"> the relevant data </w:t>
      </w:r>
      <w:r w:rsidR="006D1798">
        <w:t xml:space="preserve">to determine </w:t>
      </w:r>
      <w:r w:rsidR="00F42C3D">
        <w:t>competence</w:t>
      </w:r>
      <w:r w:rsidR="006D1798">
        <w:t xml:space="preserve"> </w:t>
      </w:r>
      <w:r w:rsidRPr="001C2FBD">
        <w:t>in cases where the</w:t>
      </w:r>
      <w:r w:rsidR="006D1798">
        <w:t xml:space="preserve"> relevant</w:t>
      </w:r>
      <w:r w:rsidRPr="001C2FBD">
        <w:t xml:space="preserve"> </w:t>
      </w:r>
      <w:r w:rsidR="000B330C">
        <w:t xml:space="preserve">EU </w:t>
      </w:r>
      <w:r w:rsidR="0058382B">
        <w:t>MS</w:t>
      </w:r>
      <w:r w:rsidR="006D1798">
        <w:t xml:space="preserve"> </w:t>
      </w:r>
      <w:r w:rsidRPr="001C2FBD">
        <w:t>does not do so</w:t>
      </w:r>
      <w:r w:rsidR="00B22BFB">
        <w:t>, if asked</w:t>
      </w:r>
      <w:r w:rsidR="009015E8">
        <w:t>.</w:t>
      </w:r>
      <w:r w:rsidRPr="001C2FBD">
        <w:t xml:space="preserve"> </w:t>
      </w:r>
      <w:r w:rsidR="00F42C3D">
        <w:t>However, i</w:t>
      </w:r>
      <w:r w:rsidRPr="001C2FBD">
        <w:t xml:space="preserve">n the event </w:t>
      </w:r>
      <w:r w:rsidR="000B330C">
        <w:t xml:space="preserve">that the information </w:t>
      </w:r>
      <w:r w:rsidRPr="001C2FBD">
        <w:t xml:space="preserve">provided </w:t>
      </w:r>
      <w:r w:rsidR="00DD20E0">
        <w:t xml:space="preserve">by the claimant </w:t>
      </w:r>
      <w:r w:rsidR="000B330C">
        <w:t>is insufficient, the UK will no</w:t>
      </w:r>
      <w:r w:rsidR="00F42C3D">
        <w:t xml:space="preserve"> longer</w:t>
      </w:r>
      <w:r w:rsidR="000B330C">
        <w:t xml:space="preserve"> be required to fulfil any obligation under the Coordination Regulations.</w:t>
      </w:r>
    </w:p>
    <w:p w14:paraId="7622469E" w14:textId="0CD34A26" w:rsidR="000B330C" w:rsidRDefault="000B330C" w:rsidP="001534B4">
      <w:pPr>
        <w:pStyle w:val="EMLevel1Paragraph"/>
      </w:pPr>
      <w:r>
        <w:t xml:space="preserve">The instruments also include provisions to ensure that the UK can continue to share data with EU </w:t>
      </w:r>
      <w:r w:rsidR="0058382B">
        <w:t>MS</w:t>
      </w:r>
      <w:r>
        <w:t xml:space="preserve"> when they are applying the Coordination Regulations.</w:t>
      </w:r>
    </w:p>
    <w:p w14:paraId="7924B1C5" w14:textId="77777777" w:rsidR="001534B4" w:rsidRPr="009F270E" w:rsidRDefault="001534B4" w:rsidP="009F270E">
      <w:pPr>
        <w:pStyle w:val="EMLevel1Paragraph"/>
        <w:numPr>
          <w:ilvl w:val="0"/>
          <w:numId w:val="0"/>
        </w:numPr>
        <w:ind w:left="696"/>
        <w:rPr>
          <w:i/>
          <w:u w:val="single"/>
        </w:rPr>
      </w:pPr>
      <w:r w:rsidRPr="009F270E">
        <w:rPr>
          <w:i/>
          <w:u w:val="single"/>
        </w:rPr>
        <w:t>Inoperable provisions</w:t>
      </w:r>
    </w:p>
    <w:p w14:paraId="50FA0351" w14:textId="11E5ED34" w:rsidR="009F270E" w:rsidRPr="00B510C4" w:rsidRDefault="009F270E" w:rsidP="009F270E">
      <w:pPr>
        <w:pStyle w:val="EMLevel1Paragraph"/>
        <w:rPr>
          <w:szCs w:val="24"/>
        </w:rPr>
      </w:pPr>
      <w:r w:rsidRPr="009F270E">
        <w:t xml:space="preserve">The </w:t>
      </w:r>
      <w:r w:rsidR="000B330C">
        <w:t xml:space="preserve">Coordination </w:t>
      </w:r>
      <w:r w:rsidRPr="009F270E">
        <w:t>Regulations make provision for a number of bodies at EU level to deal with administrative and technical issues or disputes arising from the application of the Social Security Coordination</w:t>
      </w:r>
      <w:r>
        <w:t xml:space="preserve"> Regulations. The Administrative Commission</w:t>
      </w:r>
      <w:r>
        <w:rPr>
          <w:rStyle w:val="FootnoteReference"/>
        </w:rPr>
        <w:footnoteReference w:id="10"/>
      </w:r>
      <w:r>
        <w:t xml:space="preserve"> is the main one, but </w:t>
      </w:r>
      <w:r w:rsidR="005A56D9">
        <w:t xml:space="preserve">provision is </w:t>
      </w:r>
      <w:r>
        <w:t xml:space="preserve">also </w:t>
      </w:r>
      <w:r w:rsidR="005A56D9">
        <w:t xml:space="preserve">made for </w:t>
      </w:r>
      <w:r w:rsidR="00EC5664">
        <w:t>the Audit B</w:t>
      </w:r>
      <w:r>
        <w:t>oard</w:t>
      </w:r>
      <w:r>
        <w:rPr>
          <w:rStyle w:val="FootnoteReference"/>
        </w:rPr>
        <w:footnoteReference w:id="11"/>
      </w:r>
      <w:r>
        <w:t>, Advisory Committee</w:t>
      </w:r>
      <w:r>
        <w:rPr>
          <w:rStyle w:val="FootnoteReference"/>
        </w:rPr>
        <w:footnoteReference w:id="12"/>
      </w:r>
      <w:r>
        <w:t xml:space="preserve"> </w:t>
      </w:r>
      <w:r>
        <w:lastRenderedPageBreak/>
        <w:t>and Technical Commission for Data Processing</w:t>
      </w:r>
      <w:r>
        <w:rPr>
          <w:rStyle w:val="FootnoteReference"/>
        </w:rPr>
        <w:footnoteReference w:id="13"/>
      </w:r>
      <w:r>
        <w:t>. It is worth noting that these bodies are not independent but are part of the Commission.</w:t>
      </w:r>
    </w:p>
    <w:p w14:paraId="0FC4D22C" w14:textId="05A06C3F" w:rsidR="001534B4" w:rsidRPr="001C2FBD" w:rsidRDefault="001534B4" w:rsidP="001534B4">
      <w:pPr>
        <w:pStyle w:val="EMLevel1Paragraph"/>
      </w:pPr>
      <w:r w:rsidRPr="001C2FBD">
        <w:t xml:space="preserve">In a no deal scenario, the UK </w:t>
      </w:r>
      <w:r w:rsidR="000B330C">
        <w:t>will cease to be represented on</w:t>
      </w:r>
      <w:r w:rsidRPr="001C2FBD">
        <w:t xml:space="preserve"> t</w:t>
      </w:r>
      <w:r w:rsidR="0086605C">
        <w:t xml:space="preserve">hese bodies, and they </w:t>
      </w:r>
      <w:r w:rsidR="000B330C">
        <w:t>will no longer have any powers or functions in relation to the UK</w:t>
      </w:r>
      <w:r w:rsidRPr="001C2FBD">
        <w:t>.</w:t>
      </w:r>
    </w:p>
    <w:p w14:paraId="0CBFA25A" w14:textId="37AE7BB7" w:rsidR="001534B4" w:rsidRPr="001C2FBD" w:rsidRDefault="001534B4" w:rsidP="001534B4">
      <w:pPr>
        <w:pStyle w:val="EMLevel1Paragraph"/>
      </w:pPr>
      <w:r w:rsidRPr="001C2FBD">
        <w:t xml:space="preserve">The Coordination Regulations also contain obligations for provisional payments to be </w:t>
      </w:r>
      <w:r w:rsidR="0058382B">
        <w:t>made</w:t>
      </w:r>
      <w:r w:rsidR="0058382B" w:rsidRPr="001C2FBD">
        <w:t xml:space="preserve"> </w:t>
      </w:r>
      <w:r w:rsidRPr="001C2FBD">
        <w:t xml:space="preserve">to an individual while a dispute is resolved between two </w:t>
      </w:r>
      <w:r w:rsidR="0092164B">
        <w:t xml:space="preserve">EU </w:t>
      </w:r>
      <w:r w:rsidR="0058382B">
        <w:t>MS</w:t>
      </w:r>
      <w:r w:rsidR="0092164B">
        <w:t xml:space="preserve"> </w:t>
      </w:r>
      <w:r w:rsidRPr="001C2FBD">
        <w:t xml:space="preserve">regarding competence to pay benefits. </w:t>
      </w:r>
      <w:r w:rsidR="0092164B">
        <w:t>This provision, which is very rarely used</w:t>
      </w:r>
      <w:r w:rsidR="0086605C">
        <w:t xml:space="preserve"> (provisional payments have only ever been paid</w:t>
      </w:r>
      <w:r w:rsidR="005A56D9">
        <w:t xml:space="preserve"> by DWP</w:t>
      </w:r>
      <w:r w:rsidR="0086605C">
        <w:t xml:space="preserve"> in two instances)</w:t>
      </w:r>
      <w:r w:rsidR="0092164B">
        <w:t xml:space="preserve">, will </w:t>
      </w:r>
      <w:r w:rsidR="005A56D9">
        <w:t>no longer be engaged in respect of the UK</w:t>
      </w:r>
      <w:r w:rsidR="0092164B">
        <w:t xml:space="preserve"> because there will </w:t>
      </w:r>
      <w:r w:rsidR="005A56D9">
        <w:t xml:space="preserve">no longer </w:t>
      </w:r>
      <w:r w:rsidR="0092164B">
        <w:t xml:space="preserve">be </w:t>
      </w:r>
      <w:r w:rsidR="005A56D9">
        <w:t>a</w:t>
      </w:r>
      <w:r w:rsidR="0092164B">
        <w:t xml:space="preserve"> legal mechanism for resolving a dispute</w:t>
      </w:r>
      <w:r w:rsidR="005A56D9">
        <w:t xml:space="preserve"> over competence</w:t>
      </w:r>
      <w:r w:rsidR="0092164B">
        <w:t xml:space="preserve"> between the UK and an EU </w:t>
      </w:r>
      <w:r w:rsidR="0058382B">
        <w:t>MS</w:t>
      </w:r>
      <w:r w:rsidRPr="001C2FBD">
        <w:t xml:space="preserve">. </w:t>
      </w:r>
    </w:p>
    <w:p w14:paraId="323739C8" w14:textId="1571EFEB" w:rsidR="001534B4" w:rsidRPr="001C2FBD" w:rsidRDefault="001534B4" w:rsidP="00B23715">
      <w:pPr>
        <w:pStyle w:val="EMLevel1Paragraph"/>
      </w:pPr>
      <w:r w:rsidRPr="001C2FBD">
        <w:t xml:space="preserve">These </w:t>
      </w:r>
      <w:r w:rsidR="00BB491F">
        <w:t>instruments</w:t>
      </w:r>
      <w:r w:rsidR="00BB491F" w:rsidRPr="001C2FBD">
        <w:t xml:space="preserve"> </w:t>
      </w:r>
      <w:r w:rsidRPr="001C2FBD">
        <w:t xml:space="preserve">remove references to these bodies and to </w:t>
      </w:r>
      <w:r w:rsidR="00D11F94">
        <w:t xml:space="preserve">the requirement to make </w:t>
      </w:r>
      <w:r w:rsidRPr="001C2FBD">
        <w:t xml:space="preserve">provisional payments, on the basis they will be inoperable </w:t>
      </w:r>
      <w:r w:rsidR="00562610">
        <w:t>when the UK withdraws from the EU in a no deal scenario</w:t>
      </w:r>
      <w:r w:rsidRPr="001C2FBD">
        <w:t>.</w:t>
      </w:r>
    </w:p>
    <w:p w14:paraId="0BB08181" w14:textId="77777777" w:rsidR="001534B4" w:rsidRPr="001C2FBD" w:rsidRDefault="001534B4" w:rsidP="00B23715">
      <w:pPr>
        <w:pStyle w:val="EMSub-sub-sectiontitle"/>
      </w:pPr>
      <w:r w:rsidRPr="001C2FBD">
        <w:t>Applicable legislation</w:t>
      </w:r>
    </w:p>
    <w:p w14:paraId="0D64EF28" w14:textId="5983CA15" w:rsidR="001534B4" w:rsidRPr="001C2FBD" w:rsidRDefault="001534B4" w:rsidP="001534B4">
      <w:pPr>
        <w:pStyle w:val="EMLevel1Paragraph"/>
      </w:pPr>
      <w:r w:rsidRPr="001C2FBD">
        <w:t xml:space="preserve">The Coordination Regulations state that an individual shall only be subject to one </w:t>
      </w:r>
      <w:r w:rsidR="0092164B">
        <w:t xml:space="preserve">EU </w:t>
      </w:r>
      <w:r w:rsidR="000D7172">
        <w:t>MS</w:t>
      </w:r>
      <w:r w:rsidR="0092164B" w:rsidRPr="001C2FBD">
        <w:t xml:space="preserve"> </w:t>
      </w:r>
      <w:r w:rsidRPr="001C2FBD">
        <w:t>legislation at a time, meaning that a worker (and their employer) need only pay social security contributions (National Insurance Contributions (NICs) in the UK) to one MS at a time. The Coordination Regulations set out clear guidance</w:t>
      </w:r>
      <w:r w:rsidR="00DD20E0">
        <w:t xml:space="preserve"> on</w:t>
      </w:r>
      <w:r w:rsidRPr="001C2FBD">
        <w:t xml:space="preserve"> where a worker’s (and their employer’s) contributions are due in a variety of circumstances, and which country is responsible for any applicable benefit payments.</w:t>
      </w:r>
    </w:p>
    <w:p w14:paraId="74379B55" w14:textId="2FEC6FB5" w:rsidR="001534B4" w:rsidRPr="001C2FBD" w:rsidRDefault="001534B4" w:rsidP="001534B4">
      <w:pPr>
        <w:pStyle w:val="EMLevel1Paragraph"/>
      </w:pPr>
      <w:r w:rsidRPr="001C2FBD">
        <w:t xml:space="preserve">These arrangements rely on coordination between </w:t>
      </w:r>
      <w:r w:rsidR="0092164B">
        <w:t xml:space="preserve">EU </w:t>
      </w:r>
      <w:r w:rsidR="000D7172">
        <w:t>MS</w:t>
      </w:r>
      <w:r w:rsidR="0092164B" w:rsidRPr="001C2FBD">
        <w:t xml:space="preserve"> </w:t>
      </w:r>
      <w:r w:rsidRPr="001C2FBD">
        <w:t>in order to operate effectively</w:t>
      </w:r>
      <w:r w:rsidR="0092164B">
        <w:t xml:space="preserve">, so will largely be inoperable in a </w:t>
      </w:r>
      <w:r w:rsidRPr="001C2FBD">
        <w:t xml:space="preserve">no-deal </w:t>
      </w:r>
      <w:r w:rsidR="00330548">
        <w:t>scenario</w:t>
      </w:r>
      <w:r w:rsidR="0086605C">
        <w:t>.</w:t>
      </w:r>
      <w:r w:rsidR="00330548" w:rsidRPr="001C2FBD">
        <w:t xml:space="preserve"> </w:t>
      </w:r>
    </w:p>
    <w:p w14:paraId="37C8FFBB" w14:textId="140CFB9E" w:rsidR="001534B4" w:rsidRPr="001C2FBD" w:rsidRDefault="0092164B" w:rsidP="00827373">
      <w:pPr>
        <w:pStyle w:val="EMLevel1Paragraph"/>
      </w:pPr>
      <w:r>
        <w:t xml:space="preserve">The approach to amending the Coordination Regulations has therefore been to </w:t>
      </w:r>
      <w:r w:rsidR="001534B4" w:rsidRPr="001C2FBD">
        <w:t xml:space="preserve">focus on circumstances where the UK legislation does apply i.e. in cases where UK NICs are payable. Broadly speaking, UK NICs will be due where work is undertaken in the UK, even if the worker is resident outside of the UK. This may </w:t>
      </w:r>
      <w:r>
        <w:t>give rise to occasions</w:t>
      </w:r>
      <w:r w:rsidR="001534B4" w:rsidRPr="001C2FBD">
        <w:t xml:space="preserve"> where an individual becomes subject to the legislation of more than one state at a time</w:t>
      </w:r>
      <w:r w:rsidR="0086605C">
        <w:t xml:space="preserve"> -</w:t>
      </w:r>
      <w:r>
        <w:t xml:space="preserve"> an unavoidable </w:t>
      </w:r>
      <w:r w:rsidR="0086605C">
        <w:t>consequence of a no-deal</w:t>
      </w:r>
      <w:r w:rsidR="001534B4" w:rsidRPr="001C2FBD">
        <w:t xml:space="preserve"> exit which cannot be managed using powers available in this Act.</w:t>
      </w:r>
    </w:p>
    <w:p w14:paraId="35077A4F" w14:textId="77777777" w:rsidR="001534B4" w:rsidRPr="001C2FBD" w:rsidRDefault="001534B4" w:rsidP="001B0158">
      <w:pPr>
        <w:pStyle w:val="EMSub-sectiontitle"/>
      </w:pPr>
      <w:r w:rsidRPr="001C2FBD">
        <w:t>Who would be impacted by the changes?</w:t>
      </w:r>
    </w:p>
    <w:p w14:paraId="7AEBE636" w14:textId="7D6155DB" w:rsidR="001534B4" w:rsidRPr="001C2FBD" w:rsidRDefault="001534B4" w:rsidP="001534B4">
      <w:pPr>
        <w:pStyle w:val="EMLevel1Paragraph"/>
      </w:pPr>
      <w:r w:rsidRPr="001C2FBD">
        <w:t xml:space="preserve">The changes </w:t>
      </w:r>
      <w:r w:rsidR="00E7602B">
        <w:t xml:space="preserve">will affect </w:t>
      </w:r>
      <w:r w:rsidRPr="001C2FBD">
        <w:t xml:space="preserve">people who are currently in scope of the Coordination Regulations. These may be overlapping, but largely </w:t>
      </w:r>
      <w:r w:rsidR="00E7602B">
        <w:t>affect</w:t>
      </w:r>
      <w:r w:rsidRPr="001C2FBD">
        <w:t>:</w:t>
      </w:r>
    </w:p>
    <w:p w14:paraId="46EBAAB1" w14:textId="77777777" w:rsidR="001534B4" w:rsidRPr="00D4763D" w:rsidRDefault="001534B4" w:rsidP="001534B4">
      <w:pPr>
        <w:pStyle w:val="ListParagraph"/>
        <w:rPr>
          <w:rFonts w:cs="Arial"/>
          <w:sz w:val="22"/>
          <w:szCs w:val="22"/>
        </w:rPr>
      </w:pPr>
    </w:p>
    <w:p w14:paraId="5A00128E" w14:textId="3BCCDCBE" w:rsidR="001534B4" w:rsidRPr="00F24582" w:rsidRDefault="006D58F5" w:rsidP="001B0158">
      <w:pPr>
        <w:pStyle w:val="EMLevel1Bullet"/>
      </w:pPr>
      <w:r>
        <w:lastRenderedPageBreak/>
        <w:t>T</w:t>
      </w:r>
      <w:r w:rsidR="00E7602B">
        <w:t xml:space="preserve">he process for medical assessments being conducted in other </w:t>
      </w:r>
      <w:r w:rsidR="000D7172">
        <w:t>MS</w:t>
      </w:r>
      <w:r w:rsidR="00E7602B">
        <w:t xml:space="preserve">, when </w:t>
      </w:r>
      <w:r w:rsidR="001534B4" w:rsidRPr="00F24582">
        <w:t xml:space="preserve">UK nationals or EU nationals move to the EU and claim a UK benefit, such as Employment and Support Allowance, or State Pension. </w:t>
      </w:r>
      <w:r w:rsidR="00E7602B">
        <w:t xml:space="preserve">The amendments </w:t>
      </w:r>
      <w:bookmarkStart w:id="1" w:name="_GoBack"/>
      <w:r w:rsidR="00E7602B">
        <w:t>make provision for such nationals to provide medical evidence where necessary</w:t>
      </w:r>
      <w:r>
        <w:t>.</w:t>
      </w:r>
    </w:p>
    <w:p w14:paraId="4FD4ABA6" w14:textId="5E7FC96A" w:rsidR="001534B4" w:rsidRPr="00CA1A6F" w:rsidRDefault="001534B4" w:rsidP="001B0158">
      <w:pPr>
        <w:pStyle w:val="EMLevel1Bullet"/>
      </w:pPr>
      <w:r w:rsidRPr="000B2422">
        <w:t xml:space="preserve">UK or EU nationals </w:t>
      </w:r>
      <w:r w:rsidR="00E7602B">
        <w:t xml:space="preserve">where there is a dispute between the UK and an EU </w:t>
      </w:r>
      <w:r w:rsidR="000D7172">
        <w:t>MS</w:t>
      </w:r>
      <w:r w:rsidR="00E7602B">
        <w:t xml:space="preserve"> about wh</w:t>
      </w:r>
      <w:r w:rsidR="000D7172">
        <w:t>ich</w:t>
      </w:r>
      <w:r w:rsidR="008822C3">
        <w:t xml:space="preserve"> </w:t>
      </w:r>
      <w:r w:rsidR="000D7172">
        <w:t>country</w:t>
      </w:r>
      <w:r w:rsidR="00E7602B">
        <w:t xml:space="preserve"> is competent. </w:t>
      </w:r>
      <w:r w:rsidR="006D58F5">
        <w:t>Prior to exit</w:t>
      </w:r>
      <w:r w:rsidR="00E7602B">
        <w:t>, the</w:t>
      </w:r>
      <w:r w:rsidRPr="000B2422">
        <w:t xml:space="preserve"> individual could have accessed provisional payments </w:t>
      </w:r>
      <w:r w:rsidR="00E7602B">
        <w:t>in such a case. The amendments remove provisional payments</w:t>
      </w:r>
      <w:r w:rsidR="006D58F5">
        <w:t>.</w:t>
      </w:r>
    </w:p>
    <w:p w14:paraId="2CC9E5E2" w14:textId="0AF990AF" w:rsidR="001534B4" w:rsidRPr="00562610" w:rsidRDefault="006D58F5" w:rsidP="001B0158">
      <w:pPr>
        <w:pStyle w:val="EMLevel1Bullet"/>
      </w:pPr>
      <w:r>
        <w:t>T</w:t>
      </w:r>
      <w:r w:rsidR="00E7602B">
        <w:t xml:space="preserve">he calculation of </w:t>
      </w:r>
      <w:r w:rsidR="00D35115">
        <w:t xml:space="preserve">entitlement to </w:t>
      </w:r>
      <w:r w:rsidR="00E7602B">
        <w:t xml:space="preserve">benefits for </w:t>
      </w:r>
      <w:r w:rsidR="001534B4" w:rsidRPr="00562610">
        <w:t xml:space="preserve">UK nationals or EU nationals who have spent a period of time </w:t>
      </w:r>
      <w:r w:rsidR="00D50769">
        <w:t xml:space="preserve">residing and </w:t>
      </w:r>
      <w:r w:rsidR="001534B4" w:rsidRPr="00562610">
        <w:t>working in the EU, but who now live in the UK</w:t>
      </w:r>
      <w:r w:rsidR="00E7602B">
        <w:t xml:space="preserve"> </w:t>
      </w:r>
      <w:r>
        <w:t>and make</w:t>
      </w:r>
      <w:r w:rsidR="001534B4" w:rsidRPr="00562610">
        <w:t xml:space="preserve"> a claim for a UK benefit or State Pension. </w:t>
      </w:r>
      <w:r w:rsidR="00D35115">
        <w:t xml:space="preserve">The amendments make provision for nationals to provide evidence relating to their claim - in the instance where an EU </w:t>
      </w:r>
      <w:r w:rsidR="00D50769">
        <w:t>MS</w:t>
      </w:r>
      <w:r w:rsidR="00D35115">
        <w:t xml:space="preserve"> does not provide it</w:t>
      </w:r>
      <w:r w:rsidR="005A56D9">
        <w:t xml:space="preserve"> if requested</w:t>
      </w:r>
      <w:r w:rsidR="00D35115">
        <w:t>.</w:t>
      </w:r>
    </w:p>
    <w:p w14:paraId="5884DC20" w14:textId="675ED8A6" w:rsidR="001534B4" w:rsidRPr="00430233" w:rsidRDefault="001534B4" w:rsidP="001B0158">
      <w:pPr>
        <w:pStyle w:val="EMLevel1Bullet"/>
      </w:pPr>
      <w:r w:rsidRPr="007E08E3">
        <w:t xml:space="preserve">UK nationals working (either employed or self-employed) in </w:t>
      </w:r>
      <w:r w:rsidR="00E7602B">
        <w:t xml:space="preserve">an EU </w:t>
      </w:r>
      <w:r w:rsidR="00D50769">
        <w:t>MS</w:t>
      </w:r>
      <w:r w:rsidRPr="007E08E3">
        <w:t>, and residents of a</w:t>
      </w:r>
      <w:r w:rsidR="00E7602B">
        <w:t xml:space="preserve">n EU </w:t>
      </w:r>
      <w:r w:rsidR="00D50769">
        <w:t>MS</w:t>
      </w:r>
      <w:r w:rsidR="00E7602B">
        <w:t xml:space="preserve"> </w:t>
      </w:r>
      <w:r w:rsidRPr="007E08E3">
        <w:t>working in the UK, and some third country nationals coming to work in the UK from a</w:t>
      </w:r>
      <w:r w:rsidR="00E7602B">
        <w:t xml:space="preserve">n EU </w:t>
      </w:r>
      <w:r w:rsidR="00D50769">
        <w:t>MS</w:t>
      </w:r>
      <w:r w:rsidRPr="00430459">
        <w:t>. This group may be impacted by, for example, being required to pay N</w:t>
      </w:r>
      <w:r w:rsidR="006D58F5">
        <w:t xml:space="preserve">ational </w:t>
      </w:r>
      <w:r w:rsidRPr="00430459">
        <w:t>I</w:t>
      </w:r>
      <w:r w:rsidR="006D58F5">
        <w:t xml:space="preserve">nsurance </w:t>
      </w:r>
      <w:r w:rsidRPr="00430459">
        <w:t>C</w:t>
      </w:r>
      <w:r w:rsidR="006D58F5">
        <w:t>ontributions</w:t>
      </w:r>
      <w:r w:rsidRPr="00430459">
        <w:t xml:space="preserve"> </w:t>
      </w:r>
      <w:r w:rsidR="006D58F5">
        <w:t xml:space="preserve">(‘NICs’) </w:t>
      </w:r>
      <w:r w:rsidRPr="00430459">
        <w:t xml:space="preserve">in the UK, under UK legislation, as well as in an EU </w:t>
      </w:r>
      <w:r w:rsidR="00D50769">
        <w:t>MS</w:t>
      </w:r>
      <w:r w:rsidRPr="00430459">
        <w:t xml:space="preserve"> if that </w:t>
      </w:r>
      <w:r w:rsidR="00D50769">
        <w:t>MS</w:t>
      </w:r>
      <w:r w:rsidR="008822C3">
        <w:t xml:space="preserve"> </w:t>
      </w:r>
      <w:r w:rsidRPr="00430459">
        <w:t xml:space="preserve">legislation </w:t>
      </w:r>
      <w:r w:rsidR="00D50769">
        <w:t xml:space="preserve">also </w:t>
      </w:r>
      <w:r w:rsidRPr="00430459">
        <w:t>applies to them.</w:t>
      </w:r>
    </w:p>
    <w:p w14:paraId="5EC23F1F" w14:textId="77777777" w:rsidR="005E7B5C" w:rsidRDefault="005E7B5C" w:rsidP="00CD4FDB">
      <w:pPr>
        <w:pStyle w:val="EMSectionTitle"/>
      </w:pPr>
      <w:r>
        <w:t>E</w:t>
      </w:r>
      <w:r w:rsidR="0009226B">
        <w:t>uropean Union (Withdrawal) Act/</w:t>
      </w:r>
      <w:r>
        <w:t>Withdrawal of the United Kingdom from the European Union</w:t>
      </w:r>
    </w:p>
    <w:p w14:paraId="5CFC77E7" w14:textId="4568AAFE" w:rsidR="005E7B5C" w:rsidRDefault="00FB6AAC" w:rsidP="0076508A">
      <w:pPr>
        <w:pStyle w:val="EMLevel1Paragraph"/>
      </w:pPr>
      <w:bookmarkStart w:id="2" w:name="_3znysh7" w:colFirst="0" w:colLast="0"/>
      <w:bookmarkEnd w:id="2"/>
      <w:bookmarkEnd w:id="1"/>
      <w:r>
        <w:t>These instruments are</w:t>
      </w:r>
      <w:r w:rsidR="005E7B5C">
        <w:t xml:space="preserve"> being made </w:t>
      </w:r>
      <w:r w:rsidR="00E7602B">
        <w:t>under</w:t>
      </w:r>
      <w:r w:rsidR="005E7B5C">
        <w:t xml:space="preserve"> section 8 </w:t>
      </w:r>
      <w:r w:rsidR="00325AD0" w:rsidRPr="000D0AD9">
        <w:t>of</w:t>
      </w:r>
      <w:r w:rsidR="00325AD0">
        <w:t xml:space="preserve"> </w:t>
      </w:r>
      <w:r w:rsidR="005E7B5C">
        <w:t xml:space="preserve">the European Union (Withdrawal) Act 2018 to address </w:t>
      </w:r>
      <w:r w:rsidR="00E7602B">
        <w:t>anticipated deficiencies in</w:t>
      </w:r>
      <w:r w:rsidR="005E7B5C">
        <w:t xml:space="preserve"> retained EU law arising from the withdrawal of the United Kingdom from the European Union. In accordance with the requirements of that Act the Minister has made the relevant state</w:t>
      </w:r>
      <w:r w:rsidR="00C07612">
        <w:t xml:space="preserve">ments as detailed in Part 2 of </w:t>
      </w:r>
      <w:r w:rsidR="005E7B5C">
        <w:t>the Annex to this Explanatory Memorandum</w:t>
      </w:r>
      <w:r w:rsidR="00C07612">
        <w:t>.</w:t>
      </w:r>
    </w:p>
    <w:p w14:paraId="5C90CB7B" w14:textId="77777777" w:rsidR="005E7B5C" w:rsidRDefault="005E7B5C" w:rsidP="00CD4FDB">
      <w:pPr>
        <w:pStyle w:val="EMSectionTitle"/>
      </w:pPr>
      <w:r>
        <w:t>Consolidation</w:t>
      </w:r>
    </w:p>
    <w:p w14:paraId="1DA25FCA" w14:textId="77777777" w:rsidR="00E0307E" w:rsidRPr="00E0307E" w:rsidRDefault="00DE1F19" w:rsidP="0076508A">
      <w:pPr>
        <w:pStyle w:val="EMLevel1Paragraph"/>
      </w:pPr>
      <w:r>
        <w:rPr>
          <w:color w:val="000000"/>
        </w:rPr>
        <w:t>I</w:t>
      </w:r>
      <w:r w:rsidRPr="00C33480">
        <w:rPr>
          <w:rStyle w:val="BodyTextIndentChar"/>
          <w:rFonts w:cs="Times New Roman"/>
        </w:rPr>
        <w:t>nformal consolidated text of instruments is available to the public free of charge vi</w:t>
      </w:r>
      <w:r>
        <w:rPr>
          <w:rStyle w:val="BodyTextIndentChar"/>
          <w:rFonts w:cs="Times New Roman"/>
        </w:rPr>
        <w:t xml:space="preserve">a ‘the National Archive’ website </w:t>
      </w:r>
      <w:hyperlink r:id="rId12" w:history="1">
        <w:r w:rsidRPr="00A92D35">
          <w:rPr>
            <w:rStyle w:val="Hyperlink"/>
            <w:rFonts w:cs="Times New Roman"/>
            <w:szCs w:val="24"/>
          </w:rPr>
          <w:t>www.legislation.gov.uk</w:t>
        </w:r>
      </w:hyperlink>
      <w:r>
        <w:rPr>
          <w:rFonts w:cs="Times New Roman"/>
          <w:szCs w:val="24"/>
        </w:rPr>
        <w:t xml:space="preserve">. </w:t>
      </w:r>
    </w:p>
    <w:p w14:paraId="39DB2379" w14:textId="794187D8" w:rsidR="005E7B5C" w:rsidRDefault="00DE1F19" w:rsidP="0076508A">
      <w:pPr>
        <w:pStyle w:val="EMLevel1Paragraph"/>
      </w:pPr>
      <w:r>
        <w:rPr>
          <w:rFonts w:cs="Times New Roman"/>
          <w:szCs w:val="24"/>
        </w:rPr>
        <w:t xml:space="preserve">Informal consolidated text of social security law in Northern Ireland is available free of charge to the public via the Department for Communities website </w:t>
      </w:r>
      <w:hyperlink r:id="rId13" w:history="1">
        <w:r w:rsidRPr="004F5217">
          <w:rPr>
            <w:rStyle w:val="Hyperlink"/>
          </w:rPr>
          <w:t>http://iaccess.communities-ni.gov.uk/sspldbluevolumesinternet/users/internetsearchpage.aspx</w:t>
        </w:r>
      </w:hyperlink>
      <w:r w:rsidR="005E7B5C" w:rsidRPr="0076508A">
        <w:rPr>
          <w:i/>
          <w:color w:val="FF0000"/>
        </w:rPr>
        <w:t xml:space="preserve"> </w:t>
      </w:r>
    </w:p>
    <w:p w14:paraId="26ECA11D" w14:textId="77777777" w:rsidR="005E7B5C" w:rsidRDefault="005E7B5C" w:rsidP="00CD4FDB">
      <w:pPr>
        <w:pStyle w:val="EMSectionTitle"/>
      </w:pPr>
      <w:r>
        <w:t>Consultation outcome</w:t>
      </w:r>
    </w:p>
    <w:p w14:paraId="2913C10C" w14:textId="5F304783" w:rsidR="00CC3BB5" w:rsidRPr="00CC3BB5" w:rsidRDefault="00CC3BB5" w:rsidP="00E0307E">
      <w:pPr>
        <w:pStyle w:val="EMLevel1Paragraph"/>
      </w:pPr>
      <w:r>
        <w:t>As this instrument is addressing deficiencies in retained EU law and there is no significant impact as a result of this instrument, a full consultation was not considered necessary.</w:t>
      </w:r>
    </w:p>
    <w:p w14:paraId="430A4A34" w14:textId="2FBBC6CE" w:rsidR="00BB6EB7" w:rsidRPr="00E0307E" w:rsidRDefault="00430233" w:rsidP="00E0307E">
      <w:pPr>
        <w:pStyle w:val="EMLevel1Paragraph"/>
      </w:pPr>
      <w:r>
        <w:rPr>
          <w:rFonts w:ascii="Times-Roman" w:hAnsi="Times-Roman" w:cs="Times-Roman"/>
          <w:lang w:eastAsia="en-GB"/>
        </w:rPr>
        <w:t>W</w:t>
      </w:r>
      <w:r w:rsidR="005130B2">
        <w:rPr>
          <w:rFonts w:ascii="Times-Roman" w:hAnsi="Times-Roman" w:cs="Times-Roman"/>
          <w:lang w:eastAsia="en-GB"/>
        </w:rPr>
        <w:t>e nevertheless</w:t>
      </w:r>
      <w:r>
        <w:rPr>
          <w:rFonts w:ascii="Times-Roman" w:hAnsi="Times-Roman" w:cs="Times-Roman"/>
          <w:lang w:eastAsia="en-GB"/>
        </w:rPr>
        <w:t xml:space="preserve"> </w:t>
      </w:r>
      <w:r w:rsidR="00E7602B">
        <w:rPr>
          <w:rFonts w:ascii="Times-Roman" w:hAnsi="Times-Roman" w:cs="Times-Roman"/>
          <w:lang w:eastAsia="en-GB"/>
        </w:rPr>
        <w:t xml:space="preserve">had informal discussions with </w:t>
      </w:r>
      <w:r>
        <w:rPr>
          <w:rFonts w:ascii="Times-Roman" w:hAnsi="Times-Roman" w:cs="Times-Roman"/>
          <w:lang w:eastAsia="en-GB"/>
        </w:rPr>
        <w:t xml:space="preserve">the Social Security Advisory Committee on these instruments. </w:t>
      </w:r>
      <w:r w:rsidR="00E7602B">
        <w:t>These</w:t>
      </w:r>
      <w:r w:rsidR="00BB6EB7" w:rsidRPr="001B0158">
        <w:t xml:space="preserve"> focused around both technical issues (such as drafting points), and policy considerations (testing our approaches to ensure we are providing the best outcomes)</w:t>
      </w:r>
      <w:r>
        <w:t>.</w:t>
      </w:r>
      <w:r w:rsidR="00E7602B">
        <w:t xml:space="preserve"> </w:t>
      </w:r>
    </w:p>
    <w:p w14:paraId="7686945F" w14:textId="20273FBC" w:rsidR="00430233" w:rsidRPr="004A74A8" w:rsidRDefault="00430233" w:rsidP="00EC5664">
      <w:pPr>
        <w:pStyle w:val="EMLevel1Paragraph"/>
        <w:numPr>
          <w:ilvl w:val="0"/>
          <w:numId w:val="0"/>
        </w:numPr>
        <w:ind w:left="720"/>
        <w:rPr>
          <w:i/>
          <w:color w:val="FF0000"/>
        </w:rPr>
      </w:pPr>
    </w:p>
    <w:p w14:paraId="684629BB" w14:textId="791A5A5C" w:rsidR="005E7B5C" w:rsidRPr="001B0158" w:rsidRDefault="005E7B5C" w:rsidP="001B0158">
      <w:pPr>
        <w:pStyle w:val="EMLevel1Paragraph"/>
        <w:numPr>
          <w:ilvl w:val="0"/>
          <w:numId w:val="0"/>
        </w:numPr>
        <w:ind w:left="696" w:hanging="576"/>
      </w:pPr>
    </w:p>
    <w:p w14:paraId="66BBD029" w14:textId="77777777" w:rsidR="005E7B5C" w:rsidRDefault="005E7B5C" w:rsidP="00CD4FDB">
      <w:pPr>
        <w:pStyle w:val="EMSectionTitle"/>
      </w:pPr>
      <w:r>
        <w:lastRenderedPageBreak/>
        <w:t>Guidance</w:t>
      </w:r>
    </w:p>
    <w:p w14:paraId="4E2D9DF2" w14:textId="6267E365" w:rsidR="005E7B5C" w:rsidRPr="00F97994" w:rsidRDefault="00F97994" w:rsidP="0076508A">
      <w:pPr>
        <w:pStyle w:val="EMLevel1Paragraph"/>
      </w:pPr>
      <w:r w:rsidRPr="00F97994">
        <w:rPr>
          <w:iCs/>
        </w:rPr>
        <w:t>In the event of a no deal scenario, guidance will be provided in due course and in adequate time in order to adapt to these amendments in practice.</w:t>
      </w:r>
    </w:p>
    <w:p w14:paraId="471119B7" w14:textId="77777777" w:rsidR="005E7B5C" w:rsidRDefault="005E7B5C" w:rsidP="00CD4FDB">
      <w:pPr>
        <w:pStyle w:val="EMSectionTitle"/>
      </w:pPr>
      <w:r>
        <w:t>Impact</w:t>
      </w:r>
    </w:p>
    <w:p w14:paraId="76146249" w14:textId="1D6C7AB9" w:rsidR="00C07612" w:rsidRDefault="00B02906" w:rsidP="00C07612">
      <w:pPr>
        <w:pStyle w:val="EMLevel1Paragraph"/>
      </w:pPr>
      <w:r>
        <w:t>There is no,</w:t>
      </w:r>
      <w:r w:rsidR="00C07612">
        <w:t xml:space="preserve"> or no significant, impact on business, charities or voluntary bodies</w:t>
      </w:r>
      <w:r w:rsidR="00DD20E0">
        <w:t xml:space="preserve"> as a result of these instruments</w:t>
      </w:r>
      <w:r w:rsidR="005A56D9">
        <w:t xml:space="preserve"> which are intended to maintain the status quo</w:t>
      </w:r>
      <w:r w:rsidR="00C07612">
        <w:t>.</w:t>
      </w:r>
    </w:p>
    <w:p w14:paraId="070B7E70" w14:textId="77777777" w:rsidR="00C07612" w:rsidRDefault="00C07612" w:rsidP="00C07612">
      <w:pPr>
        <w:pStyle w:val="EMLevel1Paragraph"/>
      </w:pPr>
      <w:r>
        <w:t>There is no, or no significant, impact on the public sector.</w:t>
      </w:r>
    </w:p>
    <w:p w14:paraId="5EFE4229" w14:textId="1975DCB2" w:rsidR="00C07612" w:rsidRPr="00847E0E" w:rsidRDefault="00C07612" w:rsidP="00C07612">
      <w:pPr>
        <w:pStyle w:val="EMLevel1Paragraph"/>
      </w:pPr>
      <w:r w:rsidRPr="00847E0E">
        <w:t>An Impact Assessment has not been prepared for th</w:t>
      </w:r>
      <w:r w:rsidR="00922F39">
        <w:t>e</w:t>
      </w:r>
      <w:r w:rsidRPr="00847E0E">
        <w:t>s</w:t>
      </w:r>
      <w:r w:rsidR="00922F39">
        <w:t>e</w:t>
      </w:r>
      <w:r w:rsidRPr="00847E0E">
        <w:t xml:space="preserve"> instrument</w:t>
      </w:r>
      <w:r w:rsidR="00922F39">
        <w:t>s</w:t>
      </w:r>
      <w:r w:rsidRPr="00847E0E">
        <w:t xml:space="preserve"> </w:t>
      </w:r>
      <w:r w:rsidR="00922F39">
        <w:t xml:space="preserve">as they </w:t>
      </w:r>
      <w:r w:rsidRPr="00847E0E">
        <w:t>only make technical changes to</w:t>
      </w:r>
      <w:r w:rsidR="001B0158">
        <w:t xml:space="preserve"> retained</w:t>
      </w:r>
      <w:r w:rsidRPr="00847E0E">
        <w:t xml:space="preserve"> EU law, and as such do not give rise to any new costs </w:t>
      </w:r>
      <w:r w:rsidR="00B22BFB">
        <w:t>or</w:t>
      </w:r>
      <w:r w:rsidRPr="00847E0E">
        <w:t xml:space="preserve"> any financial or economic impact beyond the status quo.</w:t>
      </w:r>
    </w:p>
    <w:p w14:paraId="5B3D16EE" w14:textId="77777777" w:rsidR="005E7B5C" w:rsidRDefault="005E7B5C" w:rsidP="00CD4FDB">
      <w:pPr>
        <w:pStyle w:val="EMSectionTitle"/>
      </w:pPr>
      <w:r>
        <w:t>Regulating small business</w:t>
      </w:r>
    </w:p>
    <w:p w14:paraId="51A581DA" w14:textId="77777777" w:rsidR="00C07612" w:rsidRDefault="00C07612" w:rsidP="00C07612">
      <w:pPr>
        <w:pStyle w:val="EMLevel1Paragraph"/>
      </w:pPr>
      <w:r>
        <w:t xml:space="preserve">The legislation does not apply to activities that are undertaken by small businesses. </w:t>
      </w:r>
    </w:p>
    <w:p w14:paraId="5573566B" w14:textId="77777777" w:rsidR="005E7B5C" w:rsidRDefault="005E7B5C" w:rsidP="00CD4FDB">
      <w:pPr>
        <w:pStyle w:val="EMSectionTitle"/>
      </w:pPr>
      <w:r>
        <w:t>Monitoring &amp; review</w:t>
      </w:r>
    </w:p>
    <w:p w14:paraId="29E20DE4" w14:textId="77777777" w:rsidR="00C07612" w:rsidRDefault="00C07612" w:rsidP="00C07612">
      <w:pPr>
        <w:pStyle w:val="EMLevel1Paragraph"/>
      </w:pPr>
      <w:r>
        <w:t xml:space="preserve">As this instrument is made under the EU Withdrawal Act 2018, no review clause is required. </w:t>
      </w:r>
    </w:p>
    <w:p w14:paraId="603B9E58" w14:textId="77777777" w:rsidR="005E7B5C" w:rsidRDefault="005E7B5C" w:rsidP="00CD4FDB">
      <w:pPr>
        <w:pStyle w:val="EMSectionTitle"/>
      </w:pPr>
      <w:r>
        <w:t>Contact</w:t>
      </w:r>
    </w:p>
    <w:p w14:paraId="6A3690D9" w14:textId="469E1557" w:rsidR="00C07612" w:rsidRDefault="00CC3BB5" w:rsidP="00C07612">
      <w:pPr>
        <w:pStyle w:val="EMLevel1Paragraph"/>
      </w:pPr>
      <w:r>
        <w:t>Ashley Sawyer</w:t>
      </w:r>
      <w:r w:rsidR="00C07612">
        <w:t xml:space="preserve"> at the Department for Work and Pensions Telephone: </w:t>
      </w:r>
      <w:r w:rsidR="00C07612" w:rsidRPr="0013077B">
        <w:t xml:space="preserve">0207 </w:t>
      </w:r>
      <w:r>
        <w:t>449 5187</w:t>
      </w:r>
      <w:r w:rsidR="00C07612" w:rsidRPr="0013077B">
        <w:t xml:space="preserve"> </w:t>
      </w:r>
      <w:r>
        <w:t>or email: ashley.sawyer</w:t>
      </w:r>
      <w:r w:rsidR="00C07612">
        <w:t>@dwp.gsi.gov.uk can be contacted with any queries regarding the instruments.</w:t>
      </w:r>
    </w:p>
    <w:p w14:paraId="4A5FD0D7" w14:textId="77777777" w:rsidR="00C07612" w:rsidRDefault="00C07612" w:rsidP="00C07612">
      <w:pPr>
        <w:pStyle w:val="EMLevel1Paragraph"/>
      </w:pPr>
      <w:r>
        <w:t>Neil Hodgson, Head of EU Exit Policy at the Department for Work and Pensions can confirm that this Explanatory Memorandum meets the required standard.</w:t>
      </w:r>
    </w:p>
    <w:p w14:paraId="58DB932F" w14:textId="77777777" w:rsidR="00C07612" w:rsidRPr="00097AA8" w:rsidRDefault="00C07612" w:rsidP="00C07612">
      <w:pPr>
        <w:pStyle w:val="EMLevel1Paragraph"/>
      </w:pPr>
      <w:r>
        <w:t xml:space="preserve">Rt. Hon. </w:t>
      </w:r>
      <w:proofErr w:type="spellStart"/>
      <w:r>
        <w:t>Alok</w:t>
      </w:r>
      <w:proofErr w:type="spellEnd"/>
      <w:r>
        <w:t xml:space="preserve"> Sharma MP, Minister for Employment at the Department for Work and Pensions can confirm that this Explanatory Memorandum meets the required standard.</w:t>
      </w:r>
    </w:p>
    <w:p w14:paraId="7AAA4C0F" w14:textId="77777777" w:rsidR="005E7B5C" w:rsidRDefault="005E7B5C" w:rsidP="005E7B5C">
      <w:pPr>
        <w:pBdr>
          <w:top w:val="nil"/>
          <w:left w:val="nil"/>
          <w:bottom w:val="nil"/>
          <w:right w:val="nil"/>
          <w:between w:val="nil"/>
        </w:pBdr>
        <w:spacing w:line="276" w:lineRule="auto"/>
        <w:rPr>
          <w:color w:val="000000"/>
        </w:rPr>
      </w:pPr>
      <w:r>
        <w:br w:type="page"/>
      </w:r>
    </w:p>
    <w:p w14:paraId="4770143F" w14:textId="74B0152E" w:rsidR="002D5081" w:rsidRDefault="002D5081" w:rsidP="002D5081">
      <w:pPr>
        <w:pStyle w:val="AnnexPartHeading"/>
      </w:pPr>
      <w:r>
        <w:lastRenderedPageBreak/>
        <w:t>Part 2</w:t>
      </w:r>
    </w:p>
    <w:p w14:paraId="31C59DF0" w14:textId="77777777" w:rsidR="002D5081" w:rsidRDefault="002D5081" w:rsidP="002D5081">
      <w:pPr>
        <w:pStyle w:val="AnnexPartTitle"/>
      </w:pPr>
      <w:r>
        <w:t>Statements required when using enabling powers</w:t>
      </w:r>
    </w:p>
    <w:p w14:paraId="0548CCFE" w14:textId="77777777" w:rsidR="002D5081" w:rsidRDefault="002D5081" w:rsidP="002D5081">
      <w:pPr>
        <w:pStyle w:val="AnnexPartTitle"/>
      </w:pPr>
      <w:r>
        <w:t xml:space="preserve"> under the European Union (Withdrawal) 2018 Act</w:t>
      </w:r>
    </w:p>
    <w:p w14:paraId="54ECE6B7" w14:textId="77777777" w:rsidR="002D5081" w:rsidRPr="003D51B8" w:rsidRDefault="002D5081" w:rsidP="002D5081">
      <w:pPr>
        <w:pStyle w:val="EMSectionTitle"/>
        <w:numPr>
          <w:ilvl w:val="0"/>
          <w:numId w:val="29"/>
        </w:numPr>
        <w:tabs>
          <w:tab w:val="clear" w:pos="432"/>
          <w:tab w:val="num" w:pos="709"/>
        </w:tabs>
        <w:ind w:left="709" w:hanging="709"/>
      </w:pPr>
      <w:r w:rsidRPr="003D51B8">
        <w:t xml:space="preserve">Sifting </w:t>
      </w:r>
      <w:r w:rsidRPr="00CD4FDB">
        <w:t>statement</w:t>
      </w:r>
      <w:r w:rsidRPr="003D51B8">
        <w:t>(s)</w:t>
      </w:r>
    </w:p>
    <w:p w14:paraId="1F5BEE66" w14:textId="77777777" w:rsidR="002D5081" w:rsidRDefault="002D5081" w:rsidP="002D5081">
      <w:pPr>
        <w:pStyle w:val="EMLevel1Paragraph"/>
        <w:ind w:left="720" w:hanging="720"/>
      </w:pPr>
      <w:r w:rsidRPr="00EB15D8">
        <w:t xml:space="preserve">The </w:t>
      </w:r>
      <w:r>
        <w:t xml:space="preserve">Minister for Employment, </w:t>
      </w:r>
      <w:proofErr w:type="spellStart"/>
      <w:r>
        <w:t>Alok</w:t>
      </w:r>
      <w:proofErr w:type="spellEnd"/>
      <w:r>
        <w:t xml:space="preserve"> Sharma,</w:t>
      </w:r>
      <w:r w:rsidRPr="00EB15D8">
        <w:t xml:space="preserve"> has made the following statement regarding use of legislative powers in the European Union (Withdrawal) Act 2018:</w:t>
      </w:r>
    </w:p>
    <w:p w14:paraId="24D57275" w14:textId="2B7D2446" w:rsidR="002D5081" w:rsidRDefault="002D5081" w:rsidP="0047510C">
      <w:pPr>
        <w:pStyle w:val="EMLevel1Paragraph"/>
        <w:ind w:left="720" w:hanging="720"/>
      </w:pPr>
      <w:r w:rsidRPr="0047510C">
        <w:t xml:space="preserve">“In my view </w:t>
      </w:r>
      <w:r w:rsidR="0047510C">
        <w:t>The Social Security Coordination (Regulation (EC) No. 883/2004) (Amendment) (EU Exit) Regulations 2018,</w:t>
      </w:r>
      <w:r w:rsidR="0047510C" w:rsidRPr="00723857">
        <w:t xml:space="preserve"> </w:t>
      </w:r>
      <w:r w:rsidR="0047510C">
        <w:t>The Social Security Coordination (Regulation (EC) No. 987/2009) (Amendment) (EU Exit) Regulations 2018, The Social Security Coordination (Regulation (E</w:t>
      </w:r>
      <w:r w:rsidR="00EC5664">
        <w:t>E</w:t>
      </w:r>
      <w:r w:rsidR="0047510C">
        <w:t xml:space="preserve">C) No. 1408/71) </w:t>
      </w:r>
      <w:r w:rsidR="00EC5664">
        <w:t xml:space="preserve">and Council Regulation (EC) No. 859/2003 </w:t>
      </w:r>
      <w:r w:rsidR="0047510C">
        <w:t>(Amendment) (EU Exit) Regulations 2018, and The Social Security Coordination (Regulation (E</w:t>
      </w:r>
      <w:r w:rsidR="00EC5664">
        <w:t>E</w:t>
      </w:r>
      <w:r w:rsidR="0047510C">
        <w:t>C) No. 574/72) (Amendment) (EU Exit) Regulations 2018</w:t>
      </w:r>
      <w:r w:rsidRPr="0047510C">
        <w:rPr>
          <w:rFonts w:cs="Times New Roman"/>
          <w:szCs w:val="24"/>
        </w:rPr>
        <w:t xml:space="preserve"> should be subject to annulment in pursuance of a resolution of either House of Parliament (i.e. the negative procedure)</w:t>
      </w:r>
      <w:r>
        <w:t>. This is the case because repealing the inoperability and deficiencies prevents redundant legislation being transposed into domestic law and</w:t>
      </w:r>
      <w:r w:rsidR="000F41F6">
        <w:t xml:space="preserve"> because these regulations</w:t>
      </w:r>
      <w:r>
        <w:t xml:space="preserve"> </w:t>
      </w:r>
      <w:r w:rsidR="00AE116E">
        <w:t>are technical in nature and do not</w:t>
      </w:r>
      <w:r>
        <w:t xml:space="preserve"> amend primary legislation.”</w:t>
      </w:r>
    </w:p>
    <w:p w14:paraId="2B94BD36" w14:textId="77777777" w:rsidR="002D5081" w:rsidRDefault="002D5081" w:rsidP="002D5081">
      <w:pPr>
        <w:pStyle w:val="EMSectionTitle"/>
      </w:pPr>
      <w:r>
        <w:t xml:space="preserve">Appropriateness </w:t>
      </w:r>
      <w:r w:rsidRPr="00E42511">
        <w:t>statement</w:t>
      </w:r>
    </w:p>
    <w:p w14:paraId="042B77C5" w14:textId="4D4EC46B" w:rsidR="002D5081" w:rsidRDefault="002D5081" w:rsidP="002D5081">
      <w:pPr>
        <w:pStyle w:val="EMLevel1Paragraph"/>
        <w:ind w:left="720" w:hanging="720"/>
      </w:pPr>
      <w:r>
        <w:t xml:space="preserve">The Minister for Employment, </w:t>
      </w:r>
      <w:proofErr w:type="spellStart"/>
      <w:r>
        <w:t>Alok</w:t>
      </w:r>
      <w:proofErr w:type="spellEnd"/>
      <w:r>
        <w:t xml:space="preserve"> Sharma</w:t>
      </w:r>
      <w:r w:rsidR="00CC3BB5">
        <w:t>,</w:t>
      </w:r>
      <w:r>
        <w:t xml:space="preserve"> has made the following statement regarding use of legislative powers in the European Union (Withdrawal) Act 2018:</w:t>
      </w:r>
    </w:p>
    <w:p w14:paraId="129E680F" w14:textId="2EC321ED" w:rsidR="002D5081" w:rsidRPr="00D73525" w:rsidRDefault="002D5081" w:rsidP="002D5081">
      <w:pPr>
        <w:pStyle w:val="EMParagraphContinuationUnnumbered"/>
      </w:pPr>
      <w:r>
        <w:t xml:space="preserve">“In </w:t>
      </w:r>
      <w:r w:rsidRPr="00A45437">
        <w:t xml:space="preserve">my view </w:t>
      </w:r>
      <w:r w:rsidR="00FF6AB3">
        <w:t>The Social Security Coordination (Regulation (EC) No. 883/2004) (Amendment) (EU Exit) Regulations 2018,</w:t>
      </w:r>
      <w:r w:rsidR="00FF6AB3" w:rsidRPr="00723857">
        <w:t xml:space="preserve"> </w:t>
      </w:r>
      <w:r w:rsidR="00FF6AB3">
        <w:t>The Social Security Coordination (Regulation (EC) No. 987/2009) (Amendment) (EU Exit) Regulations 2018, The Social Security Coordination (Regulation (E</w:t>
      </w:r>
      <w:r w:rsidR="00EC5664">
        <w:t>E</w:t>
      </w:r>
      <w:r w:rsidR="00FF6AB3">
        <w:t>C) No. 1408/71)</w:t>
      </w:r>
      <w:r w:rsidR="00EC5664">
        <w:t xml:space="preserve"> and Council Regulation (EC) No. 859/2003</w:t>
      </w:r>
      <w:r w:rsidR="00FF6AB3">
        <w:t xml:space="preserve"> (Amendment) (EU Exit) Regulations 2018, and The Social Security Coordination (Regulation (E</w:t>
      </w:r>
      <w:r w:rsidR="00EC5664">
        <w:t>E</w:t>
      </w:r>
      <w:r w:rsidR="00FF6AB3">
        <w:t>C) No. 574/72) (Amendment) (EU Exit) Regulations 2018</w:t>
      </w:r>
      <w:r w:rsidR="00FF6AB3" w:rsidRPr="0047510C">
        <w:t xml:space="preserve"> </w:t>
      </w:r>
      <w:r w:rsidR="00FF6AB3">
        <w:t>do</w:t>
      </w:r>
      <w:r>
        <w:t xml:space="preserve"> no more than is appropriate. This is the case because they do no more than prevent, repeal or mitigate deficiencies in otherwise retained EU law arising from the withdrawal of the UK from the EU”. </w:t>
      </w:r>
    </w:p>
    <w:p w14:paraId="620AB05C" w14:textId="77777777" w:rsidR="002D5081" w:rsidRDefault="002D5081" w:rsidP="002D5081">
      <w:pPr>
        <w:pStyle w:val="EMSectionTitle"/>
      </w:pPr>
      <w:r>
        <w:t>Good reasons</w:t>
      </w:r>
    </w:p>
    <w:p w14:paraId="4F1C9A01" w14:textId="61D229BD" w:rsidR="002D5081" w:rsidRDefault="002D5081" w:rsidP="002D5081">
      <w:pPr>
        <w:pStyle w:val="EMLevel1Paragraph"/>
        <w:ind w:left="720" w:hanging="720"/>
      </w:pPr>
      <w:r>
        <w:t xml:space="preserve">The Minister for Employment, </w:t>
      </w:r>
      <w:proofErr w:type="spellStart"/>
      <w:r>
        <w:t>Alok</w:t>
      </w:r>
      <w:proofErr w:type="spellEnd"/>
      <w:r>
        <w:t xml:space="preserve"> Sharma</w:t>
      </w:r>
      <w:r w:rsidR="00CC3BB5">
        <w:t>,</w:t>
      </w:r>
      <w:r>
        <w:t xml:space="preserve"> has made the following statement regarding use of legislative powers in the European Union (Withdrawal) Act 2018:</w:t>
      </w:r>
    </w:p>
    <w:p w14:paraId="174CF760" w14:textId="13953024" w:rsidR="002D5081" w:rsidRPr="00A252BD" w:rsidRDefault="002D5081" w:rsidP="002D5081">
      <w:pPr>
        <w:pStyle w:val="EMLevel1Paragraph"/>
        <w:ind w:left="720" w:hanging="720"/>
        <w:rPr>
          <w:rFonts w:cs="Times New Roman"/>
          <w:szCs w:val="24"/>
        </w:rPr>
      </w:pPr>
      <w:r w:rsidRPr="00A252BD">
        <w:rPr>
          <w:rFonts w:cs="Times New Roman"/>
          <w:szCs w:val="24"/>
          <w:lang w:eastAsia="en-GB"/>
        </w:rPr>
        <w:t>“In my view there are good re</w:t>
      </w:r>
      <w:r w:rsidR="00FF6AB3">
        <w:rPr>
          <w:rFonts w:cs="Times New Roman"/>
          <w:szCs w:val="24"/>
          <w:lang w:eastAsia="en-GB"/>
        </w:rPr>
        <w:t>asons for the provisions in these</w:t>
      </w:r>
      <w:r w:rsidRPr="00A252BD">
        <w:rPr>
          <w:rFonts w:cs="Times New Roman"/>
          <w:szCs w:val="24"/>
          <w:lang w:eastAsia="en-GB"/>
        </w:rPr>
        <w:t xml:space="preserve"> instrument</w:t>
      </w:r>
      <w:r w:rsidR="00FF6AB3">
        <w:rPr>
          <w:rFonts w:cs="Times New Roman"/>
          <w:szCs w:val="24"/>
          <w:lang w:eastAsia="en-GB"/>
        </w:rPr>
        <w:t>s</w:t>
      </w:r>
      <w:r w:rsidRPr="00A252BD">
        <w:rPr>
          <w:rFonts w:cs="Times New Roman"/>
          <w:szCs w:val="24"/>
          <w:lang w:eastAsia="en-GB"/>
        </w:rPr>
        <w:t xml:space="preserve">, and I have concluded they are a reasonable course of action. These reasons are </w:t>
      </w:r>
      <w:r w:rsidR="00EC5664">
        <w:rPr>
          <w:rFonts w:cs="Times New Roman"/>
          <w:szCs w:val="24"/>
          <w:lang w:eastAsia="en-GB"/>
        </w:rPr>
        <w:t>detailed in s</w:t>
      </w:r>
      <w:r>
        <w:rPr>
          <w:rFonts w:cs="Times New Roman"/>
          <w:szCs w:val="24"/>
          <w:lang w:eastAsia="en-GB"/>
        </w:rPr>
        <w:t>ection 7</w:t>
      </w:r>
      <w:r w:rsidRPr="00A252BD">
        <w:rPr>
          <w:rFonts w:cs="Times New Roman"/>
          <w:szCs w:val="24"/>
          <w:lang w:eastAsia="en-GB"/>
        </w:rPr>
        <w:t xml:space="preserve"> of this explanatory memorandum.”</w:t>
      </w:r>
    </w:p>
    <w:p w14:paraId="7EBADDA3" w14:textId="77777777" w:rsidR="002D5081" w:rsidRDefault="002D5081" w:rsidP="002D5081">
      <w:pPr>
        <w:pStyle w:val="EMSectionTitle"/>
      </w:pPr>
      <w:r>
        <w:t>Equalities</w:t>
      </w:r>
    </w:p>
    <w:p w14:paraId="61D5A628" w14:textId="569834F0" w:rsidR="002D5081" w:rsidRDefault="002D5081" w:rsidP="002D5081">
      <w:pPr>
        <w:pStyle w:val="EMLevel1Paragraph"/>
        <w:ind w:left="720" w:hanging="720"/>
      </w:pPr>
      <w:r>
        <w:t xml:space="preserve">The Minister for Employment, </w:t>
      </w:r>
      <w:proofErr w:type="spellStart"/>
      <w:r>
        <w:t>Alok</w:t>
      </w:r>
      <w:proofErr w:type="spellEnd"/>
      <w:r>
        <w:t xml:space="preserve"> Sharma</w:t>
      </w:r>
      <w:r w:rsidR="00CC3BB5">
        <w:t>,</w:t>
      </w:r>
      <w:r>
        <w:t xml:space="preserve"> has made the following statement(s):</w:t>
      </w:r>
      <w:r w:rsidRPr="00A252BD">
        <w:rPr>
          <w:rFonts w:cs="Times New Roman"/>
          <w:szCs w:val="24"/>
        </w:rPr>
        <w:t xml:space="preserve"> </w:t>
      </w:r>
      <w:r w:rsidRPr="00E52925">
        <w:rPr>
          <w:rFonts w:cs="Times New Roman"/>
          <w:szCs w:val="24"/>
        </w:rPr>
        <w:t>“The instrument</w:t>
      </w:r>
      <w:r w:rsidR="00FF6AB3">
        <w:rPr>
          <w:rFonts w:cs="Times New Roman"/>
          <w:szCs w:val="24"/>
        </w:rPr>
        <w:t>s do</w:t>
      </w:r>
      <w:r w:rsidRPr="00E52925">
        <w:rPr>
          <w:rFonts w:cs="Times New Roman"/>
          <w:szCs w:val="24"/>
        </w:rPr>
        <w:t xml:space="preserve"> not amend, repeal or revoke a provision or provisions in the Equality Act 2006 or the Equality Act 2010 or subordinate legislation made under those Acts”.</w:t>
      </w:r>
    </w:p>
    <w:p w14:paraId="5C5434C1" w14:textId="2833D001" w:rsidR="002D5081" w:rsidRDefault="002D5081" w:rsidP="002D5081">
      <w:pPr>
        <w:pStyle w:val="EMLevel1Paragraph"/>
        <w:ind w:left="720" w:hanging="720"/>
      </w:pPr>
      <w:r>
        <w:lastRenderedPageBreak/>
        <w:t xml:space="preserve">The Minister for Employment, </w:t>
      </w:r>
      <w:proofErr w:type="spellStart"/>
      <w:r>
        <w:t>Alok</w:t>
      </w:r>
      <w:proofErr w:type="spellEnd"/>
      <w:r>
        <w:t xml:space="preserve"> Sharma</w:t>
      </w:r>
      <w:r w:rsidR="00CC3BB5">
        <w:t>,</w:t>
      </w:r>
      <w:r>
        <w:t xml:space="preserve"> has made the following statement regarding use of legislative powers in the European Union (Withdrawal) Act 2018:</w:t>
      </w:r>
    </w:p>
    <w:p w14:paraId="2578C35B" w14:textId="66BF70A8" w:rsidR="002D5081" w:rsidRDefault="002D5081" w:rsidP="002D5081">
      <w:pPr>
        <w:pStyle w:val="EMLevel1Paragraph"/>
        <w:numPr>
          <w:ilvl w:val="0"/>
          <w:numId w:val="0"/>
        </w:numPr>
        <w:ind w:left="720"/>
      </w:pPr>
      <w:r>
        <w:t>“In relation to the</w:t>
      </w:r>
      <w:r w:rsidR="00FF6AB3">
        <w:t>se</w:t>
      </w:r>
      <w:r>
        <w:t xml:space="preserve"> instrument</w:t>
      </w:r>
      <w:r w:rsidR="00FF6AB3">
        <w:t>s</w:t>
      </w:r>
      <w:r>
        <w:t xml:space="preserve">, I, </w:t>
      </w:r>
      <w:proofErr w:type="spellStart"/>
      <w:r>
        <w:t>Alok</w:t>
      </w:r>
      <w:proofErr w:type="spellEnd"/>
      <w:r>
        <w:t xml:space="preserve"> Sharma</w:t>
      </w:r>
      <w:r w:rsidR="00CC3BB5">
        <w:t>,</w:t>
      </w:r>
      <w:r>
        <w:t xml:space="preserve"> have had due regard to the need to eliminate discrimination, harassment, victimisation and any other conduct that is prohibited by or under the Equality Act 2010.”</w:t>
      </w:r>
    </w:p>
    <w:p w14:paraId="24EB3B79" w14:textId="77777777" w:rsidR="002D5081" w:rsidRDefault="002D5081" w:rsidP="002D5081">
      <w:pPr>
        <w:pStyle w:val="EMSectionTitle"/>
      </w:pPr>
      <w:r>
        <w:t>Explanations</w:t>
      </w:r>
    </w:p>
    <w:p w14:paraId="556FDDDB" w14:textId="2ECD49CE" w:rsidR="00DA687D" w:rsidRPr="005E7B5C" w:rsidRDefault="002D5081" w:rsidP="002D5081">
      <w:pPr>
        <w:pStyle w:val="EMLevel1Paragraph"/>
        <w:ind w:left="720" w:hanging="720"/>
      </w:pPr>
      <w:r w:rsidRPr="009B62AE">
        <w:t>The</w:t>
      </w:r>
      <w:r>
        <w:t xml:space="preserve"> explanations s</w:t>
      </w:r>
      <w:r w:rsidRPr="009B62AE">
        <w:t xml:space="preserve">tatement has been made in </w:t>
      </w:r>
      <w:r>
        <w:t>section 2</w:t>
      </w:r>
      <w:r w:rsidRPr="009B62AE">
        <w:t xml:space="preserve"> of the main body of this explanatory memorandum.</w:t>
      </w:r>
    </w:p>
    <w:sectPr w:rsidR="00DA687D" w:rsidRPr="005E7B5C" w:rsidSect="00A870B5">
      <w:headerReference w:type="default" r:id="rId14"/>
      <w:footerReference w:type="even" r:id="rId15"/>
      <w:footerReference w:type="default" r:id="rId16"/>
      <w:pgSz w:w="11909" w:h="16834"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16C6C5" w15:done="0"/>
  <w15:commentEx w15:paraId="09867EC2" w15:done="0"/>
  <w15:commentEx w15:paraId="1FC18528" w15:paraIdParent="09867EC2" w15:done="0"/>
  <w15:commentEx w15:paraId="5B3E397A" w15:done="0"/>
  <w15:commentEx w15:paraId="209FB110" w15:paraIdParent="5B3E397A" w15:done="0"/>
  <w15:commentEx w15:paraId="4AA5399A" w15:done="0"/>
  <w15:commentEx w15:paraId="53BD6C6A" w15:paraIdParent="4AA539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496B5" w14:textId="77777777" w:rsidR="00CC3BB5" w:rsidRDefault="00CC3BB5">
      <w:r>
        <w:separator/>
      </w:r>
    </w:p>
  </w:endnote>
  <w:endnote w:type="continuationSeparator" w:id="0">
    <w:p w14:paraId="1306FF67" w14:textId="77777777" w:rsidR="00CC3BB5" w:rsidRDefault="00CC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0A0E" w14:textId="77777777" w:rsidR="00CC3BB5" w:rsidRDefault="00CC3BB5"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176CE" w14:textId="77777777" w:rsidR="00CC3BB5" w:rsidRDefault="00CC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2BE9" w14:textId="2AF186BD" w:rsidR="00CC3BB5" w:rsidRPr="009D4049" w:rsidRDefault="00CC3BB5" w:rsidP="00EF4806">
    <w:pPr>
      <w:pStyle w:val="Footer"/>
      <w:framePr w:wrap="around" w:vAnchor="text" w:hAnchor="margin" w:xAlign="center" w:y="1"/>
      <w:rPr>
        <w:rStyle w:val="PageNumber"/>
        <w:sz w:val="22"/>
        <w:szCs w:val="22"/>
      </w:rPr>
    </w:pPr>
    <w:r w:rsidRPr="009D4049">
      <w:rPr>
        <w:rStyle w:val="PageNumber"/>
        <w:sz w:val="22"/>
        <w:szCs w:val="22"/>
      </w:rPr>
      <w:fldChar w:fldCharType="begin"/>
    </w:r>
    <w:r w:rsidRPr="009D4049">
      <w:rPr>
        <w:rStyle w:val="PageNumber"/>
        <w:sz w:val="22"/>
        <w:szCs w:val="22"/>
      </w:rPr>
      <w:instrText xml:space="preserve">PAGE  </w:instrText>
    </w:r>
    <w:r w:rsidRPr="009D4049">
      <w:rPr>
        <w:rStyle w:val="PageNumber"/>
        <w:sz w:val="22"/>
        <w:szCs w:val="22"/>
      </w:rPr>
      <w:fldChar w:fldCharType="separate"/>
    </w:r>
    <w:r w:rsidR="00A92078">
      <w:rPr>
        <w:rStyle w:val="PageNumber"/>
        <w:noProof/>
        <w:sz w:val="22"/>
        <w:szCs w:val="22"/>
      </w:rPr>
      <w:t>9</w:t>
    </w:r>
    <w:r w:rsidRPr="009D4049">
      <w:rPr>
        <w:rStyle w:val="PageNumber"/>
        <w:sz w:val="22"/>
        <w:szCs w:val="22"/>
      </w:rPr>
      <w:fldChar w:fldCharType="end"/>
    </w:r>
  </w:p>
  <w:p w14:paraId="47CF5ACB" w14:textId="77777777" w:rsidR="00CC3BB5" w:rsidRDefault="00CC3BB5" w:rsidP="00BC2AB1">
    <w:pPr>
      <w:pStyle w:val="Footer"/>
      <w:jc w:val="center"/>
      <w:rPr>
        <w:sz w:val="16"/>
        <w:szCs w:val="16"/>
      </w:rPr>
    </w:pPr>
  </w:p>
  <w:p w14:paraId="78DAECB8" w14:textId="77777777" w:rsidR="00CC3BB5" w:rsidRPr="004673B7" w:rsidRDefault="00CC3BB5" w:rsidP="00BC2AB1">
    <w:pPr>
      <w:rPr>
        <w:rFonts w:ascii="Arial" w:hAnsi="Arial" w:cs="Arial"/>
        <w:sz w:val="14"/>
        <w:szCs w:val="14"/>
      </w:rPr>
    </w:pPr>
    <w:proofErr w:type="spellStart"/>
    <w:r>
      <w:rPr>
        <w:rFonts w:ascii="Arial" w:hAnsi="Arial" w:cs="Arial"/>
        <w:sz w:val="14"/>
        <w:szCs w:val="14"/>
      </w:rPr>
      <w:t>DExEU</w:t>
    </w:r>
    <w:proofErr w:type="spellEnd"/>
    <w:r>
      <w:rPr>
        <w:rFonts w:ascii="Arial" w:hAnsi="Arial" w:cs="Arial"/>
        <w:sz w:val="14"/>
        <w:szCs w:val="14"/>
      </w:rPr>
      <w:t>/EM/7-2018.2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0C7D7" w14:textId="77777777" w:rsidR="00CC3BB5" w:rsidRDefault="00CC3BB5">
      <w:r>
        <w:separator/>
      </w:r>
    </w:p>
  </w:footnote>
  <w:footnote w:type="continuationSeparator" w:id="0">
    <w:p w14:paraId="7ECD984A" w14:textId="77777777" w:rsidR="00CC3BB5" w:rsidRDefault="00CC3BB5">
      <w:r>
        <w:continuationSeparator/>
      </w:r>
    </w:p>
  </w:footnote>
  <w:footnote w:id="1">
    <w:p w14:paraId="1A05D143" w14:textId="77777777" w:rsidR="00CC3BB5" w:rsidRDefault="00CC3BB5" w:rsidP="005E2DE2">
      <w:pPr>
        <w:pStyle w:val="FootnoteText"/>
      </w:pPr>
      <w:r>
        <w:rPr>
          <w:rStyle w:val="FootnoteReference"/>
        </w:rPr>
        <w:footnoteRef/>
      </w:r>
      <w:r>
        <w:t xml:space="preserve"> </w:t>
      </w:r>
      <w:hyperlink r:id="rId1" w:history="1">
        <w:r w:rsidRPr="00C20D5B">
          <w:rPr>
            <w:rStyle w:val="Hyperlink"/>
          </w:rPr>
          <w:t>https://eur-lex.europa.eu/legal-content/EN/TXT/?uri=celex%3A32004R0883</w:t>
        </w:r>
      </w:hyperlink>
      <w:r>
        <w:t xml:space="preserve"> </w:t>
      </w:r>
    </w:p>
  </w:footnote>
  <w:footnote w:id="2">
    <w:p w14:paraId="06C6AF2E" w14:textId="559F5631" w:rsidR="00CC3BB5" w:rsidRDefault="00CC3BB5">
      <w:pPr>
        <w:pStyle w:val="FootnoteText"/>
      </w:pPr>
      <w:r>
        <w:rPr>
          <w:rStyle w:val="FootnoteReference"/>
        </w:rPr>
        <w:footnoteRef/>
      </w:r>
      <w:r>
        <w:t xml:space="preserve"> </w:t>
      </w:r>
      <w:hyperlink r:id="rId2" w:history="1">
        <w:r w:rsidRPr="00EC5B07">
          <w:rPr>
            <w:rStyle w:val="Hyperlink"/>
          </w:rPr>
          <w:t>https://publications.europa.eu/en/publication-detail/-/publication/1cb8bb8d-3370-4889-a03f-924da9af7318/language-en</w:t>
        </w:r>
      </w:hyperlink>
      <w:r>
        <w:t xml:space="preserve"> </w:t>
      </w:r>
    </w:p>
  </w:footnote>
  <w:footnote w:id="3">
    <w:p w14:paraId="56450DFD" w14:textId="77777777" w:rsidR="00CC3BB5" w:rsidRDefault="00CC3BB5" w:rsidP="005E2DE2">
      <w:pPr>
        <w:pStyle w:val="FootnoteText"/>
      </w:pPr>
      <w:r>
        <w:rPr>
          <w:rStyle w:val="FootnoteReference"/>
        </w:rPr>
        <w:footnoteRef/>
      </w:r>
      <w:r>
        <w:t xml:space="preserve"> </w:t>
      </w:r>
      <w:hyperlink r:id="rId3" w:history="1">
        <w:r w:rsidRPr="00C20D5B">
          <w:rPr>
            <w:rStyle w:val="Hyperlink"/>
          </w:rPr>
          <w:t>https://publications.europa.eu/en/publication-detail/-/publication/81312945-046b-4697-9712-905771f1bd77</w:t>
        </w:r>
      </w:hyperlink>
      <w:r>
        <w:t xml:space="preserve"> </w:t>
      </w:r>
    </w:p>
  </w:footnote>
  <w:footnote w:id="4">
    <w:p w14:paraId="192915C5" w14:textId="6A35DE2A" w:rsidR="00CC3BB5" w:rsidRDefault="00CC3BB5">
      <w:pPr>
        <w:pStyle w:val="FootnoteText"/>
      </w:pPr>
      <w:r>
        <w:rPr>
          <w:rStyle w:val="FootnoteReference"/>
        </w:rPr>
        <w:footnoteRef/>
      </w:r>
      <w:r>
        <w:t xml:space="preserve"> </w:t>
      </w:r>
      <w:hyperlink r:id="rId4" w:history="1">
        <w:r w:rsidRPr="00EC5B07">
          <w:rPr>
            <w:rStyle w:val="Hyperlink"/>
          </w:rPr>
          <w:t>https://publications.europa.eu/en/publication-detail/-/publication/bc43c0c2-fc26-44fc-8711-b7f66f24d554</w:t>
        </w:r>
      </w:hyperlink>
      <w:r>
        <w:t xml:space="preserve"> </w:t>
      </w:r>
    </w:p>
  </w:footnote>
  <w:footnote w:id="5">
    <w:p w14:paraId="5649CABE" w14:textId="5B69F6C5" w:rsidR="00CC3BB5" w:rsidRDefault="00CC3BB5">
      <w:pPr>
        <w:pStyle w:val="FootnoteText"/>
      </w:pPr>
      <w:r>
        <w:rPr>
          <w:rStyle w:val="FootnoteReference"/>
        </w:rPr>
        <w:footnoteRef/>
      </w:r>
      <w:r>
        <w:t xml:space="preserve"> </w:t>
      </w:r>
      <w:hyperlink r:id="rId5" w:history="1">
        <w:r w:rsidRPr="00EC5B07">
          <w:rPr>
            <w:rStyle w:val="Hyperlink"/>
          </w:rPr>
          <w:t>https://publications.europa.eu/en/publication-detail/-/publication/b9cb64f6-c17f-4ba2-ae42-5d127b148dcf/language-en</w:t>
        </w:r>
      </w:hyperlink>
      <w:r>
        <w:t xml:space="preserve"> </w:t>
      </w:r>
    </w:p>
  </w:footnote>
  <w:footnote w:id="6">
    <w:p w14:paraId="0785D3E0" w14:textId="064022C9" w:rsidR="00CC3BB5" w:rsidRDefault="00CC3BB5">
      <w:pPr>
        <w:pStyle w:val="FootnoteText"/>
      </w:pPr>
      <w:r>
        <w:rPr>
          <w:rStyle w:val="FootnoteReference"/>
        </w:rPr>
        <w:footnoteRef/>
      </w:r>
      <w:r>
        <w:t xml:space="preserve"> Legislation and welfare provisions relevant to these regulations vary by state – but can be found at: </w:t>
      </w:r>
      <w:hyperlink r:id="rId6" w:history="1">
        <w:r w:rsidRPr="00EC5B07">
          <w:rPr>
            <w:rStyle w:val="Hyperlink"/>
          </w:rPr>
          <w:t>https://ec.europa.eu/social/main.jsp?catId=868&amp;intPageId=2285&amp;langId=en</w:t>
        </w:r>
      </w:hyperlink>
      <w:r>
        <w:t xml:space="preserve"> </w:t>
      </w:r>
    </w:p>
  </w:footnote>
  <w:footnote w:id="7">
    <w:p w14:paraId="44BAB013" w14:textId="4C054007" w:rsidR="00CC3BB5" w:rsidRDefault="00CC3BB5">
      <w:pPr>
        <w:pStyle w:val="FootnoteText"/>
      </w:pPr>
      <w:r>
        <w:rPr>
          <w:rStyle w:val="FootnoteReference"/>
        </w:rPr>
        <w:footnoteRef/>
      </w:r>
      <w:r>
        <w:t xml:space="preserve"> Fixes for deficiencies related to healthcare are not provided for in these Statutory Instruments (and Explanatory Memorandum).</w:t>
      </w:r>
    </w:p>
  </w:footnote>
  <w:footnote w:id="8">
    <w:p w14:paraId="2AD44FAB" w14:textId="7E47AF3C" w:rsidR="00CC3BB5" w:rsidRDefault="00CC3BB5">
      <w:pPr>
        <w:pStyle w:val="FootnoteText"/>
      </w:pPr>
      <w:r>
        <w:rPr>
          <w:rStyle w:val="FootnoteReference"/>
        </w:rPr>
        <w:footnoteRef/>
      </w:r>
      <w:r>
        <w:t xml:space="preserve"> </w:t>
      </w:r>
      <w:hyperlink r:id="rId7" w:history="1">
        <w:r w:rsidRPr="00EC5B07">
          <w:rPr>
            <w:rStyle w:val="Hyperlink"/>
          </w:rPr>
          <w:t>http://www.efta.int/media/documents/legal-texts/eea/the-eea-agreement/Main%20Text%20of%20the%20Agreement/EEAagreement.pdf</w:t>
        </w:r>
      </w:hyperlink>
      <w:r>
        <w:t xml:space="preserve"> </w:t>
      </w:r>
    </w:p>
  </w:footnote>
  <w:footnote w:id="9">
    <w:p w14:paraId="2B16AEC7" w14:textId="178232B4" w:rsidR="00CC3BB5" w:rsidRDefault="00CC3BB5">
      <w:pPr>
        <w:pStyle w:val="FootnoteText"/>
      </w:pPr>
      <w:r>
        <w:rPr>
          <w:rStyle w:val="FootnoteReference"/>
        </w:rPr>
        <w:footnoteRef/>
      </w:r>
      <w:r>
        <w:t xml:space="preserve"> </w:t>
      </w:r>
      <w:hyperlink r:id="rId8" w:history="1">
        <w:r w:rsidRPr="00EC5B07">
          <w:rPr>
            <w:rStyle w:val="Hyperlink"/>
          </w:rPr>
          <w:t>https://eur-lex.europa.eu/legal-content/EN/TXT/?uri=CELEX%3A22002A0430%2801%29</w:t>
        </w:r>
      </w:hyperlink>
      <w:r>
        <w:t xml:space="preserve"> </w:t>
      </w:r>
    </w:p>
  </w:footnote>
  <w:footnote w:id="10">
    <w:p w14:paraId="225E0CED" w14:textId="4C6C1B56" w:rsidR="00CC3BB5" w:rsidRDefault="00CC3BB5" w:rsidP="009F270E">
      <w:pPr>
        <w:pStyle w:val="FootnoteText"/>
      </w:pPr>
      <w:r>
        <w:rPr>
          <w:rStyle w:val="FootnoteReference"/>
        </w:rPr>
        <w:footnoteRef/>
      </w:r>
      <w:r>
        <w:t xml:space="preserve"> </w:t>
      </w:r>
      <w:r w:rsidRPr="00DB691E">
        <w:t>The Adm</w:t>
      </w:r>
      <w:r>
        <w:t>inistrative Commission for the Coordination of S</w:t>
      </w:r>
      <w:r w:rsidRPr="00DB691E">
        <w:t xml:space="preserve">ocial </w:t>
      </w:r>
      <w:r>
        <w:t>S</w:t>
      </w:r>
      <w:r w:rsidRPr="00DB691E">
        <w:t xml:space="preserve">ecurity </w:t>
      </w:r>
      <w:r>
        <w:t>S</w:t>
      </w:r>
      <w:r w:rsidRPr="00DB691E">
        <w:t>ystems comprises a representative of the government of each EU country and a representative of the Commission</w:t>
      </w:r>
      <w:r>
        <w:t xml:space="preserve"> at official level</w:t>
      </w:r>
      <w:r w:rsidRPr="00DB691E">
        <w:t>. It is responsible for dealing with administrative matters, questions of interpretation arising from the provisions of regulations on social security coordination, and for promoting and developing collaboration between EU countries</w:t>
      </w:r>
      <w:r>
        <w:t xml:space="preserve">. Administrative Commission decisions, although generally adopted by MS, are not legally binding. </w:t>
      </w:r>
    </w:p>
  </w:footnote>
  <w:footnote w:id="11">
    <w:p w14:paraId="0D22930D" w14:textId="77777777" w:rsidR="00CC3BB5" w:rsidRDefault="00CC3BB5" w:rsidP="009F270E">
      <w:pPr>
        <w:pStyle w:val="FootnoteText"/>
      </w:pPr>
      <w:r>
        <w:rPr>
          <w:rStyle w:val="FootnoteReference"/>
        </w:rPr>
        <w:footnoteRef/>
      </w:r>
      <w:r>
        <w:t xml:space="preserve"> </w:t>
      </w:r>
      <w:r w:rsidRPr="00A00882">
        <w:t>The Audit Board is attached to the Administrative Commission and verifies methods, collects data, provides the AC with periodic accounts in relation to implementation particularly as regards the financial aspect, provides the data and reports necessary for decisions to be made, makes any relevant suggestions to the AC and carries out all work, studies or assignments on matters referred to it by the Administrative Commission.</w:t>
      </w:r>
    </w:p>
  </w:footnote>
  <w:footnote w:id="12">
    <w:p w14:paraId="027020FC" w14:textId="77777777" w:rsidR="00CC3BB5" w:rsidRDefault="00CC3BB5" w:rsidP="009F270E">
      <w:pPr>
        <w:pStyle w:val="FootnoteText"/>
      </w:pPr>
      <w:r>
        <w:rPr>
          <w:rStyle w:val="FootnoteReference"/>
        </w:rPr>
        <w:footnoteRef/>
      </w:r>
      <w:r>
        <w:t xml:space="preserve"> </w:t>
      </w:r>
      <w:r w:rsidRPr="00A00882">
        <w:t>The Advisory Committee for the Coordination of Social Security Systems comprises one government representative, one trade union representative and one representative from the employers’ organisations. The Advisory committee can examine general questions or questions of principle and problems arising from the implementation of the Community provisions on the coordination of social security systems and formulate opinions on such matters for the Administrative Commission and proposals for any revisions of the said provisions.</w:t>
      </w:r>
    </w:p>
  </w:footnote>
  <w:footnote w:id="13">
    <w:p w14:paraId="22AE0D0F" w14:textId="77777777" w:rsidR="00CC3BB5" w:rsidRDefault="00CC3BB5" w:rsidP="009F270E">
      <w:pPr>
        <w:pStyle w:val="FootnoteText"/>
      </w:pPr>
      <w:r>
        <w:rPr>
          <w:rStyle w:val="FootnoteReference"/>
        </w:rPr>
        <w:footnoteRef/>
      </w:r>
      <w:r>
        <w:t xml:space="preserve"> </w:t>
      </w:r>
      <w:r w:rsidRPr="008961A2">
        <w:t>The Technical Commission for Data Processing is attached to the Administrative Commission and proposes to it common architecture rules for the operation of data- processing services, in particular on security and the use of standards; and delivers reports and a reasoned opinion before decisions are taken by the Administrative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6F87" w14:textId="77777777" w:rsidR="00CC3BB5" w:rsidRDefault="00CC3BB5" w:rsidP="00E64B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E8A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9542F9"/>
    <w:multiLevelType w:val="multilevel"/>
    <w:tmpl w:val="038ED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118C2"/>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E54F45"/>
    <w:multiLevelType w:val="multilevel"/>
    <w:tmpl w:val="AB66D834"/>
    <w:lvl w:ilvl="0">
      <w:start w:val="4"/>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96C02"/>
    <w:multiLevelType w:val="multilevel"/>
    <w:tmpl w:val="B2CCE2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707D85"/>
    <w:multiLevelType w:val="multilevel"/>
    <w:tmpl w:val="651A2A78"/>
    <w:lvl w:ilvl="0">
      <w:start w:val="1"/>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8">
    <w:nsid w:val="24533201"/>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DB1D0C"/>
    <w:multiLevelType w:val="multilevel"/>
    <w:tmpl w:val="3E861404"/>
    <w:lvl w:ilvl="0">
      <w:start w:val="7"/>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10">
    <w:nsid w:val="312210F1"/>
    <w:multiLevelType w:val="hybridMultilevel"/>
    <w:tmpl w:val="2EDACC18"/>
    <w:lvl w:ilvl="0" w:tplc="ECF03C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C30F3A"/>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462304"/>
    <w:multiLevelType w:val="multilevel"/>
    <w:tmpl w:val="C4E88664"/>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08B361D"/>
    <w:multiLevelType w:val="hybridMultilevel"/>
    <w:tmpl w:val="7170490E"/>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4">
    <w:nsid w:val="5F8A7D79"/>
    <w:multiLevelType w:val="multilevel"/>
    <w:tmpl w:val="A39AC6C0"/>
    <w:lvl w:ilvl="0">
      <w:start w:val="5"/>
      <w:numFmt w:val="decimal"/>
      <w:lvlText w:val="%1."/>
      <w:lvlJc w:val="right"/>
      <w:pPr>
        <w:ind w:left="432" w:hanging="432"/>
      </w:pPr>
      <w:rPr>
        <w:rFonts w:ascii="Times New Roman" w:eastAsia="Times New Roman" w:hAnsi="Times New Roman" w:cs="Times New Roman"/>
        <w:b/>
        <w:i w:val="0"/>
        <w:color w:val="000000"/>
        <w:u w:val="none"/>
      </w:rPr>
    </w:lvl>
    <w:lvl w:ilvl="1">
      <w:start w:val="1"/>
      <w:numFmt w:val="decimal"/>
      <w:lvlText w:val="%1.%2."/>
      <w:lvlJc w:val="right"/>
      <w:pPr>
        <w:ind w:left="696" w:hanging="576"/>
      </w:pPr>
      <w:rPr>
        <w:rFonts w:ascii="Times New Roman" w:eastAsia="Times New Roman" w:hAnsi="Times New Roman" w:cs="Times New Roman"/>
        <w:b w:val="0"/>
        <w:i w:val="0"/>
        <w:color w:val="000000"/>
        <w:u w:val="none"/>
      </w:rPr>
    </w:lvl>
    <w:lvl w:ilvl="2">
      <w:start w:val="1"/>
      <w:numFmt w:val="decimal"/>
      <w:lvlText w:val="%1.%2.%3."/>
      <w:lvlJc w:val="right"/>
      <w:pPr>
        <w:ind w:left="720" w:hanging="720"/>
      </w:pPr>
      <w:rPr>
        <w:u w:val="none"/>
      </w:rPr>
    </w:lvl>
    <w:lvl w:ilvl="3">
      <w:start w:val="1"/>
      <w:numFmt w:val="decimal"/>
      <w:lvlText w:val="%1.%2.%3.%4."/>
      <w:lvlJc w:val="right"/>
      <w:pPr>
        <w:ind w:left="864" w:hanging="864"/>
      </w:pPr>
      <w:rPr>
        <w:u w:val="none"/>
      </w:rPr>
    </w:lvl>
    <w:lvl w:ilvl="4">
      <w:start w:val="1"/>
      <w:numFmt w:val="decimal"/>
      <w:lvlText w:val="%1.%2.%3.%4.%5."/>
      <w:lvlJc w:val="right"/>
      <w:pPr>
        <w:ind w:left="1008" w:hanging="1008"/>
      </w:pPr>
      <w:rPr>
        <w:u w:val="none"/>
      </w:rPr>
    </w:lvl>
    <w:lvl w:ilvl="5">
      <w:start w:val="1"/>
      <w:numFmt w:val="decimal"/>
      <w:lvlText w:val="%1.%2.%3.%4.%5.%6."/>
      <w:lvlJc w:val="right"/>
      <w:pPr>
        <w:ind w:left="1152" w:hanging="1152"/>
      </w:pPr>
      <w:rPr>
        <w:u w:val="none"/>
      </w:rPr>
    </w:lvl>
    <w:lvl w:ilvl="6">
      <w:start w:val="1"/>
      <w:numFmt w:val="decimal"/>
      <w:lvlText w:val="%1.%2.%3.%4.%5.%6.%7."/>
      <w:lvlJc w:val="right"/>
      <w:pPr>
        <w:ind w:left="1296" w:hanging="1296"/>
      </w:pPr>
      <w:rPr>
        <w:u w:val="none"/>
      </w:rPr>
    </w:lvl>
    <w:lvl w:ilvl="7">
      <w:start w:val="1"/>
      <w:numFmt w:val="decimal"/>
      <w:lvlText w:val="%1.%2.%3.%4.%5.%6.%7.%8."/>
      <w:lvlJc w:val="right"/>
      <w:pPr>
        <w:ind w:left="1440" w:hanging="1440"/>
      </w:pPr>
      <w:rPr>
        <w:u w:val="none"/>
      </w:rPr>
    </w:lvl>
    <w:lvl w:ilvl="8">
      <w:start w:val="1"/>
      <w:numFmt w:val="decimal"/>
      <w:lvlText w:val="%1.%2.%3.%4.%5.%6.%7.%8.%9."/>
      <w:lvlJc w:val="right"/>
      <w:pPr>
        <w:ind w:left="1584" w:hanging="1584"/>
      </w:pPr>
      <w:rPr>
        <w:u w:val="none"/>
      </w:rPr>
    </w:lvl>
  </w:abstractNum>
  <w:abstractNum w:abstractNumId="15">
    <w:nsid w:val="620512C3"/>
    <w:multiLevelType w:val="multilevel"/>
    <w:tmpl w:val="07268FB0"/>
    <w:lvl w:ilvl="0">
      <w:start w:val="6"/>
      <w:numFmt w:val="decimal"/>
      <w:lvlText w:val="%1."/>
      <w:lvlJc w:val="left"/>
      <w:pPr>
        <w:ind w:left="360" w:hanging="360"/>
      </w:p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8F2A25"/>
    <w:multiLevelType w:val="multilevel"/>
    <w:tmpl w:val="DECCB1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585751"/>
    <w:multiLevelType w:val="multilevel"/>
    <w:tmpl w:val="1518BC6A"/>
    <w:lvl w:ilvl="0">
      <w:start w:val="1"/>
      <w:numFmt w:val="decimal"/>
      <w:lvlText w:val="%1."/>
      <w:lvlJc w:val="left"/>
      <w:pPr>
        <w:tabs>
          <w:tab w:val="num" w:pos="432"/>
        </w:tabs>
        <w:ind w:left="432" w:hanging="432"/>
      </w:pPr>
      <w:rPr>
        <w:rFonts w:hint="default"/>
      </w:rPr>
    </w:lvl>
    <w:lvl w:ilvl="1">
      <w:start w:val="1"/>
      <w:numFmt w:val="bullet"/>
      <w:lvlText w:val="o"/>
      <w:lvlJc w:val="left"/>
      <w:pPr>
        <w:tabs>
          <w:tab w:val="num" w:pos="216"/>
        </w:tabs>
        <w:ind w:left="216" w:hanging="216"/>
      </w:pPr>
      <w:rPr>
        <w:rFonts w:ascii="Courier New" w:hAnsi="Courier New"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9B44364"/>
    <w:multiLevelType w:val="hybridMultilevel"/>
    <w:tmpl w:val="F4C24E30"/>
    <w:lvl w:ilvl="0" w:tplc="0F800C10">
      <w:start w:val="1"/>
      <w:numFmt w:val="decimal"/>
      <w:lvlText w:val="x.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BC6092"/>
    <w:multiLevelType w:val="multilevel"/>
    <w:tmpl w:val="13D06D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nsid w:val="7D6E40B0"/>
    <w:multiLevelType w:val="hybridMultilevel"/>
    <w:tmpl w:val="5380A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C11DF4"/>
    <w:multiLevelType w:val="multilevel"/>
    <w:tmpl w:val="F42E239E"/>
    <w:lvl w:ilvl="0">
      <w:start w:val="1"/>
      <w:numFmt w:val="decimal"/>
      <w:lvlText w:val="[x]%1."/>
      <w:lvlJc w:val="right"/>
      <w:pPr>
        <w:ind w:left="720" w:hanging="360"/>
      </w:pPr>
      <w:rPr>
        <w:rFonts w:ascii="Times New Roman" w:eastAsia="Times New Roman" w:hAnsi="Times New Roman" w:cs="Times New Roman"/>
        <w:b/>
        <w:sz w:val="24"/>
        <w:szCs w:val="24"/>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nsid w:val="7FD60AD9"/>
    <w:multiLevelType w:val="hybridMultilevel"/>
    <w:tmpl w:val="BD1A04F2"/>
    <w:lvl w:ilvl="0" w:tplc="BB567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3"/>
  </w:num>
  <w:num w:numId="4">
    <w:abstractNumId w:val="6"/>
  </w:num>
  <w:num w:numId="5">
    <w:abstractNumId w:val="16"/>
  </w:num>
  <w:num w:numId="6">
    <w:abstractNumId w:val="1"/>
  </w:num>
  <w:num w:numId="7">
    <w:abstractNumId w:val="17"/>
  </w:num>
  <w:num w:numId="8">
    <w:abstractNumId w:val="1"/>
  </w:num>
  <w:num w:numId="9">
    <w:abstractNumId w:val="4"/>
  </w:num>
  <w:num w:numId="10">
    <w:abstractNumId w:val="11"/>
  </w:num>
  <w:num w:numId="11">
    <w:abstractNumId w:val="8"/>
  </w:num>
  <w:num w:numId="12">
    <w:abstractNumId w:val="22"/>
  </w:num>
  <w:num w:numId="13">
    <w:abstractNumId w:val="21"/>
  </w:num>
  <w:num w:numId="14">
    <w:abstractNumId w:val="14"/>
  </w:num>
  <w:num w:numId="15">
    <w:abstractNumId w:val="5"/>
  </w:num>
  <w:num w:numId="16">
    <w:abstractNumId w:val="15"/>
  </w:num>
  <w:num w:numId="17">
    <w:abstractNumId w:val="19"/>
  </w:num>
  <w:num w:numId="18">
    <w:abstractNumId w:val="9"/>
  </w:num>
  <w:num w:numId="19">
    <w:abstractNumId w:val="7"/>
  </w:num>
  <w:num w:numId="2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12"/>
  </w:num>
  <w:num w:numId="33">
    <w:abstractNumId w:val="12"/>
  </w:num>
  <w:num w:numId="34">
    <w:abstractNumId w:val="20"/>
  </w:num>
  <w:num w:numId="35">
    <w:abstractNumId w:val="12"/>
  </w:num>
  <w:num w:numId="36">
    <w:abstractNumId w:val="12"/>
  </w:num>
  <w:num w:numId="37">
    <w:abstractNumId w:val="12"/>
  </w:num>
  <w:num w:numId="38">
    <w:abstractNumId w:val="12"/>
  </w:num>
  <w:num w:numId="39">
    <w:abstractNumId w:val="10"/>
  </w:num>
  <w:num w:numId="40">
    <w:abstractNumId w:val="12"/>
  </w:num>
  <w:num w:numId="41">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an-Bacchus Paris STRATEGY INTERNATIONAL">
    <w15:presenceInfo w15:providerId="AD" w15:userId="S-1-5-21-1547161642-1757981266-682003330-2218784"/>
  </w15:person>
  <w15:person w15:author="Powick Anna LEGAL GROUP CAXTON HOUSE">
    <w15:presenceInfo w15:providerId="AD" w15:userId="S-1-5-21-1547161642-1757981266-682003330-2379965"/>
  </w15:person>
  <w15:person w15:author="Meikle, Lynn (CS&amp;TD Individuals Policy, EU Exit)">
    <w15:presenceInfo w15:providerId="AD" w15:userId="S-1-5-21-2716677057-2768811587-3286137756-472254"/>
  </w15:person>
  <w15:person w15:author="Baumgart Sophie STRATEGY INTERNATIONAL">
    <w15:presenceInfo w15:providerId="None" w15:userId="Baumgart Sophie STRATEGY INTERNATIONAL"/>
  </w15:person>
  <w15:person w15:author="Kerai Dipti DWP MINISTERS GOVERNANCE &amp; STRATEGY">
    <w15:presenceInfo w15:providerId="AD" w15:userId="S-1-5-21-1547161642-1757981266-682003330-1510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0B"/>
    <w:rsid w:val="00014967"/>
    <w:rsid w:val="00017885"/>
    <w:rsid w:val="00027AB2"/>
    <w:rsid w:val="00031B3F"/>
    <w:rsid w:val="000329C1"/>
    <w:rsid w:val="00040E7F"/>
    <w:rsid w:val="000432C9"/>
    <w:rsid w:val="00070B17"/>
    <w:rsid w:val="00072082"/>
    <w:rsid w:val="00072E49"/>
    <w:rsid w:val="00073874"/>
    <w:rsid w:val="00091FCF"/>
    <w:rsid w:val="0009226B"/>
    <w:rsid w:val="0009269E"/>
    <w:rsid w:val="000976C3"/>
    <w:rsid w:val="000A3F8E"/>
    <w:rsid w:val="000A7F37"/>
    <w:rsid w:val="000B2422"/>
    <w:rsid w:val="000B330C"/>
    <w:rsid w:val="000C044B"/>
    <w:rsid w:val="000C7B96"/>
    <w:rsid w:val="000D0AD9"/>
    <w:rsid w:val="000D7172"/>
    <w:rsid w:val="000F41F6"/>
    <w:rsid w:val="00100688"/>
    <w:rsid w:val="00115B08"/>
    <w:rsid w:val="00125932"/>
    <w:rsid w:val="00131403"/>
    <w:rsid w:val="001330BD"/>
    <w:rsid w:val="001352F6"/>
    <w:rsid w:val="00152590"/>
    <w:rsid w:val="001534B4"/>
    <w:rsid w:val="0016140A"/>
    <w:rsid w:val="0016241F"/>
    <w:rsid w:val="0016774A"/>
    <w:rsid w:val="00174260"/>
    <w:rsid w:val="001B0158"/>
    <w:rsid w:val="001C1BFF"/>
    <w:rsid w:val="001C2D21"/>
    <w:rsid w:val="001C2FBD"/>
    <w:rsid w:val="001C5732"/>
    <w:rsid w:val="001D4E11"/>
    <w:rsid w:val="001E3F30"/>
    <w:rsid w:val="001F3E0B"/>
    <w:rsid w:val="001F7152"/>
    <w:rsid w:val="00221B9A"/>
    <w:rsid w:val="0024171E"/>
    <w:rsid w:val="00256F69"/>
    <w:rsid w:val="00273C18"/>
    <w:rsid w:val="002C5B0A"/>
    <w:rsid w:val="002D0514"/>
    <w:rsid w:val="002D5081"/>
    <w:rsid w:val="002E0D9F"/>
    <w:rsid w:val="002E4562"/>
    <w:rsid w:val="002F3881"/>
    <w:rsid w:val="002F59C5"/>
    <w:rsid w:val="003234A6"/>
    <w:rsid w:val="003239FA"/>
    <w:rsid w:val="00325AD0"/>
    <w:rsid w:val="003273B0"/>
    <w:rsid w:val="00330548"/>
    <w:rsid w:val="00331E1F"/>
    <w:rsid w:val="00337878"/>
    <w:rsid w:val="003401A4"/>
    <w:rsid w:val="00345934"/>
    <w:rsid w:val="00350FB1"/>
    <w:rsid w:val="00373B11"/>
    <w:rsid w:val="003A5FFB"/>
    <w:rsid w:val="003A62B8"/>
    <w:rsid w:val="003A7F1C"/>
    <w:rsid w:val="003B32E0"/>
    <w:rsid w:val="003D01DC"/>
    <w:rsid w:val="003D51B8"/>
    <w:rsid w:val="003D7744"/>
    <w:rsid w:val="00410890"/>
    <w:rsid w:val="00427435"/>
    <w:rsid w:val="00430233"/>
    <w:rsid w:val="00430459"/>
    <w:rsid w:val="0043141F"/>
    <w:rsid w:val="004450D9"/>
    <w:rsid w:val="004506A1"/>
    <w:rsid w:val="004673B7"/>
    <w:rsid w:val="00473047"/>
    <w:rsid w:val="0047510C"/>
    <w:rsid w:val="004900F5"/>
    <w:rsid w:val="004951F6"/>
    <w:rsid w:val="004955CF"/>
    <w:rsid w:val="004A5F08"/>
    <w:rsid w:val="004B1D7C"/>
    <w:rsid w:val="004C3435"/>
    <w:rsid w:val="004E2D50"/>
    <w:rsid w:val="004E5126"/>
    <w:rsid w:val="004F473C"/>
    <w:rsid w:val="004F584A"/>
    <w:rsid w:val="00512EA9"/>
    <w:rsid w:val="005130B2"/>
    <w:rsid w:val="00513CA1"/>
    <w:rsid w:val="005460B8"/>
    <w:rsid w:val="00547C2F"/>
    <w:rsid w:val="00547D12"/>
    <w:rsid w:val="00560F32"/>
    <w:rsid w:val="00561D72"/>
    <w:rsid w:val="00562610"/>
    <w:rsid w:val="005835D7"/>
    <w:rsid w:val="0058382B"/>
    <w:rsid w:val="005931BB"/>
    <w:rsid w:val="005936D7"/>
    <w:rsid w:val="00593F74"/>
    <w:rsid w:val="0059700A"/>
    <w:rsid w:val="005A56D9"/>
    <w:rsid w:val="005B2719"/>
    <w:rsid w:val="005B74A7"/>
    <w:rsid w:val="005C4B66"/>
    <w:rsid w:val="005D3E5C"/>
    <w:rsid w:val="005E280F"/>
    <w:rsid w:val="005E2DE2"/>
    <w:rsid w:val="005E6C3F"/>
    <w:rsid w:val="005E7B5C"/>
    <w:rsid w:val="00611396"/>
    <w:rsid w:val="00614755"/>
    <w:rsid w:val="00621F47"/>
    <w:rsid w:val="006378AF"/>
    <w:rsid w:val="0065223C"/>
    <w:rsid w:val="00671B54"/>
    <w:rsid w:val="00697DE5"/>
    <w:rsid w:val="006B2E4F"/>
    <w:rsid w:val="006C599B"/>
    <w:rsid w:val="006C6685"/>
    <w:rsid w:val="006D0737"/>
    <w:rsid w:val="006D1798"/>
    <w:rsid w:val="006D556E"/>
    <w:rsid w:val="006D58F5"/>
    <w:rsid w:val="006D7EC3"/>
    <w:rsid w:val="006E6B83"/>
    <w:rsid w:val="006F30BF"/>
    <w:rsid w:val="006F76E7"/>
    <w:rsid w:val="007012B8"/>
    <w:rsid w:val="00701AA4"/>
    <w:rsid w:val="00707177"/>
    <w:rsid w:val="00712E19"/>
    <w:rsid w:val="00723857"/>
    <w:rsid w:val="007376FF"/>
    <w:rsid w:val="00743BA7"/>
    <w:rsid w:val="0075368E"/>
    <w:rsid w:val="00762F9B"/>
    <w:rsid w:val="0076497F"/>
    <w:rsid w:val="0076508A"/>
    <w:rsid w:val="00767AB5"/>
    <w:rsid w:val="00774D18"/>
    <w:rsid w:val="007903A2"/>
    <w:rsid w:val="007917DF"/>
    <w:rsid w:val="007A77BF"/>
    <w:rsid w:val="007B1399"/>
    <w:rsid w:val="007B4276"/>
    <w:rsid w:val="007C122A"/>
    <w:rsid w:val="007C5BB6"/>
    <w:rsid w:val="007E08E3"/>
    <w:rsid w:val="007E5173"/>
    <w:rsid w:val="007E732D"/>
    <w:rsid w:val="007E7EB6"/>
    <w:rsid w:val="008060DC"/>
    <w:rsid w:val="008064EF"/>
    <w:rsid w:val="00810AF7"/>
    <w:rsid w:val="00812201"/>
    <w:rsid w:val="00821D14"/>
    <w:rsid w:val="00827373"/>
    <w:rsid w:val="00835011"/>
    <w:rsid w:val="00860AAB"/>
    <w:rsid w:val="0086605C"/>
    <w:rsid w:val="008676E5"/>
    <w:rsid w:val="008737C8"/>
    <w:rsid w:val="008822C3"/>
    <w:rsid w:val="00886E5D"/>
    <w:rsid w:val="00890481"/>
    <w:rsid w:val="00890E9E"/>
    <w:rsid w:val="00897C18"/>
    <w:rsid w:val="008B1FED"/>
    <w:rsid w:val="008C00BE"/>
    <w:rsid w:val="009015E8"/>
    <w:rsid w:val="00907F06"/>
    <w:rsid w:val="00915982"/>
    <w:rsid w:val="0092164B"/>
    <w:rsid w:val="00922F39"/>
    <w:rsid w:val="0092528C"/>
    <w:rsid w:val="00936D55"/>
    <w:rsid w:val="00963DC7"/>
    <w:rsid w:val="00965749"/>
    <w:rsid w:val="00991D04"/>
    <w:rsid w:val="009A4AD9"/>
    <w:rsid w:val="009A5F43"/>
    <w:rsid w:val="009B0E6F"/>
    <w:rsid w:val="009B7610"/>
    <w:rsid w:val="009C1783"/>
    <w:rsid w:val="009D4049"/>
    <w:rsid w:val="009F270E"/>
    <w:rsid w:val="009F6373"/>
    <w:rsid w:val="00A00C9C"/>
    <w:rsid w:val="00A1671A"/>
    <w:rsid w:val="00A20911"/>
    <w:rsid w:val="00A229C0"/>
    <w:rsid w:val="00A2594F"/>
    <w:rsid w:val="00A2658B"/>
    <w:rsid w:val="00A4503A"/>
    <w:rsid w:val="00A45087"/>
    <w:rsid w:val="00A4532E"/>
    <w:rsid w:val="00A534D5"/>
    <w:rsid w:val="00A55C5C"/>
    <w:rsid w:val="00A8389F"/>
    <w:rsid w:val="00A870B5"/>
    <w:rsid w:val="00A92078"/>
    <w:rsid w:val="00AA3026"/>
    <w:rsid w:val="00AD5756"/>
    <w:rsid w:val="00AE116E"/>
    <w:rsid w:val="00AE2D3B"/>
    <w:rsid w:val="00B02906"/>
    <w:rsid w:val="00B02F61"/>
    <w:rsid w:val="00B11161"/>
    <w:rsid w:val="00B22BFB"/>
    <w:rsid w:val="00B23715"/>
    <w:rsid w:val="00B33C3C"/>
    <w:rsid w:val="00B8343C"/>
    <w:rsid w:val="00BB491F"/>
    <w:rsid w:val="00BB6EB7"/>
    <w:rsid w:val="00BC2AB1"/>
    <w:rsid w:val="00BD30B8"/>
    <w:rsid w:val="00BE175A"/>
    <w:rsid w:val="00BE61FA"/>
    <w:rsid w:val="00BF2CFA"/>
    <w:rsid w:val="00C07612"/>
    <w:rsid w:val="00C443A6"/>
    <w:rsid w:val="00C527DB"/>
    <w:rsid w:val="00C73855"/>
    <w:rsid w:val="00C827B1"/>
    <w:rsid w:val="00C92DAD"/>
    <w:rsid w:val="00CA1A6F"/>
    <w:rsid w:val="00CC3BB5"/>
    <w:rsid w:val="00CD4FDB"/>
    <w:rsid w:val="00CE3BAD"/>
    <w:rsid w:val="00CF2F01"/>
    <w:rsid w:val="00D11F94"/>
    <w:rsid w:val="00D1587B"/>
    <w:rsid w:val="00D35115"/>
    <w:rsid w:val="00D50769"/>
    <w:rsid w:val="00D73525"/>
    <w:rsid w:val="00D84B65"/>
    <w:rsid w:val="00D955CB"/>
    <w:rsid w:val="00DA0A7F"/>
    <w:rsid w:val="00DA58AA"/>
    <w:rsid w:val="00DA6379"/>
    <w:rsid w:val="00DA687D"/>
    <w:rsid w:val="00DA7758"/>
    <w:rsid w:val="00DB0CAB"/>
    <w:rsid w:val="00DB4107"/>
    <w:rsid w:val="00DC27DD"/>
    <w:rsid w:val="00DD108B"/>
    <w:rsid w:val="00DD20E0"/>
    <w:rsid w:val="00DD2C27"/>
    <w:rsid w:val="00DE1F19"/>
    <w:rsid w:val="00DF2E1C"/>
    <w:rsid w:val="00E0307E"/>
    <w:rsid w:val="00E12174"/>
    <w:rsid w:val="00E216FF"/>
    <w:rsid w:val="00E315C4"/>
    <w:rsid w:val="00E3668D"/>
    <w:rsid w:val="00E42511"/>
    <w:rsid w:val="00E45912"/>
    <w:rsid w:val="00E474AF"/>
    <w:rsid w:val="00E53507"/>
    <w:rsid w:val="00E600A0"/>
    <w:rsid w:val="00E64BCB"/>
    <w:rsid w:val="00E7033E"/>
    <w:rsid w:val="00E7602B"/>
    <w:rsid w:val="00E83986"/>
    <w:rsid w:val="00EA1C7C"/>
    <w:rsid w:val="00EA2E39"/>
    <w:rsid w:val="00EA55B3"/>
    <w:rsid w:val="00EB15D8"/>
    <w:rsid w:val="00EB25C4"/>
    <w:rsid w:val="00EB5EAA"/>
    <w:rsid w:val="00EC3688"/>
    <w:rsid w:val="00EC5664"/>
    <w:rsid w:val="00ED5285"/>
    <w:rsid w:val="00ED73BC"/>
    <w:rsid w:val="00EE3EB8"/>
    <w:rsid w:val="00EF046A"/>
    <w:rsid w:val="00EF4806"/>
    <w:rsid w:val="00F11BAE"/>
    <w:rsid w:val="00F1230E"/>
    <w:rsid w:val="00F15391"/>
    <w:rsid w:val="00F23C0C"/>
    <w:rsid w:val="00F24582"/>
    <w:rsid w:val="00F312CA"/>
    <w:rsid w:val="00F42C3D"/>
    <w:rsid w:val="00F47E5E"/>
    <w:rsid w:val="00F57AC2"/>
    <w:rsid w:val="00F97428"/>
    <w:rsid w:val="00F97994"/>
    <w:rsid w:val="00FB4768"/>
    <w:rsid w:val="00FB6AAC"/>
    <w:rsid w:val="00FC0AA9"/>
    <w:rsid w:val="00FC4C4A"/>
    <w:rsid w:val="00FE3A0D"/>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FA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B4276"/>
    <w:rPr>
      <w:sz w:val="24"/>
      <w:szCs w:val="24"/>
      <w:lang w:eastAsia="en-US"/>
    </w:rPr>
  </w:style>
  <w:style w:type="paragraph" w:styleId="Heading1">
    <w:name w:val="heading 1"/>
    <w:basedOn w:val="Normal"/>
    <w:next w:val="Normal"/>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qFormat/>
    <w:rsid w:val="00835011"/>
    <w:pPr>
      <w:numPr>
        <w:ilvl w:val="4"/>
        <w:numId w:val="1"/>
      </w:numPr>
      <w:spacing w:before="240" w:after="60"/>
      <w:outlineLvl w:val="4"/>
    </w:pPr>
    <w:rPr>
      <w:b/>
      <w:bCs/>
      <w:i/>
      <w:iCs/>
      <w:sz w:val="26"/>
      <w:szCs w:val="26"/>
    </w:rPr>
  </w:style>
  <w:style w:type="paragraph" w:styleId="Heading6">
    <w:name w:val="heading 6"/>
    <w:basedOn w:val="Normal"/>
    <w:next w:val="Normal"/>
    <w:qFormat/>
    <w:rsid w:val="00835011"/>
    <w:pPr>
      <w:numPr>
        <w:ilvl w:val="5"/>
        <w:numId w:val="1"/>
      </w:numPr>
      <w:spacing w:before="240" w:after="60"/>
      <w:outlineLvl w:val="5"/>
    </w:pPr>
    <w:rPr>
      <w:b/>
      <w:bCs/>
      <w:sz w:val="22"/>
      <w:szCs w:val="22"/>
    </w:rPr>
  </w:style>
  <w:style w:type="paragraph" w:styleId="Heading7">
    <w:name w:val="heading 7"/>
    <w:basedOn w:val="Normal"/>
    <w:next w:val="Normal"/>
    <w:qFormat/>
    <w:rsid w:val="00835011"/>
    <w:pPr>
      <w:numPr>
        <w:ilvl w:val="6"/>
        <w:numId w:val="1"/>
      </w:numPr>
      <w:spacing w:before="240" w:after="60"/>
      <w:outlineLvl w:val="6"/>
    </w:pPr>
  </w:style>
  <w:style w:type="paragraph" w:styleId="Heading8">
    <w:name w:val="heading 8"/>
    <w:basedOn w:val="Normal"/>
    <w:next w:val="Normal"/>
    <w:qFormat/>
    <w:rsid w:val="00835011"/>
    <w:pPr>
      <w:numPr>
        <w:ilvl w:val="7"/>
        <w:numId w:val="1"/>
      </w:numPr>
      <w:spacing w:before="240" w:after="60"/>
      <w:outlineLvl w:val="7"/>
    </w:pPr>
    <w:rPr>
      <w:i/>
      <w:iCs/>
    </w:rPr>
  </w:style>
  <w:style w:type="paragraph" w:styleId="Heading9">
    <w:name w:val="heading 9"/>
    <w:basedOn w:val="Normal"/>
    <w:next w:val="Normal"/>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tabs>
        <w:tab w:val="clear" w:pos="432"/>
        <w:tab w:val="num" w:pos="709"/>
      </w:tabs>
      <w:spacing w:after="0"/>
      <w:ind w:left="709" w:hanging="709"/>
    </w:pPr>
    <w:rPr>
      <w:rFonts w:ascii="Times New Roman" w:hAnsi="Times New Roman"/>
      <w:sz w:val="24"/>
    </w:rPr>
  </w:style>
  <w:style w:type="paragraph" w:customStyle="1" w:styleId="EMLevel1Paragraph">
    <w:name w:val="EM Level 1 Paragraph"/>
    <w:basedOn w:val="Heading2"/>
    <w:qFormat/>
    <w:rsid w:val="00C92DAD"/>
    <w:pPr>
      <w:keepNext w:val="0"/>
      <w:spacing w:before="1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3"/>
      </w:numPr>
      <w:spacing w:before="60" w:after="60"/>
      <w:ind w:left="1440" w:hanging="533"/>
    </w:pPr>
  </w:style>
  <w:style w:type="paragraph" w:customStyle="1" w:styleId="EMLevel2Bullet">
    <w:name w:val="EM Level 2 Bullet"/>
    <w:basedOn w:val="Normal"/>
    <w:rsid w:val="00F97428"/>
    <w:pPr>
      <w:numPr>
        <w:ilvl w:val="1"/>
        <w:numId w:val="6"/>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064EF"/>
    <w:rPr>
      <w:rFonts w:ascii="Segoe UI" w:hAnsi="Segoe UI" w:cs="Segoe UI"/>
      <w:sz w:val="18"/>
      <w:szCs w:val="18"/>
    </w:rPr>
  </w:style>
  <w:style w:type="paragraph" w:customStyle="1" w:styleId="EMSub-sub-sectiontitle">
    <w:name w:val="EM Sub-sub-section title"/>
    <w:basedOn w:val="EMSub-sectiontitle"/>
    <w:qFormat/>
    <w:rsid w:val="007B4276"/>
    <w:rPr>
      <w:b w:val="0"/>
      <w:u w:val="single"/>
    </w:rPr>
  </w:style>
  <w:style w:type="character" w:customStyle="1" w:styleId="BalloonTextChar">
    <w:name w:val="Balloon Text Char"/>
    <w:link w:val="BalloonText"/>
    <w:semiHidden/>
    <w:rsid w:val="008064EF"/>
    <w:rPr>
      <w:rFonts w:ascii="Segoe UI" w:hAnsi="Segoe UI" w:cs="Segoe UI"/>
      <w:sz w:val="18"/>
      <w:szCs w:val="18"/>
      <w:lang w:eastAsia="en-US"/>
    </w:rPr>
  </w:style>
  <w:style w:type="paragraph" w:styleId="BodyTextIndent">
    <w:name w:val="Body Text Indent"/>
    <w:basedOn w:val="Normal"/>
    <w:link w:val="BodyTextIndentChar"/>
    <w:rsid w:val="00DE1F19"/>
    <w:pPr>
      <w:tabs>
        <w:tab w:val="num" w:pos="432"/>
      </w:tabs>
      <w:spacing w:after="120"/>
      <w:ind w:left="432" w:hanging="432"/>
    </w:pPr>
  </w:style>
  <w:style w:type="character" w:customStyle="1" w:styleId="BodyTextIndentChar">
    <w:name w:val="Body Text Indent Char"/>
    <w:basedOn w:val="DefaultParagraphFont"/>
    <w:link w:val="BodyTextIndent"/>
    <w:rsid w:val="00DE1F19"/>
    <w:rPr>
      <w:sz w:val="24"/>
      <w:szCs w:val="24"/>
      <w:lang w:eastAsia="en-US"/>
    </w:rPr>
  </w:style>
  <w:style w:type="character" w:styleId="Hyperlink">
    <w:name w:val="Hyperlink"/>
    <w:rsid w:val="00DE1F19"/>
    <w:rPr>
      <w:color w:val="0563C1"/>
      <w:u w:val="single"/>
    </w:rPr>
  </w:style>
  <w:style w:type="character" w:styleId="CommentReference">
    <w:name w:val="annotation reference"/>
    <w:basedOn w:val="DefaultParagraphFont"/>
    <w:uiPriority w:val="99"/>
    <w:semiHidden/>
    <w:unhideWhenUsed/>
    <w:rsid w:val="00C07612"/>
    <w:rPr>
      <w:sz w:val="16"/>
      <w:szCs w:val="16"/>
    </w:rPr>
  </w:style>
  <w:style w:type="paragraph" w:styleId="CommentText">
    <w:name w:val="annotation text"/>
    <w:basedOn w:val="Normal"/>
    <w:link w:val="CommentTextChar"/>
    <w:uiPriority w:val="99"/>
    <w:semiHidden/>
    <w:unhideWhenUsed/>
    <w:rsid w:val="00C07612"/>
    <w:rPr>
      <w:sz w:val="20"/>
      <w:szCs w:val="20"/>
    </w:rPr>
  </w:style>
  <w:style w:type="character" w:customStyle="1" w:styleId="CommentTextChar">
    <w:name w:val="Comment Text Char"/>
    <w:basedOn w:val="DefaultParagraphFont"/>
    <w:link w:val="CommentText"/>
    <w:uiPriority w:val="99"/>
    <w:semiHidden/>
    <w:rsid w:val="00C07612"/>
    <w:rPr>
      <w:lang w:eastAsia="en-US"/>
    </w:rPr>
  </w:style>
  <w:style w:type="paragraph" w:styleId="CommentSubject">
    <w:name w:val="annotation subject"/>
    <w:basedOn w:val="CommentText"/>
    <w:next w:val="CommentText"/>
    <w:link w:val="CommentSubjectChar"/>
    <w:semiHidden/>
    <w:unhideWhenUsed/>
    <w:rsid w:val="00C07612"/>
    <w:rPr>
      <w:b/>
      <w:bCs/>
    </w:rPr>
  </w:style>
  <w:style w:type="character" w:customStyle="1" w:styleId="CommentSubjectChar">
    <w:name w:val="Comment Subject Char"/>
    <w:basedOn w:val="CommentTextChar"/>
    <w:link w:val="CommentSubject"/>
    <w:semiHidden/>
    <w:rsid w:val="00C07612"/>
    <w:rPr>
      <w:b/>
      <w:bCs/>
      <w:lang w:eastAsia="en-US"/>
    </w:rPr>
  </w:style>
  <w:style w:type="paragraph" w:styleId="FootnoteText">
    <w:name w:val="footnote text"/>
    <w:basedOn w:val="Normal"/>
    <w:link w:val="FootnoteTextChar"/>
    <w:semiHidden/>
    <w:unhideWhenUsed/>
    <w:rsid w:val="00CE3BAD"/>
    <w:rPr>
      <w:rFonts w:ascii="Arial" w:eastAsiaTheme="minorHAnsi" w:hAnsi="Arial" w:cstheme="minorBidi"/>
      <w:sz w:val="20"/>
      <w:szCs w:val="20"/>
    </w:rPr>
  </w:style>
  <w:style w:type="character" w:customStyle="1" w:styleId="FootnoteTextChar">
    <w:name w:val="Footnote Text Char"/>
    <w:basedOn w:val="DefaultParagraphFont"/>
    <w:link w:val="FootnoteText"/>
    <w:semiHidden/>
    <w:rsid w:val="00CE3BAD"/>
    <w:rPr>
      <w:rFonts w:ascii="Arial" w:eastAsiaTheme="minorHAnsi" w:hAnsi="Arial" w:cstheme="minorBidi"/>
      <w:lang w:eastAsia="en-US"/>
    </w:rPr>
  </w:style>
  <w:style w:type="character" w:styleId="FootnoteReference">
    <w:name w:val="footnote reference"/>
    <w:basedOn w:val="DefaultParagraphFont"/>
    <w:semiHidden/>
    <w:unhideWhenUsed/>
    <w:rsid w:val="00CE3BAD"/>
    <w:rPr>
      <w:vertAlign w:val="superscript"/>
    </w:rPr>
  </w:style>
  <w:style w:type="paragraph" w:styleId="ListParagraph">
    <w:name w:val="List Paragraph"/>
    <w:basedOn w:val="Normal"/>
    <w:uiPriority w:val="34"/>
    <w:qFormat/>
    <w:rsid w:val="001C2FBD"/>
    <w:pPr>
      <w:ind w:left="720"/>
      <w:contextualSpacing/>
    </w:pPr>
    <w:rPr>
      <w:rFonts w:ascii="Arial" w:eastAsiaTheme="minorEastAsia" w:hAnsi="Arial" w:cstheme="minorBidi"/>
    </w:rPr>
  </w:style>
  <w:style w:type="character" w:customStyle="1" w:styleId="legaddition5">
    <w:name w:val="legaddition5"/>
    <w:basedOn w:val="DefaultParagraphFont"/>
    <w:rsid w:val="00EA1C7C"/>
  </w:style>
  <w:style w:type="character" w:styleId="FollowedHyperlink">
    <w:name w:val="FollowedHyperlink"/>
    <w:basedOn w:val="DefaultParagraphFont"/>
    <w:rsid w:val="005E2D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B4276"/>
    <w:rPr>
      <w:sz w:val="24"/>
      <w:szCs w:val="24"/>
      <w:lang w:eastAsia="en-US"/>
    </w:rPr>
  </w:style>
  <w:style w:type="paragraph" w:styleId="Heading1">
    <w:name w:val="heading 1"/>
    <w:basedOn w:val="Normal"/>
    <w:next w:val="Normal"/>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qFormat/>
    <w:rsid w:val="00835011"/>
    <w:pPr>
      <w:numPr>
        <w:ilvl w:val="4"/>
        <w:numId w:val="1"/>
      </w:numPr>
      <w:spacing w:before="240" w:after="60"/>
      <w:outlineLvl w:val="4"/>
    </w:pPr>
    <w:rPr>
      <w:b/>
      <w:bCs/>
      <w:i/>
      <w:iCs/>
      <w:sz w:val="26"/>
      <w:szCs w:val="26"/>
    </w:rPr>
  </w:style>
  <w:style w:type="paragraph" w:styleId="Heading6">
    <w:name w:val="heading 6"/>
    <w:basedOn w:val="Normal"/>
    <w:next w:val="Normal"/>
    <w:qFormat/>
    <w:rsid w:val="00835011"/>
    <w:pPr>
      <w:numPr>
        <w:ilvl w:val="5"/>
        <w:numId w:val="1"/>
      </w:numPr>
      <w:spacing w:before="240" w:after="60"/>
      <w:outlineLvl w:val="5"/>
    </w:pPr>
    <w:rPr>
      <w:b/>
      <w:bCs/>
      <w:sz w:val="22"/>
      <w:szCs w:val="22"/>
    </w:rPr>
  </w:style>
  <w:style w:type="paragraph" w:styleId="Heading7">
    <w:name w:val="heading 7"/>
    <w:basedOn w:val="Normal"/>
    <w:next w:val="Normal"/>
    <w:qFormat/>
    <w:rsid w:val="00835011"/>
    <w:pPr>
      <w:numPr>
        <w:ilvl w:val="6"/>
        <w:numId w:val="1"/>
      </w:numPr>
      <w:spacing w:before="240" w:after="60"/>
      <w:outlineLvl w:val="6"/>
    </w:pPr>
  </w:style>
  <w:style w:type="paragraph" w:styleId="Heading8">
    <w:name w:val="heading 8"/>
    <w:basedOn w:val="Normal"/>
    <w:next w:val="Normal"/>
    <w:qFormat/>
    <w:rsid w:val="00835011"/>
    <w:pPr>
      <w:numPr>
        <w:ilvl w:val="7"/>
        <w:numId w:val="1"/>
      </w:numPr>
      <w:spacing w:before="240" w:after="60"/>
      <w:outlineLvl w:val="7"/>
    </w:pPr>
    <w:rPr>
      <w:i/>
      <w:iCs/>
    </w:rPr>
  </w:style>
  <w:style w:type="paragraph" w:styleId="Heading9">
    <w:name w:val="heading 9"/>
    <w:basedOn w:val="Normal"/>
    <w:next w:val="Normal"/>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tabs>
        <w:tab w:val="clear" w:pos="432"/>
        <w:tab w:val="num" w:pos="709"/>
      </w:tabs>
      <w:spacing w:after="0"/>
      <w:ind w:left="709" w:hanging="709"/>
    </w:pPr>
    <w:rPr>
      <w:rFonts w:ascii="Times New Roman" w:hAnsi="Times New Roman"/>
      <w:sz w:val="24"/>
    </w:rPr>
  </w:style>
  <w:style w:type="paragraph" w:customStyle="1" w:styleId="EMLevel1Paragraph">
    <w:name w:val="EM Level 1 Paragraph"/>
    <w:basedOn w:val="Heading2"/>
    <w:qFormat/>
    <w:rsid w:val="00C92DAD"/>
    <w:pPr>
      <w:keepNext w:val="0"/>
      <w:spacing w:before="1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3"/>
      </w:numPr>
      <w:spacing w:before="60" w:after="60"/>
      <w:ind w:left="1440" w:hanging="533"/>
    </w:pPr>
  </w:style>
  <w:style w:type="paragraph" w:customStyle="1" w:styleId="EMLevel2Bullet">
    <w:name w:val="EM Level 2 Bullet"/>
    <w:basedOn w:val="Normal"/>
    <w:rsid w:val="00F97428"/>
    <w:pPr>
      <w:numPr>
        <w:ilvl w:val="1"/>
        <w:numId w:val="6"/>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064EF"/>
    <w:rPr>
      <w:rFonts w:ascii="Segoe UI" w:hAnsi="Segoe UI" w:cs="Segoe UI"/>
      <w:sz w:val="18"/>
      <w:szCs w:val="18"/>
    </w:rPr>
  </w:style>
  <w:style w:type="paragraph" w:customStyle="1" w:styleId="EMSub-sub-sectiontitle">
    <w:name w:val="EM Sub-sub-section title"/>
    <w:basedOn w:val="EMSub-sectiontitle"/>
    <w:qFormat/>
    <w:rsid w:val="007B4276"/>
    <w:rPr>
      <w:b w:val="0"/>
      <w:u w:val="single"/>
    </w:rPr>
  </w:style>
  <w:style w:type="character" w:customStyle="1" w:styleId="BalloonTextChar">
    <w:name w:val="Balloon Text Char"/>
    <w:link w:val="BalloonText"/>
    <w:semiHidden/>
    <w:rsid w:val="008064EF"/>
    <w:rPr>
      <w:rFonts w:ascii="Segoe UI" w:hAnsi="Segoe UI" w:cs="Segoe UI"/>
      <w:sz w:val="18"/>
      <w:szCs w:val="18"/>
      <w:lang w:eastAsia="en-US"/>
    </w:rPr>
  </w:style>
  <w:style w:type="paragraph" w:styleId="BodyTextIndent">
    <w:name w:val="Body Text Indent"/>
    <w:basedOn w:val="Normal"/>
    <w:link w:val="BodyTextIndentChar"/>
    <w:rsid w:val="00DE1F19"/>
    <w:pPr>
      <w:tabs>
        <w:tab w:val="num" w:pos="432"/>
      </w:tabs>
      <w:spacing w:after="120"/>
      <w:ind w:left="432" w:hanging="432"/>
    </w:pPr>
  </w:style>
  <w:style w:type="character" w:customStyle="1" w:styleId="BodyTextIndentChar">
    <w:name w:val="Body Text Indent Char"/>
    <w:basedOn w:val="DefaultParagraphFont"/>
    <w:link w:val="BodyTextIndent"/>
    <w:rsid w:val="00DE1F19"/>
    <w:rPr>
      <w:sz w:val="24"/>
      <w:szCs w:val="24"/>
      <w:lang w:eastAsia="en-US"/>
    </w:rPr>
  </w:style>
  <w:style w:type="character" w:styleId="Hyperlink">
    <w:name w:val="Hyperlink"/>
    <w:rsid w:val="00DE1F19"/>
    <w:rPr>
      <w:color w:val="0563C1"/>
      <w:u w:val="single"/>
    </w:rPr>
  </w:style>
  <w:style w:type="character" w:styleId="CommentReference">
    <w:name w:val="annotation reference"/>
    <w:basedOn w:val="DefaultParagraphFont"/>
    <w:uiPriority w:val="99"/>
    <w:semiHidden/>
    <w:unhideWhenUsed/>
    <w:rsid w:val="00C07612"/>
    <w:rPr>
      <w:sz w:val="16"/>
      <w:szCs w:val="16"/>
    </w:rPr>
  </w:style>
  <w:style w:type="paragraph" w:styleId="CommentText">
    <w:name w:val="annotation text"/>
    <w:basedOn w:val="Normal"/>
    <w:link w:val="CommentTextChar"/>
    <w:uiPriority w:val="99"/>
    <w:semiHidden/>
    <w:unhideWhenUsed/>
    <w:rsid w:val="00C07612"/>
    <w:rPr>
      <w:sz w:val="20"/>
      <w:szCs w:val="20"/>
    </w:rPr>
  </w:style>
  <w:style w:type="character" w:customStyle="1" w:styleId="CommentTextChar">
    <w:name w:val="Comment Text Char"/>
    <w:basedOn w:val="DefaultParagraphFont"/>
    <w:link w:val="CommentText"/>
    <w:uiPriority w:val="99"/>
    <w:semiHidden/>
    <w:rsid w:val="00C07612"/>
    <w:rPr>
      <w:lang w:eastAsia="en-US"/>
    </w:rPr>
  </w:style>
  <w:style w:type="paragraph" w:styleId="CommentSubject">
    <w:name w:val="annotation subject"/>
    <w:basedOn w:val="CommentText"/>
    <w:next w:val="CommentText"/>
    <w:link w:val="CommentSubjectChar"/>
    <w:semiHidden/>
    <w:unhideWhenUsed/>
    <w:rsid w:val="00C07612"/>
    <w:rPr>
      <w:b/>
      <w:bCs/>
    </w:rPr>
  </w:style>
  <w:style w:type="character" w:customStyle="1" w:styleId="CommentSubjectChar">
    <w:name w:val="Comment Subject Char"/>
    <w:basedOn w:val="CommentTextChar"/>
    <w:link w:val="CommentSubject"/>
    <w:semiHidden/>
    <w:rsid w:val="00C07612"/>
    <w:rPr>
      <w:b/>
      <w:bCs/>
      <w:lang w:eastAsia="en-US"/>
    </w:rPr>
  </w:style>
  <w:style w:type="paragraph" w:styleId="FootnoteText">
    <w:name w:val="footnote text"/>
    <w:basedOn w:val="Normal"/>
    <w:link w:val="FootnoteTextChar"/>
    <w:semiHidden/>
    <w:unhideWhenUsed/>
    <w:rsid w:val="00CE3BAD"/>
    <w:rPr>
      <w:rFonts w:ascii="Arial" w:eastAsiaTheme="minorHAnsi" w:hAnsi="Arial" w:cstheme="minorBidi"/>
      <w:sz w:val="20"/>
      <w:szCs w:val="20"/>
    </w:rPr>
  </w:style>
  <w:style w:type="character" w:customStyle="1" w:styleId="FootnoteTextChar">
    <w:name w:val="Footnote Text Char"/>
    <w:basedOn w:val="DefaultParagraphFont"/>
    <w:link w:val="FootnoteText"/>
    <w:semiHidden/>
    <w:rsid w:val="00CE3BAD"/>
    <w:rPr>
      <w:rFonts w:ascii="Arial" w:eastAsiaTheme="minorHAnsi" w:hAnsi="Arial" w:cstheme="minorBidi"/>
      <w:lang w:eastAsia="en-US"/>
    </w:rPr>
  </w:style>
  <w:style w:type="character" w:styleId="FootnoteReference">
    <w:name w:val="footnote reference"/>
    <w:basedOn w:val="DefaultParagraphFont"/>
    <w:semiHidden/>
    <w:unhideWhenUsed/>
    <w:rsid w:val="00CE3BAD"/>
    <w:rPr>
      <w:vertAlign w:val="superscript"/>
    </w:rPr>
  </w:style>
  <w:style w:type="paragraph" w:styleId="ListParagraph">
    <w:name w:val="List Paragraph"/>
    <w:basedOn w:val="Normal"/>
    <w:uiPriority w:val="34"/>
    <w:qFormat/>
    <w:rsid w:val="001C2FBD"/>
    <w:pPr>
      <w:ind w:left="720"/>
      <w:contextualSpacing/>
    </w:pPr>
    <w:rPr>
      <w:rFonts w:ascii="Arial" w:eastAsiaTheme="minorEastAsia" w:hAnsi="Arial" w:cstheme="minorBidi"/>
    </w:rPr>
  </w:style>
  <w:style w:type="character" w:customStyle="1" w:styleId="legaddition5">
    <w:name w:val="legaddition5"/>
    <w:basedOn w:val="DefaultParagraphFont"/>
    <w:rsid w:val="00EA1C7C"/>
  </w:style>
  <w:style w:type="character" w:styleId="FollowedHyperlink">
    <w:name w:val="FollowedHyperlink"/>
    <w:basedOn w:val="DefaultParagraphFont"/>
    <w:rsid w:val="005E2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422">
      <w:bodyDiv w:val="1"/>
      <w:marLeft w:val="0"/>
      <w:marRight w:val="0"/>
      <w:marTop w:val="0"/>
      <w:marBottom w:val="0"/>
      <w:divBdr>
        <w:top w:val="none" w:sz="0" w:space="0" w:color="auto"/>
        <w:left w:val="none" w:sz="0" w:space="0" w:color="auto"/>
        <w:bottom w:val="none" w:sz="0" w:space="0" w:color="auto"/>
        <w:right w:val="none" w:sz="0" w:space="0" w:color="auto"/>
      </w:divBdr>
    </w:div>
    <w:div w:id="550848670">
      <w:bodyDiv w:val="1"/>
      <w:marLeft w:val="0"/>
      <w:marRight w:val="0"/>
      <w:marTop w:val="0"/>
      <w:marBottom w:val="0"/>
      <w:divBdr>
        <w:top w:val="none" w:sz="0" w:space="0" w:color="auto"/>
        <w:left w:val="none" w:sz="0" w:space="0" w:color="auto"/>
        <w:bottom w:val="none" w:sz="0" w:space="0" w:color="auto"/>
        <w:right w:val="none" w:sz="0" w:space="0" w:color="auto"/>
      </w:divBdr>
    </w:div>
    <w:div w:id="195647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access.communities-ni.gov.uk/sspldbluevolumesinternet/users/internetsearchpage.aspx"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legislati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22002A0430%2801%29" TargetMode="External"/><Relationship Id="rId3" Type="http://schemas.openxmlformats.org/officeDocument/2006/relationships/hyperlink" Target="https://publications.europa.eu/en/publication-detail/-/publication/81312945-046b-4697-9712-905771f1bd77" TargetMode="External"/><Relationship Id="rId7" Type="http://schemas.openxmlformats.org/officeDocument/2006/relationships/hyperlink" Target="http://www.efta.int/media/documents/legal-texts/eea/the-eea-agreement/Main%20Text%20of%20the%20Agreement/EEAagreement.pdf" TargetMode="External"/><Relationship Id="rId2" Type="http://schemas.openxmlformats.org/officeDocument/2006/relationships/hyperlink" Target="https://publications.europa.eu/en/publication-detail/-/publication/1cb8bb8d-3370-4889-a03f-924da9af7318/language-en" TargetMode="External"/><Relationship Id="rId1" Type="http://schemas.openxmlformats.org/officeDocument/2006/relationships/hyperlink" Target="https://eur-lex.europa.eu/legal-content/EN/TXT/?uri=celex%3A32004R0883" TargetMode="External"/><Relationship Id="rId6" Type="http://schemas.openxmlformats.org/officeDocument/2006/relationships/hyperlink" Target="https://ec.europa.eu/social/main.jsp?catId=868&amp;intPageId=2285&amp;langId=en" TargetMode="External"/><Relationship Id="rId5" Type="http://schemas.openxmlformats.org/officeDocument/2006/relationships/hyperlink" Target="https://publications.europa.eu/en/publication-detail/-/publication/b9cb64f6-c17f-4ba2-ae42-5d127b148dcf/language-en" TargetMode="External"/><Relationship Id="rId4" Type="http://schemas.openxmlformats.org/officeDocument/2006/relationships/hyperlink" Target="https://publications.europa.eu/en/publication-detail/-/publication/bc43c0c2-fc26-44fc-8711-b7f66f24d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5AF5774400E419AC0749D275CDF92" ma:contentTypeVersion="8" ma:contentTypeDescription="Create a new document." ma:contentTypeScope="" ma:versionID="8542ba2b028722a246bb8c32e821e4af">
  <xsd:schema xmlns:xsd="http://www.w3.org/2001/XMLSchema" xmlns:xs="http://www.w3.org/2001/XMLSchema" xmlns:p="http://schemas.microsoft.com/office/2006/metadata/properties" xmlns:ns1="http://schemas.microsoft.com/sharepoint/v3" xmlns:ns2="3d4983b0-99a5-44ba-a582-20725f296162" xmlns:ns3="fccffd84-1e6e-453d-96db-5d7dfa94a0d7" targetNamespace="http://schemas.microsoft.com/office/2006/metadata/properties" ma:root="true" ma:fieldsID="ce4b30c1069085b39952999c74ab4e2f" ns1:_="" ns2:_="" ns3:_="">
    <xsd:import namespace="http://schemas.microsoft.com/sharepoint/v3"/>
    <xsd:import namespace="3d4983b0-99a5-44ba-a582-20725f296162"/>
    <xsd:import namespace="fccffd84-1e6e-453d-96db-5d7dfa94a0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983b0-99a5-44ba-a582-20725f2961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ffd84-1e6e-453d-96db-5d7dfa94a0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4983b0-99a5-44ba-a582-20725f296162">
      <UserInfo>
        <DisplayName>West-Oram, Patrick (CS&amp;TD Individuals Policy, EU Exit)</DisplayName>
        <AccountId>16</AccountId>
        <AccountType/>
      </UserInfo>
      <UserInfo>
        <DisplayName>Newman, Denise (CS&amp;TD Individuals Policy, Tax Credits &amp; Child Benefit)</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3602-2388-4A97-82EB-13F1CC23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4983b0-99a5-44ba-a582-20725f296162"/>
    <ds:schemaRef ds:uri="fccffd84-1e6e-453d-96db-5d7dfa94a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FEC82-4575-4C8D-9EE3-C8C79ACAA44D}">
  <ds:schemaRefs>
    <ds:schemaRef ds:uri="http://schemas.microsoft.com/office/infopath/2007/PartnerControls"/>
    <ds:schemaRef ds:uri="http://schemas.microsoft.com/office/2006/documentManagement/types"/>
    <ds:schemaRef ds:uri="3d4983b0-99a5-44ba-a582-20725f296162"/>
    <ds:schemaRef ds:uri="http://www.w3.org/XML/1998/namespace"/>
    <ds:schemaRef ds:uri="http://schemas.microsoft.com/office/2006/metadata/properties"/>
    <ds:schemaRef ds:uri="http://purl.org/dc/terms/"/>
    <ds:schemaRef ds:uri="fccffd84-1e6e-453d-96db-5d7dfa94a0d7"/>
    <ds:schemaRef ds:uri="http://purl.org/dc/dcmitype/"/>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AA640C84-427B-4317-94FA-D8EA7C872A44}">
  <ds:schemaRefs>
    <ds:schemaRef ds:uri="http://schemas.microsoft.com/sharepoint/v3/contenttype/forms"/>
  </ds:schemaRefs>
</ds:datastoreItem>
</file>

<file path=customXml/itemProps4.xml><?xml version="1.0" encoding="utf-8"?>
<ds:datastoreItem xmlns:ds="http://schemas.openxmlformats.org/officeDocument/2006/customXml" ds:itemID="{61DAA586-0169-4997-89B2-3D3FFD4B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621BFAC0</Template>
  <TotalTime>5</TotalTime>
  <Pages>9</Pages>
  <Words>2935</Words>
  <Characters>15613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creator>Rayman-Bacchus Paris STRATEGY INTERNATIONAL</dc:creator>
  <cp:lastModifiedBy>Sawyer Ashley DWP PPM F&amp;E STRATEGY AND POLICY</cp:lastModifiedBy>
  <cp:revision>4</cp:revision>
  <cp:lastPrinted>2018-10-23T09:39:00Z</cp:lastPrinted>
  <dcterms:created xsi:type="dcterms:W3CDTF">2018-12-06T13:46:00Z</dcterms:created>
  <dcterms:modified xsi:type="dcterms:W3CDTF">2018-12-06T15:02:00Z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0x0101003AD5AF5774400E419AC0749D275CDF92</vt:lpwstr>
  </property>
  <property fmtid="{D5CDD505-2E9C-101B-9397-08002B2CF9AE}" pid="4" name="_AdHocReviewCycleID">
    <vt:i4>784343996</vt:i4>
  </property>
  <property fmtid="{D5CDD505-2E9C-101B-9397-08002B2CF9AE}" pid="5" name="_EmailSubject">
    <vt:lpwstr>Commissioning Checklist for SS Co-ordination regs</vt:lpwstr>
  </property>
  <property fmtid="{D5CDD505-2E9C-101B-9397-08002B2CF9AE}" pid="6" name="_AuthorEmail">
    <vt:lpwstr>ASHLEY.SAWYER@DWP.GSI.GOV.UK</vt:lpwstr>
  </property>
  <property fmtid="{D5CDD505-2E9C-101B-9397-08002B2CF9AE}" pid="7" name="_AuthorEmailDisplayName">
    <vt:lpwstr>Sawyer Ashley STRATEGY INTERNATIONAL</vt:lpwstr>
  </property>
</Properties>
</file>