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B705D" w14:textId="77777777" w:rsidR="005E7B5C" w:rsidRPr="003F06E4" w:rsidRDefault="005E7B5C" w:rsidP="00FC0AA9">
      <w:pPr>
        <w:pStyle w:val="EMBanner"/>
      </w:pPr>
      <w:bookmarkStart w:id="0" w:name="_30j0zll" w:colFirst="0" w:colLast="0"/>
      <w:bookmarkEnd w:id="0"/>
      <w:r w:rsidRPr="003F06E4">
        <w:t xml:space="preserve">EXPLANATORY </w:t>
      </w:r>
      <w:r w:rsidRPr="00FC0AA9">
        <w:t>MEMORANDUM</w:t>
      </w:r>
      <w:r w:rsidRPr="003F06E4">
        <w:t xml:space="preserve"> TO</w:t>
      </w:r>
    </w:p>
    <w:p w14:paraId="05127EF3" w14:textId="1F82F2E0" w:rsidR="005E7B5C" w:rsidRPr="003F06E4" w:rsidRDefault="00F27A6C" w:rsidP="00FC0AA9">
      <w:pPr>
        <w:pStyle w:val="EMSITitle"/>
      </w:pPr>
      <w:bookmarkStart w:id="1" w:name="_1fob9te" w:colFirst="0" w:colLast="0"/>
      <w:bookmarkEnd w:id="1"/>
      <w:r>
        <w:t>THE European</w:t>
      </w:r>
      <w:r w:rsidR="00242163">
        <w:t xml:space="preserve"> NETWORK of Employment services</w:t>
      </w:r>
      <w:r>
        <w:t xml:space="preserve"> (EU exit) Regulations 2018</w:t>
      </w:r>
      <w:r w:rsidR="00D41A4F">
        <w:t xml:space="preserve"> </w:t>
      </w:r>
    </w:p>
    <w:p w14:paraId="319CD7C4" w14:textId="77777777" w:rsidR="005E7B5C" w:rsidRPr="003F06E4" w:rsidRDefault="00B40D57" w:rsidP="005E7B5C">
      <w:pPr>
        <w:pStyle w:val="EMSINumber"/>
      </w:pPr>
      <w:r>
        <w:t>2018</w:t>
      </w:r>
      <w:r w:rsidR="005E7B5C" w:rsidRPr="003F06E4">
        <w:t xml:space="preserve"> No. [XXXX]</w:t>
      </w:r>
    </w:p>
    <w:p w14:paraId="690E497A" w14:textId="77777777" w:rsidR="005E7B5C" w:rsidRDefault="005E7B5C" w:rsidP="00CD4FDB">
      <w:pPr>
        <w:pStyle w:val="EMSectionTitle"/>
      </w:pPr>
      <w:r w:rsidRPr="00CD4FDB">
        <w:t>Introduction</w:t>
      </w:r>
    </w:p>
    <w:p w14:paraId="6425ADE7" w14:textId="77777777" w:rsidR="005E7B5C" w:rsidRDefault="005E7B5C" w:rsidP="005E7B5C">
      <w:pPr>
        <w:pStyle w:val="EMLevel1Paragraph"/>
      </w:pPr>
      <w:r>
        <w:t xml:space="preserve">This explanatory memorandum has been </w:t>
      </w:r>
      <w:r w:rsidR="00F27A6C">
        <w:t>prepared by</w:t>
      </w:r>
      <w:r w:rsidR="005106AE">
        <w:t xml:space="preserve"> the</w:t>
      </w:r>
      <w:r w:rsidR="00F27A6C">
        <w:t xml:space="preserve"> Department for Work and Pensions</w:t>
      </w:r>
      <w:r w:rsidR="005106AE">
        <w:t xml:space="preserve"> (DWP)</w:t>
      </w:r>
      <w:r w:rsidR="004C0AB6">
        <w:t xml:space="preserve"> and is laid before </w:t>
      </w:r>
      <w:r>
        <w:t xml:space="preserve">Parliament </w:t>
      </w:r>
      <w:r w:rsidR="005E280F">
        <w:t>by</w:t>
      </w:r>
      <w:r w:rsidR="004C0AB6">
        <w:t xml:space="preserve"> Act</w:t>
      </w:r>
      <w:r>
        <w:t>.</w:t>
      </w:r>
    </w:p>
    <w:p w14:paraId="148D55EE" w14:textId="77777777" w:rsidR="005E7B5C" w:rsidRDefault="005E7B5C" w:rsidP="005E7B5C">
      <w:pPr>
        <w:pStyle w:val="EMLevel1Paragraph"/>
      </w:pPr>
      <w:r>
        <w:t xml:space="preserve">This memorandum contains information for the </w:t>
      </w:r>
      <w:r w:rsidR="005E280F">
        <w:t xml:space="preserve">Sifting </w:t>
      </w:r>
      <w:r w:rsidR="00B40D57">
        <w:t>Committees</w:t>
      </w:r>
      <w:r>
        <w:t>.</w:t>
      </w:r>
    </w:p>
    <w:p w14:paraId="0D264B3A" w14:textId="77777777" w:rsidR="005E7B5C" w:rsidRDefault="005E7B5C" w:rsidP="00CD4FDB">
      <w:pPr>
        <w:pStyle w:val="EMSectionTitle"/>
      </w:pPr>
      <w:r>
        <w:t>Purpose of the instrument</w:t>
      </w:r>
    </w:p>
    <w:p w14:paraId="1120B9A7" w14:textId="1CB1431F" w:rsidR="001840E3" w:rsidRDefault="00326529" w:rsidP="00677030">
      <w:pPr>
        <w:pStyle w:val="EMLevel1Paragraph"/>
      </w:pPr>
      <w:r w:rsidRPr="000E1BED">
        <w:rPr>
          <w:rFonts w:cs="Times New Roman"/>
          <w:szCs w:val="24"/>
        </w:rPr>
        <w:t xml:space="preserve">The instrument removes inoperable regulations and </w:t>
      </w:r>
      <w:r w:rsidR="001840E3">
        <w:rPr>
          <w:rFonts w:cs="Times New Roman"/>
          <w:szCs w:val="24"/>
        </w:rPr>
        <w:t>directives</w:t>
      </w:r>
      <w:r w:rsidRPr="000E1BED">
        <w:rPr>
          <w:rFonts w:cs="Times New Roman"/>
          <w:szCs w:val="24"/>
        </w:rPr>
        <w:t xml:space="preserve"> that are no longer applicable to the United Kingdom following our departure</w:t>
      </w:r>
      <w:r>
        <w:rPr>
          <w:rFonts w:cs="Times New Roman"/>
          <w:szCs w:val="24"/>
        </w:rPr>
        <w:t xml:space="preserve"> from the European Union</w:t>
      </w:r>
      <w:r w:rsidR="000A2877">
        <w:rPr>
          <w:rFonts w:cs="Times New Roman"/>
          <w:szCs w:val="24"/>
        </w:rPr>
        <w:t xml:space="preserve"> (EU)</w:t>
      </w:r>
      <w:r w:rsidR="008511A0" w:rsidRPr="000E1BED">
        <w:rPr>
          <w:rFonts w:cs="Times New Roman"/>
          <w:szCs w:val="24"/>
        </w:rPr>
        <w:t>.</w:t>
      </w:r>
      <w:r w:rsidR="008511A0" w:rsidRPr="005106AE">
        <w:rPr>
          <w:szCs w:val="24"/>
        </w:rPr>
        <w:t xml:space="preserve"> </w:t>
      </w:r>
      <w:r w:rsidR="0079027E" w:rsidRPr="00BF3B8F">
        <w:rPr>
          <w:szCs w:val="24"/>
        </w:rPr>
        <w:t>The instrument will remove descriptions</w:t>
      </w:r>
      <w:r w:rsidR="00EA6FFC" w:rsidRPr="005106AE">
        <w:t>,</w:t>
      </w:r>
      <w:r w:rsidR="0079027E" w:rsidRPr="005106AE">
        <w:t xml:space="preserve"> definitions and distinctions</w:t>
      </w:r>
      <w:r w:rsidR="00EA6FFC" w:rsidRPr="005106AE">
        <w:t xml:space="preserve"> to two</w:t>
      </w:r>
      <w:r w:rsidR="00563B38" w:rsidRPr="005106AE">
        <w:t xml:space="preserve"> EU programme</w:t>
      </w:r>
      <w:r w:rsidR="00EA6FFC" w:rsidRPr="005106AE">
        <w:t>s</w:t>
      </w:r>
      <w:r w:rsidR="00B40D57" w:rsidRPr="005106AE">
        <w:t>;</w:t>
      </w:r>
      <w:r w:rsidR="00EA6FFC" w:rsidRPr="005106AE">
        <w:t xml:space="preserve"> </w:t>
      </w:r>
      <w:r w:rsidR="00B40D57" w:rsidRPr="005106AE">
        <w:t>T</w:t>
      </w:r>
      <w:r w:rsidR="00EA6FFC" w:rsidRPr="005106AE">
        <w:t>he European</w:t>
      </w:r>
      <w:r w:rsidR="00242163">
        <w:t xml:space="preserve"> Network of</w:t>
      </w:r>
      <w:r w:rsidR="00EA6FFC" w:rsidRPr="005106AE">
        <w:t xml:space="preserve"> Employment Service (EURES)</w:t>
      </w:r>
      <w:r w:rsidR="00233FC6">
        <w:t xml:space="preserve"> R</w:t>
      </w:r>
      <w:r w:rsidR="00233FC6" w:rsidRPr="005106AE">
        <w:t>egulation</w:t>
      </w:r>
      <w:r w:rsidR="00F2364F">
        <w:t xml:space="preserve"> 2016/589</w:t>
      </w:r>
      <w:r w:rsidR="000E0AA9">
        <w:rPr>
          <w:rStyle w:val="FootnoteReference"/>
        </w:rPr>
        <w:footnoteReference w:id="1"/>
      </w:r>
      <w:r w:rsidR="00B40D57" w:rsidRPr="005106AE">
        <w:t xml:space="preserve"> and </w:t>
      </w:r>
      <w:r w:rsidR="005106AE" w:rsidRPr="005106AE">
        <w:t xml:space="preserve">the </w:t>
      </w:r>
      <w:r w:rsidR="00B40D57" w:rsidRPr="005106AE">
        <w:t>Employment and Social Innovation</w:t>
      </w:r>
      <w:r w:rsidR="00563B38" w:rsidRPr="005106AE">
        <w:t xml:space="preserve"> (EaSI)</w:t>
      </w:r>
      <w:r w:rsidR="00B40D57" w:rsidRPr="005106AE">
        <w:t xml:space="preserve"> funding programme</w:t>
      </w:r>
      <w:r w:rsidR="00F2364F">
        <w:t xml:space="preserve"> </w:t>
      </w:r>
      <w:r w:rsidR="00233FC6">
        <w:t xml:space="preserve">Regulation </w:t>
      </w:r>
      <w:r w:rsidR="00F2364F">
        <w:t>1296/2013</w:t>
      </w:r>
      <w:r w:rsidR="00E47FC2">
        <w:rPr>
          <w:rStyle w:val="FootnoteReference"/>
        </w:rPr>
        <w:footnoteReference w:id="2"/>
      </w:r>
      <w:r w:rsidR="005106AE" w:rsidRPr="005106AE">
        <w:t>.</w:t>
      </w:r>
      <w:r w:rsidR="00B40D57" w:rsidRPr="005106AE">
        <w:t xml:space="preserve"> </w:t>
      </w:r>
      <w:r w:rsidR="00F2364F">
        <w:t>This instrument also</w:t>
      </w:r>
      <w:r w:rsidR="00137D7E">
        <w:t xml:space="preserve"> gives</w:t>
      </w:r>
      <w:r w:rsidR="00F2364F">
        <w:t xml:space="preserve"> the Secretary of State the ability</w:t>
      </w:r>
      <w:r w:rsidR="00614A90">
        <w:t xml:space="preserve"> to </w:t>
      </w:r>
      <w:r w:rsidR="00614A90" w:rsidRPr="004266CA">
        <w:rPr>
          <w:rFonts w:cs="Times New Roman"/>
          <w:szCs w:val="24"/>
        </w:rPr>
        <w:t>safeguard funding</w:t>
      </w:r>
      <w:r w:rsidR="00614A90">
        <w:t xml:space="preserve"> for UK grantees’ with an agreement in place before the UK exits the EU.  </w:t>
      </w:r>
      <w:r w:rsidR="00F2364F">
        <w:t xml:space="preserve"> </w:t>
      </w:r>
    </w:p>
    <w:p w14:paraId="2F7EFD62" w14:textId="77777777" w:rsidR="005E7B5C" w:rsidRDefault="005E7B5C" w:rsidP="007B4276">
      <w:pPr>
        <w:pStyle w:val="EMSub-sub-sectiontitle"/>
      </w:pPr>
      <w:r>
        <w:t>What did any relevant EU law do before exit day?</w:t>
      </w:r>
    </w:p>
    <w:p w14:paraId="35CB578B" w14:textId="77777777" w:rsidR="00023159" w:rsidRDefault="00F42EEF" w:rsidP="00023159">
      <w:pPr>
        <w:pStyle w:val="EMLevel1Paragraph"/>
        <w:numPr>
          <w:ilvl w:val="0"/>
          <w:numId w:val="0"/>
        </w:numPr>
        <w:ind w:left="720"/>
        <w:rPr>
          <w:szCs w:val="24"/>
        </w:rPr>
      </w:pPr>
      <w:r>
        <w:rPr>
          <w:szCs w:val="24"/>
        </w:rPr>
        <w:t xml:space="preserve">European </w:t>
      </w:r>
      <w:r w:rsidRPr="00F42EEF">
        <w:rPr>
          <w:szCs w:val="24"/>
        </w:rPr>
        <w:t>Commission Implementing Decision 2012/733/EU</w:t>
      </w:r>
      <w:r>
        <w:rPr>
          <w:szCs w:val="24"/>
        </w:rPr>
        <w:t xml:space="preserve">, and subsequently </w:t>
      </w:r>
      <w:r w:rsidRPr="00F42EEF">
        <w:rPr>
          <w:szCs w:val="24"/>
          <w:lang w:val="en"/>
        </w:rPr>
        <w:t>Regulation (EU) 2016/</w:t>
      </w:r>
      <w:r w:rsidR="004C390B" w:rsidRPr="00F42EEF">
        <w:rPr>
          <w:szCs w:val="24"/>
          <w:lang w:val="en"/>
        </w:rPr>
        <w:t xml:space="preserve">589 </w:t>
      </w:r>
      <w:r w:rsidR="00BB554E">
        <w:rPr>
          <w:szCs w:val="24"/>
          <w:lang w:val="en"/>
        </w:rPr>
        <w:t xml:space="preserve">provide for </w:t>
      </w:r>
      <w:r w:rsidR="00023159" w:rsidRPr="007A5870">
        <w:rPr>
          <w:szCs w:val="24"/>
          <w:lang w:val="en"/>
        </w:rPr>
        <w:t>EURES</w:t>
      </w:r>
      <w:r w:rsidR="00BB554E">
        <w:rPr>
          <w:szCs w:val="24"/>
          <w:lang w:val="en"/>
        </w:rPr>
        <w:t xml:space="preserve">, </w:t>
      </w:r>
      <w:r w:rsidR="00023159" w:rsidRPr="007A5870">
        <w:rPr>
          <w:szCs w:val="24"/>
          <w:lang w:val="en"/>
        </w:rPr>
        <w:t>a network of public employment services provid</w:t>
      </w:r>
      <w:r w:rsidR="00023159">
        <w:rPr>
          <w:szCs w:val="24"/>
          <w:lang w:val="en"/>
        </w:rPr>
        <w:t>ing</w:t>
      </w:r>
      <w:r w:rsidR="00023159" w:rsidRPr="007A5870">
        <w:rPr>
          <w:szCs w:val="24"/>
          <w:lang w:val="en"/>
        </w:rPr>
        <w:t xml:space="preserve"> information, advice</w:t>
      </w:r>
      <w:r w:rsidR="00023159">
        <w:rPr>
          <w:szCs w:val="24"/>
          <w:lang w:val="en"/>
        </w:rPr>
        <w:t>,</w:t>
      </w:r>
      <w:r w:rsidR="00023159" w:rsidRPr="007A5870">
        <w:rPr>
          <w:szCs w:val="24"/>
          <w:lang w:val="en"/>
        </w:rPr>
        <w:t xml:space="preserve"> and job-matching</w:t>
      </w:r>
      <w:r w:rsidR="00023159">
        <w:rPr>
          <w:szCs w:val="24"/>
          <w:lang w:val="en"/>
        </w:rPr>
        <w:t xml:space="preserve"> </w:t>
      </w:r>
      <w:r w:rsidR="00023159" w:rsidRPr="007A5870">
        <w:rPr>
          <w:szCs w:val="24"/>
          <w:lang w:val="en"/>
        </w:rPr>
        <w:t>to workers and employers across the</w:t>
      </w:r>
      <w:r w:rsidR="00023159">
        <w:rPr>
          <w:szCs w:val="24"/>
          <w:lang w:val="en"/>
        </w:rPr>
        <w:t xml:space="preserve"> European Economic Area</w:t>
      </w:r>
      <w:r w:rsidR="00023159" w:rsidRPr="007A5870">
        <w:rPr>
          <w:szCs w:val="24"/>
          <w:lang w:val="en"/>
        </w:rPr>
        <w:t xml:space="preserve"> </w:t>
      </w:r>
      <w:r w:rsidR="00023159">
        <w:rPr>
          <w:szCs w:val="24"/>
          <w:lang w:val="en"/>
        </w:rPr>
        <w:t>(</w:t>
      </w:r>
      <w:r w:rsidR="00023159" w:rsidRPr="007A5870">
        <w:rPr>
          <w:szCs w:val="24"/>
          <w:lang w:val="en"/>
        </w:rPr>
        <w:t>EEA</w:t>
      </w:r>
      <w:r w:rsidR="00023159">
        <w:rPr>
          <w:szCs w:val="24"/>
          <w:lang w:val="en"/>
        </w:rPr>
        <w:t>) to facilitate freedom of movement of workers</w:t>
      </w:r>
      <w:r w:rsidR="00023159" w:rsidRPr="007A5870">
        <w:rPr>
          <w:szCs w:val="24"/>
        </w:rPr>
        <w:t>.</w:t>
      </w:r>
      <w:r w:rsidR="00023159" w:rsidRPr="007A5870">
        <w:rPr>
          <w:szCs w:val="24"/>
          <w:lang w:val="en"/>
        </w:rPr>
        <w:t xml:space="preserve"> </w:t>
      </w:r>
      <w:r w:rsidR="00023159">
        <w:rPr>
          <w:szCs w:val="24"/>
          <w:lang w:val="en"/>
        </w:rPr>
        <w:t xml:space="preserve">Member States are obligated under EU law to provide a EURES service which </w:t>
      </w:r>
      <w:r w:rsidR="00023159" w:rsidRPr="007A5870">
        <w:rPr>
          <w:szCs w:val="24"/>
          <w:lang w:eastAsia="en-GB"/>
        </w:rPr>
        <w:t xml:space="preserve">DWP delivers </w:t>
      </w:r>
      <w:r w:rsidR="00023159" w:rsidRPr="007A5870">
        <w:rPr>
          <w:szCs w:val="24"/>
        </w:rPr>
        <w:t>through</w:t>
      </w:r>
      <w:r w:rsidR="00023159">
        <w:rPr>
          <w:szCs w:val="24"/>
        </w:rPr>
        <w:t xml:space="preserve"> its national job matching website, Find a Job (formerly</w:t>
      </w:r>
      <w:r w:rsidR="00023159" w:rsidRPr="007A5870">
        <w:rPr>
          <w:szCs w:val="24"/>
        </w:rPr>
        <w:t xml:space="preserve"> Universal Jobmatch</w:t>
      </w:r>
      <w:r w:rsidR="00023159">
        <w:rPr>
          <w:szCs w:val="24"/>
        </w:rPr>
        <w:t xml:space="preserve">), </w:t>
      </w:r>
      <w:r w:rsidR="00023159" w:rsidRPr="007A5870">
        <w:rPr>
          <w:szCs w:val="24"/>
        </w:rPr>
        <w:t xml:space="preserve">and </w:t>
      </w:r>
      <w:r w:rsidR="00023159">
        <w:rPr>
          <w:szCs w:val="24"/>
          <w:lang w:eastAsia="en-GB"/>
        </w:rPr>
        <w:t>via the</w:t>
      </w:r>
      <w:r w:rsidR="00023159" w:rsidRPr="007A5870">
        <w:rPr>
          <w:szCs w:val="24"/>
          <w:lang w:eastAsia="en-GB"/>
        </w:rPr>
        <w:t xml:space="preserve"> </w:t>
      </w:r>
      <w:r w:rsidR="00023159" w:rsidRPr="007A5870">
        <w:rPr>
          <w:szCs w:val="24"/>
        </w:rPr>
        <w:t>National Coordination Office (NCO)</w:t>
      </w:r>
      <w:r w:rsidR="00023159">
        <w:rPr>
          <w:szCs w:val="24"/>
        </w:rPr>
        <w:t>,</w:t>
      </w:r>
      <w:r w:rsidR="00023159" w:rsidRPr="007A5870">
        <w:rPr>
          <w:szCs w:val="24"/>
        </w:rPr>
        <w:t xml:space="preserve"> </w:t>
      </w:r>
      <w:r w:rsidR="00023159">
        <w:rPr>
          <w:szCs w:val="24"/>
        </w:rPr>
        <w:t>based within Jobcentre Plus.</w:t>
      </w:r>
    </w:p>
    <w:p w14:paraId="54EA3926" w14:textId="67988FC2" w:rsidR="003952D3" w:rsidRDefault="00E35850" w:rsidP="00023159">
      <w:pPr>
        <w:pStyle w:val="EMLevel1Paragraph"/>
        <w:numPr>
          <w:ilvl w:val="0"/>
          <w:numId w:val="0"/>
        </w:numPr>
        <w:ind w:left="720"/>
        <w:rPr>
          <w:szCs w:val="24"/>
        </w:rPr>
      </w:pPr>
      <w:r>
        <w:rPr>
          <w:lang w:val="en"/>
        </w:rPr>
        <w:t xml:space="preserve">In addition, </w:t>
      </w:r>
      <w:r w:rsidRPr="00E35850">
        <w:rPr>
          <w:lang w:val="en"/>
        </w:rPr>
        <w:t>Regulation (EU) No 1296/2013</w:t>
      </w:r>
      <w:r w:rsidR="00234C96">
        <w:rPr>
          <w:lang w:val="en"/>
        </w:rPr>
        <w:t xml:space="preserve"> </w:t>
      </w:r>
      <w:r w:rsidR="0025042C">
        <w:rPr>
          <w:lang w:val="en"/>
        </w:rPr>
        <w:t xml:space="preserve">provide for </w:t>
      </w:r>
      <w:r w:rsidR="00542D24">
        <w:t xml:space="preserve"> t</w:t>
      </w:r>
      <w:r w:rsidR="00023159" w:rsidRPr="009238F5">
        <w:t>he EaSI fund</w:t>
      </w:r>
      <w:r w:rsidR="00542D24">
        <w:t xml:space="preserve"> which primarily</w:t>
      </w:r>
      <w:r w:rsidR="00023159" w:rsidRPr="009238F5">
        <w:t xml:space="preserve"> facilitates research, projects and policy development to support EU level priorities in the field of employment and social protection. </w:t>
      </w:r>
      <w:r w:rsidR="00023159">
        <w:t>It is a</w:t>
      </w:r>
      <w:r w:rsidR="00023159" w:rsidRPr="009238F5">
        <w:t xml:space="preserve">n EU led programme </w:t>
      </w:r>
      <w:r w:rsidR="000A2877">
        <w:t>in which</w:t>
      </w:r>
      <w:r w:rsidR="000A2877" w:rsidRPr="009238F5">
        <w:t xml:space="preserve"> </w:t>
      </w:r>
      <w:r w:rsidR="00023159" w:rsidRPr="009238F5">
        <w:t>organisations bid directly to the European Commission for funding, independent of national governments, and has limited coverage in the UK</w:t>
      </w:r>
      <w:r w:rsidR="00FA5239">
        <w:t xml:space="preserve">. </w:t>
      </w:r>
      <w:r w:rsidR="00023159" w:rsidRPr="000D76C5">
        <w:rPr>
          <w:szCs w:val="24"/>
        </w:rPr>
        <w:t>The UK contributes to this EU funding programme through the EU’s budgeting platform multiannual financial framework (MFF).</w:t>
      </w:r>
    </w:p>
    <w:p w14:paraId="389F55D9" w14:textId="779A3071" w:rsidR="00D84A42" w:rsidRDefault="003952D3" w:rsidP="00023159">
      <w:pPr>
        <w:pStyle w:val="EMLevel1Paragraph"/>
        <w:numPr>
          <w:ilvl w:val="0"/>
          <w:numId w:val="0"/>
        </w:numPr>
        <w:ind w:left="720"/>
      </w:pPr>
      <w:r>
        <w:rPr>
          <w:szCs w:val="24"/>
        </w:rPr>
        <w:t xml:space="preserve">EURES and EaSI regulations are directly applied </w:t>
      </w:r>
      <w:r w:rsidR="00F922F1">
        <w:rPr>
          <w:szCs w:val="24"/>
        </w:rPr>
        <w:t>and this instrument prevents these regulations from being transposed into domestic law</w:t>
      </w:r>
      <w:r w:rsidR="005F4D85">
        <w:rPr>
          <w:szCs w:val="24"/>
        </w:rPr>
        <w:t>.</w:t>
      </w:r>
      <w:r w:rsidR="00F922F1">
        <w:rPr>
          <w:szCs w:val="24"/>
        </w:rPr>
        <w:t xml:space="preserve"> </w:t>
      </w:r>
      <w:r w:rsidR="005F4D85">
        <w:rPr>
          <w:szCs w:val="24"/>
        </w:rPr>
        <w:t>T</w:t>
      </w:r>
      <w:r w:rsidR="00F922F1">
        <w:rPr>
          <w:szCs w:val="24"/>
        </w:rPr>
        <w:t>hey became inoperable after the United Kingdom leaves the European Union</w:t>
      </w:r>
      <w:r w:rsidR="005F4D85">
        <w:rPr>
          <w:szCs w:val="24"/>
        </w:rPr>
        <w:t xml:space="preserve"> because the UK cannot participate in the scheme as a third country.</w:t>
      </w:r>
      <w:r w:rsidR="00E35850">
        <w:rPr>
          <w:szCs w:val="24"/>
        </w:rPr>
        <w:br/>
      </w:r>
      <w:r w:rsidR="00E35850">
        <w:rPr>
          <w:szCs w:val="24"/>
        </w:rPr>
        <w:br/>
      </w:r>
    </w:p>
    <w:p w14:paraId="53AD4703" w14:textId="77777777" w:rsidR="005E7B5C" w:rsidRDefault="005E7B5C" w:rsidP="007B4276">
      <w:pPr>
        <w:pStyle w:val="EMSub-sub-sectiontitle"/>
      </w:pPr>
      <w:r>
        <w:lastRenderedPageBreak/>
        <w:t xml:space="preserve">Why </w:t>
      </w:r>
      <w:r w:rsidRPr="005E7B5C">
        <w:t>is</w:t>
      </w:r>
      <w:r>
        <w:t xml:space="preserve"> it being changed?</w:t>
      </w:r>
    </w:p>
    <w:p w14:paraId="398A2E7C" w14:textId="77777777" w:rsidR="005E7B5C" w:rsidRDefault="006742C8" w:rsidP="007B4276">
      <w:pPr>
        <w:pStyle w:val="EMLevel1Paragraph"/>
        <w:rPr>
          <w:b/>
        </w:rPr>
      </w:pPr>
      <w:r>
        <w:rPr>
          <w:lang w:eastAsia="en-GB"/>
        </w:rPr>
        <w:t>If the UK exits the EU without a deal, the UK will no longer be able to take part in either EURES or EaSI as p</w:t>
      </w:r>
      <w:r w:rsidR="000607C4" w:rsidRPr="0043336B">
        <w:rPr>
          <w:lang w:eastAsia="en-GB"/>
        </w:rPr>
        <w:t>articipation</w:t>
      </w:r>
      <w:r w:rsidR="000607C4">
        <w:rPr>
          <w:lang w:eastAsia="en-GB"/>
        </w:rPr>
        <w:t xml:space="preserve"> in both programmes </w:t>
      </w:r>
      <w:r w:rsidR="002D6C38">
        <w:rPr>
          <w:lang w:eastAsia="en-GB"/>
        </w:rPr>
        <w:t>is</w:t>
      </w:r>
      <w:r w:rsidR="000607C4">
        <w:rPr>
          <w:lang w:eastAsia="en-GB"/>
        </w:rPr>
        <w:t xml:space="preserve"> predicated on EU</w:t>
      </w:r>
      <w:r w:rsidR="000607C4" w:rsidRPr="0043336B">
        <w:rPr>
          <w:lang w:eastAsia="en-GB"/>
        </w:rPr>
        <w:t xml:space="preserve"> membership</w:t>
      </w:r>
      <w:r>
        <w:rPr>
          <w:lang w:eastAsia="en-GB"/>
        </w:rPr>
        <w:t xml:space="preserve">. The continued inclusion of references to both programmes will therefore no longer be required in UK law. </w:t>
      </w:r>
      <w:r w:rsidR="000607C4">
        <w:rPr>
          <w:lang w:eastAsia="en-GB"/>
        </w:rPr>
        <w:t xml:space="preserve"> </w:t>
      </w:r>
    </w:p>
    <w:p w14:paraId="05261036" w14:textId="77777777" w:rsidR="005E7B5C" w:rsidRDefault="005E7B5C" w:rsidP="007B4276">
      <w:pPr>
        <w:pStyle w:val="EMSub-sub-sectiontitle"/>
      </w:pPr>
      <w:r>
        <w:t>What will it now do?</w:t>
      </w:r>
    </w:p>
    <w:p w14:paraId="20488DD5" w14:textId="77777777" w:rsidR="007376FF" w:rsidRDefault="00B77198" w:rsidP="007B4276">
      <w:pPr>
        <w:pStyle w:val="EMLevel1Paragraph"/>
      </w:pPr>
      <w:r>
        <w:rPr>
          <w:lang w:eastAsia="en-GB"/>
        </w:rPr>
        <w:t>T</w:t>
      </w:r>
      <w:r w:rsidR="00975A70">
        <w:rPr>
          <w:lang w:eastAsia="en-GB"/>
        </w:rPr>
        <w:t>he</w:t>
      </w:r>
      <w:r>
        <w:rPr>
          <w:lang w:eastAsia="en-GB"/>
        </w:rPr>
        <w:t xml:space="preserve"> in</w:t>
      </w:r>
      <w:r w:rsidR="007E7F64">
        <w:rPr>
          <w:lang w:eastAsia="en-GB"/>
        </w:rPr>
        <w:t>strument</w:t>
      </w:r>
      <w:r w:rsidR="00975A70">
        <w:rPr>
          <w:lang w:eastAsia="en-GB"/>
        </w:rPr>
        <w:t xml:space="preserve"> will</w:t>
      </w:r>
      <w:r w:rsidR="007E7F64">
        <w:rPr>
          <w:lang w:eastAsia="en-GB"/>
        </w:rPr>
        <w:t xml:space="preserve"> repeal all references to EURES and EaSI </w:t>
      </w:r>
      <w:r w:rsidR="00975A70">
        <w:rPr>
          <w:lang w:eastAsia="en-GB"/>
        </w:rPr>
        <w:t xml:space="preserve">from UK law </w:t>
      </w:r>
      <w:r w:rsidR="007E7F64">
        <w:rPr>
          <w:lang w:eastAsia="en-GB"/>
        </w:rPr>
        <w:t xml:space="preserve">on the day </w:t>
      </w:r>
      <w:r w:rsidR="00CA3DA4">
        <w:rPr>
          <w:lang w:eastAsia="en-GB"/>
        </w:rPr>
        <w:t>the UK e</w:t>
      </w:r>
      <w:r w:rsidR="007E7F64">
        <w:rPr>
          <w:lang w:eastAsia="en-GB"/>
        </w:rPr>
        <w:t>xit</w:t>
      </w:r>
      <w:r w:rsidR="00CA3DA4">
        <w:rPr>
          <w:lang w:eastAsia="en-GB"/>
        </w:rPr>
        <w:t>s the EU</w:t>
      </w:r>
      <w:r w:rsidR="007E7F64">
        <w:rPr>
          <w:lang w:eastAsia="en-GB"/>
        </w:rPr>
        <w:t xml:space="preserve">. </w:t>
      </w:r>
      <w:r w:rsidR="00CA3DA4">
        <w:rPr>
          <w:lang w:eastAsia="en-GB"/>
        </w:rPr>
        <w:t xml:space="preserve">Failure to lay this instrument by exit day, </w:t>
      </w:r>
      <w:r w:rsidR="00975A70">
        <w:rPr>
          <w:lang w:eastAsia="en-GB"/>
        </w:rPr>
        <w:t xml:space="preserve">in the case of the EURES regulation, </w:t>
      </w:r>
      <w:r w:rsidR="00CA3DA4">
        <w:rPr>
          <w:lang w:eastAsia="en-GB"/>
        </w:rPr>
        <w:t xml:space="preserve">would mean that the </w:t>
      </w:r>
      <w:r w:rsidR="00975A70">
        <w:rPr>
          <w:szCs w:val="24"/>
        </w:rPr>
        <w:t xml:space="preserve">UK would </w:t>
      </w:r>
      <w:r w:rsidR="00CA3DA4">
        <w:rPr>
          <w:szCs w:val="24"/>
        </w:rPr>
        <w:t xml:space="preserve">continue to be </w:t>
      </w:r>
      <w:r w:rsidR="009B3782" w:rsidRPr="009B3782">
        <w:rPr>
          <w:szCs w:val="24"/>
        </w:rPr>
        <w:t>legally obliged to</w:t>
      </w:r>
      <w:r w:rsidR="00975A70">
        <w:rPr>
          <w:szCs w:val="24"/>
        </w:rPr>
        <w:t xml:space="preserve"> retain a EURES service</w:t>
      </w:r>
      <w:r w:rsidR="00CA3DA4">
        <w:rPr>
          <w:szCs w:val="24"/>
        </w:rPr>
        <w:t xml:space="preserve"> i</w:t>
      </w:r>
      <w:r w:rsidR="00975A70">
        <w:rPr>
          <w:szCs w:val="24"/>
        </w:rPr>
        <w:t>ncluding</w:t>
      </w:r>
      <w:r w:rsidR="009B3782" w:rsidRPr="009B3782">
        <w:rPr>
          <w:szCs w:val="24"/>
        </w:rPr>
        <w:t xml:space="preserve"> continu</w:t>
      </w:r>
      <w:r w:rsidR="00975A70">
        <w:rPr>
          <w:szCs w:val="24"/>
        </w:rPr>
        <w:t>ing</w:t>
      </w:r>
      <w:r w:rsidR="009B3782" w:rsidRPr="009B3782">
        <w:rPr>
          <w:szCs w:val="24"/>
        </w:rPr>
        <w:t xml:space="preserve"> to upload UK vacancies to the EU wide job portal but without</w:t>
      </w:r>
      <w:r w:rsidR="00975A70">
        <w:rPr>
          <w:szCs w:val="24"/>
        </w:rPr>
        <w:t xml:space="preserve"> being able to remain part of the programme </w:t>
      </w:r>
      <w:r w:rsidR="009B3782" w:rsidRPr="009B3782">
        <w:rPr>
          <w:szCs w:val="24"/>
        </w:rPr>
        <w:t>as we would no longer be a member.</w:t>
      </w:r>
      <w:r w:rsidR="00A45E95">
        <w:rPr>
          <w:szCs w:val="24"/>
        </w:rPr>
        <w:t xml:space="preserve"> Equally, if references to the EaSI fund are not removed</w:t>
      </w:r>
      <w:r w:rsidR="00CA3DA4">
        <w:rPr>
          <w:szCs w:val="24"/>
        </w:rPr>
        <w:t xml:space="preserve"> in time for the UK’s exit from the EU</w:t>
      </w:r>
      <w:r w:rsidR="00A45E95">
        <w:rPr>
          <w:szCs w:val="24"/>
        </w:rPr>
        <w:t xml:space="preserve">, UK businesses may continue to bid for EaSI despite no longer being </w:t>
      </w:r>
      <w:r w:rsidR="00CA3DA4">
        <w:rPr>
          <w:szCs w:val="24"/>
        </w:rPr>
        <w:t xml:space="preserve">able to receive funding. </w:t>
      </w:r>
      <w:r w:rsidR="009B3782">
        <w:rPr>
          <w:sz w:val="22"/>
          <w:szCs w:val="22"/>
        </w:rPr>
        <w:t xml:space="preserve">  </w:t>
      </w:r>
      <w:r w:rsidR="007E7F64">
        <w:rPr>
          <w:lang w:eastAsia="en-GB"/>
        </w:rPr>
        <w:t xml:space="preserve"> </w:t>
      </w:r>
    </w:p>
    <w:p w14:paraId="1A75F049" w14:textId="77777777" w:rsidR="005E7B5C" w:rsidRPr="00C4747C" w:rsidRDefault="005E7B5C" w:rsidP="00CD4FDB">
      <w:pPr>
        <w:pStyle w:val="EMSectionTitle"/>
      </w:pPr>
      <w:r w:rsidRPr="00C4747C">
        <w:t>Matters of special interest to Parliament</w:t>
      </w:r>
    </w:p>
    <w:p w14:paraId="398FD412" w14:textId="77777777" w:rsidR="005E7B5C" w:rsidRDefault="005E7B5C" w:rsidP="007376FF">
      <w:pPr>
        <w:pStyle w:val="EMSub-sectiontitle"/>
      </w:pPr>
      <w:r>
        <w:t>Matt</w:t>
      </w:r>
      <w:r w:rsidR="0073006D">
        <w:t xml:space="preserve">ers of special interest to </w:t>
      </w:r>
      <w:r>
        <w:t xml:space="preserve">the </w:t>
      </w:r>
      <w:r w:rsidR="00BE61FA">
        <w:t xml:space="preserve">Sifting </w:t>
      </w:r>
      <w:r w:rsidR="0073006D">
        <w:t>Committees</w:t>
      </w:r>
    </w:p>
    <w:p w14:paraId="5DC78F2E" w14:textId="77777777" w:rsidR="00C4747C" w:rsidRDefault="00C4747C" w:rsidP="007376FF">
      <w:pPr>
        <w:pStyle w:val="EMLevel1Paragraph"/>
        <w:rPr>
          <w:highlight w:val="white"/>
        </w:rPr>
      </w:pPr>
      <w:r>
        <w:rPr>
          <w:color w:val="000000"/>
        </w:rPr>
        <w:t xml:space="preserve">This instrument is being laid in draft for sifting. </w:t>
      </w:r>
    </w:p>
    <w:p w14:paraId="4BCCACFB" w14:textId="77777777" w:rsidR="005E7B5C" w:rsidRDefault="005E7B5C" w:rsidP="007376FF">
      <w:pPr>
        <w:pStyle w:val="EMSub-sectiontitle"/>
      </w:pPr>
      <w:r>
        <w:t>Matters relevant to Standing Orders Nos. 83P and 83T of the Standing Orders of the House of Commons relating to Public Business (</w:t>
      </w:r>
      <w:r w:rsidR="00812201">
        <w:t>English Votes for English Laws)</w:t>
      </w:r>
    </w:p>
    <w:p w14:paraId="0614E7CA" w14:textId="77777777" w:rsidR="005E7B5C" w:rsidRPr="00C4747C" w:rsidRDefault="005E7B5C" w:rsidP="00373B11">
      <w:pPr>
        <w:pStyle w:val="EMLevel1Paragraph"/>
      </w:pPr>
      <w:r w:rsidRPr="00C4747C">
        <w:t>As the instrument is subject to negative resolution procedure there are no matters relevant to Standing Orders Nos. 83P and 83T of the Standing Orders of the House of Commons relating to</w:t>
      </w:r>
      <w:r w:rsidR="00C4747C" w:rsidRPr="00C4747C">
        <w:t xml:space="preserve"> Public Business at this stage.</w:t>
      </w:r>
    </w:p>
    <w:p w14:paraId="6B0CD240" w14:textId="77777777" w:rsidR="005E7B5C" w:rsidRDefault="005E7B5C" w:rsidP="00CD4FDB">
      <w:pPr>
        <w:pStyle w:val="EMSectionTitle"/>
      </w:pPr>
      <w:r>
        <w:t>Extent and Territorial Application</w:t>
      </w:r>
    </w:p>
    <w:p w14:paraId="65EABEFC" w14:textId="77777777" w:rsidR="005E7B5C" w:rsidRDefault="005E7B5C" w:rsidP="007E7EB6">
      <w:pPr>
        <w:pStyle w:val="EMLevel1Paragraph"/>
      </w:pPr>
      <w:r>
        <w:t>The territorial e</w:t>
      </w:r>
      <w:r w:rsidR="00EE1B29">
        <w:t xml:space="preserve">xtent of this instrument </w:t>
      </w:r>
      <w:r w:rsidR="00F701AE">
        <w:t>is</w:t>
      </w:r>
      <w:r w:rsidR="00EE1B29">
        <w:t xml:space="preserve"> the United Kingdom</w:t>
      </w:r>
      <w:r>
        <w:t>.</w:t>
      </w:r>
    </w:p>
    <w:p w14:paraId="79ADAC60" w14:textId="77777777" w:rsidR="005E7B5C" w:rsidRDefault="00EE1B29" w:rsidP="00EE1B29">
      <w:pPr>
        <w:pStyle w:val="EMLevel1Paragraph"/>
      </w:pPr>
      <w:r>
        <w:t>Th</w:t>
      </w:r>
      <w:r w:rsidR="00B17E92">
        <w:t>is</w:t>
      </w:r>
      <w:r>
        <w:t xml:space="preserve"> </w:t>
      </w:r>
      <w:r w:rsidR="00782598">
        <w:t>territorial application of this instrument is</w:t>
      </w:r>
      <w:r>
        <w:t xml:space="preserve"> </w:t>
      </w:r>
      <w:r w:rsidR="00F701AE">
        <w:t>the United Kingdom.</w:t>
      </w:r>
    </w:p>
    <w:p w14:paraId="16BACF1F" w14:textId="77777777" w:rsidR="005E7B5C" w:rsidRDefault="005E7B5C" w:rsidP="00CD4FDB">
      <w:pPr>
        <w:pStyle w:val="EMSectionTitle"/>
      </w:pPr>
      <w:r>
        <w:t>European Convention on Human Rights</w:t>
      </w:r>
    </w:p>
    <w:p w14:paraId="17A88FA3" w14:textId="77777777" w:rsidR="005E7B5C" w:rsidRDefault="00782598" w:rsidP="00782598">
      <w:pPr>
        <w:pStyle w:val="EMLevel1Paragraph"/>
      </w:pPr>
      <w:r>
        <w:t>As the instrument is subject to negative resolution procedure and does not amend primary legislation, no statement is required</w:t>
      </w:r>
      <w:r w:rsidR="00F701AE">
        <w:t>.</w:t>
      </w:r>
      <w:r>
        <w:t xml:space="preserve"> </w:t>
      </w:r>
    </w:p>
    <w:p w14:paraId="389B1C9C" w14:textId="77777777" w:rsidR="005E7B5C" w:rsidRPr="000E1BED" w:rsidRDefault="005E7B5C" w:rsidP="00CD4FDB">
      <w:pPr>
        <w:pStyle w:val="EMSectionTitle"/>
      </w:pPr>
      <w:r w:rsidRPr="000E1BED">
        <w:t>Legislative Context</w:t>
      </w:r>
    </w:p>
    <w:p w14:paraId="31A54F96" w14:textId="77777777" w:rsidR="00F922F1" w:rsidRDefault="00892297" w:rsidP="004266CA">
      <w:pPr>
        <w:pStyle w:val="EMLevel1Paragraph"/>
      </w:pPr>
      <w:r>
        <w:t xml:space="preserve">The </w:t>
      </w:r>
      <w:r w:rsidR="00F701AE">
        <w:t xml:space="preserve">European Union (Withdrawal) </w:t>
      </w:r>
      <w:r>
        <w:t>Act</w:t>
      </w:r>
      <w:r w:rsidR="00DF26FB">
        <w:rPr>
          <w:rStyle w:val="FootnoteReference"/>
        </w:rPr>
        <w:footnoteReference w:id="3"/>
      </w:r>
      <w:r w:rsidR="00F701AE">
        <w:t xml:space="preserve"> 2018</w:t>
      </w:r>
      <w:r>
        <w:t xml:space="preserve"> provides for the Secretary of State to repeal deficiencies in EU law arising from the withdrawal of the United Kingdom from the European Union. This includes law to enable Secretary of State </w:t>
      </w:r>
      <w:r w:rsidR="003F3039">
        <w:t>to administer HMG domestic funding guarantee.</w:t>
      </w:r>
    </w:p>
    <w:p w14:paraId="2DEAE8D6" w14:textId="6B019F97" w:rsidR="00F922F1" w:rsidRPr="004266CA" w:rsidRDefault="00F922F1" w:rsidP="004266CA">
      <w:pPr>
        <w:pStyle w:val="EMLevel1Paragraph"/>
      </w:pPr>
      <w:r w:rsidRPr="00F922F1">
        <w:rPr>
          <w:rFonts w:cs="Times New Roman"/>
          <w:szCs w:val="24"/>
        </w:rPr>
        <w:t xml:space="preserve">EURES was first established in 1993 and taking its authority from EEC Regulation 1612/1968 on the Freedom of Movement of Workers, which was later reinforced by EU Regulation 492/2011 and EU 1296/2013. Regulation 2016/589 </w:t>
      </w:r>
      <w:r w:rsidRPr="00F922F1">
        <w:rPr>
          <w:rFonts w:cs="Times New Roman"/>
          <w:kern w:val="36"/>
          <w:szCs w:val="24"/>
        </w:rPr>
        <w:t xml:space="preserve">of the European Parliament and of the Council </w:t>
      </w:r>
      <w:r w:rsidR="00242163">
        <w:rPr>
          <w:rFonts w:cs="Times New Roman"/>
          <w:kern w:val="36"/>
          <w:szCs w:val="24"/>
        </w:rPr>
        <w:t>of 13 April 2016 on a European N</w:t>
      </w:r>
      <w:r w:rsidRPr="00F922F1">
        <w:rPr>
          <w:rFonts w:cs="Times New Roman"/>
          <w:kern w:val="36"/>
          <w:szCs w:val="24"/>
        </w:rPr>
        <w:t xml:space="preserve">etwork of </w:t>
      </w:r>
      <w:r w:rsidRPr="00F922F1">
        <w:rPr>
          <w:rFonts w:cs="Times New Roman"/>
          <w:kern w:val="36"/>
          <w:szCs w:val="24"/>
        </w:rPr>
        <w:lastRenderedPageBreak/>
        <w:t>employment services (EURES), workers' access to mobility services and the further integration of labour markets, and amending Regulations (EU) No 492/2011 and (EU) No 1296/2013.</w:t>
      </w:r>
    </w:p>
    <w:p w14:paraId="27F32E30" w14:textId="77777777" w:rsidR="00F922F1" w:rsidRPr="004266CA" w:rsidRDefault="00F922F1" w:rsidP="004266CA">
      <w:pPr>
        <w:pStyle w:val="EMLevel1Paragraph"/>
      </w:pPr>
      <w:r w:rsidRPr="00F922F1">
        <w:rPr>
          <w:rFonts w:cs="Times New Roman"/>
          <w:szCs w:val="24"/>
        </w:rPr>
        <w:t xml:space="preserve">EURES regulations were proposed to ensure all Members States of the network provided a standardised service to ensure all EU citizens could exercise the founding principal of the EU, freedom of movement. </w:t>
      </w:r>
      <w:r w:rsidRPr="00F922F1">
        <w:rPr>
          <w:rFonts w:cs="Times New Roman"/>
          <w:szCs w:val="24"/>
          <w:lang w:val="en"/>
        </w:rPr>
        <w:t>The objective of the EURES network is to facilitate the free movement of workers within the European Economic Area (EEA) (the 28 members of the European Union, plus Norway, Liechtenstein and Iceland) and Switzerland. EURES targets both job-seekers interested in moving to another country to work or to study, and employers wishing to recruit from abroad.</w:t>
      </w:r>
    </w:p>
    <w:p w14:paraId="373FB61D" w14:textId="77777777" w:rsidR="00F922F1" w:rsidRPr="004266CA" w:rsidRDefault="00F922F1" w:rsidP="004266CA">
      <w:pPr>
        <w:pStyle w:val="EMLevel1Paragraph"/>
      </w:pPr>
      <w:r w:rsidRPr="00F922F1">
        <w:rPr>
          <w:rFonts w:cs="Times New Roman"/>
          <w:szCs w:val="24"/>
        </w:rPr>
        <w:t xml:space="preserve">The regulation also provided the framework in which the Commission could monitor and report on Member State activities and giving the Commission the necessary powers to infract any Member State that did not comply with regulation. </w:t>
      </w:r>
    </w:p>
    <w:p w14:paraId="223A45BD" w14:textId="77777777" w:rsidR="00F922F1" w:rsidRPr="004266CA" w:rsidRDefault="00F922F1" w:rsidP="004266CA">
      <w:pPr>
        <w:pStyle w:val="EMLevel1Paragraph"/>
      </w:pPr>
      <w:r w:rsidRPr="00F922F1">
        <w:rPr>
          <w:rFonts w:cs="Times New Roman"/>
          <w:szCs w:val="24"/>
          <w:lang w:val="en"/>
        </w:rPr>
        <w:t>Regulation (EU) No 1296/2013 of the European Parliament and of the Council of 11 December 2013 on a European Union Programme for Employment and Social Innovation (EaSI) and amending Decision No 283/2010/EU establishing a European Progress Microfinance Facility for employment and social inclusion Text with EEA relevance</w:t>
      </w:r>
      <w:r w:rsidRPr="004266CA">
        <w:rPr>
          <w:rFonts w:cs="Times New Roman"/>
          <w:szCs w:val="24"/>
          <w:lang w:val="en"/>
        </w:rPr>
        <w:t>.</w:t>
      </w:r>
    </w:p>
    <w:p w14:paraId="309216EA" w14:textId="69E36AF2" w:rsidR="00F922F1" w:rsidRPr="004266CA" w:rsidRDefault="00F922F1" w:rsidP="004266CA">
      <w:pPr>
        <w:pStyle w:val="EMLevel1Paragraph"/>
      </w:pPr>
      <w:r w:rsidRPr="00F922F1">
        <w:rPr>
          <w:rFonts w:cs="Times New Roman"/>
          <w:szCs w:val="24"/>
        </w:rPr>
        <w:t xml:space="preserve">The Employment and Social Innovation (EaSI) fund is the successor to earlier employment and social policy spending programmes.  It contributes to the delivery of the Europe 2020 strategy, aiming to promote EU Treaty objectives for a high level of </w:t>
      </w:r>
      <w:r w:rsidRPr="00F922F1">
        <w:rPr>
          <w:rFonts w:cs="Times New Roman"/>
          <w:bCs/>
          <w:szCs w:val="24"/>
        </w:rPr>
        <w:t xml:space="preserve">employment </w:t>
      </w:r>
      <w:r w:rsidRPr="00F922F1">
        <w:rPr>
          <w:rFonts w:cs="Times New Roman"/>
          <w:szCs w:val="24"/>
        </w:rPr>
        <w:t xml:space="preserve">and adequate </w:t>
      </w:r>
      <w:r w:rsidRPr="00F922F1">
        <w:rPr>
          <w:rFonts w:cs="Times New Roman"/>
          <w:bCs/>
          <w:szCs w:val="24"/>
        </w:rPr>
        <w:t>social protection</w:t>
      </w:r>
      <w:r w:rsidRPr="00F922F1">
        <w:rPr>
          <w:rFonts w:cs="Times New Roman"/>
          <w:szCs w:val="24"/>
        </w:rPr>
        <w:t xml:space="preserve">, to combat </w:t>
      </w:r>
      <w:r w:rsidRPr="00F922F1">
        <w:rPr>
          <w:rFonts w:cs="Times New Roman"/>
          <w:bCs/>
          <w:szCs w:val="24"/>
        </w:rPr>
        <w:t>social exclusion</w:t>
      </w:r>
      <w:r w:rsidRPr="00F922F1">
        <w:rPr>
          <w:rFonts w:cs="Times New Roman"/>
          <w:szCs w:val="24"/>
        </w:rPr>
        <w:t xml:space="preserve"> and </w:t>
      </w:r>
      <w:r w:rsidRPr="00F922F1">
        <w:rPr>
          <w:rFonts w:cs="Times New Roman"/>
          <w:bCs/>
          <w:szCs w:val="24"/>
        </w:rPr>
        <w:t>poverty</w:t>
      </w:r>
      <w:r w:rsidRPr="00F922F1">
        <w:rPr>
          <w:rFonts w:cs="Times New Roman"/>
          <w:szCs w:val="24"/>
        </w:rPr>
        <w:t xml:space="preserve">, and to improve </w:t>
      </w:r>
      <w:r w:rsidRPr="00F922F1">
        <w:rPr>
          <w:rFonts w:cs="Times New Roman"/>
          <w:bCs/>
          <w:szCs w:val="24"/>
        </w:rPr>
        <w:t>working conditions</w:t>
      </w:r>
      <w:r w:rsidRPr="00F922F1">
        <w:rPr>
          <w:rFonts w:cs="Times New Roman"/>
          <w:szCs w:val="24"/>
        </w:rPr>
        <w:t xml:space="preserve">. EaSI is made up of three axes; </w:t>
      </w:r>
      <w:r w:rsidRPr="00F922F1">
        <w:rPr>
          <w:rFonts w:cs="Times New Roman"/>
          <w:bCs/>
          <w:szCs w:val="24"/>
        </w:rPr>
        <w:t>Progress</w:t>
      </w:r>
      <w:r w:rsidRPr="00F922F1">
        <w:rPr>
          <w:rFonts w:cs="Times New Roman"/>
          <w:szCs w:val="24"/>
        </w:rPr>
        <w:t xml:space="preserve">, </w:t>
      </w:r>
      <w:r w:rsidRPr="00F922F1">
        <w:rPr>
          <w:rFonts w:cs="Times New Roman"/>
          <w:bCs/>
          <w:szCs w:val="24"/>
        </w:rPr>
        <w:t>EURES</w:t>
      </w:r>
      <w:r w:rsidRPr="00F922F1">
        <w:rPr>
          <w:rFonts w:cs="Times New Roman"/>
          <w:szCs w:val="24"/>
        </w:rPr>
        <w:t xml:space="preserve"> and </w:t>
      </w:r>
      <w:r w:rsidRPr="00F922F1">
        <w:rPr>
          <w:rFonts w:cs="Times New Roman"/>
          <w:bCs/>
          <w:szCs w:val="24"/>
        </w:rPr>
        <w:t>Progress Microfinance.</w:t>
      </w:r>
      <w:r w:rsidRPr="00F922F1">
        <w:rPr>
          <w:rFonts w:cs="Times New Roman"/>
          <w:szCs w:val="24"/>
        </w:rPr>
        <w:t xml:space="preserve"> DWP </w:t>
      </w:r>
      <w:r w:rsidR="00813E08" w:rsidRPr="00F922F1">
        <w:rPr>
          <w:rFonts w:cs="Times New Roman"/>
          <w:szCs w:val="24"/>
        </w:rPr>
        <w:t>has nominal</w:t>
      </w:r>
      <w:r w:rsidRPr="00F922F1">
        <w:rPr>
          <w:rFonts w:cs="Times New Roman"/>
          <w:szCs w:val="24"/>
        </w:rPr>
        <w:t xml:space="preserve"> lead on the Employment and Social Innovation fund, as the funding programme is directly managed by the Commission. </w:t>
      </w:r>
    </w:p>
    <w:p w14:paraId="6F85CBC6" w14:textId="77777777" w:rsidR="00F922F1" w:rsidRPr="004266CA" w:rsidRDefault="00F922F1" w:rsidP="004266CA">
      <w:pPr>
        <w:pStyle w:val="EMLevel1Paragraph"/>
      </w:pPr>
      <w:r w:rsidRPr="00F922F1">
        <w:rPr>
          <w:rFonts w:cs="Times New Roman"/>
          <w:szCs w:val="24"/>
        </w:rPr>
        <w:t>EaSI is implemented by EU Regulation, applicable to all Member States, decided by qualified majority voting in Council, and agreed jointly with the European Parliament.  Most actions under the programme are directed at stakeholders other than Government, and require participants to bid for funding.</w:t>
      </w:r>
    </w:p>
    <w:p w14:paraId="7AE750AE" w14:textId="75D1AE84" w:rsidR="00F922F1" w:rsidRPr="004266CA" w:rsidRDefault="00F922F1">
      <w:pPr>
        <w:pStyle w:val="EMLevel1Paragraph"/>
        <w:rPr>
          <w:rFonts w:cs="Times New Roman"/>
        </w:rPr>
      </w:pPr>
      <w:r w:rsidRPr="004266CA">
        <w:rPr>
          <w:rFonts w:cs="Times New Roman"/>
          <w:szCs w:val="24"/>
        </w:rPr>
        <w:t>This instrument will repeal all references to EURES and EaSI regulations  before the</w:t>
      </w:r>
      <w:r w:rsidR="00137D7E">
        <w:rPr>
          <w:rFonts w:cs="Times New Roman"/>
          <w:szCs w:val="24"/>
        </w:rPr>
        <w:t>y</w:t>
      </w:r>
      <w:r w:rsidRPr="004266CA">
        <w:rPr>
          <w:rFonts w:cs="Times New Roman"/>
          <w:szCs w:val="24"/>
        </w:rPr>
        <w:t xml:space="preserve"> are transposed into domestic legislation and gives Secretary of State the necessary powers to safeguard funding for UK bodies should it be required after we exit the EU. </w:t>
      </w:r>
    </w:p>
    <w:p w14:paraId="170F16D4" w14:textId="77777777" w:rsidR="005E7B5C" w:rsidRDefault="005E7B5C" w:rsidP="00CD4FDB">
      <w:pPr>
        <w:pStyle w:val="EMSectionTitle"/>
      </w:pPr>
      <w:r>
        <w:t>Policy background</w:t>
      </w:r>
    </w:p>
    <w:p w14:paraId="38EB80FB" w14:textId="77777777" w:rsidR="005E7B5C" w:rsidRDefault="005E7B5C" w:rsidP="0076508A">
      <w:pPr>
        <w:pStyle w:val="EMSub-sectiontitle"/>
      </w:pPr>
      <w:r>
        <w:t>What is being done and why?</w:t>
      </w:r>
    </w:p>
    <w:p w14:paraId="3DBFFF57" w14:textId="77777777" w:rsidR="005E7B5C" w:rsidRDefault="00722159" w:rsidP="0076508A">
      <w:pPr>
        <w:pStyle w:val="EMLevel1Paragraph"/>
      </w:pPr>
      <w:r w:rsidRPr="00174CCE">
        <w:rPr>
          <w:rFonts w:cs="Times New Roman"/>
          <w:szCs w:val="24"/>
        </w:rPr>
        <w:t>The instrument removes inoperable regulations and references that are no longer applicable to the United Kingdom following our departure from the European Union</w:t>
      </w:r>
      <w:r>
        <w:rPr>
          <w:rFonts w:cs="Times New Roman"/>
          <w:szCs w:val="24"/>
        </w:rPr>
        <w:t xml:space="preserve"> and the consequent ending of our participation in </w:t>
      </w:r>
      <w:r w:rsidR="000E1BED">
        <w:t xml:space="preserve">EURES and EaSI. </w:t>
      </w:r>
    </w:p>
    <w:p w14:paraId="09B38480" w14:textId="77777777" w:rsidR="000E1BED" w:rsidRPr="00D2209E" w:rsidRDefault="000E1BED" w:rsidP="000E1BED">
      <w:pPr>
        <w:pStyle w:val="EMLevel1Paragraph"/>
        <w:numPr>
          <w:ilvl w:val="0"/>
          <w:numId w:val="0"/>
        </w:numPr>
        <w:ind w:left="720"/>
        <w:rPr>
          <w:u w:val="single"/>
        </w:rPr>
      </w:pPr>
      <w:r w:rsidRPr="00D2209E">
        <w:rPr>
          <w:u w:val="single"/>
        </w:rPr>
        <w:t>What is EURES and EaSI and how do they function?</w:t>
      </w:r>
    </w:p>
    <w:p w14:paraId="46EED873" w14:textId="77777777" w:rsidR="00D2209E" w:rsidRDefault="00D2209E" w:rsidP="000E1BED">
      <w:pPr>
        <w:pStyle w:val="EMLevel1Paragraph"/>
        <w:numPr>
          <w:ilvl w:val="0"/>
          <w:numId w:val="0"/>
        </w:numPr>
        <w:ind w:left="720"/>
        <w:rPr>
          <w:lang w:eastAsia="en-GB"/>
        </w:rPr>
      </w:pPr>
      <w:r>
        <w:rPr>
          <w:lang w:val="en"/>
        </w:rPr>
        <w:t xml:space="preserve">EU regulations require all member states to be part of EURES in support of the objectives around freedom of movement and labour mobility. </w:t>
      </w:r>
      <w:r w:rsidRPr="00C54684">
        <w:rPr>
          <w:lang w:val="en"/>
        </w:rPr>
        <w:t xml:space="preserve">EURES is a network of public employment services, its principle aim being </w:t>
      </w:r>
      <w:r w:rsidRPr="009238F5">
        <w:rPr>
          <w:lang w:eastAsia="en-GB"/>
        </w:rPr>
        <w:t xml:space="preserve">to facilitate labour mobility across the European Economic Area </w:t>
      </w:r>
      <w:r>
        <w:rPr>
          <w:lang w:eastAsia="en-GB"/>
        </w:rPr>
        <w:t>EEA</w:t>
      </w:r>
      <w:r w:rsidRPr="009238F5">
        <w:rPr>
          <w:lang w:eastAsia="en-GB"/>
        </w:rPr>
        <w:t>.</w:t>
      </w:r>
    </w:p>
    <w:p w14:paraId="53F28539" w14:textId="77777777" w:rsidR="00D2209E" w:rsidRPr="004266CA" w:rsidRDefault="00D2209E" w:rsidP="004266CA">
      <w:pPr>
        <w:pStyle w:val="EMLevel1Paragraph"/>
        <w:numPr>
          <w:ilvl w:val="0"/>
          <w:numId w:val="0"/>
        </w:numPr>
        <w:ind w:left="720"/>
        <w:rPr>
          <w:rFonts w:cs="Times New Roman"/>
          <w:szCs w:val="24"/>
          <w:lang w:val="en"/>
        </w:rPr>
      </w:pPr>
      <w:r w:rsidRPr="009238F5">
        <w:t>The EaSI fund facilitates research, projects and policy development to support EU level priorities in the field of employment and social protection.</w:t>
      </w:r>
      <w:r>
        <w:t xml:space="preserve"> </w:t>
      </w:r>
      <w:r w:rsidRPr="00C96EB8">
        <w:rPr>
          <w:rFonts w:cs="Times New Roman"/>
          <w:szCs w:val="24"/>
          <w:lang w:val="en"/>
        </w:rPr>
        <w:t xml:space="preserve">The Employment and </w:t>
      </w:r>
      <w:r w:rsidRPr="00C96EB8">
        <w:rPr>
          <w:rFonts w:cs="Times New Roman"/>
          <w:szCs w:val="24"/>
          <w:lang w:val="en"/>
        </w:rPr>
        <w:lastRenderedPageBreak/>
        <w:t>Social Innovation fund is EU funding programme that the UK contributions to through the MFF, the European Union budgeting platform MFF. This is a direct bid funding programme managed by the Commission</w:t>
      </w:r>
      <w:r w:rsidR="00C96EB8">
        <w:rPr>
          <w:rFonts w:cs="Times New Roman"/>
          <w:szCs w:val="24"/>
          <w:lang w:val="en"/>
        </w:rPr>
        <w:t xml:space="preserve"> for companies competitively bid to carr</w:t>
      </w:r>
      <w:r w:rsidR="00000E8A">
        <w:rPr>
          <w:rFonts w:cs="Times New Roman"/>
          <w:szCs w:val="24"/>
          <w:lang w:val="en"/>
        </w:rPr>
        <w:t>y</w:t>
      </w:r>
      <w:r w:rsidR="00C96EB8">
        <w:rPr>
          <w:rFonts w:cs="Times New Roman"/>
          <w:szCs w:val="24"/>
          <w:lang w:val="en"/>
        </w:rPr>
        <w:t xml:space="preserve"> research/projects on behalf of the European Commission</w:t>
      </w:r>
      <w:r w:rsidRPr="00C96EB8">
        <w:rPr>
          <w:rFonts w:cs="Times New Roman"/>
          <w:szCs w:val="24"/>
          <w:lang w:val="en"/>
        </w:rPr>
        <w:t>.</w:t>
      </w:r>
    </w:p>
    <w:p w14:paraId="19EDC68F" w14:textId="77777777" w:rsidR="005E7B5C" w:rsidRPr="00000E8A" w:rsidRDefault="005E7B5C" w:rsidP="00CD4FDB">
      <w:pPr>
        <w:pStyle w:val="EMSectionTitle"/>
      </w:pPr>
      <w:r w:rsidRPr="00000E8A">
        <w:t>E</w:t>
      </w:r>
      <w:r w:rsidR="0009226B" w:rsidRPr="00000E8A">
        <w:t>uropean Union (Withdrawal) Act/</w:t>
      </w:r>
      <w:r w:rsidRPr="00000E8A">
        <w:t>Withdrawal of the United Kingdom from the European Union</w:t>
      </w:r>
    </w:p>
    <w:p w14:paraId="51E7102C" w14:textId="77777777" w:rsidR="005E7B5C" w:rsidRDefault="005E7B5C" w:rsidP="001A7492">
      <w:pPr>
        <w:pStyle w:val="EMLevel1Paragraph"/>
        <w:numPr>
          <w:ilvl w:val="0"/>
          <w:numId w:val="0"/>
        </w:numPr>
        <w:ind w:left="720"/>
      </w:pPr>
      <w:bookmarkStart w:id="2" w:name="_3znysh7" w:colFirst="0" w:colLast="0"/>
      <w:bookmarkEnd w:id="2"/>
      <w:r w:rsidRPr="00000E8A">
        <w:t xml:space="preserve">This instrument is being made using the power in </w:t>
      </w:r>
      <w:r w:rsidR="007C4BCF">
        <w:t>S</w:t>
      </w:r>
      <w:r w:rsidRPr="00000E8A">
        <w:t xml:space="preserve">ection 8 </w:t>
      </w:r>
      <w:r w:rsidR="00325AD0" w:rsidRPr="00000E8A">
        <w:t xml:space="preserve">of </w:t>
      </w:r>
      <w:r w:rsidRPr="00000E8A">
        <w:t xml:space="preserve">the European Union (Withdrawal) Act 2018 in order to address failures of retained EU law to operate effectively or other deficiencies arising from the withdrawal of the United Kingdom from the European Union. In accordance with the requirements of that Act the Minister has made the relevant statements as detailed in Part 2 of the Annex to this Explanatory Memorandum. </w:t>
      </w:r>
    </w:p>
    <w:p w14:paraId="286458FA" w14:textId="77777777" w:rsidR="005E7B5C" w:rsidRDefault="005E7B5C" w:rsidP="00CD4FDB">
      <w:pPr>
        <w:pStyle w:val="EMSectionTitle"/>
      </w:pPr>
      <w:r>
        <w:t>Consolidation</w:t>
      </w:r>
    </w:p>
    <w:p w14:paraId="2CB6455D" w14:textId="77777777" w:rsidR="005E7B5C" w:rsidRDefault="00F922F1" w:rsidP="0076508A">
      <w:pPr>
        <w:pStyle w:val="EMLevel1Paragraph"/>
      </w:pPr>
      <w:r>
        <w:rPr>
          <w:color w:val="000000"/>
        </w:rPr>
        <w:t>Not Applicable</w:t>
      </w:r>
    </w:p>
    <w:p w14:paraId="678FD2C1" w14:textId="77777777" w:rsidR="005E7B5C" w:rsidRDefault="005E7B5C" w:rsidP="00CD4FDB">
      <w:pPr>
        <w:pStyle w:val="EMSectionTitle"/>
      </w:pPr>
      <w:r>
        <w:t>Consultation outcome</w:t>
      </w:r>
    </w:p>
    <w:p w14:paraId="13952B61" w14:textId="77777777" w:rsidR="005E7B5C" w:rsidRDefault="007C4BCF" w:rsidP="0076508A">
      <w:pPr>
        <w:pStyle w:val="EMLevel1Paragraph"/>
      </w:pPr>
      <w:r>
        <w:rPr>
          <w:color w:val="000000"/>
        </w:rPr>
        <w:t>As t</w:t>
      </w:r>
      <w:r w:rsidR="00000E8A">
        <w:rPr>
          <w:color w:val="000000"/>
        </w:rPr>
        <w:t xml:space="preserve">his instrument repeals inoperable European Union law and makes no policy </w:t>
      </w:r>
      <w:r w:rsidR="007712CC">
        <w:rPr>
          <w:color w:val="000000"/>
        </w:rPr>
        <w:t>changes,</w:t>
      </w:r>
      <w:r w:rsidR="00000E8A">
        <w:rPr>
          <w:color w:val="000000"/>
        </w:rPr>
        <w:t xml:space="preserve"> consultation was not viewed as necessary. </w:t>
      </w:r>
    </w:p>
    <w:p w14:paraId="5CADE5FA" w14:textId="77777777" w:rsidR="005E7B5C" w:rsidRDefault="005E7B5C" w:rsidP="00CD4FDB">
      <w:pPr>
        <w:pStyle w:val="EMSectionTitle"/>
      </w:pPr>
      <w:r>
        <w:t>Guidance</w:t>
      </w:r>
    </w:p>
    <w:p w14:paraId="165C9B70" w14:textId="77777777" w:rsidR="005E7B5C" w:rsidRDefault="00722159" w:rsidP="0076508A">
      <w:pPr>
        <w:pStyle w:val="EMLevel1Paragraph"/>
      </w:pPr>
      <w:r w:rsidRPr="00722159">
        <w:rPr>
          <w:color w:val="000000"/>
        </w:rPr>
        <w:t xml:space="preserve">The Department for </w:t>
      </w:r>
      <w:r>
        <w:rPr>
          <w:color w:val="000000"/>
        </w:rPr>
        <w:t>Work and Pensions</w:t>
      </w:r>
      <w:r w:rsidRPr="00722159">
        <w:rPr>
          <w:color w:val="000000"/>
        </w:rPr>
        <w:t xml:space="preserve"> does not propose to issue any guidance in relation to this statutory instrument.</w:t>
      </w:r>
      <w:r>
        <w:rPr>
          <w:color w:val="000000"/>
        </w:rPr>
        <w:t xml:space="preserve">  </w:t>
      </w:r>
    </w:p>
    <w:p w14:paraId="79C3D593" w14:textId="77777777" w:rsidR="005E7B5C" w:rsidRPr="000E1BED" w:rsidRDefault="005E7B5C" w:rsidP="00CD4FDB">
      <w:pPr>
        <w:pStyle w:val="EMSectionTitle"/>
      </w:pPr>
      <w:r w:rsidRPr="000E1BED">
        <w:t>Impact</w:t>
      </w:r>
    </w:p>
    <w:p w14:paraId="68E569F4" w14:textId="77777777" w:rsidR="005E7B5C" w:rsidRPr="004266CA" w:rsidRDefault="005E7B5C" w:rsidP="0076508A">
      <w:pPr>
        <w:pStyle w:val="EMLevel1Paragraph"/>
        <w:rPr>
          <w:rFonts w:cs="Times New Roman"/>
          <w:szCs w:val="24"/>
        </w:rPr>
      </w:pPr>
      <w:r w:rsidRPr="004266CA">
        <w:rPr>
          <w:rFonts w:cs="Times New Roman"/>
          <w:szCs w:val="24"/>
        </w:rPr>
        <w:t>The</w:t>
      </w:r>
      <w:r w:rsidR="00782598" w:rsidRPr="004266CA">
        <w:rPr>
          <w:rFonts w:cs="Times New Roman"/>
          <w:szCs w:val="24"/>
        </w:rPr>
        <w:t>re is no significant impact on</w:t>
      </w:r>
      <w:r w:rsidRPr="004266CA">
        <w:rPr>
          <w:rFonts w:cs="Times New Roman"/>
          <w:szCs w:val="24"/>
        </w:rPr>
        <w:t xml:space="preserve"> impact on business, charities or</w:t>
      </w:r>
      <w:r w:rsidR="001F6F82" w:rsidRPr="004266CA">
        <w:rPr>
          <w:rFonts w:cs="Times New Roman"/>
          <w:szCs w:val="24"/>
        </w:rPr>
        <w:t xml:space="preserve"> voluntary bodies</w:t>
      </w:r>
      <w:r w:rsidR="00025B79" w:rsidRPr="004266CA">
        <w:rPr>
          <w:rFonts w:cs="Times New Roman"/>
          <w:szCs w:val="24"/>
        </w:rPr>
        <w:t xml:space="preserve">.  </w:t>
      </w:r>
    </w:p>
    <w:p w14:paraId="441E91BA" w14:textId="77777777" w:rsidR="00675EC2" w:rsidRDefault="005E7B5C" w:rsidP="00675EC2">
      <w:pPr>
        <w:pStyle w:val="EMLevel1Paragraph"/>
        <w:rPr>
          <w:rFonts w:cs="Times New Roman"/>
          <w:szCs w:val="24"/>
        </w:rPr>
      </w:pPr>
      <w:r w:rsidRPr="004266CA">
        <w:rPr>
          <w:rFonts w:cs="Times New Roman"/>
          <w:szCs w:val="24"/>
        </w:rPr>
        <w:t>The</w:t>
      </w:r>
      <w:r w:rsidR="00782598" w:rsidRPr="004266CA">
        <w:rPr>
          <w:rFonts w:cs="Times New Roman"/>
          <w:szCs w:val="24"/>
        </w:rPr>
        <w:t>re is no significant</w:t>
      </w:r>
      <w:r w:rsidRPr="004266CA">
        <w:rPr>
          <w:rFonts w:cs="Times New Roman"/>
          <w:szCs w:val="24"/>
        </w:rPr>
        <w:t xml:space="preserve"> impact on the public sector.</w:t>
      </w:r>
    </w:p>
    <w:p w14:paraId="63C96F79" w14:textId="77777777" w:rsidR="004266CA" w:rsidRPr="00B75D08" w:rsidRDefault="0026042C" w:rsidP="004266CA">
      <w:pPr>
        <w:pStyle w:val="EMLevel1Paragraph"/>
        <w:rPr>
          <w:rFonts w:cs="Times New Roman"/>
          <w:szCs w:val="24"/>
        </w:rPr>
      </w:pPr>
      <w:r w:rsidRPr="004266CA">
        <w:rPr>
          <w:rFonts w:cs="Times New Roman"/>
          <w:szCs w:val="24"/>
        </w:rPr>
        <w:t>As the impact of this legislation is not significant, a full impact assessment has not been prepared.  Proportionate analysis suggests that</w:t>
      </w:r>
      <w:r w:rsidR="004266CA" w:rsidRPr="00B75D08">
        <w:rPr>
          <w:rFonts w:cs="Times New Roman"/>
          <w:szCs w:val="24"/>
        </w:rPr>
        <w:t xml:space="preserve"> availability of other free-to-use services, the removal of the EURES service will not prevent jobseekers and employers from pursuing and advertising jobs/vacancies outside of the UK, so the impact to these stakeholders is estimated to be minimal. The number of UK bodies that draw from the EaSI funding programme is small but the domestic funding guarantee announced HM Treasury aims to safeguard UK businesses in the event of the UK’s withdrawal from the EU without an agreement.</w:t>
      </w:r>
    </w:p>
    <w:p w14:paraId="74308715" w14:textId="77777777" w:rsidR="005E7B5C" w:rsidRDefault="005E7B5C" w:rsidP="00CD4FDB">
      <w:pPr>
        <w:pStyle w:val="EMSectionTitle"/>
      </w:pPr>
      <w:r>
        <w:t>Regulating small business</w:t>
      </w:r>
    </w:p>
    <w:p w14:paraId="04BB2C31" w14:textId="77777777" w:rsidR="005E7B5C" w:rsidRDefault="005E7B5C" w:rsidP="00083539">
      <w:pPr>
        <w:pStyle w:val="EMLevel1Paragraph"/>
      </w:pPr>
      <w:r>
        <w:t xml:space="preserve">The legislation </w:t>
      </w:r>
      <w:r w:rsidR="00142557">
        <w:t>does not apply to</w:t>
      </w:r>
      <w:r>
        <w:t xml:space="preserve"> activities that are undertaken by small businesses. </w:t>
      </w:r>
    </w:p>
    <w:p w14:paraId="1B9AF525" w14:textId="77777777" w:rsidR="005E7B5C" w:rsidRDefault="005E7B5C" w:rsidP="00CD4FDB">
      <w:pPr>
        <w:pStyle w:val="EMSectionTitle"/>
      </w:pPr>
      <w:r>
        <w:t>Monitoring &amp; review</w:t>
      </w:r>
    </w:p>
    <w:p w14:paraId="22BB5FC4" w14:textId="77777777" w:rsidR="007C4BCF" w:rsidRPr="004266CA" w:rsidRDefault="007C4BCF" w:rsidP="007C4BCF">
      <w:pPr>
        <w:pStyle w:val="EMLevel1Paragraph"/>
        <w:ind w:left="696" w:hanging="576"/>
      </w:pPr>
      <w:r w:rsidRPr="004266CA">
        <w:t xml:space="preserve">As this instrument only </w:t>
      </w:r>
      <w:r w:rsidR="00745763" w:rsidRPr="00A7429B">
        <w:rPr>
          <w:rFonts w:cs="Times New Roman"/>
          <w:szCs w:val="24"/>
        </w:rPr>
        <w:t xml:space="preserve">removes inoperable regulations and references, </w:t>
      </w:r>
      <w:r w:rsidRPr="004266CA">
        <w:t>no monitoring is required.</w:t>
      </w:r>
      <w:r w:rsidRPr="00A7429B" w:rsidDel="00116334">
        <w:rPr>
          <w:rStyle w:val="CommentReference"/>
          <w:rFonts w:cs="Times New Roman"/>
        </w:rPr>
        <w:t xml:space="preserve"> </w:t>
      </w:r>
    </w:p>
    <w:p w14:paraId="09559515" w14:textId="77777777" w:rsidR="005E7B5C" w:rsidRDefault="005E7B5C" w:rsidP="0076508A">
      <w:pPr>
        <w:pStyle w:val="EMLevel1Paragraph"/>
      </w:pPr>
      <w:r>
        <w:t xml:space="preserve">As this instrument is made under the EU Withdrawal Act 2018, no review clause is required. </w:t>
      </w:r>
    </w:p>
    <w:p w14:paraId="334506EB" w14:textId="77777777" w:rsidR="005E7B5C" w:rsidRDefault="005E7B5C" w:rsidP="00CD4FDB">
      <w:pPr>
        <w:pStyle w:val="EMSectionTitle"/>
      </w:pPr>
      <w:r>
        <w:lastRenderedPageBreak/>
        <w:t>Contact</w:t>
      </w:r>
    </w:p>
    <w:p w14:paraId="7A27395D" w14:textId="77777777" w:rsidR="005E7B5C" w:rsidRDefault="00E81745" w:rsidP="0076508A">
      <w:pPr>
        <w:pStyle w:val="EMLevel1Paragraph"/>
      </w:pPr>
      <w:r>
        <w:t>Greg Mutyambizi</w:t>
      </w:r>
      <w:r w:rsidR="007C6221">
        <w:t xml:space="preserve"> at the Department for Work and Pensions</w:t>
      </w:r>
      <w:r w:rsidR="00321908">
        <w:t xml:space="preserve"> (</w:t>
      </w:r>
      <w:r w:rsidR="00745763">
        <w:t>T</w:t>
      </w:r>
      <w:r w:rsidR="00321908">
        <w:t>elephone: 0207</w:t>
      </w:r>
      <w:r w:rsidR="00745763">
        <w:t xml:space="preserve"> </w:t>
      </w:r>
      <w:r w:rsidR="00321908">
        <w:t>3404028 or</w:t>
      </w:r>
      <w:r w:rsidR="005E7B5C">
        <w:t xml:space="preserve"> email: </w:t>
      </w:r>
      <w:hyperlink r:id="rId8" w:history="1">
        <w:r w:rsidR="00142557" w:rsidRPr="007D6104">
          <w:rPr>
            <w:rStyle w:val="Hyperlink"/>
          </w:rPr>
          <w:t>greg.mutyambizi@dwp.gsi.gov.uk</w:t>
        </w:r>
      </w:hyperlink>
      <w:r w:rsidR="00142557">
        <w:t xml:space="preserve"> </w:t>
      </w:r>
      <w:r w:rsidR="005E7B5C">
        <w:t>can be contacted with any queries regarding the instrument.</w:t>
      </w:r>
    </w:p>
    <w:p w14:paraId="4DD09660" w14:textId="138BC8BE" w:rsidR="00055067" w:rsidRDefault="00582C90" w:rsidP="0076508A">
      <w:pPr>
        <w:pStyle w:val="EMLevel1Paragraph"/>
      </w:pPr>
      <w:r>
        <w:t>Mark Turner,</w:t>
      </w:r>
      <w:r w:rsidR="00FE5187">
        <w:t xml:space="preserve"> </w:t>
      </w:r>
      <w:r>
        <w:t>Head of EU Exit Planning, Coordination and Legislation</w:t>
      </w:r>
      <w:r w:rsidR="00745763">
        <w:t xml:space="preserve"> at the Department for Work and Pensions can confirm that this Explanatory Memorandum meets the required standard. </w:t>
      </w:r>
    </w:p>
    <w:p w14:paraId="5625C8CD" w14:textId="5AA29B2F" w:rsidR="005E7B5C" w:rsidRDefault="00E81745" w:rsidP="0076508A">
      <w:pPr>
        <w:pStyle w:val="EMLevel1Paragraph"/>
      </w:pPr>
      <w:bookmarkStart w:id="3" w:name="_GoBack"/>
      <w:bookmarkEnd w:id="3"/>
      <w:r>
        <w:t>Alok Sharma</w:t>
      </w:r>
      <w:r w:rsidR="00383244">
        <w:t xml:space="preserve"> MP, Minister for Employment at the </w:t>
      </w:r>
      <w:r>
        <w:t>Department for Work and Pensions</w:t>
      </w:r>
      <w:r w:rsidR="005E7B5C">
        <w:t xml:space="preserve"> can confirm that this Explanatory Memorandum meets the required standard.</w:t>
      </w:r>
    </w:p>
    <w:p w14:paraId="029537D8" w14:textId="77777777" w:rsidR="005E7B5C" w:rsidRDefault="005E7B5C" w:rsidP="005E7B5C">
      <w:pPr>
        <w:pBdr>
          <w:top w:val="nil"/>
          <w:left w:val="nil"/>
          <w:bottom w:val="nil"/>
          <w:right w:val="nil"/>
          <w:between w:val="nil"/>
        </w:pBdr>
        <w:spacing w:line="276" w:lineRule="auto"/>
        <w:rPr>
          <w:color w:val="000000"/>
        </w:rPr>
      </w:pPr>
      <w:r>
        <w:br w:type="page"/>
      </w:r>
    </w:p>
    <w:p w14:paraId="63A8BF4C" w14:textId="77777777" w:rsidR="005E7B5C" w:rsidRDefault="00621F47" w:rsidP="00FC0AA9">
      <w:pPr>
        <w:pStyle w:val="AnnexMainHeading"/>
      </w:pPr>
      <w:r>
        <w:lastRenderedPageBreak/>
        <w:t>Annex</w:t>
      </w:r>
    </w:p>
    <w:p w14:paraId="5BBF9F79" w14:textId="77777777" w:rsidR="005E7B5C" w:rsidRDefault="005E7B5C" w:rsidP="00FC0AA9">
      <w:pPr>
        <w:pStyle w:val="AnnexMainTitle"/>
      </w:pPr>
      <w:r>
        <w:t>Statements under the European Union (Withdrawal) Act 2018</w:t>
      </w:r>
    </w:p>
    <w:p w14:paraId="6155CF21" w14:textId="77777777" w:rsidR="005E7B5C" w:rsidRPr="00FC0AA9" w:rsidRDefault="005E7B5C" w:rsidP="00FC0AA9">
      <w:pPr>
        <w:pStyle w:val="AnnexPartHeading"/>
      </w:pPr>
      <w:r w:rsidRPr="00FC0AA9">
        <w:t xml:space="preserve">Part 1 </w:t>
      </w:r>
    </w:p>
    <w:p w14:paraId="33F80D97" w14:textId="77777777" w:rsidR="005E7B5C" w:rsidRDefault="005E7B5C" w:rsidP="000C7B96">
      <w:pPr>
        <w:pStyle w:val="AnnexPartTitle"/>
      </w:pPr>
      <w:r>
        <w:t>Table of Statements under the 2018 Act</w:t>
      </w:r>
    </w:p>
    <w:p w14:paraId="4E2E2336" w14:textId="77777777" w:rsidR="005E7B5C" w:rsidRPr="000C7B96" w:rsidRDefault="005E7B5C" w:rsidP="003D51B8">
      <w:pPr>
        <w:pStyle w:val="EMParagraphContinuationUnnumbered"/>
      </w:pPr>
      <w:r w:rsidRPr="000C7B96">
        <w:t xml:space="preserve">This table sets out the statements that </w:t>
      </w:r>
      <w:r w:rsidRPr="000C7B96">
        <w:rPr>
          <w:u w:val="single"/>
        </w:rPr>
        <w:t>may</w:t>
      </w:r>
      <w:r w:rsidRPr="000C7B96">
        <w:t xml:space="preserve"> be required under the 2018 Act.</w:t>
      </w: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5E7B5C" w14:paraId="49330960" w14:textId="77777777" w:rsidTr="00152590">
        <w:tc>
          <w:tcPr>
            <w:tcW w:w="1418" w:type="dxa"/>
            <w:shd w:val="clear" w:color="auto" w:fill="auto"/>
            <w:tcMar>
              <w:top w:w="100" w:type="dxa"/>
              <w:left w:w="100" w:type="dxa"/>
              <w:bottom w:w="100" w:type="dxa"/>
              <w:right w:w="100" w:type="dxa"/>
            </w:tcMar>
          </w:tcPr>
          <w:p w14:paraId="5B09A1C9" w14:textId="77777777" w:rsidR="005E7B5C" w:rsidRDefault="005E7B5C" w:rsidP="003D51B8">
            <w:pPr>
              <w:pStyle w:val="AnnexTableHeadings"/>
            </w:pPr>
            <w:r>
              <w:t>Statement</w:t>
            </w:r>
          </w:p>
        </w:tc>
        <w:tc>
          <w:tcPr>
            <w:tcW w:w="2551" w:type="dxa"/>
            <w:shd w:val="clear" w:color="auto" w:fill="auto"/>
            <w:tcMar>
              <w:top w:w="100" w:type="dxa"/>
              <w:left w:w="100" w:type="dxa"/>
              <w:bottom w:w="100" w:type="dxa"/>
              <w:right w:w="100" w:type="dxa"/>
            </w:tcMar>
          </w:tcPr>
          <w:p w14:paraId="1B908DB0" w14:textId="77777777" w:rsidR="005E7B5C" w:rsidRDefault="005E7B5C" w:rsidP="003D51B8">
            <w:pPr>
              <w:pStyle w:val="AnnexTableHeadings"/>
            </w:pPr>
            <w:r>
              <w:t>Where the requirement sits</w:t>
            </w:r>
          </w:p>
        </w:tc>
        <w:tc>
          <w:tcPr>
            <w:tcW w:w="2694" w:type="dxa"/>
            <w:shd w:val="clear" w:color="auto" w:fill="auto"/>
            <w:tcMar>
              <w:top w:w="100" w:type="dxa"/>
              <w:left w:w="100" w:type="dxa"/>
              <w:bottom w:w="100" w:type="dxa"/>
              <w:right w:w="100" w:type="dxa"/>
            </w:tcMar>
          </w:tcPr>
          <w:p w14:paraId="13986179" w14:textId="77777777" w:rsidR="005E7B5C" w:rsidRDefault="005E7B5C" w:rsidP="003D51B8">
            <w:pPr>
              <w:pStyle w:val="AnnexTableHeadings"/>
            </w:pPr>
            <w:r>
              <w:t>To whom it applies</w:t>
            </w:r>
          </w:p>
        </w:tc>
        <w:tc>
          <w:tcPr>
            <w:tcW w:w="3685" w:type="dxa"/>
            <w:shd w:val="clear" w:color="auto" w:fill="auto"/>
            <w:tcMar>
              <w:top w:w="100" w:type="dxa"/>
              <w:left w:w="100" w:type="dxa"/>
              <w:bottom w:w="100" w:type="dxa"/>
              <w:right w:w="100" w:type="dxa"/>
            </w:tcMar>
          </w:tcPr>
          <w:p w14:paraId="57E00BD7" w14:textId="77777777" w:rsidR="005E7B5C" w:rsidRDefault="005E7B5C" w:rsidP="003D51B8">
            <w:pPr>
              <w:pStyle w:val="AnnexTableHeadings"/>
            </w:pPr>
            <w:r>
              <w:t>What it requires</w:t>
            </w:r>
          </w:p>
        </w:tc>
      </w:tr>
      <w:tr w:rsidR="005E7B5C" w14:paraId="0837F77F" w14:textId="77777777" w:rsidTr="00152590">
        <w:tc>
          <w:tcPr>
            <w:tcW w:w="1418" w:type="dxa"/>
            <w:tcBorders>
              <w:left w:val="single" w:sz="6" w:space="0" w:color="000000"/>
            </w:tcBorders>
            <w:shd w:val="clear" w:color="auto" w:fill="auto"/>
            <w:tcMar>
              <w:top w:w="100" w:type="dxa"/>
              <w:left w:w="100" w:type="dxa"/>
              <w:bottom w:w="100" w:type="dxa"/>
              <w:right w:w="100" w:type="dxa"/>
            </w:tcMar>
          </w:tcPr>
          <w:p w14:paraId="45FB92A6" w14:textId="77777777" w:rsidR="005E7B5C" w:rsidRDefault="005E7B5C" w:rsidP="003D51B8">
            <w:pPr>
              <w:pStyle w:val="AnnexTableText"/>
            </w:pPr>
            <w:r>
              <w:t>Sifting</w:t>
            </w:r>
          </w:p>
        </w:tc>
        <w:tc>
          <w:tcPr>
            <w:tcW w:w="2551" w:type="dxa"/>
            <w:shd w:val="clear" w:color="auto" w:fill="auto"/>
            <w:tcMar>
              <w:top w:w="100" w:type="dxa"/>
              <w:left w:w="100" w:type="dxa"/>
              <w:bottom w:w="100" w:type="dxa"/>
              <w:right w:w="100" w:type="dxa"/>
            </w:tcMar>
          </w:tcPr>
          <w:p w14:paraId="5F35BDEC" w14:textId="77777777" w:rsidR="005E7B5C" w:rsidRDefault="005E7B5C" w:rsidP="003D51B8">
            <w:pPr>
              <w:pStyle w:val="AnnexTableText"/>
            </w:pPr>
            <w:r>
              <w:t>Paragraphs 3(3), 3(7) and 17(3) and 17(7) of Schedule  7</w:t>
            </w:r>
          </w:p>
        </w:tc>
        <w:tc>
          <w:tcPr>
            <w:tcW w:w="2694" w:type="dxa"/>
            <w:shd w:val="clear" w:color="auto" w:fill="auto"/>
            <w:tcMar>
              <w:top w:w="100" w:type="dxa"/>
              <w:left w:w="100" w:type="dxa"/>
              <w:bottom w:w="100" w:type="dxa"/>
              <w:right w:w="100" w:type="dxa"/>
            </w:tcMar>
          </w:tcPr>
          <w:p w14:paraId="2BC3FBD9" w14:textId="77777777" w:rsidR="005E7B5C" w:rsidRDefault="005E7B5C" w:rsidP="003A62B8">
            <w:pPr>
              <w:pStyle w:val="AnnexTableText"/>
            </w:pPr>
            <w:r>
              <w:t xml:space="preserve">Ministers of the Crown exercising </w:t>
            </w:r>
            <w:r w:rsidR="003A62B8">
              <w:t>sections</w:t>
            </w:r>
            <w:r>
              <w:t xml:space="preserve"> 8(1), 9 and 23(1) to make a Negative SI</w:t>
            </w:r>
          </w:p>
        </w:tc>
        <w:tc>
          <w:tcPr>
            <w:tcW w:w="3685" w:type="dxa"/>
            <w:shd w:val="clear" w:color="auto" w:fill="auto"/>
            <w:tcMar>
              <w:top w:w="100" w:type="dxa"/>
              <w:left w:w="100" w:type="dxa"/>
              <w:bottom w:w="100" w:type="dxa"/>
              <w:right w:w="100" w:type="dxa"/>
            </w:tcMar>
          </w:tcPr>
          <w:p w14:paraId="18A18A01" w14:textId="77777777" w:rsidR="005E7B5C" w:rsidRDefault="005E7B5C" w:rsidP="003D7744">
            <w:pPr>
              <w:pStyle w:val="AnnexTableText"/>
            </w:pPr>
            <w:r>
              <w:t>Explain why the instrument should be subject to the negative procedure and, if applicable, why they disagree with the recommendation(s) of the SLSC/</w:t>
            </w:r>
            <w:r w:rsidR="003D7744">
              <w:t>Sifting Committees</w:t>
            </w:r>
          </w:p>
        </w:tc>
      </w:tr>
      <w:tr w:rsidR="005E7B5C" w14:paraId="3DE8C749" w14:textId="77777777" w:rsidTr="00152590">
        <w:tc>
          <w:tcPr>
            <w:tcW w:w="1418" w:type="dxa"/>
            <w:shd w:val="clear" w:color="auto" w:fill="auto"/>
            <w:tcMar>
              <w:top w:w="100" w:type="dxa"/>
              <w:left w:w="100" w:type="dxa"/>
              <w:bottom w:w="100" w:type="dxa"/>
              <w:right w:w="100" w:type="dxa"/>
            </w:tcMar>
          </w:tcPr>
          <w:p w14:paraId="661E8047" w14:textId="77777777" w:rsidR="005E7B5C" w:rsidRDefault="005E7B5C" w:rsidP="003D51B8">
            <w:pPr>
              <w:pStyle w:val="AnnexTableText"/>
            </w:pPr>
            <w:r>
              <w:t>Appropriate-</w:t>
            </w:r>
          </w:p>
          <w:p w14:paraId="3B2C0606" w14:textId="77777777" w:rsidR="005E7B5C" w:rsidRDefault="005E7B5C" w:rsidP="003D51B8">
            <w:pPr>
              <w:pStyle w:val="AnnexTableText"/>
            </w:pPr>
            <w:r>
              <w:t>ness</w:t>
            </w:r>
          </w:p>
        </w:tc>
        <w:tc>
          <w:tcPr>
            <w:tcW w:w="2551" w:type="dxa"/>
            <w:shd w:val="clear" w:color="auto" w:fill="auto"/>
            <w:tcMar>
              <w:top w:w="100" w:type="dxa"/>
              <w:left w:w="100" w:type="dxa"/>
              <w:bottom w:w="100" w:type="dxa"/>
              <w:right w:w="100" w:type="dxa"/>
            </w:tcMar>
          </w:tcPr>
          <w:p w14:paraId="22EFF30A" w14:textId="77777777" w:rsidR="005E7B5C" w:rsidRDefault="005E7B5C" w:rsidP="003D51B8">
            <w:pPr>
              <w:pStyle w:val="AnnexTableText"/>
            </w:pPr>
            <w:r>
              <w:t>Sub-paragraph (2) of paragraph 28, Schedule 7</w:t>
            </w:r>
          </w:p>
        </w:tc>
        <w:tc>
          <w:tcPr>
            <w:tcW w:w="2694" w:type="dxa"/>
            <w:shd w:val="clear" w:color="auto" w:fill="auto"/>
            <w:tcMar>
              <w:top w:w="100" w:type="dxa"/>
              <w:left w:w="100" w:type="dxa"/>
              <w:bottom w:w="100" w:type="dxa"/>
              <w:right w:w="100" w:type="dxa"/>
            </w:tcMar>
          </w:tcPr>
          <w:p w14:paraId="6A4B9ED2"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7218D679" w14:textId="77777777" w:rsidR="005E7B5C" w:rsidRDefault="005E7B5C" w:rsidP="003D51B8">
            <w:pPr>
              <w:pStyle w:val="AnnexTableText"/>
            </w:pPr>
            <w:r>
              <w:t>A statement that the SI does no more than is appropriate.</w:t>
            </w:r>
          </w:p>
        </w:tc>
      </w:tr>
      <w:tr w:rsidR="005E7B5C" w14:paraId="1971A965" w14:textId="77777777" w:rsidTr="00152590">
        <w:tc>
          <w:tcPr>
            <w:tcW w:w="1418" w:type="dxa"/>
            <w:shd w:val="clear" w:color="auto" w:fill="auto"/>
            <w:tcMar>
              <w:top w:w="100" w:type="dxa"/>
              <w:left w:w="100" w:type="dxa"/>
              <w:bottom w:w="100" w:type="dxa"/>
              <w:right w:w="100" w:type="dxa"/>
            </w:tcMar>
          </w:tcPr>
          <w:p w14:paraId="26320194" w14:textId="77777777" w:rsidR="005E7B5C" w:rsidRDefault="005E7B5C" w:rsidP="003D51B8">
            <w:pPr>
              <w:pStyle w:val="AnnexTableText"/>
            </w:pPr>
            <w:r>
              <w:t xml:space="preserve">Good Reasons </w:t>
            </w:r>
          </w:p>
        </w:tc>
        <w:tc>
          <w:tcPr>
            <w:tcW w:w="2551" w:type="dxa"/>
            <w:shd w:val="clear" w:color="auto" w:fill="auto"/>
            <w:tcMar>
              <w:top w:w="100" w:type="dxa"/>
              <w:left w:w="100" w:type="dxa"/>
              <w:bottom w:w="100" w:type="dxa"/>
              <w:right w:w="100" w:type="dxa"/>
            </w:tcMar>
          </w:tcPr>
          <w:p w14:paraId="67735E3C" w14:textId="77777777" w:rsidR="005E7B5C" w:rsidRDefault="005E7B5C" w:rsidP="003D51B8">
            <w:pPr>
              <w:pStyle w:val="AnnexTableText"/>
            </w:pPr>
            <w:r>
              <w:t>Sub-paragraph (3) of paragraph 28, Schedule 7</w:t>
            </w:r>
          </w:p>
        </w:tc>
        <w:tc>
          <w:tcPr>
            <w:tcW w:w="2694" w:type="dxa"/>
            <w:shd w:val="clear" w:color="auto" w:fill="auto"/>
            <w:tcMar>
              <w:top w:w="100" w:type="dxa"/>
              <w:left w:w="100" w:type="dxa"/>
              <w:bottom w:w="100" w:type="dxa"/>
              <w:right w:w="100" w:type="dxa"/>
            </w:tcMar>
          </w:tcPr>
          <w:p w14:paraId="4FF30AF9"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39F8D0DE" w14:textId="77777777" w:rsidR="005E7B5C" w:rsidRDefault="005E7B5C" w:rsidP="003D51B8">
            <w:pPr>
              <w:pStyle w:val="AnnexTableText"/>
            </w:pPr>
            <w:r>
              <w:t>Explain the good reasons for making the instrument and that what is being done is a reasonable course of action.</w:t>
            </w:r>
          </w:p>
        </w:tc>
      </w:tr>
      <w:tr w:rsidR="005E7B5C" w14:paraId="46B88BC8" w14:textId="77777777" w:rsidTr="00152590">
        <w:tc>
          <w:tcPr>
            <w:tcW w:w="1418" w:type="dxa"/>
            <w:shd w:val="clear" w:color="auto" w:fill="auto"/>
            <w:tcMar>
              <w:top w:w="100" w:type="dxa"/>
              <w:left w:w="100" w:type="dxa"/>
              <w:bottom w:w="100" w:type="dxa"/>
              <w:right w:w="100" w:type="dxa"/>
            </w:tcMar>
          </w:tcPr>
          <w:p w14:paraId="387C4BE0" w14:textId="77777777" w:rsidR="005E7B5C" w:rsidRDefault="005E7B5C" w:rsidP="003D51B8">
            <w:pPr>
              <w:pStyle w:val="AnnexTableText"/>
            </w:pPr>
            <w:r>
              <w:t>Equalities</w:t>
            </w:r>
          </w:p>
        </w:tc>
        <w:tc>
          <w:tcPr>
            <w:tcW w:w="2551" w:type="dxa"/>
            <w:shd w:val="clear" w:color="auto" w:fill="auto"/>
            <w:tcMar>
              <w:top w:w="100" w:type="dxa"/>
              <w:left w:w="100" w:type="dxa"/>
              <w:bottom w:w="100" w:type="dxa"/>
              <w:right w:w="100" w:type="dxa"/>
            </w:tcMar>
          </w:tcPr>
          <w:p w14:paraId="1377B575" w14:textId="77777777" w:rsidR="005E7B5C" w:rsidRDefault="005E7B5C" w:rsidP="003D51B8">
            <w:pPr>
              <w:pStyle w:val="AnnexTableText"/>
            </w:pPr>
            <w:r>
              <w:t>Sub-paragraphs (4) and (5) of paragraph 28, Schedule 7</w:t>
            </w:r>
          </w:p>
        </w:tc>
        <w:tc>
          <w:tcPr>
            <w:tcW w:w="2694" w:type="dxa"/>
            <w:shd w:val="clear" w:color="auto" w:fill="auto"/>
            <w:tcMar>
              <w:top w:w="100" w:type="dxa"/>
              <w:left w:w="100" w:type="dxa"/>
              <w:bottom w:w="100" w:type="dxa"/>
              <w:right w:w="100" w:type="dxa"/>
            </w:tcMar>
          </w:tcPr>
          <w:p w14:paraId="7278FE40"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26BED8A9" w14:textId="77777777" w:rsidR="005E7B5C" w:rsidRDefault="005E7B5C" w:rsidP="003D51B8">
            <w:pPr>
              <w:pStyle w:val="AnnexTableText"/>
            </w:pPr>
            <w:r>
              <w:t xml:space="preserve">Explain what, if any, amendment, repeals or revocations are being made to the Equalities Acts 2006 and 2010 and legislation made under them. </w:t>
            </w:r>
          </w:p>
          <w:p w14:paraId="028A852B" w14:textId="77777777" w:rsidR="005E7B5C" w:rsidRDefault="005E7B5C" w:rsidP="003D51B8">
            <w:pPr>
              <w:pStyle w:val="AnnexTableText"/>
            </w:pPr>
          </w:p>
          <w:p w14:paraId="172377D3" w14:textId="77777777" w:rsidR="005E7B5C" w:rsidRDefault="005E7B5C" w:rsidP="003D51B8">
            <w:pPr>
              <w:pStyle w:val="AnnexTableText"/>
            </w:pPr>
            <w:r>
              <w:t>State that the Minister has had due regard to the need to eliminate discrimination and other conduct prohibited under the Equality Act 2010.</w:t>
            </w:r>
          </w:p>
        </w:tc>
      </w:tr>
      <w:tr w:rsidR="005E7B5C" w14:paraId="4FD559F7" w14:textId="77777777" w:rsidTr="00152590">
        <w:tc>
          <w:tcPr>
            <w:tcW w:w="1418" w:type="dxa"/>
            <w:shd w:val="clear" w:color="auto" w:fill="auto"/>
            <w:tcMar>
              <w:top w:w="100" w:type="dxa"/>
              <w:left w:w="100" w:type="dxa"/>
              <w:bottom w:w="100" w:type="dxa"/>
              <w:right w:w="100" w:type="dxa"/>
            </w:tcMar>
          </w:tcPr>
          <w:p w14:paraId="30D755FE" w14:textId="77777777" w:rsidR="005E7B5C" w:rsidRDefault="005E7B5C" w:rsidP="003D51B8">
            <w:pPr>
              <w:pStyle w:val="AnnexTableText"/>
            </w:pPr>
            <w:r>
              <w:t>Explanations</w:t>
            </w:r>
          </w:p>
        </w:tc>
        <w:tc>
          <w:tcPr>
            <w:tcW w:w="2551" w:type="dxa"/>
            <w:shd w:val="clear" w:color="auto" w:fill="auto"/>
            <w:tcMar>
              <w:top w:w="100" w:type="dxa"/>
              <w:left w:w="100" w:type="dxa"/>
              <w:bottom w:w="100" w:type="dxa"/>
              <w:right w:w="100" w:type="dxa"/>
            </w:tcMar>
          </w:tcPr>
          <w:p w14:paraId="500ABF0C" w14:textId="77777777" w:rsidR="005E7B5C" w:rsidRDefault="005E7B5C" w:rsidP="003D51B8">
            <w:pPr>
              <w:pStyle w:val="AnnexTableText"/>
            </w:pPr>
            <w:r>
              <w:t>Sub-paragraph</w:t>
            </w:r>
            <w:r w:rsidR="00621F47">
              <w:t xml:space="preserve"> (6) of paragraph 28, Schedule </w:t>
            </w:r>
            <w:r>
              <w:t>7</w:t>
            </w:r>
          </w:p>
        </w:tc>
        <w:tc>
          <w:tcPr>
            <w:tcW w:w="2694" w:type="dxa"/>
            <w:shd w:val="clear" w:color="auto" w:fill="auto"/>
            <w:tcMar>
              <w:top w:w="100" w:type="dxa"/>
              <w:left w:w="100" w:type="dxa"/>
              <w:bottom w:w="100" w:type="dxa"/>
              <w:right w:w="100" w:type="dxa"/>
            </w:tcMar>
          </w:tcPr>
          <w:p w14:paraId="47501E07"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p w14:paraId="679CD73F" w14:textId="77777777" w:rsidR="00073874" w:rsidRDefault="00073874" w:rsidP="003D51B8">
            <w:pPr>
              <w:pStyle w:val="AnnexTableText"/>
            </w:pPr>
            <w: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14:paraId="06FA6A86" w14:textId="77777777" w:rsidR="005E7B5C" w:rsidRDefault="005E7B5C" w:rsidP="003D51B8">
            <w:pPr>
              <w:pStyle w:val="AnnexTableText"/>
            </w:pPr>
            <w:r>
              <w:t xml:space="preserve">Explain the instrument, identify the relevant law before exit day, explain the instrument’s effect on retained EU </w:t>
            </w:r>
            <w:r w:rsidR="005B2719">
              <w:t xml:space="preserve">law and give information about </w:t>
            </w:r>
            <w:r>
              <w:t xml:space="preserve">the purpose of the instrument, </w:t>
            </w:r>
            <w:r w:rsidR="00FC0AA9">
              <w:t>e.g.</w:t>
            </w:r>
            <w:r>
              <w:t>, whether minor or technical changes only are intended to the EU retained law.</w:t>
            </w:r>
          </w:p>
        </w:tc>
      </w:tr>
      <w:tr w:rsidR="005E7B5C" w14:paraId="23C3012B" w14:textId="77777777" w:rsidTr="00152590">
        <w:tc>
          <w:tcPr>
            <w:tcW w:w="1418" w:type="dxa"/>
            <w:shd w:val="clear" w:color="auto" w:fill="auto"/>
            <w:tcMar>
              <w:top w:w="100" w:type="dxa"/>
              <w:left w:w="100" w:type="dxa"/>
              <w:bottom w:w="100" w:type="dxa"/>
              <w:right w:w="100" w:type="dxa"/>
            </w:tcMar>
          </w:tcPr>
          <w:p w14:paraId="46E936EA" w14:textId="77777777" w:rsidR="005E7B5C" w:rsidRDefault="005E7B5C" w:rsidP="003D51B8">
            <w:pPr>
              <w:pStyle w:val="AnnexTableText"/>
            </w:pPr>
            <w:r>
              <w:t>Criminal offences</w:t>
            </w:r>
          </w:p>
        </w:tc>
        <w:tc>
          <w:tcPr>
            <w:tcW w:w="2551" w:type="dxa"/>
            <w:shd w:val="clear" w:color="auto" w:fill="auto"/>
            <w:tcMar>
              <w:top w:w="100" w:type="dxa"/>
              <w:left w:w="100" w:type="dxa"/>
              <w:bottom w:w="100" w:type="dxa"/>
              <w:right w:w="100" w:type="dxa"/>
            </w:tcMar>
          </w:tcPr>
          <w:p w14:paraId="7BEC9535" w14:textId="77777777" w:rsidR="005E7B5C" w:rsidRDefault="005E7B5C" w:rsidP="003D51B8">
            <w:pPr>
              <w:pStyle w:val="AnnexTableText"/>
            </w:pPr>
            <w:r>
              <w:t>Sub-paragraphs (3) and (7) of paragraph 28, Schedule 7</w:t>
            </w:r>
          </w:p>
        </w:tc>
        <w:tc>
          <w:tcPr>
            <w:tcW w:w="2694" w:type="dxa"/>
            <w:shd w:val="clear" w:color="auto" w:fill="auto"/>
            <w:tcMar>
              <w:top w:w="100" w:type="dxa"/>
              <w:left w:w="100" w:type="dxa"/>
              <w:bottom w:w="100" w:type="dxa"/>
              <w:right w:w="100" w:type="dxa"/>
            </w:tcMar>
          </w:tcPr>
          <w:p w14:paraId="3E25092A" w14:textId="77777777" w:rsidR="005E7B5C" w:rsidRDefault="005E7B5C" w:rsidP="003D51B8">
            <w:pPr>
              <w:pStyle w:val="AnnexTableText"/>
            </w:pPr>
            <w:r>
              <w:t xml:space="preserve">Ministers of the Crown exercising </w:t>
            </w:r>
            <w:r w:rsidR="003A62B8" w:rsidRPr="003A62B8">
              <w:t xml:space="preserve">sections </w:t>
            </w:r>
            <w:r>
              <w:t xml:space="preserve">8(1), 9, and </w:t>
            </w:r>
            <w:r>
              <w:lastRenderedPageBreak/>
              <w:t>23(1) or jointly exercising powers in Schedule 2 to create a criminal offence</w:t>
            </w:r>
          </w:p>
        </w:tc>
        <w:tc>
          <w:tcPr>
            <w:tcW w:w="3685" w:type="dxa"/>
            <w:shd w:val="clear" w:color="auto" w:fill="auto"/>
            <w:tcMar>
              <w:top w:w="100" w:type="dxa"/>
              <w:left w:w="100" w:type="dxa"/>
              <w:bottom w:w="100" w:type="dxa"/>
              <w:right w:w="100" w:type="dxa"/>
            </w:tcMar>
          </w:tcPr>
          <w:p w14:paraId="2DDD744A" w14:textId="77777777" w:rsidR="005E7B5C" w:rsidRDefault="005E7B5C" w:rsidP="003D51B8">
            <w:pPr>
              <w:pStyle w:val="AnnexTableText"/>
            </w:pPr>
            <w:r>
              <w:lastRenderedPageBreak/>
              <w:t xml:space="preserve">Set </w:t>
            </w:r>
            <w:r w:rsidR="00BE61FA">
              <w:t>out the</w:t>
            </w:r>
            <w:r>
              <w:t xml:space="preserve"> ‘good reasons’ for creating a criminal offence, and the penalty attached.</w:t>
            </w:r>
          </w:p>
        </w:tc>
      </w:tr>
      <w:tr w:rsidR="005E7B5C" w14:paraId="5EAB75FF" w14:textId="77777777" w:rsidTr="00152590">
        <w:tc>
          <w:tcPr>
            <w:tcW w:w="1418" w:type="dxa"/>
            <w:shd w:val="clear" w:color="auto" w:fill="auto"/>
            <w:tcMar>
              <w:top w:w="100" w:type="dxa"/>
              <w:left w:w="100" w:type="dxa"/>
              <w:bottom w:w="100" w:type="dxa"/>
              <w:right w:w="100" w:type="dxa"/>
            </w:tcMar>
          </w:tcPr>
          <w:p w14:paraId="0B1090A3" w14:textId="77777777" w:rsidR="005E7B5C" w:rsidRDefault="005E7B5C" w:rsidP="003D51B8">
            <w:pPr>
              <w:pStyle w:val="AnnexTableText"/>
            </w:pPr>
            <w:r>
              <w:lastRenderedPageBreak/>
              <w:t>Sub-</w:t>
            </w:r>
          </w:p>
          <w:p w14:paraId="158971AB" w14:textId="77777777" w:rsidR="005E7B5C" w:rsidRDefault="005E7B5C" w:rsidP="003D51B8">
            <w:pPr>
              <w:pStyle w:val="AnnexTableText"/>
            </w:pPr>
            <w:r>
              <w:t>delegation</w:t>
            </w:r>
          </w:p>
        </w:tc>
        <w:tc>
          <w:tcPr>
            <w:tcW w:w="2551" w:type="dxa"/>
            <w:shd w:val="clear" w:color="auto" w:fill="auto"/>
            <w:tcMar>
              <w:top w:w="100" w:type="dxa"/>
              <w:left w:w="100" w:type="dxa"/>
              <w:bottom w:w="100" w:type="dxa"/>
              <w:right w:w="100" w:type="dxa"/>
            </w:tcMar>
          </w:tcPr>
          <w:p w14:paraId="54DA664A" w14:textId="77777777" w:rsidR="005E7B5C" w:rsidRDefault="005E7B5C" w:rsidP="003D51B8">
            <w:pPr>
              <w:pStyle w:val="AnnexTableText"/>
            </w:pPr>
            <w:r>
              <w:t>Paragraph 30, Schedule 7</w:t>
            </w:r>
          </w:p>
        </w:tc>
        <w:tc>
          <w:tcPr>
            <w:tcW w:w="2694" w:type="dxa"/>
            <w:shd w:val="clear" w:color="auto" w:fill="auto"/>
            <w:tcMar>
              <w:top w:w="100" w:type="dxa"/>
              <w:left w:w="100" w:type="dxa"/>
              <w:bottom w:w="100" w:type="dxa"/>
              <w:right w:w="100" w:type="dxa"/>
            </w:tcMar>
          </w:tcPr>
          <w:p w14:paraId="5993156D" w14:textId="77777777" w:rsidR="005E7B5C" w:rsidRDefault="005E7B5C" w:rsidP="003D51B8">
            <w:pPr>
              <w:pStyle w:val="AnnexTableText"/>
            </w:pPr>
            <w:r>
              <w:t xml:space="preserve">Ministers of the Crown exercising </w:t>
            </w:r>
            <w:r w:rsidR="003A62B8" w:rsidRPr="003A62B8">
              <w:t xml:space="preserve">sections </w:t>
            </w:r>
            <w:r>
              <w:t>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14:paraId="7AA9C9B1" w14:textId="77777777" w:rsidR="005E7B5C" w:rsidRDefault="005E7B5C" w:rsidP="00DB0CAB">
            <w:pPr>
              <w:pStyle w:val="AnnexTableText"/>
            </w:pPr>
            <w:r>
              <w:t>State why it is appropriate to create such a sub-delegated power.</w:t>
            </w:r>
          </w:p>
        </w:tc>
      </w:tr>
      <w:tr w:rsidR="005E7B5C" w14:paraId="4134A910" w14:textId="77777777" w:rsidTr="00152590">
        <w:tc>
          <w:tcPr>
            <w:tcW w:w="1418" w:type="dxa"/>
            <w:shd w:val="clear" w:color="auto" w:fill="auto"/>
            <w:tcMar>
              <w:top w:w="100" w:type="dxa"/>
              <w:left w:w="100" w:type="dxa"/>
              <w:bottom w:w="100" w:type="dxa"/>
              <w:right w:w="100" w:type="dxa"/>
            </w:tcMar>
          </w:tcPr>
          <w:p w14:paraId="72DAAAA6" w14:textId="77777777" w:rsidR="005E7B5C" w:rsidRDefault="005E7B5C" w:rsidP="003D51B8">
            <w:pPr>
              <w:pStyle w:val="AnnexTableText"/>
            </w:pPr>
            <w:r>
              <w:t>Urgency</w:t>
            </w:r>
          </w:p>
        </w:tc>
        <w:tc>
          <w:tcPr>
            <w:tcW w:w="2551" w:type="dxa"/>
            <w:shd w:val="clear" w:color="auto" w:fill="auto"/>
            <w:tcMar>
              <w:top w:w="100" w:type="dxa"/>
              <w:left w:w="100" w:type="dxa"/>
              <w:bottom w:w="100" w:type="dxa"/>
              <w:right w:w="100" w:type="dxa"/>
            </w:tcMar>
          </w:tcPr>
          <w:p w14:paraId="49D19B8A" w14:textId="77777777" w:rsidR="005E7B5C" w:rsidRDefault="005E7B5C" w:rsidP="003D51B8">
            <w:pPr>
              <w:pStyle w:val="AnnexTableText"/>
            </w:pPr>
            <w:r>
              <w:t>Paragraph 34, Schedule 7</w:t>
            </w:r>
          </w:p>
        </w:tc>
        <w:tc>
          <w:tcPr>
            <w:tcW w:w="2694" w:type="dxa"/>
            <w:shd w:val="clear" w:color="auto" w:fill="auto"/>
            <w:tcMar>
              <w:top w:w="100" w:type="dxa"/>
              <w:left w:w="100" w:type="dxa"/>
              <w:bottom w:w="100" w:type="dxa"/>
              <w:right w:w="100" w:type="dxa"/>
            </w:tcMar>
          </w:tcPr>
          <w:p w14:paraId="0948D314" w14:textId="77777777" w:rsidR="005E7B5C" w:rsidRDefault="005E7B5C" w:rsidP="003D51B8">
            <w:pPr>
              <w:pStyle w:val="AnnexTableText"/>
            </w:pPr>
            <w:r>
              <w:t>Ministers of the Crown using the urgent procedure in para</w:t>
            </w:r>
            <w:r w:rsidR="008676E5">
              <w:t>graphs</w:t>
            </w:r>
            <w:r>
              <w:t xml:space="preserve"> 4 or 14</w:t>
            </w:r>
            <w:r w:rsidR="005B2719">
              <w:t>,</w:t>
            </w:r>
            <w:r>
              <w:t xml:space="preserve"> Sch</w:t>
            </w:r>
            <w:r w:rsidR="000A7F37">
              <w:t>edule</w:t>
            </w:r>
            <w:r>
              <w:t xml:space="preserve"> 7.</w:t>
            </w:r>
          </w:p>
        </w:tc>
        <w:tc>
          <w:tcPr>
            <w:tcW w:w="3685" w:type="dxa"/>
            <w:shd w:val="clear" w:color="auto" w:fill="auto"/>
            <w:tcMar>
              <w:top w:w="100" w:type="dxa"/>
              <w:left w:w="100" w:type="dxa"/>
              <w:bottom w:w="100" w:type="dxa"/>
              <w:right w:w="100" w:type="dxa"/>
            </w:tcMar>
          </w:tcPr>
          <w:p w14:paraId="49D666DB" w14:textId="77777777" w:rsidR="005E7B5C" w:rsidRDefault="005E7B5C" w:rsidP="003D51B8">
            <w:pPr>
              <w:pStyle w:val="AnnexTableText"/>
            </w:pPr>
            <w:r>
              <w:t>Statement of the reasons for the Minister’s opinion that the SI is urgent.</w:t>
            </w:r>
          </w:p>
        </w:tc>
      </w:tr>
      <w:tr w:rsidR="005E7B5C" w14:paraId="359186D5" w14:textId="77777777" w:rsidTr="00152590">
        <w:tc>
          <w:tcPr>
            <w:tcW w:w="1418" w:type="dxa"/>
            <w:shd w:val="clear" w:color="auto" w:fill="auto"/>
            <w:tcMar>
              <w:top w:w="100" w:type="dxa"/>
              <w:left w:w="100" w:type="dxa"/>
              <w:bottom w:w="100" w:type="dxa"/>
              <w:right w:w="100" w:type="dxa"/>
            </w:tcMar>
          </w:tcPr>
          <w:p w14:paraId="1C46ABEC" w14:textId="77777777" w:rsidR="005E7B5C" w:rsidRDefault="005E7B5C" w:rsidP="003D51B8">
            <w:pPr>
              <w:pStyle w:val="AnnexTableText"/>
            </w:pPr>
            <w:r>
              <w:t>Explanations wh</w:t>
            </w:r>
            <w:r w:rsidR="005B2719">
              <w:t xml:space="preserve">ere amending regulations under </w:t>
            </w:r>
            <w:r>
              <w:t>2(2) ECA 1972</w:t>
            </w:r>
          </w:p>
        </w:tc>
        <w:tc>
          <w:tcPr>
            <w:tcW w:w="2551" w:type="dxa"/>
            <w:shd w:val="clear" w:color="auto" w:fill="auto"/>
            <w:tcMar>
              <w:top w:w="100" w:type="dxa"/>
              <w:left w:w="100" w:type="dxa"/>
              <w:bottom w:w="100" w:type="dxa"/>
              <w:right w:w="100" w:type="dxa"/>
            </w:tcMar>
          </w:tcPr>
          <w:p w14:paraId="5E3E3FCB" w14:textId="77777777" w:rsidR="005E7B5C" w:rsidRDefault="005E7B5C" w:rsidP="003D51B8">
            <w:pPr>
              <w:pStyle w:val="AnnexTableText"/>
            </w:pPr>
            <w:r>
              <w:t>Paragraph 13, Schedule 8</w:t>
            </w:r>
          </w:p>
        </w:tc>
        <w:tc>
          <w:tcPr>
            <w:tcW w:w="2694" w:type="dxa"/>
            <w:shd w:val="clear" w:color="auto" w:fill="auto"/>
            <w:tcMar>
              <w:top w:w="100" w:type="dxa"/>
              <w:left w:w="100" w:type="dxa"/>
              <w:bottom w:w="100" w:type="dxa"/>
              <w:right w:w="100" w:type="dxa"/>
            </w:tcMar>
          </w:tcPr>
          <w:p w14:paraId="15223E64" w14:textId="77777777" w:rsidR="005E7B5C" w:rsidRDefault="005E7B5C" w:rsidP="003D51B8">
            <w:pPr>
              <w:pStyle w:val="AnnexTableText"/>
            </w:pPr>
            <w:r>
              <w:t>Anybody making an SI after exit day under powers outside the European Union (Withdrawal) Act 2018 which modifies subor</w:t>
            </w:r>
            <w:r w:rsidR="000A7F37">
              <w:t>dinate legislation made under s</w:t>
            </w:r>
            <w:r w:rsidR="00BE61FA">
              <w:t>.</w:t>
            </w:r>
            <w:r w:rsidR="000A7F37">
              <w:t xml:space="preserve"> </w:t>
            </w:r>
            <w:r>
              <w:t>2(2) ECA</w:t>
            </w:r>
          </w:p>
        </w:tc>
        <w:tc>
          <w:tcPr>
            <w:tcW w:w="3685" w:type="dxa"/>
            <w:shd w:val="clear" w:color="auto" w:fill="auto"/>
            <w:tcMar>
              <w:top w:w="100" w:type="dxa"/>
              <w:left w:w="100" w:type="dxa"/>
              <w:bottom w:w="100" w:type="dxa"/>
              <w:right w:w="100" w:type="dxa"/>
            </w:tcMar>
          </w:tcPr>
          <w:p w14:paraId="5DC04E87" w14:textId="77777777" w:rsidR="005E7B5C" w:rsidRDefault="005E7B5C" w:rsidP="003D51B8">
            <w:pPr>
              <w:pStyle w:val="AnnexTableText"/>
            </w:pPr>
            <w:r>
              <w:t>Statement explaining the good reasons for modifying the instrument made under s.</w:t>
            </w:r>
            <w:r w:rsidR="00BE61FA">
              <w:t xml:space="preserve"> </w:t>
            </w:r>
            <w:r>
              <w:t>2(2) ECA, identifying the relevant law before exit day, and explaining the instrument’s effect on retained EU law.</w:t>
            </w:r>
          </w:p>
        </w:tc>
      </w:tr>
      <w:tr w:rsidR="005E7B5C" w14:paraId="032FCF20" w14:textId="77777777" w:rsidTr="00152590">
        <w:tc>
          <w:tcPr>
            <w:tcW w:w="1418" w:type="dxa"/>
            <w:shd w:val="clear" w:color="auto" w:fill="auto"/>
            <w:tcMar>
              <w:top w:w="100" w:type="dxa"/>
              <w:left w:w="100" w:type="dxa"/>
              <w:bottom w:w="100" w:type="dxa"/>
              <w:right w:w="100" w:type="dxa"/>
            </w:tcMar>
          </w:tcPr>
          <w:p w14:paraId="2AEE6189" w14:textId="77777777" w:rsidR="005E7B5C" w:rsidRDefault="005E7B5C" w:rsidP="003D51B8">
            <w:pPr>
              <w:pStyle w:val="AnnexTableText"/>
            </w:pPr>
            <w:r>
              <w:t>Scrutiny statement where amending regulations u</w:t>
            </w:r>
            <w:r w:rsidR="005B2719">
              <w:t xml:space="preserve">nder </w:t>
            </w:r>
            <w:r>
              <w:t>2(2) ECA 1972</w:t>
            </w:r>
          </w:p>
        </w:tc>
        <w:tc>
          <w:tcPr>
            <w:tcW w:w="2551" w:type="dxa"/>
            <w:shd w:val="clear" w:color="auto" w:fill="auto"/>
            <w:tcMar>
              <w:top w:w="100" w:type="dxa"/>
              <w:left w:w="100" w:type="dxa"/>
              <w:bottom w:w="100" w:type="dxa"/>
              <w:right w:w="100" w:type="dxa"/>
            </w:tcMar>
          </w:tcPr>
          <w:p w14:paraId="16209B8A" w14:textId="77777777" w:rsidR="005E7B5C" w:rsidRDefault="005E7B5C" w:rsidP="003D51B8">
            <w:pPr>
              <w:pStyle w:val="AnnexTableText"/>
            </w:pPr>
            <w:r>
              <w:t>Paragraph 16, Schedule 8</w:t>
            </w:r>
          </w:p>
        </w:tc>
        <w:tc>
          <w:tcPr>
            <w:tcW w:w="2694" w:type="dxa"/>
            <w:shd w:val="clear" w:color="auto" w:fill="auto"/>
            <w:tcMar>
              <w:top w:w="100" w:type="dxa"/>
              <w:left w:w="100" w:type="dxa"/>
              <w:bottom w:w="100" w:type="dxa"/>
              <w:right w:w="100" w:type="dxa"/>
            </w:tcMar>
          </w:tcPr>
          <w:p w14:paraId="7BFBBDA5" w14:textId="77777777" w:rsidR="005E7B5C" w:rsidRDefault="005E7B5C" w:rsidP="003D51B8">
            <w:pPr>
              <w:pStyle w:val="AnnexTableText"/>
            </w:pPr>
            <w:r>
              <w:t>Anybody making an SI after exit day under powers outside the European Union (Withdrawal) Act 2018 which modifies subordinate legislation made under s.</w:t>
            </w:r>
            <w:r w:rsidR="003A5FFB">
              <w:t xml:space="preserve"> </w:t>
            </w:r>
            <w:r>
              <w:t>2(2) ECA</w:t>
            </w:r>
          </w:p>
        </w:tc>
        <w:tc>
          <w:tcPr>
            <w:tcW w:w="3685" w:type="dxa"/>
            <w:shd w:val="clear" w:color="auto" w:fill="auto"/>
            <w:tcMar>
              <w:top w:w="100" w:type="dxa"/>
              <w:left w:w="100" w:type="dxa"/>
              <w:bottom w:w="100" w:type="dxa"/>
              <w:right w:w="100" w:type="dxa"/>
            </w:tcMar>
          </w:tcPr>
          <w:p w14:paraId="03A74BD8" w14:textId="77777777" w:rsidR="005E7B5C" w:rsidRDefault="005E7B5C" w:rsidP="003D51B8">
            <w:pPr>
              <w:pStyle w:val="AnnexTableText"/>
            </w:pPr>
            <w:r>
              <w:t>Statement setting out:</w:t>
            </w:r>
          </w:p>
          <w:p w14:paraId="44155C55" w14:textId="77777777" w:rsidR="005E7B5C" w:rsidRDefault="005E7B5C" w:rsidP="003D51B8">
            <w:pPr>
              <w:pStyle w:val="AnnexTableText"/>
            </w:pPr>
            <w:r>
              <w:t xml:space="preserve">a) the steps which the relevant authority has taken to make the draft instrument published in accordance with paragraph 16(2), Schedule 8 available to each House of Parliament, </w:t>
            </w:r>
          </w:p>
          <w:p w14:paraId="028411EF" w14:textId="77777777" w:rsidR="005E7B5C" w:rsidRDefault="005E7B5C" w:rsidP="003D51B8">
            <w:pPr>
              <w:pStyle w:val="AnnexTableText"/>
            </w:pPr>
            <w:r>
              <w:t xml:space="preserve">b) containing information about the relevant authority’s response to— </w:t>
            </w:r>
          </w:p>
          <w:p w14:paraId="1FB0A444" w14:textId="77777777" w:rsidR="005E7B5C" w:rsidRDefault="005E7B5C" w:rsidP="003D51B8">
            <w:pPr>
              <w:pStyle w:val="AnnexTableText"/>
            </w:pPr>
            <w:r>
              <w:t xml:space="preserve">(i) any recommendations made by a committee of either House of Parliament about the published draft instrument, and </w:t>
            </w:r>
          </w:p>
          <w:p w14:paraId="569A7F26" w14:textId="77777777" w:rsidR="005E7B5C" w:rsidRDefault="005E7B5C" w:rsidP="003D51B8">
            <w:pPr>
              <w:pStyle w:val="AnnexTableText"/>
            </w:pPr>
            <w:r>
              <w:t>(ii) any other representations made to the relevant authority about the published draft instrument, and,</w:t>
            </w:r>
          </w:p>
          <w:p w14:paraId="000CB95D" w14:textId="77777777" w:rsidR="005E7B5C" w:rsidRDefault="005E7B5C" w:rsidP="003D51B8">
            <w:pPr>
              <w:pStyle w:val="AnnexTableText"/>
            </w:pPr>
            <w:r>
              <w:t>c) containing any other information that the relevant authority considers appropriate in relation to the scrutiny of the instrument or draft instrument which is to be laid.</w:t>
            </w:r>
          </w:p>
        </w:tc>
      </w:tr>
    </w:tbl>
    <w:p w14:paraId="5C29A3CA" w14:textId="77777777" w:rsidR="005E7B5C" w:rsidRDefault="003D51B8" w:rsidP="003D51B8">
      <w:pPr>
        <w:pStyle w:val="AnnexPartHeading"/>
      </w:pPr>
      <w:r>
        <w:br w:type="page"/>
      </w:r>
      <w:r w:rsidR="005E7B5C">
        <w:lastRenderedPageBreak/>
        <w:t>Part 2</w:t>
      </w:r>
    </w:p>
    <w:p w14:paraId="447D6779" w14:textId="77777777" w:rsidR="005E7B5C" w:rsidRDefault="005E7B5C" w:rsidP="003D51B8">
      <w:pPr>
        <w:pStyle w:val="AnnexPartTitle"/>
      </w:pPr>
      <w:r>
        <w:t>Statements required when using enabling powers</w:t>
      </w:r>
    </w:p>
    <w:p w14:paraId="19F77496" w14:textId="77777777" w:rsidR="005E7B5C" w:rsidRDefault="005E7B5C" w:rsidP="003D51B8">
      <w:pPr>
        <w:pStyle w:val="AnnexPartTitle"/>
      </w:pPr>
      <w:r>
        <w:t xml:space="preserve"> under the European Union (Withdrawal) 2018 Act</w:t>
      </w:r>
    </w:p>
    <w:p w14:paraId="454059FC" w14:textId="77777777" w:rsidR="005E7B5C" w:rsidRPr="003D51B8" w:rsidRDefault="005E7B5C" w:rsidP="00CD4FDB">
      <w:pPr>
        <w:pStyle w:val="EMSectionTitle"/>
        <w:numPr>
          <w:ilvl w:val="0"/>
          <w:numId w:val="29"/>
        </w:numPr>
        <w:tabs>
          <w:tab w:val="clear" w:pos="432"/>
          <w:tab w:val="num" w:pos="709"/>
        </w:tabs>
        <w:ind w:left="709" w:hanging="709"/>
      </w:pPr>
      <w:r w:rsidRPr="003D51B8">
        <w:t xml:space="preserve">Sifting </w:t>
      </w:r>
      <w:r w:rsidRPr="00CD4FDB">
        <w:t>statement</w:t>
      </w:r>
      <w:r w:rsidRPr="003D51B8">
        <w:t>(s)</w:t>
      </w:r>
    </w:p>
    <w:p w14:paraId="50C8FAED" w14:textId="77777777" w:rsidR="005E7B5C" w:rsidRDefault="005E7B5C" w:rsidP="00CD4FDB">
      <w:pPr>
        <w:pStyle w:val="EMLevel1Paragraph"/>
      </w:pPr>
      <w:r w:rsidRPr="00EB15D8">
        <w:t xml:space="preserve">The </w:t>
      </w:r>
      <w:r w:rsidR="00A45437">
        <w:t>Minister for Employment, Alok Sharma,</w:t>
      </w:r>
      <w:r w:rsidR="00A45437" w:rsidRPr="00EB15D8">
        <w:t xml:space="preserve"> </w:t>
      </w:r>
      <w:r w:rsidRPr="00EB15D8">
        <w:t>has made the following statement regarding use of legislative powers in the European Union (Withdrawal) Act 2018:</w:t>
      </w:r>
    </w:p>
    <w:p w14:paraId="494F42E5" w14:textId="3B44A527" w:rsidR="005E7B5C" w:rsidRDefault="00A45437" w:rsidP="00A45437">
      <w:pPr>
        <w:pStyle w:val="EMLevel1Paragraph"/>
      </w:pPr>
      <w:r>
        <w:rPr>
          <w:rFonts w:cs="Times New Roman"/>
          <w:szCs w:val="24"/>
        </w:rPr>
        <w:t>“</w:t>
      </w:r>
      <w:r w:rsidRPr="00A45437">
        <w:rPr>
          <w:rFonts w:cs="Times New Roman"/>
          <w:szCs w:val="24"/>
        </w:rPr>
        <w:t>In my view the European</w:t>
      </w:r>
      <w:r w:rsidR="00242163">
        <w:rPr>
          <w:rFonts w:cs="Times New Roman"/>
          <w:szCs w:val="24"/>
        </w:rPr>
        <w:t xml:space="preserve"> Network of Employment Services</w:t>
      </w:r>
      <w:r w:rsidRPr="00A45437">
        <w:rPr>
          <w:rFonts w:cs="Times New Roman"/>
          <w:szCs w:val="24"/>
        </w:rPr>
        <w:t xml:space="preserve"> (EU Exit) Regulations 2018 should be subject to annulment in pursuance of a resolution of either House of Parliament (i.e. the negative procedure)</w:t>
      </w:r>
      <w:r>
        <w:t>”. This is the case because repealing the inoperability and deficiencies prevents redundant legislation being transposed into domestic law and does not make policy changes</w:t>
      </w:r>
      <w:r w:rsidR="00B66987">
        <w:t xml:space="preserve"> or amend primary legislation</w:t>
      </w:r>
      <w:r>
        <w:t>.”</w:t>
      </w:r>
    </w:p>
    <w:p w14:paraId="00C61B25" w14:textId="77777777" w:rsidR="005E7B5C" w:rsidRDefault="005E7B5C" w:rsidP="00CD4FDB">
      <w:pPr>
        <w:pStyle w:val="EMSectionTitle"/>
      </w:pPr>
      <w:r>
        <w:t xml:space="preserve">Appropriateness </w:t>
      </w:r>
      <w:r w:rsidRPr="00E42511">
        <w:t>statement</w:t>
      </w:r>
    </w:p>
    <w:p w14:paraId="4B0C06A6" w14:textId="77777777" w:rsidR="005E7B5C" w:rsidRDefault="005E7B5C" w:rsidP="00CD4FDB">
      <w:pPr>
        <w:pStyle w:val="EMLevel1Paragraph"/>
      </w:pPr>
      <w:r>
        <w:t xml:space="preserve">The </w:t>
      </w:r>
      <w:r w:rsidR="00A252BD">
        <w:t>Minister for Employment, Alok Sharma</w:t>
      </w:r>
      <w:r>
        <w:t xml:space="preserve"> has made the following statement regarding use of legislative powers in the European Union (Withdrawal) Act 2018:</w:t>
      </w:r>
    </w:p>
    <w:p w14:paraId="2767EE97" w14:textId="080EA002" w:rsidR="00D73525" w:rsidRPr="00D73525" w:rsidRDefault="005E7B5C" w:rsidP="00A2594F">
      <w:pPr>
        <w:pStyle w:val="EMParagraphContinuationUnnumbered"/>
      </w:pPr>
      <w:r>
        <w:t xml:space="preserve">“In </w:t>
      </w:r>
      <w:r w:rsidR="00A252BD" w:rsidRPr="00A45437">
        <w:t>my view the European</w:t>
      </w:r>
      <w:r w:rsidR="00242163">
        <w:t xml:space="preserve"> Network of Employment Services</w:t>
      </w:r>
      <w:r w:rsidR="00A252BD" w:rsidRPr="00A45437">
        <w:t xml:space="preserve"> (EU Exit) Regulations 2018</w:t>
      </w:r>
      <w:r w:rsidR="00A252BD">
        <w:t xml:space="preserve"> </w:t>
      </w:r>
      <w:r>
        <w:t>does no more than is appropriate</w:t>
      </w:r>
      <w:r w:rsidR="00A252BD">
        <w:t>. This is the case because they do no more than prevent, repeal or mitigate deficiencies in otherwise retained EU law arising from the withdrawal of the UK from the EU</w:t>
      </w:r>
      <w:r>
        <w:t xml:space="preserve">”. </w:t>
      </w:r>
    </w:p>
    <w:p w14:paraId="5938E574" w14:textId="77777777" w:rsidR="005E7B5C" w:rsidRDefault="005E7B5C" w:rsidP="00CD4FDB">
      <w:pPr>
        <w:pStyle w:val="EMSectionTitle"/>
      </w:pPr>
      <w:r>
        <w:t>Good reasons</w:t>
      </w:r>
    </w:p>
    <w:p w14:paraId="76C781BB" w14:textId="77777777" w:rsidR="00A252BD" w:rsidRDefault="005E7B5C" w:rsidP="00A252BD">
      <w:pPr>
        <w:pStyle w:val="EMLevel1Paragraph"/>
      </w:pPr>
      <w:r>
        <w:t xml:space="preserve">The </w:t>
      </w:r>
      <w:r w:rsidR="00A252BD">
        <w:t xml:space="preserve">Minister for Employment, Alok Sharma </w:t>
      </w:r>
      <w:r>
        <w:t>has made the following statement regarding use of legislative powers in the European Union (Withdrawal) Act 2018:</w:t>
      </w:r>
    </w:p>
    <w:p w14:paraId="5EC8E708" w14:textId="77777777" w:rsidR="00D73525" w:rsidRPr="00A252BD" w:rsidRDefault="00A252BD" w:rsidP="00A252BD">
      <w:pPr>
        <w:pStyle w:val="EMLevel1Paragraph"/>
        <w:rPr>
          <w:rFonts w:cs="Times New Roman"/>
          <w:szCs w:val="24"/>
        </w:rPr>
      </w:pPr>
      <w:r w:rsidRPr="00A252BD">
        <w:rPr>
          <w:rFonts w:cs="Times New Roman"/>
          <w:szCs w:val="24"/>
          <w:lang w:eastAsia="en-GB"/>
        </w:rPr>
        <w:t xml:space="preserve">“In my view there are good reasons for the provisions in this instrument, and I have concluded they are a reasonable course of action. These reasons are </w:t>
      </w:r>
      <w:r w:rsidR="00B66987">
        <w:rPr>
          <w:rFonts w:cs="Times New Roman"/>
          <w:szCs w:val="24"/>
          <w:lang w:eastAsia="en-GB"/>
        </w:rPr>
        <w:t>detailed</w:t>
      </w:r>
      <w:r>
        <w:rPr>
          <w:rFonts w:cs="Times New Roman"/>
          <w:szCs w:val="24"/>
          <w:lang w:eastAsia="en-GB"/>
        </w:rPr>
        <w:t xml:space="preserve"> in </w:t>
      </w:r>
      <w:r w:rsidR="00B66987">
        <w:rPr>
          <w:rFonts w:cs="Times New Roman"/>
          <w:szCs w:val="24"/>
          <w:lang w:eastAsia="en-GB"/>
        </w:rPr>
        <w:t xml:space="preserve">Section </w:t>
      </w:r>
      <w:r>
        <w:rPr>
          <w:rFonts w:cs="Times New Roman"/>
          <w:szCs w:val="24"/>
          <w:lang w:eastAsia="en-GB"/>
        </w:rPr>
        <w:t>7</w:t>
      </w:r>
      <w:r w:rsidRPr="00A252BD">
        <w:rPr>
          <w:rFonts w:cs="Times New Roman"/>
          <w:szCs w:val="24"/>
          <w:lang w:eastAsia="en-GB"/>
        </w:rPr>
        <w:t xml:space="preserve"> of this explanatory memorandum.”</w:t>
      </w:r>
    </w:p>
    <w:p w14:paraId="5C5400BC" w14:textId="77777777" w:rsidR="005E7B5C" w:rsidRDefault="005460B8" w:rsidP="00CD4FDB">
      <w:pPr>
        <w:pStyle w:val="EMSectionTitle"/>
      </w:pPr>
      <w:r>
        <w:t>Equalities</w:t>
      </w:r>
    </w:p>
    <w:p w14:paraId="1DAD1C8B" w14:textId="77777777" w:rsidR="00701AA4" w:rsidRDefault="005E7B5C" w:rsidP="00CD4FDB">
      <w:pPr>
        <w:pStyle w:val="EMLevel1Paragraph"/>
      </w:pPr>
      <w:r>
        <w:t xml:space="preserve">The </w:t>
      </w:r>
      <w:r w:rsidR="00A252BD">
        <w:t xml:space="preserve">Minister for Employment, Alok Sharma </w:t>
      </w:r>
      <w:r>
        <w:t>has made the following statement(s)</w:t>
      </w:r>
      <w:r w:rsidR="00701AA4">
        <w:t>:</w:t>
      </w:r>
      <w:r w:rsidR="00A252BD" w:rsidRPr="00A252BD">
        <w:rPr>
          <w:rFonts w:cs="Times New Roman"/>
          <w:szCs w:val="24"/>
        </w:rPr>
        <w:t xml:space="preserve"> </w:t>
      </w:r>
      <w:r w:rsidR="00A252BD" w:rsidRPr="00E52925">
        <w:rPr>
          <w:rFonts w:cs="Times New Roman"/>
          <w:szCs w:val="24"/>
        </w:rPr>
        <w:t>“The instrument does not amend, repeal or revoke a provision or provisions in the Equality Act 2006 or the Equality Act 2010 or subordinate legislation made under those Acts”.</w:t>
      </w:r>
    </w:p>
    <w:p w14:paraId="152CB7B9" w14:textId="77777777" w:rsidR="00A252BD" w:rsidRDefault="005E7B5C" w:rsidP="00A252BD">
      <w:pPr>
        <w:pStyle w:val="EMLevel1Paragraph"/>
      </w:pPr>
      <w:r>
        <w:t xml:space="preserve">The </w:t>
      </w:r>
      <w:r w:rsidR="00A252BD">
        <w:t xml:space="preserve">Minister for Employment, Alok Sharma </w:t>
      </w:r>
      <w:r>
        <w:t>has made the following statement regarding use of legislative powers in the European Union (Withdrawal) Act 2018:</w:t>
      </w:r>
    </w:p>
    <w:p w14:paraId="6F90E2A9" w14:textId="77777777" w:rsidR="005E7B5C" w:rsidRDefault="00A252BD" w:rsidP="004266CA">
      <w:pPr>
        <w:pStyle w:val="EMLevel1Paragraph"/>
        <w:numPr>
          <w:ilvl w:val="0"/>
          <w:numId w:val="0"/>
        </w:numPr>
        <w:ind w:left="720"/>
      </w:pPr>
      <w:r>
        <w:t xml:space="preserve">“In relation to the instrument, </w:t>
      </w:r>
      <w:r w:rsidR="005E7B5C">
        <w:t>I,</w:t>
      </w:r>
      <w:r>
        <w:t xml:space="preserve"> Alok Sharma</w:t>
      </w:r>
      <w:r w:rsidR="005E7B5C">
        <w:t xml:space="preserve"> have had due regard to the need to eliminate discrimination, harassment, victimisation and any other conduct that is prohibited by o</w:t>
      </w:r>
      <w:r>
        <w:t>r under the Equality Act 2010.</w:t>
      </w:r>
      <w:r w:rsidR="00B66987">
        <w:t>”</w:t>
      </w:r>
    </w:p>
    <w:p w14:paraId="24545EEA" w14:textId="77777777" w:rsidR="005E7B5C" w:rsidRDefault="005E7B5C" w:rsidP="00CD4FDB">
      <w:pPr>
        <w:pStyle w:val="EMSectionTitle"/>
      </w:pPr>
      <w:r>
        <w:t>Explanations</w:t>
      </w:r>
    </w:p>
    <w:p w14:paraId="53C9F1AD" w14:textId="77777777" w:rsidR="005E7B5C" w:rsidRPr="009B62AE" w:rsidRDefault="005E7B5C" w:rsidP="00CD4FDB">
      <w:pPr>
        <w:pStyle w:val="EMLevel1Paragraph"/>
      </w:pPr>
      <w:r w:rsidRPr="009B62AE">
        <w:t>The</w:t>
      </w:r>
      <w:r w:rsidR="00073874">
        <w:t xml:space="preserve"> explanations s</w:t>
      </w:r>
      <w:r w:rsidRPr="009B62AE">
        <w:t xml:space="preserve">tatement has been made in </w:t>
      </w:r>
      <w:r w:rsidR="000432C9">
        <w:t>section</w:t>
      </w:r>
      <w:r w:rsidR="008676E5">
        <w:t xml:space="preserve"> 2</w:t>
      </w:r>
      <w:r w:rsidRPr="009B62AE">
        <w:t xml:space="preserve"> of the main body of this explanatory memorandum.</w:t>
      </w:r>
    </w:p>
    <w:p w14:paraId="05495C4F" w14:textId="77777777" w:rsidR="00DA687D" w:rsidRDefault="00DA687D" w:rsidP="00F31999">
      <w:pPr>
        <w:pStyle w:val="EMLevel1Paragraph"/>
        <w:numPr>
          <w:ilvl w:val="0"/>
          <w:numId w:val="0"/>
        </w:numPr>
      </w:pPr>
    </w:p>
    <w:p w14:paraId="3FACD232" w14:textId="1F0F0B42" w:rsidR="00F31999" w:rsidRPr="00F31999" w:rsidRDefault="00F31999" w:rsidP="00F31999">
      <w:pPr>
        <w:pStyle w:val="EMLevel1Paragraph"/>
        <w:numPr>
          <w:ilvl w:val="0"/>
          <w:numId w:val="0"/>
        </w:numPr>
        <w:rPr>
          <w:b/>
        </w:rPr>
      </w:pPr>
      <w:r w:rsidRPr="00F31999">
        <w:rPr>
          <w:b/>
        </w:rPr>
        <w:lastRenderedPageBreak/>
        <w:t xml:space="preserve">Minister Alok Sharma </w:t>
      </w:r>
    </w:p>
    <w:p w14:paraId="1F2F9BC6" w14:textId="72616275" w:rsidR="00F31999" w:rsidRPr="00F31999" w:rsidRDefault="00F31999" w:rsidP="00F31999">
      <w:pPr>
        <w:pStyle w:val="EMLevel1Paragraph"/>
        <w:numPr>
          <w:ilvl w:val="0"/>
          <w:numId w:val="0"/>
        </w:numPr>
        <w:rPr>
          <w:b/>
        </w:rPr>
      </w:pPr>
      <w:r w:rsidRPr="00F31999">
        <w:rPr>
          <w:b/>
        </w:rPr>
        <w:t xml:space="preserve">Minister for Employment </w:t>
      </w:r>
    </w:p>
    <w:sectPr w:rsidR="00F31999" w:rsidRPr="00F31999" w:rsidSect="00A870B5">
      <w:headerReference w:type="default" r:id="rId9"/>
      <w:footerReference w:type="even" r:id="rId10"/>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42F8B" w14:textId="77777777" w:rsidR="0062434E" w:rsidRDefault="0062434E">
      <w:r>
        <w:separator/>
      </w:r>
    </w:p>
  </w:endnote>
  <w:endnote w:type="continuationSeparator" w:id="0">
    <w:p w14:paraId="0F238231" w14:textId="77777777" w:rsidR="0062434E" w:rsidRDefault="0062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BF72" w14:textId="77777777" w:rsidR="001C1BFF" w:rsidRDefault="001C1BFF" w:rsidP="00EF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9D3E9F" w14:textId="77777777" w:rsidR="001C1BFF" w:rsidRDefault="001C1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BF8D" w14:textId="77777777" w:rsidR="001C1BFF" w:rsidRPr="009D4049" w:rsidRDefault="001C1BFF" w:rsidP="00EF4806">
    <w:pPr>
      <w:pStyle w:val="Footer"/>
      <w:framePr w:wrap="around" w:vAnchor="text" w:hAnchor="margin" w:xAlign="center" w:y="1"/>
      <w:rPr>
        <w:rStyle w:val="PageNumber"/>
        <w:sz w:val="22"/>
        <w:szCs w:val="22"/>
      </w:rPr>
    </w:pPr>
    <w:r w:rsidRPr="009D4049">
      <w:rPr>
        <w:rStyle w:val="PageNumber"/>
        <w:sz w:val="22"/>
        <w:szCs w:val="22"/>
      </w:rPr>
      <w:fldChar w:fldCharType="begin"/>
    </w:r>
    <w:r w:rsidRPr="009D4049">
      <w:rPr>
        <w:rStyle w:val="PageNumber"/>
        <w:sz w:val="22"/>
        <w:szCs w:val="22"/>
      </w:rPr>
      <w:instrText xml:space="preserve">PAGE  </w:instrText>
    </w:r>
    <w:r w:rsidRPr="009D4049">
      <w:rPr>
        <w:rStyle w:val="PageNumber"/>
        <w:sz w:val="22"/>
        <w:szCs w:val="22"/>
      </w:rPr>
      <w:fldChar w:fldCharType="separate"/>
    </w:r>
    <w:r w:rsidR="00634FAC">
      <w:rPr>
        <w:rStyle w:val="PageNumber"/>
        <w:noProof/>
        <w:sz w:val="22"/>
        <w:szCs w:val="22"/>
      </w:rPr>
      <w:t>6</w:t>
    </w:r>
    <w:r w:rsidRPr="009D4049">
      <w:rPr>
        <w:rStyle w:val="PageNumber"/>
        <w:sz w:val="22"/>
        <w:szCs w:val="22"/>
      </w:rPr>
      <w:fldChar w:fldCharType="end"/>
    </w:r>
  </w:p>
  <w:p w14:paraId="55FB89BE" w14:textId="77777777" w:rsidR="001C1BFF" w:rsidRDefault="001C1BFF" w:rsidP="00BC2AB1">
    <w:pPr>
      <w:pStyle w:val="Footer"/>
      <w:jc w:val="center"/>
      <w:rPr>
        <w:sz w:val="16"/>
        <w:szCs w:val="16"/>
      </w:rPr>
    </w:pPr>
  </w:p>
  <w:p w14:paraId="2DE0323D" w14:textId="77777777" w:rsidR="001C1BFF" w:rsidRPr="004673B7" w:rsidRDefault="001C1BFF" w:rsidP="00BC2AB1">
    <w:pPr>
      <w:rPr>
        <w:rFonts w:ascii="Arial" w:hAnsi="Arial" w:cs="Arial"/>
        <w:sz w:val="14"/>
        <w:szCs w:val="14"/>
      </w:rPr>
    </w:pPr>
    <w:r>
      <w:rPr>
        <w:rFonts w:ascii="Arial" w:hAnsi="Arial" w:cs="Arial"/>
        <w:sz w:val="14"/>
        <w:szCs w:val="14"/>
      </w:rPr>
      <w:t>DExEU/EM/7-2018.2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45F0" w14:textId="77777777" w:rsidR="0062434E" w:rsidRDefault="0062434E">
      <w:r>
        <w:separator/>
      </w:r>
    </w:p>
  </w:footnote>
  <w:footnote w:type="continuationSeparator" w:id="0">
    <w:p w14:paraId="0048C146" w14:textId="77777777" w:rsidR="0062434E" w:rsidRDefault="0062434E">
      <w:r>
        <w:continuationSeparator/>
      </w:r>
    </w:p>
  </w:footnote>
  <w:footnote w:id="1">
    <w:p w14:paraId="5E47A24A" w14:textId="77777777" w:rsidR="000E0AA9" w:rsidRPr="004266CA" w:rsidRDefault="000E0AA9">
      <w:pPr>
        <w:pStyle w:val="FootnoteText"/>
        <w:rPr>
          <w:rFonts w:ascii="Arial" w:hAnsi="Arial" w:cs="Arial"/>
          <w:sz w:val="12"/>
          <w:szCs w:val="12"/>
        </w:rPr>
      </w:pPr>
      <w:r w:rsidRPr="004266CA">
        <w:rPr>
          <w:rStyle w:val="FootnoteReference"/>
          <w:rFonts w:ascii="Arial" w:hAnsi="Arial" w:cs="Arial"/>
          <w:sz w:val="12"/>
          <w:szCs w:val="12"/>
        </w:rPr>
        <w:footnoteRef/>
      </w:r>
      <w:r w:rsidRPr="004266CA">
        <w:rPr>
          <w:rFonts w:ascii="Arial" w:hAnsi="Arial" w:cs="Arial"/>
          <w:sz w:val="12"/>
          <w:szCs w:val="12"/>
        </w:rPr>
        <w:t xml:space="preserve"> </w:t>
      </w:r>
      <w:hyperlink r:id="rId1" w:history="1">
        <w:r w:rsidRPr="004266CA">
          <w:rPr>
            <w:rStyle w:val="Hyperlink"/>
            <w:rFonts w:ascii="Arial" w:hAnsi="Arial"/>
            <w:sz w:val="12"/>
            <w:szCs w:val="12"/>
          </w:rPr>
          <w:t>Regulation (EU) 2016/589</w:t>
        </w:r>
      </w:hyperlink>
      <w:r w:rsidRPr="004266CA">
        <w:rPr>
          <w:rFonts w:ascii="Arial" w:hAnsi="Arial" w:cs="Arial"/>
          <w:color w:val="333333"/>
          <w:kern w:val="36"/>
          <w:sz w:val="12"/>
          <w:szCs w:val="12"/>
        </w:rPr>
        <w:t xml:space="preserve"> </w:t>
      </w:r>
      <w:r w:rsidRPr="004266CA">
        <w:rPr>
          <w:rFonts w:ascii="Arial" w:hAnsi="Arial" w:cs="Arial"/>
          <w:kern w:val="36"/>
          <w:sz w:val="12"/>
          <w:szCs w:val="12"/>
        </w:rPr>
        <w:t>of the European Parliament and of the Council of 13 April 2016 on a European network of employment services (EURES), workers' access to mobility services and the further integration of labour markets, and amending Regulations (EU) No 492/2011 and (EU) No 1296/2013 (Text with EEA relevance)</w:t>
      </w:r>
      <w:r w:rsidR="00E47FC2">
        <w:rPr>
          <w:rFonts w:ascii="Arial" w:hAnsi="Arial" w:cs="Arial"/>
          <w:color w:val="333333"/>
          <w:kern w:val="36"/>
          <w:sz w:val="12"/>
          <w:szCs w:val="12"/>
        </w:rPr>
        <w:t xml:space="preserve"> </w:t>
      </w:r>
    </w:p>
  </w:footnote>
  <w:footnote w:id="2">
    <w:p w14:paraId="7D29D702" w14:textId="77777777" w:rsidR="00E47FC2" w:rsidRPr="00E47FC2" w:rsidRDefault="00E47FC2">
      <w:pPr>
        <w:pStyle w:val="FootnoteText"/>
      </w:pPr>
      <w:r w:rsidRPr="004266CA">
        <w:rPr>
          <w:rStyle w:val="FootnoteReference"/>
          <w:rFonts w:ascii="Arial" w:hAnsi="Arial" w:cs="Arial"/>
          <w:sz w:val="12"/>
          <w:szCs w:val="12"/>
        </w:rPr>
        <w:footnoteRef/>
      </w:r>
      <w:r w:rsidRPr="004266CA">
        <w:rPr>
          <w:rFonts w:ascii="Arial" w:hAnsi="Arial" w:cs="Arial"/>
          <w:sz w:val="12"/>
          <w:szCs w:val="12"/>
        </w:rPr>
        <w:t xml:space="preserve"> </w:t>
      </w:r>
      <w:hyperlink r:id="rId2" w:history="1">
        <w:r w:rsidRPr="004266CA">
          <w:rPr>
            <w:rStyle w:val="Hyperlink"/>
            <w:rFonts w:ascii="Arial" w:hAnsi="Arial" w:cs="Arial"/>
            <w:sz w:val="12"/>
            <w:szCs w:val="12"/>
          </w:rPr>
          <w:t>Regulation (EU) No 1296/2013</w:t>
        </w:r>
      </w:hyperlink>
      <w:r w:rsidRPr="004266CA">
        <w:rPr>
          <w:rFonts w:ascii="Arial" w:hAnsi="Arial" w:cs="Arial"/>
          <w:color w:val="444444"/>
          <w:sz w:val="12"/>
          <w:szCs w:val="12"/>
          <w:lang w:val="en"/>
        </w:rPr>
        <w:t xml:space="preserve"> </w:t>
      </w:r>
      <w:r w:rsidRPr="004266CA">
        <w:rPr>
          <w:rFonts w:ascii="Arial" w:hAnsi="Arial" w:cs="Arial"/>
          <w:sz w:val="12"/>
          <w:szCs w:val="12"/>
          <w:lang w:val="en"/>
        </w:rPr>
        <w:t>of the European Parliament and of the Council of 11 December 2013 on a European Union Programme for Employment and Social Innovation ("EaSI") and amending Decision No 283/2010/EU establishing a European Progress Microfinance Facility for employment and social inclusion Text with EEA relevance</w:t>
      </w:r>
    </w:p>
  </w:footnote>
  <w:footnote w:id="3">
    <w:p w14:paraId="492A57AB" w14:textId="77777777" w:rsidR="00DF26FB" w:rsidRPr="00090C78" w:rsidRDefault="00DF26FB" w:rsidP="00DF26FB">
      <w:pPr>
        <w:rPr>
          <w:sz w:val="12"/>
          <w:szCs w:val="12"/>
        </w:rPr>
      </w:pPr>
      <w:r>
        <w:rPr>
          <w:rStyle w:val="FootnoteReference"/>
        </w:rPr>
        <w:footnoteRef/>
      </w:r>
      <w:r>
        <w:t xml:space="preserve"> </w:t>
      </w:r>
      <w:r w:rsidRPr="00090C78">
        <w:rPr>
          <w:bCs/>
          <w:sz w:val="12"/>
          <w:szCs w:val="12"/>
          <w:lang w:val="en"/>
        </w:rPr>
        <w:t>European Union (Withdrawal) Act 2018, Main powers in connection with withdrawal (</w:t>
      </w:r>
      <w:hyperlink r:id="rId3" w:history="1">
        <w:r w:rsidRPr="00090C78">
          <w:rPr>
            <w:rStyle w:val="Hyperlink"/>
            <w:bCs/>
            <w:sz w:val="12"/>
            <w:szCs w:val="12"/>
            <w:lang w:val="en"/>
          </w:rPr>
          <w:t>Section 8</w:t>
        </w:r>
      </w:hyperlink>
      <w:r w:rsidRPr="00090C78">
        <w:rPr>
          <w:bCs/>
          <w:sz w:val="12"/>
          <w:szCs w:val="12"/>
          <w:lang w:val="en"/>
        </w:rPr>
        <w:t xml:space="preserve">) </w:t>
      </w:r>
    </w:p>
    <w:p w14:paraId="78722358" w14:textId="77777777" w:rsidR="00DF26FB" w:rsidRDefault="00DF26FB" w:rsidP="00DF26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6D121" w14:textId="77777777" w:rsidR="001C1BFF" w:rsidRDefault="001C1BFF" w:rsidP="00E64B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E8A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7ABC"/>
    <w:multiLevelType w:val="hybridMultilevel"/>
    <w:tmpl w:val="A37A0134"/>
    <w:lvl w:ilvl="0" w:tplc="04090001">
      <w:start w:val="1"/>
      <w:numFmt w:val="bullet"/>
      <w:lvlText w:val=""/>
      <w:lvlJc w:val="left"/>
      <w:pPr>
        <w:tabs>
          <w:tab w:val="num" w:pos="720"/>
        </w:tabs>
        <w:ind w:left="720" w:hanging="360"/>
      </w:pPr>
      <w:rPr>
        <w:rFonts w:ascii="Symbol" w:hAnsi="Symbol" w:hint="default"/>
      </w:rPr>
    </w:lvl>
    <w:lvl w:ilvl="1" w:tplc="A9F6D84E">
      <w:start w:val="1"/>
      <w:numFmt w:val="bullet"/>
      <w:pStyle w:val="EMLevel2Bullet"/>
      <w:lvlText w:val="o"/>
      <w:lvlJc w:val="left"/>
      <w:pPr>
        <w:tabs>
          <w:tab w:val="num" w:pos="1440"/>
        </w:tabs>
        <w:ind w:left="1440" w:hanging="216"/>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9542F9"/>
    <w:multiLevelType w:val="multilevel"/>
    <w:tmpl w:val="038ED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550F20"/>
    <w:multiLevelType w:val="hybridMultilevel"/>
    <w:tmpl w:val="2C1EDE00"/>
    <w:lvl w:ilvl="0" w:tplc="37F639B0">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118C2"/>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E54F45"/>
    <w:multiLevelType w:val="multilevel"/>
    <w:tmpl w:val="AB66D834"/>
    <w:lvl w:ilvl="0">
      <w:start w:val="4"/>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296C02"/>
    <w:multiLevelType w:val="multilevel"/>
    <w:tmpl w:val="B2CCE2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707D85"/>
    <w:multiLevelType w:val="multilevel"/>
    <w:tmpl w:val="651A2A78"/>
    <w:lvl w:ilvl="0">
      <w:start w:val="1"/>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8">
    <w:nsid w:val="24533201"/>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DB1D0C"/>
    <w:multiLevelType w:val="multilevel"/>
    <w:tmpl w:val="3E861404"/>
    <w:lvl w:ilvl="0">
      <w:start w:val="7"/>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10">
    <w:nsid w:val="36C30F3A"/>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462304"/>
    <w:multiLevelType w:val="multilevel"/>
    <w:tmpl w:val="24EE351E"/>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E0A486B"/>
    <w:multiLevelType w:val="hybridMultilevel"/>
    <w:tmpl w:val="F5BE43E4"/>
    <w:lvl w:ilvl="0" w:tplc="08090001">
      <w:start w:val="1"/>
      <w:numFmt w:val="bullet"/>
      <w:lvlText w:val=""/>
      <w:lvlJc w:val="left"/>
      <w:pPr>
        <w:ind w:left="3720" w:hanging="360"/>
      </w:pPr>
      <w:rPr>
        <w:rFonts w:ascii="Symbol" w:hAnsi="Symbol" w:hint="default"/>
      </w:rPr>
    </w:lvl>
    <w:lvl w:ilvl="1" w:tplc="08090003" w:tentative="1">
      <w:start w:val="1"/>
      <w:numFmt w:val="bullet"/>
      <w:lvlText w:val="o"/>
      <w:lvlJc w:val="left"/>
      <w:pPr>
        <w:ind w:left="4440" w:hanging="360"/>
      </w:pPr>
      <w:rPr>
        <w:rFonts w:ascii="Courier New" w:hAnsi="Courier New" w:cs="Courier New" w:hint="default"/>
      </w:rPr>
    </w:lvl>
    <w:lvl w:ilvl="2" w:tplc="08090005" w:tentative="1">
      <w:start w:val="1"/>
      <w:numFmt w:val="bullet"/>
      <w:lvlText w:val=""/>
      <w:lvlJc w:val="left"/>
      <w:pPr>
        <w:ind w:left="5160" w:hanging="360"/>
      </w:pPr>
      <w:rPr>
        <w:rFonts w:ascii="Wingdings" w:hAnsi="Wingdings" w:hint="default"/>
      </w:rPr>
    </w:lvl>
    <w:lvl w:ilvl="3" w:tplc="08090001" w:tentative="1">
      <w:start w:val="1"/>
      <w:numFmt w:val="bullet"/>
      <w:lvlText w:val=""/>
      <w:lvlJc w:val="left"/>
      <w:pPr>
        <w:ind w:left="5880" w:hanging="360"/>
      </w:pPr>
      <w:rPr>
        <w:rFonts w:ascii="Symbol" w:hAnsi="Symbol" w:hint="default"/>
      </w:rPr>
    </w:lvl>
    <w:lvl w:ilvl="4" w:tplc="08090003" w:tentative="1">
      <w:start w:val="1"/>
      <w:numFmt w:val="bullet"/>
      <w:lvlText w:val="o"/>
      <w:lvlJc w:val="left"/>
      <w:pPr>
        <w:ind w:left="6600" w:hanging="360"/>
      </w:pPr>
      <w:rPr>
        <w:rFonts w:ascii="Courier New" w:hAnsi="Courier New" w:cs="Courier New" w:hint="default"/>
      </w:rPr>
    </w:lvl>
    <w:lvl w:ilvl="5" w:tplc="08090005" w:tentative="1">
      <w:start w:val="1"/>
      <w:numFmt w:val="bullet"/>
      <w:lvlText w:val=""/>
      <w:lvlJc w:val="left"/>
      <w:pPr>
        <w:ind w:left="7320" w:hanging="360"/>
      </w:pPr>
      <w:rPr>
        <w:rFonts w:ascii="Wingdings" w:hAnsi="Wingdings" w:hint="default"/>
      </w:rPr>
    </w:lvl>
    <w:lvl w:ilvl="6" w:tplc="08090001" w:tentative="1">
      <w:start w:val="1"/>
      <w:numFmt w:val="bullet"/>
      <w:lvlText w:val=""/>
      <w:lvlJc w:val="left"/>
      <w:pPr>
        <w:ind w:left="8040" w:hanging="360"/>
      </w:pPr>
      <w:rPr>
        <w:rFonts w:ascii="Symbol" w:hAnsi="Symbol" w:hint="default"/>
      </w:rPr>
    </w:lvl>
    <w:lvl w:ilvl="7" w:tplc="08090003" w:tentative="1">
      <w:start w:val="1"/>
      <w:numFmt w:val="bullet"/>
      <w:lvlText w:val="o"/>
      <w:lvlJc w:val="left"/>
      <w:pPr>
        <w:ind w:left="8760" w:hanging="360"/>
      </w:pPr>
      <w:rPr>
        <w:rFonts w:ascii="Courier New" w:hAnsi="Courier New" w:cs="Courier New" w:hint="default"/>
      </w:rPr>
    </w:lvl>
    <w:lvl w:ilvl="8" w:tplc="08090005" w:tentative="1">
      <w:start w:val="1"/>
      <w:numFmt w:val="bullet"/>
      <w:lvlText w:val=""/>
      <w:lvlJc w:val="left"/>
      <w:pPr>
        <w:ind w:left="9480" w:hanging="360"/>
      </w:pPr>
      <w:rPr>
        <w:rFonts w:ascii="Wingdings" w:hAnsi="Wingdings" w:hint="default"/>
      </w:rPr>
    </w:lvl>
  </w:abstractNum>
  <w:abstractNum w:abstractNumId="13">
    <w:nsid w:val="4EBF30F9"/>
    <w:multiLevelType w:val="hybridMultilevel"/>
    <w:tmpl w:val="DCF41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8A7D79"/>
    <w:multiLevelType w:val="multilevel"/>
    <w:tmpl w:val="A39AC6C0"/>
    <w:lvl w:ilvl="0">
      <w:start w:val="5"/>
      <w:numFmt w:val="decimal"/>
      <w:lvlText w:val="%1."/>
      <w:lvlJc w:val="right"/>
      <w:pPr>
        <w:ind w:left="432" w:hanging="432"/>
      </w:pPr>
      <w:rPr>
        <w:rFonts w:ascii="Times New Roman" w:eastAsia="Times New Roman" w:hAnsi="Times New Roman" w:cs="Times New Roman"/>
        <w:b/>
        <w:i w:val="0"/>
        <w:color w:val="000000"/>
        <w:u w:val="none"/>
      </w:rPr>
    </w:lvl>
    <w:lvl w:ilvl="1">
      <w:start w:val="1"/>
      <w:numFmt w:val="decimal"/>
      <w:lvlText w:val="%1.%2."/>
      <w:lvlJc w:val="right"/>
      <w:pPr>
        <w:ind w:left="696" w:hanging="576"/>
      </w:pPr>
      <w:rPr>
        <w:rFonts w:ascii="Times New Roman" w:eastAsia="Times New Roman" w:hAnsi="Times New Roman" w:cs="Times New Roman"/>
        <w:b w:val="0"/>
        <w:i w:val="0"/>
        <w:color w:val="000000"/>
        <w:u w:val="none"/>
      </w:rPr>
    </w:lvl>
    <w:lvl w:ilvl="2">
      <w:start w:val="1"/>
      <w:numFmt w:val="decimal"/>
      <w:lvlText w:val="%1.%2.%3."/>
      <w:lvlJc w:val="right"/>
      <w:pPr>
        <w:ind w:left="720" w:hanging="720"/>
      </w:pPr>
      <w:rPr>
        <w:u w:val="none"/>
      </w:rPr>
    </w:lvl>
    <w:lvl w:ilvl="3">
      <w:start w:val="1"/>
      <w:numFmt w:val="decimal"/>
      <w:lvlText w:val="%1.%2.%3.%4."/>
      <w:lvlJc w:val="right"/>
      <w:pPr>
        <w:ind w:left="864" w:hanging="864"/>
      </w:pPr>
      <w:rPr>
        <w:u w:val="none"/>
      </w:rPr>
    </w:lvl>
    <w:lvl w:ilvl="4">
      <w:start w:val="1"/>
      <w:numFmt w:val="decimal"/>
      <w:lvlText w:val="%1.%2.%3.%4.%5."/>
      <w:lvlJc w:val="right"/>
      <w:pPr>
        <w:ind w:left="1008" w:hanging="1008"/>
      </w:pPr>
      <w:rPr>
        <w:u w:val="none"/>
      </w:rPr>
    </w:lvl>
    <w:lvl w:ilvl="5">
      <w:start w:val="1"/>
      <w:numFmt w:val="decimal"/>
      <w:lvlText w:val="%1.%2.%3.%4.%5.%6."/>
      <w:lvlJc w:val="right"/>
      <w:pPr>
        <w:ind w:left="1152" w:hanging="1152"/>
      </w:pPr>
      <w:rPr>
        <w:u w:val="none"/>
      </w:rPr>
    </w:lvl>
    <w:lvl w:ilvl="6">
      <w:start w:val="1"/>
      <w:numFmt w:val="decimal"/>
      <w:lvlText w:val="%1.%2.%3.%4.%5.%6.%7."/>
      <w:lvlJc w:val="right"/>
      <w:pPr>
        <w:ind w:left="1296" w:hanging="1296"/>
      </w:pPr>
      <w:rPr>
        <w:u w:val="none"/>
      </w:rPr>
    </w:lvl>
    <w:lvl w:ilvl="7">
      <w:start w:val="1"/>
      <w:numFmt w:val="decimal"/>
      <w:lvlText w:val="%1.%2.%3.%4.%5.%6.%7.%8."/>
      <w:lvlJc w:val="right"/>
      <w:pPr>
        <w:ind w:left="1440" w:hanging="1440"/>
      </w:pPr>
      <w:rPr>
        <w:u w:val="none"/>
      </w:rPr>
    </w:lvl>
    <w:lvl w:ilvl="8">
      <w:start w:val="1"/>
      <w:numFmt w:val="decimal"/>
      <w:lvlText w:val="%1.%2.%3.%4.%5.%6.%7.%8.%9."/>
      <w:lvlJc w:val="right"/>
      <w:pPr>
        <w:ind w:left="1584" w:hanging="1584"/>
      </w:pPr>
      <w:rPr>
        <w:u w:val="none"/>
      </w:rPr>
    </w:lvl>
  </w:abstractNum>
  <w:abstractNum w:abstractNumId="15">
    <w:nsid w:val="620512C3"/>
    <w:multiLevelType w:val="multilevel"/>
    <w:tmpl w:val="07268FB0"/>
    <w:lvl w:ilvl="0">
      <w:start w:val="6"/>
      <w:numFmt w:val="decimal"/>
      <w:lvlText w:val="%1."/>
      <w:lvlJc w:val="left"/>
      <w:pPr>
        <w:ind w:left="360" w:hanging="360"/>
      </w:p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8F2A25"/>
    <w:multiLevelType w:val="multilevel"/>
    <w:tmpl w:val="DECCB1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585751"/>
    <w:multiLevelType w:val="multilevel"/>
    <w:tmpl w:val="1518BC6A"/>
    <w:lvl w:ilvl="0">
      <w:start w:val="1"/>
      <w:numFmt w:val="decimal"/>
      <w:lvlText w:val="%1."/>
      <w:lvlJc w:val="left"/>
      <w:pPr>
        <w:tabs>
          <w:tab w:val="num" w:pos="432"/>
        </w:tabs>
        <w:ind w:left="432" w:hanging="432"/>
      </w:pPr>
      <w:rPr>
        <w:rFonts w:hint="default"/>
      </w:rPr>
    </w:lvl>
    <w:lvl w:ilvl="1">
      <w:start w:val="1"/>
      <w:numFmt w:val="bullet"/>
      <w:lvlText w:val="o"/>
      <w:lvlJc w:val="left"/>
      <w:pPr>
        <w:tabs>
          <w:tab w:val="num" w:pos="216"/>
        </w:tabs>
        <w:ind w:left="216" w:hanging="216"/>
      </w:pPr>
      <w:rPr>
        <w:rFonts w:ascii="Courier New" w:hAnsi="Courier New"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9B44364"/>
    <w:multiLevelType w:val="hybridMultilevel"/>
    <w:tmpl w:val="F4C24E30"/>
    <w:lvl w:ilvl="0" w:tplc="0F800C10">
      <w:start w:val="1"/>
      <w:numFmt w:val="decimal"/>
      <w:lvlText w:val="x.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BC6092"/>
    <w:multiLevelType w:val="multilevel"/>
    <w:tmpl w:val="13D06D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nsid w:val="7DC11DF4"/>
    <w:multiLevelType w:val="multilevel"/>
    <w:tmpl w:val="F42E239E"/>
    <w:lvl w:ilvl="0">
      <w:start w:val="1"/>
      <w:numFmt w:val="decimal"/>
      <w:lvlText w:val="[x]%1."/>
      <w:lvlJc w:val="right"/>
      <w:pPr>
        <w:ind w:left="720" w:hanging="360"/>
      </w:pPr>
      <w:rPr>
        <w:rFonts w:ascii="Times New Roman" w:eastAsia="Times New Roman" w:hAnsi="Times New Roman" w:cs="Times New Roman"/>
        <w:b/>
        <w:sz w:val="24"/>
        <w:szCs w:val="24"/>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nsid w:val="7FD60AD9"/>
    <w:multiLevelType w:val="hybridMultilevel"/>
    <w:tmpl w:val="BD1A04F2"/>
    <w:lvl w:ilvl="0" w:tplc="BB567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3"/>
  </w:num>
  <w:num w:numId="4">
    <w:abstractNumId w:val="6"/>
  </w:num>
  <w:num w:numId="5">
    <w:abstractNumId w:val="16"/>
  </w:num>
  <w:num w:numId="6">
    <w:abstractNumId w:val="1"/>
  </w:num>
  <w:num w:numId="7">
    <w:abstractNumId w:val="17"/>
  </w:num>
  <w:num w:numId="8">
    <w:abstractNumId w:val="1"/>
  </w:num>
  <w:num w:numId="9">
    <w:abstractNumId w:val="4"/>
  </w:num>
  <w:num w:numId="10">
    <w:abstractNumId w:val="10"/>
  </w:num>
  <w:num w:numId="11">
    <w:abstractNumId w:val="8"/>
  </w:num>
  <w:num w:numId="12">
    <w:abstractNumId w:val="21"/>
  </w:num>
  <w:num w:numId="13">
    <w:abstractNumId w:val="20"/>
  </w:num>
  <w:num w:numId="14">
    <w:abstractNumId w:val="14"/>
  </w:num>
  <w:num w:numId="15">
    <w:abstractNumId w:val="5"/>
  </w:num>
  <w:num w:numId="16">
    <w:abstractNumId w:val="15"/>
  </w:num>
  <w:num w:numId="17">
    <w:abstractNumId w:val="19"/>
  </w:num>
  <w:num w:numId="18">
    <w:abstractNumId w:val="9"/>
  </w:num>
  <w:num w:numId="19">
    <w:abstractNumId w:val="7"/>
  </w:num>
  <w:num w:numId="2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C3"/>
    <w:rsid w:val="000001CC"/>
    <w:rsid w:val="00000978"/>
    <w:rsid w:val="00000E8A"/>
    <w:rsid w:val="00014967"/>
    <w:rsid w:val="00017885"/>
    <w:rsid w:val="00023159"/>
    <w:rsid w:val="00025B79"/>
    <w:rsid w:val="00027AB2"/>
    <w:rsid w:val="000432C9"/>
    <w:rsid w:val="00055067"/>
    <w:rsid w:val="000607C4"/>
    <w:rsid w:val="00072082"/>
    <w:rsid w:val="00073874"/>
    <w:rsid w:val="00083539"/>
    <w:rsid w:val="00091FCF"/>
    <w:rsid w:val="0009226B"/>
    <w:rsid w:val="0009269E"/>
    <w:rsid w:val="000976C3"/>
    <w:rsid w:val="000A2877"/>
    <w:rsid w:val="000A3F8E"/>
    <w:rsid w:val="000A7F37"/>
    <w:rsid w:val="000C044B"/>
    <w:rsid w:val="000C7B96"/>
    <w:rsid w:val="000D0AD9"/>
    <w:rsid w:val="000E0AA9"/>
    <w:rsid w:val="000E1BED"/>
    <w:rsid w:val="000F15C3"/>
    <w:rsid w:val="00100688"/>
    <w:rsid w:val="00125932"/>
    <w:rsid w:val="00131403"/>
    <w:rsid w:val="001330BD"/>
    <w:rsid w:val="001365CD"/>
    <w:rsid w:val="00137D7E"/>
    <w:rsid w:val="00140349"/>
    <w:rsid w:val="00142557"/>
    <w:rsid w:val="00152590"/>
    <w:rsid w:val="0016140A"/>
    <w:rsid w:val="00174CCE"/>
    <w:rsid w:val="001840E3"/>
    <w:rsid w:val="001A07A2"/>
    <w:rsid w:val="001C1BFF"/>
    <w:rsid w:val="001D4E11"/>
    <w:rsid w:val="001E6B74"/>
    <w:rsid w:val="001F6F82"/>
    <w:rsid w:val="001F7152"/>
    <w:rsid w:val="00221B9A"/>
    <w:rsid w:val="00233FC6"/>
    <w:rsid w:val="00234814"/>
    <w:rsid w:val="00234C96"/>
    <w:rsid w:val="00242163"/>
    <w:rsid w:val="0025042C"/>
    <w:rsid w:val="0026042C"/>
    <w:rsid w:val="00261A94"/>
    <w:rsid w:val="00273C18"/>
    <w:rsid w:val="0028201F"/>
    <w:rsid w:val="002B471F"/>
    <w:rsid w:val="002C5B0A"/>
    <w:rsid w:val="002C7DA6"/>
    <w:rsid w:val="002D0514"/>
    <w:rsid w:val="002D6C38"/>
    <w:rsid w:val="002E0D9F"/>
    <w:rsid w:val="002E4562"/>
    <w:rsid w:val="002F59C5"/>
    <w:rsid w:val="00321908"/>
    <w:rsid w:val="003234A6"/>
    <w:rsid w:val="003239FA"/>
    <w:rsid w:val="00325AD0"/>
    <w:rsid w:val="00326529"/>
    <w:rsid w:val="003273B0"/>
    <w:rsid w:val="00327B54"/>
    <w:rsid w:val="00331E1F"/>
    <w:rsid w:val="00337878"/>
    <w:rsid w:val="003401A4"/>
    <w:rsid w:val="00345934"/>
    <w:rsid w:val="00373B11"/>
    <w:rsid w:val="003778BD"/>
    <w:rsid w:val="00383244"/>
    <w:rsid w:val="003952D3"/>
    <w:rsid w:val="003A5FFB"/>
    <w:rsid w:val="003A62B8"/>
    <w:rsid w:val="003A7F1C"/>
    <w:rsid w:val="003B32E0"/>
    <w:rsid w:val="003C249F"/>
    <w:rsid w:val="003D01DC"/>
    <w:rsid w:val="003D51B8"/>
    <w:rsid w:val="003D5E76"/>
    <w:rsid w:val="003D7744"/>
    <w:rsid w:val="003F174D"/>
    <w:rsid w:val="003F3039"/>
    <w:rsid w:val="00410890"/>
    <w:rsid w:val="004266CA"/>
    <w:rsid w:val="00427435"/>
    <w:rsid w:val="0043141F"/>
    <w:rsid w:val="004450D9"/>
    <w:rsid w:val="004673B7"/>
    <w:rsid w:val="00473047"/>
    <w:rsid w:val="004955CF"/>
    <w:rsid w:val="004A71C9"/>
    <w:rsid w:val="004B1D7C"/>
    <w:rsid w:val="004C0AB6"/>
    <w:rsid w:val="004C390B"/>
    <w:rsid w:val="004D27ED"/>
    <w:rsid w:val="004E5126"/>
    <w:rsid w:val="004F473C"/>
    <w:rsid w:val="004F584A"/>
    <w:rsid w:val="005106AE"/>
    <w:rsid w:val="00512EA9"/>
    <w:rsid w:val="00513CA1"/>
    <w:rsid w:val="00542D24"/>
    <w:rsid w:val="005460B8"/>
    <w:rsid w:val="00547C2F"/>
    <w:rsid w:val="00560F32"/>
    <w:rsid w:val="00563B38"/>
    <w:rsid w:val="00582C90"/>
    <w:rsid w:val="005835D7"/>
    <w:rsid w:val="00586C2C"/>
    <w:rsid w:val="005931BB"/>
    <w:rsid w:val="0059700A"/>
    <w:rsid w:val="005B2719"/>
    <w:rsid w:val="005B74A7"/>
    <w:rsid w:val="005C4B66"/>
    <w:rsid w:val="005E280F"/>
    <w:rsid w:val="005E6C3F"/>
    <w:rsid w:val="005E7B5C"/>
    <w:rsid w:val="005F4D85"/>
    <w:rsid w:val="00614755"/>
    <w:rsid w:val="00614A90"/>
    <w:rsid w:val="00621F47"/>
    <w:rsid w:val="0062434E"/>
    <w:rsid w:val="00634FAC"/>
    <w:rsid w:val="00635AAF"/>
    <w:rsid w:val="006549CC"/>
    <w:rsid w:val="00671B54"/>
    <w:rsid w:val="006742C8"/>
    <w:rsid w:val="00675EC2"/>
    <w:rsid w:val="00677030"/>
    <w:rsid w:val="00681169"/>
    <w:rsid w:val="006951B3"/>
    <w:rsid w:val="0069693E"/>
    <w:rsid w:val="00697DE5"/>
    <w:rsid w:val="006B2E4F"/>
    <w:rsid w:val="006C117B"/>
    <w:rsid w:val="006C599B"/>
    <w:rsid w:val="006C6685"/>
    <w:rsid w:val="006D0737"/>
    <w:rsid w:val="006D2166"/>
    <w:rsid w:val="006D21B0"/>
    <w:rsid w:val="006D6C3C"/>
    <w:rsid w:val="006D7EC3"/>
    <w:rsid w:val="006E6B83"/>
    <w:rsid w:val="006F76E7"/>
    <w:rsid w:val="007018A2"/>
    <w:rsid w:val="00701AA4"/>
    <w:rsid w:val="00712E19"/>
    <w:rsid w:val="007172A8"/>
    <w:rsid w:val="00722159"/>
    <w:rsid w:val="0073006D"/>
    <w:rsid w:val="007376FF"/>
    <w:rsid w:val="00743BA7"/>
    <w:rsid w:val="00745763"/>
    <w:rsid w:val="00751805"/>
    <w:rsid w:val="0075368E"/>
    <w:rsid w:val="00762F9B"/>
    <w:rsid w:val="0076497F"/>
    <w:rsid w:val="0076508A"/>
    <w:rsid w:val="00767AB5"/>
    <w:rsid w:val="007712CC"/>
    <w:rsid w:val="00774D18"/>
    <w:rsid w:val="00782598"/>
    <w:rsid w:val="0079027E"/>
    <w:rsid w:val="007917DF"/>
    <w:rsid w:val="007B4276"/>
    <w:rsid w:val="007C122A"/>
    <w:rsid w:val="007C4BCF"/>
    <w:rsid w:val="007C5BB6"/>
    <w:rsid w:val="007C6221"/>
    <w:rsid w:val="007E1E6C"/>
    <w:rsid w:val="007E5173"/>
    <w:rsid w:val="007E732D"/>
    <w:rsid w:val="007E7EB6"/>
    <w:rsid w:val="007E7F64"/>
    <w:rsid w:val="008060DC"/>
    <w:rsid w:val="008064EF"/>
    <w:rsid w:val="00812201"/>
    <w:rsid w:val="00813E08"/>
    <w:rsid w:val="00815A4A"/>
    <w:rsid w:val="00821D14"/>
    <w:rsid w:val="00835011"/>
    <w:rsid w:val="008511A0"/>
    <w:rsid w:val="00860AAB"/>
    <w:rsid w:val="008676E5"/>
    <w:rsid w:val="008706EC"/>
    <w:rsid w:val="008737C8"/>
    <w:rsid w:val="00886E5D"/>
    <w:rsid w:val="00890481"/>
    <w:rsid w:val="00892297"/>
    <w:rsid w:val="00897C18"/>
    <w:rsid w:val="008C00BE"/>
    <w:rsid w:val="008E3793"/>
    <w:rsid w:val="008F3383"/>
    <w:rsid w:val="00902069"/>
    <w:rsid w:val="00915982"/>
    <w:rsid w:val="0092528C"/>
    <w:rsid w:val="00936D55"/>
    <w:rsid w:val="00956E41"/>
    <w:rsid w:val="00963DC7"/>
    <w:rsid w:val="00975A70"/>
    <w:rsid w:val="00991D04"/>
    <w:rsid w:val="009A4AD9"/>
    <w:rsid w:val="009B0E6F"/>
    <w:rsid w:val="009B3782"/>
    <w:rsid w:val="009C2B45"/>
    <w:rsid w:val="009D4049"/>
    <w:rsid w:val="009F6373"/>
    <w:rsid w:val="00A00C9C"/>
    <w:rsid w:val="00A20911"/>
    <w:rsid w:val="00A252BD"/>
    <w:rsid w:val="00A2594F"/>
    <w:rsid w:val="00A2658B"/>
    <w:rsid w:val="00A45087"/>
    <w:rsid w:val="00A45437"/>
    <w:rsid w:val="00A45E95"/>
    <w:rsid w:val="00A50FEE"/>
    <w:rsid w:val="00A534D5"/>
    <w:rsid w:val="00A7429B"/>
    <w:rsid w:val="00A8389F"/>
    <w:rsid w:val="00A870B5"/>
    <w:rsid w:val="00AB309F"/>
    <w:rsid w:val="00AD588A"/>
    <w:rsid w:val="00AE2D3B"/>
    <w:rsid w:val="00AF02AC"/>
    <w:rsid w:val="00B02F61"/>
    <w:rsid w:val="00B11161"/>
    <w:rsid w:val="00B17E92"/>
    <w:rsid w:val="00B26BE0"/>
    <w:rsid w:val="00B40D57"/>
    <w:rsid w:val="00B569F6"/>
    <w:rsid w:val="00B66987"/>
    <w:rsid w:val="00B71124"/>
    <w:rsid w:val="00B77198"/>
    <w:rsid w:val="00B8343C"/>
    <w:rsid w:val="00BB4313"/>
    <w:rsid w:val="00BB554E"/>
    <w:rsid w:val="00BC2AB1"/>
    <w:rsid w:val="00BD0AED"/>
    <w:rsid w:val="00BD30B8"/>
    <w:rsid w:val="00BE175A"/>
    <w:rsid w:val="00BE61FA"/>
    <w:rsid w:val="00BF0C85"/>
    <w:rsid w:val="00BF3B8F"/>
    <w:rsid w:val="00C07A0E"/>
    <w:rsid w:val="00C443A6"/>
    <w:rsid w:val="00C4747C"/>
    <w:rsid w:val="00C527DB"/>
    <w:rsid w:val="00C62ABC"/>
    <w:rsid w:val="00C73855"/>
    <w:rsid w:val="00C827B1"/>
    <w:rsid w:val="00C92DAD"/>
    <w:rsid w:val="00C96EB8"/>
    <w:rsid w:val="00CA3DA4"/>
    <w:rsid w:val="00CD4FDB"/>
    <w:rsid w:val="00CD53D9"/>
    <w:rsid w:val="00CD654B"/>
    <w:rsid w:val="00CE03D0"/>
    <w:rsid w:val="00D12683"/>
    <w:rsid w:val="00D1587B"/>
    <w:rsid w:val="00D2209E"/>
    <w:rsid w:val="00D40910"/>
    <w:rsid w:val="00D41A4F"/>
    <w:rsid w:val="00D57F69"/>
    <w:rsid w:val="00D65E67"/>
    <w:rsid w:val="00D70919"/>
    <w:rsid w:val="00D73525"/>
    <w:rsid w:val="00D84A42"/>
    <w:rsid w:val="00D955CB"/>
    <w:rsid w:val="00DA6379"/>
    <w:rsid w:val="00DA687D"/>
    <w:rsid w:val="00DA7758"/>
    <w:rsid w:val="00DB0CAB"/>
    <w:rsid w:val="00DB4107"/>
    <w:rsid w:val="00DD108B"/>
    <w:rsid w:val="00DF26FB"/>
    <w:rsid w:val="00DF2E1C"/>
    <w:rsid w:val="00E12174"/>
    <w:rsid w:val="00E35850"/>
    <w:rsid w:val="00E3668D"/>
    <w:rsid w:val="00E42511"/>
    <w:rsid w:val="00E45912"/>
    <w:rsid w:val="00E474AF"/>
    <w:rsid w:val="00E47FC2"/>
    <w:rsid w:val="00E600A0"/>
    <w:rsid w:val="00E64BCB"/>
    <w:rsid w:val="00E7033E"/>
    <w:rsid w:val="00E81745"/>
    <w:rsid w:val="00E83986"/>
    <w:rsid w:val="00EA2E39"/>
    <w:rsid w:val="00EA6FFC"/>
    <w:rsid w:val="00EB15D8"/>
    <w:rsid w:val="00EB25C4"/>
    <w:rsid w:val="00EC3688"/>
    <w:rsid w:val="00ED5285"/>
    <w:rsid w:val="00ED73BC"/>
    <w:rsid w:val="00ED740A"/>
    <w:rsid w:val="00EE1B29"/>
    <w:rsid w:val="00EE3EB8"/>
    <w:rsid w:val="00EF046A"/>
    <w:rsid w:val="00EF1316"/>
    <w:rsid w:val="00EF4806"/>
    <w:rsid w:val="00F11BAE"/>
    <w:rsid w:val="00F15391"/>
    <w:rsid w:val="00F2364F"/>
    <w:rsid w:val="00F23C0C"/>
    <w:rsid w:val="00F27A6C"/>
    <w:rsid w:val="00F312CA"/>
    <w:rsid w:val="00F31999"/>
    <w:rsid w:val="00F34C27"/>
    <w:rsid w:val="00F367B4"/>
    <w:rsid w:val="00F42EEF"/>
    <w:rsid w:val="00F45658"/>
    <w:rsid w:val="00F47E5E"/>
    <w:rsid w:val="00F57AC2"/>
    <w:rsid w:val="00F701AE"/>
    <w:rsid w:val="00F922F1"/>
    <w:rsid w:val="00F97428"/>
    <w:rsid w:val="00FA0BBA"/>
    <w:rsid w:val="00FA5239"/>
    <w:rsid w:val="00FA5C36"/>
    <w:rsid w:val="00FB4768"/>
    <w:rsid w:val="00FC0AA9"/>
    <w:rsid w:val="00FC4C4A"/>
    <w:rsid w:val="00FE3A0D"/>
    <w:rsid w:val="00FE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CBBB14"/>
  <w15:docId w15:val="{DC43E406-E727-4A75-8254-EBBBF17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76"/>
    <w:rPr>
      <w:sz w:val="24"/>
      <w:szCs w:val="24"/>
      <w:lang w:eastAsia="en-US"/>
    </w:rPr>
  </w:style>
  <w:style w:type="paragraph" w:styleId="Heading1">
    <w:name w:val="heading 1"/>
    <w:basedOn w:val="Normal"/>
    <w:next w:val="Normal"/>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01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350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35011"/>
    <w:pPr>
      <w:keepNext/>
      <w:numPr>
        <w:ilvl w:val="3"/>
        <w:numId w:val="1"/>
      </w:numPr>
      <w:spacing w:before="240" w:after="60"/>
      <w:outlineLvl w:val="3"/>
    </w:pPr>
    <w:rPr>
      <w:b/>
      <w:bCs/>
      <w:sz w:val="28"/>
      <w:szCs w:val="28"/>
    </w:rPr>
  </w:style>
  <w:style w:type="paragraph" w:styleId="Heading5">
    <w:name w:val="heading 5"/>
    <w:basedOn w:val="Normal"/>
    <w:next w:val="Normal"/>
    <w:qFormat/>
    <w:rsid w:val="00835011"/>
    <w:pPr>
      <w:numPr>
        <w:ilvl w:val="4"/>
        <w:numId w:val="1"/>
      </w:numPr>
      <w:spacing w:before="240" w:after="60"/>
      <w:outlineLvl w:val="4"/>
    </w:pPr>
    <w:rPr>
      <w:b/>
      <w:bCs/>
      <w:i/>
      <w:iCs/>
      <w:sz w:val="26"/>
      <w:szCs w:val="26"/>
    </w:rPr>
  </w:style>
  <w:style w:type="paragraph" w:styleId="Heading6">
    <w:name w:val="heading 6"/>
    <w:basedOn w:val="Normal"/>
    <w:next w:val="Normal"/>
    <w:qFormat/>
    <w:rsid w:val="00835011"/>
    <w:pPr>
      <w:numPr>
        <w:ilvl w:val="5"/>
        <w:numId w:val="1"/>
      </w:numPr>
      <w:spacing w:before="240" w:after="60"/>
      <w:outlineLvl w:val="5"/>
    </w:pPr>
    <w:rPr>
      <w:b/>
      <w:bCs/>
      <w:sz w:val="22"/>
      <w:szCs w:val="22"/>
    </w:rPr>
  </w:style>
  <w:style w:type="paragraph" w:styleId="Heading7">
    <w:name w:val="heading 7"/>
    <w:basedOn w:val="Normal"/>
    <w:next w:val="Normal"/>
    <w:qFormat/>
    <w:rsid w:val="00835011"/>
    <w:pPr>
      <w:numPr>
        <w:ilvl w:val="6"/>
        <w:numId w:val="1"/>
      </w:numPr>
      <w:spacing w:before="240" w:after="60"/>
      <w:outlineLvl w:val="6"/>
    </w:pPr>
  </w:style>
  <w:style w:type="paragraph" w:styleId="Heading8">
    <w:name w:val="heading 8"/>
    <w:basedOn w:val="Normal"/>
    <w:next w:val="Normal"/>
    <w:qFormat/>
    <w:rsid w:val="00835011"/>
    <w:pPr>
      <w:numPr>
        <w:ilvl w:val="7"/>
        <w:numId w:val="1"/>
      </w:numPr>
      <w:spacing w:before="240" w:after="60"/>
      <w:outlineLvl w:val="7"/>
    </w:pPr>
    <w:rPr>
      <w:i/>
      <w:iCs/>
    </w:rPr>
  </w:style>
  <w:style w:type="paragraph" w:styleId="Heading9">
    <w:name w:val="heading 9"/>
    <w:basedOn w:val="Normal"/>
    <w:next w:val="Normal"/>
    <w:qFormat/>
    <w:rsid w:val="008350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1"/>
      </w:numPr>
      <w:tabs>
        <w:tab w:val="clear" w:pos="432"/>
        <w:tab w:val="num" w:pos="709"/>
      </w:tabs>
      <w:spacing w:after="0"/>
      <w:ind w:left="709" w:hanging="709"/>
    </w:pPr>
    <w:rPr>
      <w:rFonts w:ascii="Times New Roman" w:hAnsi="Times New Roman"/>
      <w:sz w:val="24"/>
    </w:rPr>
  </w:style>
  <w:style w:type="paragraph" w:customStyle="1" w:styleId="EMLevel1Paragraph">
    <w:name w:val="EM Level 1 Paragraph"/>
    <w:basedOn w:val="Heading2"/>
    <w:qFormat/>
    <w:rsid w:val="00C92DAD"/>
    <w:pPr>
      <w:keepNext w:val="0"/>
      <w:spacing w:before="120"/>
      <w:ind w:left="720" w:hanging="72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3"/>
      </w:numPr>
      <w:spacing w:before="60" w:after="60"/>
      <w:ind w:left="1440" w:hanging="533"/>
    </w:pPr>
  </w:style>
  <w:style w:type="paragraph" w:customStyle="1" w:styleId="EMLevel2Bullet">
    <w:name w:val="EM Level 2 Bullet"/>
    <w:basedOn w:val="Normal"/>
    <w:rsid w:val="00F97428"/>
    <w:pPr>
      <w:numPr>
        <w:ilvl w:val="1"/>
        <w:numId w:val="6"/>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paragraph" w:styleId="BalloonText">
    <w:name w:val="Balloon Text"/>
    <w:basedOn w:val="Normal"/>
    <w:link w:val="BalloonTextChar"/>
    <w:semiHidden/>
    <w:unhideWhenUsed/>
    <w:rsid w:val="008064EF"/>
    <w:rPr>
      <w:rFonts w:ascii="Segoe UI" w:hAnsi="Segoe UI" w:cs="Segoe UI"/>
      <w:sz w:val="18"/>
      <w:szCs w:val="18"/>
    </w:rPr>
  </w:style>
  <w:style w:type="paragraph" w:customStyle="1" w:styleId="EMSub-sub-sectiontitle">
    <w:name w:val="EM Sub-sub-section title"/>
    <w:basedOn w:val="EMSub-sectiontitle"/>
    <w:qFormat/>
    <w:rsid w:val="007B4276"/>
    <w:rPr>
      <w:b w:val="0"/>
      <w:u w:val="single"/>
    </w:rPr>
  </w:style>
  <w:style w:type="character" w:customStyle="1" w:styleId="BalloonTextChar">
    <w:name w:val="Balloon Text Char"/>
    <w:link w:val="BalloonText"/>
    <w:semiHidden/>
    <w:rsid w:val="008064EF"/>
    <w:rPr>
      <w:rFonts w:ascii="Segoe UI" w:hAnsi="Segoe UI" w:cs="Segoe UI"/>
      <w:sz w:val="18"/>
      <w:szCs w:val="18"/>
      <w:lang w:eastAsia="en-US"/>
    </w:rPr>
  </w:style>
  <w:style w:type="character" w:styleId="Hyperlink">
    <w:name w:val="Hyperlink"/>
    <w:uiPriority w:val="99"/>
    <w:unhideWhenUsed/>
    <w:rsid w:val="003D5E76"/>
    <w:rPr>
      <w:color w:val="0563C1"/>
      <w:u w:val="single"/>
    </w:rPr>
  </w:style>
  <w:style w:type="character" w:styleId="CommentReference">
    <w:name w:val="annotation reference"/>
    <w:basedOn w:val="DefaultParagraphFont"/>
    <w:uiPriority w:val="99"/>
    <w:unhideWhenUsed/>
    <w:rsid w:val="00BF3B8F"/>
    <w:rPr>
      <w:sz w:val="16"/>
      <w:szCs w:val="16"/>
    </w:rPr>
  </w:style>
  <w:style w:type="paragraph" w:styleId="CommentText">
    <w:name w:val="annotation text"/>
    <w:basedOn w:val="Normal"/>
    <w:link w:val="CommentTextChar"/>
    <w:uiPriority w:val="99"/>
    <w:semiHidden/>
    <w:unhideWhenUsed/>
    <w:rsid w:val="00BF3B8F"/>
    <w:rPr>
      <w:sz w:val="20"/>
      <w:szCs w:val="20"/>
    </w:rPr>
  </w:style>
  <w:style w:type="character" w:customStyle="1" w:styleId="CommentTextChar">
    <w:name w:val="Comment Text Char"/>
    <w:basedOn w:val="DefaultParagraphFont"/>
    <w:link w:val="CommentText"/>
    <w:uiPriority w:val="99"/>
    <w:semiHidden/>
    <w:rsid w:val="00BF3B8F"/>
    <w:rPr>
      <w:lang w:eastAsia="en-US"/>
    </w:rPr>
  </w:style>
  <w:style w:type="paragraph" w:styleId="CommentSubject">
    <w:name w:val="annotation subject"/>
    <w:basedOn w:val="CommentText"/>
    <w:next w:val="CommentText"/>
    <w:link w:val="CommentSubjectChar"/>
    <w:semiHidden/>
    <w:unhideWhenUsed/>
    <w:rsid w:val="00BF3B8F"/>
    <w:rPr>
      <w:b/>
      <w:bCs/>
    </w:rPr>
  </w:style>
  <w:style w:type="character" w:customStyle="1" w:styleId="CommentSubjectChar">
    <w:name w:val="Comment Subject Char"/>
    <w:basedOn w:val="CommentTextChar"/>
    <w:link w:val="CommentSubject"/>
    <w:semiHidden/>
    <w:rsid w:val="00BF3B8F"/>
    <w:rPr>
      <w:b/>
      <w:bCs/>
      <w:lang w:eastAsia="en-US"/>
    </w:rPr>
  </w:style>
  <w:style w:type="paragraph" w:styleId="ListParagraph">
    <w:name w:val="List Paragraph"/>
    <w:aliases w:val="OBC Bullet,List Paragraph11,Numbered Para 1,Dot pt,No Spacing1,List Paragraph Char Char Char,Indicator Text,List Paragraph1,Bullet 1,Bullet Points,MAIN CONTENT,List Paragraph12,F5 List Paragraph,Colorful List - Accent 11,Normal numbered,L"/>
    <w:basedOn w:val="Normal"/>
    <w:link w:val="ListParagraphChar"/>
    <w:uiPriority w:val="34"/>
    <w:qFormat/>
    <w:rsid w:val="001840E3"/>
    <w:pPr>
      <w:ind w:left="720"/>
    </w:pPr>
    <w:rPr>
      <w:lang w:eastAsia="en-GB"/>
    </w:rPr>
  </w:style>
  <w:style w:type="character" w:customStyle="1" w:styleId="ListParagraphChar">
    <w:name w:val="List Paragraph Char"/>
    <w:aliases w:val="OBC Bullet Char,List Paragraph11 Char,Numbered Para 1 Char,Dot pt Char,No Spacing1 Char,List Paragraph Char Char Char Char,Indicator Text Char,List Paragraph1 Char,Bullet 1 Char,Bullet Points Char,MAIN CONTENT Char,L Char"/>
    <w:link w:val="ListParagraph"/>
    <w:uiPriority w:val="34"/>
    <w:qFormat/>
    <w:locked/>
    <w:rsid w:val="001840E3"/>
    <w:rPr>
      <w:sz w:val="24"/>
      <w:szCs w:val="24"/>
    </w:rPr>
  </w:style>
  <w:style w:type="paragraph" w:styleId="EndnoteText">
    <w:name w:val="endnote text"/>
    <w:basedOn w:val="Normal"/>
    <w:link w:val="EndnoteTextChar"/>
    <w:semiHidden/>
    <w:unhideWhenUsed/>
    <w:rsid w:val="000E0AA9"/>
    <w:rPr>
      <w:sz w:val="20"/>
      <w:szCs w:val="20"/>
    </w:rPr>
  </w:style>
  <w:style w:type="character" w:customStyle="1" w:styleId="EndnoteTextChar">
    <w:name w:val="Endnote Text Char"/>
    <w:basedOn w:val="DefaultParagraphFont"/>
    <w:link w:val="EndnoteText"/>
    <w:semiHidden/>
    <w:rsid w:val="000E0AA9"/>
    <w:rPr>
      <w:lang w:eastAsia="en-US"/>
    </w:rPr>
  </w:style>
  <w:style w:type="character" w:styleId="EndnoteReference">
    <w:name w:val="endnote reference"/>
    <w:basedOn w:val="DefaultParagraphFont"/>
    <w:semiHidden/>
    <w:unhideWhenUsed/>
    <w:rsid w:val="000E0AA9"/>
    <w:rPr>
      <w:vertAlign w:val="superscript"/>
    </w:rPr>
  </w:style>
  <w:style w:type="paragraph" w:styleId="FootnoteText">
    <w:name w:val="footnote text"/>
    <w:basedOn w:val="Normal"/>
    <w:link w:val="FootnoteTextChar"/>
    <w:semiHidden/>
    <w:unhideWhenUsed/>
    <w:rsid w:val="000E0AA9"/>
    <w:rPr>
      <w:sz w:val="20"/>
      <w:szCs w:val="20"/>
    </w:rPr>
  </w:style>
  <w:style w:type="character" w:customStyle="1" w:styleId="FootnoteTextChar">
    <w:name w:val="Footnote Text Char"/>
    <w:basedOn w:val="DefaultParagraphFont"/>
    <w:link w:val="FootnoteText"/>
    <w:semiHidden/>
    <w:rsid w:val="000E0AA9"/>
    <w:rPr>
      <w:lang w:eastAsia="en-US"/>
    </w:rPr>
  </w:style>
  <w:style w:type="character" w:styleId="FootnoteReference">
    <w:name w:val="footnote reference"/>
    <w:basedOn w:val="DefaultParagraphFont"/>
    <w:semiHidden/>
    <w:unhideWhenUsed/>
    <w:rsid w:val="000E0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eg.mutyambizi@dwp.gs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8/16/section/8/enacted" TargetMode="External"/><Relationship Id="rId2" Type="http://schemas.openxmlformats.org/officeDocument/2006/relationships/hyperlink" Target="https://eur-lex.europa.eu/legal-content/EN/TXT/?uri=CELEX%3A32013R1296" TargetMode="External"/><Relationship Id="rId1" Type="http://schemas.openxmlformats.org/officeDocument/2006/relationships/hyperlink" Target="https://publications.europa.eu/en/publication-detail/-/publication/a311abfd-0857-11e6-b713-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086E-C63C-4CB3-9BF3-D1A02AA9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EXPLANATORY MEMORANDUM TO</vt:lpstr>
    </vt:vector>
  </TitlesOfParts>
  <Company>The National Archives</Company>
  <LinksUpToDate>false</LinksUpToDate>
  <CharactersWithSpaces>17298</CharactersWithSpaces>
  <SharedDoc>false</SharedDoc>
  <HLinks>
    <vt:vector size="6" baseType="variant">
      <vt:variant>
        <vt:i4>5308474</vt:i4>
      </vt:variant>
      <vt:variant>
        <vt:i4>0</vt:i4>
      </vt:variant>
      <vt:variant>
        <vt:i4>0</vt:i4>
      </vt:variant>
      <vt:variant>
        <vt:i4>5</vt:i4>
      </vt:variant>
      <vt:variant>
        <vt:lpwstr>mailto:greg.mutyambizi@dwp.gsi.gov.uk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dc:title>
  <dc:subject/>
  <dc:creator>Cleaver, Marcus</dc:creator>
  <cp:keywords/>
  <cp:lastModifiedBy>Kerai Dipti STRATEGY LEGISLATION AND BETTER REGULATION</cp:lastModifiedBy>
  <cp:revision>2</cp:revision>
  <cp:lastPrinted>2018-10-08T10:48:00Z</cp:lastPrinted>
  <dcterms:created xsi:type="dcterms:W3CDTF">2018-10-30T18:07:00Z</dcterms:created>
  <dcterms:modified xsi:type="dcterms:W3CDTF">2018-10-30T18:07:00Z</dcterms:modified>
</cp:coreProperties>
</file>