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1975"/>
        <w:gridCol w:w="2437"/>
        <w:gridCol w:w="256"/>
        <w:gridCol w:w="3833"/>
        <w:gridCol w:w="9"/>
      </w:tblGrid>
      <w:tr w:rsidR="00B50649" w14:paraId="33EC7074" w14:textId="77777777" w:rsidTr="58FACFB3">
        <w:trPr>
          <w:trHeight w:hRule="exact" w:val="2420"/>
        </w:trPr>
        <w:tc>
          <w:tcPr>
            <w:tcW w:w="6118" w:type="dxa"/>
            <w:gridSpan w:val="3"/>
            <w:tcBorders>
              <w:top w:val="single" w:sz="4" w:space="0" w:color="auto"/>
              <w:bottom w:val="single" w:sz="4" w:space="0" w:color="auto"/>
            </w:tcBorders>
            <w:shd w:val="clear" w:color="auto" w:fill="auto"/>
          </w:tcPr>
          <w:p w14:paraId="39A524EC" w14:textId="773957BE" w:rsidR="007F0ED9" w:rsidRPr="002F39DC" w:rsidRDefault="58FACFB3" w:rsidP="00BC252E">
            <w:pPr>
              <w:pStyle w:val="IATitle"/>
              <w:spacing w:line="20" w:lineRule="atLeast"/>
            </w:pPr>
            <w:proofErr w:type="spellStart"/>
            <w:r w:rsidRPr="58FACFB3">
              <w:rPr>
                <w:b/>
                <w:bCs/>
              </w:rPr>
              <w:t>ODRTitle</w:t>
            </w:r>
            <w:proofErr w:type="spellEnd"/>
            <w:r w:rsidRPr="58FACFB3">
              <w:rPr>
                <w:b/>
                <w:bCs/>
              </w:rPr>
              <w:t>:</w:t>
            </w:r>
            <w:r>
              <w:t xml:space="preserve"> Consumer Protection (Amendment) (EU Exit) Regulations 2018</w:t>
            </w:r>
          </w:p>
          <w:p w14:paraId="0F864D60" w14:textId="1760CED8" w:rsidR="00E14792" w:rsidRPr="002F39DC" w:rsidRDefault="00D50283" w:rsidP="00BC252E">
            <w:pPr>
              <w:pStyle w:val="IAHeadTitle"/>
              <w:spacing w:line="20" w:lineRule="atLeast"/>
              <w:ind w:left="113"/>
              <w:rPr>
                <w:rStyle w:val="IANoChar"/>
                <w:color w:val="auto"/>
                <w:sz w:val="20"/>
                <w:szCs w:val="20"/>
                <w:lang w:eastAsia="zh-CN"/>
              </w:rPr>
            </w:pPr>
            <w:r w:rsidRPr="002F39DC">
              <w:rPr>
                <w:sz w:val="20"/>
                <w:szCs w:val="20"/>
              </w:rPr>
              <w:t>IA No:</w:t>
            </w:r>
            <w:r w:rsidR="00B00194" w:rsidRPr="002F39DC">
              <w:rPr>
                <w:sz w:val="20"/>
                <w:szCs w:val="20"/>
              </w:rPr>
              <w:t xml:space="preserve"> </w:t>
            </w:r>
            <w:r w:rsidR="002410F0" w:rsidRPr="002410F0">
              <w:rPr>
                <w:b w:val="0"/>
                <w:sz w:val="20"/>
                <w:szCs w:val="20"/>
              </w:rPr>
              <w:t>BEIS026(F)-18-CCP</w:t>
            </w:r>
          </w:p>
          <w:p w14:paraId="2E5314F9" w14:textId="33ED4FC5" w:rsidR="008C3539" w:rsidRPr="00DE6E68" w:rsidRDefault="008C3539" w:rsidP="00BC252E">
            <w:pPr>
              <w:pStyle w:val="IAHeadLabel"/>
              <w:spacing w:line="20" w:lineRule="atLeast"/>
              <w:ind w:left="113"/>
              <w:rPr>
                <w:b w:val="0"/>
              </w:rPr>
            </w:pPr>
            <w:r w:rsidRPr="00DE6E68">
              <w:t>RPC Reference No:</w:t>
            </w:r>
            <w:r w:rsidR="00EF0ADA" w:rsidRPr="00DE6E68">
              <w:t xml:space="preserve"> </w:t>
            </w:r>
            <w:r w:rsidR="0019725D">
              <w:rPr>
                <w:b w:val="0"/>
              </w:rPr>
              <w:t>RPC-4286(1)-BEIS</w:t>
            </w:r>
          </w:p>
          <w:p w14:paraId="445857AB" w14:textId="6D9E3BB4" w:rsidR="001D5EC9" w:rsidRPr="005F32E7" w:rsidRDefault="00495404" w:rsidP="00BC252E">
            <w:pPr>
              <w:pStyle w:val="IALeadDept"/>
              <w:spacing w:line="20" w:lineRule="atLeast"/>
            </w:pPr>
            <w:r w:rsidRPr="00A90857">
              <w:rPr>
                <w:b/>
              </w:rPr>
              <w:t>Lead department</w:t>
            </w:r>
            <w:r w:rsidR="00AA3760">
              <w:rPr>
                <w:b/>
              </w:rPr>
              <w:t>s</w:t>
            </w:r>
            <w:r w:rsidRPr="00A90857">
              <w:rPr>
                <w:b/>
              </w:rPr>
              <w:t>:</w:t>
            </w:r>
            <w:r w:rsidR="00B00194">
              <w:t xml:space="preserve"> </w:t>
            </w:r>
            <w:r w:rsidR="000D51C7">
              <w:t xml:space="preserve">Department for Business, </w:t>
            </w:r>
            <w:r w:rsidR="00A2296E">
              <w:t>Energy and Industrial Strategy</w:t>
            </w:r>
            <w:r w:rsidR="000D51C7">
              <w:t>.</w:t>
            </w:r>
            <w:r w:rsidR="006E5700">
              <w:t xml:space="preserve">  </w:t>
            </w:r>
            <w:bookmarkStart w:id="0" w:name="IALeadDept"/>
            <w:r w:rsidR="006E5700">
              <w:t xml:space="preserve"> </w:t>
            </w:r>
            <w:r w:rsidR="00290335" w:rsidRPr="005F32E7">
              <w:fldChar w:fldCharType="begin">
                <w:ffData>
                  <w:name w:val="IALeadDept"/>
                  <w:enabled/>
                  <w:calcOnExit w:val="0"/>
                  <w:textInput>
                    <w:maxLength w:val="100"/>
                  </w:textInput>
                </w:ffData>
              </w:fldChar>
            </w:r>
            <w:r w:rsidR="00290335" w:rsidRPr="005F32E7">
              <w:instrText xml:space="preserve"> FORMTEXT </w:instrText>
            </w:r>
            <w:r w:rsidR="00290335" w:rsidRPr="005F32E7">
              <w:fldChar w:fldCharType="separate"/>
            </w:r>
            <w:r w:rsidR="00673855">
              <w:t> </w:t>
            </w:r>
            <w:r w:rsidR="00673855">
              <w:t> </w:t>
            </w:r>
            <w:r w:rsidR="00673855">
              <w:t> </w:t>
            </w:r>
            <w:r w:rsidR="00673855">
              <w:t> </w:t>
            </w:r>
            <w:r w:rsidR="00673855">
              <w:t> </w:t>
            </w:r>
            <w:r w:rsidR="00290335" w:rsidRPr="005F32E7">
              <w:fldChar w:fldCharType="end"/>
            </w:r>
            <w:bookmarkEnd w:id="0"/>
          </w:p>
          <w:p w14:paraId="0C281257" w14:textId="19B4D7EF" w:rsidR="00B93466" w:rsidRDefault="00B93466" w:rsidP="00B70F44">
            <w:pPr>
              <w:pStyle w:val="IATableLabel"/>
              <w:spacing w:after="0" w:line="20" w:lineRule="atLeast"/>
            </w:pPr>
          </w:p>
        </w:tc>
        <w:tc>
          <w:tcPr>
            <w:tcW w:w="4098" w:type="dxa"/>
            <w:gridSpan w:val="3"/>
            <w:tcBorders>
              <w:top w:val="single" w:sz="4" w:space="0" w:color="auto"/>
              <w:bottom w:val="single" w:sz="4" w:space="0" w:color="auto"/>
            </w:tcBorders>
            <w:shd w:val="clear" w:color="auto" w:fill="auto"/>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383295" w14:paraId="56B025D9" w14:textId="77777777" w:rsidTr="330A2FB8">
              <w:trPr>
                <w:trHeight w:hRule="exact" w:val="539"/>
              </w:trPr>
              <w:tc>
                <w:tcPr>
                  <w:tcW w:w="4088" w:type="dxa"/>
                  <w:shd w:val="clear" w:color="auto" w:fill="333333"/>
                  <w:vAlign w:val="center"/>
                </w:tcPr>
                <w:p w14:paraId="78545790" w14:textId="77777777" w:rsidR="00B50649" w:rsidRPr="00383295" w:rsidRDefault="00B50649" w:rsidP="00BC252E">
                  <w:pPr>
                    <w:pStyle w:val="Title"/>
                    <w:spacing w:line="20" w:lineRule="atLeast"/>
                  </w:pPr>
                  <w:bookmarkStart w:id="1" w:name="_Toc462678267"/>
                  <w:bookmarkStart w:id="2" w:name="_Toc464040378"/>
                  <w:bookmarkStart w:id="3" w:name="_Toc521073864"/>
                  <w:r w:rsidRPr="00383295">
                    <w:t>Impact Assessment (IA)</w:t>
                  </w:r>
                  <w:bookmarkEnd w:id="1"/>
                  <w:bookmarkEnd w:id="2"/>
                  <w:bookmarkEnd w:id="3"/>
                </w:p>
              </w:tc>
            </w:tr>
            <w:tr w:rsidR="00B50649" w:rsidRPr="00966271" w14:paraId="6F3EF39E" w14:textId="77777777" w:rsidTr="330A2FB8">
              <w:tc>
                <w:tcPr>
                  <w:tcW w:w="4088" w:type="dxa"/>
                  <w:shd w:val="clear" w:color="auto" w:fill="auto"/>
                </w:tcPr>
                <w:p w14:paraId="3EA8DD4F" w14:textId="0887008D" w:rsidR="001F69E9" w:rsidRPr="00A4257A" w:rsidRDefault="330A2FB8" w:rsidP="00D26BE3">
                  <w:pPr>
                    <w:pStyle w:val="IATableLabel"/>
                    <w:spacing w:line="20" w:lineRule="atLeast"/>
                    <w:rPr>
                      <w:b w:val="0"/>
                    </w:rPr>
                  </w:pPr>
                  <w:r>
                    <w:t>Date:</w:t>
                  </w:r>
                  <w:r>
                    <w:rPr>
                      <w:b w:val="0"/>
                    </w:rPr>
                    <w:t xml:space="preserve"> 29 October 2018</w:t>
                  </w:r>
                </w:p>
              </w:tc>
            </w:tr>
            <w:tr w:rsidR="00B50649" w:rsidRPr="00966271" w14:paraId="04BCAEF1" w14:textId="77777777" w:rsidTr="330A2FB8">
              <w:tc>
                <w:tcPr>
                  <w:tcW w:w="4088" w:type="dxa"/>
                  <w:shd w:val="clear" w:color="auto" w:fill="auto"/>
                </w:tcPr>
                <w:p w14:paraId="5D14DF05" w14:textId="6DD71488" w:rsidR="00B50649" w:rsidRPr="007F0ED9" w:rsidRDefault="00941D69" w:rsidP="006F6DB9">
                  <w:pPr>
                    <w:pStyle w:val="IATableLabel"/>
                    <w:spacing w:line="20" w:lineRule="atLeast"/>
                  </w:pPr>
                  <w:bookmarkStart w:id="4" w:name="Stage"/>
                  <w:r w:rsidRPr="007F0ED9">
                    <w:t>Stage:</w:t>
                  </w:r>
                  <w:r w:rsidRPr="00A4257A">
                    <w:rPr>
                      <w:b w:val="0"/>
                    </w:rPr>
                    <w:t xml:space="preserve"> </w:t>
                  </w:r>
                  <w:bookmarkEnd w:id="4"/>
                  <w:r w:rsidR="008F2E83">
                    <w:rPr>
                      <w:b w:val="0"/>
                    </w:rPr>
                    <w:t>Final</w:t>
                  </w:r>
                </w:p>
              </w:tc>
            </w:tr>
            <w:tr w:rsidR="00B50649" w:rsidRPr="00966271" w14:paraId="1208821B" w14:textId="77777777" w:rsidTr="330A2FB8">
              <w:tc>
                <w:tcPr>
                  <w:tcW w:w="4088" w:type="dxa"/>
                  <w:shd w:val="clear" w:color="auto" w:fill="auto"/>
                </w:tcPr>
                <w:p w14:paraId="55900B26" w14:textId="77777777" w:rsidR="00B50649" w:rsidRPr="007F0ED9" w:rsidRDefault="0071686F" w:rsidP="00BC252E">
                  <w:pPr>
                    <w:pStyle w:val="IATableLabel"/>
                    <w:spacing w:line="20" w:lineRule="atLeast"/>
                  </w:pPr>
                  <w:r w:rsidRPr="007F0ED9">
                    <w:t xml:space="preserve">Source </w:t>
                  </w:r>
                  <w:r w:rsidR="006A56C1" w:rsidRPr="007F0ED9">
                    <w:t xml:space="preserve">of </w:t>
                  </w:r>
                  <w:r w:rsidRPr="007F0ED9">
                    <w:t>intervention:</w:t>
                  </w:r>
                  <w:r w:rsidR="00B50649" w:rsidRPr="007F0ED9">
                    <w:t xml:space="preserve"> </w:t>
                  </w:r>
                  <w:bookmarkStart w:id="5" w:name="IAInterSource"/>
                  <w:r w:rsidR="00290335" w:rsidRPr="007E190E">
                    <w:rPr>
                      <w:rStyle w:val="IASOIChar"/>
                      <w:sz w:val="20"/>
                    </w:rPr>
                    <w:fldChar w:fldCharType="begin">
                      <w:ffData>
                        <w:name w:val="IAInterSource"/>
                        <w:enabled/>
                        <w:calcOnExit w:val="0"/>
                        <w:ddList>
                          <w:listEntry w:val="Domestic"/>
                          <w:listEntry w:val="EU"/>
                          <w:listEntry w:val="International"/>
                        </w:ddList>
                      </w:ffData>
                    </w:fldChar>
                  </w:r>
                  <w:r w:rsidR="00290335" w:rsidRPr="007E190E">
                    <w:rPr>
                      <w:rStyle w:val="IASOIChar"/>
                      <w:sz w:val="20"/>
                    </w:rPr>
                    <w:instrText xml:space="preserve"> FORMDROPDOWN </w:instrText>
                  </w:r>
                  <w:r w:rsidR="00EC360C">
                    <w:rPr>
                      <w:rStyle w:val="IASOIChar"/>
                      <w:sz w:val="20"/>
                    </w:rPr>
                  </w:r>
                  <w:r w:rsidR="00EC360C">
                    <w:rPr>
                      <w:rStyle w:val="IASOIChar"/>
                      <w:sz w:val="20"/>
                    </w:rPr>
                    <w:fldChar w:fldCharType="separate"/>
                  </w:r>
                  <w:r w:rsidR="00290335" w:rsidRPr="007E190E">
                    <w:rPr>
                      <w:rStyle w:val="IASOIChar"/>
                      <w:sz w:val="20"/>
                    </w:rPr>
                    <w:fldChar w:fldCharType="end"/>
                  </w:r>
                  <w:bookmarkEnd w:id="5"/>
                </w:p>
              </w:tc>
            </w:tr>
            <w:tr w:rsidR="00052F44" w:rsidRPr="007E190E" w14:paraId="5BA511E3" w14:textId="77777777" w:rsidTr="330A2FB8">
              <w:tc>
                <w:tcPr>
                  <w:tcW w:w="4088" w:type="dxa"/>
                  <w:shd w:val="clear" w:color="auto" w:fill="auto"/>
                </w:tcPr>
                <w:p w14:paraId="6B73FC5B" w14:textId="5ED35E57" w:rsidR="00052F44" w:rsidRPr="007E190E" w:rsidRDefault="00052F44" w:rsidP="00411664">
                  <w:pPr>
                    <w:pStyle w:val="IATableLabel"/>
                    <w:spacing w:line="20" w:lineRule="atLeast"/>
                    <w:rPr>
                      <w:b w:val="0"/>
                    </w:rPr>
                  </w:pPr>
                  <w:r w:rsidRPr="007F0ED9">
                    <w:t>Type of measure:</w:t>
                  </w:r>
                  <w:r w:rsidRPr="00411664">
                    <w:rPr>
                      <w:b w:val="0"/>
                    </w:rPr>
                    <w:t xml:space="preserve"> </w:t>
                  </w:r>
                  <w:r w:rsidR="008F2E83">
                    <w:rPr>
                      <w:b w:val="0"/>
                    </w:rPr>
                    <w:t>Secondary</w:t>
                  </w:r>
                </w:p>
              </w:tc>
            </w:tr>
            <w:tr w:rsidR="00B50649" w:rsidRPr="007E190E" w14:paraId="7498DA35" w14:textId="77777777" w:rsidTr="330A2FB8">
              <w:trPr>
                <w:trHeight w:val="1115"/>
              </w:trPr>
              <w:tc>
                <w:tcPr>
                  <w:tcW w:w="4088" w:type="dxa"/>
                  <w:shd w:val="clear" w:color="auto" w:fill="auto"/>
                </w:tcPr>
                <w:p w14:paraId="66AC21C8" w14:textId="40077332" w:rsidR="00023080" w:rsidRPr="00D045AA" w:rsidRDefault="00773719" w:rsidP="00590710">
                  <w:pPr>
                    <w:spacing w:line="20" w:lineRule="atLeast"/>
                    <w:ind w:left="113" w:right="113"/>
                  </w:pPr>
                  <w:r w:rsidRPr="007E190E">
                    <w:rPr>
                      <w:rStyle w:val="IATableLabelCharChar"/>
                      <w:sz w:val="20"/>
                      <w:szCs w:val="20"/>
                    </w:rPr>
                    <w:t>Contact for enquiries:</w:t>
                  </w:r>
                  <w:r w:rsidR="00EF0ADA">
                    <w:rPr>
                      <w:rStyle w:val="IATableLabelCharChar"/>
                      <w:sz w:val="20"/>
                      <w:szCs w:val="20"/>
                    </w:rPr>
                    <w:t xml:space="preserve"> </w:t>
                  </w:r>
                  <w:hyperlink r:id="rId12" w:history="1">
                    <w:r w:rsidR="00EF0ADA" w:rsidRPr="0066799F">
                      <w:rPr>
                        <w:rStyle w:val="Hyperlink"/>
                        <w:rFonts w:eastAsia="SimSun"/>
                        <w:spacing w:val="-5"/>
                        <w:sz w:val="20"/>
                        <w:szCs w:val="20"/>
                        <w:lang w:eastAsia="zh-CN"/>
                      </w:rPr>
                      <w:t>marie.deliedekerke@beis.gov.uk</w:t>
                    </w:r>
                  </w:hyperlink>
                  <w:r w:rsidR="00EF0ADA">
                    <w:rPr>
                      <w:rStyle w:val="IATableLabelCharChar"/>
                      <w:sz w:val="20"/>
                      <w:szCs w:val="20"/>
                    </w:rPr>
                    <w:t xml:space="preserve"> </w:t>
                  </w:r>
                </w:p>
              </w:tc>
            </w:tr>
            <w:tr w:rsidR="000C1D45" w:rsidRPr="007E190E" w14:paraId="17166108" w14:textId="77777777" w:rsidTr="330A2FB8">
              <w:trPr>
                <w:trHeight w:val="1115"/>
              </w:trPr>
              <w:tc>
                <w:tcPr>
                  <w:tcW w:w="4088" w:type="dxa"/>
                  <w:shd w:val="clear" w:color="auto" w:fill="auto"/>
                </w:tcPr>
                <w:p w14:paraId="26F81A51" w14:textId="77777777" w:rsidR="000C1D45" w:rsidRPr="007E190E" w:rsidRDefault="000C1D45" w:rsidP="00BC252E">
                  <w:pPr>
                    <w:pStyle w:val="IATableLines"/>
                    <w:spacing w:line="20" w:lineRule="atLeast"/>
                    <w:rPr>
                      <w:b/>
                      <w:color w:val="000000"/>
                      <w:sz w:val="20"/>
                    </w:rPr>
                  </w:pPr>
                </w:p>
              </w:tc>
            </w:tr>
            <w:tr w:rsidR="000C1D45" w:rsidRPr="007E190E" w14:paraId="0610860B" w14:textId="77777777" w:rsidTr="330A2FB8">
              <w:trPr>
                <w:trHeight w:val="1115"/>
              </w:trPr>
              <w:tc>
                <w:tcPr>
                  <w:tcW w:w="4088" w:type="dxa"/>
                  <w:shd w:val="clear" w:color="auto" w:fill="auto"/>
                </w:tcPr>
                <w:p w14:paraId="50952DF2" w14:textId="77777777" w:rsidR="000C1D45" w:rsidRPr="007E190E" w:rsidRDefault="000C1D45" w:rsidP="00BC252E">
                  <w:pPr>
                    <w:pStyle w:val="IATableLines"/>
                    <w:spacing w:line="20" w:lineRule="atLeast"/>
                    <w:rPr>
                      <w:b/>
                      <w:color w:val="000000"/>
                      <w:sz w:val="20"/>
                    </w:rPr>
                  </w:pPr>
                </w:p>
              </w:tc>
            </w:tr>
            <w:tr w:rsidR="000C1D45" w:rsidRPr="007E190E" w14:paraId="7F89A91A" w14:textId="77777777" w:rsidTr="330A2FB8">
              <w:trPr>
                <w:trHeight w:val="1115"/>
              </w:trPr>
              <w:tc>
                <w:tcPr>
                  <w:tcW w:w="4088" w:type="dxa"/>
                  <w:shd w:val="clear" w:color="auto" w:fill="auto"/>
                </w:tcPr>
                <w:p w14:paraId="42F30167" w14:textId="77777777" w:rsidR="000C1D45" w:rsidRPr="007E190E" w:rsidRDefault="000C1D45" w:rsidP="00BC252E">
                  <w:pPr>
                    <w:pStyle w:val="IATableLines"/>
                    <w:spacing w:line="20" w:lineRule="atLeast"/>
                    <w:rPr>
                      <w:b/>
                      <w:color w:val="000000"/>
                      <w:sz w:val="20"/>
                    </w:rPr>
                  </w:pPr>
                </w:p>
              </w:tc>
            </w:tr>
            <w:tr w:rsidR="000C1D45" w:rsidRPr="007E190E" w14:paraId="4C58888A" w14:textId="77777777" w:rsidTr="330A2FB8">
              <w:trPr>
                <w:trHeight w:val="1115"/>
              </w:trPr>
              <w:tc>
                <w:tcPr>
                  <w:tcW w:w="4088" w:type="dxa"/>
                  <w:shd w:val="clear" w:color="auto" w:fill="auto"/>
                </w:tcPr>
                <w:p w14:paraId="5F293EBC" w14:textId="77777777" w:rsidR="000C1D45" w:rsidRPr="007E190E" w:rsidRDefault="000C1D45" w:rsidP="00BC252E">
                  <w:pPr>
                    <w:pStyle w:val="IATableLines"/>
                    <w:spacing w:line="20" w:lineRule="atLeast"/>
                    <w:rPr>
                      <w:b/>
                      <w:color w:val="000000"/>
                      <w:sz w:val="20"/>
                    </w:rPr>
                  </w:pPr>
                </w:p>
              </w:tc>
            </w:tr>
            <w:tr w:rsidR="000C1D45" w:rsidRPr="007E190E" w14:paraId="36B9909A" w14:textId="77777777" w:rsidTr="330A2FB8">
              <w:trPr>
                <w:trHeight w:val="1115"/>
              </w:trPr>
              <w:tc>
                <w:tcPr>
                  <w:tcW w:w="4088" w:type="dxa"/>
                  <w:shd w:val="clear" w:color="auto" w:fill="auto"/>
                </w:tcPr>
                <w:p w14:paraId="7B7AF297" w14:textId="77777777" w:rsidR="000C1D45" w:rsidRPr="007E190E" w:rsidRDefault="000C1D45" w:rsidP="00BC252E">
                  <w:pPr>
                    <w:pStyle w:val="IATableLines"/>
                    <w:spacing w:line="20" w:lineRule="atLeast"/>
                    <w:rPr>
                      <w:b/>
                      <w:color w:val="000000"/>
                      <w:sz w:val="20"/>
                    </w:rPr>
                  </w:pPr>
                </w:p>
              </w:tc>
            </w:tr>
            <w:tr w:rsidR="000C1D45" w:rsidRPr="007E190E" w14:paraId="34BB4A6F" w14:textId="77777777" w:rsidTr="330A2FB8">
              <w:trPr>
                <w:trHeight w:val="1115"/>
              </w:trPr>
              <w:tc>
                <w:tcPr>
                  <w:tcW w:w="4088" w:type="dxa"/>
                  <w:shd w:val="clear" w:color="auto" w:fill="auto"/>
                </w:tcPr>
                <w:p w14:paraId="07ED46A1" w14:textId="77777777" w:rsidR="000C1D45" w:rsidRPr="007E190E" w:rsidRDefault="000C1D45" w:rsidP="00BC252E">
                  <w:pPr>
                    <w:pStyle w:val="IATableLines"/>
                    <w:spacing w:line="20" w:lineRule="atLeast"/>
                    <w:rPr>
                      <w:b/>
                      <w:color w:val="000000"/>
                      <w:sz w:val="20"/>
                    </w:rPr>
                  </w:pPr>
                </w:p>
              </w:tc>
            </w:tr>
          </w:tbl>
          <w:p w14:paraId="102343CB" w14:textId="77777777" w:rsidR="00B50649" w:rsidRPr="007E190E" w:rsidRDefault="00B50649" w:rsidP="00BC252E">
            <w:pPr>
              <w:spacing w:line="20" w:lineRule="atLeast"/>
              <w:rPr>
                <w:rFonts w:eastAsia="SimSun"/>
              </w:rPr>
            </w:pPr>
          </w:p>
        </w:tc>
      </w:tr>
      <w:tr w:rsidR="000C1D45" w:rsidRPr="007E190E" w14:paraId="6530FAD2" w14:textId="77777777" w:rsidTr="58FACFB3">
        <w:trPr>
          <w:trHeight w:hRule="exact" w:val="410"/>
        </w:trPr>
        <w:tc>
          <w:tcPr>
            <w:tcW w:w="6118" w:type="dxa"/>
            <w:gridSpan w:val="3"/>
            <w:tcBorders>
              <w:top w:val="single" w:sz="4" w:space="0" w:color="auto"/>
              <w:left w:val="nil"/>
              <w:bottom w:val="single" w:sz="4" w:space="0" w:color="auto"/>
              <w:right w:val="single" w:sz="4" w:space="0" w:color="auto"/>
            </w:tcBorders>
            <w:shd w:val="clear" w:color="auto" w:fill="auto"/>
          </w:tcPr>
          <w:p w14:paraId="10A2E457" w14:textId="5CCA5CCD" w:rsidR="000C1D45" w:rsidRPr="007E190E" w:rsidRDefault="000C1D45" w:rsidP="00BC252E">
            <w:pPr>
              <w:pStyle w:val="Heading1"/>
              <w:spacing w:before="60" w:line="20" w:lineRule="atLeast"/>
              <w:rPr>
                <w:rFonts w:eastAsia="SimSun"/>
                <w:sz w:val="28"/>
                <w:szCs w:val="28"/>
              </w:rPr>
            </w:pPr>
            <w:bookmarkStart w:id="6" w:name="_Toc521073865"/>
            <w:r w:rsidRPr="007E190E">
              <w:rPr>
                <w:rFonts w:eastAsia="SimSun"/>
                <w:sz w:val="28"/>
                <w:szCs w:val="28"/>
              </w:rPr>
              <w:t>Summary: Intervention and Options</w:t>
            </w:r>
            <w:bookmarkEnd w:id="6"/>
            <w:r w:rsidRPr="007E190E">
              <w:rPr>
                <w:rFonts w:eastAsia="SimSun"/>
                <w:sz w:val="28"/>
                <w:szCs w:val="28"/>
              </w:rPr>
              <w:t xml:space="preserve"> </w:t>
            </w:r>
          </w:p>
          <w:p w14:paraId="541E9B0C" w14:textId="77777777" w:rsidR="000C1D45" w:rsidRPr="007E190E" w:rsidRDefault="000C1D45" w:rsidP="00BC252E">
            <w:pPr>
              <w:pStyle w:val="IAHeadLabel0"/>
              <w:spacing w:before="50" w:line="20" w:lineRule="atLeast"/>
              <w:ind w:left="113"/>
              <w:rPr>
                <w:sz w:val="28"/>
                <w:szCs w:val="28"/>
              </w:rPr>
            </w:pPr>
          </w:p>
        </w:tc>
        <w:tc>
          <w:tcPr>
            <w:tcW w:w="409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52EF31A" w14:textId="70C82FE8" w:rsidR="000C1D45" w:rsidRPr="007E190E" w:rsidRDefault="000C1D45" w:rsidP="00BB59AA">
            <w:pPr>
              <w:pStyle w:val="Title"/>
              <w:spacing w:line="20" w:lineRule="atLeast"/>
              <w:rPr>
                <w:rFonts w:eastAsia="SimSun"/>
                <w:b/>
                <w:color w:val="auto"/>
                <w:sz w:val="24"/>
                <w:szCs w:val="24"/>
              </w:rPr>
            </w:pPr>
            <w:bookmarkStart w:id="7" w:name="_Toc462678269"/>
            <w:bookmarkStart w:id="8" w:name="_Toc464040380"/>
            <w:bookmarkStart w:id="9" w:name="_Toc521073866"/>
            <w:r w:rsidRPr="007E190E">
              <w:rPr>
                <w:rFonts w:eastAsia="SimSun"/>
                <w:b/>
                <w:color w:val="auto"/>
                <w:sz w:val="24"/>
                <w:szCs w:val="24"/>
              </w:rPr>
              <w:t>RPC</w:t>
            </w:r>
            <w:r w:rsidR="00EC6B93" w:rsidRPr="007E190E">
              <w:rPr>
                <w:rFonts w:eastAsia="SimSun"/>
                <w:b/>
                <w:color w:val="auto"/>
                <w:sz w:val="24"/>
                <w:szCs w:val="24"/>
              </w:rPr>
              <w:t xml:space="preserve"> Opinion</w:t>
            </w:r>
            <w:r w:rsidRPr="007E190E">
              <w:rPr>
                <w:rFonts w:eastAsia="SimSun"/>
                <w:b/>
                <w:color w:val="auto"/>
                <w:sz w:val="24"/>
                <w:szCs w:val="24"/>
              </w:rPr>
              <w:t>:</w:t>
            </w:r>
            <w:bookmarkEnd w:id="7"/>
            <w:bookmarkEnd w:id="8"/>
            <w:bookmarkEnd w:id="9"/>
            <w:r w:rsidR="00BB59AA">
              <w:rPr>
                <w:rFonts w:eastAsia="SimSun"/>
                <w:b/>
                <w:color w:val="auto"/>
                <w:sz w:val="24"/>
                <w:szCs w:val="24"/>
              </w:rPr>
              <w:t xml:space="preserve"> </w:t>
            </w:r>
            <w:r w:rsidR="00034491" w:rsidRPr="00034491">
              <w:rPr>
                <w:rFonts w:eastAsia="SimSun"/>
                <w:b/>
                <w:color w:val="4F6228" w:themeColor="accent3" w:themeShade="80"/>
                <w:sz w:val="24"/>
                <w:szCs w:val="24"/>
              </w:rPr>
              <w:t>Fit for purpose</w:t>
            </w:r>
          </w:p>
        </w:tc>
      </w:tr>
      <w:tr w:rsidR="00372A69" w:rsidRPr="007E190E" w14:paraId="305817EC" w14:textId="77777777" w:rsidTr="58FACFB3">
        <w:trPr>
          <w:trHeight w:hRule="exact" w:val="90"/>
        </w:trPr>
        <w:tc>
          <w:tcPr>
            <w:tcW w:w="10216" w:type="dxa"/>
            <w:gridSpan w:val="6"/>
            <w:tcBorders>
              <w:top w:val="single" w:sz="4" w:space="0" w:color="auto"/>
              <w:left w:val="nil"/>
              <w:bottom w:val="nil"/>
              <w:right w:val="single" w:sz="4" w:space="0" w:color="auto"/>
            </w:tcBorders>
            <w:shd w:val="clear" w:color="auto" w:fill="auto"/>
          </w:tcPr>
          <w:p w14:paraId="231323FB" w14:textId="77777777" w:rsidR="00372A69" w:rsidRPr="007E190E" w:rsidRDefault="00372A69" w:rsidP="00BC252E">
            <w:pPr>
              <w:spacing w:line="20" w:lineRule="atLeast"/>
              <w:rPr>
                <w:rFonts w:eastAsia="SimSun"/>
              </w:rPr>
            </w:pPr>
          </w:p>
        </w:tc>
      </w:tr>
      <w:tr w:rsidR="00372A69" w:rsidRPr="000E02BE" w14:paraId="466117D7" w14:textId="77777777" w:rsidTr="58FACFB3">
        <w:tblPrEx>
          <w:tblBorders>
            <w:insideV w:val="none" w:sz="0" w:space="0" w:color="auto"/>
          </w:tblBorders>
          <w:shd w:val="clear" w:color="auto" w:fill="E0E0E0"/>
        </w:tblPrEx>
        <w:trPr>
          <w:gridAfter w:val="1"/>
          <w:wAfter w:w="9" w:type="dxa"/>
          <w:trHeight w:hRule="exact" w:val="312"/>
        </w:trPr>
        <w:tc>
          <w:tcPr>
            <w:tcW w:w="10207" w:type="dxa"/>
            <w:gridSpan w:val="5"/>
            <w:tcBorders>
              <w:top w:val="single" w:sz="4" w:space="0" w:color="auto"/>
              <w:bottom w:val="nil"/>
              <w:right w:val="single" w:sz="4" w:space="0" w:color="auto"/>
            </w:tcBorders>
            <w:shd w:val="clear" w:color="auto" w:fill="E0E0E0"/>
          </w:tcPr>
          <w:p w14:paraId="3E9A7401" w14:textId="19B1B162" w:rsidR="00372A69" w:rsidRPr="000E02BE" w:rsidRDefault="00690F4C" w:rsidP="00C17B9B">
            <w:pPr>
              <w:pStyle w:val="IATableLabel"/>
              <w:spacing w:line="20" w:lineRule="atLeast"/>
              <w:ind w:left="0"/>
              <w:jc w:val="center"/>
            </w:pPr>
            <w:r>
              <w:t>Cost of preferred option</w:t>
            </w:r>
            <w:r w:rsidR="00FB1D22">
              <w:t xml:space="preserve"> (impacts enabled by primary and secondary legislation only)</w:t>
            </w:r>
          </w:p>
        </w:tc>
      </w:tr>
      <w:tr w:rsidR="003024BF" w:rsidRPr="000E02BE" w14:paraId="55E257F3" w14:textId="77777777" w:rsidTr="58FACFB3">
        <w:tblPrEx>
          <w:tblBorders>
            <w:insideV w:val="none" w:sz="0" w:space="0" w:color="auto"/>
          </w:tblBorders>
          <w:shd w:val="clear" w:color="auto" w:fill="E0E0E0"/>
        </w:tblPrEx>
        <w:trPr>
          <w:gridAfter w:val="1"/>
          <w:wAfter w:w="9" w:type="dxa"/>
          <w:trHeight w:hRule="exact" w:val="571"/>
        </w:trPr>
        <w:tc>
          <w:tcPr>
            <w:tcW w:w="1706" w:type="dxa"/>
            <w:tcBorders>
              <w:top w:val="single" w:sz="4" w:space="0" w:color="auto"/>
              <w:bottom w:val="nil"/>
              <w:right w:val="single" w:sz="4" w:space="0" w:color="auto"/>
            </w:tcBorders>
            <w:shd w:val="clear" w:color="auto" w:fill="E0E0E0"/>
            <w:vAlign w:val="center"/>
          </w:tcPr>
          <w:p w14:paraId="15DC65E7" w14:textId="77777777" w:rsidR="003024BF" w:rsidRPr="000E02BE" w:rsidRDefault="003024BF" w:rsidP="00BC252E">
            <w:pPr>
              <w:pStyle w:val="IATableLabel"/>
              <w:spacing w:before="0" w:after="0" w:line="20" w:lineRule="atLeast"/>
            </w:pPr>
            <w:r>
              <w:t>Total Net Present Value</w:t>
            </w:r>
          </w:p>
        </w:tc>
        <w:tc>
          <w:tcPr>
            <w:tcW w:w="1975" w:type="dxa"/>
            <w:tcBorders>
              <w:top w:val="single" w:sz="4" w:space="0" w:color="auto"/>
              <w:bottom w:val="nil"/>
              <w:right w:val="single" w:sz="4" w:space="0" w:color="auto"/>
            </w:tcBorders>
            <w:shd w:val="clear" w:color="auto" w:fill="E0E0E0"/>
            <w:vAlign w:val="center"/>
          </w:tcPr>
          <w:p w14:paraId="433E1DBE" w14:textId="77777777" w:rsidR="003024BF" w:rsidRPr="000E02BE" w:rsidRDefault="003024BF" w:rsidP="00BC252E">
            <w:pPr>
              <w:pStyle w:val="IATableLabel"/>
              <w:spacing w:before="0" w:after="0" w:line="20" w:lineRule="atLeast"/>
            </w:pPr>
            <w:r>
              <w:t>Business Net Present Value</w:t>
            </w:r>
          </w:p>
        </w:tc>
        <w:tc>
          <w:tcPr>
            <w:tcW w:w="2693" w:type="dxa"/>
            <w:gridSpan w:val="2"/>
            <w:tcBorders>
              <w:top w:val="single" w:sz="4" w:space="0" w:color="auto"/>
              <w:bottom w:val="nil"/>
              <w:right w:val="single" w:sz="4" w:space="0" w:color="auto"/>
            </w:tcBorders>
            <w:shd w:val="clear" w:color="auto" w:fill="E0E0E0"/>
            <w:vAlign w:val="center"/>
          </w:tcPr>
          <w:p w14:paraId="4107DF29" w14:textId="405669CF" w:rsidR="003024BF" w:rsidRPr="000E02BE" w:rsidRDefault="003024BF" w:rsidP="00F12A5C">
            <w:pPr>
              <w:pStyle w:val="IATableLabel"/>
              <w:spacing w:before="0" w:after="0" w:line="20" w:lineRule="atLeast"/>
            </w:pPr>
            <w:r>
              <w:t xml:space="preserve">Net cost to business per year </w:t>
            </w:r>
            <w:r w:rsidRPr="006656EC">
              <w:rPr>
                <w:b w:val="0"/>
              </w:rPr>
              <w:t>(</w:t>
            </w:r>
            <w:r w:rsidRPr="00307737">
              <w:rPr>
                <w:b w:val="0"/>
                <w:sz w:val="16"/>
                <w:szCs w:val="16"/>
              </w:rPr>
              <w:t>EANDCB in 201</w:t>
            </w:r>
            <w:r>
              <w:rPr>
                <w:b w:val="0"/>
                <w:sz w:val="16"/>
                <w:szCs w:val="16"/>
              </w:rPr>
              <w:t>6</w:t>
            </w:r>
            <w:r w:rsidRPr="00307737">
              <w:rPr>
                <w:b w:val="0"/>
                <w:sz w:val="16"/>
                <w:szCs w:val="16"/>
              </w:rPr>
              <w:t xml:space="preserve"> prices</w:t>
            </w:r>
            <w:r w:rsidRPr="006656EC">
              <w:rPr>
                <w:b w:val="0"/>
                <w:sz w:val="16"/>
                <w:szCs w:val="16"/>
              </w:rPr>
              <w:t>)</w:t>
            </w:r>
          </w:p>
        </w:tc>
        <w:tc>
          <w:tcPr>
            <w:tcW w:w="3833" w:type="dxa"/>
            <w:tcBorders>
              <w:top w:val="single" w:sz="4" w:space="0" w:color="auto"/>
              <w:left w:val="single" w:sz="4" w:space="0" w:color="auto"/>
              <w:bottom w:val="nil"/>
              <w:right w:val="single" w:sz="4" w:space="0" w:color="auto"/>
            </w:tcBorders>
            <w:shd w:val="clear" w:color="auto" w:fill="E0E0E0"/>
            <w:vAlign w:val="center"/>
          </w:tcPr>
          <w:p w14:paraId="26F9BD5D" w14:textId="47088617" w:rsidR="003024BF" w:rsidRPr="000E02BE" w:rsidRDefault="003024BF" w:rsidP="006A00C0">
            <w:pPr>
              <w:pStyle w:val="IATableLabel"/>
              <w:spacing w:before="0" w:after="0" w:line="20" w:lineRule="atLeast"/>
            </w:pPr>
            <w:r>
              <w:t>Business Impact Target Status</w:t>
            </w:r>
          </w:p>
        </w:tc>
      </w:tr>
      <w:tr w:rsidR="003024BF" w:rsidRPr="0061761A" w14:paraId="705702E2" w14:textId="77777777" w:rsidTr="58FACFB3">
        <w:tblPrEx>
          <w:shd w:val="clear" w:color="auto" w:fill="E0E0E0"/>
        </w:tblPrEx>
        <w:trPr>
          <w:gridAfter w:val="1"/>
          <w:wAfter w:w="9" w:type="dxa"/>
          <w:trHeight w:hRule="exact" w:val="286"/>
        </w:trPr>
        <w:tc>
          <w:tcPr>
            <w:tcW w:w="1706" w:type="dxa"/>
            <w:tcBorders>
              <w:top w:val="nil"/>
              <w:bottom w:val="single" w:sz="4" w:space="0" w:color="auto"/>
              <w:right w:val="single" w:sz="4" w:space="0" w:color="auto"/>
            </w:tcBorders>
            <w:shd w:val="clear" w:color="auto" w:fill="E0E0E0"/>
            <w:vAlign w:val="center"/>
          </w:tcPr>
          <w:p w14:paraId="6754E3D6" w14:textId="6FFA0E3A" w:rsidR="003024BF" w:rsidRPr="000E02BE" w:rsidRDefault="003024BF" w:rsidP="00590710">
            <w:pPr>
              <w:pStyle w:val="IAIIOTNPV"/>
              <w:spacing w:line="20" w:lineRule="atLeast"/>
            </w:pPr>
            <w:r>
              <w:t>-19.3 million</w:t>
            </w:r>
          </w:p>
        </w:tc>
        <w:tc>
          <w:tcPr>
            <w:tcW w:w="1975" w:type="dxa"/>
            <w:tcBorders>
              <w:top w:val="nil"/>
              <w:bottom w:val="single" w:sz="4" w:space="0" w:color="auto"/>
              <w:right w:val="single" w:sz="4" w:space="0" w:color="auto"/>
            </w:tcBorders>
            <w:shd w:val="clear" w:color="auto" w:fill="E0E0E0"/>
            <w:vAlign w:val="center"/>
          </w:tcPr>
          <w:p w14:paraId="3EB56B6C" w14:textId="2425F763" w:rsidR="003024BF" w:rsidRPr="000E02BE" w:rsidRDefault="003024BF" w:rsidP="00E665F2">
            <w:pPr>
              <w:pStyle w:val="IAIOBNPV"/>
              <w:spacing w:line="20" w:lineRule="atLeast"/>
            </w:pPr>
            <w:r>
              <w:t>-19.3 million</w:t>
            </w:r>
          </w:p>
        </w:tc>
        <w:tc>
          <w:tcPr>
            <w:tcW w:w="2693" w:type="dxa"/>
            <w:gridSpan w:val="2"/>
            <w:tcBorders>
              <w:top w:val="nil"/>
              <w:bottom w:val="single" w:sz="4" w:space="0" w:color="auto"/>
              <w:right w:val="single" w:sz="4" w:space="0" w:color="auto"/>
            </w:tcBorders>
            <w:shd w:val="clear" w:color="auto" w:fill="E0E0E0"/>
            <w:vAlign w:val="center"/>
          </w:tcPr>
          <w:p w14:paraId="50E6F08A" w14:textId="2F51534C" w:rsidR="003024BF" w:rsidRPr="000E02BE" w:rsidRDefault="003024BF" w:rsidP="00E665F2">
            <w:pPr>
              <w:pStyle w:val="IAIONCTBPY"/>
              <w:spacing w:line="20" w:lineRule="atLeast"/>
            </w:pPr>
            <w:r>
              <w:t>1.9 million</w:t>
            </w:r>
          </w:p>
        </w:tc>
        <w:tc>
          <w:tcPr>
            <w:tcW w:w="3833" w:type="dxa"/>
            <w:tcBorders>
              <w:top w:val="nil"/>
              <w:left w:val="single" w:sz="4" w:space="0" w:color="auto"/>
              <w:bottom w:val="single" w:sz="4" w:space="0" w:color="auto"/>
              <w:right w:val="single" w:sz="4" w:space="0" w:color="auto"/>
            </w:tcBorders>
            <w:shd w:val="clear" w:color="auto" w:fill="E0E0E0"/>
            <w:vAlign w:val="center"/>
          </w:tcPr>
          <w:p w14:paraId="06B88871" w14:textId="349B841A" w:rsidR="003024BF" w:rsidRPr="000E02BE" w:rsidRDefault="006A00C0" w:rsidP="00590710">
            <w:pPr>
              <w:pStyle w:val="IAIOPrefMQ"/>
              <w:spacing w:line="20" w:lineRule="atLeast"/>
              <w:ind w:left="0"/>
            </w:pPr>
            <w:r>
              <w:t xml:space="preserve">  </w:t>
            </w:r>
            <w:r w:rsidR="003024BF">
              <w:t>Non-qualifying provision</w:t>
            </w:r>
          </w:p>
        </w:tc>
      </w:tr>
      <w:tr w:rsidR="007208D9" w:rsidRPr="00826F71" w14:paraId="38F6F38E" w14:textId="77777777" w:rsidTr="58FACFB3">
        <w:trPr>
          <w:gridAfter w:val="1"/>
          <w:wAfter w:w="9" w:type="dxa"/>
          <w:trHeight w:hRule="exact" w:val="2285"/>
        </w:trPr>
        <w:tc>
          <w:tcPr>
            <w:tcW w:w="10207" w:type="dxa"/>
            <w:gridSpan w:val="5"/>
            <w:tcBorders>
              <w:top w:val="single" w:sz="4" w:space="0" w:color="auto"/>
              <w:left w:val="single" w:sz="4" w:space="0" w:color="auto"/>
              <w:bottom w:val="single" w:sz="4" w:space="0" w:color="auto"/>
              <w:right w:val="single" w:sz="4" w:space="0" w:color="auto"/>
            </w:tcBorders>
          </w:tcPr>
          <w:p w14:paraId="55167BE8" w14:textId="77777777" w:rsidR="007208D9" w:rsidRPr="00EA0B74" w:rsidRDefault="00686F5E" w:rsidP="00BC252E">
            <w:pPr>
              <w:pStyle w:val="IAIOQ1"/>
              <w:spacing w:line="20" w:lineRule="atLeast"/>
            </w:pPr>
            <w:bookmarkStart w:id="10" w:name="Summary1"/>
            <w:r>
              <w:t xml:space="preserve">What is the problem under consideration? Why is </w:t>
            </w:r>
            <w:r w:rsidR="00241D74">
              <w:t>Government</w:t>
            </w:r>
            <w:r>
              <w:t xml:space="preserve"> intervention necessary?</w:t>
            </w:r>
            <w:bookmarkEnd w:id="10"/>
          </w:p>
          <w:p w14:paraId="5A9C4B05" w14:textId="0D85F27A" w:rsidR="00E75380" w:rsidRPr="00C120C0" w:rsidRDefault="1640417E" w:rsidP="00CB7288">
            <w:pPr>
              <w:pStyle w:val="IATableLines"/>
              <w:spacing w:line="20" w:lineRule="atLeast"/>
            </w:pPr>
            <w:r>
              <w:t xml:space="preserve">Consumer protection regime allows consumers to have confidence that they are legally protected against rogue businesses that sell substandard goods or services. Consumer protection in the UK is affected through a multiplicity of Acts of Parliament and statutory instruments that are tightly linked to a range of EU legislations and make many references to the European Institutions or to EU Member States. </w:t>
            </w:r>
            <w:proofErr w:type="gramStart"/>
            <w:r>
              <w:t>In light of</w:t>
            </w:r>
            <w:proofErr w:type="gramEnd"/>
            <w:r>
              <w:t xml:space="preserve"> the United Kingdom European Union membership referendum and the Government’s commitment to withdraw from the EU, certain changes in UK legislation must be made through the European Union (Withdrawal) Act 2018 to ensure UK law continues to be operable at the point of exiting the EU.</w:t>
            </w:r>
          </w:p>
        </w:tc>
      </w:tr>
    </w:tbl>
    <w:p w14:paraId="74EA6846" w14:textId="77777777" w:rsidR="007208D9" w:rsidRPr="006808F7" w:rsidRDefault="007208D9" w:rsidP="00BC252E">
      <w:pPr>
        <w:pStyle w:val="IASpacer"/>
        <w:spacing w:line="20" w:lineRule="atLeast"/>
        <w:rPr>
          <w:sz w:val="6"/>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195"/>
      </w:tblGrid>
      <w:tr w:rsidR="007208D9" w:rsidRPr="00826F71" w14:paraId="5295BBF3" w14:textId="77777777" w:rsidTr="006B536B">
        <w:trPr>
          <w:trHeight w:hRule="exact" w:val="2631"/>
        </w:trPr>
        <w:tc>
          <w:tcPr>
            <w:tcW w:w="10214" w:type="dxa"/>
          </w:tcPr>
          <w:p w14:paraId="5FAF2F87" w14:textId="77777777" w:rsidR="007208D9" w:rsidRPr="00EA0B74" w:rsidRDefault="00686F5E" w:rsidP="00BC252E">
            <w:pPr>
              <w:pStyle w:val="IAIOQ2"/>
              <w:spacing w:line="20" w:lineRule="atLeast"/>
            </w:pPr>
            <w:bookmarkStart w:id="11" w:name="Summary2"/>
            <w:r>
              <w:t>What are the policy objectives and the intended effects?</w:t>
            </w:r>
            <w:bookmarkEnd w:id="11"/>
          </w:p>
          <w:p w14:paraId="6794CD52" w14:textId="36D1903B" w:rsidR="00E75380" w:rsidRPr="00C120C0" w:rsidRDefault="00A36332" w:rsidP="006B536B">
            <w:pPr>
              <w:pStyle w:val="IATableLines"/>
              <w:spacing w:line="20" w:lineRule="atLeast"/>
            </w:pPr>
            <w:bookmarkStart w:id="12" w:name="IAIOA1"/>
            <w:r>
              <w:t xml:space="preserve">The policy objective is to ensure that </w:t>
            </w:r>
            <w:r w:rsidR="00264278">
              <w:t xml:space="preserve">the existing </w:t>
            </w:r>
            <w:r w:rsidR="00BB51CD">
              <w:t xml:space="preserve">consumer protection regime </w:t>
            </w:r>
            <w:r w:rsidR="00264278">
              <w:t>continue</w:t>
            </w:r>
            <w:r w:rsidR="00792150">
              <w:t>s</w:t>
            </w:r>
            <w:r w:rsidR="00264278">
              <w:t xml:space="preserve"> to operate effectively af</w:t>
            </w:r>
            <w:r w:rsidR="00C81332">
              <w:t xml:space="preserve">ter the UK withdraws from the EU. </w:t>
            </w:r>
            <w:r w:rsidR="001C210E">
              <w:t xml:space="preserve">This statutory instrument </w:t>
            </w:r>
            <w:r w:rsidR="001C210E" w:rsidRPr="001C210E">
              <w:t>is not intended as a vehicle for reforming the existing regime</w:t>
            </w:r>
            <w:r w:rsidR="001C210E">
              <w:t xml:space="preserve">. </w:t>
            </w:r>
            <w:r w:rsidR="000A6009">
              <w:t>By p</w:t>
            </w:r>
            <w:r w:rsidR="00BB51CD" w:rsidRPr="00BB51CD">
              <w:t xml:space="preserve">roviding legal and consumer certainty after the UK exits the EU and </w:t>
            </w:r>
            <w:r w:rsidR="000A6009">
              <w:t xml:space="preserve">by </w:t>
            </w:r>
            <w:r w:rsidR="00BB51CD" w:rsidRPr="00BB51CD">
              <w:t>maintaining an effective consumer protection regime</w:t>
            </w:r>
            <w:bookmarkEnd w:id="12"/>
            <w:r w:rsidR="003E3772">
              <w:t xml:space="preserve">, </w:t>
            </w:r>
            <w:r w:rsidR="006B536B">
              <w:t xml:space="preserve">the Government </w:t>
            </w:r>
            <w:r w:rsidR="003E3772">
              <w:t>ensure</w:t>
            </w:r>
            <w:r w:rsidR="006B536B">
              <w:t>s</w:t>
            </w:r>
            <w:r w:rsidR="003E3772">
              <w:t xml:space="preserve"> that consumer rights are applied fairly</w:t>
            </w:r>
            <w:r w:rsidR="006B536B">
              <w:t>,</w:t>
            </w:r>
            <w:r w:rsidR="003E3772">
              <w:t xml:space="preserve"> that consumers’ interests are protected</w:t>
            </w:r>
            <w:r w:rsidR="006B536B">
              <w:t>, and that businesses have a clear legal framework to follow</w:t>
            </w:r>
            <w:r w:rsidR="003E3772">
              <w:t>.</w:t>
            </w:r>
            <w:r w:rsidR="006B536B">
              <w:t xml:space="preserve"> </w:t>
            </w:r>
            <w:r w:rsidR="003E3772">
              <w:t>This contributes to maintaining the UK’s reputation as a positive business environment for consumers where individuals can have faith in the quality of UK consumer protection regimes to protect their rights when they engage in purchase</w:t>
            </w:r>
            <w:r w:rsidR="000A6009">
              <w:t>.</w:t>
            </w:r>
          </w:p>
        </w:tc>
      </w:tr>
    </w:tbl>
    <w:p w14:paraId="5558281A" w14:textId="77777777" w:rsidR="007208D9" w:rsidRPr="006808F7" w:rsidRDefault="007208D9" w:rsidP="00BC252E">
      <w:pPr>
        <w:pStyle w:val="IASpacer"/>
        <w:spacing w:line="20" w:lineRule="atLeast"/>
        <w:rPr>
          <w:sz w:val="6"/>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195"/>
      </w:tblGrid>
      <w:tr w:rsidR="00686F5E" w:rsidRPr="00826F71" w14:paraId="74A40F78" w14:textId="77777777" w:rsidTr="00054845">
        <w:trPr>
          <w:trHeight w:hRule="exact" w:val="3604"/>
        </w:trPr>
        <w:tc>
          <w:tcPr>
            <w:tcW w:w="9648" w:type="dxa"/>
          </w:tcPr>
          <w:p w14:paraId="32074A95" w14:textId="033F6D7F" w:rsidR="00686F5E" w:rsidRPr="00A274C3" w:rsidRDefault="00C958FA" w:rsidP="00A274C3">
            <w:pPr>
              <w:pStyle w:val="IAIOQ2"/>
              <w:spacing w:line="20" w:lineRule="atLeast"/>
            </w:pPr>
            <w:bookmarkStart w:id="13" w:name="Summary3"/>
            <w:bookmarkStart w:id="14" w:name="IAIOQ3"/>
            <w:r>
              <w:t xml:space="preserve">What policy options </w:t>
            </w:r>
            <w:r w:rsidR="00686F5E" w:rsidRPr="00BB2BE5">
              <w:t>have been considered</w:t>
            </w:r>
            <w:r w:rsidR="005D6EA8" w:rsidRPr="00BB2BE5">
              <w:t>, including any alternatives to regulation</w:t>
            </w:r>
            <w:r w:rsidR="00686F5E" w:rsidRPr="00BB2BE5">
              <w:t>? Please justify preferred option (further details in Evidence Base)</w:t>
            </w:r>
            <w:bookmarkEnd w:id="14"/>
          </w:p>
          <w:p w14:paraId="3BFF1C41" w14:textId="3E4B1B07" w:rsidR="00DD57CF" w:rsidRDefault="00A274C3" w:rsidP="00AE12D7">
            <w:pPr>
              <w:pStyle w:val="IAIOQ3"/>
              <w:spacing w:line="20" w:lineRule="atLeast"/>
              <w:rPr>
                <w:b w:val="0"/>
                <w:sz w:val="22"/>
              </w:rPr>
            </w:pPr>
            <w:r w:rsidRPr="00D50314">
              <w:rPr>
                <w:b w:val="0"/>
                <w:sz w:val="22"/>
              </w:rPr>
              <w:t>Option 0</w:t>
            </w:r>
            <w:r w:rsidR="00D50314" w:rsidRPr="00D50314">
              <w:rPr>
                <w:b w:val="0"/>
                <w:sz w:val="22"/>
              </w:rPr>
              <w:t>.1</w:t>
            </w:r>
            <w:r w:rsidRPr="00D50314">
              <w:rPr>
                <w:b w:val="0"/>
                <w:sz w:val="22"/>
              </w:rPr>
              <w:t>:</w:t>
            </w:r>
            <w:r w:rsidR="00D50314" w:rsidRPr="00D50314">
              <w:rPr>
                <w:b w:val="0"/>
                <w:sz w:val="22"/>
              </w:rPr>
              <w:t xml:space="preserve"> Status quo (current arrangements) </w:t>
            </w:r>
            <w:r w:rsidR="003443B7">
              <w:rPr>
                <w:b w:val="0"/>
                <w:sz w:val="22"/>
              </w:rPr>
              <w:t>–</w:t>
            </w:r>
            <w:r w:rsidR="00D50314" w:rsidRPr="00D50314">
              <w:rPr>
                <w:b w:val="0"/>
                <w:sz w:val="22"/>
              </w:rPr>
              <w:t xml:space="preserve"> The UK applies the regulations listed in paragraph 5 on a reciprocal basis with the EEA.</w:t>
            </w:r>
          </w:p>
          <w:p w14:paraId="3F9601F5" w14:textId="5FDFF192" w:rsidR="00EF0ADA" w:rsidRDefault="00F1126A" w:rsidP="00AE12D7">
            <w:pPr>
              <w:pStyle w:val="IAIOQ3"/>
              <w:spacing w:line="20" w:lineRule="atLeast"/>
              <w:rPr>
                <w:b w:val="0"/>
                <w:sz w:val="22"/>
              </w:rPr>
            </w:pPr>
            <w:r>
              <w:rPr>
                <w:b w:val="0"/>
                <w:sz w:val="22"/>
              </w:rPr>
              <w:t xml:space="preserve">Option 0.2: Do nothing – </w:t>
            </w:r>
            <w:r w:rsidR="001C4269">
              <w:rPr>
                <w:b w:val="0"/>
                <w:sz w:val="22"/>
              </w:rPr>
              <w:t>D</w:t>
            </w:r>
            <w:r w:rsidR="003443B7">
              <w:rPr>
                <w:b w:val="0"/>
                <w:sz w:val="22"/>
              </w:rPr>
              <w:t>o</w:t>
            </w:r>
            <w:r w:rsidR="00E96B27">
              <w:rPr>
                <w:b w:val="0"/>
                <w:sz w:val="22"/>
              </w:rPr>
              <w:t xml:space="preserve"> </w:t>
            </w:r>
            <w:r w:rsidR="007F5BDA" w:rsidRPr="004A33F9">
              <w:rPr>
                <w:b w:val="0"/>
                <w:sz w:val="22"/>
              </w:rPr>
              <w:t>not amend any of the regulations listed in this statutory instrument</w:t>
            </w:r>
            <w:r w:rsidR="00EC6093">
              <w:rPr>
                <w:b w:val="0"/>
                <w:sz w:val="22"/>
              </w:rPr>
              <w:t xml:space="preserve">, which </w:t>
            </w:r>
            <w:r w:rsidR="00EB5F61" w:rsidRPr="004A33F9">
              <w:rPr>
                <w:b w:val="0"/>
                <w:sz w:val="22"/>
              </w:rPr>
              <w:t xml:space="preserve">would </w:t>
            </w:r>
            <w:r w:rsidR="003A4E2B" w:rsidRPr="004A33F9">
              <w:rPr>
                <w:b w:val="0"/>
                <w:sz w:val="22"/>
              </w:rPr>
              <w:t>result in</w:t>
            </w:r>
            <w:r w:rsidR="00EB5F61" w:rsidRPr="004A33F9">
              <w:rPr>
                <w:b w:val="0"/>
                <w:sz w:val="22"/>
              </w:rPr>
              <w:t xml:space="preserve"> a potential legal gap </w:t>
            </w:r>
            <w:r w:rsidR="00054845">
              <w:rPr>
                <w:b w:val="0"/>
                <w:sz w:val="22"/>
              </w:rPr>
              <w:t>once the UK exits the EU. This is because</w:t>
            </w:r>
            <w:r w:rsidR="00AC7CEA" w:rsidRPr="004A33F9">
              <w:rPr>
                <w:b w:val="0"/>
                <w:sz w:val="22"/>
              </w:rPr>
              <w:t xml:space="preserve"> the</w:t>
            </w:r>
            <w:r w:rsidR="00EB5F61" w:rsidRPr="004A33F9">
              <w:rPr>
                <w:b w:val="0"/>
                <w:sz w:val="22"/>
              </w:rPr>
              <w:t xml:space="preserve"> </w:t>
            </w:r>
            <w:r w:rsidR="00AC7CEA" w:rsidRPr="004A33F9">
              <w:rPr>
                <w:b w:val="0"/>
                <w:sz w:val="22"/>
              </w:rPr>
              <w:t xml:space="preserve">UK regulatory landscape for consumer protection and enforcement makes many </w:t>
            </w:r>
            <w:r w:rsidR="00304544" w:rsidRPr="004A33F9">
              <w:rPr>
                <w:b w:val="0"/>
                <w:sz w:val="22"/>
              </w:rPr>
              <w:t>references</w:t>
            </w:r>
            <w:r w:rsidR="00AC7CEA" w:rsidRPr="004A33F9">
              <w:rPr>
                <w:b w:val="0"/>
                <w:sz w:val="22"/>
              </w:rPr>
              <w:t xml:space="preserve"> to the European </w:t>
            </w:r>
            <w:r w:rsidR="007703AE">
              <w:rPr>
                <w:b w:val="0"/>
                <w:sz w:val="22"/>
              </w:rPr>
              <w:t>I</w:t>
            </w:r>
            <w:r w:rsidR="00AC7CEA" w:rsidRPr="004A33F9">
              <w:rPr>
                <w:b w:val="0"/>
                <w:sz w:val="22"/>
              </w:rPr>
              <w:t xml:space="preserve">nstitutions or </w:t>
            </w:r>
            <w:r w:rsidR="00304544" w:rsidRPr="004A33F9">
              <w:rPr>
                <w:b w:val="0"/>
                <w:sz w:val="22"/>
              </w:rPr>
              <w:t xml:space="preserve">to </w:t>
            </w:r>
            <w:r w:rsidR="00AC7CEA" w:rsidRPr="004A33F9">
              <w:rPr>
                <w:b w:val="0"/>
                <w:sz w:val="22"/>
              </w:rPr>
              <w:t>Member States.</w:t>
            </w:r>
            <w:r w:rsidR="00AE12D7" w:rsidRPr="00AE12D7">
              <w:rPr>
                <w:b w:val="0"/>
                <w:sz w:val="22"/>
              </w:rPr>
              <w:t xml:space="preserve"> </w:t>
            </w:r>
          </w:p>
          <w:p w14:paraId="6EC2C543" w14:textId="75588DD8" w:rsidR="00B84970" w:rsidRPr="004A33F9" w:rsidRDefault="00B84970" w:rsidP="001E0D98">
            <w:pPr>
              <w:pStyle w:val="IAIOQ3"/>
              <w:spacing w:line="20" w:lineRule="atLeast"/>
              <w:rPr>
                <w:b w:val="0"/>
                <w:sz w:val="22"/>
              </w:rPr>
            </w:pPr>
            <w:r>
              <w:rPr>
                <w:b w:val="0"/>
                <w:sz w:val="22"/>
              </w:rPr>
              <w:t>Option 1:</w:t>
            </w:r>
            <w:r w:rsidR="001C4269">
              <w:rPr>
                <w:b w:val="0"/>
                <w:sz w:val="22"/>
              </w:rPr>
              <w:t xml:space="preserve"> </w:t>
            </w:r>
            <w:r w:rsidR="001C4269" w:rsidRPr="001C4269">
              <w:rPr>
                <w:b w:val="0"/>
                <w:sz w:val="22"/>
              </w:rPr>
              <w:t xml:space="preserve">Take minimum action required to maintain an effective consumer protection regime after the UK exits the EU </w:t>
            </w:r>
            <w:r w:rsidR="008150A6">
              <w:rPr>
                <w:b w:val="0"/>
                <w:sz w:val="22"/>
              </w:rPr>
              <w:t xml:space="preserve">(preferred) </w:t>
            </w:r>
            <w:r w:rsidR="001E0D98">
              <w:rPr>
                <w:b w:val="0"/>
                <w:sz w:val="22"/>
              </w:rPr>
              <w:t xml:space="preserve">– Amend </w:t>
            </w:r>
            <w:r w:rsidR="001C4269" w:rsidRPr="001C4269">
              <w:rPr>
                <w:b w:val="0"/>
                <w:sz w:val="22"/>
              </w:rPr>
              <w:t>seven pieces of consumer protection legislation and revoke the EU Regulation on Online Dispute Resolution (ODR). This option would ensure that the legal framework that protects the rights and interests of consumers is maintained and that consumers continue to benefit from the same level of protection they currently experience when purchasing from UK businesses</w:t>
            </w:r>
            <w:r w:rsidR="001E0D98">
              <w:rPr>
                <w:b w:val="0"/>
                <w:sz w:val="22"/>
              </w:rPr>
              <w:t>.</w:t>
            </w:r>
          </w:p>
          <w:p w14:paraId="66CD697A" w14:textId="7154583E" w:rsidR="007F5BDA" w:rsidRDefault="007F5BDA" w:rsidP="00EF0ADA">
            <w:pPr>
              <w:pStyle w:val="IAIOQ3"/>
              <w:spacing w:after="0" w:line="20" w:lineRule="atLeast"/>
              <w:rPr>
                <w:b w:val="0"/>
              </w:rPr>
            </w:pPr>
          </w:p>
          <w:p w14:paraId="6F38E487" w14:textId="690C9067" w:rsidR="00C60F47" w:rsidRPr="001E2522" w:rsidRDefault="00C60F47" w:rsidP="00733701">
            <w:pPr>
              <w:pStyle w:val="IAIOQ3"/>
              <w:spacing w:after="0" w:line="20" w:lineRule="atLeast"/>
              <w:ind w:left="0"/>
              <w:rPr>
                <w:sz w:val="22"/>
              </w:rPr>
            </w:pPr>
          </w:p>
        </w:tc>
      </w:tr>
    </w:tbl>
    <w:p w14:paraId="54F2552B" w14:textId="5A570D85" w:rsidR="00686F5E" w:rsidRPr="006808F7" w:rsidRDefault="00686F5E" w:rsidP="00BC252E">
      <w:pPr>
        <w:pStyle w:val="IASpacer2"/>
        <w:spacing w:line="20" w:lineRule="atLeast"/>
        <w:rPr>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95"/>
      </w:tblGrid>
      <w:tr w:rsidR="00720FFE" w14:paraId="581F904F" w14:textId="77777777" w:rsidTr="007E190E">
        <w:tc>
          <w:tcPr>
            <w:tcW w:w="5000" w:type="pct"/>
            <w:shd w:val="clear" w:color="auto" w:fill="auto"/>
          </w:tcPr>
          <w:p w14:paraId="6FBA4615" w14:textId="2555B5D1" w:rsidR="00720FFE" w:rsidRPr="007E190E" w:rsidRDefault="00720FFE" w:rsidP="00A4257A">
            <w:pPr>
              <w:pStyle w:val="IATableLabel"/>
              <w:spacing w:line="20" w:lineRule="atLeast"/>
              <w:rPr>
                <w:b w:val="0"/>
                <w:sz w:val="22"/>
                <w:szCs w:val="22"/>
              </w:rPr>
            </w:pPr>
            <w:r w:rsidRPr="003F28EA">
              <w:t>Will the policy be reviewed?</w:t>
            </w:r>
            <w:r w:rsidR="006E5700" w:rsidRPr="003F28EA">
              <w:t xml:space="preserve"> </w:t>
            </w:r>
            <w:r w:rsidR="003F28EA">
              <w:t xml:space="preserve">  </w:t>
            </w:r>
            <w:r w:rsidR="003F28EA" w:rsidRPr="003F28EA">
              <w:rPr>
                <w:b w:val="0"/>
              </w:rPr>
              <w:t>Not applicable</w:t>
            </w:r>
            <w:r w:rsidR="003F28EA" w:rsidRPr="003F28EA">
              <w:t xml:space="preserve">     </w:t>
            </w:r>
            <w:r w:rsidR="006E5700" w:rsidRPr="003F28EA">
              <w:rPr>
                <w:sz w:val="22"/>
                <w:szCs w:val="22"/>
              </w:rPr>
              <w:t xml:space="preserve"> </w:t>
            </w:r>
            <w:r w:rsidRPr="003F28EA">
              <w:t>If applicable, set review date:</w:t>
            </w:r>
            <w:bookmarkStart w:id="15" w:name="IAReviewMonth"/>
            <w:r w:rsidR="006E5700">
              <w:t xml:space="preserve"> </w:t>
            </w:r>
            <w:bookmarkEnd w:id="15"/>
          </w:p>
        </w:tc>
      </w:tr>
    </w:tbl>
    <w:p w14:paraId="4DF00A21" w14:textId="77777777" w:rsidR="007E190E" w:rsidRPr="007E190E" w:rsidRDefault="007E190E" w:rsidP="00BC252E">
      <w:pPr>
        <w:spacing w:line="20" w:lineRule="atLeast"/>
        <w:rPr>
          <w:vanish/>
        </w:rPr>
      </w:pPr>
      <w:bookmarkStart w:id="16" w:name="Summary4"/>
      <w:bookmarkEnd w:id="13"/>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6257"/>
        <w:gridCol w:w="981"/>
        <w:gridCol w:w="981"/>
        <w:gridCol w:w="347"/>
        <w:gridCol w:w="634"/>
        <w:gridCol w:w="981"/>
      </w:tblGrid>
      <w:tr w:rsidR="006656EC" w:rsidRPr="00D50283" w14:paraId="6C2F283F" w14:textId="77777777">
        <w:trPr>
          <w:trHeight w:hRule="exact" w:val="340"/>
        </w:trPr>
        <w:tc>
          <w:tcPr>
            <w:tcW w:w="7252" w:type="dxa"/>
            <w:gridSpan w:val="2"/>
            <w:shd w:val="clear" w:color="auto" w:fill="E0E0E0"/>
            <w:vAlign w:val="center"/>
          </w:tcPr>
          <w:p w14:paraId="0CC16F41" w14:textId="77777777" w:rsidR="006656EC" w:rsidRPr="00D50283" w:rsidRDefault="006656EC" w:rsidP="00BC252E">
            <w:pPr>
              <w:pStyle w:val="IATableText"/>
              <w:spacing w:before="0" w:after="0" w:line="20" w:lineRule="atLeast"/>
              <w:rPr>
                <w:sz w:val="20"/>
              </w:rPr>
            </w:pPr>
            <w:r w:rsidRPr="00D50283">
              <w:rPr>
                <w:iCs/>
                <w:sz w:val="20"/>
              </w:rPr>
              <w:t>Does implementation go beyond minimum EU requirements?</w:t>
            </w:r>
          </w:p>
        </w:tc>
        <w:tc>
          <w:tcPr>
            <w:tcW w:w="2949" w:type="dxa"/>
            <w:gridSpan w:val="4"/>
            <w:tcBorders>
              <w:bottom w:val="single" w:sz="4" w:space="0" w:color="auto"/>
            </w:tcBorders>
            <w:shd w:val="clear" w:color="auto" w:fill="E0E0E0"/>
            <w:vAlign w:val="center"/>
          </w:tcPr>
          <w:p w14:paraId="73D5CD3A" w14:textId="77777777" w:rsidR="006656EC" w:rsidRPr="00D50283" w:rsidRDefault="0032299B" w:rsidP="00BC252E">
            <w:pPr>
              <w:pStyle w:val="IAIOCheckEU"/>
              <w:spacing w:line="20" w:lineRule="atLeast"/>
            </w:pPr>
            <w:r>
              <w:fldChar w:fldCharType="begin">
                <w:ffData>
                  <w:name w:val="IACheckEU"/>
                  <w:enabled/>
                  <w:calcOnExit w:val="0"/>
                  <w:ddList>
                    <w:listEntry w:val="No"/>
                    <w:listEntry w:val="Yes / No / N/A"/>
                    <w:listEntry w:val="Yes"/>
                    <w:listEntry w:val="N/A"/>
                  </w:ddList>
                </w:ffData>
              </w:fldChar>
            </w:r>
            <w:r>
              <w:instrText xml:space="preserve"> </w:instrText>
            </w:r>
            <w:bookmarkStart w:id="17" w:name="IACheckEU"/>
            <w:r>
              <w:instrText xml:space="preserve">FORMDROPDOWN </w:instrText>
            </w:r>
            <w:r w:rsidR="00EC360C">
              <w:fldChar w:fldCharType="separate"/>
            </w:r>
            <w:r>
              <w:fldChar w:fldCharType="end"/>
            </w:r>
            <w:bookmarkEnd w:id="17"/>
          </w:p>
        </w:tc>
      </w:tr>
      <w:tr w:rsidR="00422963" w:rsidRPr="00D50283" w14:paraId="58959C47" w14:textId="77777777" w:rsidTr="000A5C5D">
        <w:trPr>
          <w:trHeight w:val="460"/>
        </w:trPr>
        <w:tc>
          <w:tcPr>
            <w:tcW w:w="6269" w:type="dxa"/>
            <w:shd w:val="clear" w:color="auto" w:fill="E0E0E0"/>
            <w:vAlign w:val="center"/>
          </w:tcPr>
          <w:p w14:paraId="6827F497" w14:textId="77777777" w:rsidR="00422963" w:rsidRPr="00720FFE" w:rsidRDefault="00422963" w:rsidP="00BC252E">
            <w:pPr>
              <w:pStyle w:val="IATableLines"/>
              <w:spacing w:line="20" w:lineRule="atLeast"/>
              <w:rPr>
                <w:b/>
                <w:color w:val="000000"/>
                <w:sz w:val="20"/>
              </w:rPr>
            </w:pPr>
            <w:r w:rsidRPr="00D50283">
              <w:rPr>
                <w:rFonts w:cs="Arial"/>
                <w:sz w:val="20"/>
              </w:rPr>
              <w:t>Are a</w:t>
            </w:r>
            <w:r>
              <w:rPr>
                <w:rFonts w:cs="Arial"/>
                <w:sz w:val="20"/>
              </w:rPr>
              <w:t>ny of these organisations in scope</w:t>
            </w:r>
            <w:r w:rsidRPr="00D50283">
              <w:rPr>
                <w:rFonts w:cs="Arial"/>
                <w:sz w:val="20"/>
              </w:rPr>
              <w:t>?</w:t>
            </w:r>
          </w:p>
        </w:tc>
        <w:tc>
          <w:tcPr>
            <w:tcW w:w="983" w:type="dxa"/>
            <w:shd w:val="clear" w:color="auto" w:fill="E0E0E0"/>
            <w:vAlign w:val="center"/>
          </w:tcPr>
          <w:p w14:paraId="5FDF40DC" w14:textId="77777777" w:rsidR="00422963" w:rsidRPr="00720FFE" w:rsidRDefault="00422963" w:rsidP="0024293F">
            <w:pPr>
              <w:pStyle w:val="IATableLines"/>
              <w:spacing w:line="20" w:lineRule="atLeast"/>
              <w:rPr>
                <w:b/>
                <w:color w:val="000000"/>
                <w:sz w:val="20"/>
              </w:rPr>
            </w:pPr>
            <w:r w:rsidRPr="00720FFE">
              <w:rPr>
                <w:b/>
                <w:color w:val="000000"/>
                <w:sz w:val="20"/>
              </w:rPr>
              <w:t>Micro</w:t>
            </w:r>
            <w:r w:rsidR="0024293F">
              <w:rPr>
                <w:rStyle w:val="IAIOCheckMicroChar"/>
                <w:b w:val="0"/>
                <w:sz w:val="20"/>
              </w:rPr>
              <w:fldChar w:fldCharType="begin">
                <w:ffData>
                  <w:name w:val="IACheckMicro"/>
                  <w:enabled/>
                  <w:calcOnExit w:val="0"/>
                  <w:ddList>
                    <w:listEntry w:val="Yes"/>
                    <w:listEntry w:val="No"/>
                    <w:listEntry w:val="Yes/No"/>
                  </w:ddList>
                </w:ffData>
              </w:fldChar>
            </w:r>
            <w:r w:rsidR="0024293F">
              <w:rPr>
                <w:rStyle w:val="IAIOCheckMicroChar"/>
                <w:b w:val="0"/>
                <w:sz w:val="20"/>
              </w:rPr>
              <w:instrText xml:space="preserve"> </w:instrText>
            </w:r>
            <w:bookmarkStart w:id="18" w:name="IACheckMicro"/>
            <w:r w:rsidR="0024293F">
              <w:rPr>
                <w:rStyle w:val="IAIOCheckMicroChar"/>
                <w:b w:val="0"/>
                <w:sz w:val="20"/>
              </w:rPr>
              <w:instrText xml:space="preserve">FORMDROPDOWN </w:instrText>
            </w:r>
            <w:r w:rsidR="00EC360C">
              <w:rPr>
                <w:rStyle w:val="IAIOCheckMicroChar"/>
                <w:b w:val="0"/>
                <w:sz w:val="20"/>
              </w:rPr>
            </w:r>
            <w:r w:rsidR="00EC360C">
              <w:rPr>
                <w:rStyle w:val="IAIOCheckMicroChar"/>
                <w:b w:val="0"/>
                <w:sz w:val="20"/>
              </w:rPr>
              <w:fldChar w:fldCharType="separate"/>
            </w:r>
            <w:r w:rsidR="0024293F">
              <w:rPr>
                <w:rStyle w:val="IAIOCheckMicroChar"/>
                <w:b w:val="0"/>
                <w:sz w:val="20"/>
              </w:rPr>
              <w:fldChar w:fldCharType="end"/>
            </w:r>
            <w:bookmarkEnd w:id="18"/>
          </w:p>
        </w:tc>
        <w:tc>
          <w:tcPr>
            <w:tcW w:w="983" w:type="dxa"/>
            <w:shd w:val="clear" w:color="auto" w:fill="E0E0E0"/>
            <w:vAlign w:val="center"/>
          </w:tcPr>
          <w:p w14:paraId="12C8295E" w14:textId="77777777" w:rsidR="00422963" w:rsidRPr="00720FFE" w:rsidRDefault="00422963" w:rsidP="0024293F">
            <w:pPr>
              <w:pStyle w:val="IATableLines"/>
              <w:spacing w:line="20" w:lineRule="atLeast"/>
              <w:rPr>
                <w:b/>
                <w:color w:val="000000"/>
                <w:sz w:val="20"/>
              </w:rPr>
            </w:pPr>
            <w:r w:rsidRPr="00720FFE">
              <w:rPr>
                <w:b/>
                <w:color w:val="000000"/>
                <w:sz w:val="20"/>
              </w:rPr>
              <w:t>Small</w:t>
            </w:r>
            <w:r w:rsidR="0024293F">
              <w:rPr>
                <w:rStyle w:val="IAIOCheckSmallChar"/>
                <w:b w:val="0"/>
                <w:sz w:val="20"/>
              </w:rPr>
              <w:fldChar w:fldCharType="begin">
                <w:ffData>
                  <w:name w:val="IACheckSmall"/>
                  <w:enabled/>
                  <w:calcOnExit w:val="0"/>
                  <w:ddList>
                    <w:listEntry w:val="Yes"/>
                    <w:listEntry w:val="No"/>
                    <w:listEntry w:val="Yes/No"/>
                  </w:ddList>
                </w:ffData>
              </w:fldChar>
            </w:r>
            <w:r w:rsidR="0024293F">
              <w:rPr>
                <w:rStyle w:val="IAIOCheckSmallChar"/>
                <w:b w:val="0"/>
                <w:sz w:val="20"/>
              </w:rPr>
              <w:instrText xml:space="preserve"> </w:instrText>
            </w:r>
            <w:bookmarkStart w:id="19" w:name="IACheckSmall"/>
            <w:r w:rsidR="0024293F">
              <w:rPr>
                <w:rStyle w:val="IAIOCheckSmallChar"/>
                <w:b w:val="0"/>
                <w:sz w:val="20"/>
              </w:rPr>
              <w:instrText xml:space="preserve">FORMDROPDOWN </w:instrText>
            </w:r>
            <w:r w:rsidR="00EC360C">
              <w:rPr>
                <w:rStyle w:val="IAIOCheckSmallChar"/>
                <w:b w:val="0"/>
                <w:sz w:val="20"/>
              </w:rPr>
            </w:r>
            <w:r w:rsidR="00EC360C">
              <w:rPr>
                <w:rStyle w:val="IAIOCheckSmallChar"/>
                <w:b w:val="0"/>
                <w:sz w:val="20"/>
              </w:rPr>
              <w:fldChar w:fldCharType="separate"/>
            </w:r>
            <w:r w:rsidR="0024293F">
              <w:rPr>
                <w:rStyle w:val="IAIOCheckSmallChar"/>
                <w:b w:val="0"/>
                <w:sz w:val="20"/>
              </w:rPr>
              <w:fldChar w:fldCharType="end"/>
            </w:r>
            <w:bookmarkEnd w:id="19"/>
          </w:p>
        </w:tc>
        <w:tc>
          <w:tcPr>
            <w:tcW w:w="983" w:type="dxa"/>
            <w:gridSpan w:val="2"/>
            <w:shd w:val="clear" w:color="auto" w:fill="E0E0E0"/>
            <w:vAlign w:val="center"/>
          </w:tcPr>
          <w:p w14:paraId="23E7AEC7" w14:textId="77777777" w:rsidR="00422963" w:rsidRPr="00720FFE" w:rsidRDefault="00422963" w:rsidP="0024293F">
            <w:pPr>
              <w:pStyle w:val="IATableLines"/>
              <w:spacing w:line="20" w:lineRule="atLeast"/>
              <w:rPr>
                <w:b/>
                <w:color w:val="000000"/>
                <w:sz w:val="20"/>
              </w:rPr>
            </w:pPr>
            <w:r w:rsidRPr="00720FFE">
              <w:rPr>
                <w:b/>
                <w:color w:val="000000"/>
                <w:sz w:val="20"/>
              </w:rPr>
              <w:t>Medium</w:t>
            </w:r>
            <w:r w:rsidR="0024293F">
              <w:rPr>
                <w:rStyle w:val="IAIOCheckMediumChar"/>
                <w:b w:val="0"/>
                <w:sz w:val="20"/>
              </w:rPr>
              <w:fldChar w:fldCharType="begin">
                <w:ffData>
                  <w:name w:val="IACheckMedium"/>
                  <w:enabled/>
                  <w:calcOnExit w:val="0"/>
                  <w:ddList>
                    <w:listEntry w:val="Yes"/>
                    <w:listEntry w:val="No"/>
                    <w:listEntry w:val="Yes/No"/>
                  </w:ddList>
                </w:ffData>
              </w:fldChar>
            </w:r>
            <w:r w:rsidR="0024293F">
              <w:rPr>
                <w:rStyle w:val="IAIOCheckMediumChar"/>
                <w:b w:val="0"/>
                <w:sz w:val="20"/>
              </w:rPr>
              <w:instrText xml:space="preserve"> </w:instrText>
            </w:r>
            <w:bookmarkStart w:id="20" w:name="IACheckMedium"/>
            <w:r w:rsidR="0024293F">
              <w:rPr>
                <w:rStyle w:val="IAIOCheckMediumChar"/>
                <w:b w:val="0"/>
                <w:sz w:val="20"/>
              </w:rPr>
              <w:instrText xml:space="preserve">FORMDROPDOWN </w:instrText>
            </w:r>
            <w:r w:rsidR="00EC360C">
              <w:rPr>
                <w:rStyle w:val="IAIOCheckMediumChar"/>
                <w:b w:val="0"/>
                <w:sz w:val="20"/>
              </w:rPr>
            </w:r>
            <w:r w:rsidR="00EC360C">
              <w:rPr>
                <w:rStyle w:val="IAIOCheckMediumChar"/>
                <w:b w:val="0"/>
                <w:sz w:val="20"/>
              </w:rPr>
              <w:fldChar w:fldCharType="separate"/>
            </w:r>
            <w:r w:rsidR="0024293F">
              <w:rPr>
                <w:rStyle w:val="IAIOCheckMediumChar"/>
                <w:b w:val="0"/>
                <w:sz w:val="20"/>
              </w:rPr>
              <w:fldChar w:fldCharType="end"/>
            </w:r>
            <w:bookmarkEnd w:id="20"/>
          </w:p>
        </w:tc>
        <w:tc>
          <w:tcPr>
            <w:tcW w:w="983" w:type="dxa"/>
            <w:shd w:val="clear" w:color="auto" w:fill="E0E0E0"/>
            <w:vAlign w:val="center"/>
          </w:tcPr>
          <w:p w14:paraId="0A28C18B" w14:textId="77777777" w:rsidR="00422963" w:rsidRPr="00720FFE" w:rsidRDefault="00422963" w:rsidP="0024293F">
            <w:pPr>
              <w:pStyle w:val="IATableLines"/>
              <w:spacing w:line="20" w:lineRule="atLeast"/>
              <w:rPr>
                <w:b/>
                <w:color w:val="000000"/>
                <w:sz w:val="20"/>
              </w:rPr>
            </w:pPr>
            <w:r w:rsidRPr="00720FFE">
              <w:rPr>
                <w:b/>
                <w:color w:val="000000"/>
                <w:sz w:val="20"/>
              </w:rPr>
              <w:t>Large</w:t>
            </w:r>
            <w:r w:rsidR="0024293F">
              <w:rPr>
                <w:rStyle w:val="IAIOCheckLargeChar"/>
                <w:b w:val="0"/>
                <w:sz w:val="20"/>
              </w:rPr>
              <w:fldChar w:fldCharType="begin">
                <w:ffData>
                  <w:name w:val="IACheckLarge"/>
                  <w:enabled/>
                  <w:calcOnExit w:val="0"/>
                  <w:ddList>
                    <w:listEntry w:val="Yes"/>
                    <w:listEntry w:val="No"/>
                    <w:listEntry w:val="Yes/No"/>
                  </w:ddList>
                </w:ffData>
              </w:fldChar>
            </w:r>
            <w:r w:rsidR="0024293F">
              <w:rPr>
                <w:rStyle w:val="IAIOCheckLargeChar"/>
                <w:b w:val="0"/>
                <w:sz w:val="20"/>
              </w:rPr>
              <w:instrText xml:space="preserve"> </w:instrText>
            </w:r>
            <w:bookmarkStart w:id="21" w:name="IACheckLarge"/>
            <w:r w:rsidR="0024293F">
              <w:rPr>
                <w:rStyle w:val="IAIOCheckLargeChar"/>
                <w:b w:val="0"/>
                <w:sz w:val="20"/>
              </w:rPr>
              <w:instrText xml:space="preserve">FORMDROPDOWN </w:instrText>
            </w:r>
            <w:r w:rsidR="00EC360C">
              <w:rPr>
                <w:rStyle w:val="IAIOCheckLargeChar"/>
                <w:b w:val="0"/>
                <w:sz w:val="20"/>
              </w:rPr>
            </w:r>
            <w:r w:rsidR="00EC360C">
              <w:rPr>
                <w:rStyle w:val="IAIOCheckLargeChar"/>
                <w:b w:val="0"/>
                <w:sz w:val="20"/>
              </w:rPr>
              <w:fldChar w:fldCharType="separate"/>
            </w:r>
            <w:r w:rsidR="0024293F">
              <w:rPr>
                <w:rStyle w:val="IAIOCheckLargeChar"/>
                <w:b w:val="0"/>
                <w:sz w:val="20"/>
              </w:rPr>
              <w:fldChar w:fldCharType="end"/>
            </w:r>
            <w:bookmarkEnd w:id="21"/>
          </w:p>
        </w:tc>
      </w:tr>
      <w:tr w:rsidR="00422963" w14:paraId="1AA1760E" w14:textId="77777777">
        <w:tblPrEx>
          <w:shd w:val="clear" w:color="auto" w:fill="auto"/>
        </w:tblPrEx>
        <w:trPr>
          <w:trHeight w:hRule="exact" w:val="567"/>
        </w:trPr>
        <w:tc>
          <w:tcPr>
            <w:tcW w:w="725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E994521" w14:textId="77777777" w:rsidR="00422963" w:rsidRDefault="00422963" w:rsidP="00BC252E">
            <w:pPr>
              <w:pStyle w:val="IATableText"/>
              <w:spacing w:before="0" w:after="0" w:line="20" w:lineRule="atLeast"/>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(Million tonnes CO</w:t>
            </w:r>
            <w:r w:rsidRPr="00FC07D5">
              <w:rPr>
                <w:rFonts w:cs="Arial"/>
                <w:sz w:val="20"/>
                <w:vertAlign w:val="subscript"/>
              </w:rPr>
              <w:t>2</w:t>
            </w:r>
            <w:r>
              <w:rPr>
                <w:rFonts w:cs="Arial"/>
                <w:sz w:val="20"/>
              </w:rPr>
              <w:t xml:space="preserve"> equivalent)</w:t>
            </w:r>
            <w:r w:rsidR="006E5700">
              <w:rPr>
                <w:spacing w:val="0"/>
                <w:sz w:val="18"/>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E0E0E0"/>
          </w:tcPr>
          <w:p w14:paraId="58FDEE0F" w14:textId="77777777" w:rsidR="00422963" w:rsidRDefault="00422963" w:rsidP="00BC252E">
            <w:pPr>
              <w:pStyle w:val="IATableLabel"/>
              <w:spacing w:line="20" w:lineRule="atLeast"/>
            </w:pPr>
            <w:r>
              <w:t xml:space="preserve">Traded: </w:t>
            </w:r>
            <w:r w:rsidR="00E4479B" w:rsidRPr="00EE4BE1">
              <w:rPr>
                <w:b w:val="0"/>
              </w:rPr>
              <w:t>N/A</w:t>
            </w:r>
            <w:r w:rsidR="006E5700">
              <w:t xml:space="preserve"> </w:t>
            </w:r>
            <w:r>
              <w:br/>
            </w:r>
            <w:bookmarkStart w:id="22" w:name="IACO2Traded"/>
            <w:r w:rsidRPr="00335C9A">
              <w:rPr>
                <w:rStyle w:val="IAIOCO2TradedChar"/>
                <w:sz w:val="20"/>
              </w:rPr>
              <w:fldChar w:fldCharType="begin">
                <w:ffData>
                  <w:name w:val="IACO2Traded"/>
                  <w:enabled/>
                  <w:calcOnExit w:val="0"/>
                  <w:textInput>
                    <w:maxLength w:val="8"/>
                  </w:textInput>
                </w:ffData>
              </w:fldChar>
            </w:r>
            <w:r w:rsidRPr="00335C9A">
              <w:rPr>
                <w:rStyle w:val="IAIOCO2TradedChar"/>
                <w:sz w:val="20"/>
              </w:rPr>
              <w:instrText xml:space="preserve"> FORMTEXT </w:instrText>
            </w:r>
            <w:r w:rsidRPr="00335C9A">
              <w:rPr>
                <w:rStyle w:val="IAIOCO2TradedChar"/>
                <w:sz w:val="20"/>
              </w:rPr>
            </w:r>
            <w:r w:rsidRPr="00335C9A">
              <w:rPr>
                <w:rStyle w:val="IAIOCO2TradedChar"/>
                <w:sz w:val="20"/>
              </w:rPr>
              <w:fldChar w:fldCharType="separate"/>
            </w:r>
            <w:r w:rsidR="00673855">
              <w:rPr>
                <w:rStyle w:val="IAIOCO2TradedChar"/>
                <w:noProof/>
                <w:sz w:val="20"/>
              </w:rPr>
              <w:t> </w:t>
            </w:r>
            <w:r w:rsidR="00673855">
              <w:rPr>
                <w:rStyle w:val="IAIOCO2TradedChar"/>
                <w:noProof/>
                <w:sz w:val="20"/>
              </w:rPr>
              <w:t> </w:t>
            </w:r>
            <w:r w:rsidR="00673855">
              <w:rPr>
                <w:rStyle w:val="IAIOCO2TradedChar"/>
                <w:noProof/>
                <w:sz w:val="20"/>
              </w:rPr>
              <w:t> </w:t>
            </w:r>
            <w:r w:rsidR="00673855">
              <w:rPr>
                <w:rStyle w:val="IAIOCO2TradedChar"/>
                <w:noProof/>
                <w:sz w:val="20"/>
              </w:rPr>
              <w:t> </w:t>
            </w:r>
            <w:r w:rsidR="00673855">
              <w:rPr>
                <w:rStyle w:val="IAIOCO2TradedChar"/>
                <w:noProof/>
                <w:sz w:val="20"/>
              </w:rPr>
              <w:t> </w:t>
            </w:r>
            <w:r w:rsidRPr="00335C9A">
              <w:rPr>
                <w:rStyle w:val="IAIOCO2TradedChar"/>
                <w:sz w:val="20"/>
              </w:rPr>
              <w:fldChar w:fldCharType="end"/>
            </w:r>
            <w:bookmarkEnd w:id="22"/>
          </w:p>
        </w:tc>
        <w:tc>
          <w:tcPr>
            <w:tcW w:w="1618" w:type="dxa"/>
            <w:gridSpan w:val="2"/>
            <w:tcBorders>
              <w:top w:val="single" w:sz="4" w:space="0" w:color="auto"/>
              <w:left w:val="single" w:sz="4" w:space="0" w:color="auto"/>
              <w:bottom w:val="single" w:sz="4" w:space="0" w:color="auto"/>
              <w:right w:val="single" w:sz="4" w:space="0" w:color="auto"/>
            </w:tcBorders>
            <w:shd w:val="clear" w:color="auto" w:fill="E0E0E0"/>
          </w:tcPr>
          <w:p w14:paraId="20A2A505" w14:textId="77777777" w:rsidR="00422963" w:rsidRDefault="00422963" w:rsidP="00BC252E">
            <w:pPr>
              <w:pStyle w:val="IATableLabel"/>
              <w:spacing w:line="20" w:lineRule="atLeast"/>
            </w:pPr>
            <w:r>
              <w:t xml:space="preserve">Non-traded: </w:t>
            </w:r>
            <w:r w:rsidR="00E4479B" w:rsidRPr="00EE4BE1">
              <w:rPr>
                <w:b w:val="0"/>
              </w:rPr>
              <w:t>N/A</w:t>
            </w:r>
            <w:r w:rsidR="006E5700">
              <w:t xml:space="preserve"> </w:t>
            </w:r>
            <w:r>
              <w:br/>
            </w:r>
            <w:bookmarkStart w:id="23" w:name="IACO2NonTraded"/>
            <w:r>
              <w:rPr>
                <w:rStyle w:val="IAIOCO2TradedChar"/>
                <w:sz w:val="20"/>
              </w:rPr>
              <w:fldChar w:fldCharType="begin">
                <w:ffData>
                  <w:name w:val="IACO2NonTraded"/>
                  <w:enabled/>
                  <w:calcOnExit w:val="0"/>
                  <w:textInput>
                    <w:maxLength w:val="8"/>
                  </w:textInput>
                </w:ffData>
              </w:fldChar>
            </w:r>
            <w:r>
              <w:rPr>
                <w:rStyle w:val="IAIOCO2TradedChar"/>
                <w:sz w:val="20"/>
              </w:rPr>
              <w:instrText xml:space="preserve"> FORMTEXT </w:instrText>
            </w:r>
            <w:r>
              <w:rPr>
                <w:rStyle w:val="IAIOCO2TradedChar"/>
                <w:sz w:val="20"/>
              </w:rPr>
            </w:r>
            <w:r>
              <w:rPr>
                <w:rStyle w:val="IAIOCO2TradedChar"/>
                <w:sz w:val="20"/>
              </w:rPr>
              <w:fldChar w:fldCharType="separate"/>
            </w:r>
            <w:r w:rsidR="00673855">
              <w:rPr>
                <w:rStyle w:val="IAIOCO2TradedChar"/>
                <w:noProof/>
                <w:sz w:val="20"/>
              </w:rPr>
              <w:t> </w:t>
            </w:r>
            <w:r w:rsidR="00673855">
              <w:rPr>
                <w:rStyle w:val="IAIOCO2TradedChar"/>
                <w:noProof/>
                <w:sz w:val="20"/>
              </w:rPr>
              <w:t> </w:t>
            </w:r>
            <w:r w:rsidR="00673855">
              <w:rPr>
                <w:rStyle w:val="IAIOCO2TradedChar"/>
                <w:noProof/>
                <w:sz w:val="20"/>
              </w:rPr>
              <w:t> </w:t>
            </w:r>
            <w:r w:rsidR="00673855">
              <w:rPr>
                <w:rStyle w:val="IAIOCO2TradedChar"/>
                <w:noProof/>
                <w:sz w:val="20"/>
              </w:rPr>
              <w:t> </w:t>
            </w:r>
            <w:r w:rsidR="00673855">
              <w:rPr>
                <w:rStyle w:val="IAIOCO2TradedChar"/>
                <w:noProof/>
                <w:sz w:val="20"/>
              </w:rPr>
              <w:t> </w:t>
            </w:r>
            <w:r>
              <w:rPr>
                <w:rStyle w:val="IAIOCO2TradedChar"/>
                <w:sz w:val="20"/>
              </w:rPr>
              <w:fldChar w:fldCharType="end"/>
            </w:r>
            <w:bookmarkEnd w:id="23"/>
          </w:p>
        </w:tc>
      </w:tr>
    </w:tbl>
    <w:p w14:paraId="3F3AA445" w14:textId="77777777" w:rsidR="00D42294" w:rsidRPr="00DF2F4B" w:rsidRDefault="00D42294" w:rsidP="00BC252E">
      <w:pPr>
        <w:pStyle w:val="IASign-off"/>
        <w:spacing w:line="20" w:lineRule="atLeast"/>
        <w:rPr>
          <w:sz w:val="20"/>
        </w:rPr>
      </w:pPr>
      <w:bookmarkStart w:id="24" w:name="SignOfftext"/>
      <w:bookmarkEnd w:id="16"/>
      <w:r w:rsidRPr="00DF2F4B">
        <w:rPr>
          <w:sz w:val="20"/>
        </w:rPr>
        <w:t>I have read the Impact Assessment and I am satisfied that, given the available evidence, it represents a reasonable view of the likely costs, benefits and impact of the leading options.</w:t>
      </w:r>
    </w:p>
    <w:tbl>
      <w:tblPr>
        <w:tblW w:w="4849" w:type="pct"/>
        <w:tblLayout w:type="fixed"/>
        <w:tblCellMar>
          <w:left w:w="0" w:type="dxa"/>
          <w:right w:w="0" w:type="dxa"/>
        </w:tblCellMar>
        <w:tblLook w:val="0000" w:firstRow="0" w:lastRow="0" w:firstColumn="0" w:lastColumn="0" w:noHBand="0" w:noVBand="0"/>
      </w:tblPr>
      <w:tblGrid>
        <w:gridCol w:w="7268"/>
        <w:gridCol w:w="2629"/>
      </w:tblGrid>
      <w:tr w:rsidR="00B81D62" w:rsidRPr="008C17FA" w14:paraId="383FA82D" w14:textId="77777777" w:rsidTr="00EC360C">
        <w:trPr>
          <w:cantSplit/>
          <w:trHeight w:hRule="exact" w:val="433"/>
        </w:trPr>
        <w:tc>
          <w:tcPr>
            <w:tcW w:w="3672" w:type="pct"/>
            <w:vAlign w:val="bottom"/>
          </w:tcPr>
          <w:p w14:paraId="47BCB2D9" w14:textId="603B9B1B" w:rsidR="00B81D62" w:rsidRPr="00EC360C" w:rsidRDefault="00B81D62" w:rsidP="004A670B">
            <w:pPr>
              <w:pStyle w:val="IASignature"/>
              <w:tabs>
                <w:tab w:val="clear" w:pos="6804"/>
                <w:tab w:val="clear" w:pos="10206"/>
                <w:tab w:val="left" w:leader="dot" w:pos="7380"/>
              </w:tabs>
              <w:spacing w:line="20" w:lineRule="atLeast"/>
              <w:ind w:right="284"/>
              <w:rPr>
                <w:b/>
                <w:i/>
              </w:rPr>
            </w:pPr>
            <w:r w:rsidRPr="005B3CFD">
              <w:rPr>
                <w:b/>
                <w:i/>
              </w:rPr>
              <w:t xml:space="preserve">Signed by </w:t>
            </w:r>
            <w:r w:rsidR="00EC360C" w:rsidRPr="00EC360C">
              <w:rPr>
                <w:b/>
                <w:i/>
              </w:rPr>
              <w:t xml:space="preserve">Kelly </w:t>
            </w:r>
            <w:proofErr w:type="spellStart"/>
            <w:r w:rsidR="00EC360C" w:rsidRPr="00EC360C">
              <w:rPr>
                <w:b/>
                <w:i/>
              </w:rPr>
              <w:t>Tolhurst</w:t>
            </w:r>
            <w:proofErr w:type="spellEnd"/>
            <w:r w:rsidR="00EC360C" w:rsidRPr="00EC360C">
              <w:rPr>
                <w:b/>
                <w:i/>
              </w:rPr>
              <w:t xml:space="preserve"> MP, Minister for Small Business</w:t>
            </w:r>
            <w:r w:rsidR="00EC360C">
              <w:rPr>
                <w:b/>
                <w:i/>
              </w:rPr>
              <w:t xml:space="preserve"> 29/10/18. </w:t>
            </w:r>
          </w:p>
        </w:tc>
        <w:tc>
          <w:tcPr>
            <w:tcW w:w="1328" w:type="pct"/>
            <w:vAlign w:val="bottom"/>
          </w:tcPr>
          <w:p w14:paraId="51CB5C9A" w14:textId="77777777" w:rsidR="00B81D62" w:rsidRDefault="00B81D62" w:rsidP="00BC252E">
            <w:pPr>
              <w:pStyle w:val="IAIOSigDate"/>
              <w:spacing w:line="20" w:lineRule="atLeast"/>
              <w:ind w:left="113" w:right="113"/>
              <w:jc w:val="left"/>
              <w:rPr>
                <w:rFonts w:eastAsia="SimSun"/>
                <w:spacing w:val="-5"/>
                <w:szCs w:val="20"/>
                <w:lang w:eastAsia="zh-CN"/>
              </w:rPr>
            </w:pPr>
            <w:bookmarkStart w:id="25" w:name="SigDate"/>
          </w:p>
          <w:p w14:paraId="01AC5598" w14:textId="5B9646CF" w:rsidR="00B81D62" w:rsidRDefault="00B81D62" w:rsidP="00942C54">
            <w:pPr>
              <w:pStyle w:val="IAIOSigDate"/>
              <w:spacing w:line="20" w:lineRule="atLeast"/>
              <w:ind w:right="113"/>
              <w:jc w:val="left"/>
              <w:rPr>
                <w:rFonts w:eastAsia="SimSun"/>
                <w:spacing w:val="-5"/>
                <w:szCs w:val="20"/>
                <w:lang w:eastAsia="zh-CN"/>
              </w:rPr>
            </w:pPr>
          </w:p>
          <w:p w14:paraId="4B5C4CEF" w14:textId="77777777" w:rsidR="00B81D62" w:rsidRDefault="00B81D62" w:rsidP="00BC252E">
            <w:pPr>
              <w:pStyle w:val="IAIOSigDate"/>
              <w:spacing w:line="20" w:lineRule="atLeast"/>
              <w:ind w:left="113" w:right="113"/>
              <w:jc w:val="left"/>
              <w:rPr>
                <w:rFonts w:eastAsia="SimSun"/>
                <w:spacing w:val="-5"/>
                <w:szCs w:val="20"/>
                <w:lang w:eastAsia="zh-CN"/>
              </w:rPr>
            </w:pPr>
          </w:p>
          <w:p w14:paraId="2F0046D1" w14:textId="77777777" w:rsidR="00B81D62" w:rsidRDefault="00B81D62" w:rsidP="00BC252E">
            <w:pPr>
              <w:pStyle w:val="IAIOSigDate"/>
              <w:spacing w:line="20" w:lineRule="atLeast"/>
              <w:ind w:left="113" w:right="113"/>
              <w:jc w:val="left"/>
              <w:rPr>
                <w:rFonts w:eastAsia="SimSun"/>
                <w:spacing w:val="-5"/>
                <w:szCs w:val="20"/>
                <w:lang w:eastAsia="zh-CN"/>
              </w:rPr>
            </w:pPr>
          </w:p>
          <w:p w14:paraId="38A9902D" w14:textId="77777777" w:rsidR="00B81D62" w:rsidRDefault="00B81D62" w:rsidP="00BC252E">
            <w:pPr>
              <w:pStyle w:val="IAIOSigDate"/>
              <w:spacing w:line="20" w:lineRule="atLeast"/>
              <w:ind w:left="113" w:right="113"/>
              <w:jc w:val="left"/>
              <w:rPr>
                <w:rFonts w:eastAsia="SimSun"/>
                <w:spacing w:val="-5"/>
                <w:szCs w:val="20"/>
                <w:lang w:eastAsia="zh-CN"/>
              </w:rPr>
            </w:pPr>
          </w:p>
          <w:p w14:paraId="5C0CD66D" w14:textId="77777777" w:rsidR="00B81D62" w:rsidRDefault="00B81D62" w:rsidP="00BC252E">
            <w:pPr>
              <w:pStyle w:val="IAIOSigDate"/>
              <w:spacing w:line="20" w:lineRule="atLeast"/>
              <w:ind w:left="113" w:right="113"/>
              <w:jc w:val="left"/>
              <w:rPr>
                <w:rFonts w:eastAsia="SimSun"/>
                <w:spacing w:val="-5"/>
                <w:szCs w:val="20"/>
                <w:lang w:eastAsia="zh-CN"/>
              </w:rPr>
            </w:pPr>
          </w:p>
          <w:p w14:paraId="4712D344" w14:textId="77777777" w:rsidR="00B81D62" w:rsidRPr="008C17FA" w:rsidRDefault="00B81D62" w:rsidP="00BC252E">
            <w:pPr>
              <w:pStyle w:val="IAIOSigDate"/>
              <w:spacing w:line="20" w:lineRule="atLeast"/>
              <w:ind w:left="113" w:right="113"/>
              <w:jc w:val="left"/>
              <w:rPr>
                <w:rFonts w:eastAsia="SimSun"/>
                <w:spacing w:val="-5"/>
                <w:szCs w:val="20"/>
                <w:lang w:eastAsia="zh-CN"/>
              </w:rPr>
            </w:pPr>
            <w:r w:rsidRPr="008C17FA">
              <w:rPr>
                <w:rFonts w:eastAsia="SimSun"/>
                <w:spacing w:val="-5"/>
                <w:szCs w:val="20"/>
                <w:lang w:eastAsia="zh-CN"/>
              </w:rPr>
              <w:fldChar w:fldCharType="begin">
                <w:ffData>
                  <w:name w:val="SigDate"/>
                  <w:enabled/>
                  <w:calcOnExit w:val="0"/>
                  <w:textInput/>
                </w:ffData>
              </w:fldChar>
            </w:r>
            <w:r w:rsidRPr="008C17FA">
              <w:rPr>
                <w:rFonts w:eastAsia="SimSun"/>
                <w:spacing w:val="-5"/>
                <w:szCs w:val="20"/>
                <w:lang w:eastAsia="zh-CN"/>
              </w:rPr>
              <w:instrText xml:space="preserve"> FORMTEXT </w:instrText>
            </w:r>
            <w:r w:rsidRPr="008C17FA">
              <w:rPr>
                <w:rFonts w:eastAsia="SimSun"/>
                <w:spacing w:val="-5"/>
                <w:szCs w:val="20"/>
                <w:lang w:eastAsia="zh-CN"/>
              </w:rPr>
            </w:r>
            <w:r w:rsidRPr="008C17FA">
              <w:rPr>
                <w:rFonts w:eastAsia="SimSun"/>
                <w:spacing w:val="-5"/>
                <w:szCs w:val="20"/>
                <w:lang w:eastAsia="zh-CN"/>
              </w:rPr>
              <w:fldChar w:fldCharType="separate"/>
            </w:r>
            <w:r>
              <w:rPr>
                <w:rFonts w:eastAsia="SimSun"/>
                <w:noProof/>
                <w:spacing w:val="-5"/>
                <w:szCs w:val="20"/>
                <w:lang w:eastAsia="zh-CN"/>
              </w:rPr>
              <w:t> </w:t>
            </w:r>
            <w:r>
              <w:rPr>
                <w:rFonts w:eastAsia="SimSun"/>
                <w:noProof/>
                <w:spacing w:val="-5"/>
                <w:szCs w:val="20"/>
                <w:lang w:eastAsia="zh-CN"/>
              </w:rPr>
              <w:t> </w:t>
            </w:r>
            <w:r>
              <w:rPr>
                <w:rFonts w:eastAsia="SimSun"/>
                <w:noProof/>
                <w:spacing w:val="-5"/>
                <w:szCs w:val="20"/>
                <w:lang w:eastAsia="zh-CN"/>
              </w:rPr>
              <w:t> </w:t>
            </w:r>
            <w:r>
              <w:rPr>
                <w:rFonts w:eastAsia="SimSun"/>
                <w:noProof/>
                <w:spacing w:val="-5"/>
                <w:szCs w:val="20"/>
                <w:lang w:eastAsia="zh-CN"/>
              </w:rPr>
              <w:t> </w:t>
            </w:r>
            <w:r>
              <w:rPr>
                <w:rFonts w:eastAsia="SimSun"/>
                <w:noProof/>
                <w:spacing w:val="-5"/>
                <w:szCs w:val="20"/>
                <w:lang w:eastAsia="zh-CN"/>
              </w:rPr>
              <w:t> </w:t>
            </w:r>
            <w:r w:rsidRPr="008C17FA">
              <w:rPr>
                <w:rFonts w:eastAsia="SimSun"/>
                <w:spacing w:val="-5"/>
                <w:szCs w:val="20"/>
                <w:lang w:eastAsia="zh-CN"/>
              </w:rPr>
              <w:fldChar w:fldCharType="end"/>
            </w:r>
            <w:bookmarkEnd w:id="25"/>
          </w:p>
        </w:tc>
      </w:tr>
    </w:tbl>
    <w:p w14:paraId="3802427A" w14:textId="09FC7B0D" w:rsidR="00EF0ADA" w:rsidRPr="00EF0ADA" w:rsidRDefault="00EF0ADA" w:rsidP="00EF0ADA">
      <w:pPr>
        <w:pStyle w:val="Heading1"/>
        <w:keepNext/>
        <w:tabs>
          <w:tab w:val="right" w:pos="10206"/>
        </w:tabs>
        <w:spacing w:after="60"/>
        <w:rPr>
          <w:rFonts w:ascii="Arial Bold" w:hAnsi="Arial Bold" w:cs="Arial"/>
          <w:color w:val="auto"/>
          <w:spacing w:val="-4"/>
          <w:sz w:val="32"/>
        </w:rPr>
      </w:pPr>
      <w:bookmarkStart w:id="26" w:name="_Toc521073867"/>
      <w:bookmarkStart w:id="27" w:name="_Toc464040381"/>
      <w:bookmarkEnd w:id="24"/>
      <w:r w:rsidRPr="00EF0ADA">
        <w:rPr>
          <w:rFonts w:ascii="Arial Bold" w:hAnsi="Arial Bold" w:cs="Arial"/>
          <w:color w:val="auto"/>
          <w:spacing w:val="-4"/>
          <w:sz w:val="32"/>
        </w:rPr>
        <w:lastRenderedPageBreak/>
        <w:t>Summary: Analysis &amp; Evidence</w:t>
      </w:r>
      <w:r w:rsidRPr="00EF0ADA">
        <w:rPr>
          <w:rFonts w:ascii="Arial Bold" w:hAnsi="Arial Bold" w:cs="Arial"/>
          <w:color w:val="auto"/>
          <w:spacing w:val="-4"/>
          <w:sz w:val="32"/>
        </w:rPr>
        <w:tab/>
        <w:t>Policy</w:t>
      </w:r>
      <w:r w:rsidR="00846407">
        <w:rPr>
          <w:rFonts w:ascii="Arial Bold" w:hAnsi="Arial Bold" w:cs="Arial"/>
          <w:color w:val="auto"/>
          <w:spacing w:val="-4"/>
          <w:sz w:val="32"/>
        </w:rPr>
        <w:t xml:space="preserve"> Change</w:t>
      </w:r>
      <w:r w:rsidRPr="00EF0ADA">
        <w:rPr>
          <w:rFonts w:ascii="Arial Bold" w:hAnsi="Arial Bold" w:cs="Arial"/>
          <w:color w:val="auto"/>
          <w:spacing w:val="-4"/>
          <w:sz w:val="32"/>
        </w:rPr>
        <w:t xml:space="preserve"> </w:t>
      </w:r>
      <w:r w:rsidRPr="00EF0ADA">
        <w:rPr>
          <w:rFonts w:ascii="Arial Bold" w:hAnsi="Arial Bold" w:cs="Arial"/>
          <w:color w:val="auto"/>
          <w:spacing w:val="-4"/>
          <w:sz w:val="32"/>
        </w:rPr>
        <w:fldChar w:fldCharType="begin"/>
      </w:r>
      <w:r w:rsidRPr="00EF0ADA">
        <w:rPr>
          <w:rFonts w:ascii="Arial Bold" w:hAnsi="Arial Bold" w:cs="Arial"/>
          <w:color w:val="auto"/>
          <w:spacing w:val="-4"/>
          <w:sz w:val="32"/>
        </w:rPr>
        <w:instrText xml:space="preserve"> SEQ Policy </w:instrText>
      </w:r>
      <w:r w:rsidRPr="00EF0ADA">
        <w:rPr>
          <w:rFonts w:ascii="Arial Bold" w:hAnsi="Arial Bold" w:cs="Arial"/>
          <w:color w:val="auto"/>
          <w:spacing w:val="-4"/>
          <w:sz w:val="32"/>
        </w:rPr>
        <w:fldChar w:fldCharType="separate"/>
      </w:r>
      <w:r w:rsidRPr="00EF0ADA">
        <w:rPr>
          <w:rFonts w:ascii="Arial Bold" w:hAnsi="Arial Bold" w:cs="Arial"/>
          <w:color w:val="auto"/>
          <w:spacing w:val="-4"/>
          <w:sz w:val="32"/>
        </w:rPr>
        <w:t>1</w:t>
      </w:r>
      <w:bookmarkEnd w:id="26"/>
      <w:r w:rsidRPr="00EF0ADA">
        <w:rPr>
          <w:rFonts w:ascii="Arial Bold" w:hAnsi="Arial Bold" w:cs="Arial"/>
          <w:color w:val="auto"/>
          <w:spacing w:val="-4"/>
          <w:sz w:val="32"/>
        </w:rPr>
        <w:fldChar w:fldCharType="end"/>
      </w:r>
    </w:p>
    <w:p w14:paraId="49BD047B" w14:textId="5C38278F" w:rsidR="00EF0ADA" w:rsidRDefault="00EF0ADA" w:rsidP="00EF0ADA">
      <w:pPr>
        <w:pStyle w:val="IAHeadLabel"/>
        <w:spacing w:before="50"/>
      </w:pPr>
      <w:r w:rsidRPr="00892576">
        <w:t xml:space="preserve">Description: </w:t>
      </w:r>
      <w:r w:rsidR="00770812" w:rsidRPr="00846407">
        <w:rPr>
          <w:b w:val="0"/>
        </w:rPr>
        <w:t>Amendment of the Alternative Dispute Resolution for Consumer Disputes (Competent Authorities and Information) Regulations 2015 and Revocation of Online Dispute Resolution Regulation (EU) 524/2013</w:t>
      </w:r>
      <w:bookmarkStart w:id="28" w:name="Text70"/>
      <w:r>
        <w:rPr>
          <w:rStyle w:val="IAPODescriptionCharChar"/>
        </w:rPr>
        <w:fldChar w:fldCharType="begin">
          <w:ffData>
            <w:name w:val="Text70"/>
            <w:enabled/>
            <w:calcOnExit w:val="0"/>
            <w:textInput>
              <w:maxLength w:val="230"/>
            </w:textInput>
          </w:ffData>
        </w:fldChar>
      </w:r>
      <w:r>
        <w:rPr>
          <w:rStyle w:val="IAPODescriptionCharChar"/>
        </w:rPr>
        <w:instrText xml:space="preserve"> FORMTEXT </w:instrText>
      </w:r>
      <w:r>
        <w:rPr>
          <w:rStyle w:val="IAPODescriptionCharChar"/>
        </w:rPr>
      </w:r>
      <w:r>
        <w:rPr>
          <w:rStyle w:val="IAPODescriptionCharChar"/>
        </w:rPr>
        <w:fldChar w:fldCharType="separate"/>
      </w:r>
      <w:r>
        <w:rPr>
          <w:rStyle w:val="IAPODescriptionCharChar"/>
          <w:noProof/>
        </w:rPr>
        <w:t> </w:t>
      </w:r>
      <w:r>
        <w:rPr>
          <w:rStyle w:val="IAPODescriptionCharChar"/>
          <w:noProof/>
        </w:rPr>
        <w:t> </w:t>
      </w:r>
      <w:r>
        <w:rPr>
          <w:rStyle w:val="IAPODescriptionCharChar"/>
          <w:noProof/>
        </w:rPr>
        <w:t> </w:t>
      </w:r>
      <w:r>
        <w:rPr>
          <w:rStyle w:val="IAPODescriptionCharChar"/>
          <w:noProof/>
        </w:rPr>
        <w:t> </w:t>
      </w:r>
      <w:r>
        <w:rPr>
          <w:rStyle w:val="IAPODescriptionCharChar"/>
          <w:noProof/>
        </w:rPr>
        <w:t> </w:t>
      </w:r>
      <w:r>
        <w:rPr>
          <w:rStyle w:val="IAPODescriptionCharChar"/>
        </w:rPr>
        <w:fldChar w:fldCharType="end"/>
      </w:r>
      <w:bookmarkEnd w:id="28"/>
    </w:p>
    <w:p w14:paraId="7361CB6E" w14:textId="77777777" w:rsidR="00EF0ADA" w:rsidRDefault="00EF0ADA" w:rsidP="00EF0ADA">
      <w:pPr>
        <w:pStyle w:val="IAHeadLabel"/>
        <w:spacing w:before="50"/>
      </w:pPr>
      <w: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1255"/>
        <w:gridCol w:w="1434"/>
        <w:gridCol w:w="1793"/>
        <w:gridCol w:w="1820"/>
        <w:gridCol w:w="2623"/>
      </w:tblGrid>
      <w:tr w:rsidR="00770812" w:rsidRPr="007E190E" w14:paraId="692837A4" w14:textId="77777777" w:rsidTr="00770812">
        <w:trPr>
          <w:trHeight w:hRule="exact" w:val="312"/>
        </w:trPr>
        <w:tc>
          <w:tcPr>
            <w:tcW w:w="1260" w:type="dxa"/>
            <w:vMerge w:val="restart"/>
            <w:shd w:val="clear" w:color="auto" w:fill="auto"/>
          </w:tcPr>
          <w:p w14:paraId="09C6389F" w14:textId="14B62FDB" w:rsidR="00770812" w:rsidRPr="00826F71" w:rsidRDefault="00770812" w:rsidP="00770812">
            <w:pPr>
              <w:pStyle w:val="POPBY"/>
            </w:pPr>
            <w:r w:rsidRPr="00826F71">
              <w:t xml:space="preserve">Price Base </w:t>
            </w:r>
            <w:r w:rsidRPr="00F10868">
              <w:rPr>
                <w:b w:val="0"/>
              </w:rPr>
              <w:t>2017</w:t>
            </w:r>
            <w:r>
              <w:t xml:space="preserve">  </w:t>
            </w:r>
            <w:r w:rsidRPr="007E190E">
              <w:rPr>
                <w:b w:val="0"/>
              </w:rPr>
              <w:fldChar w:fldCharType="begin">
                <w:ffData>
                  <w:name w:val="Text55"/>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Pr="007E190E">
              <w:rPr>
                <w:b w:val="0"/>
                <w:noProof/>
              </w:rPr>
              <w:t> </w:t>
            </w:r>
            <w:r w:rsidRPr="007E190E">
              <w:rPr>
                <w:b w:val="0"/>
                <w:noProof/>
              </w:rPr>
              <w:t> </w:t>
            </w:r>
            <w:r w:rsidRPr="007E190E">
              <w:rPr>
                <w:b w:val="0"/>
                <w:noProof/>
              </w:rPr>
              <w:t> </w:t>
            </w:r>
            <w:r w:rsidRPr="007E190E">
              <w:rPr>
                <w:b w:val="0"/>
                <w:noProof/>
              </w:rPr>
              <w:t> </w:t>
            </w:r>
            <w:r w:rsidRPr="007E190E">
              <w:rPr>
                <w:b w:val="0"/>
              </w:rPr>
              <w:fldChar w:fldCharType="end"/>
            </w:r>
          </w:p>
        </w:tc>
        <w:tc>
          <w:tcPr>
            <w:tcW w:w="1255" w:type="dxa"/>
            <w:vMerge w:val="restart"/>
            <w:shd w:val="clear" w:color="auto" w:fill="auto"/>
          </w:tcPr>
          <w:p w14:paraId="1476D068" w14:textId="154C3251" w:rsidR="00770812" w:rsidRPr="00826F71" w:rsidRDefault="00770812" w:rsidP="00770812">
            <w:pPr>
              <w:pStyle w:val="POPVBY"/>
            </w:pPr>
            <w:r w:rsidRPr="00826F71">
              <w:t xml:space="preserve">PV Base </w:t>
            </w:r>
            <w:r w:rsidRPr="00F10868">
              <w:rPr>
                <w:b w:val="0"/>
              </w:rPr>
              <w:t>2018</w:t>
            </w:r>
            <w:r>
              <w:t xml:space="preserve">  </w:t>
            </w:r>
            <w:r w:rsidRPr="007E190E">
              <w:rPr>
                <w:b w:val="0"/>
              </w:rPr>
              <w:fldChar w:fldCharType="begin">
                <w:ffData>
                  <w:name w:val="Text56"/>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Pr="007E190E">
              <w:rPr>
                <w:b w:val="0"/>
                <w:noProof/>
              </w:rPr>
              <w:t> </w:t>
            </w:r>
            <w:r w:rsidRPr="007E190E">
              <w:rPr>
                <w:b w:val="0"/>
                <w:noProof/>
              </w:rPr>
              <w:t> </w:t>
            </w:r>
            <w:r w:rsidRPr="007E190E">
              <w:rPr>
                <w:b w:val="0"/>
                <w:noProof/>
              </w:rPr>
              <w:t> </w:t>
            </w:r>
            <w:r w:rsidRPr="007E190E">
              <w:rPr>
                <w:b w:val="0"/>
                <w:noProof/>
              </w:rPr>
              <w:t> </w:t>
            </w:r>
            <w:r w:rsidRPr="007E190E">
              <w:rPr>
                <w:b w:val="0"/>
              </w:rPr>
              <w:fldChar w:fldCharType="end"/>
            </w:r>
          </w:p>
        </w:tc>
        <w:tc>
          <w:tcPr>
            <w:tcW w:w="1434" w:type="dxa"/>
            <w:vMerge w:val="restart"/>
            <w:tcBorders>
              <w:right w:val="single" w:sz="12" w:space="0" w:color="auto"/>
            </w:tcBorders>
            <w:shd w:val="clear" w:color="auto" w:fill="auto"/>
          </w:tcPr>
          <w:p w14:paraId="2D25D271" w14:textId="6E260803" w:rsidR="00770812" w:rsidRPr="00826F71" w:rsidRDefault="00770812" w:rsidP="00770812">
            <w:pPr>
              <w:pStyle w:val="POTPY"/>
            </w:pPr>
            <w:proofErr w:type="gramStart"/>
            <w:r w:rsidRPr="00826F71">
              <w:t>Time Period</w:t>
            </w:r>
            <w:proofErr w:type="gramEnd"/>
            <w:r w:rsidRPr="00826F71">
              <w:t xml:space="preserve"> </w:t>
            </w:r>
            <w:r w:rsidRPr="00F10868">
              <w:rPr>
                <w:b w:val="0"/>
              </w:rPr>
              <w:t>10 Years</w:t>
            </w:r>
            <w:r>
              <w:t xml:space="preserve">  </w:t>
            </w:r>
            <w:r w:rsidRPr="007E190E">
              <w:rPr>
                <w:b w:val="0"/>
              </w:rPr>
              <w:fldChar w:fldCharType="begin">
                <w:ffData>
                  <w:name w:val="Text57"/>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Pr="007E190E">
              <w:rPr>
                <w:b w:val="0"/>
                <w:noProof/>
              </w:rPr>
              <w:t> </w:t>
            </w:r>
            <w:r w:rsidRPr="007E190E">
              <w:rPr>
                <w:b w:val="0"/>
                <w:noProof/>
              </w:rPr>
              <w:t> </w:t>
            </w:r>
            <w:r w:rsidRPr="007E190E">
              <w:rPr>
                <w:b w:val="0"/>
                <w:noProof/>
              </w:rPr>
              <w:t> </w:t>
            </w:r>
            <w:r w:rsidRPr="007E190E">
              <w:rPr>
                <w:b w:val="0"/>
                <w:noProof/>
              </w:rPr>
              <w:t> </w:t>
            </w:r>
            <w:r w:rsidRPr="007E190E">
              <w:rPr>
                <w:b w:val="0"/>
              </w:rPr>
              <w:fldChar w:fldCharType="end"/>
            </w:r>
          </w:p>
        </w:tc>
        <w:tc>
          <w:tcPr>
            <w:tcW w:w="6236" w:type="dxa"/>
            <w:gridSpan w:val="3"/>
            <w:tcBorders>
              <w:top w:val="single" w:sz="12" w:space="0" w:color="auto"/>
              <w:left w:val="single" w:sz="12" w:space="0" w:color="auto"/>
              <w:bottom w:val="single" w:sz="4" w:space="0" w:color="auto"/>
              <w:right w:val="single" w:sz="12" w:space="0" w:color="auto"/>
            </w:tcBorders>
            <w:shd w:val="clear" w:color="auto" w:fill="FFFFFF"/>
          </w:tcPr>
          <w:p w14:paraId="1F06F66B" w14:textId="767D963B" w:rsidR="00770812" w:rsidRPr="00826F71" w:rsidRDefault="00770812" w:rsidP="00770812">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770812" w:rsidRPr="007E190E" w14:paraId="6CCCEAA3" w14:textId="77777777" w:rsidTr="00770812">
        <w:trPr>
          <w:trHeight w:hRule="exact" w:val="340"/>
        </w:trPr>
        <w:tc>
          <w:tcPr>
            <w:tcW w:w="1260" w:type="dxa"/>
            <w:vMerge/>
            <w:shd w:val="clear" w:color="auto" w:fill="auto"/>
          </w:tcPr>
          <w:p w14:paraId="46EB8770" w14:textId="77777777" w:rsidR="00770812" w:rsidRPr="007E190E" w:rsidRDefault="00770812" w:rsidP="00770812">
            <w:pPr>
              <w:pStyle w:val="IATableNotes"/>
              <w:ind w:left="0"/>
              <w:rPr>
                <w:b/>
                <w:sz w:val="20"/>
              </w:rPr>
            </w:pPr>
          </w:p>
        </w:tc>
        <w:tc>
          <w:tcPr>
            <w:tcW w:w="1255" w:type="dxa"/>
            <w:vMerge/>
            <w:shd w:val="clear" w:color="auto" w:fill="auto"/>
          </w:tcPr>
          <w:p w14:paraId="54B7AD00" w14:textId="77777777" w:rsidR="00770812" w:rsidRPr="007E190E" w:rsidRDefault="00770812" w:rsidP="00770812">
            <w:pPr>
              <w:pStyle w:val="IATableNotes"/>
              <w:ind w:left="0"/>
              <w:rPr>
                <w:b/>
                <w:sz w:val="20"/>
              </w:rPr>
            </w:pPr>
          </w:p>
        </w:tc>
        <w:tc>
          <w:tcPr>
            <w:tcW w:w="1434" w:type="dxa"/>
            <w:vMerge/>
            <w:tcBorders>
              <w:right w:val="single" w:sz="12" w:space="0" w:color="auto"/>
            </w:tcBorders>
            <w:shd w:val="clear" w:color="auto" w:fill="auto"/>
          </w:tcPr>
          <w:p w14:paraId="2574C69F" w14:textId="77777777" w:rsidR="00770812" w:rsidRPr="007E190E" w:rsidRDefault="00770812" w:rsidP="00770812">
            <w:pPr>
              <w:pStyle w:val="IATableNotes"/>
              <w:ind w:left="0"/>
              <w:rPr>
                <w:b/>
                <w:sz w:val="20"/>
              </w:rPr>
            </w:pPr>
          </w:p>
        </w:tc>
        <w:tc>
          <w:tcPr>
            <w:tcW w:w="1793" w:type="dxa"/>
            <w:tcBorders>
              <w:top w:val="single" w:sz="4" w:space="0" w:color="auto"/>
              <w:left w:val="single" w:sz="12" w:space="0" w:color="auto"/>
              <w:bottom w:val="single" w:sz="12" w:space="0" w:color="auto"/>
              <w:right w:val="single" w:sz="4" w:space="0" w:color="auto"/>
            </w:tcBorders>
            <w:shd w:val="clear" w:color="auto" w:fill="auto"/>
          </w:tcPr>
          <w:p w14:paraId="0BF491A4" w14:textId="6403D6F0" w:rsidR="00770812" w:rsidRPr="007E190E" w:rsidRDefault="00770812" w:rsidP="00770812">
            <w:pPr>
              <w:pStyle w:val="IATableLabel"/>
              <w:rPr>
                <w:bCs/>
              </w:rPr>
            </w:pPr>
            <w:r w:rsidRPr="00304C1D">
              <w:t>Low:</w:t>
            </w:r>
            <w:r w:rsidRPr="00826F71">
              <w:t xml:space="preserve"> </w:t>
            </w:r>
            <w:r>
              <w:rPr>
                <w:rStyle w:val="PONBLowCharChar"/>
              </w:rPr>
              <w:t>-23.</w:t>
            </w:r>
            <w:r w:rsidR="00947506">
              <w:rPr>
                <w:rStyle w:val="PONBLowCharChar"/>
              </w:rPr>
              <w:t>2</w:t>
            </w:r>
          </w:p>
        </w:tc>
        <w:tc>
          <w:tcPr>
            <w:tcW w:w="1820" w:type="dxa"/>
            <w:tcBorders>
              <w:top w:val="single" w:sz="4" w:space="0" w:color="auto"/>
              <w:left w:val="single" w:sz="4" w:space="0" w:color="auto"/>
              <w:bottom w:val="single" w:sz="12" w:space="0" w:color="auto"/>
              <w:right w:val="single" w:sz="12" w:space="0" w:color="auto"/>
            </w:tcBorders>
            <w:shd w:val="clear" w:color="auto" w:fill="auto"/>
          </w:tcPr>
          <w:p w14:paraId="4083E5D1" w14:textId="41ED6469" w:rsidR="00770812" w:rsidRPr="007E190E" w:rsidRDefault="00770812" w:rsidP="00770812">
            <w:pPr>
              <w:pStyle w:val="IATableLabel"/>
              <w:rPr>
                <w:rFonts w:cs="Arial"/>
                <w:bCs/>
                <w:szCs w:val="18"/>
              </w:rPr>
            </w:pPr>
            <w:r w:rsidRPr="00304C1D">
              <w:t>High:</w:t>
            </w:r>
            <w:r w:rsidR="008B2B20">
              <w:t xml:space="preserve"> </w:t>
            </w:r>
            <w:r w:rsidR="008B2B20" w:rsidRPr="0050797B">
              <w:rPr>
                <w:b w:val="0"/>
              </w:rPr>
              <w:t>-1</w:t>
            </w:r>
            <w:r w:rsidR="0050797B" w:rsidRPr="0050797B">
              <w:rPr>
                <w:b w:val="0"/>
              </w:rPr>
              <w:t>5.</w:t>
            </w:r>
            <w:r w:rsidR="00947506">
              <w:rPr>
                <w:b w:val="0"/>
              </w:rPr>
              <w:t>5</w:t>
            </w:r>
          </w:p>
        </w:tc>
        <w:tc>
          <w:tcPr>
            <w:tcW w:w="2623" w:type="dxa"/>
            <w:tcBorders>
              <w:top w:val="single" w:sz="12" w:space="0" w:color="auto"/>
              <w:left w:val="single" w:sz="12" w:space="0" w:color="auto"/>
              <w:bottom w:val="single" w:sz="12" w:space="0" w:color="auto"/>
              <w:right w:val="single" w:sz="12" w:space="0" w:color="auto"/>
            </w:tcBorders>
            <w:shd w:val="clear" w:color="auto" w:fill="FFFFFF"/>
          </w:tcPr>
          <w:p w14:paraId="1F146755" w14:textId="56F299D0" w:rsidR="00770812" w:rsidRPr="007E190E" w:rsidRDefault="00770812" w:rsidP="00770812">
            <w:pPr>
              <w:pStyle w:val="IATableLabel"/>
              <w:rPr>
                <w:szCs w:val="18"/>
              </w:rPr>
            </w:pPr>
            <w:r w:rsidRPr="00304C1D">
              <w:t xml:space="preserve">Best </w:t>
            </w:r>
            <w:r>
              <w:t>E</w:t>
            </w:r>
            <w:r w:rsidRPr="00304C1D">
              <w:t>stimate:</w:t>
            </w:r>
            <w:r w:rsidRPr="00826F71">
              <w:t xml:space="preserve"> </w:t>
            </w:r>
            <w:r w:rsidR="0050797B" w:rsidRPr="0050797B">
              <w:rPr>
                <w:b w:val="0"/>
              </w:rPr>
              <w:t>-19.</w:t>
            </w:r>
            <w:r w:rsidR="00947506">
              <w:rPr>
                <w:b w:val="0"/>
              </w:rPr>
              <w:t>3</w:t>
            </w:r>
            <w:r w:rsidRPr="007E190E">
              <w:rPr>
                <w:rStyle w:val="PONBBestEstChar"/>
              </w:rPr>
              <w:fldChar w:fldCharType="begin">
                <w:ffData>
                  <w:name w:val="Text60"/>
                  <w:enabled/>
                  <w:calcOnExit w:val="0"/>
                  <w:textInput>
                    <w:maxLength w:val="8"/>
                  </w:textInput>
                </w:ffData>
              </w:fldChar>
            </w:r>
            <w:r w:rsidRPr="007E190E">
              <w:rPr>
                <w:rStyle w:val="PONBBestEstChar"/>
              </w:rPr>
              <w:instrText xml:space="preserve"> FORMTEXT </w:instrText>
            </w:r>
            <w:r w:rsidRPr="007E190E">
              <w:rPr>
                <w:rStyle w:val="PONBBestEstChar"/>
              </w:rPr>
            </w:r>
            <w:r w:rsidRPr="007E190E">
              <w:rPr>
                <w:rStyle w:val="PONBBestEstChar"/>
              </w:rPr>
              <w:fldChar w:fldCharType="separate"/>
            </w:r>
            <w:r w:rsidRPr="007E190E">
              <w:rPr>
                <w:rStyle w:val="PONBBestEstChar"/>
                <w:noProof/>
              </w:rPr>
              <w:t> </w:t>
            </w:r>
            <w:r w:rsidRPr="007E190E">
              <w:rPr>
                <w:rStyle w:val="PONBBestEstChar"/>
                <w:noProof/>
              </w:rPr>
              <w:t> </w:t>
            </w:r>
            <w:r w:rsidRPr="007E190E">
              <w:rPr>
                <w:rStyle w:val="PONBBestEstChar"/>
                <w:noProof/>
              </w:rPr>
              <w:t> </w:t>
            </w:r>
            <w:r w:rsidRPr="007E190E">
              <w:rPr>
                <w:rStyle w:val="PONBBestEstChar"/>
                <w:noProof/>
              </w:rPr>
              <w:t> </w:t>
            </w:r>
            <w:r w:rsidRPr="007E190E">
              <w:rPr>
                <w:rStyle w:val="PONBBestEstChar"/>
                <w:noProof/>
              </w:rPr>
              <w:t> </w:t>
            </w:r>
            <w:r w:rsidRPr="007E190E">
              <w:rPr>
                <w:rStyle w:val="PONBBestEstChar"/>
              </w:rPr>
              <w:fldChar w:fldCharType="end"/>
            </w:r>
          </w:p>
        </w:tc>
      </w:tr>
    </w:tbl>
    <w:p w14:paraId="0C52695A" w14:textId="77777777" w:rsidR="00EF0ADA" w:rsidRDefault="00EF0ADA" w:rsidP="00EF0ADA">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84"/>
        <w:gridCol w:w="1938"/>
        <w:gridCol w:w="785"/>
        <w:gridCol w:w="2848"/>
        <w:gridCol w:w="1765"/>
        <w:gridCol w:w="855"/>
      </w:tblGrid>
      <w:tr w:rsidR="00770812" w:rsidRPr="00826F71" w14:paraId="5BB3B2B2" w14:textId="77777777" w:rsidTr="00770812">
        <w:trPr>
          <w:trHeight w:hRule="exact" w:val="567"/>
        </w:trPr>
        <w:tc>
          <w:tcPr>
            <w:tcW w:w="1984" w:type="dxa"/>
            <w:shd w:val="clear" w:color="auto" w:fill="FFFFFF"/>
          </w:tcPr>
          <w:p w14:paraId="4D5B400B" w14:textId="77777777" w:rsidR="00770812" w:rsidRPr="007E190E" w:rsidRDefault="00770812" w:rsidP="00546543">
            <w:pPr>
              <w:pStyle w:val="IATableLabel"/>
              <w:rPr>
                <w:sz w:val="24"/>
                <w:szCs w:val="24"/>
              </w:rPr>
            </w:pPr>
            <w:r w:rsidRPr="007E190E">
              <w:rPr>
                <w:sz w:val="24"/>
                <w:szCs w:val="24"/>
              </w:rPr>
              <w:t>COSTS (£m)</w:t>
            </w:r>
          </w:p>
        </w:tc>
        <w:tc>
          <w:tcPr>
            <w:tcW w:w="2723" w:type="dxa"/>
            <w:gridSpan w:val="2"/>
            <w:tcBorders>
              <w:top w:val="single" w:sz="12" w:space="0" w:color="auto"/>
              <w:bottom w:val="single" w:sz="6" w:space="0" w:color="auto"/>
            </w:tcBorders>
            <w:shd w:val="clear" w:color="auto" w:fill="auto"/>
          </w:tcPr>
          <w:p w14:paraId="40B4D065" w14:textId="77777777" w:rsidR="00770812" w:rsidRPr="00826F71" w:rsidRDefault="00770812" w:rsidP="00546543">
            <w:pPr>
              <w:pStyle w:val="IATableLabel"/>
              <w:tabs>
                <w:tab w:val="right" w:pos="1800"/>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73AB89D5" w14:textId="77777777" w:rsidR="00770812" w:rsidRPr="00826F71" w:rsidRDefault="00770812" w:rsidP="00546543">
            <w:pPr>
              <w:pStyle w:val="IATableLabel"/>
              <w:jc w:val="right"/>
            </w:pPr>
            <w:r>
              <w:br/>
            </w:r>
          </w:p>
        </w:tc>
        <w:tc>
          <w:tcPr>
            <w:tcW w:w="2848" w:type="dxa"/>
            <w:tcBorders>
              <w:bottom w:val="single" w:sz="6" w:space="0" w:color="auto"/>
              <w:right w:val="single" w:sz="12" w:space="0" w:color="auto"/>
            </w:tcBorders>
            <w:shd w:val="clear" w:color="auto" w:fill="auto"/>
          </w:tcPr>
          <w:p w14:paraId="16D393BD" w14:textId="77777777" w:rsidR="00770812" w:rsidRPr="007E190E" w:rsidRDefault="00770812" w:rsidP="00546543">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20" w:type="dxa"/>
            <w:gridSpan w:val="2"/>
            <w:tcBorders>
              <w:top w:val="single" w:sz="12" w:space="0" w:color="auto"/>
              <w:left w:val="single" w:sz="12" w:space="0" w:color="auto"/>
              <w:bottom w:val="single" w:sz="6" w:space="0" w:color="auto"/>
            </w:tcBorders>
            <w:shd w:val="clear" w:color="auto" w:fill="auto"/>
          </w:tcPr>
          <w:p w14:paraId="4DD767BE" w14:textId="77777777" w:rsidR="00770812" w:rsidRPr="00826F71" w:rsidRDefault="00770812" w:rsidP="00546543">
            <w:pPr>
              <w:pStyle w:val="IATableLabel"/>
              <w:jc w:val="right"/>
            </w:pPr>
            <w:r w:rsidRPr="00826F71">
              <w:t>Total Cost</w:t>
            </w:r>
            <w:r w:rsidRPr="007E190E">
              <w:rPr>
                <w:b w:val="0"/>
                <w:sz w:val="18"/>
                <w:szCs w:val="18"/>
              </w:rPr>
              <w:t xml:space="preserve"> </w:t>
            </w:r>
            <w:r w:rsidRPr="007E190E">
              <w:rPr>
                <w:b w:val="0"/>
                <w:sz w:val="18"/>
                <w:szCs w:val="18"/>
              </w:rPr>
              <w:br/>
              <w:t>(Present Value)</w:t>
            </w:r>
          </w:p>
        </w:tc>
      </w:tr>
      <w:tr w:rsidR="00770812" w:rsidRPr="007E190E" w14:paraId="47670B8E" w14:textId="77777777" w:rsidTr="00770812">
        <w:trPr>
          <w:trHeight w:hRule="exact" w:val="348"/>
        </w:trPr>
        <w:tc>
          <w:tcPr>
            <w:tcW w:w="1984" w:type="dxa"/>
            <w:tcBorders>
              <w:top w:val="single" w:sz="6" w:space="0" w:color="auto"/>
              <w:bottom w:val="single" w:sz="6" w:space="0" w:color="auto"/>
            </w:tcBorders>
            <w:shd w:val="clear" w:color="auto" w:fill="auto"/>
            <w:vAlign w:val="center"/>
          </w:tcPr>
          <w:p w14:paraId="17DB4C3B" w14:textId="77777777" w:rsidR="00770812" w:rsidRPr="00F63895" w:rsidRDefault="00770812" w:rsidP="00546543">
            <w:pPr>
              <w:pStyle w:val="IATableLabel"/>
            </w:pPr>
            <w:r w:rsidRPr="00F63895">
              <w:t xml:space="preserve">Low </w:t>
            </w:r>
          </w:p>
        </w:tc>
        <w:tc>
          <w:tcPr>
            <w:tcW w:w="1938" w:type="dxa"/>
            <w:tcBorders>
              <w:top w:val="single" w:sz="6" w:space="0" w:color="auto"/>
              <w:bottom w:val="single" w:sz="6" w:space="0" w:color="auto"/>
            </w:tcBorders>
            <w:shd w:val="clear" w:color="auto" w:fill="auto"/>
            <w:vAlign w:val="center"/>
          </w:tcPr>
          <w:p w14:paraId="530826AF" w14:textId="0B0D5EA9" w:rsidR="00770812" w:rsidRPr="007E190E" w:rsidRDefault="00770812" w:rsidP="00546543">
            <w:pPr>
              <w:pStyle w:val="POTTCostsLow"/>
              <w:rPr>
                <w:sz w:val="20"/>
              </w:rPr>
            </w:pPr>
            <w:r>
              <w:rPr>
                <w:sz w:val="20"/>
              </w:rPr>
              <w:t>15.</w:t>
            </w:r>
            <w:r w:rsidR="00947506">
              <w:rPr>
                <w:sz w:val="20"/>
              </w:rPr>
              <w:t>5</w:t>
            </w:r>
          </w:p>
        </w:tc>
        <w:tc>
          <w:tcPr>
            <w:tcW w:w="785" w:type="dxa"/>
            <w:vMerge w:val="restart"/>
            <w:tcBorders>
              <w:top w:val="single" w:sz="6" w:space="0" w:color="auto"/>
            </w:tcBorders>
            <w:shd w:val="clear" w:color="auto" w:fill="auto"/>
            <w:vAlign w:val="center"/>
          </w:tcPr>
          <w:p w14:paraId="7AC0EAB3" w14:textId="77777777" w:rsidR="00770812" w:rsidRPr="007E190E" w:rsidRDefault="00770812" w:rsidP="00546543">
            <w:pPr>
              <w:pStyle w:val="POTTCostsYear"/>
              <w:rPr>
                <w:sz w:val="20"/>
                <w:szCs w:val="20"/>
              </w:rPr>
            </w:pPr>
            <w:r w:rsidRPr="007E190E">
              <w:rPr>
                <w:sz w:val="20"/>
                <w:szCs w:val="20"/>
              </w:rPr>
              <w:fldChar w:fldCharType="begin">
                <w:ffData>
                  <w:name w:val="Text48"/>
                  <w:enabled/>
                  <w:calcOnExit w:val="0"/>
                  <w:textInput>
                    <w:maxLength w:val="3"/>
                  </w:textInput>
                </w:ffData>
              </w:fldChar>
            </w:r>
            <w:r w:rsidRPr="007E190E">
              <w:rPr>
                <w:sz w:val="20"/>
                <w:szCs w:val="20"/>
              </w:rPr>
              <w:instrText xml:space="preserve"> FORMTEXT </w:instrText>
            </w:r>
            <w:r w:rsidRPr="007E190E">
              <w:rPr>
                <w:sz w:val="20"/>
                <w:szCs w:val="20"/>
              </w:rPr>
            </w:r>
            <w:r w:rsidRPr="007E190E">
              <w:rPr>
                <w:sz w:val="20"/>
                <w:szCs w:val="20"/>
              </w:rPr>
              <w:fldChar w:fldCharType="separate"/>
            </w:r>
            <w:r w:rsidRPr="007E190E">
              <w:rPr>
                <w:noProof/>
                <w:sz w:val="20"/>
                <w:szCs w:val="20"/>
              </w:rPr>
              <w:t> </w:t>
            </w:r>
            <w:r w:rsidRPr="007E190E">
              <w:rPr>
                <w:noProof/>
                <w:sz w:val="20"/>
                <w:szCs w:val="20"/>
              </w:rPr>
              <w:t> </w:t>
            </w:r>
            <w:r w:rsidRPr="007E190E">
              <w:rPr>
                <w:noProof/>
                <w:sz w:val="20"/>
                <w:szCs w:val="20"/>
              </w:rPr>
              <w:t> </w:t>
            </w:r>
            <w:r w:rsidRPr="007E190E">
              <w:rPr>
                <w:sz w:val="20"/>
                <w:szCs w:val="20"/>
              </w:rPr>
              <w:fldChar w:fldCharType="end"/>
            </w:r>
          </w:p>
        </w:tc>
        <w:tc>
          <w:tcPr>
            <w:tcW w:w="2848" w:type="dxa"/>
            <w:tcBorders>
              <w:top w:val="single" w:sz="6" w:space="0" w:color="auto"/>
              <w:bottom w:val="single" w:sz="6" w:space="0" w:color="auto"/>
              <w:right w:val="single" w:sz="12" w:space="0" w:color="auto"/>
            </w:tcBorders>
            <w:shd w:val="clear" w:color="auto" w:fill="auto"/>
            <w:vAlign w:val="center"/>
          </w:tcPr>
          <w:p w14:paraId="55F8E124" w14:textId="77777777" w:rsidR="00770812" w:rsidRPr="007E190E" w:rsidRDefault="00770812" w:rsidP="00546543">
            <w:pPr>
              <w:pStyle w:val="POAACostsLow"/>
              <w:rPr>
                <w:sz w:val="20"/>
              </w:rPr>
            </w:pPr>
            <w:r>
              <w:rPr>
                <w:sz w:val="20"/>
              </w:rPr>
              <w:t>0.0</w:t>
            </w:r>
          </w:p>
        </w:tc>
        <w:tc>
          <w:tcPr>
            <w:tcW w:w="2620" w:type="dxa"/>
            <w:gridSpan w:val="2"/>
            <w:tcBorders>
              <w:top w:val="single" w:sz="6" w:space="0" w:color="auto"/>
              <w:left w:val="single" w:sz="12" w:space="0" w:color="auto"/>
              <w:bottom w:val="single" w:sz="6" w:space="0" w:color="auto"/>
            </w:tcBorders>
            <w:shd w:val="clear" w:color="auto" w:fill="auto"/>
            <w:vAlign w:val="center"/>
          </w:tcPr>
          <w:p w14:paraId="47E215B1" w14:textId="410E5AC8" w:rsidR="00770812" w:rsidRPr="007E190E" w:rsidRDefault="00770812" w:rsidP="00546543">
            <w:pPr>
              <w:pStyle w:val="POTCCostsLow"/>
              <w:rPr>
                <w:sz w:val="20"/>
              </w:rPr>
            </w:pPr>
            <w:r>
              <w:rPr>
                <w:sz w:val="20"/>
              </w:rPr>
              <w:t>15.</w:t>
            </w:r>
            <w:r w:rsidR="00947506">
              <w:rPr>
                <w:sz w:val="20"/>
              </w:rPr>
              <w:t>5</w:t>
            </w:r>
          </w:p>
        </w:tc>
      </w:tr>
      <w:tr w:rsidR="00770812" w:rsidRPr="007E190E" w14:paraId="71C7BA3A" w14:textId="77777777" w:rsidTr="00770812">
        <w:trPr>
          <w:trHeight w:hRule="exact" w:val="348"/>
        </w:trPr>
        <w:tc>
          <w:tcPr>
            <w:tcW w:w="1984" w:type="dxa"/>
            <w:tcBorders>
              <w:top w:val="single" w:sz="6" w:space="0" w:color="auto"/>
              <w:bottom w:val="single" w:sz="12" w:space="0" w:color="auto"/>
            </w:tcBorders>
            <w:shd w:val="clear" w:color="auto" w:fill="auto"/>
            <w:vAlign w:val="center"/>
          </w:tcPr>
          <w:p w14:paraId="573321C6" w14:textId="77777777" w:rsidR="00770812" w:rsidRPr="00F63895" w:rsidRDefault="00770812" w:rsidP="00546543">
            <w:pPr>
              <w:pStyle w:val="IATableLabel"/>
            </w:pPr>
            <w:r w:rsidRPr="00F63895">
              <w:t xml:space="preserve">High </w:t>
            </w:r>
          </w:p>
        </w:tc>
        <w:tc>
          <w:tcPr>
            <w:tcW w:w="1938" w:type="dxa"/>
            <w:tcBorders>
              <w:top w:val="single" w:sz="6" w:space="0" w:color="auto"/>
              <w:bottom w:val="single" w:sz="12" w:space="0" w:color="auto"/>
            </w:tcBorders>
            <w:shd w:val="clear" w:color="auto" w:fill="auto"/>
            <w:vAlign w:val="center"/>
          </w:tcPr>
          <w:p w14:paraId="5FA384F1" w14:textId="4ADE37A6" w:rsidR="00770812" w:rsidRPr="007E190E" w:rsidRDefault="00770812" w:rsidP="00546543">
            <w:pPr>
              <w:pStyle w:val="POTTCostsHigh"/>
              <w:rPr>
                <w:sz w:val="20"/>
              </w:rPr>
            </w:pPr>
            <w:r>
              <w:rPr>
                <w:sz w:val="20"/>
              </w:rPr>
              <w:t>23.</w:t>
            </w:r>
            <w:r w:rsidR="00947506">
              <w:rPr>
                <w:sz w:val="20"/>
              </w:rPr>
              <w:t>2</w:t>
            </w:r>
          </w:p>
        </w:tc>
        <w:tc>
          <w:tcPr>
            <w:tcW w:w="785" w:type="dxa"/>
            <w:vMerge/>
            <w:shd w:val="clear" w:color="auto" w:fill="FFFFFF"/>
            <w:vAlign w:val="center"/>
          </w:tcPr>
          <w:p w14:paraId="1F2FED7D" w14:textId="77777777" w:rsidR="00770812" w:rsidRPr="007E190E" w:rsidRDefault="00770812" w:rsidP="00546543">
            <w:pPr>
              <w:pStyle w:val="IATableText"/>
              <w:jc w:val="right"/>
              <w:rPr>
                <w:sz w:val="20"/>
              </w:rPr>
            </w:pPr>
          </w:p>
        </w:tc>
        <w:tc>
          <w:tcPr>
            <w:tcW w:w="2848" w:type="dxa"/>
            <w:tcBorders>
              <w:top w:val="single" w:sz="6" w:space="0" w:color="auto"/>
              <w:bottom w:val="single" w:sz="12" w:space="0" w:color="auto"/>
              <w:right w:val="single" w:sz="12" w:space="0" w:color="auto"/>
            </w:tcBorders>
            <w:shd w:val="clear" w:color="auto" w:fill="auto"/>
            <w:vAlign w:val="center"/>
          </w:tcPr>
          <w:p w14:paraId="0CB6A962" w14:textId="77777777" w:rsidR="00770812" w:rsidRPr="007E190E" w:rsidRDefault="00770812" w:rsidP="00546543">
            <w:pPr>
              <w:pStyle w:val="POAACostsHigh"/>
              <w:rPr>
                <w:sz w:val="20"/>
              </w:rPr>
            </w:pPr>
            <w:r>
              <w:rPr>
                <w:sz w:val="20"/>
              </w:rPr>
              <w:t>0.0</w:t>
            </w:r>
          </w:p>
        </w:tc>
        <w:tc>
          <w:tcPr>
            <w:tcW w:w="2620" w:type="dxa"/>
            <w:gridSpan w:val="2"/>
            <w:tcBorders>
              <w:top w:val="single" w:sz="6" w:space="0" w:color="auto"/>
              <w:left w:val="single" w:sz="12" w:space="0" w:color="auto"/>
              <w:bottom w:val="single" w:sz="12" w:space="0" w:color="auto"/>
            </w:tcBorders>
            <w:shd w:val="clear" w:color="auto" w:fill="auto"/>
            <w:vAlign w:val="center"/>
          </w:tcPr>
          <w:p w14:paraId="568CC754" w14:textId="262C5DD9" w:rsidR="00770812" w:rsidRPr="007E190E" w:rsidRDefault="00770812" w:rsidP="00546543">
            <w:pPr>
              <w:pStyle w:val="POTCCostsHigh"/>
              <w:rPr>
                <w:sz w:val="20"/>
              </w:rPr>
            </w:pPr>
            <w:r>
              <w:rPr>
                <w:sz w:val="20"/>
              </w:rPr>
              <w:t>23.</w:t>
            </w:r>
            <w:r w:rsidR="00947506">
              <w:rPr>
                <w:sz w:val="20"/>
              </w:rPr>
              <w:t>2</w:t>
            </w:r>
          </w:p>
        </w:tc>
      </w:tr>
      <w:tr w:rsidR="00770812" w:rsidRPr="007E190E" w14:paraId="751EC1ED" w14:textId="77777777" w:rsidTr="00770812">
        <w:trPr>
          <w:trHeight w:hRule="exact" w:val="348"/>
        </w:trPr>
        <w:tc>
          <w:tcPr>
            <w:tcW w:w="1984" w:type="dxa"/>
            <w:tcBorders>
              <w:top w:val="single" w:sz="12" w:space="0" w:color="auto"/>
              <w:bottom w:val="single" w:sz="12" w:space="0" w:color="auto"/>
              <w:right w:val="single" w:sz="12" w:space="0" w:color="auto"/>
            </w:tcBorders>
            <w:shd w:val="clear" w:color="auto" w:fill="FFFFFF"/>
            <w:vAlign w:val="center"/>
          </w:tcPr>
          <w:p w14:paraId="164045AC" w14:textId="77777777" w:rsidR="00770812" w:rsidRPr="00F63895" w:rsidRDefault="00770812" w:rsidP="00546543">
            <w:pPr>
              <w:pStyle w:val="IATableLabel"/>
            </w:pPr>
            <w:r w:rsidRPr="00F63895">
              <w:t>Best Estimate</w:t>
            </w:r>
          </w:p>
          <w:p w14:paraId="3ABDA20A" w14:textId="77777777" w:rsidR="00770812" w:rsidRPr="007E190E" w:rsidRDefault="00770812" w:rsidP="00546543">
            <w:pPr>
              <w:pStyle w:val="IATableNotes"/>
              <w:spacing w:beforeLines="40" w:before="96"/>
              <w:ind w:left="0" w:right="-22"/>
              <w:jc w:val="center"/>
              <w:rPr>
                <w:rFonts w:cs="Arial"/>
                <w:b/>
                <w:sz w:val="20"/>
              </w:rPr>
            </w:pPr>
          </w:p>
        </w:tc>
        <w:tc>
          <w:tcPr>
            <w:tcW w:w="1938" w:type="dxa"/>
            <w:tcBorders>
              <w:top w:val="single" w:sz="12" w:space="0" w:color="auto"/>
              <w:left w:val="single" w:sz="12" w:space="0" w:color="auto"/>
              <w:bottom w:val="single" w:sz="12" w:space="0" w:color="auto"/>
              <w:right w:val="single" w:sz="12" w:space="0" w:color="auto"/>
            </w:tcBorders>
            <w:shd w:val="clear" w:color="auto" w:fill="FFFFFF"/>
            <w:vAlign w:val="center"/>
          </w:tcPr>
          <w:p w14:paraId="17FE2936" w14:textId="7234D593" w:rsidR="00770812" w:rsidRPr="007E190E" w:rsidRDefault="00770812" w:rsidP="00546543">
            <w:pPr>
              <w:pStyle w:val="POTTCostsBest"/>
              <w:rPr>
                <w:sz w:val="20"/>
              </w:rPr>
            </w:pPr>
            <w:r w:rsidRPr="007E190E">
              <w:rPr>
                <w:sz w:val="20"/>
              </w:rPr>
              <w:fldChar w:fldCharType="begin">
                <w:ffData>
                  <w:name w:val="Text51"/>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r>
              <w:rPr>
                <w:sz w:val="20"/>
              </w:rPr>
              <w:t>19.</w:t>
            </w:r>
            <w:r w:rsidR="00947506">
              <w:rPr>
                <w:sz w:val="20"/>
              </w:rPr>
              <w:t>3</w:t>
            </w:r>
          </w:p>
        </w:tc>
        <w:tc>
          <w:tcPr>
            <w:tcW w:w="785" w:type="dxa"/>
            <w:vMerge/>
            <w:tcBorders>
              <w:left w:val="single" w:sz="12" w:space="0" w:color="auto"/>
              <w:right w:val="single" w:sz="12" w:space="0" w:color="auto"/>
            </w:tcBorders>
            <w:shd w:val="clear" w:color="auto" w:fill="FFFFFF"/>
            <w:vAlign w:val="center"/>
          </w:tcPr>
          <w:p w14:paraId="0C7FAC5A" w14:textId="77777777" w:rsidR="00770812" w:rsidRPr="007E190E" w:rsidRDefault="00770812" w:rsidP="00546543">
            <w:pPr>
              <w:pStyle w:val="IATableText"/>
              <w:jc w:val="right"/>
              <w:rPr>
                <w:sz w:val="20"/>
              </w:rPr>
            </w:pPr>
          </w:p>
        </w:tc>
        <w:tc>
          <w:tcPr>
            <w:tcW w:w="2848" w:type="dxa"/>
            <w:tcBorders>
              <w:top w:val="single" w:sz="12" w:space="0" w:color="auto"/>
              <w:left w:val="single" w:sz="12" w:space="0" w:color="auto"/>
              <w:bottom w:val="single" w:sz="12" w:space="0" w:color="auto"/>
              <w:right w:val="single" w:sz="12" w:space="0" w:color="auto"/>
            </w:tcBorders>
            <w:shd w:val="clear" w:color="auto" w:fill="FFFFFF"/>
            <w:vAlign w:val="center"/>
          </w:tcPr>
          <w:p w14:paraId="1903A0DC" w14:textId="77777777" w:rsidR="00770812" w:rsidRPr="007E190E" w:rsidRDefault="00770812" w:rsidP="00546543">
            <w:pPr>
              <w:pStyle w:val="POAACostsBest"/>
              <w:rPr>
                <w:sz w:val="20"/>
              </w:rPr>
            </w:pPr>
            <w:r w:rsidRPr="007E190E">
              <w:rPr>
                <w:sz w:val="20"/>
              </w:rPr>
              <w:fldChar w:fldCharType="begin">
                <w:ffData>
                  <w:name w:val="Text51"/>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r>
              <w:rPr>
                <w:sz w:val="20"/>
              </w:rPr>
              <w:t>0.0</w:t>
            </w:r>
          </w:p>
        </w:tc>
        <w:tc>
          <w:tcPr>
            <w:tcW w:w="2620" w:type="dxa"/>
            <w:gridSpan w:val="2"/>
            <w:tcBorders>
              <w:top w:val="single" w:sz="12" w:space="0" w:color="auto"/>
              <w:left w:val="single" w:sz="12" w:space="0" w:color="auto"/>
              <w:bottom w:val="single" w:sz="12" w:space="0" w:color="auto"/>
            </w:tcBorders>
            <w:shd w:val="clear" w:color="auto" w:fill="FFFFFF"/>
            <w:vAlign w:val="center"/>
          </w:tcPr>
          <w:p w14:paraId="3B3ED92F" w14:textId="4F1A30F0" w:rsidR="00770812" w:rsidRPr="007E190E" w:rsidRDefault="00770812" w:rsidP="00546543">
            <w:pPr>
              <w:pStyle w:val="POTCCostsBest"/>
              <w:rPr>
                <w:sz w:val="20"/>
              </w:rPr>
            </w:pPr>
            <w:r w:rsidRPr="007E190E">
              <w:rPr>
                <w:sz w:val="20"/>
              </w:rPr>
              <w:fldChar w:fldCharType="begin">
                <w:ffData>
                  <w:name w:val="Text54"/>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r>
              <w:rPr>
                <w:sz w:val="20"/>
              </w:rPr>
              <w:t>19.</w:t>
            </w:r>
            <w:r w:rsidR="00947506">
              <w:rPr>
                <w:sz w:val="20"/>
              </w:rPr>
              <w:t>3</w:t>
            </w:r>
          </w:p>
        </w:tc>
      </w:tr>
      <w:tr w:rsidR="00EF0ADA" w:rsidRPr="00826F71" w14:paraId="2EA7AD56" w14:textId="77777777" w:rsidTr="00770812">
        <w:trPr>
          <w:trHeight w:hRule="exact" w:val="2255"/>
        </w:trPr>
        <w:tc>
          <w:tcPr>
            <w:tcW w:w="10175" w:type="dxa"/>
            <w:gridSpan w:val="6"/>
            <w:tcBorders>
              <w:bottom w:val="single" w:sz="6" w:space="0" w:color="auto"/>
            </w:tcBorders>
            <w:shd w:val="clear" w:color="auto" w:fill="auto"/>
          </w:tcPr>
          <w:p w14:paraId="06165B1F" w14:textId="77777777" w:rsidR="00EF0ADA" w:rsidRPr="007E190E" w:rsidRDefault="00EF0ADA" w:rsidP="00EF0ADA">
            <w:pPr>
              <w:pStyle w:val="IAPOQ1"/>
              <w:rPr>
                <w:szCs w:val="22"/>
              </w:rPr>
            </w:pPr>
            <w:r w:rsidRPr="00544292">
              <w:t xml:space="preserve">Description and scale of </w:t>
            </w:r>
            <w:r w:rsidRPr="00826F71">
              <w:t>key monetised costs</w:t>
            </w:r>
            <w:r w:rsidRPr="00544292">
              <w:t xml:space="preserve"> by ‘main affected groups’ </w:t>
            </w:r>
          </w:p>
          <w:p w14:paraId="22B2565B" w14:textId="71AF7C20" w:rsidR="00EF0ADA" w:rsidRPr="00826F71" w:rsidRDefault="00770812" w:rsidP="00770812">
            <w:pPr>
              <w:pStyle w:val="IAPOA1"/>
            </w:pPr>
            <w:proofErr w:type="gramStart"/>
            <w:r>
              <w:t xml:space="preserve">The </w:t>
            </w:r>
            <w:r w:rsidRPr="005631E9">
              <w:t>majority of</w:t>
            </w:r>
            <w:proofErr w:type="gramEnd"/>
            <w:r w:rsidRPr="005631E9">
              <w:t xml:space="preserve"> businesses that sell goods and services</w:t>
            </w:r>
            <w:r>
              <w:t xml:space="preserve">, defined </w:t>
            </w:r>
            <w:r w:rsidRPr="005631E9">
              <w:t>as all retail, accommodation, automotive and personal service enterprises</w:t>
            </w:r>
            <w:r>
              <w:t xml:space="preserve">, will have to become familiar with the minor changes introduced by the amendment to the 2015 ADR Regulations. Only the proportion of those businesses with an online presence will experience the one-off transition cost of having to remove the link to the ODR platform from their websites. None of the businesses will experience ongoing annual costs </w:t>
            </w:r>
            <w:proofErr w:type="gramStart"/>
            <w:r>
              <w:t>as a result of</w:t>
            </w:r>
            <w:proofErr w:type="gramEnd"/>
            <w:r>
              <w:t xml:space="preserve"> this amendment to the 2015 ADR Regulations. The impact of UK consumers being unable to access the ODR platform is negligible.</w:t>
            </w:r>
          </w:p>
        </w:tc>
      </w:tr>
      <w:tr w:rsidR="00EF0ADA" w:rsidRPr="00826F71" w14:paraId="4814DD64" w14:textId="77777777" w:rsidTr="00770812">
        <w:trPr>
          <w:trHeight w:hRule="exact" w:val="827"/>
        </w:trPr>
        <w:tc>
          <w:tcPr>
            <w:tcW w:w="10175" w:type="dxa"/>
            <w:gridSpan w:val="6"/>
            <w:tcBorders>
              <w:top w:val="single" w:sz="6" w:space="0" w:color="auto"/>
              <w:bottom w:val="single" w:sz="12" w:space="0" w:color="auto"/>
            </w:tcBorders>
            <w:shd w:val="clear" w:color="auto" w:fill="auto"/>
          </w:tcPr>
          <w:p w14:paraId="71B192A2" w14:textId="77777777" w:rsidR="00EF0ADA" w:rsidRPr="007E190E" w:rsidRDefault="00EF0ADA" w:rsidP="00EF0ADA">
            <w:pPr>
              <w:pStyle w:val="IAPOQ2"/>
              <w:rPr>
                <w:szCs w:val="22"/>
              </w:rPr>
            </w:pPr>
            <w:r w:rsidRPr="00544292">
              <w:t>Other</w:t>
            </w:r>
            <w:r w:rsidRPr="00826F71">
              <w:t xml:space="preserve"> key non-monetised costs</w:t>
            </w:r>
            <w:r w:rsidRPr="00544292">
              <w:t xml:space="preserve"> by ‘main affected groups’ </w:t>
            </w:r>
          </w:p>
          <w:p w14:paraId="44533B40" w14:textId="4039EAD6" w:rsidR="00EF0ADA" w:rsidRPr="007E190E" w:rsidRDefault="00770812" w:rsidP="00EF0ADA">
            <w:pPr>
              <w:pStyle w:val="IAPOA2"/>
              <w:rPr>
                <w:szCs w:val="22"/>
              </w:rPr>
            </w:pPr>
            <w:r>
              <w:rPr>
                <w:szCs w:val="22"/>
              </w:rPr>
              <w:t>There will be negligible non-monetised costs.</w:t>
            </w:r>
          </w:p>
        </w:tc>
      </w:tr>
      <w:tr w:rsidR="00EF0ADA" w:rsidRPr="007E190E" w14:paraId="1CF794EF" w14:textId="77777777" w:rsidTr="00770812">
        <w:trPr>
          <w:trHeight w:hRule="exact" w:val="567"/>
        </w:trPr>
        <w:tc>
          <w:tcPr>
            <w:tcW w:w="1984" w:type="dxa"/>
            <w:shd w:val="clear" w:color="auto" w:fill="FFFFFF"/>
          </w:tcPr>
          <w:p w14:paraId="637E28AE" w14:textId="77777777" w:rsidR="00EF0ADA" w:rsidRPr="007E190E" w:rsidRDefault="00EF0ADA" w:rsidP="00EF0ADA">
            <w:pPr>
              <w:pStyle w:val="IATableLabel"/>
              <w:rPr>
                <w:sz w:val="24"/>
                <w:szCs w:val="24"/>
              </w:rPr>
            </w:pPr>
            <w:r w:rsidRPr="007E190E">
              <w:rPr>
                <w:sz w:val="24"/>
                <w:szCs w:val="24"/>
              </w:rPr>
              <w:t>BENEFITS (£m)</w:t>
            </w:r>
          </w:p>
        </w:tc>
        <w:tc>
          <w:tcPr>
            <w:tcW w:w="2723" w:type="dxa"/>
            <w:gridSpan w:val="2"/>
            <w:tcBorders>
              <w:top w:val="single" w:sz="12" w:space="0" w:color="auto"/>
              <w:bottom w:val="single" w:sz="6" w:space="0" w:color="auto"/>
            </w:tcBorders>
            <w:shd w:val="clear" w:color="auto" w:fill="auto"/>
          </w:tcPr>
          <w:p w14:paraId="79EB95DE" w14:textId="77777777" w:rsidR="00EF0ADA" w:rsidRPr="00826F71" w:rsidRDefault="00EF0ADA" w:rsidP="00EF0ADA">
            <w:pPr>
              <w:pStyle w:val="IATableLabel"/>
              <w:tabs>
                <w:tab w:val="right" w:pos="1797"/>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5DE14CC0" w14:textId="77777777" w:rsidR="00EF0ADA" w:rsidRPr="00826F71" w:rsidRDefault="00EF0ADA" w:rsidP="00EF0ADA">
            <w:pPr>
              <w:pStyle w:val="IATableLabel"/>
              <w:jc w:val="right"/>
            </w:pPr>
            <w:r>
              <w:br/>
            </w:r>
          </w:p>
        </w:tc>
        <w:tc>
          <w:tcPr>
            <w:tcW w:w="2848" w:type="dxa"/>
            <w:tcBorders>
              <w:bottom w:val="single" w:sz="6" w:space="0" w:color="auto"/>
              <w:right w:val="single" w:sz="12" w:space="0" w:color="auto"/>
            </w:tcBorders>
            <w:shd w:val="clear" w:color="auto" w:fill="auto"/>
          </w:tcPr>
          <w:p w14:paraId="274A3931" w14:textId="77777777" w:rsidR="00EF0ADA" w:rsidRPr="007E190E" w:rsidRDefault="00EF0ADA" w:rsidP="00EF0ADA">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20" w:type="dxa"/>
            <w:gridSpan w:val="2"/>
            <w:tcBorders>
              <w:top w:val="single" w:sz="12" w:space="0" w:color="auto"/>
              <w:left w:val="single" w:sz="12" w:space="0" w:color="auto"/>
              <w:bottom w:val="single" w:sz="6" w:space="0" w:color="auto"/>
            </w:tcBorders>
            <w:shd w:val="clear" w:color="auto" w:fill="auto"/>
          </w:tcPr>
          <w:p w14:paraId="6580E5AA" w14:textId="77777777" w:rsidR="00EF0ADA" w:rsidRPr="00826F71" w:rsidRDefault="00EF0ADA" w:rsidP="00EF0ADA">
            <w:pPr>
              <w:pStyle w:val="IATableLabel"/>
              <w:jc w:val="right"/>
            </w:pPr>
            <w:r w:rsidRPr="00826F71">
              <w:t xml:space="preserve">Total </w:t>
            </w:r>
            <w:r>
              <w:t>Benefit</w:t>
            </w:r>
            <w:r w:rsidRPr="007E190E">
              <w:rPr>
                <w:b w:val="0"/>
                <w:sz w:val="18"/>
                <w:szCs w:val="18"/>
              </w:rPr>
              <w:t xml:space="preserve"> </w:t>
            </w:r>
            <w:r w:rsidRPr="007E190E">
              <w:rPr>
                <w:b w:val="0"/>
                <w:sz w:val="18"/>
                <w:szCs w:val="18"/>
              </w:rPr>
              <w:br/>
              <w:t>(Present Value)</w:t>
            </w:r>
          </w:p>
        </w:tc>
      </w:tr>
      <w:tr w:rsidR="00770812" w:rsidRPr="007E190E" w14:paraId="3AE3ECDC" w14:textId="77777777" w:rsidTr="00770812">
        <w:trPr>
          <w:trHeight w:hRule="exact" w:val="348"/>
        </w:trPr>
        <w:tc>
          <w:tcPr>
            <w:tcW w:w="1984" w:type="dxa"/>
            <w:tcBorders>
              <w:top w:val="single" w:sz="6" w:space="0" w:color="auto"/>
              <w:bottom w:val="single" w:sz="6" w:space="0" w:color="auto"/>
            </w:tcBorders>
            <w:shd w:val="clear" w:color="auto" w:fill="auto"/>
            <w:vAlign w:val="center"/>
          </w:tcPr>
          <w:p w14:paraId="6119570F" w14:textId="7D6DD3B1" w:rsidR="00770812" w:rsidRPr="00826F71" w:rsidRDefault="00770812" w:rsidP="00770812">
            <w:pPr>
              <w:pStyle w:val="IATableLabel"/>
            </w:pPr>
            <w:r w:rsidRPr="00826F71">
              <w:t xml:space="preserve">Low </w:t>
            </w:r>
          </w:p>
        </w:tc>
        <w:tc>
          <w:tcPr>
            <w:tcW w:w="1938" w:type="dxa"/>
            <w:tcBorders>
              <w:top w:val="single" w:sz="6" w:space="0" w:color="auto"/>
              <w:bottom w:val="single" w:sz="6" w:space="0" w:color="auto"/>
            </w:tcBorders>
            <w:shd w:val="clear" w:color="auto" w:fill="auto"/>
            <w:vAlign w:val="center"/>
          </w:tcPr>
          <w:p w14:paraId="242DCA2B" w14:textId="51DA9133" w:rsidR="00770812" w:rsidRPr="007E190E" w:rsidRDefault="00770812" w:rsidP="00770812">
            <w:pPr>
              <w:pStyle w:val="POTTBenLow"/>
              <w:rPr>
                <w:sz w:val="20"/>
              </w:rPr>
            </w:pPr>
            <w:r>
              <w:rPr>
                <w:sz w:val="20"/>
              </w:rPr>
              <w:t>0.0</w:t>
            </w:r>
          </w:p>
        </w:tc>
        <w:tc>
          <w:tcPr>
            <w:tcW w:w="785" w:type="dxa"/>
            <w:vMerge w:val="restart"/>
            <w:tcBorders>
              <w:top w:val="single" w:sz="6" w:space="0" w:color="auto"/>
            </w:tcBorders>
            <w:shd w:val="clear" w:color="auto" w:fill="auto"/>
            <w:vAlign w:val="center"/>
          </w:tcPr>
          <w:p w14:paraId="0BB1A6CC" w14:textId="4BA7954E" w:rsidR="00770812" w:rsidRPr="007E190E" w:rsidRDefault="00770812" w:rsidP="00770812">
            <w:pPr>
              <w:pStyle w:val="IATableText"/>
              <w:jc w:val="center"/>
              <w:rPr>
                <w:sz w:val="20"/>
              </w:rPr>
            </w:pPr>
            <w:r w:rsidRPr="007E190E">
              <w:rPr>
                <w:sz w:val="20"/>
              </w:rPr>
              <w:fldChar w:fldCharType="begin">
                <w:ffData>
                  <w:name w:val="Text48"/>
                  <w:enabled/>
                  <w:calcOnExit w:val="0"/>
                  <w:textInput>
                    <w:maxLength w:val="3"/>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sz w:val="20"/>
              </w:rPr>
              <w:fldChar w:fldCharType="end"/>
            </w:r>
          </w:p>
        </w:tc>
        <w:tc>
          <w:tcPr>
            <w:tcW w:w="2848" w:type="dxa"/>
            <w:tcBorders>
              <w:top w:val="single" w:sz="6" w:space="0" w:color="auto"/>
              <w:bottom w:val="single" w:sz="6" w:space="0" w:color="auto"/>
              <w:right w:val="single" w:sz="12" w:space="0" w:color="auto"/>
            </w:tcBorders>
            <w:shd w:val="clear" w:color="auto" w:fill="auto"/>
            <w:vAlign w:val="center"/>
          </w:tcPr>
          <w:p w14:paraId="3958850D" w14:textId="622B6DB9" w:rsidR="00770812" w:rsidRPr="007E190E" w:rsidRDefault="00770812" w:rsidP="00770812">
            <w:pPr>
              <w:pStyle w:val="POAABenLow"/>
              <w:rPr>
                <w:sz w:val="20"/>
              </w:rPr>
            </w:pPr>
            <w:r>
              <w:rPr>
                <w:sz w:val="20"/>
              </w:rPr>
              <w:t>0.0</w:t>
            </w:r>
          </w:p>
        </w:tc>
        <w:tc>
          <w:tcPr>
            <w:tcW w:w="2620" w:type="dxa"/>
            <w:gridSpan w:val="2"/>
            <w:tcBorders>
              <w:top w:val="single" w:sz="6" w:space="0" w:color="auto"/>
              <w:left w:val="single" w:sz="12" w:space="0" w:color="auto"/>
              <w:bottom w:val="single" w:sz="6" w:space="0" w:color="auto"/>
            </w:tcBorders>
            <w:shd w:val="clear" w:color="auto" w:fill="auto"/>
            <w:vAlign w:val="center"/>
          </w:tcPr>
          <w:p w14:paraId="13F50C42" w14:textId="7A70DD81" w:rsidR="00770812" w:rsidRPr="007E190E" w:rsidRDefault="00770812" w:rsidP="00770812">
            <w:pPr>
              <w:pStyle w:val="POTBBenLow"/>
              <w:rPr>
                <w:sz w:val="20"/>
              </w:rPr>
            </w:pPr>
            <w:r>
              <w:rPr>
                <w:sz w:val="20"/>
              </w:rPr>
              <w:t>0.0</w:t>
            </w:r>
          </w:p>
        </w:tc>
      </w:tr>
      <w:tr w:rsidR="00770812" w:rsidRPr="007E190E" w14:paraId="3E0600FB" w14:textId="77777777" w:rsidTr="00770812">
        <w:trPr>
          <w:trHeight w:hRule="exact" w:val="348"/>
        </w:trPr>
        <w:tc>
          <w:tcPr>
            <w:tcW w:w="1984" w:type="dxa"/>
            <w:tcBorders>
              <w:top w:val="single" w:sz="6" w:space="0" w:color="auto"/>
              <w:bottom w:val="single" w:sz="12" w:space="0" w:color="auto"/>
            </w:tcBorders>
            <w:shd w:val="clear" w:color="auto" w:fill="auto"/>
            <w:vAlign w:val="center"/>
          </w:tcPr>
          <w:p w14:paraId="55028631" w14:textId="198F16CF" w:rsidR="00770812" w:rsidRPr="00826F71" w:rsidRDefault="00770812" w:rsidP="00770812">
            <w:pPr>
              <w:pStyle w:val="IATableLabel"/>
            </w:pPr>
            <w:r w:rsidRPr="00826F71">
              <w:t xml:space="preserve">High </w:t>
            </w:r>
          </w:p>
        </w:tc>
        <w:tc>
          <w:tcPr>
            <w:tcW w:w="1938" w:type="dxa"/>
            <w:tcBorders>
              <w:top w:val="single" w:sz="6" w:space="0" w:color="auto"/>
              <w:bottom w:val="single" w:sz="12" w:space="0" w:color="auto"/>
            </w:tcBorders>
            <w:shd w:val="clear" w:color="auto" w:fill="auto"/>
            <w:vAlign w:val="center"/>
          </w:tcPr>
          <w:p w14:paraId="5CE2F092" w14:textId="15174639" w:rsidR="00770812" w:rsidRPr="007E190E" w:rsidRDefault="00770812" w:rsidP="00770812">
            <w:pPr>
              <w:pStyle w:val="POTTBenHigh"/>
              <w:rPr>
                <w:sz w:val="20"/>
              </w:rPr>
            </w:pPr>
            <w:r>
              <w:rPr>
                <w:sz w:val="20"/>
              </w:rPr>
              <w:t>0.0</w:t>
            </w:r>
          </w:p>
        </w:tc>
        <w:tc>
          <w:tcPr>
            <w:tcW w:w="785" w:type="dxa"/>
            <w:vMerge/>
            <w:shd w:val="clear" w:color="auto" w:fill="FFFFFF"/>
            <w:vAlign w:val="center"/>
          </w:tcPr>
          <w:p w14:paraId="09340B07" w14:textId="77777777" w:rsidR="00770812" w:rsidRPr="007E190E" w:rsidRDefault="00770812" w:rsidP="00770812">
            <w:pPr>
              <w:pStyle w:val="IATableText"/>
              <w:jc w:val="right"/>
              <w:rPr>
                <w:sz w:val="20"/>
              </w:rPr>
            </w:pPr>
          </w:p>
        </w:tc>
        <w:tc>
          <w:tcPr>
            <w:tcW w:w="2848" w:type="dxa"/>
            <w:tcBorders>
              <w:top w:val="single" w:sz="6" w:space="0" w:color="auto"/>
              <w:bottom w:val="single" w:sz="12" w:space="0" w:color="auto"/>
              <w:right w:val="single" w:sz="12" w:space="0" w:color="auto"/>
            </w:tcBorders>
            <w:shd w:val="clear" w:color="auto" w:fill="auto"/>
            <w:vAlign w:val="center"/>
          </w:tcPr>
          <w:p w14:paraId="2C97B3EE" w14:textId="113575C6" w:rsidR="00770812" w:rsidRPr="007E190E" w:rsidRDefault="00770812" w:rsidP="00770812">
            <w:pPr>
              <w:pStyle w:val="POAABenHigh"/>
              <w:rPr>
                <w:sz w:val="20"/>
              </w:rPr>
            </w:pPr>
            <w:r>
              <w:rPr>
                <w:sz w:val="20"/>
              </w:rPr>
              <w:t>0.0</w:t>
            </w:r>
          </w:p>
        </w:tc>
        <w:tc>
          <w:tcPr>
            <w:tcW w:w="2620" w:type="dxa"/>
            <w:gridSpan w:val="2"/>
            <w:tcBorders>
              <w:top w:val="single" w:sz="6" w:space="0" w:color="auto"/>
              <w:left w:val="single" w:sz="12" w:space="0" w:color="auto"/>
              <w:bottom w:val="single" w:sz="12" w:space="0" w:color="auto"/>
            </w:tcBorders>
            <w:shd w:val="clear" w:color="auto" w:fill="auto"/>
            <w:vAlign w:val="center"/>
          </w:tcPr>
          <w:p w14:paraId="52DE87A1" w14:textId="0BEE852F" w:rsidR="00770812" w:rsidRPr="007E190E" w:rsidRDefault="00770812" w:rsidP="00770812">
            <w:pPr>
              <w:pStyle w:val="POTBBenHigh"/>
              <w:rPr>
                <w:sz w:val="20"/>
              </w:rPr>
            </w:pPr>
            <w:r>
              <w:rPr>
                <w:sz w:val="20"/>
              </w:rPr>
              <w:t>0.0</w:t>
            </w:r>
          </w:p>
        </w:tc>
      </w:tr>
      <w:tr w:rsidR="00770812" w:rsidRPr="007E190E" w14:paraId="68865BC1" w14:textId="77777777" w:rsidTr="00770812">
        <w:trPr>
          <w:trHeight w:hRule="exact" w:val="348"/>
        </w:trPr>
        <w:tc>
          <w:tcPr>
            <w:tcW w:w="1984" w:type="dxa"/>
            <w:tcBorders>
              <w:top w:val="single" w:sz="12" w:space="0" w:color="auto"/>
              <w:bottom w:val="single" w:sz="12" w:space="0" w:color="auto"/>
              <w:right w:val="single" w:sz="12" w:space="0" w:color="auto"/>
            </w:tcBorders>
            <w:shd w:val="clear" w:color="auto" w:fill="FFFFFF"/>
            <w:vAlign w:val="center"/>
          </w:tcPr>
          <w:p w14:paraId="5878238E" w14:textId="77777777" w:rsidR="00770812" w:rsidRPr="00826F71" w:rsidRDefault="00770812" w:rsidP="00770812">
            <w:pPr>
              <w:pStyle w:val="IATableLabel"/>
            </w:pPr>
            <w:r w:rsidRPr="00826F71">
              <w:t xml:space="preserve">Best </w:t>
            </w:r>
            <w:r>
              <w:t>E</w:t>
            </w:r>
            <w:r w:rsidRPr="00826F71">
              <w:t>stimate</w:t>
            </w:r>
          </w:p>
          <w:p w14:paraId="1C35C22C" w14:textId="77777777" w:rsidR="00770812" w:rsidRPr="007E190E" w:rsidRDefault="00770812" w:rsidP="00770812">
            <w:pPr>
              <w:pStyle w:val="IATableNotes"/>
              <w:spacing w:beforeLines="40" w:before="96"/>
              <w:ind w:left="0" w:right="-22"/>
              <w:jc w:val="center"/>
              <w:rPr>
                <w:rFonts w:cs="Arial"/>
                <w:b/>
                <w:sz w:val="20"/>
              </w:rPr>
            </w:pPr>
          </w:p>
        </w:tc>
        <w:tc>
          <w:tcPr>
            <w:tcW w:w="1938" w:type="dxa"/>
            <w:tcBorders>
              <w:top w:val="single" w:sz="12" w:space="0" w:color="auto"/>
              <w:left w:val="single" w:sz="12" w:space="0" w:color="auto"/>
              <w:bottom w:val="single" w:sz="12" w:space="0" w:color="auto"/>
              <w:right w:val="single" w:sz="12" w:space="0" w:color="auto"/>
            </w:tcBorders>
            <w:shd w:val="clear" w:color="auto" w:fill="FFFFFF"/>
            <w:vAlign w:val="center"/>
          </w:tcPr>
          <w:p w14:paraId="5566CA7B" w14:textId="4E374C63" w:rsidR="00770812" w:rsidRPr="007E190E" w:rsidRDefault="00770812" w:rsidP="00770812">
            <w:pPr>
              <w:pStyle w:val="POTTBenBest"/>
              <w:rPr>
                <w:sz w:val="20"/>
              </w:rPr>
            </w:pPr>
            <w:r>
              <w:rPr>
                <w:sz w:val="20"/>
              </w:rPr>
              <w:t>0.0</w:t>
            </w:r>
          </w:p>
        </w:tc>
        <w:tc>
          <w:tcPr>
            <w:tcW w:w="785" w:type="dxa"/>
            <w:vMerge/>
            <w:tcBorders>
              <w:left w:val="single" w:sz="12" w:space="0" w:color="auto"/>
              <w:right w:val="single" w:sz="12" w:space="0" w:color="auto"/>
            </w:tcBorders>
            <w:shd w:val="clear" w:color="auto" w:fill="FFFFFF"/>
            <w:vAlign w:val="center"/>
          </w:tcPr>
          <w:p w14:paraId="6372A8DF" w14:textId="77777777" w:rsidR="00770812" w:rsidRPr="007E190E" w:rsidRDefault="00770812" w:rsidP="00770812">
            <w:pPr>
              <w:pStyle w:val="IATableText"/>
              <w:jc w:val="right"/>
              <w:rPr>
                <w:sz w:val="20"/>
              </w:rPr>
            </w:pPr>
          </w:p>
        </w:tc>
        <w:tc>
          <w:tcPr>
            <w:tcW w:w="2848" w:type="dxa"/>
            <w:tcBorders>
              <w:top w:val="single" w:sz="12" w:space="0" w:color="auto"/>
              <w:left w:val="single" w:sz="12" w:space="0" w:color="auto"/>
              <w:bottom w:val="single" w:sz="12" w:space="0" w:color="auto"/>
              <w:right w:val="single" w:sz="12" w:space="0" w:color="auto"/>
            </w:tcBorders>
            <w:shd w:val="clear" w:color="auto" w:fill="FFFFFF"/>
            <w:vAlign w:val="center"/>
          </w:tcPr>
          <w:p w14:paraId="40C56B32" w14:textId="027B5B56" w:rsidR="00770812" w:rsidRPr="007E190E" w:rsidRDefault="00770812" w:rsidP="00770812">
            <w:pPr>
              <w:pStyle w:val="POAA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r>
              <w:rPr>
                <w:sz w:val="20"/>
              </w:rPr>
              <w:t>0.0</w:t>
            </w:r>
          </w:p>
        </w:tc>
        <w:tc>
          <w:tcPr>
            <w:tcW w:w="2620" w:type="dxa"/>
            <w:gridSpan w:val="2"/>
            <w:tcBorders>
              <w:top w:val="single" w:sz="12" w:space="0" w:color="auto"/>
              <w:left w:val="single" w:sz="12" w:space="0" w:color="auto"/>
              <w:bottom w:val="single" w:sz="12" w:space="0" w:color="auto"/>
            </w:tcBorders>
            <w:shd w:val="clear" w:color="auto" w:fill="FFFFFF"/>
            <w:vAlign w:val="center"/>
          </w:tcPr>
          <w:p w14:paraId="70AE447D" w14:textId="2B148642" w:rsidR="00770812" w:rsidRPr="007E190E" w:rsidRDefault="00770812" w:rsidP="00770812">
            <w:pPr>
              <w:pStyle w:val="POTB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r>
              <w:rPr>
                <w:sz w:val="20"/>
              </w:rPr>
              <w:t>0.0</w:t>
            </w:r>
          </w:p>
        </w:tc>
      </w:tr>
      <w:tr w:rsidR="00EF0ADA" w:rsidRPr="00826F71" w14:paraId="34F4DFB7" w14:textId="77777777" w:rsidTr="00770812">
        <w:trPr>
          <w:trHeight w:hRule="exact" w:val="961"/>
        </w:trPr>
        <w:tc>
          <w:tcPr>
            <w:tcW w:w="10175" w:type="dxa"/>
            <w:gridSpan w:val="6"/>
            <w:shd w:val="clear" w:color="auto" w:fill="auto"/>
          </w:tcPr>
          <w:p w14:paraId="057AEE22" w14:textId="77777777" w:rsidR="00EF0ADA" w:rsidRPr="007E190E" w:rsidRDefault="00EF0ADA" w:rsidP="00EF0ADA">
            <w:pPr>
              <w:pStyle w:val="IPPOQ3"/>
              <w:rPr>
                <w:szCs w:val="22"/>
              </w:rPr>
            </w:pPr>
            <w:r w:rsidRPr="00544292">
              <w:t xml:space="preserve">Description and scale of </w:t>
            </w:r>
            <w:r w:rsidRPr="00826F71">
              <w:t xml:space="preserve">key monetised </w:t>
            </w:r>
            <w:r>
              <w:t>benefits</w:t>
            </w:r>
            <w:r w:rsidRPr="00544292">
              <w:t xml:space="preserve"> by ‘main affected groups’ </w:t>
            </w:r>
          </w:p>
          <w:p w14:paraId="580E3ADC" w14:textId="2DCA3AD7" w:rsidR="00EF0ADA" w:rsidRPr="00826F71" w:rsidRDefault="00770812" w:rsidP="00EF0ADA">
            <w:pPr>
              <w:pStyle w:val="IAPOA3"/>
            </w:pPr>
            <w:r>
              <w:t>This regulation will result in no monetised benefits.</w:t>
            </w:r>
          </w:p>
        </w:tc>
      </w:tr>
      <w:tr w:rsidR="00EF0ADA" w:rsidRPr="00826F71" w14:paraId="5C861B75" w14:textId="77777777" w:rsidTr="00770812">
        <w:trPr>
          <w:trHeight w:hRule="exact" w:val="1084"/>
        </w:trPr>
        <w:tc>
          <w:tcPr>
            <w:tcW w:w="10175" w:type="dxa"/>
            <w:gridSpan w:val="6"/>
            <w:shd w:val="clear" w:color="auto" w:fill="auto"/>
          </w:tcPr>
          <w:p w14:paraId="3137487F" w14:textId="77777777" w:rsidR="00EF0ADA" w:rsidRPr="007E190E" w:rsidRDefault="00EF0ADA" w:rsidP="00EF0ADA">
            <w:pPr>
              <w:pStyle w:val="IAPOQ4"/>
              <w:rPr>
                <w:szCs w:val="22"/>
              </w:rPr>
            </w:pPr>
            <w:r w:rsidRPr="00544292">
              <w:t>Other</w:t>
            </w:r>
            <w:r w:rsidRPr="00826F71">
              <w:t xml:space="preserve"> key non-monetised </w:t>
            </w:r>
            <w:r>
              <w:t>benefits</w:t>
            </w:r>
            <w:r w:rsidRPr="00544292">
              <w:t xml:space="preserve"> by ‘main affected groups’ </w:t>
            </w:r>
          </w:p>
          <w:p w14:paraId="30E501E2" w14:textId="21126580" w:rsidR="00EF0ADA" w:rsidRPr="00826F71" w:rsidRDefault="00770812" w:rsidP="00EF0ADA">
            <w:pPr>
              <w:pStyle w:val="IAPOA4"/>
            </w:pPr>
            <w:r>
              <w:t>This regulation will result in no non-monetised benefits.</w:t>
            </w:r>
          </w:p>
        </w:tc>
      </w:tr>
      <w:tr w:rsidR="00EF0ADA" w:rsidRPr="00826F71" w14:paraId="0B818F8F" w14:textId="77777777" w:rsidTr="00770812">
        <w:trPr>
          <w:trHeight w:hRule="exact" w:val="346"/>
        </w:trPr>
        <w:tc>
          <w:tcPr>
            <w:tcW w:w="9320" w:type="dxa"/>
            <w:gridSpan w:val="5"/>
            <w:tcBorders>
              <w:top w:val="single" w:sz="6" w:space="0" w:color="auto"/>
              <w:bottom w:val="nil"/>
            </w:tcBorders>
            <w:shd w:val="clear" w:color="auto" w:fill="auto"/>
          </w:tcPr>
          <w:p w14:paraId="1FD847F9" w14:textId="77777777" w:rsidR="00EF0ADA" w:rsidRDefault="00EF0ADA" w:rsidP="00EF0ADA">
            <w:pPr>
              <w:pStyle w:val="IATableLabel"/>
              <w:tabs>
                <w:tab w:val="left" w:pos="7655"/>
              </w:tabs>
            </w:pPr>
            <w:r w:rsidRPr="00F1653E">
              <w:rPr>
                <w:rStyle w:val="IAPOQ5Char"/>
              </w:rPr>
              <w:t>Key assumptions/sensitivities/risks</w:t>
            </w:r>
            <w:r>
              <w:tab/>
              <w:t>Discount rate (%)</w:t>
            </w:r>
          </w:p>
          <w:p w14:paraId="474DE796" w14:textId="77777777" w:rsidR="00EF0ADA" w:rsidRPr="00455895" w:rsidRDefault="00EF0ADA" w:rsidP="00EF0ADA">
            <w:pPr>
              <w:pStyle w:val="IATableLabel"/>
            </w:pPr>
          </w:p>
        </w:tc>
        <w:tc>
          <w:tcPr>
            <w:tcW w:w="855" w:type="dxa"/>
            <w:tcBorders>
              <w:top w:val="single" w:sz="6" w:space="0" w:color="auto"/>
              <w:bottom w:val="single" w:sz="4" w:space="0" w:color="auto"/>
            </w:tcBorders>
            <w:shd w:val="clear" w:color="auto" w:fill="auto"/>
          </w:tcPr>
          <w:p w14:paraId="12BA2DF3" w14:textId="4639004D" w:rsidR="00EF0ADA" w:rsidRPr="007E6CF8" w:rsidRDefault="00BD2538" w:rsidP="00EF0ADA">
            <w:pPr>
              <w:pStyle w:val="IAPODisRate"/>
            </w:pPr>
            <w:r>
              <w:fldChar w:fldCharType="begin">
                <w:ffData>
                  <w:name w:val=""/>
                  <w:enabled/>
                  <w:calcOnExit w:val="0"/>
                  <w:textInput>
                    <w:default w:val="3.5"/>
                    <w:maxLength w:val="5"/>
                  </w:textInput>
                </w:ffData>
              </w:fldChar>
            </w:r>
            <w:r>
              <w:instrText xml:space="preserve"> FORMTEXT </w:instrText>
            </w:r>
            <w:r>
              <w:fldChar w:fldCharType="separate"/>
            </w:r>
            <w:r>
              <w:rPr>
                <w:noProof/>
              </w:rPr>
              <w:t>3.5</w:t>
            </w:r>
            <w:r>
              <w:fldChar w:fldCharType="end"/>
            </w:r>
            <w:r w:rsidR="001E00B1">
              <w:t>%</w:t>
            </w:r>
          </w:p>
        </w:tc>
      </w:tr>
      <w:tr w:rsidR="00EF0ADA" w:rsidRPr="007E190E" w14:paraId="67313137" w14:textId="77777777" w:rsidTr="00D20FE9">
        <w:trPr>
          <w:trHeight w:hRule="exact" w:val="1797"/>
        </w:trPr>
        <w:tc>
          <w:tcPr>
            <w:tcW w:w="10175" w:type="dxa"/>
            <w:gridSpan w:val="6"/>
            <w:tcBorders>
              <w:top w:val="nil"/>
              <w:bottom w:val="single" w:sz="12" w:space="0" w:color="auto"/>
            </w:tcBorders>
            <w:shd w:val="clear" w:color="auto" w:fill="auto"/>
          </w:tcPr>
          <w:p w14:paraId="468D1EEB" w14:textId="77777777" w:rsidR="00770812" w:rsidRDefault="00770812" w:rsidP="00D34C89">
            <w:pPr>
              <w:pStyle w:val="IAPOA5"/>
              <w:numPr>
                <w:ilvl w:val="0"/>
                <w:numId w:val="7"/>
              </w:numPr>
            </w:pPr>
            <w:r>
              <w:t>Time necessary for businesses to become familiar with the regulation: Half an hour for a senior staff member and 15 mins of training for 20 frontline staff (only in larger firms);</w:t>
            </w:r>
          </w:p>
          <w:p w14:paraId="39E8168E" w14:textId="77777777" w:rsidR="00D20FE9" w:rsidRDefault="00770812" w:rsidP="00D34C89">
            <w:pPr>
              <w:pStyle w:val="IAPOA5"/>
              <w:numPr>
                <w:ilvl w:val="0"/>
                <w:numId w:val="7"/>
              </w:numPr>
            </w:pPr>
            <w:r>
              <w:t xml:space="preserve">Proportion of businesses with an online presence: </w:t>
            </w:r>
            <w:r w:rsidRPr="00FD6A55">
              <w:t xml:space="preserve">59% of businesses with no employees, 78% of micro-businesses, 86% of small businesses, </w:t>
            </w:r>
            <w:r>
              <w:t xml:space="preserve">and </w:t>
            </w:r>
            <w:r w:rsidRPr="00FD6A55">
              <w:t>94% of medium-sized businesses</w:t>
            </w:r>
            <w:r>
              <w:t xml:space="preserve"> (all according to 2015 </w:t>
            </w:r>
            <w:r w:rsidRPr="00FD6A55">
              <w:t>Digital Capabilities in SMEs</w:t>
            </w:r>
            <w:r>
              <w:t>). We assumed 100% of large businesses would have an online presence;</w:t>
            </w:r>
          </w:p>
          <w:p w14:paraId="046D10FB" w14:textId="52C3BAF4" w:rsidR="00EF0ADA" w:rsidRPr="00544292" w:rsidRDefault="00770812" w:rsidP="00D34C89">
            <w:pPr>
              <w:pStyle w:val="IAPOA5"/>
              <w:numPr>
                <w:ilvl w:val="0"/>
                <w:numId w:val="7"/>
              </w:numPr>
            </w:pPr>
            <w:r>
              <w:t>Time necessary to remove the link to the ODR platform from the businesses’ websites: Half an hour.</w:t>
            </w:r>
          </w:p>
        </w:tc>
      </w:tr>
    </w:tbl>
    <w:p w14:paraId="653A087C" w14:textId="77777777" w:rsidR="00EF0ADA" w:rsidRDefault="00EF0ADA" w:rsidP="00EF0ADA">
      <w:pPr>
        <w:pStyle w:val="IASpacer"/>
      </w:pPr>
    </w:p>
    <w:p w14:paraId="7E646066" w14:textId="77777777" w:rsidR="00EF0ADA" w:rsidRDefault="00EF0ADA" w:rsidP="00EF0ADA">
      <w:pPr>
        <w:pStyle w:val="IAHeadLabel"/>
        <w:spacing w:before="50"/>
      </w:pPr>
      <w:r>
        <w:t xml:space="preserve">BUSINESS ASSESSMENT (Option </w:t>
      </w:r>
      <w:r w:rsidR="009E57E5">
        <w:rPr>
          <w:noProof/>
        </w:rPr>
        <w:fldChar w:fldCharType="begin"/>
      </w:r>
      <w:r w:rsidR="009E57E5">
        <w:rPr>
          <w:noProof/>
        </w:rPr>
        <w:instrText xml:space="preserve"> SEQ BA </w:instrText>
      </w:r>
      <w:r w:rsidR="009E57E5">
        <w:rPr>
          <w:noProof/>
        </w:rPr>
        <w:fldChar w:fldCharType="separate"/>
      </w:r>
      <w:r>
        <w:rPr>
          <w:noProof/>
        </w:rPr>
        <w:t>1</w:t>
      </w:r>
      <w:r w:rsidR="009E57E5">
        <w:rPr>
          <w:noProof/>
        </w:rPr>
        <w:fldChar w:fldCharType="end"/>
      </w:r>
      <w:r>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844"/>
        <w:gridCol w:w="1839"/>
        <w:gridCol w:w="1698"/>
        <w:gridCol w:w="4814"/>
      </w:tblGrid>
      <w:tr w:rsidR="00ED134A" w:rsidRPr="000E02BE" w14:paraId="15FBEFBC" w14:textId="77777777" w:rsidTr="00ED134A">
        <w:trPr>
          <w:trHeight w:hRule="exact" w:val="384"/>
        </w:trPr>
        <w:tc>
          <w:tcPr>
            <w:tcW w:w="5381" w:type="dxa"/>
            <w:gridSpan w:val="3"/>
            <w:tcBorders>
              <w:top w:val="single" w:sz="4" w:space="0" w:color="auto"/>
              <w:bottom w:val="nil"/>
              <w:right w:val="single" w:sz="4" w:space="0" w:color="auto"/>
            </w:tcBorders>
          </w:tcPr>
          <w:p w14:paraId="6BD323B6" w14:textId="77777777" w:rsidR="00ED134A" w:rsidRPr="000E02BE" w:rsidRDefault="00ED134A" w:rsidP="00EF0ADA">
            <w:pPr>
              <w:pStyle w:val="IATableLabel"/>
            </w:pPr>
            <w:r w:rsidRPr="000E02BE">
              <w:t xml:space="preserve">Direct impact on </w:t>
            </w:r>
            <w:r>
              <w:t>business (Equivalent Annual) £m</w:t>
            </w:r>
            <w:r w:rsidRPr="000E02BE">
              <w:t xml:space="preserve">: </w:t>
            </w:r>
          </w:p>
        </w:tc>
        <w:tc>
          <w:tcPr>
            <w:tcW w:w="4814" w:type="dxa"/>
            <w:vMerge w:val="restart"/>
            <w:tcBorders>
              <w:top w:val="single" w:sz="4" w:space="0" w:color="auto"/>
              <w:left w:val="single" w:sz="4" w:space="0" w:color="auto"/>
              <w:right w:val="single" w:sz="4" w:space="0" w:color="auto"/>
            </w:tcBorders>
          </w:tcPr>
          <w:p w14:paraId="661730F5" w14:textId="77777777" w:rsidR="00942C54" w:rsidRDefault="00ED134A" w:rsidP="00EF0ADA">
            <w:pPr>
              <w:pStyle w:val="IATableLabel"/>
            </w:pPr>
            <w:r>
              <w:t xml:space="preserve">Score for Business Impact Target (qualifying provisions only) £m: </w:t>
            </w:r>
          </w:p>
          <w:p w14:paraId="66DAA778" w14:textId="57BF6F21" w:rsidR="00ED134A" w:rsidRPr="000E02BE" w:rsidRDefault="00C2181B" w:rsidP="00EF0ADA">
            <w:pPr>
              <w:pStyle w:val="IATableLabel"/>
            </w:pPr>
            <w:r>
              <w:rPr>
                <w:b w:val="0"/>
              </w:rPr>
              <w:t>Non-qualifying provision</w:t>
            </w:r>
          </w:p>
          <w:p w14:paraId="1E0DE44C" w14:textId="6D5783CD" w:rsidR="00ED134A" w:rsidRPr="000E02BE" w:rsidRDefault="00ED134A" w:rsidP="00EF0ADA">
            <w:pPr>
              <w:pStyle w:val="IAPODIMQ"/>
            </w:pPr>
            <w:r>
              <w:fldChar w:fldCharType="begin">
                <w:ffData>
                  <w:name w:val="Text71"/>
                  <w:enabled/>
                  <w:calcOnExit w:val="0"/>
                  <w:textInput/>
                </w:ffData>
              </w:fldChar>
            </w:r>
            <w:bookmarkStart w:id="2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ED134A" w:rsidRPr="00E75380" w14:paraId="0E375E77" w14:textId="77777777" w:rsidTr="00ED134A">
        <w:trPr>
          <w:trHeight w:val="680"/>
        </w:trPr>
        <w:tc>
          <w:tcPr>
            <w:tcW w:w="1844" w:type="dxa"/>
            <w:tcBorders>
              <w:top w:val="nil"/>
              <w:bottom w:val="single" w:sz="4" w:space="0" w:color="auto"/>
              <w:right w:val="single" w:sz="4" w:space="0" w:color="auto"/>
            </w:tcBorders>
            <w:shd w:val="clear" w:color="auto" w:fill="FFFFFF"/>
          </w:tcPr>
          <w:p w14:paraId="7D28B4A4" w14:textId="5DB10123" w:rsidR="00ED134A" w:rsidRPr="00F63895" w:rsidRDefault="00ED134A" w:rsidP="00EF0ADA">
            <w:pPr>
              <w:pStyle w:val="IATableLabel"/>
            </w:pPr>
            <w:r w:rsidRPr="00F63895">
              <w:t xml:space="preserve">Costs: </w:t>
            </w:r>
            <w:r>
              <w:rPr>
                <w:rStyle w:val="IAPODICostChar"/>
                <w:sz w:val="20"/>
                <w:szCs w:val="20"/>
              </w:rPr>
              <w:t>1.9</w:t>
            </w:r>
          </w:p>
        </w:tc>
        <w:tc>
          <w:tcPr>
            <w:tcW w:w="1839" w:type="dxa"/>
            <w:tcBorders>
              <w:top w:val="nil"/>
              <w:bottom w:val="single" w:sz="4" w:space="0" w:color="auto"/>
              <w:right w:val="single" w:sz="4" w:space="0" w:color="auto"/>
            </w:tcBorders>
            <w:shd w:val="clear" w:color="auto" w:fill="FFFFFF"/>
          </w:tcPr>
          <w:p w14:paraId="1DA7045F" w14:textId="3A7E3EB6" w:rsidR="00ED134A" w:rsidRPr="00F63895" w:rsidRDefault="00ED134A" w:rsidP="00EF0ADA">
            <w:pPr>
              <w:pStyle w:val="IATableLabel"/>
            </w:pPr>
            <w:r w:rsidRPr="00F63895">
              <w:t xml:space="preserve">Benefits: </w:t>
            </w:r>
            <w:r>
              <w:rPr>
                <w:rStyle w:val="IAPODIBenChar"/>
                <w:sz w:val="20"/>
                <w:szCs w:val="20"/>
              </w:rPr>
              <w:t>0.0</w:t>
            </w:r>
          </w:p>
        </w:tc>
        <w:tc>
          <w:tcPr>
            <w:tcW w:w="1698" w:type="dxa"/>
            <w:tcBorders>
              <w:top w:val="nil"/>
              <w:bottom w:val="single" w:sz="4" w:space="0" w:color="auto"/>
              <w:right w:val="single" w:sz="4" w:space="0" w:color="auto"/>
            </w:tcBorders>
            <w:shd w:val="clear" w:color="auto" w:fill="FFFFFF"/>
          </w:tcPr>
          <w:p w14:paraId="2B5F6FAE" w14:textId="2D0AAF23" w:rsidR="00ED134A" w:rsidRPr="00F63895" w:rsidRDefault="00ED134A" w:rsidP="00EF0ADA">
            <w:pPr>
              <w:pStyle w:val="IATableLabel"/>
            </w:pPr>
            <w:r w:rsidRPr="00F63895">
              <w:t xml:space="preserve">Net: </w:t>
            </w:r>
            <w:bookmarkStart w:id="30" w:name="Text69"/>
            <w:r w:rsidRPr="00F63895">
              <w:rPr>
                <w:rStyle w:val="IAPODINetChar"/>
                <w:sz w:val="20"/>
                <w:szCs w:val="20"/>
              </w:rPr>
              <w:fldChar w:fldCharType="begin">
                <w:ffData>
                  <w:name w:val="Text69"/>
                  <w:enabled/>
                  <w:calcOnExit w:val="0"/>
                  <w:textInput>
                    <w:maxLength w:val="9"/>
                  </w:textInput>
                </w:ffData>
              </w:fldChar>
            </w:r>
            <w:r w:rsidRPr="00F63895">
              <w:rPr>
                <w:rStyle w:val="IAPODINetChar"/>
                <w:sz w:val="20"/>
                <w:szCs w:val="20"/>
              </w:rPr>
              <w:instrText xml:space="preserve"> FORMTEXT </w:instrText>
            </w:r>
            <w:r w:rsidRPr="00F63895">
              <w:rPr>
                <w:rStyle w:val="IAPODINetChar"/>
                <w:sz w:val="20"/>
                <w:szCs w:val="20"/>
              </w:rPr>
            </w:r>
            <w:r w:rsidRPr="00F63895">
              <w:rPr>
                <w:rStyle w:val="IAPODINetChar"/>
                <w:sz w:val="20"/>
                <w:szCs w:val="20"/>
              </w:rPr>
              <w:fldChar w:fldCharType="separate"/>
            </w:r>
            <w:r w:rsidRPr="00F63895">
              <w:rPr>
                <w:rStyle w:val="IAPODINetChar"/>
                <w:noProof/>
                <w:sz w:val="20"/>
                <w:szCs w:val="20"/>
              </w:rPr>
              <w:t> </w:t>
            </w:r>
            <w:r w:rsidRPr="00F63895">
              <w:rPr>
                <w:rStyle w:val="IAPODINetChar"/>
                <w:noProof/>
                <w:sz w:val="20"/>
                <w:szCs w:val="20"/>
              </w:rPr>
              <w:t> </w:t>
            </w:r>
            <w:r w:rsidRPr="00F63895">
              <w:rPr>
                <w:rStyle w:val="IAPODINetChar"/>
                <w:noProof/>
                <w:sz w:val="20"/>
                <w:szCs w:val="20"/>
              </w:rPr>
              <w:t> </w:t>
            </w:r>
            <w:r w:rsidRPr="00F63895">
              <w:rPr>
                <w:rStyle w:val="IAPODINetChar"/>
                <w:noProof/>
                <w:sz w:val="20"/>
                <w:szCs w:val="20"/>
              </w:rPr>
              <w:t> </w:t>
            </w:r>
            <w:r w:rsidRPr="00F63895">
              <w:rPr>
                <w:rStyle w:val="IAPODINetChar"/>
                <w:noProof/>
                <w:sz w:val="20"/>
                <w:szCs w:val="20"/>
              </w:rPr>
              <w:t> </w:t>
            </w:r>
            <w:r w:rsidRPr="00F63895">
              <w:rPr>
                <w:rStyle w:val="IAPODINetChar"/>
                <w:sz w:val="20"/>
                <w:szCs w:val="20"/>
              </w:rPr>
              <w:fldChar w:fldCharType="end"/>
            </w:r>
            <w:bookmarkEnd w:id="30"/>
            <w:r>
              <w:rPr>
                <w:rStyle w:val="IAPODINetChar"/>
                <w:sz w:val="20"/>
                <w:szCs w:val="20"/>
              </w:rPr>
              <w:t>-1.9</w:t>
            </w:r>
          </w:p>
        </w:tc>
        <w:tc>
          <w:tcPr>
            <w:tcW w:w="4814" w:type="dxa"/>
            <w:vMerge/>
            <w:tcBorders>
              <w:left w:val="single" w:sz="4" w:space="0" w:color="auto"/>
              <w:bottom w:val="single" w:sz="4" w:space="0" w:color="auto"/>
              <w:right w:val="single" w:sz="4" w:space="0" w:color="auto"/>
            </w:tcBorders>
            <w:shd w:val="clear" w:color="auto" w:fill="FFFFFF"/>
          </w:tcPr>
          <w:p w14:paraId="074C1E69" w14:textId="6A8F46D4" w:rsidR="00ED134A" w:rsidRPr="00F63895" w:rsidRDefault="00ED134A" w:rsidP="00EF0ADA">
            <w:pPr>
              <w:pStyle w:val="IAPODIMQ"/>
            </w:pPr>
          </w:p>
        </w:tc>
      </w:tr>
    </w:tbl>
    <w:p w14:paraId="73437746" w14:textId="77777777" w:rsidR="00EF0ADA" w:rsidRDefault="00EF0ADA" w:rsidP="00EF0ADA">
      <w:pPr>
        <w:sectPr w:rsidR="00EF0ADA" w:rsidSect="00F1328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680" w:right="851" w:bottom="680" w:left="851" w:header="284" w:footer="284" w:gutter="0"/>
          <w:cols w:space="708"/>
          <w:docGrid w:linePitch="360"/>
        </w:sectPr>
      </w:pPr>
    </w:p>
    <w:p w14:paraId="5A4A87AF" w14:textId="69BA5457" w:rsidR="00F70A77" w:rsidRDefault="00F70A77" w:rsidP="3C276672">
      <w:pPr>
        <w:pStyle w:val="Heading1"/>
        <w:pageBreakBefore/>
        <w:spacing w:line="259" w:lineRule="auto"/>
      </w:pPr>
      <w:bookmarkStart w:id="31" w:name="_Toc521073869"/>
      <w:bookmarkStart w:id="32" w:name="EvidenceHead"/>
      <w:bookmarkStart w:id="33" w:name="_GoBack"/>
      <w:bookmarkEnd w:id="27"/>
      <w:bookmarkEnd w:id="33"/>
      <w:r w:rsidRPr="3C276672">
        <w:lastRenderedPageBreak/>
        <w:t>Evidence</w:t>
      </w:r>
      <w:r>
        <w:t xml:space="preserve"> Base </w:t>
      </w:r>
      <w:bookmarkStart w:id="34" w:name="EvidenceBase"/>
      <w:bookmarkEnd w:id="34"/>
      <w:bookmarkEnd w:id="31"/>
    </w:p>
    <w:p w14:paraId="78443A0F" w14:textId="14A8DD08" w:rsidR="00006BC5" w:rsidRDefault="00BE70FB" w:rsidP="00511AF2">
      <w:pPr>
        <w:pStyle w:val="Heading2"/>
        <w:numPr>
          <w:ilvl w:val="0"/>
          <w:numId w:val="5"/>
        </w:numPr>
        <w:spacing w:line="20" w:lineRule="atLeast"/>
        <w:rPr>
          <w:rFonts w:eastAsia="SimSun"/>
          <w:lang w:eastAsia="zh-CN"/>
        </w:rPr>
      </w:pPr>
      <w:bookmarkStart w:id="35" w:name="_Toc521073870"/>
      <w:bookmarkEnd w:id="32"/>
      <w:r>
        <w:rPr>
          <w:rFonts w:eastAsia="SimSun"/>
          <w:lang w:eastAsia="zh-CN"/>
        </w:rPr>
        <w:t>Consumer protection and government intervention</w:t>
      </w:r>
      <w:bookmarkEnd w:id="35"/>
    </w:p>
    <w:p w14:paraId="620CF825" w14:textId="15835C43" w:rsidR="00B51285" w:rsidRDefault="00B51285" w:rsidP="00B51285">
      <w:pPr>
        <w:numPr>
          <w:ilvl w:val="0"/>
          <w:numId w:val="4"/>
        </w:numPr>
        <w:spacing w:after="200" w:line="20" w:lineRule="atLeast"/>
      </w:pPr>
      <w:r w:rsidRPr="00B51285">
        <w:t>Consumer protection regime is important as it allows consumers to be legally protected against rogue businesses that sell substandard goods or services. It also provides individuals with the confidence that they can make informed choices when purchasing a good or service and will be able to get support in case they have a complaint</w:t>
      </w:r>
      <w:r w:rsidR="006C437E">
        <w:t>.</w:t>
      </w:r>
    </w:p>
    <w:p w14:paraId="43C6505E" w14:textId="77777777" w:rsidR="00510DFC" w:rsidRDefault="00F26476" w:rsidP="008F78FC">
      <w:pPr>
        <w:numPr>
          <w:ilvl w:val="0"/>
          <w:numId w:val="4"/>
        </w:numPr>
        <w:spacing w:after="200" w:line="20" w:lineRule="atLeast"/>
      </w:pPr>
      <w:r>
        <w:t>T</w:t>
      </w:r>
      <w:r w:rsidR="000A28E5">
        <w:t xml:space="preserve">he consumer protection regime includes effective enforcement by consumer enforcement authorities and access to redress for consumers when their rights have been breached. This </w:t>
      </w:r>
      <w:r w:rsidR="00907D63">
        <w:t>encompasses</w:t>
      </w:r>
      <w:r w:rsidR="000A28E5">
        <w:t xml:space="preserve"> the ability for consumers to access advice and guidance on their rights and who to</w:t>
      </w:r>
      <w:r w:rsidR="00792830">
        <w:t xml:space="preserve"> contact </w:t>
      </w:r>
      <w:proofErr w:type="gramStart"/>
      <w:r w:rsidR="000A28E5">
        <w:t>in order to</w:t>
      </w:r>
      <w:proofErr w:type="gramEnd"/>
      <w:r w:rsidR="000A28E5">
        <w:t xml:space="preserve"> make a complaint or take action, dispute resolution mechanisms to resolve disputes between consumers and sellers without pursuing legal action, and finally legal access to redress if necessary.</w:t>
      </w:r>
      <w:r w:rsidR="008F78FC">
        <w:t xml:space="preserve"> </w:t>
      </w:r>
    </w:p>
    <w:p w14:paraId="2EFFD42E" w14:textId="3A4352A5" w:rsidR="00545FA9" w:rsidRDefault="00545FA9" w:rsidP="008F78FC">
      <w:pPr>
        <w:numPr>
          <w:ilvl w:val="0"/>
          <w:numId w:val="4"/>
        </w:numPr>
        <w:spacing w:after="200" w:line="20" w:lineRule="atLeast"/>
      </w:pPr>
      <w:r>
        <w:t xml:space="preserve">The </w:t>
      </w:r>
      <w:r w:rsidR="00717A38">
        <w:t>United Kingdom (</w:t>
      </w:r>
      <w:r w:rsidR="00792830">
        <w:t>“</w:t>
      </w:r>
      <w:r w:rsidR="00717A38">
        <w:t>UK</w:t>
      </w:r>
      <w:r w:rsidR="00792830">
        <w:t>”</w:t>
      </w:r>
      <w:r w:rsidR="00717A38">
        <w:t>)</w:t>
      </w:r>
      <w:r>
        <w:t xml:space="preserve"> place</w:t>
      </w:r>
      <w:r w:rsidR="00BB7A6C">
        <w:t>s</w:t>
      </w:r>
      <w:r>
        <w:t xml:space="preserve"> prominent importance on guaranteeing the rights of </w:t>
      </w:r>
      <w:r w:rsidR="00907D63">
        <w:t>individuals</w:t>
      </w:r>
      <w:r>
        <w:t xml:space="preserve"> as consumers. </w:t>
      </w:r>
      <w:r w:rsidR="00907D63">
        <w:t>I</w:t>
      </w:r>
      <w:r>
        <w:t>t do</w:t>
      </w:r>
      <w:r w:rsidR="00BB7A6C">
        <w:t>es</w:t>
      </w:r>
      <w:r>
        <w:t xml:space="preserve"> so</w:t>
      </w:r>
      <w:r w:rsidR="00792830">
        <w:t xml:space="preserve"> </w:t>
      </w:r>
      <w:r w:rsidR="00BB7A6C">
        <w:t xml:space="preserve">by </w:t>
      </w:r>
      <w:r>
        <w:t xml:space="preserve">empowering </w:t>
      </w:r>
      <w:r w:rsidR="00792830">
        <w:t xml:space="preserve">consumers </w:t>
      </w:r>
      <w:r>
        <w:t xml:space="preserve">to make choices based on accurate, clear and consistent information and enhancing their welfare as well as their economic interests. </w:t>
      </w:r>
    </w:p>
    <w:p w14:paraId="4BDD900F" w14:textId="3B116357" w:rsidR="00BB7A6C" w:rsidRDefault="007748F9" w:rsidP="00BB7A6C">
      <w:pPr>
        <w:numPr>
          <w:ilvl w:val="0"/>
          <w:numId w:val="4"/>
        </w:numPr>
        <w:spacing w:after="200" w:line="20" w:lineRule="atLeast"/>
      </w:pPr>
      <w:r>
        <w:t>C</w:t>
      </w:r>
      <w:r w:rsidRPr="007748F9">
        <w:t xml:space="preserve">onsumer protection in the UK is </w:t>
      </w:r>
      <w:r w:rsidR="00773A9C">
        <w:t>affected</w:t>
      </w:r>
      <w:r w:rsidRPr="007748F9">
        <w:t xml:space="preserve"> through a multiplicity of Acts of Parliament, </w:t>
      </w:r>
      <w:r w:rsidR="00792830">
        <w:t>s</w:t>
      </w:r>
      <w:r w:rsidRPr="007748F9">
        <w:t xml:space="preserve">tatutory instruments, government agencies and departments and citizens' </w:t>
      </w:r>
      <w:r w:rsidR="005103BA">
        <w:t>representative</w:t>
      </w:r>
      <w:r w:rsidRPr="007748F9">
        <w:t xml:space="preserve"> groups</w:t>
      </w:r>
      <w:r w:rsidR="00BB7A6C">
        <w:t xml:space="preserve">. These regimes </w:t>
      </w:r>
      <w:r w:rsidRPr="007748F9">
        <w:t>aim to ensure the market economy produces fairness and quality in goods and services people buy.</w:t>
      </w:r>
      <w:r w:rsidR="00BB7A6C" w:rsidRPr="00BB7A6C">
        <w:t xml:space="preserve"> </w:t>
      </w:r>
      <w:r w:rsidR="00BB7A6C">
        <w:t>M</w:t>
      </w:r>
      <w:r w:rsidR="00773A9C">
        <w:t>uch</w:t>
      </w:r>
      <w:r w:rsidR="00BB7A6C">
        <w:t xml:space="preserve"> of the legislation to protect the economic and legal interests of UK consumers ha</w:t>
      </w:r>
      <w:r w:rsidR="00903BB9">
        <w:t>s</w:t>
      </w:r>
      <w:r w:rsidR="00BB7A6C">
        <w:t xml:space="preserve"> been the result of adopting </w:t>
      </w:r>
      <w:r w:rsidR="00903BB9">
        <w:t>regulations</w:t>
      </w:r>
      <w:r w:rsidR="00BB7A6C">
        <w:t xml:space="preserve"> and directives set by the European Union (“EU”).</w:t>
      </w:r>
    </w:p>
    <w:p w14:paraId="58F24F21" w14:textId="43B15629" w:rsidR="00545FA9" w:rsidRDefault="00620537" w:rsidP="00FD5E4A">
      <w:pPr>
        <w:numPr>
          <w:ilvl w:val="0"/>
          <w:numId w:val="4"/>
        </w:numPr>
        <w:spacing w:after="200" w:line="20" w:lineRule="atLeast"/>
      </w:pPr>
      <w:r>
        <w:t>The result is a UK regulatory landscape for consumer protection and enforcement that is tightly linked to a range of EU legislation and makes many reference</w:t>
      </w:r>
      <w:r w:rsidR="00AD2DB6">
        <w:t>s</w:t>
      </w:r>
      <w:r>
        <w:t xml:space="preserve"> to the </w:t>
      </w:r>
      <w:r w:rsidR="00E52CCF">
        <w:t xml:space="preserve">European </w:t>
      </w:r>
      <w:r w:rsidR="007703AE">
        <w:t>I</w:t>
      </w:r>
      <w:r w:rsidR="00E52CCF">
        <w:t xml:space="preserve">nstitutions or </w:t>
      </w:r>
      <w:r w:rsidR="000D79BD">
        <w:t xml:space="preserve">to the </w:t>
      </w:r>
      <w:r w:rsidR="00E52CCF">
        <w:t>Member States</w:t>
      </w:r>
      <w:r w:rsidR="000A1437">
        <w:t xml:space="preserve">. </w:t>
      </w:r>
      <w:r w:rsidR="00F3610A">
        <w:t>T</w:t>
      </w:r>
      <w:r w:rsidR="00FD5E4A">
        <w:t>he following EU-</w:t>
      </w:r>
      <w:r w:rsidR="00FD5E4A" w:rsidRPr="00FD5E4A">
        <w:t xml:space="preserve">derived consumer protection legislation </w:t>
      </w:r>
      <w:r w:rsidR="00FD5E4A">
        <w:t>make</w:t>
      </w:r>
      <w:r w:rsidR="00FD5E4A" w:rsidRPr="00FD5E4A">
        <w:t xml:space="preserve"> references to </w:t>
      </w:r>
      <w:r w:rsidR="00FD5E4A">
        <w:t xml:space="preserve">articles of directives, </w:t>
      </w:r>
      <w:r w:rsidR="00FD5E4A" w:rsidRPr="00FD5E4A">
        <w:t xml:space="preserve">currency, specific bodies, organisations or </w:t>
      </w:r>
      <w:r w:rsidR="005D4C24">
        <w:t>M</w:t>
      </w:r>
      <w:r w:rsidR="00FD5E4A" w:rsidRPr="00FD5E4A">
        <w:t xml:space="preserve">ember </w:t>
      </w:r>
      <w:r w:rsidR="005D4C24">
        <w:t>S</w:t>
      </w:r>
      <w:r w:rsidR="00FD5E4A" w:rsidRPr="00FD5E4A">
        <w:t>tates</w:t>
      </w:r>
      <w:r w:rsidR="00FD5E4A">
        <w:t xml:space="preserve"> specific to the European Union:</w:t>
      </w:r>
    </w:p>
    <w:p w14:paraId="0B87257E" w14:textId="77777777" w:rsidR="00FD5E4A" w:rsidRDefault="00FD5E4A" w:rsidP="00FD5E4A">
      <w:pPr>
        <w:numPr>
          <w:ilvl w:val="1"/>
          <w:numId w:val="4"/>
        </w:numPr>
        <w:spacing w:after="200" w:line="20" w:lineRule="atLeast"/>
      </w:pPr>
      <w:r w:rsidRPr="00FD5E4A">
        <w:t>Parts 1 and 2 of the Consumer Rights Act 2015</w:t>
      </w:r>
      <w:r>
        <w:t>;</w:t>
      </w:r>
    </w:p>
    <w:p w14:paraId="26948646" w14:textId="1576F287" w:rsidR="00FD5E4A" w:rsidRDefault="00FD5E4A" w:rsidP="00FD5E4A">
      <w:pPr>
        <w:numPr>
          <w:ilvl w:val="1"/>
          <w:numId w:val="4"/>
        </w:numPr>
        <w:spacing w:after="200" w:line="20" w:lineRule="atLeast"/>
      </w:pPr>
      <w:r>
        <w:t>The Consumer Protection from Unfair Trading Regulations 2008;</w:t>
      </w:r>
    </w:p>
    <w:p w14:paraId="2AF00352" w14:textId="704F60DF" w:rsidR="00FD5E4A" w:rsidRDefault="00FD5E4A" w:rsidP="00FD5E4A">
      <w:pPr>
        <w:numPr>
          <w:ilvl w:val="1"/>
          <w:numId w:val="4"/>
        </w:numPr>
        <w:spacing w:after="200" w:line="20" w:lineRule="atLeast"/>
      </w:pPr>
      <w:r>
        <w:t>The Consumer Rights (Payment Surcharges) Regulations 2012;</w:t>
      </w:r>
    </w:p>
    <w:p w14:paraId="54BC3D1A" w14:textId="4AC9F04D" w:rsidR="00FD5E4A" w:rsidRDefault="00FD5E4A" w:rsidP="00FD5E4A">
      <w:pPr>
        <w:numPr>
          <w:ilvl w:val="1"/>
          <w:numId w:val="4"/>
        </w:numPr>
        <w:spacing w:after="200" w:line="20" w:lineRule="atLeast"/>
      </w:pPr>
      <w:r>
        <w:t>The Consumer Contracts (Information, cancellation and Additional Charges) Regulations 2013;</w:t>
      </w:r>
    </w:p>
    <w:p w14:paraId="1D7474DB" w14:textId="77777777" w:rsidR="00FD5E4A" w:rsidRDefault="00FD5E4A" w:rsidP="00FD5E4A">
      <w:pPr>
        <w:numPr>
          <w:ilvl w:val="1"/>
          <w:numId w:val="4"/>
        </w:numPr>
        <w:spacing w:after="200" w:line="20" w:lineRule="atLeast"/>
      </w:pPr>
      <w:r>
        <w:t>The Crystal Glass (Descriptions) Regulations 1973;</w:t>
      </w:r>
    </w:p>
    <w:p w14:paraId="342EBE4F" w14:textId="28A3A011" w:rsidR="00FD5E4A" w:rsidRDefault="00FD5E4A" w:rsidP="00444F82">
      <w:pPr>
        <w:numPr>
          <w:ilvl w:val="1"/>
          <w:numId w:val="4"/>
        </w:numPr>
        <w:spacing w:after="200" w:line="20" w:lineRule="atLeast"/>
      </w:pPr>
      <w:r>
        <w:t xml:space="preserve">The </w:t>
      </w:r>
      <w:r w:rsidRPr="00FD5E4A">
        <w:t>Footwear (Indication of Composition) Labelling Regulations 1995</w:t>
      </w:r>
      <w:r w:rsidR="0057650B">
        <w:t xml:space="preserve"> (“the 1995 Footwear Labelling Regulations”)</w:t>
      </w:r>
      <w:r w:rsidR="00444F82">
        <w:t>; and</w:t>
      </w:r>
    </w:p>
    <w:p w14:paraId="791D88A4" w14:textId="49F715E0" w:rsidR="000A6009" w:rsidRDefault="00444F82" w:rsidP="004E4DAB">
      <w:pPr>
        <w:numPr>
          <w:ilvl w:val="1"/>
          <w:numId w:val="4"/>
        </w:numPr>
        <w:spacing w:after="200" w:line="20" w:lineRule="atLeast"/>
      </w:pPr>
      <w:r>
        <w:t xml:space="preserve">The </w:t>
      </w:r>
      <w:r w:rsidRPr="00444F82">
        <w:t>Alternative Dispute Resolution for Consumer Disputes (Competent Authorities and Information) Regulations 2015</w:t>
      </w:r>
      <w:r w:rsidR="0057650B">
        <w:t xml:space="preserve"> (“the 2015 ADR Regulations”)</w:t>
      </w:r>
      <w:r w:rsidR="00FD5E4A">
        <w:t>.</w:t>
      </w:r>
    </w:p>
    <w:p w14:paraId="270F0300" w14:textId="77777777" w:rsidR="004E4DAB" w:rsidRDefault="004E4DAB" w:rsidP="004E4DAB">
      <w:pPr>
        <w:spacing w:after="200" w:line="20" w:lineRule="atLeast"/>
      </w:pPr>
    </w:p>
    <w:p w14:paraId="197D1ECE" w14:textId="77777777" w:rsidR="00151BDA" w:rsidRPr="007F1D96" w:rsidRDefault="00151BDA" w:rsidP="00151BDA">
      <w:pPr>
        <w:pStyle w:val="Heading2"/>
        <w:numPr>
          <w:ilvl w:val="0"/>
          <w:numId w:val="5"/>
        </w:numPr>
        <w:spacing w:line="20" w:lineRule="atLeast"/>
        <w:rPr>
          <w:rFonts w:eastAsia="SimSun"/>
          <w:lang w:eastAsia="zh-CN"/>
        </w:rPr>
      </w:pPr>
      <w:bookmarkStart w:id="36" w:name="_Toc521073871"/>
      <w:r w:rsidRPr="007F1D96">
        <w:rPr>
          <w:rFonts w:eastAsia="SimSun"/>
          <w:lang w:eastAsia="zh-CN"/>
        </w:rPr>
        <w:lastRenderedPageBreak/>
        <w:t>Policy objective</w:t>
      </w:r>
      <w:bookmarkEnd w:id="36"/>
    </w:p>
    <w:p w14:paraId="0D838BE7" w14:textId="57BB20E7" w:rsidR="0013061D" w:rsidRDefault="0013061D" w:rsidP="0013061D">
      <w:pPr>
        <w:numPr>
          <w:ilvl w:val="0"/>
          <w:numId w:val="4"/>
        </w:numPr>
        <w:spacing w:after="200" w:line="20" w:lineRule="atLeast"/>
      </w:pPr>
      <w:r w:rsidRPr="0013061D">
        <w:t>Following the result of the United Kingdom European Union membership referendum on 23 June 2016, the UK Government indicated its intention to withdraw from the EU. The Government formally notified the EU of the intention to withdraw by triggering Article 50 of the Treaty of the European Union on 29 March 2017 and will leave the European Union on 29 March 2019</w:t>
      </w:r>
      <w:r w:rsidR="00C06A08">
        <w:t>.</w:t>
      </w:r>
    </w:p>
    <w:p w14:paraId="3A9E5335" w14:textId="60D464D6" w:rsidR="00162BE5" w:rsidRPr="005C4600" w:rsidRDefault="00162BE5" w:rsidP="00162BE5">
      <w:pPr>
        <w:numPr>
          <w:ilvl w:val="0"/>
          <w:numId w:val="4"/>
        </w:numPr>
        <w:spacing w:after="200"/>
        <w:rPr>
          <w:lang w:eastAsia="en-GB"/>
        </w:rPr>
      </w:pPr>
      <w:r>
        <w:t xml:space="preserve">The Government remains committed to high standards for consumers after EU Exit, </w:t>
      </w:r>
      <w:bookmarkStart w:id="37" w:name="_Hlk520905860"/>
      <w:r>
        <w:t>including maintaining the same protections that UK consumers currently have when buying from UK companies.</w:t>
      </w:r>
      <w:bookmarkEnd w:id="37"/>
    </w:p>
    <w:p w14:paraId="04221052" w14:textId="07331CB7" w:rsidR="0062713A" w:rsidRDefault="007B4F8C" w:rsidP="0062713A">
      <w:pPr>
        <w:numPr>
          <w:ilvl w:val="0"/>
          <w:numId w:val="4"/>
        </w:numPr>
        <w:spacing w:after="200" w:line="20" w:lineRule="atLeast"/>
      </w:pPr>
      <w:proofErr w:type="gramStart"/>
      <w:r>
        <w:t>In or</w:t>
      </w:r>
      <w:r w:rsidR="00B82CE6">
        <w:t>der to</w:t>
      </w:r>
      <w:proofErr w:type="gramEnd"/>
      <w:r w:rsidR="00B82CE6">
        <w:t xml:space="preserve"> </w:t>
      </w:r>
      <w:r w:rsidR="008D6759">
        <w:t>meet</w:t>
      </w:r>
      <w:r w:rsidR="00B82CE6">
        <w:t xml:space="preserve"> the</w:t>
      </w:r>
      <w:r w:rsidR="0023360A">
        <w:t>se</w:t>
      </w:r>
      <w:r w:rsidR="00B82CE6">
        <w:t xml:space="preserve"> objectives, </w:t>
      </w:r>
      <w:r w:rsidR="0062713A" w:rsidRPr="004D5FE3">
        <w:t>certain changes in UK legislation</w:t>
      </w:r>
      <w:r w:rsidR="00B82CE6">
        <w:t xml:space="preserve"> must be made </w:t>
      </w:r>
      <w:r w:rsidR="0062713A" w:rsidRPr="004D5FE3">
        <w:t>through the E</w:t>
      </w:r>
      <w:r w:rsidR="004A33F9">
        <w:t>uropean Union</w:t>
      </w:r>
      <w:r w:rsidR="0062713A" w:rsidRPr="004D5FE3">
        <w:t xml:space="preserve"> </w:t>
      </w:r>
      <w:r w:rsidR="004A33F9">
        <w:t>(</w:t>
      </w:r>
      <w:r w:rsidR="0062713A" w:rsidRPr="004D5FE3">
        <w:t>Withdrawal</w:t>
      </w:r>
      <w:r w:rsidR="004A33F9">
        <w:t>) Act 2018</w:t>
      </w:r>
      <w:r w:rsidR="0062713A" w:rsidRPr="004D5FE3">
        <w:t xml:space="preserve">, to ensure </w:t>
      </w:r>
      <w:r w:rsidR="00B82CE6">
        <w:t>UK law continues to be operable at the point of exiting the EU</w:t>
      </w:r>
      <w:r w:rsidR="00486FD0">
        <w:t xml:space="preserve"> – these are explained below.</w:t>
      </w:r>
    </w:p>
    <w:p w14:paraId="4E463E69" w14:textId="77777777" w:rsidR="00F354F1" w:rsidRDefault="00F354F1" w:rsidP="00F354F1">
      <w:pPr>
        <w:pStyle w:val="NoSpacing"/>
      </w:pPr>
    </w:p>
    <w:p w14:paraId="1DC71FB6" w14:textId="77777777" w:rsidR="001F5DD9" w:rsidRPr="007F1D96" w:rsidRDefault="00006BC5" w:rsidP="00511AF2">
      <w:pPr>
        <w:pStyle w:val="Heading2"/>
        <w:numPr>
          <w:ilvl w:val="0"/>
          <w:numId w:val="5"/>
        </w:numPr>
        <w:spacing w:line="20" w:lineRule="atLeast"/>
        <w:rPr>
          <w:rFonts w:eastAsia="SimSun"/>
          <w:lang w:eastAsia="zh-CN"/>
        </w:rPr>
      </w:pPr>
      <w:bookmarkStart w:id="38" w:name="_Toc521073872"/>
      <w:r w:rsidRPr="007F1D96">
        <w:rPr>
          <w:rFonts w:eastAsia="SimSun"/>
          <w:lang w:eastAsia="zh-CN"/>
        </w:rPr>
        <w:t>Rationale for intervention</w:t>
      </w:r>
      <w:bookmarkEnd w:id="38"/>
      <w:r w:rsidR="006B3C41" w:rsidRPr="007F1D96">
        <w:rPr>
          <w:rFonts w:eastAsia="SimSun"/>
          <w:lang w:eastAsia="zh-CN"/>
        </w:rPr>
        <w:t xml:space="preserve"> </w:t>
      </w:r>
    </w:p>
    <w:p w14:paraId="5DE3DCB9" w14:textId="2922040B" w:rsidR="00A0187E" w:rsidRDefault="009A6752" w:rsidP="008665E5">
      <w:pPr>
        <w:pStyle w:val="Heading3"/>
      </w:pPr>
      <w:bookmarkStart w:id="39" w:name="_Toc521073873"/>
      <w:r>
        <w:t xml:space="preserve">Providing legal and </w:t>
      </w:r>
      <w:r w:rsidR="00736B19">
        <w:t>consumer</w:t>
      </w:r>
      <w:r>
        <w:t xml:space="preserve"> certainty after the UK exits the EU and maintaining an effective consumer protection regime</w:t>
      </w:r>
      <w:bookmarkEnd w:id="39"/>
    </w:p>
    <w:p w14:paraId="4586D299" w14:textId="326AAA56" w:rsidR="000E7C39" w:rsidRDefault="000E7C39" w:rsidP="000E7C39">
      <w:pPr>
        <w:numPr>
          <w:ilvl w:val="0"/>
          <w:numId w:val="4"/>
        </w:numPr>
        <w:spacing w:after="200"/>
        <w:rPr>
          <w:lang w:eastAsia="en-GB"/>
        </w:rPr>
      </w:pPr>
      <w:r>
        <w:t xml:space="preserve">The absence of a legal framework that protects the rights and interests of consumers </w:t>
      </w:r>
      <w:r w:rsidR="004402B2">
        <w:t>c</w:t>
      </w:r>
      <w:r>
        <w:t xml:space="preserve">ould make it easier for rogue businesses to </w:t>
      </w:r>
      <w:r w:rsidR="004402B2">
        <w:t>target</w:t>
      </w:r>
      <w:r>
        <w:t xml:space="preserve"> consumers. As a result, this may deter some consumers from engaging in transactions with reputable businesses due to the fear that they may lose out in the event they receive a substandard good or service. </w:t>
      </w:r>
    </w:p>
    <w:p w14:paraId="604A22BA" w14:textId="77777777" w:rsidR="000E7C39" w:rsidRDefault="000E7C39" w:rsidP="000E7C39">
      <w:pPr>
        <w:numPr>
          <w:ilvl w:val="0"/>
          <w:numId w:val="4"/>
        </w:numPr>
        <w:spacing w:after="200"/>
      </w:pPr>
      <w:r>
        <w:t xml:space="preserve">Government therefore intervenes in the market in the form of providing a legal framework through the application of numerous consumer protection regulations and enforcement mechanisms to ensure that consumer rights are applied </w:t>
      </w:r>
      <w:proofErr w:type="gramStart"/>
      <w:r>
        <w:t>fairly</w:t>
      </w:r>
      <w:proofErr w:type="gramEnd"/>
      <w:r>
        <w:t xml:space="preserve"> and that consumers’ interests are protected.</w:t>
      </w:r>
    </w:p>
    <w:p w14:paraId="17233009" w14:textId="77777777" w:rsidR="000E7C39" w:rsidRDefault="000E7C39" w:rsidP="000E7C39">
      <w:pPr>
        <w:numPr>
          <w:ilvl w:val="0"/>
          <w:numId w:val="4"/>
        </w:numPr>
        <w:spacing w:after="200"/>
      </w:pPr>
      <w:r>
        <w:t xml:space="preserve">This contributes to maintaining the UK’s reputation as a positive business environment for consumers where individuals can have faith in the quality of UK consumer protection regimes to protect their rights when they engage in purchases. </w:t>
      </w:r>
    </w:p>
    <w:p w14:paraId="3BF6836A" w14:textId="7063FB86" w:rsidR="000E7C39" w:rsidRDefault="000E7C39" w:rsidP="000E7C39">
      <w:pPr>
        <w:numPr>
          <w:ilvl w:val="0"/>
          <w:numId w:val="4"/>
        </w:numPr>
        <w:spacing w:after="200"/>
      </w:pPr>
      <w:r>
        <w:t xml:space="preserve">Exiting the EU without a statutory instrument that amends the seven regulations cited in paragraph 5 risks hampering the efficiency of the UK legal framework that protects consumers. Failing to introduce this regulation could jeopardise the efficiency of the UK consumer protection regime and, as a result, cause confusion about consumers’ rights to redress or make it easier for rogue businesses to </w:t>
      </w:r>
      <w:r w:rsidR="005315CF">
        <w:t>target</w:t>
      </w:r>
      <w:r>
        <w:t xml:space="preserve"> consumers.</w:t>
      </w:r>
    </w:p>
    <w:p w14:paraId="623252D5" w14:textId="3CBFA2EE" w:rsidR="003C6944" w:rsidRDefault="003C6944" w:rsidP="008665E5">
      <w:pPr>
        <w:pStyle w:val="Heading3"/>
      </w:pPr>
      <w:bookmarkStart w:id="40" w:name="_Toc521073874"/>
      <w:r>
        <w:t>Amending the Act</w:t>
      </w:r>
      <w:r w:rsidR="000D1E8A">
        <w:t>s</w:t>
      </w:r>
      <w:r>
        <w:t xml:space="preserve"> following EU </w:t>
      </w:r>
      <w:r w:rsidR="008E1A92">
        <w:t>E</w:t>
      </w:r>
      <w:r>
        <w:t>xit</w:t>
      </w:r>
      <w:bookmarkEnd w:id="40"/>
    </w:p>
    <w:p w14:paraId="3F6EC175" w14:textId="24EE9593" w:rsidR="00AC116F" w:rsidRDefault="00E52237" w:rsidP="00C62438">
      <w:pPr>
        <w:numPr>
          <w:ilvl w:val="0"/>
          <w:numId w:val="4"/>
        </w:numPr>
        <w:spacing w:after="200" w:line="20" w:lineRule="atLeast"/>
      </w:pPr>
      <w:r>
        <w:t>All</w:t>
      </w:r>
      <w:r w:rsidR="003C6944">
        <w:t xml:space="preserve"> the amendments proposed in this Statutory Instrument (</w:t>
      </w:r>
      <w:r w:rsidR="00F35623">
        <w:t>“</w:t>
      </w:r>
      <w:r w:rsidR="003C6944">
        <w:t>SI</w:t>
      </w:r>
      <w:r w:rsidR="00F35623">
        <w:t>”</w:t>
      </w:r>
      <w:r w:rsidR="003C6944">
        <w:t>) are intended to ensure the continued</w:t>
      </w:r>
      <w:r w:rsidR="00270A0A">
        <w:t xml:space="preserve"> effective</w:t>
      </w:r>
      <w:r w:rsidR="003C6944">
        <w:t xml:space="preserve"> operation of the existing consumer protection regime following EU </w:t>
      </w:r>
      <w:r w:rsidR="008E1A92">
        <w:t>E</w:t>
      </w:r>
      <w:r w:rsidR="003C6944">
        <w:t xml:space="preserve">xit. The SI is not intended as a vehicle for reforming the existing regime. </w:t>
      </w:r>
    </w:p>
    <w:p w14:paraId="5EC0FE56" w14:textId="419F8562" w:rsidR="003C6944" w:rsidRDefault="003C6944" w:rsidP="002561F9">
      <w:pPr>
        <w:numPr>
          <w:ilvl w:val="0"/>
          <w:numId w:val="4"/>
        </w:numPr>
        <w:spacing w:after="200" w:line="20" w:lineRule="atLeast"/>
      </w:pPr>
      <w:r>
        <w:t xml:space="preserve">There are, however, some aspects in which the operation of businesses selling goods and services will be different following the commencement of the SI. These are discussed in </w:t>
      </w:r>
      <w:r w:rsidRPr="00E719A8">
        <w:t>paragraphs</w:t>
      </w:r>
      <w:r w:rsidR="00A20CF1" w:rsidRPr="00E719A8">
        <w:t xml:space="preserve"> </w:t>
      </w:r>
      <w:r w:rsidR="00C1214E">
        <w:t>3</w:t>
      </w:r>
      <w:r w:rsidR="00C60E7F">
        <w:t>4</w:t>
      </w:r>
      <w:r w:rsidR="0007737F">
        <w:t xml:space="preserve"> </w:t>
      </w:r>
      <w:r w:rsidR="00A20CF1">
        <w:t>to</w:t>
      </w:r>
      <w:r>
        <w:t xml:space="preserve"> </w:t>
      </w:r>
      <w:r w:rsidR="00C1214E">
        <w:t>4</w:t>
      </w:r>
      <w:r w:rsidR="00C60E7F">
        <w:t>6</w:t>
      </w:r>
      <w:r>
        <w:t xml:space="preserve"> </w:t>
      </w:r>
      <w:r w:rsidR="00A20CF1">
        <w:t>and</w:t>
      </w:r>
      <w:r w:rsidR="00F21BC7">
        <w:t xml:space="preserve"> in </w:t>
      </w:r>
      <w:r w:rsidR="00F21BC7" w:rsidRPr="00E719A8">
        <w:t>paragraphs</w:t>
      </w:r>
      <w:r w:rsidR="00A20CF1" w:rsidRPr="00E719A8">
        <w:t xml:space="preserve"> </w:t>
      </w:r>
      <w:r w:rsidR="006008EB" w:rsidRPr="00E719A8">
        <w:t>4</w:t>
      </w:r>
      <w:r w:rsidR="00C60E7F">
        <w:t>7</w:t>
      </w:r>
      <w:r w:rsidR="00A20CF1">
        <w:t xml:space="preserve"> to </w:t>
      </w:r>
      <w:r w:rsidR="006008EB" w:rsidRPr="00E719A8">
        <w:t>8</w:t>
      </w:r>
      <w:r w:rsidR="00C60E7F">
        <w:t>9</w:t>
      </w:r>
      <w:r w:rsidR="00C1214E">
        <w:t xml:space="preserve"> </w:t>
      </w:r>
      <w:r>
        <w:t>below.</w:t>
      </w:r>
    </w:p>
    <w:p w14:paraId="222F05A8" w14:textId="4FBC2763" w:rsidR="00A0187E" w:rsidRDefault="00A0187E" w:rsidP="00533FD2">
      <w:pPr>
        <w:pStyle w:val="NoSpacing"/>
      </w:pPr>
    </w:p>
    <w:p w14:paraId="003FD8A3" w14:textId="77777777" w:rsidR="00364ADD" w:rsidRDefault="00364ADD" w:rsidP="00533FD2">
      <w:pPr>
        <w:pStyle w:val="NoSpacing"/>
      </w:pPr>
    </w:p>
    <w:p w14:paraId="3D7C721F" w14:textId="77777777" w:rsidR="00EF5743" w:rsidRDefault="00EF5743" w:rsidP="00EF5743">
      <w:pPr>
        <w:pStyle w:val="Heading2"/>
        <w:numPr>
          <w:ilvl w:val="0"/>
          <w:numId w:val="5"/>
        </w:numPr>
      </w:pPr>
      <w:bookmarkStart w:id="41" w:name="_Toc521073875"/>
      <w:r>
        <w:lastRenderedPageBreak/>
        <w:t>Policy background</w:t>
      </w:r>
      <w:bookmarkEnd w:id="41"/>
      <w:r>
        <w:t xml:space="preserve"> </w:t>
      </w:r>
    </w:p>
    <w:p w14:paraId="593CAA02" w14:textId="77777777" w:rsidR="00A0187E" w:rsidRDefault="00A0187E" w:rsidP="008665E5">
      <w:pPr>
        <w:pStyle w:val="Heading3"/>
      </w:pPr>
      <w:bookmarkStart w:id="42" w:name="_Toc521073876"/>
      <w:r>
        <w:t>Consumer Rights Act 2015</w:t>
      </w:r>
      <w:bookmarkEnd w:id="42"/>
    </w:p>
    <w:p w14:paraId="402C23FA" w14:textId="3C152F9E" w:rsidR="00CF7FBD" w:rsidRDefault="00CF7FBD" w:rsidP="00CF7FBD">
      <w:pPr>
        <w:numPr>
          <w:ilvl w:val="0"/>
          <w:numId w:val="4"/>
        </w:numPr>
        <w:spacing w:after="200" w:line="20" w:lineRule="atLeast"/>
      </w:pPr>
      <w:r w:rsidRPr="00CF7FBD">
        <w:t>The Consumer Rights Act provides essential contractual rights and remedies for consumers when they transact with businesses. It covers the sale of goods, services and digital content. It implements</w:t>
      </w:r>
      <w:r w:rsidR="00FA1321">
        <w:t xml:space="preserve"> aspects of</w:t>
      </w:r>
      <w:r w:rsidRPr="00CF7FBD">
        <w:t xml:space="preserve"> </w:t>
      </w:r>
      <w:r>
        <w:t xml:space="preserve">two European Directives, including </w:t>
      </w:r>
      <w:r w:rsidRPr="00CF7FBD">
        <w:t>part</w:t>
      </w:r>
      <w:r>
        <w:t xml:space="preserve"> of</w:t>
      </w:r>
      <w:r w:rsidRPr="00CF7FBD">
        <w:t xml:space="preserve"> the Sale of Consumer Goods and Associated Guarantees Directive</w:t>
      </w:r>
      <w:r>
        <w:t xml:space="preserve"> and </w:t>
      </w:r>
      <w:r w:rsidRPr="00CF7FBD">
        <w:t>the Unfair Terms in Consumer Contracts</w:t>
      </w:r>
      <w:r>
        <w:t xml:space="preserve"> Directive</w:t>
      </w:r>
      <w:r w:rsidRPr="00CF7FBD">
        <w:t xml:space="preserve">. </w:t>
      </w:r>
      <w:r>
        <w:t>Finally, it</w:t>
      </w:r>
      <w:r w:rsidRPr="00CF7FBD">
        <w:t xml:space="preserve"> contains some purely UK</w:t>
      </w:r>
      <w:r w:rsidR="0022320F">
        <w:t>-related</w:t>
      </w:r>
      <w:r w:rsidRPr="00CF7FBD">
        <w:t xml:space="preserve"> aspects of consumer protection such as those on sales of digital content and secondary ticketing.</w:t>
      </w:r>
    </w:p>
    <w:p w14:paraId="46E3E20C" w14:textId="77777777" w:rsidR="00A0187E" w:rsidRDefault="00A0187E" w:rsidP="008665E5">
      <w:pPr>
        <w:pStyle w:val="Heading3"/>
      </w:pPr>
      <w:bookmarkStart w:id="43" w:name="_Toc521073877"/>
      <w:r>
        <w:t>Crystal Glass (Descriptions) Regulation 1973</w:t>
      </w:r>
      <w:bookmarkEnd w:id="43"/>
    </w:p>
    <w:p w14:paraId="32667F69" w14:textId="77777777" w:rsidR="000E6647" w:rsidRDefault="000E6647" w:rsidP="000E6647">
      <w:pPr>
        <w:numPr>
          <w:ilvl w:val="0"/>
          <w:numId w:val="4"/>
        </w:numPr>
        <w:spacing w:after="200" w:line="20" w:lineRule="atLeast"/>
      </w:pPr>
      <w:r>
        <w:t>The Crystal Glass Regulations 1973 implement a Directive setting out special descriptions that can be applied to crystal glass products and the necessary composition of such products classed as crystal glass.</w:t>
      </w:r>
    </w:p>
    <w:p w14:paraId="2F63B915" w14:textId="3D2F260D" w:rsidR="00A0187E" w:rsidRDefault="000E6647" w:rsidP="000E6647">
      <w:pPr>
        <w:numPr>
          <w:ilvl w:val="0"/>
          <w:numId w:val="4"/>
        </w:numPr>
        <w:spacing w:after="200" w:line="20" w:lineRule="atLeast"/>
      </w:pPr>
      <w:r>
        <w:t xml:space="preserve">The Regulations prevent misleading or false descriptions being applied to crystal glassware supplied or offered for sale in the UK. These Regulations ensure that consumers can be confident the descriptors applied to crystal glass are accurate. </w:t>
      </w:r>
    </w:p>
    <w:p w14:paraId="1FC0227D" w14:textId="77777777" w:rsidR="00A0187E" w:rsidRDefault="00A0187E" w:rsidP="008665E5">
      <w:pPr>
        <w:pStyle w:val="Heading3"/>
      </w:pPr>
      <w:bookmarkStart w:id="44" w:name="_Toc521073878"/>
      <w:r>
        <w:t>Footwear (Indication of Composition) Labelling Regulations 1995</w:t>
      </w:r>
      <w:bookmarkEnd w:id="44"/>
      <w:r>
        <w:t xml:space="preserve"> </w:t>
      </w:r>
    </w:p>
    <w:p w14:paraId="5850B4A5" w14:textId="043FDA0B" w:rsidR="00325A7C" w:rsidRDefault="00325A7C" w:rsidP="00FA16C6">
      <w:pPr>
        <w:numPr>
          <w:ilvl w:val="0"/>
          <w:numId w:val="4"/>
        </w:numPr>
        <w:spacing w:after="200" w:line="20" w:lineRule="atLeast"/>
      </w:pPr>
      <w:r>
        <w:t xml:space="preserve">The Footwear (Indication of Composition) Labelling Regulations 1995 </w:t>
      </w:r>
      <w:r w:rsidR="00F35623">
        <w:t xml:space="preserve">(“the 1995 Footwear Labelling Regulations”) </w:t>
      </w:r>
      <w:r>
        <w:t>implement the EU Footwear Directive, which mandates a common labelling system for footwear applying across the</w:t>
      </w:r>
      <w:r w:rsidR="00237899">
        <w:t xml:space="preserve"> European Economic Area</w:t>
      </w:r>
      <w:r>
        <w:t xml:space="preserve"> </w:t>
      </w:r>
      <w:r w:rsidR="00237899">
        <w:t>(</w:t>
      </w:r>
      <w:r>
        <w:t>EEA</w:t>
      </w:r>
      <w:r w:rsidR="00237899">
        <w:t>)</w:t>
      </w:r>
      <w:r>
        <w:t xml:space="preserve">. Its purpose is to inform consumers as to the materials used in the main components of footwear and provides symbols to indicate these </w:t>
      </w:r>
      <w:r w:rsidR="00BD7989">
        <w:t>m</w:t>
      </w:r>
      <w:r>
        <w:t xml:space="preserve">aterials. </w:t>
      </w:r>
      <w:r w:rsidR="00FA16C6" w:rsidRPr="00FA16C6">
        <w:t>It defines the main components of footwear as the ‘upper’, the ‘lining and sock’</w:t>
      </w:r>
      <w:r w:rsidR="002A4D3D">
        <w:t>,</w:t>
      </w:r>
      <w:r w:rsidR="00FA16C6" w:rsidRPr="00FA16C6">
        <w:t xml:space="preserve"> and the ‘outer sole’. It lists the types of materials that footwear may be described as</w:t>
      </w:r>
      <w:r w:rsidR="00814A1C">
        <w:t xml:space="preserve"> </w:t>
      </w:r>
      <w:r w:rsidR="00FA16C6" w:rsidRPr="00FA16C6">
        <w:t>composed of</w:t>
      </w:r>
      <w:r w:rsidR="001220AD">
        <w:t xml:space="preserve"> as</w:t>
      </w:r>
      <w:r w:rsidR="00FA16C6" w:rsidRPr="00FA16C6">
        <w:t xml:space="preserve"> ‘leather’, ‘coated leather’, ‘natural textile materials and synthetic or non-woven textile materials’</w:t>
      </w:r>
      <w:r w:rsidR="001220AD">
        <w:t>,</w:t>
      </w:r>
      <w:r w:rsidR="00FA16C6" w:rsidRPr="00FA16C6">
        <w:t xml:space="preserve"> and ‘all other </w:t>
      </w:r>
      <w:proofErr w:type="gramStart"/>
      <w:r w:rsidR="00FA16C6" w:rsidRPr="00FA16C6">
        <w:t>materials’</w:t>
      </w:r>
      <w:proofErr w:type="gramEnd"/>
      <w:r w:rsidR="00FA16C6">
        <w:t xml:space="preserve">. </w:t>
      </w:r>
      <w:r>
        <w:t xml:space="preserve">The Footwear Directive also sets out categories of footwear which are exempt from these requirements. </w:t>
      </w:r>
    </w:p>
    <w:p w14:paraId="28F7D04E" w14:textId="3E02CAB6" w:rsidR="00A0187E" w:rsidRDefault="00325A7C" w:rsidP="00325A7C">
      <w:pPr>
        <w:numPr>
          <w:ilvl w:val="0"/>
          <w:numId w:val="4"/>
        </w:numPr>
        <w:spacing w:after="200" w:line="20" w:lineRule="atLeast"/>
      </w:pPr>
      <w:r>
        <w:t>The</w:t>
      </w:r>
      <w:r w:rsidR="00F35623">
        <w:t xml:space="preserve"> 1995 Footwear Labelling R</w:t>
      </w:r>
      <w:r>
        <w:t xml:space="preserve">egulations also impose different legal obligations on the ‘responsible person’ (who is the manufacturer/their agent established in the </w:t>
      </w:r>
      <w:r w:rsidR="00BF26A4">
        <w:t>C</w:t>
      </w:r>
      <w:r>
        <w:t xml:space="preserve">ommunity, or the person who first makes the footwear available on the </w:t>
      </w:r>
      <w:r w:rsidR="00BF26A4">
        <w:t>C</w:t>
      </w:r>
      <w:r>
        <w:t>ommunity market) and the ‘retailer’. It also contains definitions of protective footwear and the marketing of dangerous substances which cross reference to EU Directives.</w:t>
      </w:r>
    </w:p>
    <w:p w14:paraId="45FF1155" w14:textId="77777777" w:rsidR="00A0187E" w:rsidRDefault="00A0187E" w:rsidP="008665E5">
      <w:pPr>
        <w:pStyle w:val="Heading3"/>
      </w:pPr>
      <w:bookmarkStart w:id="45" w:name="_Toc521073879"/>
      <w:r>
        <w:t>Consumer Protection from Unfair Trading Regulations 2008</w:t>
      </w:r>
      <w:bookmarkEnd w:id="45"/>
      <w:r>
        <w:t xml:space="preserve"> </w:t>
      </w:r>
    </w:p>
    <w:p w14:paraId="2A85EE8E" w14:textId="341C95E9" w:rsidR="00A0187E" w:rsidRDefault="000E6647" w:rsidP="000E6647">
      <w:pPr>
        <w:numPr>
          <w:ilvl w:val="0"/>
          <w:numId w:val="4"/>
        </w:numPr>
        <w:spacing w:after="200" w:line="20" w:lineRule="atLeast"/>
      </w:pPr>
      <w:r w:rsidRPr="000E6647">
        <w:t>These Regulations implement the Unfair Commercial Practices Directive. The Regulations prohibit businesses from aggressive practices</w:t>
      </w:r>
      <w:r w:rsidR="006A7235">
        <w:t xml:space="preserve"> (</w:t>
      </w:r>
      <w:r w:rsidR="00850ABB">
        <w:t xml:space="preserve">following </w:t>
      </w:r>
      <w:r w:rsidR="00BC5400">
        <w:t>an amendment in 2014)</w:t>
      </w:r>
      <w:r w:rsidRPr="000E6647">
        <w:t xml:space="preserve">, giving misleading information or burying important information, such as delivery charges, that an average consumer needs before making an informed purchasing decision. It requires that any extra charges the consumer </w:t>
      </w:r>
      <w:r w:rsidR="000D2B0C">
        <w:t xml:space="preserve">is liable to </w:t>
      </w:r>
      <w:r w:rsidRPr="000E6647">
        <w:t>pay be upfront and transparent.</w:t>
      </w:r>
    </w:p>
    <w:p w14:paraId="6F1D82E4" w14:textId="1BE40E50" w:rsidR="00A0187E" w:rsidRDefault="00A0187E" w:rsidP="008665E5">
      <w:pPr>
        <w:pStyle w:val="Heading3"/>
      </w:pPr>
      <w:bookmarkStart w:id="46" w:name="_Toc521073880"/>
      <w:r>
        <w:t>Consumer</w:t>
      </w:r>
      <w:r w:rsidR="00BE4FF6" w:rsidRPr="00BE4FF6">
        <w:t xml:space="preserve"> Rights (Payment Surcharges) Regulations 2012</w:t>
      </w:r>
      <w:bookmarkEnd w:id="46"/>
      <w:r>
        <w:t xml:space="preserve"> </w:t>
      </w:r>
    </w:p>
    <w:p w14:paraId="5A3365B4" w14:textId="349C8F15" w:rsidR="00A0187E" w:rsidRDefault="000E6647" w:rsidP="00AB4818">
      <w:pPr>
        <w:numPr>
          <w:ilvl w:val="0"/>
          <w:numId w:val="4"/>
        </w:numPr>
        <w:spacing w:after="200" w:line="20" w:lineRule="atLeast"/>
      </w:pPr>
      <w:r w:rsidRPr="000E6647">
        <w:t>These Regulations implement part of the Consumer Rights Directive and prohibit traders from charging consumers more than the direct cost borne by the trader for the use of a given means of payment such as a credit card.</w:t>
      </w:r>
      <w:r w:rsidR="00AB4818">
        <w:t xml:space="preserve"> </w:t>
      </w:r>
      <w:r w:rsidR="00AB4818" w:rsidRPr="00AB4818">
        <w:t>They have been augmented in January 2018 to prohibit additional charges to consumer</w:t>
      </w:r>
      <w:r w:rsidR="00482557">
        <w:t>s</w:t>
      </w:r>
      <w:r w:rsidR="00AB4818" w:rsidRPr="00AB4818">
        <w:t xml:space="preserve"> for the use of specific payment mechanisms.</w:t>
      </w:r>
    </w:p>
    <w:p w14:paraId="4B3285F3" w14:textId="77777777" w:rsidR="00BE4FF6" w:rsidRDefault="00BE4FF6" w:rsidP="008665E5">
      <w:pPr>
        <w:pStyle w:val="Heading3"/>
      </w:pPr>
      <w:bookmarkStart w:id="47" w:name="_Toc521073881"/>
      <w:r>
        <w:lastRenderedPageBreak/>
        <w:t>Consumer Contracts (Information, Cancellation and Additional Charges) Regulations 2013</w:t>
      </w:r>
      <w:bookmarkEnd w:id="47"/>
      <w:r>
        <w:t xml:space="preserve"> </w:t>
      </w:r>
    </w:p>
    <w:p w14:paraId="687AD461" w14:textId="4548B5BE" w:rsidR="00BE4FF6" w:rsidRDefault="000E6647" w:rsidP="00FC57CA">
      <w:pPr>
        <w:numPr>
          <w:ilvl w:val="0"/>
          <w:numId w:val="4"/>
        </w:numPr>
        <w:spacing w:after="200" w:line="20" w:lineRule="atLeast"/>
      </w:pPr>
      <w:r w:rsidRPr="000E6647">
        <w:t>These Regulations implement part of the Consumer Rights Directive and regulate pre-contractual information for in-store, distance, and off-premises contracts for goods and services</w:t>
      </w:r>
      <w:r w:rsidR="00FC57CA" w:rsidRPr="00FC57CA">
        <w:t>, setting out what information must be provided and when</w:t>
      </w:r>
      <w:r w:rsidRPr="000E6647">
        <w:t xml:space="preserve">. It also provides rules governing delivery for distance sale including a right to reject within 14 days of a contract being </w:t>
      </w:r>
      <w:proofErr w:type="gramStart"/>
      <w:r w:rsidRPr="000E6647">
        <w:t>entered into</w:t>
      </w:r>
      <w:proofErr w:type="gramEnd"/>
      <w:r w:rsidRPr="000E6647">
        <w:t>.</w:t>
      </w:r>
      <w:r w:rsidR="00BE4FF6">
        <w:tab/>
      </w:r>
    </w:p>
    <w:p w14:paraId="03634696" w14:textId="5A185072" w:rsidR="00A0187E" w:rsidRDefault="00A0187E" w:rsidP="008665E5">
      <w:pPr>
        <w:pStyle w:val="Heading3"/>
      </w:pPr>
      <w:bookmarkStart w:id="48" w:name="_Toc521073882"/>
      <w:r>
        <w:t xml:space="preserve">Alternative Dispute Resolution for Consumer Disputes (Competent Authorities and Information) Regulations 2015 </w:t>
      </w:r>
      <w:r w:rsidR="00881824">
        <w:t xml:space="preserve">and </w:t>
      </w:r>
      <w:r>
        <w:t>Online Dispute Resolution Regulation (EU) 524/2013</w:t>
      </w:r>
      <w:bookmarkEnd w:id="48"/>
    </w:p>
    <w:p w14:paraId="0288AE92" w14:textId="69F20729" w:rsidR="004A07DB" w:rsidRDefault="004A07DB" w:rsidP="004A07DB">
      <w:pPr>
        <w:numPr>
          <w:ilvl w:val="0"/>
          <w:numId w:val="4"/>
        </w:numPr>
        <w:spacing w:after="200" w:line="20" w:lineRule="atLeast"/>
      </w:pPr>
      <w:r>
        <w:t>Alternative Dispute Resolution (ADR) offers a simple, low cost and faster means of settling a dispute between a consumer and business</w:t>
      </w:r>
      <w:r w:rsidR="00034F46">
        <w:t>,</w:t>
      </w:r>
      <w:r>
        <w:t xml:space="preserve"> more quickly and cheaply than using the courts. There are different forms of ADR including mediators, arbitrators and Ombudsmen.</w:t>
      </w:r>
    </w:p>
    <w:p w14:paraId="5046BD70" w14:textId="0971185F" w:rsidR="004A07DB" w:rsidRDefault="004A07DB" w:rsidP="001C549D">
      <w:pPr>
        <w:numPr>
          <w:ilvl w:val="0"/>
          <w:numId w:val="4"/>
        </w:numPr>
        <w:spacing w:after="200" w:line="20" w:lineRule="atLeast"/>
      </w:pPr>
      <w:r>
        <w:t xml:space="preserve">The Alternative Dispute Resolution for Consumer Disputes (Competent Authorities and Information) Regulations 2015 (“the 2015 ADR Regulations”) designate the “competent authorities” who are responsible for the certification of ADR providers. The 2015 </w:t>
      </w:r>
      <w:r w:rsidR="002C1D71">
        <w:t xml:space="preserve">ADR </w:t>
      </w:r>
      <w:r>
        <w:t>Regulations provide that all traders</w:t>
      </w:r>
      <w:r w:rsidR="002C1D71">
        <w:t xml:space="preserve"> – those </w:t>
      </w:r>
      <w:r>
        <w:t>that are obliged to use alternative dispute resolutions services and those that are not</w:t>
      </w:r>
      <w:r w:rsidR="002C1D71">
        <w:t xml:space="preserve"> – must </w:t>
      </w:r>
      <w:r>
        <w:t xml:space="preserve">signpost consumers to certified ADR providers and inform the consumer whether they intend to use them or not. Implementing the regulations transposes all these requirements into UK law. </w:t>
      </w:r>
    </w:p>
    <w:p w14:paraId="44DE4F0C" w14:textId="3362819B" w:rsidR="004A07DB" w:rsidRDefault="004A07DB" w:rsidP="004A07DB">
      <w:pPr>
        <w:numPr>
          <w:ilvl w:val="0"/>
          <w:numId w:val="4"/>
        </w:numPr>
        <w:spacing w:after="200" w:line="20" w:lineRule="atLeast"/>
      </w:pPr>
      <w:r>
        <w:t xml:space="preserve">The UK has a ‘mixed economy’ on ADR. In </w:t>
      </w:r>
      <w:r w:rsidR="00E52237">
        <w:t>several</w:t>
      </w:r>
      <w:r>
        <w:t xml:space="preserve"> (usually regulated) sectors, e.g. financial services and energy, businesses are required to participate in ADR schemes and to pay for them. In all other sectors, businesses can choose to participate but are not legally obliged to do so.</w:t>
      </w:r>
    </w:p>
    <w:p w14:paraId="1F8B65A4" w14:textId="52C0ADFB" w:rsidR="004A07DB" w:rsidRDefault="004A07DB" w:rsidP="004A07DB">
      <w:pPr>
        <w:numPr>
          <w:ilvl w:val="0"/>
          <w:numId w:val="4"/>
        </w:numPr>
        <w:spacing w:after="200" w:line="20" w:lineRule="atLeast"/>
      </w:pPr>
      <w:r>
        <w:t>The Regulations for the complementary Online Dispute Resolution (ODR) platform set out how traders and ADR providers must interact with the</w:t>
      </w:r>
      <w:r w:rsidR="00600EE2">
        <w:t xml:space="preserve"> European</w:t>
      </w:r>
      <w:r>
        <w:t xml:space="preserve"> Commission-owned </w:t>
      </w:r>
      <w:r w:rsidR="00735FBA">
        <w:t>‘</w:t>
      </w:r>
      <w:r>
        <w:t>ODR platform</w:t>
      </w:r>
      <w:r w:rsidR="00735FBA">
        <w:t>’</w:t>
      </w:r>
      <w:r>
        <w:t>, which was established by a domestic implementing regulation</w:t>
      </w:r>
      <w:r w:rsidR="00AA4F4A">
        <w:rPr>
          <w:rStyle w:val="FootnoteReference"/>
        </w:rPr>
        <w:footnoteReference w:id="2"/>
      </w:r>
      <w:r>
        <w:t>. The ODR platform is an online case management tool that allows consumers across the EU to make a complaint against a trader where goods or services have been bought online. This is then transmitted to an ADR provider who can conduct the dispute resolution procedure, if the trader agrees to use ADR.</w:t>
      </w:r>
    </w:p>
    <w:p w14:paraId="1B5FD3FE" w14:textId="655950AF" w:rsidR="004A07DB" w:rsidRDefault="004A07DB" w:rsidP="00AA4F4A">
      <w:pPr>
        <w:numPr>
          <w:ilvl w:val="0"/>
          <w:numId w:val="4"/>
        </w:numPr>
        <w:spacing w:after="200" w:line="20" w:lineRule="atLeast"/>
      </w:pPr>
      <w:r>
        <w:t xml:space="preserve">The Regulation requires all online traders who sell goods or services to consumers to provide </w:t>
      </w:r>
      <w:r w:rsidR="00041648">
        <w:t>them</w:t>
      </w:r>
      <w:r>
        <w:t xml:space="preserve"> with a link on their website to the ODR platform and an email address on their website so that consumers have a first point of contact. The Regulation does not itself require any trader to participate in an ADR scheme.</w:t>
      </w:r>
    </w:p>
    <w:p w14:paraId="7E907A14" w14:textId="77777777" w:rsidR="00B46471" w:rsidRPr="00F14583" w:rsidRDefault="00B46471" w:rsidP="00533FD2">
      <w:pPr>
        <w:pStyle w:val="NoSpacing"/>
      </w:pPr>
    </w:p>
    <w:p w14:paraId="05B9037B" w14:textId="424C575C" w:rsidR="00006BC5" w:rsidRPr="007F1D96" w:rsidRDefault="005C429A" w:rsidP="000839A0">
      <w:pPr>
        <w:pStyle w:val="Heading2"/>
        <w:numPr>
          <w:ilvl w:val="0"/>
          <w:numId w:val="5"/>
        </w:numPr>
        <w:spacing w:line="20" w:lineRule="atLeast"/>
        <w:rPr>
          <w:rFonts w:eastAsia="SimSun"/>
          <w:lang w:eastAsia="zh-CN"/>
        </w:rPr>
      </w:pPr>
      <w:bookmarkStart w:id="49" w:name="_Toc521073883"/>
      <w:r>
        <w:rPr>
          <w:rFonts w:eastAsia="SimSun"/>
          <w:lang w:eastAsia="zh-CN"/>
        </w:rPr>
        <w:t xml:space="preserve">Policy </w:t>
      </w:r>
      <w:r w:rsidR="004B0668">
        <w:rPr>
          <w:rFonts w:eastAsia="SimSun"/>
          <w:lang w:eastAsia="zh-CN"/>
        </w:rPr>
        <w:t>options</w:t>
      </w:r>
      <w:bookmarkEnd w:id="49"/>
      <w:r w:rsidR="00006BC5" w:rsidRPr="007F1D96">
        <w:rPr>
          <w:rFonts w:eastAsia="SimSun"/>
          <w:lang w:eastAsia="zh-CN"/>
        </w:rPr>
        <w:t xml:space="preserve"> </w:t>
      </w:r>
    </w:p>
    <w:p w14:paraId="35C0CEF1" w14:textId="67D1B439" w:rsidR="00F45460" w:rsidRDefault="00F45460" w:rsidP="00F45460">
      <w:pPr>
        <w:pStyle w:val="Heading3"/>
      </w:pPr>
      <w:bookmarkStart w:id="50" w:name="7.7"/>
      <w:bookmarkStart w:id="51" w:name="7.7a"/>
      <w:bookmarkStart w:id="52" w:name="7.10"/>
      <w:bookmarkStart w:id="53" w:name="7.11"/>
      <w:bookmarkStart w:id="54" w:name="7.12"/>
      <w:bookmarkStart w:id="55" w:name="_Toc521073884"/>
      <w:bookmarkEnd w:id="50"/>
      <w:bookmarkEnd w:id="51"/>
      <w:bookmarkEnd w:id="52"/>
      <w:bookmarkEnd w:id="53"/>
      <w:bookmarkEnd w:id="54"/>
      <w:r>
        <w:t>Option 0</w:t>
      </w:r>
      <w:r w:rsidR="00A379A5">
        <w:t>.1 and 0.2</w:t>
      </w:r>
      <w:r>
        <w:t xml:space="preserve">: </w:t>
      </w:r>
      <w:r w:rsidR="0084296B">
        <w:t>Status quo and d</w:t>
      </w:r>
      <w:r>
        <w:t>o nothing</w:t>
      </w:r>
      <w:bookmarkEnd w:id="55"/>
    </w:p>
    <w:p w14:paraId="79233A23" w14:textId="033AA9B0" w:rsidR="00DC1788" w:rsidRDefault="00DC1788" w:rsidP="002250E1">
      <w:pPr>
        <w:pStyle w:val="Heading4"/>
      </w:pPr>
      <w:r>
        <w:t xml:space="preserve">Option 0.1 – </w:t>
      </w:r>
      <w:r w:rsidR="00D86A56">
        <w:t>The s</w:t>
      </w:r>
      <w:r>
        <w:t xml:space="preserve">tatus </w:t>
      </w:r>
      <w:r w:rsidR="00D86A56">
        <w:t>q</w:t>
      </w:r>
      <w:r>
        <w:t>uo</w:t>
      </w:r>
      <w:r w:rsidR="00F26EB4">
        <w:t xml:space="preserve"> (current arrangements)</w:t>
      </w:r>
    </w:p>
    <w:p w14:paraId="391F47E6" w14:textId="7862B611" w:rsidR="00F53623" w:rsidRDefault="00845DE5" w:rsidP="00F53623">
      <w:pPr>
        <w:numPr>
          <w:ilvl w:val="0"/>
          <w:numId w:val="4"/>
        </w:numPr>
        <w:spacing w:after="200" w:line="20" w:lineRule="atLeast"/>
      </w:pPr>
      <w:r>
        <w:t>Under the status quo</w:t>
      </w:r>
      <w:r w:rsidR="00F26EB4">
        <w:t xml:space="preserve">, the UK applies the </w:t>
      </w:r>
      <w:r w:rsidR="00BD427B">
        <w:t>regulations listed in paragraph 5</w:t>
      </w:r>
      <w:r w:rsidR="00BD427B" w:rsidRPr="00C369CA">
        <w:t xml:space="preserve"> on a reciprocal basis</w:t>
      </w:r>
      <w:r w:rsidR="00C369CA" w:rsidRPr="00C369CA">
        <w:t xml:space="preserve"> with the EEA</w:t>
      </w:r>
      <w:r w:rsidR="00796A34">
        <w:t xml:space="preserve">. The </w:t>
      </w:r>
      <w:r w:rsidR="006724DA">
        <w:t xml:space="preserve">baseline against which </w:t>
      </w:r>
      <w:r w:rsidR="00F911F0">
        <w:t xml:space="preserve">the </w:t>
      </w:r>
      <w:r w:rsidR="00796A34">
        <w:t>impacts</w:t>
      </w:r>
      <w:r w:rsidR="006724DA">
        <w:t xml:space="preserve"> </w:t>
      </w:r>
      <w:r w:rsidR="00796A34">
        <w:t xml:space="preserve">of this statutory instrument </w:t>
      </w:r>
      <w:r w:rsidR="00796A34">
        <w:lastRenderedPageBreak/>
        <w:t>are</w:t>
      </w:r>
      <w:r w:rsidR="000D277F">
        <w:t xml:space="preserve"> estimated is the current UK status a</w:t>
      </w:r>
      <w:r w:rsidR="00462AA0">
        <w:t>c</w:t>
      </w:r>
      <w:r w:rsidR="000D277F">
        <w:t>quis as expected before March 201</w:t>
      </w:r>
      <w:r w:rsidR="0077075A">
        <w:t>9.</w:t>
      </w:r>
      <w:r w:rsidR="00796A34">
        <w:t xml:space="preserve"> </w:t>
      </w:r>
      <w:r w:rsidR="0077075A">
        <w:t xml:space="preserve">In other words, the costs to businesses in this impact assessment are </w:t>
      </w:r>
      <w:r w:rsidR="00796A34">
        <w:t xml:space="preserve">calculated against </w:t>
      </w:r>
      <w:r w:rsidR="00BC0C52">
        <w:t>option 0.1 (</w:t>
      </w:r>
      <w:r w:rsidR="00796A34">
        <w:t>the status quo</w:t>
      </w:r>
      <w:r w:rsidR="00BC0C52">
        <w:t>)</w:t>
      </w:r>
      <w:r w:rsidR="00796A34">
        <w:t xml:space="preserve"> rather than</w:t>
      </w:r>
      <w:r w:rsidR="00BC0C52">
        <w:t xml:space="preserve"> against</w:t>
      </w:r>
      <w:r w:rsidR="00796A34">
        <w:t xml:space="preserve"> option 0.2</w:t>
      </w:r>
      <w:r w:rsidR="00BC0C52">
        <w:t xml:space="preserve"> (do nothing)</w:t>
      </w:r>
      <w:r w:rsidR="00F824E1">
        <w:t xml:space="preserve"> below.</w:t>
      </w:r>
    </w:p>
    <w:p w14:paraId="2E1D030B" w14:textId="151A4F96" w:rsidR="002250E1" w:rsidRDefault="002250E1" w:rsidP="002250E1">
      <w:pPr>
        <w:pStyle w:val="Heading4"/>
      </w:pPr>
      <w:r>
        <w:t>Option 0.2 – Do nothing</w:t>
      </w:r>
    </w:p>
    <w:p w14:paraId="01F28A14" w14:textId="5BF945E0" w:rsidR="00EC513B" w:rsidRDefault="00EC513B" w:rsidP="00EC513B">
      <w:pPr>
        <w:numPr>
          <w:ilvl w:val="0"/>
          <w:numId w:val="4"/>
        </w:numPr>
        <w:spacing w:after="200"/>
        <w:rPr>
          <w:lang w:eastAsia="en-GB"/>
        </w:rPr>
      </w:pPr>
      <w:r>
        <w:t xml:space="preserve">The seven regulations mentioned in paragraph 5 would remain in place but the UK’s exit from the EU on 29 March 2019 will render uncertain their legal status. Not proceeding with this legislation could lead to the retention, post EU Exit, of ineffective provisions causing confusion about consumers’ rights to redress when shopping in the UK. </w:t>
      </w:r>
      <w:r w:rsidR="00230CE3">
        <w:t>With an unclear or inoperable legal framework, i</w:t>
      </w:r>
      <w:r>
        <w:t>t could make it easier for rogue businesses to</w:t>
      </w:r>
      <w:r w:rsidR="00321C2A">
        <w:t xml:space="preserve"> target</w:t>
      </w:r>
      <w:r>
        <w:t xml:space="preserve"> consumers.</w:t>
      </w:r>
    </w:p>
    <w:p w14:paraId="7DA5B6E7" w14:textId="207DAD17" w:rsidR="00F45460" w:rsidRDefault="00EC513B" w:rsidP="00020280">
      <w:pPr>
        <w:numPr>
          <w:ilvl w:val="0"/>
          <w:numId w:val="4"/>
        </w:numPr>
        <w:spacing w:after="200"/>
      </w:pPr>
      <w:r>
        <w:t xml:space="preserve">Failing to proceed with this legislation could also result in the preservation of unilateral rights favouring EU citizens. </w:t>
      </w:r>
      <w:bookmarkStart w:id="56" w:name="_Hlk521068443"/>
      <w:r>
        <w:t>If cross-border rights enshrined in the transposed and direct-effect EU laws addressed through this SI are not revoked, EU27 consumers’ rights could be preserved when they purchase (post EU Exit) from UK-based traders without reciprocity for UK consumers when they purchase (post EU Exit) from EU-based traders</w:t>
      </w:r>
      <w:bookmarkEnd w:id="56"/>
      <w:r w:rsidR="00020280">
        <w:t xml:space="preserve">. </w:t>
      </w:r>
      <w:r w:rsidR="00020280" w:rsidRPr="00020280">
        <w:t xml:space="preserve">For example, consumers within the EU-27 </w:t>
      </w:r>
      <w:r w:rsidR="00020280">
        <w:t>M</w:t>
      </w:r>
      <w:r w:rsidR="00020280" w:rsidRPr="00020280">
        <w:t xml:space="preserve">ember </w:t>
      </w:r>
      <w:r w:rsidR="00020280">
        <w:t>S</w:t>
      </w:r>
      <w:r w:rsidR="00020280" w:rsidRPr="00020280">
        <w:t xml:space="preserve">tates could gain redress through UK ADR schemes, for disputes they have with UK businesses, regarding online purchases of goods and services. </w:t>
      </w:r>
      <w:r w:rsidR="00020280">
        <w:t>T</w:t>
      </w:r>
      <w:r w:rsidR="00020280" w:rsidRPr="00020280">
        <w:t>he service would</w:t>
      </w:r>
      <w:r w:rsidR="00020280">
        <w:t xml:space="preserve"> however</w:t>
      </w:r>
      <w:r w:rsidR="00020280" w:rsidRPr="00020280">
        <w:t xml:space="preserve"> not be reciprocated for UK consumers to gain redress (post EU Exit) from EU-based traders and therefore they would be at a disadvantage in gaining redress</w:t>
      </w:r>
      <w:r w:rsidR="00854558">
        <w:t>.</w:t>
      </w:r>
    </w:p>
    <w:p w14:paraId="5966C3D6" w14:textId="77777777" w:rsidR="00F45460" w:rsidRDefault="00F45460" w:rsidP="00F45460">
      <w:pPr>
        <w:pStyle w:val="Heading3"/>
      </w:pPr>
      <w:bookmarkStart w:id="57" w:name="_Toc521073885"/>
      <w:r>
        <w:t>Option 1: Take minimum action required to maintain an effective consumer protection regime after the UK exits the EU</w:t>
      </w:r>
      <w:bookmarkEnd w:id="57"/>
      <w:r>
        <w:t xml:space="preserve"> </w:t>
      </w:r>
    </w:p>
    <w:p w14:paraId="0DA95F50" w14:textId="4B0F399D" w:rsidR="00F45C80" w:rsidRDefault="0088752B" w:rsidP="00546543">
      <w:pPr>
        <w:numPr>
          <w:ilvl w:val="0"/>
          <w:numId w:val="4"/>
        </w:numPr>
        <w:spacing w:after="200" w:line="20" w:lineRule="atLeast"/>
      </w:pPr>
      <w:r>
        <w:t xml:space="preserve">Implement the Consumer Protection (Amendment) (EU Exit) Regulations into UK law by </w:t>
      </w:r>
      <w:r w:rsidR="00AC29AD">
        <w:t>29 March 2019</w:t>
      </w:r>
      <w:r>
        <w:t xml:space="preserve">. </w:t>
      </w:r>
      <w:r w:rsidR="00F45C80">
        <w:t xml:space="preserve">These Regulations </w:t>
      </w:r>
      <w:r w:rsidR="00F45C80" w:rsidRPr="00977E03">
        <w:t xml:space="preserve">contain amendments to </w:t>
      </w:r>
      <w:r w:rsidR="00684784">
        <w:t>seven</w:t>
      </w:r>
      <w:r w:rsidR="00F45C80" w:rsidRPr="00977E03">
        <w:t xml:space="preserve"> pieces of consumer protection legislation and revoke the EU Regulation on Online Dispute</w:t>
      </w:r>
      <w:r w:rsidR="00F45C80" w:rsidRPr="00DA2EC8">
        <w:t xml:space="preserve"> Resolution (ODR).</w:t>
      </w:r>
      <w:r w:rsidR="00F45C80">
        <w:t xml:space="preserve"> </w:t>
      </w:r>
      <w:r w:rsidR="00CA34AD">
        <w:t>They</w:t>
      </w:r>
      <w:r w:rsidR="00F45C80">
        <w:t xml:space="preserve"> also </w:t>
      </w:r>
      <w:r w:rsidR="00F45C80" w:rsidRPr="0017452C">
        <w:t xml:space="preserve">make consequential amendments to EU derived consumer protection legislation to omit or replace references to EU currency, specific bodies, organisations or </w:t>
      </w:r>
      <w:r w:rsidR="00F45C80">
        <w:t>M</w:t>
      </w:r>
      <w:r w:rsidR="00F45C80" w:rsidRPr="0017452C">
        <w:t xml:space="preserve">ember </w:t>
      </w:r>
      <w:r w:rsidR="00F45C80">
        <w:t>S</w:t>
      </w:r>
      <w:r w:rsidR="00F45C80" w:rsidRPr="0017452C">
        <w:t xml:space="preserve">tates, where the references are no longer relevant post </w:t>
      </w:r>
      <w:r w:rsidR="00F45C80">
        <w:t>EU E</w:t>
      </w:r>
      <w:r w:rsidR="00F45C80" w:rsidRPr="0017452C">
        <w:t xml:space="preserve">xit. </w:t>
      </w:r>
      <w:r w:rsidR="00AB331C">
        <w:t xml:space="preserve">This option would ensure that </w:t>
      </w:r>
      <w:r w:rsidR="00A01818">
        <w:t xml:space="preserve">the legal framework that protects the rights and interests of consumers is maintained and that consumers continue to benefit from </w:t>
      </w:r>
      <w:r w:rsidR="00891A64" w:rsidRPr="00891A64">
        <w:t xml:space="preserve">the same level of protection they </w:t>
      </w:r>
      <w:r w:rsidR="00891A64">
        <w:t>cu</w:t>
      </w:r>
      <w:r w:rsidR="00A01818">
        <w:t>rrently experience</w:t>
      </w:r>
      <w:r w:rsidR="00616820">
        <w:t xml:space="preserve"> when purchasing from UK businesses</w:t>
      </w:r>
      <w:r w:rsidR="00A01818">
        <w:t xml:space="preserve">. </w:t>
      </w:r>
    </w:p>
    <w:p w14:paraId="2AF2466C" w14:textId="419D0C58" w:rsidR="0088752B" w:rsidRDefault="0088752B" w:rsidP="00F45C80">
      <w:pPr>
        <w:numPr>
          <w:ilvl w:val="0"/>
          <w:numId w:val="4"/>
        </w:numPr>
        <w:spacing w:after="200" w:line="20" w:lineRule="atLeast"/>
      </w:pPr>
      <w:r>
        <w:t>A more detailed description of the changes</w:t>
      </w:r>
      <w:r w:rsidR="007A4A89">
        <w:t xml:space="preserve"> on each of the amended regulations is </w:t>
      </w:r>
      <w:r w:rsidR="007D7E88">
        <w:t>outlined</w:t>
      </w:r>
      <w:r w:rsidR="007A4A89">
        <w:t xml:space="preserve"> in paragraphs 3</w:t>
      </w:r>
      <w:r w:rsidR="00BD4EF7">
        <w:t>4</w:t>
      </w:r>
      <w:r w:rsidR="007A4A89">
        <w:t xml:space="preserve"> to 4</w:t>
      </w:r>
      <w:r w:rsidR="00BD4EF7">
        <w:t>6</w:t>
      </w:r>
      <w:r w:rsidR="007A4A89">
        <w:t xml:space="preserve"> below.</w:t>
      </w:r>
    </w:p>
    <w:p w14:paraId="7460D72A" w14:textId="0D6493E9" w:rsidR="00EB47F7" w:rsidRDefault="00EB47F7" w:rsidP="00EB47F7">
      <w:pPr>
        <w:numPr>
          <w:ilvl w:val="0"/>
          <w:numId w:val="4"/>
        </w:numPr>
        <w:spacing w:after="200"/>
        <w:rPr>
          <w:lang w:eastAsia="en-GB"/>
        </w:rPr>
      </w:pPr>
      <w:r>
        <w:t>Option 1 is our preferred option as it ensures that the existing consumer protection regime is maintained when UK consumers purchase from UK traders and accomplishes the Government’s objective of preserving the same protections that UK consumers currently have</w:t>
      </w:r>
      <w:r w:rsidR="00C06D60">
        <w:t xml:space="preserve"> when purchasin</w:t>
      </w:r>
      <w:r w:rsidR="001D214A">
        <w:t xml:space="preserve">g from </w:t>
      </w:r>
      <w:r w:rsidR="00C06D60">
        <w:t>UK businesses</w:t>
      </w:r>
      <w:r>
        <w:t>. This option forms the basis of this impact assessment.</w:t>
      </w:r>
    </w:p>
    <w:p w14:paraId="14DEDE3B" w14:textId="3DC7F840" w:rsidR="00134C95" w:rsidRPr="0076335C" w:rsidRDefault="0017452C" w:rsidP="00AB331C">
      <w:pPr>
        <w:pStyle w:val="Heading4"/>
      </w:pPr>
      <w:r w:rsidRPr="00977E03">
        <w:t>The Consumer Protection (Amendment) (EU Exit) Regulatio</w:t>
      </w:r>
      <w:r w:rsidR="004D26A9" w:rsidRPr="00977E03">
        <w:t xml:space="preserve">ns </w:t>
      </w:r>
      <w:r w:rsidR="00403B84" w:rsidRPr="00403B84">
        <w:t>Amendment of Parts 1 and 2 of the Consumer Rights Act 2015</w:t>
      </w:r>
      <w:r w:rsidR="00134C95" w:rsidRPr="0076335C">
        <w:t xml:space="preserve"> </w:t>
      </w:r>
    </w:p>
    <w:p w14:paraId="281018A4" w14:textId="25902DCA" w:rsidR="001C4DC9" w:rsidRPr="002F39DC" w:rsidRDefault="001C4DC9" w:rsidP="00F45C80">
      <w:pPr>
        <w:numPr>
          <w:ilvl w:val="0"/>
          <w:numId w:val="4"/>
        </w:numPr>
        <w:spacing w:after="200" w:line="20" w:lineRule="atLeast"/>
        <w:rPr>
          <w:rFonts w:cs="Arial"/>
        </w:rPr>
      </w:pPr>
      <w:r w:rsidRPr="001C4DC9">
        <w:rPr>
          <w:rFonts w:cs="Arial"/>
        </w:rPr>
        <w:t>Th</w:t>
      </w:r>
      <w:r>
        <w:rPr>
          <w:rFonts w:cs="Arial"/>
        </w:rPr>
        <w:t xml:space="preserve">e </w:t>
      </w:r>
      <w:r w:rsidRPr="001C4DC9">
        <w:rPr>
          <w:rFonts w:cs="Arial"/>
        </w:rPr>
        <w:t xml:space="preserve">Consumer Protection (Amendment) (EU Exit) Regulations </w:t>
      </w:r>
      <w:r>
        <w:rPr>
          <w:rFonts w:cs="Arial"/>
        </w:rPr>
        <w:t>ma</w:t>
      </w:r>
      <w:r w:rsidRPr="001C4DC9">
        <w:rPr>
          <w:rFonts w:cs="Arial"/>
        </w:rPr>
        <w:t xml:space="preserve">ke amendments to the </w:t>
      </w:r>
      <w:r>
        <w:rPr>
          <w:rFonts w:cs="Arial"/>
        </w:rPr>
        <w:t xml:space="preserve">Consumer Rights </w:t>
      </w:r>
      <w:r w:rsidRPr="001C4DC9">
        <w:rPr>
          <w:rFonts w:cs="Arial"/>
        </w:rPr>
        <w:t xml:space="preserve">Act </w:t>
      </w:r>
      <w:r>
        <w:rPr>
          <w:rFonts w:cs="Arial"/>
        </w:rPr>
        <w:t xml:space="preserve">2015 </w:t>
      </w:r>
      <w:r w:rsidRPr="001C4DC9">
        <w:rPr>
          <w:rFonts w:cs="Arial"/>
        </w:rPr>
        <w:t>to omit references to the EU and to replace other references to the “European Economic Area” with “United Kingdom”. This is to ensure that the legislation continues to operate effectively at the point the United Kingdom withdraws from the European Union. The instrument makes only minor changes described above and does not represent a policy change.</w:t>
      </w:r>
    </w:p>
    <w:p w14:paraId="161235D0" w14:textId="4F449544" w:rsidR="00403B84" w:rsidRDefault="00403B84" w:rsidP="00F45460">
      <w:pPr>
        <w:pStyle w:val="Heading4"/>
      </w:pPr>
      <w:r w:rsidRPr="00403B84">
        <w:lastRenderedPageBreak/>
        <w:t>Amendment of the Crystal Glass (Descriptions) Regulations 1973</w:t>
      </w:r>
    </w:p>
    <w:p w14:paraId="7A1D1510" w14:textId="4BA91C40" w:rsidR="00885307" w:rsidRPr="00F26622" w:rsidRDefault="002F39DC" w:rsidP="00F26622">
      <w:pPr>
        <w:numPr>
          <w:ilvl w:val="0"/>
          <w:numId w:val="4"/>
        </w:numPr>
        <w:spacing w:after="200" w:line="20" w:lineRule="atLeast"/>
      </w:pPr>
      <w:r w:rsidRPr="002F39DC">
        <w:rPr>
          <w:rFonts w:cs="Arial"/>
        </w:rPr>
        <w:t>Th</w:t>
      </w:r>
      <w:r w:rsidR="001C4DC9">
        <w:rPr>
          <w:rFonts w:cs="Arial"/>
        </w:rPr>
        <w:t xml:space="preserve">e </w:t>
      </w:r>
      <w:r w:rsidR="001C4DC9" w:rsidRPr="00E80FA5">
        <w:t>Consumer Protection (A</w:t>
      </w:r>
      <w:r w:rsidR="00885307">
        <w:t xml:space="preserve">mendment) (EU Exit) Regulations make two minor amendments to the </w:t>
      </w:r>
      <w:r w:rsidR="00885307" w:rsidRPr="002F39DC">
        <w:rPr>
          <w:rFonts w:cs="Arial"/>
        </w:rPr>
        <w:t xml:space="preserve">Crystal Glass (Descriptions) Regulations 1973 </w:t>
      </w:r>
      <w:r w:rsidR="00885307" w:rsidRPr="00885307">
        <w:t>to remove any specific requirements or references related to membership of the EU and other Member States.</w:t>
      </w:r>
      <w:r w:rsidR="00F26622">
        <w:t xml:space="preserve"> </w:t>
      </w:r>
      <w:r w:rsidR="00F26622" w:rsidRPr="00F26622">
        <w:t xml:space="preserve">This is necessary to ensure that the requirements and sanctions for the labelling of crystal glassware remain the same following the UK’s withdrawal from the EU. </w:t>
      </w:r>
      <w:r w:rsidR="00885307" w:rsidRPr="00F26622">
        <w:rPr>
          <w:rFonts w:cs="Arial"/>
        </w:rPr>
        <w:t>The instrument makes only the two minor changes described above and does not represent a policy change.</w:t>
      </w:r>
    </w:p>
    <w:p w14:paraId="68CD8AA0" w14:textId="64C512A4" w:rsidR="00403B84" w:rsidRDefault="00403B84" w:rsidP="00F45460">
      <w:pPr>
        <w:pStyle w:val="Heading4"/>
      </w:pPr>
      <w:r w:rsidRPr="00403B84">
        <w:t>Amendment of the Footwear (Indication of Composition) Labelling Regulations 1995</w:t>
      </w:r>
    </w:p>
    <w:p w14:paraId="4DF43704" w14:textId="6F4323ED" w:rsidR="00F510A9" w:rsidRPr="00F510A9" w:rsidRDefault="00FE2FCF" w:rsidP="00F45C80">
      <w:pPr>
        <w:numPr>
          <w:ilvl w:val="0"/>
          <w:numId w:val="4"/>
        </w:numPr>
        <w:spacing w:after="200" w:line="20" w:lineRule="atLeast"/>
        <w:rPr>
          <w:rFonts w:cs="Arial"/>
        </w:rPr>
      </w:pPr>
      <w:r w:rsidRPr="00F510A9">
        <w:rPr>
          <w:rFonts w:cs="Arial"/>
        </w:rPr>
        <w:t xml:space="preserve">The </w:t>
      </w:r>
      <w:r w:rsidRPr="00461A8C">
        <w:rPr>
          <w:rFonts w:cs="Arial"/>
        </w:rPr>
        <w:t xml:space="preserve">Consumer Protection (Amendment) (EU Exit) Regulations amends the Footwear (Indication of Composition) Labelling Regulations 1995 </w:t>
      </w:r>
      <w:r w:rsidR="00F510A9" w:rsidRPr="00F510A9">
        <w:rPr>
          <w:rFonts w:cs="Arial"/>
        </w:rPr>
        <w:t>to ensure footwear requirements continue to apply to footwear products on the UK market. This will ensure that the same rules and laws in relation to footwear composition labelling will apply on the day after</w:t>
      </w:r>
      <w:r w:rsidR="00832E07">
        <w:rPr>
          <w:rFonts w:cs="Arial"/>
        </w:rPr>
        <w:t xml:space="preserve"> EU E</w:t>
      </w:r>
      <w:r w:rsidR="00F510A9" w:rsidRPr="00F510A9">
        <w:rPr>
          <w:rFonts w:cs="Arial"/>
        </w:rPr>
        <w:t>xit as on the day before</w:t>
      </w:r>
      <w:r w:rsidR="00C57FE5">
        <w:rPr>
          <w:rFonts w:cs="Arial"/>
        </w:rPr>
        <w:t>, thereby providing</w:t>
      </w:r>
      <w:r w:rsidR="00F510A9" w:rsidRPr="00F510A9">
        <w:rPr>
          <w:rFonts w:cs="Arial"/>
        </w:rPr>
        <w:t xml:space="preserve"> maximum possible certainty to UK businesses and consumers.</w:t>
      </w:r>
    </w:p>
    <w:p w14:paraId="624E945B" w14:textId="25859FF3" w:rsidR="00252DA7" w:rsidRDefault="00252DA7" w:rsidP="00546543">
      <w:pPr>
        <w:numPr>
          <w:ilvl w:val="0"/>
          <w:numId w:val="4"/>
        </w:numPr>
        <w:spacing w:after="200"/>
        <w:rPr>
          <w:lang w:eastAsia="en-GB"/>
        </w:rPr>
      </w:pPr>
      <w:r>
        <w:t>If we did not amend the UK Regulations, the requirements set out would no longer apply in the UK</w:t>
      </w:r>
      <w:r w:rsidR="00546543">
        <w:t xml:space="preserve">. If UK businesses changed their model and approach, we would no longer be able to enforce the </w:t>
      </w:r>
      <w:proofErr w:type="gramStart"/>
      <w:r w:rsidR="00546543">
        <w:t>Regulations</w:t>
      </w:r>
      <w:proofErr w:type="gramEnd"/>
      <w:r w:rsidR="00546543">
        <w:t xml:space="preserve"> and this could result in a reduction in co</w:t>
      </w:r>
      <w:r>
        <w:t>nsumer</w:t>
      </w:r>
      <w:r w:rsidR="00546543">
        <w:t>’s</w:t>
      </w:r>
      <w:r>
        <w:t xml:space="preserve"> ability to make an informed choice based on understanding the material various footwear options are composed of and </w:t>
      </w:r>
      <w:r w:rsidR="00546543">
        <w:t xml:space="preserve">in </w:t>
      </w:r>
      <w:r>
        <w:t>business</w:t>
      </w:r>
      <w:r w:rsidR="00546543">
        <w:t xml:space="preserve"> uncertainty about </w:t>
      </w:r>
      <w:r>
        <w:t>the requirements regard</w:t>
      </w:r>
      <w:r w:rsidR="00546543">
        <w:t>ing</w:t>
      </w:r>
      <w:r>
        <w:t xml:space="preserve"> to footwear labelling.</w:t>
      </w:r>
    </w:p>
    <w:p w14:paraId="2EA42115" w14:textId="4FB69F4B" w:rsidR="00325A7C" w:rsidRPr="00BF2141" w:rsidRDefault="00325A7C" w:rsidP="0023131C">
      <w:pPr>
        <w:numPr>
          <w:ilvl w:val="0"/>
          <w:numId w:val="4"/>
        </w:numPr>
        <w:spacing w:after="200" w:line="20" w:lineRule="atLeast"/>
        <w:rPr>
          <w:rFonts w:cs="Arial"/>
        </w:rPr>
      </w:pPr>
      <w:r w:rsidRPr="00325A7C">
        <w:rPr>
          <w:rFonts w:cs="Arial"/>
        </w:rPr>
        <w:t xml:space="preserve">Our proposed changes </w:t>
      </w:r>
      <w:r w:rsidR="00040C8B">
        <w:rPr>
          <w:rFonts w:cs="Arial"/>
        </w:rPr>
        <w:t xml:space="preserve">under Option 1 </w:t>
      </w:r>
      <w:r w:rsidRPr="00325A7C">
        <w:rPr>
          <w:rFonts w:cs="Arial"/>
        </w:rPr>
        <w:t>will have an impact on some UK businesses</w:t>
      </w:r>
      <w:r w:rsidR="0023131C" w:rsidRPr="0023131C">
        <w:rPr>
          <w:rFonts w:cs="Arial"/>
        </w:rPr>
        <w:t>. Depending on the route to market of the products that some UK retailers sell, UK-based businesses may find themselves responsible for meeting the legal obligations of the ‘responsible person’ when the UK exits the EU.</w:t>
      </w:r>
      <w:r w:rsidR="004925F8">
        <w:rPr>
          <w:rFonts w:cs="Arial"/>
        </w:rPr>
        <w:t xml:space="preserve"> If that business is a retailer, it will </w:t>
      </w:r>
      <w:r w:rsidR="00D94CD0">
        <w:rPr>
          <w:rFonts w:cs="Arial"/>
        </w:rPr>
        <w:t>face these obligations</w:t>
      </w:r>
      <w:r w:rsidRPr="00325A7C">
        <w:rPr>
          <w:rFonts w:cs="Arial"/>
        </w:rPr>
        <w:t xml:space="preserve"> in addition to their </w:t>
      </w:r>
      <w:r w:rsidR="00D94CD0">
        <w:rPr>
          <w:rFonts w:cs="Arial"/>
        </w:rPr>
        <w:t xml:space="preserve">existing </w:t>
      </w:r>
      <w:r w:rsidRPr="00325A7C">
        <w:rPr>
          <w:rFonts w:cs="Arial"/>
        </w:rPr>
        <w:t>obligations as a ‘retailer’.</w:t>
      </w:r>
      <w:r w:rsidR="000B07E6">
        <w:rPr>
          <w:rFonts w:cs="Arial"/>
        </w:rPr>
        <w:t xml:space="preserve"> </w:t>
      </w:r>
      <w:r w:rsidR="000B07E6" w:rsidRPr="00A828B6">
        <w:rPr>
          <w:rFonts w:cs="Arial"/>
        </w:rPr>
        <w:t xml:space="preserve">Affected </w:t>
      </w:r>
      <w:r w:rsidR="00B23C78">
        <w:rPr>
          <w:rFonts w:cs="Arial"/>
        </w:rPr>
        <w:t>UK</w:t>
      </w:r>
      <w:r w:rsidR="00D94CD0">
        <w:rPr>
          <w:rFonts w:cs="Arial"/>
        </w:rPr>
        <w:t xml:space="preserve"> businesses</w:t>
      </w:r>
      <w:r w:rsidR="000B07E6" w:rsidRPr="00A828B6">
        <w:rPr>
          <w:rFonts w:cs="Arial"/>
        </w:rPr>
        <w:t xml:space="preserve"> will be those who</w:t>
      </w:r>
      <w:r w:rsidR="005D7A24">
        <w:rPr>
          <w:rFonts w:cs="Arial"/>
        </w:rPr>
        <w:t xml:space="preserve"> currently </w:t>
      </w:r>
      <w:r w:rsidR="0066698E">
        <w:rPr>
          <w:rFonts w:cs="Arial"/>
        </w:rPr>
        <w:t>sell</w:t>
      </w:r>
      <w:r w:rsidR="000B07E6" w:rsidRPr="00A828B6">
        <w:rPr>
          <w:rFonts w:cs="Arial"/>
        </w:rPr>
        <w:t xml:space="preserve"> footwear where </w:t>
      </w:r>
      <w:r w:rsidR="000B07E6" w:rsidRPr="000B07E6">
        <w:rPr>
          <w:rFonts w:cs="Arial"/>
        </w:rPr>
        <w:t>the manufacturer</w:t>
      </w:r>
      <w:r w:rsidR="00132AF0">
        <w:rPr>
          <w:rFonts w:cs="Arial"/>
        </w:rPr>
        <w:t>,</w:t>
      </w:r>
      <w:r w:rsidR="000B07E6" w:rsidRPr="000B07E6">
        <w:rPr>
          <w:rFonts w:cs="Arial"/>
        </w:rPr>
        <w:t xml:space="preserve"> the manufacturer’s authorised agent, or the person who first places the footwear on the EEA market (where neither manufacturer or their authorized agent is established in the EEA) is established in a non-UK EEA</w:t>
      </w:r>
      <w:r w:rsidR="00FC1AFF">
        <w:rPr>
          <w:rFonts w:cs="Arial"/>
        </w:rPr>
        <w:t xml:space="preserve"> </w:t>
      </w:r>
      <w:r w:rsidR="000B07E6" w:rsidRPr="000B07E6">
        <w:rPr>
          <w:rFonts w:cs="Arial"/>
        </w:rPr>
        <w:t>country</w:t>
      </w:r>
      <w:r w:rsidRPr="00BF2141">
        <w:rPr>
          <w:rFonts w:cs="Arial"/>
        </w:rPr>
        <w:t>.</w:t>
      </w:r>
    </w:p>
    <w:p w14:paraId="280E85C3" w14:textId="357971B4" w:rsidR="00325A7C" w:rsidRPr="00F510A9" w:rsidRDefault="00325A7C" w:rsidP="00F45C80">
      <w:pPr>
        <w:numPr>
          <w:ilvl w:val="0"/>
          <w:numId w:val="4"/>
        </w:numPr>
        <w:spacing w:after="200" w:line="20" w:lineRule="atLeast"/>
        <w:rPr>
          <w:rFonts w:cs="Arial"/>
        </w:rPr>
      </w:pPr>
      <w:r w:rsidRPr="00325A7C">
        <w:rPr>
          <w:rFonts w:cs="Arial"/>
        </w:rPr>
        <w:t xml:space="preserve">In contrast, while </w:t>
      </w:r>
      <w:r w:rsidR="001D3FB3">
        <w:rPr>
          <w:rFonts w:cs="Arial"/>
        </w:rPr>
        <w:t>the UK</w:t>
      </w:r>
      <w:r w:rsidRPr="00325A7C">
        <w:rPr>
          <w:rFonts w:cs="Arial"/>
        </w:rPr>
        <w:t xml:space="preserve"> remain</w:t>
      </w:r>
      <w:r w:rsidR="001D3FB3">
        <w:rPr>
          <w:rFonts w:cs="Arial"/>
        </w:rPr>
        <w:t>s</w:t>
      </w:r>
      <w:r w:rsidRPr="00325A7C">
        <w:rPr>
          <w:rFonts w:cs="Arial"/>
        </w:rPr>
        <w:t xml:space="preserve"> a member of the EU, if the manufacturer or their agent</w:t>
      </w:r>
      <w:r w:rsidR="0052748F">
        <w:rPr>
          <w:rFonts w:cs="Arial"/>
        </w:rPr>
        <w:t xml:space="preserve"> (</w:t>
      </w:r>
      <w:r w:rsidR="00E7117E">
        <w:rPr>
          <w:rFonts w:cs="Arial"/>
        </w:rPr>
        <w:t>or the first person place the footwear on the EEA market</w:t>
      </w:r>
      <w:r w:rsidR="0052748F">
        <w:rPr>
          <w:rFonts w:cs="Arial"/>
        </w:rPr>
        <w:t>)</w:t>
      </w:r>
      <w:r w:rsidR="00E7117E" w:rsidRPr="00325A7C">
        <w:rPr>
          <w:rFonts w:cs="Arial"/>
        </w:rPr>
        <w:t xml:space="preserve"> is based in </w:t>
      </w:r>
      <w:r w:rsidR="00E7117E">
        <w:rPr>
          <w:rFonts w:cs="Arial"/>
        </w:rPr>
        <w:t>an EEA state</w:t>
      </w:r>
      <w:r w:rsidR="00C66520">
        <w:rPr>
          <w:rFonts w:cs="Arial"/>
        </w:rPr>
        <w:t xml:space="preserve">, </w:t>
      </w:r>
      <w:r w:rsidRPr="00325A7C">
        <w:rPr>
          <w:rFonts w:cs="Arial"/>
        </w:rPr>
        <w:t xml:space="preserve">they will be the ‘responsible person’ and must comply with the relevant legal obligations even when that product is retailed in the UK. </w:t>
      </w:r>
    </w:p>
    <w:p w14:paraId="25563B46" w14:textId="77777777" w:rsidR="00C779DA" w:rsidRDefault="00C779DA" w:rsidP="00C779DA">
      <w:pPr>
        <w:pStyle w:val="Heading4"/>
        <w:rPr>
          <w:rFonts w:eastAsia="Arial"/>
          <w:lang w:eastAsia="en-GB"/>
        </w:rPr>
      </w:pPr>
      <w:r>
        <w:rPr>
          <w:rFonts w:eastAsia="Arial"/>
        </w:rPr>
        <w:t>Amendment of the Consumer Protection from Unfair Trading Regulations 2008</w:t>
      </w:r>
    </w:p>
    <w:p w14:paraId="78DE6023" w14:textId="23FE6516" w:rsidR="005D7A24" w:rsidRPr="00374A57" w:rsidRDefault="00885307" w:rsidP="00F45C80">
      <w:pPr>
        <w:numPr>
          <w:ilvl w:val="0"/>
          <w:numId w:val="4"/>
        </w:numPr>
        <w:spacing w:after="200" w:line="20" w:lineRule="atLeast"/>
      </w:pPr>
      <w:r w:rsidRPr="00374A57">
        <w:rPr>
          <w:rFonts w:cs="Arial"/>
        </w:rPr>
        <w:t xml:space="preserve">The Consumer Protection (Amendment) (EU Exit) Regulations make amendments to the </w:t>
      </w:r>
      <w:r w:rsidR="00046423" w:rsidRPr="00374A57">
        <w:rPr>
          <w:rFonts w:cs="Arial"/>
        </w:rPr>
        <w:t>Consumer Protection from Unfair Trading Regulations 2008</w:t>
      </w:r>
      <w:r w:rsidRPr="00374A57">
        <w:rPr>
          <w:rFonts w:cs="Arial"/>
        </w:rPr>
        <w:t xml:space="preserve"> to replace references to the “European Economic Area” with “United Kingdom”. This is to ensure that the legislation continues to operate effectively at the point the United Kingdom withdraws from the European Union. The instrument makes only minor changes described above and does not represent a policy change.</w:t>
      </w:r>
    </w:p>
    <w:p w14:paraId="2E4821C5" w14:textId="77777777" w:rsidR="00C779DA" w:rsidRDefault="00C779DA" w:rsidP="00C779DA">
      <w:pPr>
        <w:pStyle w:val="Heading4"/>
        <w:rPr>
          <w:rFonts w:eastAsia="Arial"/>
          <w:lang w:eastAsia="en-GB"/>
        </w:rPr>
      </w:pPr>
      <w:r>
        <w:rPr>
          <w:rFonts w:eastAsia="Arial"/>
        </w:rPr>
        <w:t>Amendment of the Consumer Rights (Payment Surcharges) Regulations 2012</w:t>
      </w:r>
    </w:p>
    <w:p w14:paraId="0AC0EA78" w14:textId="5F39C7B7" w:rsidR="00724A95" w:rsidRDefault="00724A95" w:rsidP="00F45C80">
      <w:pPr>
        <w:numPr>
          <w:ilvl w:val="0"/>
          <w:numId w:val="4"/>
        </w:numPr>
        <w:spacing w:after="200" w:line="20" w:lineRule="atLeast"/>
        <w:rPr>
          <w:rFonts w:cs="Arial"/>
        </w:rPr>
      </w:pPr>
      <w:r w:rsidRPr="00885307">
        <w:rPr>
          <w:rFonts w:cs="Arial"/>
        </w:rPr>
        <w:t>Th</w:t>
      </w:r>
      <w:r>
        <w:rPr>
          <w:rFonts w:cs="Arial"/>
        </w:rPr>
        <w:t xml:space="preserve">e </w:t>
      </w:r>
      <w:r w:rsidRPr="001C4DC9">
        <w:rPr>
          <w:rFonts w:cs="Arial"/>
        </w:rPr>
        <w:t xml:space="preserve">Consumer Protection (Amendment) (EU Exit) Regulations </w:t>
      </w:r>
      <w:r>
        <w:rPr>
          <w:rFonts w:cs="Arial"/>
        </w:rPr>
        <w:t>make</w:t>
      </w:r>
      <w:r w:rsidRPr="00885307">
        <w:rPr>
          <w:rFonts w:cs="Arial"/>
        </w:rPr>
        <w:t xml:space="preserve"> amendments</w:t>
      </w:r>
      <w:r w:rsidRPr="00724A95">
        <w:t xml:space="preserve"> </w:t>
      </w:r>
      <w:r w:rsidRPr="00724A95">
        <w:rPr>
          <w:rFonts w:cs="Arial"/>
        </w:rPr>
        <w:t xml:space="preserve">to the </w:t>
      </w:r>
      <w:r w:rsidR="00046423">
        <w:rPr>
          <w:rFonts w:cs="Arial"/>
        </w:rPr>
        <w:t>Consumer Rights (Payment Surcharges) Regulations 2012</w:t>
      </w:r>
      <w:r w:rsidRPr="00724A95">
        <w:rPr>
          <w:rFonts w:cs="Arial"/>
        </w:rPr>
        <w:t xml:space="preserve"> to replace references to definitions in EU Directives. This is to ensure that the legislation continues to operate effectively at the point the United Kingdom withdraws from the European Union. The </w:t>
      </w:r>
      <w:r w:rsidRPr="00724A95">
        <w:rPr>
          <w:rFonts w:cs="Arial"/>
        </w:rPr>
        <w:lastRenderedPageBreak/>
        <w:t>instrument makes only minor changes mentioned above and does not represent a poli</w:t>
      </w:r>
      <w:r>
        <w:rPr>
          <w:rFonts w:cs="Arial"/>
        </w:rPr>
        <w:t>cy change</w:t>
      </w:r>
      <w:r w:rsidRPr="00885307">
        <w:rPr>
          <w:rFonts w:cs="Arial"/>
        </w:rPr>
        <w:t>.</w:t>
      </w:r>
    </w:p>
    <w:p w14:paraId="4AAEBD11" w14:textId="58C592B8" w:rsidR="00403B84" w:rsidRDefault="00403B84" w:rsidP="00F45460">
      <w:pPr>
        <w:pStyle w:val="Heading4"/>
      </w:pPr>
      <w:r w:rsidRPr="00403B84">
        <w:t>Amendment of the Consumer Contracts (Information, Cancellation and Additional Charges) Regulations 2013</w:t>
      </w:r>
    </w:p>
    <w:p w14:paraId="4F164461" w14:textId="7BD808A8" w:rsidR="00403B84" w:rsidRDefault="00885307" w:rsidP="00F45C80">
      <w:pPr>
        <w:numPr>
          <w:ilvl w:val="0"/>
          <w:numId w:val="4"/>
        </w:numPr>
        <w:spacing w:after="200" w:line="20" w:lineRule="atLeast"/>
        <w:rPr>
          <w:rFonts w:cs="Arial"/>
        </w:rPr>
      </w:pPr>
      <w:r w:rsidRPr="00885307">
        <w:rPr>
          <w:rFonts w:cs="Arial"/>
        </w:rPr>
        <w:t>Th</w:t>
      </w:r>
      <w:r>
        <w:rPr>
          <w:rFonts w:cs="Arial"/>
        </w:rPr>
        <w:t xml:space="preserve">e </w:t>
      </w:r>
      <w:r w:rsidRPr="001C4DC9">
        <w:rPr>
          <w:rFonts w:cs="Arial"/>
        </w:rPr>
        <w:t>Consumer Protection (Amendment) (EU Exit) Regulations</w:t>
      </w:r>
      <w:r w:rsidR="00046423" w:rsidRPr="00046423">
        <w:rPr>
          <w:rFonts w:cs="Arial"/>
        </w:rPr>
        <w:t xml:space="preserve"> </w:t>
      </w:r>
      <w:r w:rsidR="00046423">
        <w:rPr>
          <w:rFonts w:cs="Arial"/>
        </w:rPr>
        <w:t>make</w:t>
      </w:r>
      <w:r w:rsidR="00046423" w:rsidRPr="00885307">
        <w:rPr>
          <w:rFonts w:cs="Arial"/>
        </w:rPr>
        <w:t xml:space="preserve"> amendments</w:t>
      </w:r>
      <w:r w:rsidR="00046423" w:rsidRPr="00724A95">
        <w:t xml:space="preserve"> </w:t>
      </w:r>
      <w:r w:rsidR="00046423" w:rsidRPr="00724A95">
        <w:rPr>
          <w:rFonts w:cs="Arial"/>
        </w:rPr>
        <w:t xml:space="preserve">to the </w:t>
      </w:r>
      <w:r w:rsidR="00046423">
        <w:rPr>
          <w:rFonts w:cs="Arial"/>
        </w:rPr>
        <w:t>Consumer Contracts (Information, Cancellation and Additional Charges) Regulations 2013</w:t>
      </w:r>
      <w:r w:rsidR="00046423" w:rsidRPr="00724A95">
        <w:rPr>
          <w:rFonts w:cs="Arial"/>
        </w:rPr>
        <w:t xml:space="preserve"> </w:t>
      </w:r>
      <w:r w:rsidR="00046423">
        <w:rPr>
          <w:rFonts w:cs="Arial"/>
        </w:rPr>
        <w:t xml:space="preserve">to </w:t>
      </w:r>
      <w:r w:rsidRPr="00885307">
        <w:rPr>
          <w:rFonts w:cs="Arial"/>
        </w:rPr>
        <w:t>repeal a requirement for the Secretary of State to have regard to how the Directive is implemented in other EU Member States when carrying out a review,</w:t>
      </w:r>
      <w:r w:rsidR="00046423">
        <w:rPr>
          <w:rFonts w:cs="Arial"/>
        </w:rPr>
        <w:t xml:space="preserve"> to</w:t>
      </w:r>
      <w:r w:rsidRPr="00885307">
        <w:rPr>
          <w:rFonts w:cs="Arial"/>
        </w:rPr>
        <w:t xml:space="preserve"> ensure that a cross reference to a Directive is still effective when the UK is no longer a member of the EU</w:t>
      </w:r>
      <w:r w:rsidR="00046423">
        <w:rPr>
          <w:rFonts w:cs="Arial"/>
        </w:rPr>
        <w:t>,</w:t>
      </w:r>
      <w:r w:rsidRPr="00885307">
        <w:rPr>
          <w:rFonts w:cs="Arial"/>
        </w:rPr>
        <w:t xml:space="preserve"> and </w:t>
      </w:r>
      <w:r w:rsidR="00046423">
        <w:rPr>
          <w:rFonts w:cs="Arial"/>
        </w:rPr>
        <w:t xml:space="preserve">to </w:t>
      </w:r>
      <w:r w:rsidRPr="00885307">
        <w:rPr>
          <w:rFonts w:cs="Arial"/>
        </w:rPr>
        <w:t>replace references to European currency (Euro) with pound sterling. The instrument makes only minor changes mentioned above and does not represent a policy change.</w:t>
      </w:r>
    </w:p>
    <w:p w14:paraId="7D5328D1" w14:textId="2B4DCFC5" w:rsidR="00403B84" w:rsidRDefault="00403B84" w:rsidP="00F45460">
      <w:pPr>
        <w:pStyle w:val="Heading4"/>
      </w:pPr>
      <w:r w:rsidRPr="00403B84">
        <w:t>Amendment of the Alternative Dispute Resolution for Consumer Disputes (Competent Authorities and Information) Regulations 2015</w:t>
      </w:r>
      <w:r w:rsidR="00885307">
        <w:t xml:space="preserve"> and Revocation of Online Dispute Resolution Regulation (EU) 524/2013</w:t>
      </w:r>
    </w:p>
    <w:p w14:paraId="7BD468D3" w14:textId="287F0C85" w:rsidR="00472E97" w:rsidRPr="00472E97" w:rsidRDefault="00472E97" w:rsidP="00F45C80">
      <w:pPr>
        <w:numPr>
          <w:ilvl w:val="0"/>
          <w:numId w:val="4"/>
        </w:numPr>
        <w:spacing w:after="200" w:line="20" w:lineRule="atLeast"/>
        <w:rPr>
          <w:rFonts w:cs="Arial"/>
        </w:rPr>
      </w:pPr>
      <w:r w:rsidRPr="00472E97">
        <w:rPr>
          <w:rFonts w:cs="Arial"/>
        </w:rPr>
        <w:t xml:space="preserve">Upon </w:t>
      </w:r>
      <w:r w:rsidR="00C07AA6">
        <w:rPr>
          <w:rFonts w:cs="Arial"/>
        </w:rPr>
        <w:t>EU E</w:t>
      </w:r>
      <w:r w:rsidRPr="00472E97">
        <w:rPr>
          <w:rFonts w:cs="Arial"/>
        </w:rPr>
        <w:t xml:space="preserve">xit in a no-deal scenario, </w:t>
      </w:r>
      <w:r w:rsidR="00604F7E">
        <w:rPr>
          <w:rFonts w:cs="Arial"/>
        </w:rPr>
        <w:t xml:space="preserve">UK-based </w:t>
      </w:r>
      <w:r w:rsidRPr="00472E97">
        <w:rPr>
          <w:rFonts w:cs="Arial"/>
        </w:rPr>
        <w:t>ADR entities will no longer be required to act in cross border disputes, as the UK will no longer be a member of the EU and therefore will no longer be required to resolve disputes between UK traders and consumers and parties in other countries.</w:t>
      </w:r>
    </w:p>
    <w:p w14:paraId="6BEAC395" w14:textId="15247778" w:rsidR="0083620A" w:rsidRDefault="007548A8" w:rsidP="00F45C80">
      <w:pPr>
        <w:numPr>
          <w:ilvl w:val="0"/>
          <w:numId w:val="4"/>
        </w:numPr>
        <w:spacing w:after="200" w:line="20" w:lineRule="atLeast"/>
        <w:rPr>
          <w:rFonts w:cs="Arial"/>
        </w:rPr>
      </w:pPr>
      <w:r w:rsidRPr="007548A8">
        <w:rPr>
          <w:rFonts w:cs="Arial"/>
        </w:rPr>
        <w:t>Th</w:t>
      </w:r>
      <w:r w:rsidR="0083620A">
        <w:rPr>
          <w:rFonts w:cs="Arial"/>
        </w:rPr>
        <w:t xml:space="preserve">e </w:t>
      </w:r>
      <w:r w:rsidR="0083620A" w:rsidRPr="001C4DC9">
        <w:rPr>
          <w:rFonts w:cs="Arial"/>
        </w:rPr>
        <w:t xml:space="preserve">Consumer Protection (Amendment) (EU Exit) Regulations </w:t>
      </w:r>
      <w:r w:rsidRPr="007548A8">
        <w:rPr>
          <w:rFonts w:cs="Arial"/>
        </w:rPr>
        <w:t xml:space="preserve">amend The Alternative Dispute Resolution for Consumer Disputes (Competent Authorities and Information) Regulations 2015 </w:t>
      </w:r>
      <w:r w:rsidR="0083620A" w:rsidRPr="006B7941">
        <w:rPr>
          <w:rFonts w:cs="Arial"/>
        </w:rPr>
        <w:t xml:space="preserve">to ensure the requirements of the regulation in respect of ADR continue to apply in the UK market, </w:t>
      </w:r>
      <w:r w:rsidR="001C7A8F" w:rsidRPr="006B7941">
        <w:rPr>
          <w:rFonts w:cs="Arial"/>
        </w:rPr>
        <w:t>apart from</w:t>
      </w:r>
      <w:r w:rsidR="0083620A" w:rsidRPr="006B7941">
        <w:rPr>
          <w:rFonts w:cs="Arial"/>
        </w:rPr>
        <w:t xml:space="preserve"> those which will no longer operate. The SI will retain the process by which competent authorities certify ADR providers and ensure that ADR meeting the standards in the regulations is still available for consumers in a dispute with a trader, in all sectors. </w:t>
      </w:r>
      <w:r w:rsidR="0083620A">
        <w:rPr>
          <w:rFonts w:cs="Arial"/>
        </w:rPr>
        <w:t xml:space="preserve">This instrument </w:t>
      </w:r>
      <w:r w:rsidR="0083620A" w:rsidRPr="006B7941">
        <w:rPr>
          <w:rFonts w:cs="Arial"/>
        </w:rPr>
        <w:t xml:space="preserve">will </w:t>
      </w:r>
      <w:r w:rsidR="0083620A">
        <w:rPr>
          <w:rFonts w:cs="Arial"/>
        </w:rPr>
        <w:t xml:space="preserve">also </w:t>
      </w:r>
      <w:r w:rsidR="0083620A" w:rsidRPr="006B7941">
        <w:rPr>
          <w:rFonts w:cs="Arial"/>
        </w:rPr>
        <w:t>amend the requirement for competent authorities to make available a list of ADR bodies published by the European Commission replacing this with a requirement to make available a list of ADR bodies published by the Secretary of State.</w:t>
      </w:r>
    </w:p>
    <w:p w14:paraId="32ABE094" w14:textId="77777777" w:rsidR="001755E1" w:rsidRPr="001755E1" w:rsidRDefault="001755E1" w:rsidP="001755E1">
      <w:pPr>
        <w:numPr>
          <w:ilvl w:val="0"/>
          <w:numId w:val="4"/>
        </w:numPr>
        <w:spacing w:after="200" w:line="20" w:lineRule="atLeast"/>
        <w:rPr>
          <w:rFonts w:cs="Arial"/>
        </w:rPr>
      </w:pPr>
      <w:r w:rsidRPr="001755E1">
        <w:rPr>
          <w:rFonts w:cs="Arial"/>
        </w:rPr>
        <w:t xml:space="preserve">The Chartered Trading Standards Institute (CTSI) administers the competent authority functions on behalf of the Secretary of State and is required to produce an approved list of ADR bodies. We do not envisage that Government will incur extra costs as BEIS already provides funding to CTSI for these functions and this is likely to continue for domestic purposes within the level of funding already provided. </w:t>
      </w:r>
    </w:p>
    <w:p w14:paraId="4C7E959F" w14:textId="1802554F" w:rsidR="00472E97" w:rsidRPr="009E4083" w:rsidRDefault="00472E97" w:rsidP="009E4083">
      <w:pPr>
        <w:numPr>
          <w:ilvl w:val="0"/>
          <w:numId w:val="4"/>
        </w:numPr>
        <w:spacing w:after="200" w:line="20" w:lineRule="atLeast"/>
        <w:rPr>
          <w:rFonts w:cs="Arial"/>
        </w:rPr>
      </w:pPr>
      <w:r w:rsidRPr="00472E97">
        <w:rPr>
          <w:rFonts w:cs="Arial"/>
        </w:rPr>
        <w:t>The ODR requirements will become unworkable as the platform is maintained by the European Commission for consumers and traders in the</w:t>
      </w:r>
      <w:r w:rsidR="002B323D">
        <w:rPr>
          <w:rFonts w:cs="Arial"/>
        </w:rPr>
        <w:t xml:space="preserve"> European S</w:t>
      </w:r>
      <w:r w:rsidRPr="00472E97">
        <w:rPr>
          <w:rFonts w:cs="Arial"/>
        </w:rPr>
        <w:t xml:space="preserve">ingle </w:t>
      </w:r>
      <w:r w:rsidR="002B323D">
        <w:rPr>
          <w:rFonts w:cs="Arial"/>
        </w:rPr>
        <w:t>M</w:t>
      </w:r>
      <w:r w:rsidRPr="00472E97">
        <w:rPr>
          <w:rFonts w:cs="Arial"/>
        </w:rPr>
        <w:t xml:space="preserve">arket. This will no longer be available to UK consumers and traders after </w:t>
      </w:r>
      <w:r w:rsidR="002B323D">
        <w:rPr>
          <w:rFonts w:cs="Arial"/>
        </w:rPr>
        <w:t>EU E</w:t>
      </w:r>
      <w:r w:rsidRPr="00472E97">
        <w:rPr>
          <w:rFonts w:cs="Arial"/>
        </w:rPr>
        <w:t>xit</w:t>
      </w:r>
      <w:r w:rsidR="009E4083">
        <w:rPr>
          <w:rFonts w:cs="Arial"/>
        </w:rPr>
        <w:t xml:space="preserve"> and is a direct consequence of the UK departing from the EU as the platform is run by the European Commission</w:t>
      </w:r>
      <w:r w:rsidRPr="00472E97">
        <w:rPr>
          <w:rFonts w:cs="Arial"/>
        </w:rPr>
        <w:t>. The SI will therefore revoke the ODR Regulation as the ODR platform will no longer be available to UK consumers and traders.</w:t>
      </w:r>
      <w:r>
        <w:rPr>
          <w:rFonts w:cs="Arial"/>
        </w:rPr>
        <w:t xml:space="preserve"> </w:t>
      </w:r>
      <w:r w:rsidR="00895655">
        <w:rPr>
          <w:rFonts w:cs="Arial"/>
        </w:rPr>
        <w:t>Currently, traders selling goods and servic</w:t>
      </w:r>
      <w:r w:rsidR="00CC0158">
        <w:rPr>
          <w:rFonts w:cs="Arial"/>
        </w:rPr>
        <w:t>es online are required</w:t>
      </w:r>
      <w:r w:rsidR="001F0DB2">
        <w:rPr>
          <w:rFonts w:cs="Arial"/>
        </w:rPr>
        <w:t xml:space="preserve"> to provide a link to the ODR platform on their website. </w:t>
      </w:r>
      <w:r>
        <w:rPr>
          <w:rFonts w:cs="Arial"/>
        </w:rPr>
        <w:t>This</w:t>
      </w:r>
      <w:r w:rsidR="00A56BA5">
        <w:rPr>
          <w:rFonts w:cs="Arial"/>
        </w:rPr>
        <w:t xml:space="preserve"> SI</w:t>
      </w:r>
      <w:r>
        <w:rPr>
          <w:rFonts w:cs="Arial"/>
        </w:rPr>
        <w:t xml:space="preserve"> will</w:t>
      </w:r>
      <w:r w:rsidR="00A56BA5">
        <w:rPr>
          <w:rFonts w:cs="Arial"/>
        </w:rPr>
        <w:t xml:space="preserve"> therefore</w:t>
      </w:r>
      <w:r>
        <w:rPr>
          <w:rFonts w:cs="Arial"/>
        </w:rPr>
        <w:t xml:space="preserve"> have an impact on some UK businesses as they will have to update their websites </w:t>
      </w:r>
      <w:r w:rsidR="004150D1">
        <w:rPr>
          <w:rFonts w:cs="Arial"/>
        </w:rPr>
        <w:t>to</w:t>
      </w:r>
      <w:r>
        <w:rPr>
          <w:rFonts w:cs="Arial"/>
        </w:rPr>
        <w:t xml:space="preserve"> remove the links to the ODR platform.</w:t>
      </w:r>
      <w:r w:rsidR="009E4083" w:rsidRPr="009E4083">
        <w:rPr>
          <w:rFonts w:cs="Arial"/>
        </w:rPr>
        <w:t xml:space="preserve"> </w:t>
      </w:r>
    </w:p>
    <w:p w14:paraId="741C5EE1" w14:textId="258F7470" w:rsidR="00973FD4" w:rsidRDefault="00224BBB" w:rsidP="00BC252E">
      <w:pPr>
        <w:pStyle w:val="Heading1"/>
        <w:spacing w:line="20" w:lineRule="atLeast"/>
        <w:rPr>
          <w:rFonts w:eastAsia="SimSun"/>
          <w:lang w:eastAsia="zh-CN"/>
        </w:rPr>
      </w:pPr>
      <w:r>
        <w:br w:type="page"/>
      </w:r>
      <w:bookmarkStart w:id="58" w:name="_Toc521073886"/>
      <w:r w:rsidR="00006BC5" w:rsidRPr="007F1D96">
        <w:rPr>
          <w:rFonts w:eastAsia="SimSun"/>
          <w:lang w:eastAsia="zh-CN"/>
        </w:rPr>
        <w:lastRenderedPageBreak/>
        <w:t>Monetised and non-monetised co</w:t>
      </w:r>
      <w:r>
        <w:rPr>
          <w:rFonts w:eastAsia="SimSun"/>
          <w:lang w:eastAsia="zh-CN"/>
        </w:rPr>
        <w:t>sts and benefits</w:t>
      </w:r>
      <w:bookmarkEnd w:id="58"/>
      <w:r w:rsidR="0081239D">
        <w:rPr>
          <w:rFonts w:eastAsia="SimSun"/>
          <w:lang w:eastAsia="zh-CN"/>
        </w:rPr>
        <w:t xml:space="preserve"> </w:t>
      </w:r>
    </w:p>
    <w:p w14:paraId="14DE7000" w14:textId="77777777" w:rsidR="00C64636" w:rsidRDefault="00C64636" w:rsidP="00C64636">
      <w:pPr>
        <w:pStyle w:val="Heading2"/>
        <w:rPr>
          <w:rFonts w:eastAsia="Arial"/>
          <w:szCs w:val="32"/>
          <w:lang w:eastAsia="en-GB"/>
        </w:rPr>
      </w:pPr>
      <w:bookmarkStart w:id="59" w:name="_Toc521073887"/>
      <w:r>
        <w:rPr>
          <w:rFonts w:eastAsia="Arial"/>
        </w:rPr>
        <w:t>Amendment of Parts 1 and 2 of the Consumer Rights Act 2015</w:t>
      </w:r>
      <w:bookmarkEnd w:id="59"/>
    </w:p>
    <w:p w14:paraId="1F73F05C" w14:textId="5D130F38" w:rsidR="006E5F14" w:rsidRDefault="006E5F14" w:rsidP="00F45C80">
      <w:pPr>
        <w:numPr>
          <w:ilvl w:val="0"/>
          <w:numId w:val="4"/>
        </w:numPr>
        <w:spacing w:after="200" w:line="20" w:lineRule="atLeast"/>
      </w:pPr>
      <w:r w:rsidRPr="006E5F14">
        <w:t>The Consumer Protection (Amendment) (EU Exit) Regulations</w:t>
      </w:r>
      <w:r>
        <w:t xml:space="preserve"> make amendments to the Consumer Rights Act 2015 to omit references to the European Union and to replace any mentions of “the European Economic Area” by “the United Kingdom”. In effect, the statutory instrument only makes changes in legal definitions to address any inconsistent EU references retained in EU derived law that would prevent it from operating effectively after the withdrawal of the United Kingdom from the European Union.</w:t>
      </w:r>
    </w:p>
    <w:p w14:paraId="684A7810" w14:textId="24BEC3A7" w:rsidR="008D3163" w:rsidRDefault="006E5F14" w:rsidP="00F45C80">
      <w:pPr>
        <w:numPr>
          <w:ilvl w:val="0"/>
          <w:numId w:val="4"/>
        </w:numPr>
        <w:spacing w:after="200" w:line="20" w:lineRule="atLeast"/>
      </w:pPr>
      <w:r>
        <w:t xml:space="preserve">The </w:t>
      </w:r>
      <w:r w:rsidR="003C6944">
        <w:t>SI</w:t>
      </w:r>
      <w:r>
        <w:t xml:space="preserve"> do</w:t>
      </w:r>
      <w:r w:rsidR="003C6944">
        <w:t>es</w:t>
      </w:r>
      <w:r>
        <w:t xml:space="preserve"> not represent a policy change and will have no impact on business, charities, voluntary bodies, or the public sector.</w:t>
      </w:r>
      <w:r w:rsidR="00964FF6" w:rsidRPr="00964FF6">
        <w:t xml:space="preserve"> For businesses and consumers, the law will continue to apply in the same way as it did before the UK exited the European Union. </w:t>
      </w:r>
      <w:r>
        <w:t xml:space="preserve"> Businesses will experience no change resulting from the regulatory change and wil</w:t>
      </w:r>
      <w:r w:rsidR="00964FF6">
        <w:t>l therefore face n</w:t>
      </w:r>
      <w:r w:rsidR="00102325">
        <w:t>egligible</w:t>
      </w:r>
      <w:r w:rsidR="00964FF6">
        <w:t xml:space="preserve"> direct cost</w:t>
      </w:r>
      <w:r w:rsidR="00C31A85">
        <w:t xml:space="preserve">. </w:t>
      </w:r>
    </w:p>
    <w:p w14:paraId="2FCB34AA" w14:textId="77777777" w:rsidR="005B31C3" w:rsidRPr="0094215D" w:rsidRDefault="005B31C3" w:rsidP="0094215D">
      <w:pPr>
        <w:pStyle w:val="NoSpacing"/>
      </w:pPr>
    </w:p>
    <w:p w14:paraId="09FD1ED6" w14:textId="1A61A49C" w:rsidR="005B31C3" w:rsidRPr="00897016" w:rsidRDefault="005B31C3" w:rsidP="005B31C3">
      <w:pPr>
        <w:pStyle w:val="Heading2"/>
      </w:pPr>
      <w:bookmarkStart w:id="60" w:name="_Toc521073888"/>
      <w:r>
        <w:t>Amendment of the Crystal Glass (Descriptions) Regulations 1973</w:t>
      </w:r>
      <w:bookmarkEnd w:id="60"/>
    </w:p>
    <w:p w14:paraId="0C5B870D" w14:textId="356487AF" w:rsidR="00964FF6" w:rsidRDefault="00964FF6" w:rsidP="00F45C80">
      <w:pPr>
        <w:numPr>
          <w:ilvl w:val="0"/>
          <w:numId w:val="4"/>
        </w:numPr>
        <w:spacing w:after="200" w:line="20" w:lineRule="atLeast"/>
      </w:pPr>
      <w:r>
        <w:t xml:space="preserve">The </w:t>
      </w:r>
      <w:r w:rsidRPr="006E5F14">
        <w:t>Consumer Protection (Amendment) (EU Exit) Regulations</w:t>
      </w:r>
      <w:r>
        <w:t xml:space="preserve"> make two amendments to the Crystal Glass (Descriptions) Regulations 1973 to ensure they operate effectively when the UK leaves the EU and that there are no significant changes to the existing regime. The aim of the instrument is to ensure references to other regulations remain valid and that provisions which refer to other Member States of the EU, or which assume the UK’s membership of the EU, are removed so that they do not confuse the meaning or effect of the relevant rules. In effect, this ensures the operability and continuity of the current rules on crystal glass and does not change the rights and obligations of businesses and consumers.  </w:t>
      </w:r>
    </w:p>
    <w:p w14:paraId="4E94AD8A" w14:textId="5A063385" w:rsidR="005B31C3" w:rsidRDefault="00964FF6" w:rsidP="00F45C80">
      <w:pPr>
        <w:numPr>
          <w:ilvl w:val="0"/>
          <w:numId w:val="4"/>
        </w:numPr>
        <w:spacing w:after="200" w:line="20" w:lineRule="atLeast"/>
      </w:pPr>
      <w:r>
        <w:t xml:space="preserve">The </w:t>
      </w:r>
      <w:r w:rsidR="003C6944">
        <w:t>SI</w:t>
      </w:r>
      <w:r>
        <w:t xml:space="preserve"> do</w:t>
      </w:r>
      <w:r w:rsidR="003C6944">
        <w:t>es</w:t>
      </w:r>
      <w:r>
        <w:t xml:space="preserve"> not represent a policy change and will have no impact on business, charities, voluntary bodies, or the public sector. For businesses and consumers, the law will continue to apply in the same way as it did before the UK exited the European Union. Businesses will experience no change resulting from the regulatory change and will therefore face n</w:t>
      </w:r>
      <w:r w:rsidR="00102325">
        <w:t>egligible</w:t>
      </w:r>
      <w:r>
        <w:t xml:space="preserve"> direct cost</w:t>
      </w:r>
      <w:r w:rsidR="00972A05">
        <w:t xml:space="preserve">. </w:t>
      </w:r>
    </w:p>
    <w:p w14:paraId="4D88A802" w14:textId="77777777" w:rsidR="005B31C3" w:rsidRDefault="005B31C3" w:rsidP="005B31C3">
      <w:pPr>
        <w:pStyle w:val="NoSpacing"/>
      </w:pPr>
    </w:p>
    <w:p w14:paraId="7DF335BE" w14:textId="48CFB68A" w:rsidR="005B31C3" w:rsidRPr="00897016" w:rsidRDefault="005B31C3" w:rsidP="005B31C3">
      <w:pPr>
        <w:pStyle w:val="Heading2"/>
      </w:pPr>
      <w:bookmarkStart w:id="61" w:name="_Toc521073889"/>
      <w:r>
        <w:t>Amendment of the Footwear (Indication of Composition) Labelling Regulations 1995</w:t>
      </w:r>
      <w:bookmarkEnd w:id="61"/>
    </w:p>
    <w:p w14:paraId="7661A4DE" w14:textId="6DBF7619" w:rsidR="005B31C3" w:rsidRDefault="00FB56EA" w:rsidP="00F45C80">
      <w:pPr>
        <w:numPr>
          <w:ilvl w:val="0"/>
          <w:numId w:val="4"/>
        </w:numPr>
        <w:spacing w:after="200" w:line="20" w:lineRule="atLeast"/>
      </w:pPr>
      <w:r>
        <w:t xml:space="preserve">The </w:t>
      </w:r>
      <w:r w:rsidRPr="006E5F14">
        <w:t>Consumer Protection (Amendment) (EU Exit) Regulations</w:t>
      </w:r>
      <w:r>
        <w:t xml:space="preserve"> </w:t>
      </w:r>
      <w:r w:rsidR="003547BA">
        <w:t xml:space="preserve">make </w:t>
      </w:r>
      <w:r>
        <w:t>amend</w:t>
      </w:r>
      <w:r w:rsidR="003547BA">
        <w:t>ment</w:t>
      </w:r>
      <w:r>
        <w:t xml:space="preserve">s </w:t>
      </w:r>
      <w:r w:rsidR="001F2534">
        <w:t xml:space="preserve">to </w:t>
      </w:r>
      <w:r>
        <w:t>the</w:t>
      </w:r>
      <w:r w:rsidR="00D81B6B">
        <w:t xml:space="preserve"> Footwear (Indication of Composition) Labelling Regulations 1995</w:t>
      </w:r>
      <w:r w:rsidR="00DD7A6A">
        <w:t xml:space="preserve"> </w:t>
      </w:r>
      <w:r w:rsidR="00CD355F">
        <w:t>by r</w:t>
      </w:r>
      <w:r w:rsidR="00CD355F" w:rsidRPr="00CD355F">
        <w:t>emoving references to EU Directives or which assume the UK’s membership of the EU</w:t>
      </w:r>
      <w:r w:rsidR="00CD355F">
        <w:t xml:space="preserve">. </w:t>
      </w:r>
      <w:r w:rsidR="00116EA4">
        <w:t>This is to ensure that</w:t>
      </w:r>
      <w:r w:rsidR="00D46D7D">
        <w:t xml:space="preserve"> </w:t>
      </w:r>
      <w:r w:rsidR="00D46D7D" w:rsidRPr="00D46D7D">
        <w:t>the labelling requirements continue to apply to footwear products</w:t>
      </w:r>
      <w:r w:rsidR="00116EA4">
        <w:t xml:space="preserve"> </w:t>
      </w:r>
      <w:r w:rsidR="00D555BF">
        <w:t>on the UK market and that the legislation continues to operate effectively when the UK withdraws from the EU</w:t>
      </w:r>
      <w:r w:rsidR="00264178">
        <w:t xml:space="preserve">. In effect, the statutory instrument only makes changes in legal definitions to address any inconsistent EU references retained in EU derived law that would prevent it from </w:t>
      </w:r>
      <w:r w:rsidR="00264178">
        <w:lastRenderedPageBreak/>
        <w:t>operating effectively after the withdrawal of the United Kingdom from the European Union</w:t>
      </w:r>
      <w:r w:rsidR="005B31C3">
        <w:t>.</w:t>
      </w:r>
      <w:r w:rsidR="00820842">
        <w:t xml:space="preserve"> </w:t>
      </w:r>
    </w:p>
    <w:p w14:paraId="6E95CBE0" w14:textId="23D49AFC" w:rsidR="00735B76" w:rsidRPr="00C01FD0" w:rsidRDefault="00D80689" w:rsidP="00F45C80">
      <w:pPr>
        <w:numPr>
          <w:ilvl w:val="0"/>
          <w:numId w:val="4"/>
        </w:numPr>
        <w:spacing w:after="200" w:line="20" w:lineRule="atLeast"/>
      </w:pPr>
      <w:r w:rsidRPr="00C01FD0">
        <w:t>R</w:t>
      </w:r>
      <w:r w:rsidR="004925F8" w:rsidRPr="00C01FD0">
        <w:t xml:space="preserve">emoving references to the EU means that </w:t>
      </w:r>
      <w:r w:rsidR="0066698E" w:rsidRPr="00C01FD0">
        <w:t xml:space="preserve">some UK businesses will now </w:t>
      </w:r>
      <w:r w:rsidR="00E2269F" w:rsidRPr="00C01FD0">
        <w:t xml:space="preserve">have to meet the legal obligations of the ‘responsible person’ </w:t>
      </w:r>
      <w:r w:rsidR="00962E43" w:rsidRPr="00C01FD0">
        <w:t>in relation to footwear products</w:t>
      </w:r>
      <w:r w:rsidR="00E2269F" w:rsidRPr="00C01FD0">
        <w:t>.</w:t>
      </w:r>
      <w:r w:rsidR="00DE3A54" w:rsidRPr="00C01FD0">
        <w:t xml:space="preserve"> </w:t>
      </w:r>
      <w:proofErr w:type="gramStart"/>
      <w:r w:rsidR="00735B76" w:rsidRPr="00C01FD0">
        <w:t>As a result of</w:t>
      </w:r>
      <w:proofErr w:type="gramEnd"/>
      <w:r w:rsidR="00735B76" w:rsidRPr="00C01FD0">
        <w:t xml:space="preserve"> this amendment, some UK-based businesses previously only responsible for meeting the obligations of a ‘retailer’ (as they were not the first person to place</w:t>
      </w:r>
      <w:r w:rsidR="00EF3CA9" w:rsidRPr="00C01FD0">
        <w:t xml:space="preserve"> the footwear</w:t>
      </w:r>
      <w:r w:rsidR="00735B76" w:rsidRPr="00C01FD0">
        <w:t xml:space="preserve"> on the EU market) will now also have to meet the legal obligations of the ‘responsible person’ under the UK regulations</w:t>
      </w:r>
      <w:r w:rsidR="00B37D79">
        <w:t xml:space="preserve"> and the risk and liabilities this incurs</w:t>
      </w:r>
      <w:r w:rsidR="00735B76" w:rsidRPr="00C01FD0">
        <w:t xml:space="preserve">. </w:t>
      </w:r>
      <w:r w:rsidR="00A43F54" w:rsidRPr="00C01FD0">
        <w:t xml:space="preserve">This will be in addition to the existing obligation on ‘retailers’ to ensure the footwear is labelled in accordance with the requirements of the 1995 Regulations when it is offered to sale for consumers – in practice, this is the obligation to ensure a label is present. </w:t>
      </w:r>
      <w:r w:rsidR="00735B76" w:rsidRPr="00C01FD0">
        <w:t xml:space="preserve">This will mostly impact retailers that sell footwear imported from an EEA-based business. </w:t>
      </w:r>
    </w:p>
    <w:p w14:paraId="1D1CB761" w14:textId="44E4142E" w:rsidR="008255F2" w:rsidRDefault="00054388" w:rsidP="00F45C80">
      <w:pPr>
        <w:numPr>
          <w:ilvl w:val="0"/>
          <w:numId w:val="4"/>
        </w:numPr>
        <w:spacing w:after="200" w:line="20" w:lineRule="atLeast"/>
      </w:pPr>
      <w:r>
        <w:t>It is important to note that the UK legislation regarding footwear labelling will be aligned with the one practi</w:t>
      </w:r>
      <w:r w:rsidR="00600934">
        <w:t>s</w:t>
      </w:r>
      <w:r>
        <w:t>ed in the EU and the two regulations will command the same obligations. Therefore, whilst some UK-based businesses will now become the ‘responsible person’, the footwear product they currently import from their supplier will remain compliant with the shared requirements. Furthermore, t</w:t>
      </w:r>
      <w:r w:rsidR="00735B76">
        <w:t xml:space="preserve">he 1995 Footwear Labelling Regulations do not mandate any technical testing nor the production of any documentation by either the ‘responsible person’ or the ‘retailer’ to demonstrate compliance. On </w:t>
      </w:r>
      <w:r w:rsidR="00C07AA6">
        <w:t>EU E</w:t>
      </w:r>
      <w:r w:rsidR="00735B76">
        <w:t>xit</w:t>
      </w:r>
      <w:r w:rsidR="003A193B">
        <w:t>,</w:t>
      </w:r>
      <w:r w:rsidR="00735B76">
        <w:t xml:space="preserve"> the same requirements will apply so that UK businesses will be able to continue buying from their EEA-based suppliers with confidence that the latter understand the UK footwear labelling requirements and that the goods purchased are compliant. </w:t>
      </w:r>
    </w:p>
    <w:p w14:paraId="0A1445CF" w14:textId="78B9301F" w:rsidR="00735B76" w:rsidRDefault="00916F45" w:rsidP="00F45C80">
      <w:pPr>
        <w:numPr>
          <w:ilvl w:val="0"/>
          <w:numId w:val="4"/>
        </w:numPr>
        <w:spacing w:after="200" w:line="20" w:lineRule="atLeast"/>
      </w:pPr>
      <w:r>
        <w:t xml:space="preserve">Similarly, the </w:t>
      </w:r>
      <w:r w:rsidR="00735B76">
        <w:t>1995 Regulations impose no obligations regarding the import or export of footwear.</w:t>
      </w:r>
      <w:r w:rsidR="007958F1">
        <w:t xml:space="preserve"> </w:t>
      </w:r>
      <w:r w:rsidR="00735B76">
        <w:t>UK businesses importing footwear from non-EEA countries do not face administrative cost at the border as there are no forms they have to complete or any other administrative process they must follow</w:t>
      </w:r>
      <w:r w:rsidR="00EF0258">
        <w:t xml:space="preserve"> to demonstrate compliance with 1995 Footwear Labelling Regulations</w:t>
      </w:r>
      <w:r w:rsidR="00735B76">
        <w:t>. UK-based businesses importing footwear from within the EEA will face a similar (or even less burdensome, depending on the outcomes of the negotiations) importing process as those who import from outside the EEA. As above, they will not face administrative costs to demonstrate compliance with the UK Footwear Regulations – especially as the regulations will be aligned with those practiced in the country of import.</w:t>
      </w:r>
    </w:p>
    <w:p w14:paraId="61F92D0C" w14:textId="3193EE1C" w:rsidR="00735B76" w:rsidRDefault="00735B76" w:rsidP="00F45C80">
      <w:pPr>
        <w:numPr>
          <w:ilvl w:val="0"/>
          <w:numId w:val="4"/>
        </w:numPr>
        <w:spacing w:after="200" w:line="20" w:lineRule="atLeast"/>
      </w:pPr>
      <w:r>
        <w:t>We</w:t>
      </w:r>
      <w:r w:rsidR="00FA30C5">
        <w:t xml:space="preserve"> have engaged with the</w:t>
      </w:r>
      <w:r w:rsidR="00AF4266">
        <w:t xml:space="preserve"> British Footwear Association, the</w:t>
      </w:r>
      <w:r w:rsidR="00FA30C5">
        <w:t xml:space="preserve"> main trad</w:t>
      </w:r>
      <w:r w:rsidR="00A50CD6">
        <w:t>e</w:t>
      </w:r>
      <w:r w:rsidR="00FA30C5">
        <w:t xml:space="preserve"> association in</w:t>
      </w:r>
      <w:r w:rsidR="00A50CD6">
        <w:t xml:space="preserve"> the</w:t>
      </w:r>
      <w:r>
        <w:t xml:space="preserve"> </w:t>
      </w:r>
      <w:r w:rsidR="00A50CD6">
        <w:t xml:space="preserve">industry, </w:t>
      </w:r>
      <w:r w:rsidR="006D007B">
        <w:t xml:space="preserve">which noted that that businesses </w:t>
      </w:r>
      <w:r w:rsidR="00DA2B9B">
        <w:t>must</w:t>
      </w:r>
      <w:r w:rsidR="006D007B">
        <w:t xml:space="preserve"> establish footwear composition </w:t>
      </w:r>
      <w:r w:rsidR="00D55334">
        <w:t>to</w:t>
      </w:r>
      <w:r w:rsidR="006D007B">
        <w:t xml:space="preserve"> ensur</w:t>
      </w:r>
      <w:r w:rsidR="00D55334">
        <w:t>e</w:t>
      </w:r>
      <w:r w:rsidR="006D007B">
        <w:t xml:space="preserve"> the right tariff is paid when importing footwear</w:t>
      </w:r>
      <w:r w:rsidR="00237899">
        <w:t xml:space="preserve"> from outside the EEA</w:t>
      </w:r>
      <w:r w:rsidR="006D007B">
        <w:t xml:space="preserve">. They indicated that the information required to complete the import duty form correctly is the same information necessary to establish how to accurately label footwear. As there is significant variation in tariffs on footwear depending on the material used, businesses already have strong incentives to check the composition of the footwear they are importing and are highly unlikely to need additional checks to establish compliance with the </w:t>
      </w:r>
      <w:r w:rsidR="007F05CE">
        <w:t xml:space="preserve">1995 </w:t>
      </w:r>
      <w:r w:rsidR="006D007B">
        <w:t xml:space="preserve">Footwear Labelling Regulations. </w:t>
      </w:r>
      <w:r w:rsidR="006709C8">
        <w:t xml:space="preserve">Furthermore, </w:t>
      </w:r>
      <w:r>
        <w:t xml:space="preserve">UK-based businesses can specify that they will only continue to import products from their EEA suppliers that are pre-labelled and meet the shared EU and UK requirements. The impact of UK-based businesses doing this is believed to be negligible as UK ‘retailers’ already have the obligation under the </w:t>
      </w:r>
      <w:r w:rsidR="00496828">
        <w:t xml:space="preserve">1995 </w:t>
      </w:r>
      <w:r>
        <w:t xml:space="preserve">Footwear Labelling Regulations to ensure a label is attached when they retail a product and therefore check one is in place when they source footwear from </w:t>
      </w:r>
      <w:r w:rsidR="00403D0C">
        <w:t>the</w:t>
      </w:r>
      <w:r>
        <w:t xml:space="preserve"> ‘responsible person’.</w:t>
      </w:r>
    </w:p>
    <w:p w14:paraId="13638822" w14:textId="3AF55BDE" w:rsidR="00735B76" w:rsidRDefault="00465BC3" w:rsidP="00F45C80">
      <w:pPr>
        <w:numPr>
          <w:ilvl w:val="0"/>
          <w:numId w:val="4"/>
        </w:numPr>
        <w:spacing w:after="200" w:line="20" w:lineRule="atLeast"/>
      </w:pPr>
      <w:r>
        <w:lastRenderedPageBreak/>
        <w:t>U</w:t>
      </w:r>
      <w:r w:rsidR="00735B76">
        <w:t>nder cross-cutting consumer law (including the Consumer Protection from Unfair Trading Practices Regulations 2008 and the Consumer Rights Act 2015), businesses are required to ensure they do not mislead consumers and that the goods they import conform to contract. As a result, businesses already ensure that the product</w:t>
      </w:r>
      <w:r w:rsidR="00350A7C">
        <w:t>s</w:t>
      </w:r>
      <w:r w:rsidR="00735B76">
        <w:t xml:space="preserve"> they receive from their suppliers </w:t>
      </w:r>
      <w:r w:rsidR="00350A7C">
        <w:t>are</w:t>
      </w:r>
      <w:r w:rsidR="00735B76">
        <w:t xml:space="preserve"> compliant with what they had ordered as part of other regulations. This underlying responsibility applies to a range of goods and is not limited to footwear products. In other words, the practicalities of the obligations mandated to the ‘responsible person’ under the </w:t>
      </w:r>
      <w:r w:rsidR="00C33AFB">
        <w:t xml:space="preserve">1995 </w:t>
      </w:r>
      <w:r w:rsidR="00735B76">
        <w:t xml:space="preserve">Footwear Labelling Regulations are already replicated under other regulations. Amending them in the context of this SI will not impact cross-cutting consumer law and will therefore not represent a change for businesses. </w:t>
      </w:r>
    </w:p>
    <w:p w14:paraId="0086DDD4" w14:textId="213AF140" w:rsidR="005E4AE4" w:rsidRDefault="005E4AE4" w:rsidP="009C1CD4">
      <w:pPr>
        <w:numPr>
          <w:ilvl w:val="0"/>
          <w:numId w:val="4"/>
        </w:numPr>
        <w:spacing w:after="200" w:line="20" w:lineRule="atLeast"/>
      </w:pPr>
      <w:r w:rsidRPr="005E4AE4">
        <w:t xml:space="preserve">The only time the obligations of the ‘responsible person’ are called upon are in enforcement actions against businesses selling non-compliant goods. </w:t>
      </w:r>
      <w:r w:rsidR="001D505C" w:rsidRPr="001D505C">
        <w:t xml:space="preserve">A ‘responsible person’ could be prosecuted in court for a suspected breach of the 1995 Footwear Labelling Regulations. </w:t>
      </w:r>
      <w:r w:rsidRPr="005E4AE4">
        <w:t>If issued with a compliance notice by Trading Standards (</w:t>
      </w:r>
      <w:proofErr w:type="gramStart"/>
      <w:r w:rsidRPr="005E4AE4">
        <w:t>on the basis of</w:t>
      </w:r>
      <w:proofErr w:type="gramEnd"/>
      <w:r w:rsidRPr="005E4AE4">
        <w:t xml:space="preserve"> a suspected breach of the 1995 Regulations), the ‘responsible person’ may be required to provide evidence to satisfy the enforcement authority that they were compliant with the provisions of the 1995 Regulations. The 1995 Footwear Labelling Regulations do not make specific prescriptions as to how a ‘responsible person’ might demonstrate the regulations that been complied with. Furthermore, the Better Regulation Framework cites that, when introducing a regulatory measure, costs and benefits should assume 100% compliance (Better Regulation Framework 2.3.47). The same approach is taken when estimating the impact of this statutory instrument. As such, the impact of regulatory action against non-compliant UK businesses that became ‘responsible persons’ under this SI is not </w:t>
      </w:r>
      <w:r w:rsidR="002002FD" w:rsidRPr="005E4AE4">
        <w:t>considered</w:t>
      </w:r>
      <w:r w:rsidRPr="005E4AE4">
        <w:t xml:space="preserve"> in this analysis</w:t>
      </w:r>
      <w:r w:rsidR="00BA0EA6">
        <w:t>.</w:t>
      </w:r>
    </w:p>
    <w:p w14:paraId="1498F9F3" w14:textId="77777777" w:rsidR="00883F37" w:rsidRDefault="0035268D" w:rsidP="00C9113B">
      <w:pPr>
        <w:numPr>
          <w:ilvl w:val="0"/>
          <w:numId w:val="4"/>
        </w:numPr>
        <w:spacing w:after="200" w:line="20" w:lineRule="atLeast"/>
      </w:pPr>
      <w:r>
        <w:t xml:space="preserve">The British Footwear Association indicated their members’ view that the </w:t>
      </w:r>
      <w:r w:rsidR="007F05CE">
        <w:t xml:space="preserve">1995 </w:t>
      </w:r>
      <w:r>
        <w:t xml:space="preserve">Footwear Labelling Regulations was one of the simplest pieces of EU legislation to comply with and the requirements of the regulations are fully understood by industry. They were not aware of any non-compliance and they noted it was very well established, having been in place for </w:t>
      </w:r>
      <w:r w:rsidR="00E84991">
        <w:t xml:space="preserve">almost </w:t>
      </w:r>
      <w:r>
        <w:t xml:space="preserve">25 years. They indicated that there was no specific reason to look to change the labelling requirements as they </w:t>
      </w:r>
      <w:r w:rsidR="002576A4">
        <w:t xml:space="preserve">have not been amended since 1995 and </w:t>
      </w:r>
      <w:r>
        <w:t xml:space="preserve">are </w:t>
      </w:r>
      <w:r w:rsidR="002576A4">
        <w:t xml:space="preserve">understood and </w:t>
      </w:r>
      <w:r>
        <w:t xml:space="preserve">considered to work well by the industry. </w:t>
      </w:r>
      <w:r w:rsidR="00735B76">
        <w:t>If the UK were to diverge on these regulations, a new statutory instrument and accompanying impact assessment would have to be drafted and the impact on businesses would be considered at that point.</w:t>
      </w:r>
      <w:r w:rsidR="005115BE">
        <w:t xml:space="preserve"> </w:t>
      </w:r>
    </w:p>
    <w:p w14:paraId="10B5C32F" w14:textId="354EECD1" w:rsidR="00735B76" w:rsidRDefault="00426D6A" w:rsidP="00C9113B">
      <w:pPr>
        <w:numPr>
          <w:ilvl w:val="0"/>
          <w:numId w:val="4"/>
        </w:numPr>
        <w:spacing w:after="200" w:line="20" w:lineRule="atLeast"/>
      </w:pPr>
      <w:r>
        <w:t>If there were EU-led divergence on the footwear regulations, this would be likely to represent a cost to UK businesses</w:t>
      </w:r>
      <w:r w:rsidR="00153962">
        <w:t xml:space="preserve"> </w:t>
      </w:r>
      <w:r w:rsidR="001C4A0F">
        <w:t xml:space="preserve">placing footwear on the </w:t>
      </w:r>
      <w:r w:rsidR="009540CA">
        <w:t>EU</w:t>
      </w:r>
      <w:r w:rsidR="001C4A0F">
        <w:t xml:space="preserve"> market</w:t>
      </w:r>
      <w:r>
        <w:t>.</w:t>
      </w:r>
      <w:r w:rsidR="00C328BC">
        <w:t xml:space="preserve"> </w:t>
      </w:r>
      <w:r w:rsidR="00883F37">
        <w:t xml:space="preserve">The European Commission’s Directive </w:t>
      </w:r>
      <w:r w:rsidR="00883F37" w:rsidRPr="00C9113B">
        <w:t>94/11/EC</w:t>
      </w:r>
      <w:r w:rsidR="00883F37">
        <w:t xml:space="preserve"> on Footwear Labelling has</w:t>
      </w:r>
      <w:r w:rsidR="00692EDC">
        <w:t xml:space="preserve"> </w:t>
      </w:r>
      <w:r w:rsidR="00883F37">
        <w:t>been in place since 1994 and i</w:t>
      </w:r>
      <w:r w:rsidR="006E6C75">
        <w:t>t is not known whether it will</w:t>
      </w:r>
      <w:r w:rsidR="00883F37">
        <w:t xml:space="preserve"> be amended in the future</w:t>
      </w:r>
      <w:r w:rsidR="00692EDC">
        <w:t>. Given that it is impossible to predict the</w:t>
      </w:r>
      <w:r w:rsidR="008B3D41">
        <w:t xml:space="preserve"> decisions the European Commission will take once the UK exits the EU, such costs are not estimated in this impact assessment. </w:t>
      </w:r>
    </w:p>
    <w:p w14:paraId="2D3D47BD" w14:textId="77777777" w:rsidR="00735B76" w:rsidRDefault="00735B76" w:rsidP="00F45C80">
      <w:pPr>
        <w:numPr>
          <w:ilvl w:val="0"/>
          <w:numId w:val="4"/>
        </w:numPr>
        <w:spacing w:after="200" w:line="20" w:lineRule="atLeast"/>
      </w:pPr>
      <w:r>
        <w:t>In conclusion, given that:</w:t>
      </w:r>
    </w:p>
    <w:p w14:paraId="44028FA0" w14:textId="34A96331" w:rsidR="009C1CD4" w:rsidRDefault="009C1CD4" w:rsidP="009C1CD4">
      <w:pPr>
        <w:numPr>
          <w:ilvl w:val="1"/>
          <w:numId w:val="4"/>
        </w:numPr>
        <w:spacing w:after="200"/>
        <w:rPr>
          <w:lang w:eastAsia="en-GB"/>
        </w:rPr>
      </w:pPr>
      <w:r>
        <w:t>The UK and EEA footwear labelling legislations will be aligned</w:t>
      </w:r>
      <w:r w:rsidR="00073D13">
        <w:t xml:space="preserve"> at the point of exit</w:t>
      </w:r>
      <w:r>
        <w:t>;</w:t>
      </w:r>
    </w:p>
    <w:p w14:paraId="5083C26A" w14:textId="77777777" w:rsidR="00735B76" w:rsidRDefault="00735B76" w:rsidP="00D34C89">
      <w:pPr>
        <w:numPr>
          <w:ilvl w:val="1"/>
          <w:numId w:val="8"/>
        </w:numPr>
        <w:spacing w:after="200" w:line="20" w:lineRule="atLeast"/>
      </w:pPr>
      <w:r>
        <w:t>The obligations of the ‘responsible person’ will not, in practice, result in increased costs or burdens on UK-based businesses importing footwear from the EEA;</w:t>
      </w:r>
    </w:p>
    <w:p w14:paraId="69C6367F" w14:textId="77777777" w:rsidR="00735B76" w:rsidRDefault="00735B76" w:rsidP="00D34C89">
      <w:pPr>
        <w:numPr>
          <w:ilvl w:val="1"/>
          <w:numId w:val="8"/>
        </w:numPr>
        <w:spacing w:after="200" w:line="20" w:lineRule="atLeast"/>
      </w:pPr>
      <w:r>
        <w:t>Businesses already have obligations to verify their goods (including footwear) under cross-cutting consumer law;</w:t>
      </w:r>
    </w:p>
    <w:p w14:paraId="742585BE" w14:textId="2691F6A9" w:rsidR="00735B76" w:rsidRDefault="00735B76" w:rsidP="00D34C89">
      <w:pPr>
        <w:numPr>
          <w:ilvl w:val="1"/>
          <w:numId w:val="8"/>
        </w:numPr>
        <w:spacing w:after="200" w:line="20" w:lineRule="atLeast"/>
      </w:pPr>
      <w:r>
        <w:lastRenderedPageBreak/>
        <w:t xml:space="preserve">Other governmental departments and stakeholders have confirmed that UK businesses importing footwear from non-EEA countries do not face administrative cost at the border to demonstrate compliance with </w:t>
      </w:r>
      <w:r w:rsidR="00BC63D6">
        <w:t>the 1995 Footwear Labelling R</w:t>
      </w:r>
      <w:r>
        <w:t>egulations.</w:t>
      </w:r>
    </w:p>
    <w:p w14:paraId="75A2041B" w14:textId="21B96165" w:rsidR="007245D7" w:rsidRDefault="007245D7" w:rsidP="00AD51A5">
      <w:pPr>
        <w:numPr>
          <w:ilvl w:val="0"/>
          <w:numId w:val="4"/>
        </w:numPr>
        <w:spacing w:after="200"/>
        <w:rPr>
          <w:lang w:eastAsia="en-GB"/>
        </w:rPr>
      </w:pPr>
      <w:r>
        <w:t xml:space="preserve">We estimate that this statutory instrument will have no practical impact on business, charities, voluntary bodies, or the public sector. Businesses will experience little practical change resulting from the regulatory change and will therefore face negligible direct cost. </w:t>
      </w:r>
    </w:p>
    <w:p w14:paraId="2EF4A407" w14:textId="77777777" w:rsidR="005B31C3" w:rsidRDefault="005B31C3" w:rsidP="005B31C3">
      <w:pPr>
        <w:pStyle w:val="NoSpacing"/>
      </w:pPr>
    </w:p>
    <w:p w14:paraId="5F21A66D" w14:textId="27700913" w:rsidR="005B31C3" w:rsidRPr="00897016" w:rsidRDefault="005B31C3" w:rsidP="005B31C3">
      <w:pPr>
        <w:pStyle w:val="Heading2"/>
      </w:pPr>
      <w:bookmarkStart w:id="62" w:name="_Toc521073890"/>
      <w:r>
        <w:t>Amendment of the Consumer Protection from Unfair Trading Regulations 2008</w:t>
      </w:r>
      <w:bookmarkEnd w:id="62"/>
    </w:p>
    <w:p w14:paraId="37F5ED96" w14:textId="6966A2B4" w:rsidR="006E5F14" w:rsidRDefault="00964FF6" w:rsidP="00F45C80">
      <w:pPr>
        <w:numPr>
          <w:ilvl w:val="0"/>
          <w:numId w:val="4"/>
        </w:numPr>
        <w:spacing w:after="200" w:line="20" w:lineRule="atLeast"/>
      </w:pPr>
      <w:r w:rsidRPr="00964FF6">
        <w:t>The Consumer Protection (Amendment) (EU Exit) Regulations</w:t>
      </w:r>
      <w:r w:rsidR="006E5F14">
        <w:t xml:space="preserve"> make amendments to the Consumer Protection from Unfair Trading Regulations 2008 to replace any reference to “the European Economic Area” with “the United Kingdom”. In effect, the statutory instrument only makes changes in legal definitions to address any inconsistent EU references retained in EU derived law that would prevent it from operating effectively after the withdrawal of the United Kingdom from the European Union.</w:t>
      </w:r>
    </w:p>
    <w:p w14:paraId="28FA7ECA" w14:textId="295E3D41" w:rsidR="005B31C3" w:rsidRDefault="006E5F14" w:rsidP="00F45C80">
      <w:pPr>
        <w:numPr>
          <w:ilvl w:val="0"/>
          <w:numId w:val="4"/>
        </w:numPr>
        <w:spacing w:after="200" w:line="20" w:lineRule="atLeast"/>
      </w:pPr>
      <w:r>
        <w:t xml:space="preserve">The </w:t>
      </w:r>
      <w:r w:rsidR="003C6944">
        <w:t>SI</w:t>
      </w:r>
      <w:r w:rsidR="00964FF6">
        <w:t xml:space="preserve"> do</w:t>
      </w:r>
      <w:r w:rsidR="003C6944">
        <w:t>es</w:t>
      </w:r>
      <w:r>
        <w:t xml:space="preserve"> not represent a policy change and will have no impact on business, charities, voluntary bodies, or the public sector. </w:t>
      </w:r>
      <w:r w:rsidR="00972A05" w:rsidRPr="00972A05">
        <w:t xml:space="preserve">For businesses and consumers, the law will continue to apply in the same way as it did before the UK exited the European Union. </w:t>
      </w:r>
      <w:r>
        <w:t>Businesses will experience no change resulting from the regulatory change and will therefore face n</w:t>
      </w:r>
      <w:r w:rsidR="00102325">
        <w:t>egligible</w:t>
      </w:r>
      <w:r>
        <w:t xml:space="preserve"> direct cost</w:t>
      </w:r>
      <w:r w:rsidR="005B31C3">
        <w:t>.</w:t>
      </w:r>
    </w:p>
    <w:p w14:paraId="1087787D" w14:textId="77777777" w:rsidR="00724A95" w:rsidRPr="00E719A8" w:rsidRDefault="00724A95" w:rsidP="00E719A8">
      <w:pPr>
        <w:pStyle w:val="NoSpacing"/>
      </w:pPr>
    </w:p>
    <w:p w14:paraId="681E9D3E" w14:textId="1CEB2A0B" w:rsidR="00724A95" w:rsidRPr="00897016" w:rsidRDefault="00724A95" w:rsidP="00724A95">
      <w:pPr>
        <w:pStyle w:val="Heading2"/>
      </w:pPr>
      <w:bookmarkStart w:id="63" w:name="_Toc521073891"/>
      <w:r>
        <w:t xml:space="preserve">Amendment of the </w:t>
      </w:r>
      <w:r w:rsidR="00BE4FF6" w:rsidRPr="00BE4FF6">
        <w:t>Consumer Rights (Payme</w:t>
      </w:r>
      <w:r w:rsidR="00BE4FF6">
        <w:t>nt Surcharges) Regulations 2012</w:t>
      </w:r>
      <w:bookmarkEnd w:id="63"/>
    </w:p>
    <w:p w14:paraId="6D692671" w14:textId="54BD7D7A" w:rsidR="00BE4FF6" w:rsidRDefault="00724A95" w:rsidP="00F45C80">
      <w:pPr>
        <w:numPr>
          <w:ilvl w:val="0"/>
          <w:numId w:val="4"/>
        </w:numPr>
        <w:spacing w:after="200" w:line="20" w:lineRule="atLeast"/>
      </w:pPr>
      <w:r w:rsidRPr="00964FF6">
        <w:t>The Consumer Protection (Amendment) (EU Exit) Regulations</w:t>
      </w:r>
      <w:r>
        <w:t xml:space="preserve"> make amendments</w:t>
      </w:r>
      <w:r w:rsidR="00BE4FF6">
        <w:t xml:space="preserve"> to the Consumer Rights (Payment Surcharges) Regulations 2012 to replace any reference to definitions in EU Directives. In effect, the statutory instrument only makes changes in legal definitions to address any inconsistent EU references retained in EU derived law that would prevent it from operating effectively after the withdrawal of the United Kingdom from the European Union.</w:t>
      </w:r>
    </w:p>
    <w:p w14:paraId="670C90DF" w14:textId="2C9F8E98" w:rsidR="00724A95" w:rsidRDefault="00724A95" w:rsidP="00F45C80">
      <w:pPr>
        <w:numPr>
          <w:ilvl w:val="0"/>
          <w:numId w:val="4"/>
        </w:numPr>
        <w:spacing w:after="200" w:line="20" w:lineRule="atLeast"/>
      </w:pPr>
      <w:r>
        <w:t xml:space="preserve">The </w:t>
      </w:r>
      <w:r w:rsidR="003C6944">
        <w:t>SI</w:t>
      </w:r>
      <w:r>
        <w:t xml:space="preserve"> do</w:t>
      </w:r>
      <w:r w:rsidR="003C6944">
        <w:t>es</w:t>
      </w:r>
      <w:r>
        <w:t xml:space="preserve"> not represent a policy change and will have no impact on business, charities, voluntary bodies, or the public sector. </w:t>
      </w:r>
      <w:r w:rsidRPr="00972A05">
        <w:t xml:space="preserve">For businesses and consumers, the law will continue to apply in the same way as it did before the UK exited the European Union. </w:t>
      </w:r>
      <w:r>
        <w:t>Businesses will experience no change resulting from the regulatory c</w:t>
      </w:r>
      <w:r w:rsidR="00102325">
        <w:t>hange and will therefore face negligible</w:t>
      </w:r>
      <w:r>
        <w:t xml:space="preserve"> direct cost.</w:t>
      </w:r>
    </w:p>
    <w:p w14:paraId="1018D80D" w14:textId="3EBF5F4E" w:rsidR="005B31C3" w:rsidRDefault="005B31C3" w:rsidP="005B31C3">
      <w:pPr>
        <w:pStyle w:val="NoSpacing"/>
      </w:pPr>
    </w:p>
    <w:p w14:paraId="4874EE45" w14:textId="6AEF49A6" w:rsidR="005B31C3" w:rsidRPr="00897016" w:rsidRDefault="005B31C3" w:rsidP="005B31C3">
      <w:pPr>
        <w:pStyle w:val="Heading2"/>
      </w:pPr>
      <w:bookmarkStart w:id="64" w:name="_Toc521073892"/>
      <w:r>
        <w:t>Amendment of the Consumer Contracts (Information, Cancellation and Additional Charges) Regulations 2013</w:t>
      </w:r>
      <w:bookmarkEnd w:id="64"/>
    </w:p>
    <w:p w14:paraId="74B0579D" w14:textId="34BD040F" w:rsidR="00140B63" w:rsidRDefault="00140B63" w:rsidP="00F45C80">
      <w:pPr>
        <w:numPr>
          <w:ilvl w:val="0"/>
          <w:numId w:val="4"/>
        </w:numPr>
        <w:spacing w:after="200" w:line="20" w:lineRule="atLeast"/>
      </w:pPr>
      <w:r>
        <w:t xml:space="preserve">The </w:t>
      </w:r>
      <w:r w:rsidRPr="00140B63">
        <w:t xml:space="preserve">Consumer Protection (Amendment) (EU Exit) Regulations </w:t>
      </w:r>
      <w:r>
        <w:t xml:space="preserve">make amendments in legal definitions of the Consumer Contracts (Information, Cancellation and Additional Charges) Regulations 2013 to address any inconsistent EU references retained in EU </w:t>
      </w:r>
      <w:r>
        <w:lastRenderedPageBreak/>
        <w:t>derived law that would prevent it from operating effectively after the withdrawal of the United Kingdom from the European Union.</w:t>
      </w:r>
    </w:p>
    <w:p w14:paraId="48E5B032" w14:textId="42A98581" w:rsidR="005B31C3" w:rsidRDefault="00140B63" w:rsidP="00F45C80">
      <w:pPr>
        <w:numPr>
          <w:ilvl w:val="0"/>
          <w:numId w:val="4"/>
        </w:numPr>
        <w:spacing w:after="200" w:line="20" w:lineRule="atLeast"/>
      </w:pPr>
      <w:r>
        <w:t xml:space="preserve">The </w:t>
      </w:r>
      <w:r w:rsidR="003C6944">
        <w:t>SI</w:t>
      </w:r>
      <w:r w:rsidR="00724A95">
        <w:t xml:space="preserve"> do</w:t>
      </w:r>
      <w:r w:rsidR="003C6944">
        <w:t>es</w:t>
      </w:r>
      <w:r>
        <w:t xml:space="preserve"> not represent a policy change and will have no impact on business, charities, voluntary bodies, or the public sector. </w:t>
      </w:r>
      <w:r w:rsidR="00724A95" w:rsidRPr="00972A05">
        <w:t>For businesses and consumers, the law will continue to apply in the same way as it did before the UK exited the European Union.</w:t>
      </w:r>
      <w:r w:rsidR="00724A95">
        <w:t xml:space="preserve"> </w:t>
      </w:r>
      <w:r>
        <w:t>Businesses will experience no change resulting from the regulatory change and wil</w:t>
      </w:r>
      <w:r w:rsidR="00724A95">
        <w:t>l therefore face n</w:t>
      </w:r>
      <w:r w:rsidR="00102325">
        <w:t>egligible</w:t>
      </w:r>
      <w:r w:rsidR="00724A95">
        <w:t xml:space="preserve"> direct cost</w:t>
      </w:r>
      <w:r w:rsidR="00972A05" w:rsidRPr="00972A05">
        <w:t>.</w:t>
      </w:r>
    </w:p>
    <w:p w14:paraId="78E9431D" w14:textId="77777777" w:rsidR="005B31C3" w:rsidRDefault="005B31C3" w:rsidP="005B31C3">
      <w:pPr>
        <w:pStyle w:val="NoSpacing"/>
      </w:pPr>
    </w:p>
    <w:p w14:paraId="2AE038FA" w14:textId="3A9BEBFC" w:rsidR="005B31C3" w:rsidRPr="00897016" w:rsidRDefault="005B31C3" w:rsidP="005B31C3">
      <w:pPr>
        <w:pStyle w:val="Heading2"/>
      </w:pPr>
      <w:bookmarkStart w:id="65" w:name="_Toc521073893"/>
      <w:r>
        <w:t>Amendment of the Alternative Dispute Resolution for Consumer Disputes (Competent Authorities and Information) Regulations 2015</w:t>
      </w:r>
      <w:r w:rsidR="002F39DC">
        <w:t xml:space="preserve"> and Revocation of Regulation (EU) 524/2013</w:t>
      </w:r>
      <w:bookmarkEnd w:id="65"/>
    </w:p>
    <w:p w14:paraId="5B23FFE3" w14:textId="191D7F8F" w:rsidR="00BA5290" w:rsidRDefault="002334E8" w:rsidP="00F45C80">
      <w:pPr>
        <w:numPr>
          <w:ilvl w:val="0"/>
          <w:numId w:val="4"/>
        </w:numPr>
        <w:spacing w:after="200" w:line="20" w:lineRule="atLeast"/>
      </w:pPr>
      <w:r>
        <w:t xml:space="preserve">We anticipate that businesses in scope of </w:t>
      </w:r>
      <w:r w:rsidR="00C8155E">
        <w:t xml:space="preserve">amendment to </w:t>
      </w:r>
      <w:r w:rsidR="009001F6">
        <w:t xml:space="preserve">2015 </w:t>
      </w:r>
      <w:r>
        <w:t xml:space="preserve">ADR </w:t>
      </w:r>
      <w:r w:rsidR="009001F6">
        <w:t>R</w:t>
      </w:r>
      <w:r>
        <w:t>egulations will incur some small familiarisation</w:t>
      </w:r>
      <w:r w:rsidR="00B506F1">
        <w:t xml:space="preserve"> and training</w:t>
      </w:r>
      <w:r>
        <w:t xml:space="preserve"> cost</w:t>
      </w:r>
      <w:r w:rsidR="009F5EA3">
        <w:t>s</w:t>
      </w:r>
      <w:r w:rsidR="00B506F1">
        <w:t>. This is because senior</w:t>
      </w:r>
      <w:r>
        <w:t xml:space="preserve"> </w:t>
      </w:r>
      <w:r w:rsidR="00B506F1">
        <w:t>staff member</w:t>
      </w:r>
      <w:r w:rsidR="00154CD7">
        <w:t>s</w:t>
      </w:r>
      <w:r w:rsidR="00B506F1">
        <w:t xml:space="preserve"> wi</w:t>
      </w:r>
      <w:r w:rsidR="00C8155E">
        <w:t>ll</w:t>
      </w:r>
      <w:r w:rsidR="00B506F1">
        <w:t xml:space="preserve"> have to review the amended regulation and </w:t>
      </w:r>
      <w:r w:rsidR="00C8155E">
        <w:t xml:space="preserve">train their </w:t>
      </w:r>
      <w:proofErr w:type="gramStart"/>
      <w:r w:rsidR="00C8155E">
        <w:t>staff</w:t>
      </w:r>
      <w:proofErr w:type="gramEnd"/>
      <w:r w:rsidR="00C8155E">
        <w:t xml:space="preserve"> so they stop informing consumers about </w:t>
      </w:r>
      <w:r w:rsidR="00B506F1">
        <w:t xml:space="preserve">the ODR as an </w:t>
      </w:r>
      <w:r w:rsidR="00B506F1" w:rsidRPr="00A04862">
        <w:t>out-of-court disputes</w:t>
      </w:r>
      <w:r w:rsidR="00B506F1">
        <w:t xml:space="preserve"> </w:t>
      </w:r>
      <w:r w:rsidR="000623E6">
        <w:t xml:space="preserve">resolution </w:t>
      </w:r>
      <w:r w:rsidR="00C8155E">
        <w:t>mechanism</w:t>
      </w:r>
      <w:r w:rsidR="00B506F1">
        <w:t xml:space="preserve">. </w:t>
      </w:r>
      <w:r w:rsidR="00807CEE">
        <w:t xml:space="preserve">Businesses that sell goods and services online will also incur a one-off cost of </w:t>
      </w:r>
      <w:r w:rsidR="00B506F1">
        <w:t>amending their</w:t>
      </w:r>
      <w:r w:rsidR="00807CEE">
        <w:t xml:space="preserve"> websites </w:t>
      </w:r>
      <w:r w:rsidR="007074A3">
        <w:t>to</w:t>
      </w:r>
      <w:r w:rsidR="00807CEE">
        <w:t xml:space="preserve"> remove the link to the ODR platform</w:t>
      </w:r>
      <w:r w:rsidR="00C8155E">
        <w:t xml:space="preserve"> that was introduced by the 2015 ADR </w:t>
      </w:r>
      <w:r w:rsidR="009001F6">
        <w:t>R</w:t>
      </w:r>
      <w:r w:rsidR="00C8155E">
        <w:t>egulations</w:t>
      </w:r>
      <w:r>
        <w:t xml:space="preserve">. </w:t>
      </w:r>
    </w:p>
    <w:p w14:paraId="5EAF1119" w14:textId="41587358" w:rsidR="005B31C3" w:rsidRDefault="00BA5290" w:rsidP="00F45C80">
      <w:pPr>
        <w:numPr>
          <w:ilvl w:val="0"/>
          <w:numId w:val="4"/>
        </w:numPr>
        <w:spacing w:after="200" w:line="20" w:lineRule="atLeast"/>
      </w:pPr>
      <w:r>
        <w:t>The costs of familiarisation and of removing the link to the ODR platform are</w:t>
      </w:r>
      <w:r w:rsidR="00C8155E">
        <w:t xml:space="preserve"> the only two </w:t>
      </w:r>
      <w:r>
        <w:t xml:space="preserve">impacts </w:t>
      </w:r>
      <w:r w:rsidR="00C8155E">
        <w:t>that businesses will encounter</w:t>
      </w:r>
      <w:r>
        <w:t>. Other than these, the</w:t>
      </w:r>
      <w:r w:rsidR="000623E6">
        <w:t xml:space="preserve"> remaining</w:t>
      </w:r>
      <w:r>
        <w:t xml:space="preserve"> requirements introduced by the</w:t>
      </w:r>
      <w:r w:rsidR="00B506F1">
        <w:t xml:space="preserve"> </w:t>
      </w:r>
      <w:r>
        <w:t xml:space="preserve">2015 </w:t>
      </w:r>
      <w:r w:rsidR="00B506F1">
        <w:t xml:space="preserve">ADR </w:t>
      </w:r>
      <w:r w:rsidR="009001F6">
        <w:t>R</w:t>
      </w:r>
      <w:r w:rsidR="00B506F1">
        <w:t>e</w:t>
      </w:r>
      <w:r>
        <w:t>gulations will remain the same and will not be affected by this amendment. The familiarisation cost and that of removing the ODR websites are transition costs that the businesses will face only once. In consequence</w:t>
      </w:r>
      <w:r w:rsidR="006D6B5A">
        <w:t>,</w:t>
      </w:r>
      <w:r>
        <w:t xml:space="preserve"> this </w:t>
      </w:r>
      <w:r w:rsidR="0057650B">
        <w:t>SI</w:t>
      </w:r>
      <w:r w:rsidR="000623E6">
        <w:t xml:space="preserve"> will result in no ongoing annual </w:t>
      </w:r>
      <w:r>
        <w:t>costs and no ongoing</w:t>
      </w:r>
      <w:r w:rsidR="000623E6">
        <w:t xml:space="preserve"> annual</w:t>
      </w:r>
      <w:r>
        <w:t xml:space="preserve"> benefits to businesses. </w:t>
      </w:r>
    </w:p>
    <w:p w14:paraId="18654706" w14:textId="2A02ED6C" w:rsidR="006D6B5A" w:rsidRDefault="006D6B5A" w:rsidP="00F45C80">
      <w:pPr>
        <w:numPr>
          <w:ilvl w:val="0"/>
          <w:numId w:val="4"/>
        </w:numPr>
        <w:spacing w:after="200" w:line="20" w:lineRule="atLeast"/>
      </w:pPr>
      <w:r>
        <w:t>Whilst existing businesses will face a one-off transition cost, the</w:t>
      </w:r>
      <w:r w:rsidRPr="006D6B5A">
        <w:t xml:space="preserve"> </w:t>
      </w:r>
      <w:r>
        <w:t>a</w:t>
      </w:r>
      <w:r w:rsidRPr="006D6B5A">
        <w:t>mendment of the Alternative Dispute Resolution for Consumer Disputes (Competent Authorities and Information) Regulations 2015 and</w:t>
      </w:r>
      <w:r>
        <w:t xml:space="preserve"> the</w:t>
      </w:r>
      <w:r w:rsidRPr="006D6B5A">
        <w:t xml:space="preserve"> </w:t>
      </w:r>
      <w:r>
        <w:t>r</w:t>
      </w:r>
      <w:r w:rsidRPr="006D6B5A">
        <w:t>evocation of Regulation (EU) 524/2013</w:t>
      </w:r>
      <w:r>
        <w:t xml:space="preserve"> are considered as “deregulatory”</w:t>
      </w:r>
      <w:r w:rsidR="00911E99">
        <w:t xml:space="preserve">. This is because any future new businesses trading online would no longer have to provide a link to the platform on </w:t>
      </w:r>
      <w:r w:rsidR="00A52215">
        <w:t xml:space="preserve">their website, thereby reducing the regulatory burdens on </w:t>
      </w:r>
      <w:r w:rsidR="000623E6">
        <w:t xml:space="preserve">future </w:t>
      </w:r>
      <w:r w:rsidR="00A52215">
        <w:t>UK online traders.</w:t>
      </w:r>
      <w:r>
        <w:t xml:space="preserve"> </w:t>
      </w:r>
    </w:p>
    <w:p w14:paraId="49C2F9D4" w14:textId="6DB05A54" w:rsidR="00CD7A69" w:rsidRDefault="00CD7A69" w:rsidP="00CD7A69">
      <w:pPr>
        <w:pStyle w:val="Heading3"/>
      </w:pPr>
      <w:bookmarkStart w:id="66" w:name="_Toc521073894"/>
      <w:r>
        <w:t>Scope:</w:t>
      </w:r>
      <w:bookmarkEnd w:id="66"/>
    </w:p>
    <w:p w14:paraId="3E58C5F3" w14:textId="169F5175" w:rsidR="007A0272" w:rsidRDefault="00C55AE1" w:rsidP="00F45C80">
      <w:pPr>
        <w:numPr>
          <w:ilvl w:val="0"/>
          <w:numId w:val="4"/>
        </w:numPr>
        <w:spacing w:after="200" w:line="20" w:lineRule="atLeast"/>
      </w:pPr>
      <w:r>
        <w:t>The</w:t>
      </w:r>
      <w:r w:rsidR="002621B8">
        <w:t xml:space="preserve"> 2015</w:t>
      </w:r>
      <w:r>
        <w:t xml:space="preserve"> Impact Assessment</w:t>
      </w:r>
      <w:r w:rsidR="002621B8">
        <w:t xml:space="preserve"> for the implementation of the A</w:t>
      </w:r>
      <w:r w:rsidR="007D7F5A">
        <w:t xml:space="preserve">lternative </w:t>
      </w:r>
      <w:r>
        <w:t>D</w:t>
      </w:r>
      <w:r w:rsidR="007D7F5A">
        <w:t xml:space="preserve">ispute </w:t>
      </w:r>
      <w:r>
        <w:t>R</w:t>
      </w:r>
      <w:r w:rsidR="007D7F5A">
        <w:t>egulation D</w:t>
      </w:r>
      <w:r>
        <w:t>irective</w:t>
      </w:r>
      <w:r>
        <w:rPr>
          <w:rStyle w:val="FootnoteReference"/>
        </w:rPr>
        <w:footnoteReference w:id="3"/>
      </w:r>
      <w:r>
        <w:t xml:space="preserve"> </w:t>
      </w:r>
      <w:r w:rsidR="002621B8">
        <w:t xml:space="preserve">(“the 2015 ADR IA”) </w:t>
      </w:r>
      <w:r>
        <w:t>state</w:t>
      </w:r>
      <w:r w:rsidR="005F0898">
        <w:t>d</w:t>
      </w:r>
      <w:r>
        <w:t xml:space="preserve"> that </w:t>
      </w:r>
      <w:proofErr w:type="gramStart"/>
      <w:r>
        <w:t>the majority of</w:t>
      </w:r>
      <w:proofErr w:type="gramEnd"/>
      <w:r>
        <w:t xml:space="preserve"> businesses that sell goods and services are within scope</w:t>
      </w:r>
      <w:r w:rsidR="00365106">
        <w:t xml:space="preserve"> of</w:t>
      </w:r>
      <w:r>
        <w:t xml:space="preserve"> </w:t>
      </w:r>
      <w:r w:rsidR="00365106">
        <w:t>the regulation</w:t>
      </w:r>
      <w:r>
        <w:t>. The</w:t>
      </w:r>
      <w:r w:rsidR="002621B8">
        <w:t xml:space="preserve"> 2015 ADR IA define</w:t>
      </w:r>
      <w:r w:rsidR="005F0898">
        <w:t>d</w:t>
      </w:r>
      <w:r w:rsidR="002621B8">
        <w:t xml:space="preserve"> the total number of businesses selling either goods or services to consumers as all retail, accommodation, automotive and personal service enterprises. This definition is the same used in the 2008 Impact Assessment for the implementation of the Consumer Protection from Unfair Trading Regulations</w:t>
      </w:r>
      <w:r w:rsidR="00AC5F1C">
        <w:rPr>
          <w:rStyle w:val="FootnoteReference"/>
        </w:rPr>
        <w:footnoteReference w:id="4"/>
      </w:r>
      <w:r w:rsidR="00AC5F1C">
        <w:t>, which estimate</w:t>
      </w:r>
      <w:r w:rsidR="005F0898">
        <w:t>d</w:t>
      </w:r>
      <w:r w:rsidR="00AC5F1C">
        <w:t xml:space="preserve"> the businesses in scope of the regulation </w:t>
      </w:r>
      <w:r w:rsidR="00A905A1">
        <w:t xml:space="preserve">are those </w:t>
      </w:r>
      <w:r w:rsidR="00AC5F1C">
        <w:t xml:space="preserve">using the 2003 SIC codes </w:t>
      </w:r>
      <w:r w:rsidR="00AC5F1C" w:rsidRPr="00AC5F1C">
        <w:t>50, 52, 55, 71.1, 71.4 and 93</w:t>
      </w:r>
      <w:r w:rsidR="00AC5F1C">
        <w:t>.</w:t>
      </w:r>
      <w:r w:rsidR="00AC5F1C" w:rsidRPr="00AC5F1C">
        <w:t xml:space="preserve"> </w:t>
      </w:r>
    </w:p>
    <w:p w14:paraId="374BA024" w14:textId="5DF8AC17" w:rsidR="00C25C71" w:rsidRDefault="002621B8" w:rsidP="00F45C80">
      <w:pPr>
        <w:numPr>
          <w:ilvl w:val="0"/>
          <w:numId w:val="4"/>
        </w:numPr>
        <w:spacing w:after="200" w:line="20" w:lineRule="atLeast"/>
      </w:pPr>
      <w:r>
        <w:lastRenderedPageBreak/>
        <w:t xml:space="preserve">For consistency purposes, we use the same definitions </w:t>
      </w:r>
      <w:r w:rsidR="00AC5F1C">
        <w:t xml:space="preserve">of businesses as used in the two </w:t>
      </w:r>
      <w:proofErr w:type="gramStart"/>
      <w:r w:rsidR="00AC5F1C">
        <w:t>aforementioned impact</w:t>
      </w:r>
      <w:proofErr w:type="gramEnd"/>
      <w:r w:rsidR="00AC5F1C">
        <w:t xml:space="preserve"> assessments</w:t>
      </w:r>
      <w:r w:rsidR="007A0272">
        <w:t xml:space="preserve"> and </w:t>
      </w:r>
      <w:r w:rsidR="00A905A1">
        <w:t>assume that</w:t>
      </w:r>
      <w:r w:rsidR="007A0272">
        <w:t xml:space="preserve"> businesses in retail, accommodation, automotive and personal service enterprises are in scope of this </w:t>
      </w:r>
      <w:r w:rsidR="0057650B">
        <w:t>SI</w:t>
      </w:r>
      <w:r w:rsidR="007A0272">
        <w:t>. U</w:t>
      </w:r>
      <w:r w:rsidR="00AC5F1C">
        <w:t>sing the ONS correlation between UK SIC 2003 codes and UK SIC 2007 code</w:t>
      </w:r>
      <w:r w:rsidR="007A0272">
        <w:t>s</w:t>
      </w:r>
      <w:r w:rsidR="007A0272">
        <w:rPr>
          <w:rStyle w:val="FootnoteReference"/>
        </w:rPr>
        <w:footnoteReference w:id="5"/>
      </w:r>
      <w:r w:rsidR="007A0272">
        <w:t xml:space="preserve">, we estimate that businesses in scope of the </w:t>
      </w:r>
      <w:r w:rsidR="0057650B">
        <w:t>SI</w:t>
      </w:r>
      <w:r w:rsidR="007A0272">
        <w:t xml:space="preserve"> are t</w:t>
      </w:r>
      <w:r w:rsidR="007B5D85">
        <w:t>hose with the following SIC 200</w:t>
      </w:r>
      <w:r w:rsidR="007A0272">
        <w:t>7 codes: 45, 47, 55, 56</w:t>
      </w:r>
      <w:r w:rsidR="00D856D8">
        <w:rPr>
          <w:rStyle w:val="FootnoteReference"/>
        </w:rPr>
        <w:footnoteReference w:id="6"/>
      </w:r>
      <w:r w:rsidR="007A0272">
        <w:t>, 77.1, 77.2, 85.5, 93.1, and 96</w:t>
      </w:r>
      <w:r w:rsidR="00884B32">
        <w:rPr>
          <w:rStyle w:val="FootnoteReference"/>
        </w:rPr>
        <w:footnoteReference w:id="7"/>
      </w:r>
      <w:r w:rsidR="007A0272">
        <w:t xml:space="preserve">. </w:t>
      </w:r>
      <w:r w:rsidR="00A905A1">
        <w:t xml:space="preserve">Using this definition and the 2017 Business Population Estimates in the UK, we </w:t>
      </w:r>
      <w:r w:rsidR="00365106">
        <w:t xml:space="preserve">therefore </w:t>
      </w:r>
      <w:r w:rsidR="00A905A1">
        <w:t>estimate th</w:t>
      </w:r>
      <w:r w:rsidR="00365106">
        <w:t>at th</w:t>
      </w:r>
      <w:r w:rsidR="00A905A1">
        <w:t>ere are</w:t>
      </w:r>
      <w:r w:rsidR="00365106">
        <w:t xml:space="preserve"> </w:t>
      </w:r>
      <w:r w:rsidR="00A905A1">
        <w:t xml:space="preserve">approximately 879,670 businesses in scope of </w:t>
      </w:r>
      <w:r w:rsidR="00365106">
        <w:t xml:space="preserve">the </w:t>
      </w:r>
      <w:r w:rsidR="009001F6">
        <w:t xml:space="preserve">2015 </w:t>
      </w:r>
      <w:r w:rsidR="00A905A1">
        <w:t>ADR</w:t>
      </w:r>
      <w:r w:rsidR="009001F6">
        <w:t xml:space="preserve"> R</w:t>
      </w:r>
      <w:r w:rsidR="00365106">
        <w:t>egulations</w:t>
      </w:r>
      <w:r w:rsidR="003C22C1">
        <w:t xml:space="preserve"> and therefore in scope of this </w:t>
      </w:r>
      <w:r w:rsidR="00BB5393">
        <w:t>amendment</w:t>
      </w:r>
      <w:r w:rsidR="00A905A1">
        <w:t>.</w:t>
      </w:r>
      <w:r w:rsidR="002334E8">
        <w:t xml:space="preserve"> The size of the business population breaks down as follows:</w:t>
      </w:r>
    </w:p>
    <w:p w14:paraId="1C77E357" w14:textId="63B6B950" w:rsidR="00C25C71" w:rsidRDefault="00C25C71" w:rsidP="00A905A1">
      <w:pPr>
        <w:spacing w:after="200" w:line="20" w:lineRule="atLeast"/>
      </w:pPr>
      <w:r w:rsidRPr="00045CFC">
        <w:t xml:space="preserve">Table </w:t>
      </w:r>
      <w:r w:rsidR="00FB56EA" w:rsidRPr="00045CFC">
        <w:t>1</w:t>
      </w:r>
      <w:r w:rsidRPr="002334E8">
        <w:t xml:space="preserve">: </w:t>
      </w:r>
      <w:r w:rsidR="002334E8" w:rsidRPr="002334E8">
        <w:t xml:space="preserve">Population and size of businesses in scope of </w:t>
      </w:r>
      <w:r w:rsidR="009001F6">
        <w:t>2015 ADR R</w:t>
      </w:r>
      <w:r w:rsidR="002334E8" w:rsidRPr="002334E8">
        <w:t>egulations</w:t>
      </w:r>
    </w:p>
    <w:tbl>
      <w:tblPr>
        <w:tblStyle w:val="TableGrid"/>
        <w:tblW w:w="0" w:type="auto"/>
        <w:tblLook w:val="04A0" w:firstRow="1" w:lastRow="0" w:firstColumn="1" w:lastColumn="0" w:noHBand="0" w:noVBand="1"/>
      </w:tblPr>
      <w:tblGrid>
        <w:gridCol w:w="5099"/>
        <w:gridCol w:w="5101"/>
      </w:tblGrid>
      <w:tr w:rsidR="00C11203" w14:paraId="71C55BB7" w14:textId="77777777" w:rsidTr="00C25C71">
        <w:tc>
          <w:tcPr>
            <w:tcW w:w="5210" w:type="dxa"/>
            <w:tcBorders>
              <w:top w:val="nil"/>
              <w:left w:val="nil"/>
              <w:bottom w:val="single" w:sz="4" w:space="0" w:color="auto"/>
            </w:tcBorders>
          </w:tcPr>
          <w:p w14:paraId="72B9462D" w14:textId="77777777" w:rsidR="00C11203" w:rsidRDefault="00C11203" w:rsidP="00C11203">
            <w:pPr>
              <w:spacing w:after="200" w:line="20" w:lineRule="atLeast"/>
            </w:pPr>
          </w:p>
        </w:tc>
        <w:tc>
          <w:tcPr>
            <w:tcW w:w="5211" w:type="dxa"/>
            <w:tcBorders>
              <w:bottom w:val="single" w:sz="4" w:space="0" w:color="auto"/>
            </w:tcBorders>
          </w:tcPr>
          <w:p w14:paraId="48C612A0" w14:textId="4A8035BA" w:rsidR="00C11203" w:rsidRDefault="00C11203" w:rsidP="00C11203">
            <w:pPr>
              <w:spacing w:after="200" w:line="20" w:lineRule="atLeast"/>
            </w:pPr>
            <w:r>
              <w:t>Nu</w:t>
            </w:r>
            <w:r w:rsidR="00DA6B1E">
              <w:t>mber of businesses in scope of amendment to ADR and r</w:t>
            </w:r>
            <w:r>
              <w:t>evocation of ODR regulations</w:t>
            </w:r>
          </w:p>
        </w:tc>
      </w:tr>
      <w:tr w:rsidR="00C11203" w14:paraId="6414A357" w14:textId="77777777" w:rsidTr="00C25C71">
        <w:tc>
          <w:tcPr>
            <w:tcW w:w="5210" w:type="dxa"/>
            <w:tcBorders>
              <w:bottom w:val="nil"/>
            </w:tcBorders>
          </w:tcPr>
          <w:p w14:paraId="3B5C6248" w14:textId="4AA68E9D" w:rsidR="00C11203" w:rsidRDefault="00C11203" w:rsidP="00C11203">
            <w:pPr>
              <w:spacing w:after="200" w:line="20" w:lineRule="atLeast"/>
            </w:pPr>
            <w:r>
              <w:t>Micro-businesses (no or 1 to 9 employees)</w:t>
            </w:r>
          </w:p>
        </w:tc>
        <w:tc>
          <w:tcPr>
            <w:tcW w:w="5211" w:type="dxa"/>
            <w:tcBorders>
              <w:bottom w:val="nil"/>
            </w:tcBorders>
            <w:vAlign w:val="center"/>
          </w:tcPr>
          <w:p w14:paraId="62334616" w14:textId="0989EC0C" w:rsidR="00C11203" w:rsidRDefault="00C11203" w:rsidP="00C25C71">
            <w:pPr>
              <w:spacing w:after="200" w:line="20" w:lineRule="atLeast"/>
              <w:jc w:val="right"/>
            </w:pPr>
            <w:r w:rsidRPr="00C11203">
              <w:t>810,700</w:t>
            </w:r>
          </w:p>
        </w:tc>
      </w:tr>
      <w:tr w:rsidR="00C11203" w14:paraId="5D5660BB" w14:textId="77777777" w:rsidTr="00C25C71">
        <w:tc>
          <w:tcPr>
            <w:tcW w:w="5210" w:type="dxa"/>
            <w:tcBorders>
              <w:top w:val="nil"/>
              <w:bottom w:val="nil"/>
            </w:tcBorders>
          </w:tcPr>
          <w:p w14:paraId="06CB2949" w14:textId="72B9E770" w:rsidR="00C11203" w:rsidRDefault="00C11203" w:rsidP="00C11203">
            <w:pPr>
              <w:spacing w:after="200" w:line="20" w:lineRule="atLeast"/>
            </w:pPr>
            <w:r>
              <w:t>Small businesses (10 to 49 employees)</w:t>
            </w:r>
          </w:p>
        </w:tc>
        <w:tc>
          <w:tcPr>
            <w:tcW w:w="5211" w:type="dxa"/>
            <w:tcBorders>
              <w:top w:val="nil"/>
              <w:bottom w:val="nil"/>
            </w:tcBorders>
            <w:vAlign w:val="center"/>
          </w:tcPr>
          <w:p w14:paraId="3AFB7F7B" w14:textId="298552F8" w:rsidR="00C11203" w:rsidRDefault="00C11203" w:rsidP="00C25C71">
            <w:pPr>
              <w:spacing w:after="200" w:line="20" w:lineRule="atLeast"/>
              <w:jc w:val="right"/>
            </w:pPr>
            <w:r w:rsidRPr="00C11203">
              <w:t>61,025</w:t>
            </w:r>
          </w:p>
        </w:tc>
      </w:tr>
      <w:tr w:rsidR="00C11203" w14:paraId="3962E805" w14:textId="77777777" w:rsidTr="00C25C71">
        <w:tc>
          <w:tcPr>
            <w:tcW w:w="5210" w:type="dxa"/>
            <w:tcBorders>
              <w:top w:val="nil"/>
              <w:bottom w:val="nil"/>
            </w:tcBorders>
          </w:tcPr>
          <w:p w14:paraId="55C9D7F9" w14:textId="0769B281" w:rsidR="00C11203" w:rsidRDefault="00C11203" w:rsidP="00C11203">
            <w:pPr>
              <w:spacing w:after="200" w:line="20" w:lineRule="atLeast"/>
            </w:pPr>
            <w:r>
              <w:t>Medium (50 to 249 employees)</w:t>
            </w:r>
          </w:p>
        </w:tc>
        <w:tc>
          <w:tcPr>
            <w:tcW w:w="5211" w:type="dxa"/>
            <w:tcBorders>
              <w:top w:val="nil"/>
              <w:bottom w:val="nil"/>
            </w:tcBorders>
            <w:vAlign w:val="center"/>
          </w:tcPr>
          <w:p w14:paraId="3B6F56D4" w14:textId="7A142597" w:rsidR="00C11203" w:rsidRDefault="00C11203" w:rsidP="00C25C71">
            <w:pPr>
              <w:spacing w:after="200" w:line="20" w:lineRule="atLeast"/>
              <w:jc w:val="right"/>
            </w:pPr>
            <w:r w:rsidRPr="00C11203">
              <w:t>6,455</w:t>
            </w:r>
          </w:p>
        </w:tc>
      </w:tr>
      <w:tr w:rsidR="00C11203" w14:paraId="69925216" w14:textId="77777777" w:rsidTr="002334E8">
        <w:tc>
          <w:tcPr>
            <w:tcW w:w="5210" w:type="dxa"/>
            <w:tcBorders>
              <w:top w:val="nil"/>
              <w:bottom w:val="single" w:sz="4" w:space="0" w:color="auto"/>
            </w:tcBorders>
          </w:tcPr>
          <w:p w14:paraId="226BDBF7" w14:textId="5F538547" w:rsidR="00C11203" w:rsidRDefault="00C11203" w:rsidP="00C11203">
            <w:pPr>
              <w:spacing w:after="200" w:line="20" w:lineRule="atLeast"/>
            </w:pPr>
            <w:r>
              <w:t>Large (250 or more employees)</w:t>
            </w:r>
          </w:p>
        </w:tc>
        <w:tc>
          <w:tcPr>
            <w:tcW w:w="5211" w:type="dxa"/>
            <w:tcBorders>
              <w:top w:val="nil"/>
              <w:bottom w:val="single" w:sz="4" w:space="0" w:color="auto"/>
            </w:tcBorders>
            <w:vAlign w:val="center"/>
          </w:tcPr>
          <w:p w14:paraId="1EE24589" w14:textId="40789A5F" w:rsidR="00C11203" w:rsidRDefault="00C11203" w:rsidP="00C25C71">
            <w:pPr>
              <w:spacing w:after="200" w:line="20" w:lineRule="atLeast"/>
              <w:jc w:val="right"/>
            </w:pPr>
            <w:r w:rsidRPr="00C11203">
              <w:t>1,490</w:t>
            </w:r>
          </w:p>
        </w:tc>
      </w:tr>
      <w:tr w:rsidR="00C11203" w:rsidRPr="002334E8" w14:paraId="7EC760A5" w14:textId="77777777" w:rsidTr="002334E8">
        <w:tc>
          <w:tcPr>
            <w:tcW w:w="5210" w:type="dxa"/>
            <w:tcBorders>
              <w:top w:val="single" w:sz="4" w:space="0" w:color="auto"/>
              <w:left w:val="single" w:sz="4" w:space="0" w:color="auto"/>
              <w:bottom w:val="single" w:sz="4" w:space="0" w:color="auto"/>
              <w:right w:val="single" w:sz="4" w:space="0" w:color="auto"/>
            </w:tcBorders>
          </w:tcPr>
          <w:p w14:paraId="2D641479" w14:textId="222CCE56" w:rsidR="00C11203" w:rsidRPr="002334E8" w:rsidRDefault="00C11203" w:rsidP="00C11203">
            <w:pPr>
              <w:spacing w:after="200" w:line="20" w:lineRule="atLeast"/>
              <w:rPr>
                <w:b/>
              </w:rPr>
            </w:pPr>
            <w:r w:rsidRPr="002334E8">
              <w:rPr>
                <w:b/>
              </w:rPr>
              <w:t>TOTAL</w:t>
            </w:r>
          </w:p>
        </w:tc>
        <w:tc>
          <w:tcPr>
            <w:tcW w:w="5211" w:type="dxa"/>
            <w:tcBorders>
              <w:top w:val="single" w:sz="4" w:space="0" w:color="auto"/>
              <w:left w:val="single" w:sz="4" w:space="0" w:color="auto"/>
              <w:bottom w:val="single" w:sz="4" w:space="0" w:color="auto"/>
              <w:right w:val="single" w:sz="4" w:space="0" w:color="auto"/>
            </w:tcBorders>
            <w:vAlign w:val="center"/>
          </w:tcPr>
          <w:p w14:paraId="737230CF" w14:textId="2DCA555E" w:rsidR="00C11203" w:rsidRPr="002334E8" w:rsidRDefault="00C11203" w:rsidP="00C25C71">
            <w:pPr>
              <w:spacing w:after="200" w:line="20" w:lineRule="atLeast"/>
              <w:jc w:val="right"/>
              <w:rPr>
                <w:b/>
              </w:rPr>
            </w:pPr>
            <w:r w:rsidRPr="002334E8">
              <w:rPr>
                <w:b/>
              </w:rPr>
              <w:t>879,670</w:t>
            </w:r>
          </w:p>
        </w:tc>
      </w:tr>
    </w:tbl>
    <w:p w14:paraId="743D08AB" w14:textId="77777777" w:rsidR="00F54501" w:rsidRDefault="00F54501" w:rsidP="00F54501">
      <w:pPr>
        <w:pStyle w:val="NoSpacing"/>
      </w:pPr>
    </w:p>
    <w:p w14:paraId="03F9463C" w14:textId="0B51B7B5" w:rsidR="002334E8" w:rsidRDefault="00F54501" w:rsidP="00F45C80">
      <w:pPr>
        <w:numPr>
          <w:ilvl w:val="0"/>
          <w:numId w:val="4"/>
        </w:numPr>
        <w:spacing w:after="200" w:line="20" w:lineRule="atLeast"/>
      </w:pPr>
      <w:r>
        <w:t>The breakdown of the number of businesses in scope in each of the relevant sectors is as follows:</w:t>
      </w:r>
      <w:r w:rsidRPr="00F54501">
        <w:t xml:space="preserve"> 296,945 (34%) in retail sector</w:t>
      </w:r>
      <w:r w:rsidR="00A055BA">
        <w:t>;</w:t>
      </w:r>
      <w:r>
        <w:t xml:space="preserve"> 202,055 (23%) in accommodation and food services</w:t>
      </w:r>
      <w:r w:rsidR="00A055BA">
        <w:t>;</w:t>
      </w:r>
      <w:r w:rsidRPr="00F54501">
        <w:t xml:space="preserve"> 106,860 (12%) in automotive </w:t>
      </w:r>
      <w:r w:rsidR="00A055BA" w:rsidRPr="00F54501">
        <w:t>sector</w:t>
      </w:r>
      <w:r w:rsidR="00A055BA">
        <w:t>;</w:t>
      </w:r>
      <w:r w:rsidRPr="00F54501">
        <w:t xml:space="preserve"> and 273,810 (31%) in personal services. </w:t>
      </w:r>
      <w:r w:rsidR="009473FF">
        <w:t>A more detailed breakdown of the population and size of businesses in scope per sector is provided in Annex A.</w:t>
      </w:r>
    </w:p>
    <w:p w14:paraId="7D2FCFF5" w14:textId="3B3F753D" w:rsidR="005B31C3" w:rsidRDefault="005B31C3" w:rsidP="005B31C3">
      <w:pPr>
        <w:pStyle w:val="Heading3"/>
      </w:pPr>
      <w:bookmarkStart w:id="67" w:name="_Toc521073895"/>
      <w:r>
        <w:t>Familiarisation Cost:</w:t>
      </w:r>
      <w:bookmarkEnd w:id="67"/>
    </w:p>
    <w:p w14:paraId="34715CDC" w14:textId="5A9AA7DB" w:rsidR="00DB1233" w:rsidRDefault="00DB1233" w:rsidP="00F45C80">
      <w:pPr>
        <w:numPr>
          <w:ilvl w:val="0"/>
          <w:numId w:val="4"/>
        </w:numPr>
        <w:spacing w:after="200" w:line="20" w:lineRule="atLeast"/>
      </w:pPr>
      <w:r>
        <w:t>T</w:t>
      </w:r>
      <w:r w:rsidR="00365106">
        <w:t>he</w:t>
      </w:r>
      <w:r>
        <w:t xml:space="preserve"> 2015 ADR Impact Assessment estimated that familiarisation would take approximately 1 hour of a staff member’s time with consumer service staff receiving a short explanation of the additional information</w:t>
      </w:r>
      <w:r w:rsidR="00D44950">
        <w:t xml:space="preserve"> on ADR and ODR</w:t>
      </w:r>
      <w:r>
        <w:t xml:space="preserve"> that they </w:t>
      </w:r>
      <w:r w:rsidR="000D160C">
        <w:t>must</w:t>
      </w:r>
      <w:r>
        <w:t xml:space="preserve"> provide </w:t>
      </w:r>
      <w:r w:rsidR="00B35D1C">
        <w:t xml:space="preserve">to </w:t>
      </w:r>
      <w:r>
        <w:t>consumers.</w:t>
      </w:r>
      <w:r w:rsidR="00AA69D3">
        <w:t xml:space="preserve"> </w:t>
      </w:r>
      <w:r w:rsidR="00A757DB">
        <w:t xml:space="preserve">No responses were received </w:t>
      </w:r>
      <w:r w:rsidR="00AA69D3">
        <w:t>for this estimate during their consultation.</w:t>
      </w:r>
      <w:r>
        <w:t xml:space="preserve"> Under this </w:t>
      </w:r>
      <w:r w:rsidR="0057650B">
        <w:t>SI</w:t>
      </w:r>
      <w:r>
        <w:t xml:space="preserve">, requirements introduced by the 2015 ADR Regulations would remain largely the same </w:t>
      </w:r>
      <w:r w:rsidR="00DB2C4C">
        <w:t>and the only change would be the removal of the ODR as a</w:t>
      </w:r>
      <w:r w:rsidR="00A04862">
        <w:t xml:space="preserve">n </w:t>
      </w:r>
      <w:r w:rsidR="00A04862" w:rsidRPr="00A04862">
        <w:t xml:space="preserve">out-of-court </w:t>
      </w:r>
      <w:r w:rsidR="00733E1F">
        <w:t xml:space="preserve">dispute </w:t>
      </w:r>
      <w:r w:rsidR="00A04862" w:rsidRPr="00A04862">
        <w:t xml:space="preserve">resolution </w:t>
      </w:r>
      <w:r w:rsidR="00733E1F">
        <w:t>m</w:t>
      </w:r>
      <w:r w:rsidR="00C8155E">
        <w:t>echanism</w:t>
      </w:r>
      <w:r w:rsidR="00DE1350">
        <w:t xml:space="preserve">. </w:t>
      </w:r>
      <w:r w:rsidR="00E34A28">
        <w:t>As a result, we assume it will take less than an hour for businesses to familiarise themselves with the changes in the</w:t>
      </w:r>
      <w:r w:rsidR="0057650B">
        <w:t xml:space="preserve"> r</w:t>
      </w:r>
      <w:r w:rsidR="00E34A28">
        <w:t>egulation</w:t>
      </w:r>
      <w:r w:rsidR="00C8155E">
        <w:t xml:space="preserve">. As the requirements introduced by this </w:t>
      </w:r>
      <w:r w:rsidR="0057650B">
        <w:t>SI</w:t>
      </w:r>
      <w:r w:rsidR="00C8155E">
        <w:t xml:space="preserve"> are minimal compared to those introduced by the 2015 ADR </w:t>
      </w:r>
      <w:r w:rsidR="009001F6">
        <w:t>R</w:t>
      </w:r>
      <w:r w:rsidR="00C8155E">
        <w:t>egulations</w:t>
      </w:r>
      <w:r w:rsidR="00134EAB">
        <w:rPr>
          <w:rStyle w:val="FootnoteReference"/>
        </w:rPr>
        <w:footnoteReference w:id="8"/>
      </w:r>
      <w:r w:rsidR="00C8155E">
        <w:t xml:space="preserve">, we estimate that </w:t>
      </w:r>
      <w:r w:rsidR="00E34A28">
        <w:t>half an hour</w:t>
      </w:r>
      <w:r w:rsidR="00C8155E">
        <w:t xml:space="preserve"> should be </w:t>
      </w:r>
      <w:proofErr w:type="gramStart"/>
      <w:r w:rsidR="00C8155E">
        <w:t>sufficient</w:t>
      </w:r>
      <w:proofErr w:type="gramEnd"/>
      <w:r w:rsidR="00C8155E">
        <w:t xml:space="preserve"> for businesses to familiarise themselves with the amended regulation</w:t>
      </w:r>
      <w:r w:rsidR="00E34A28">
        <w:t>.</w:t>
      </w:r>
      <w:r w:rsidR="00D62B97">
        <w:t xml:space="preserve"> We</w:t>
      </w:r>
      <w:r w:rsidR="00A05A31">
        <w:t xml:space="preserve"> understand </w:t>
      </w:r>
      <w:r w:rsidR="00CD0628">
        <w:t xml:space="preserve">that these </w:t>
      </w:r>
      <w:r w:rsidR="0087519C">
        <w:lastRenderedPageBreak/>
        <w:t xml:space="preserve">assumptions are </w:t>
      </w:r>
      <w:r w:rsidR="000E316E">
        <w:t xml:space="preserve">uncertain and </w:t>
      </w:r>
      <w:r w:rsidR="0087519C">
        <w:t xml:space="preserve">reliant on the analysis </w:t>
      </w:r>
      <w:r w:rsidR="000113BD">
        <w:t xml:space="preserve">produced </w:t>
      </w:r>
      <w:r w:rsidR="0087519C">
        <w:t>in the</w:t>
      </w:r>
      <w:r w:rsidR="000113BD">
        <w:t xml:space="preserve"> impact assessment accompanying the</w:t>
      </w:r>
      <w:r w:rsidR="0087519C">
        <w:t xml:space="preserve"> </w:t>
      </w:r>
      <w:r w:rsidR="0012789F">
        <w:t>2015 ADR Regulations</w:t>
      </w:r>
      <w:r w:rsidR="000E316E">
        <w:t xml:space="preserve">. </w:t>
      </w:r>
      <w:r w:rsidR="00902759">
        <w:t>However, i</w:t>
      </w:r>
      <w:r w:rsidR="0012789F">
        <w:t xml:space="preserve">n the absence of </w:t>
      </w:r>
      <w:r w:rsidR="00902759">
        <w:t>new</w:t>
      </w:r>
      <w:r w:rsidR="008C49B9">
        <w:t xml:space="preserve"> and </w:t>
      </w:r>
      <w:r w:rsidR="00FE2DF3">
        <w:t>robust</w:t>
      </w:r>
      <w:r w:rsidR="008C49B9">
        <w:t xml:space="preserve"> </w:t>
      </w:r>
      <w:r w:rsidR="00A82D00">
        <w:t>material</w:t>
      </w:r>
      <w:r w:rsidR="008C49B9">
        <w:t xml:space="preserve">, these remain the best </w:t>
      </w:r>
      <w:r w:rsidR="00A82D00">
        <w:t>data</w:t>
      </w:r>
      <w:r w:rsidR="008C49B9">
        <w:t xml:space="preserve"> available</w:t>
      </w:r>
      <w:r w:rsidR="00253CF1">
        <w:t xml:space="preserve"> and there is no evidence to contradict these assumptions</w:t>
      </w:r>
      <w:r w:rsidR="008C49B9">
        <w:t xml:space="preserve">. </w:t>
      </w:r>
    </w:p>
    <w:p w14:paraId="3E39F0B7" w14:textId="099782DE" w:rsidR="00DE1350" w:rsidRDefault="00DB1233" w:rsidP="00F45C80">
      <w:pPr>
        <w:numPr>
          <w:ilvl w:val="0"/>
          <w:numId w:val="4"/>
        </w:numPr>
        <w:spacing w:after="200" w:line="20" w:lineRule="atLeast"/>
      </w:pPr>
      <w:r>
        <w:t>Most (</w:t>
      </w:r>
      <w:r w:rsidR="00CB0B6E">
        <w:t>92</w:t>
      </w:r>
      <w:r>
        <w:t xml:space="preserve">%) goods and services firms are micro businesses with 9 or fewer staff members. </w:t>
      </w:r>
      <w:r w:rsidR="00CB0B6E">
        <w:t>As in the 2015 ADR IA,</w:t>
      </w:r>
      <w:r>
        <w:t xml:space="preserve"> we assume that consumer complaints </w:t>
      </w:r>
      <w:r w:rsidR="00CB0B6E">
        <w:t xml:space="preserve">for these micro businesses </w:t>
      </w:r>
      <w:r>
        <w:t xml:space="preserve">are typically handled by a senior staff member (often the owner or proprietor). </w:t>
      </w:r>
      <w:r w:rsidR="003F3874">
        <w:t>Using the same methodology as in the 2015 ADR IA, w</w:t>
      </w:r>
      <w:r w:rsidR="003F3874" w:rsidRPr="003F3874">
        <w:t>e use the gross hourly wages data from the 2017 Annual Survey of Hours and Earnings (ASHE) to</w:t>
      </w:r>
      <w:r w:rsidR="003F3874">
        <w:t xml:space="preserve"> estimate the median wage for </w:t>
      </w:r>
      <w:r w:rsidR="00264EC7">
        <w:t>C</w:t>
      </w:r>
      <w:r>
        <w:t>ustomer Service Managers and Supervisors</w:t>
      </w:r>
      <w:r w:rsidR="00CB0B6E">
        <w:t xml:space="preserve">, at </w:t>
      </w:r>
      <w:r w:rsidR="003F3874" w:rsidRPr="003F3874">
        <w:t>£14.17</w:t>
      </w:r>
      <w:r w:rsidR="003F3874">
        <w:t xml:space="preserve"> </w:t>
      </w:r>
      <w:r>
        <w:t>per hour.</w:t>
      </w:r>
      <w:r w:rsidR="003F3874" w:rsidRPr="003F3874">
        <w:t xml:space="preserve"> </w:t>
      </w:r>
      <w:r w:rsidR="003F3874">
        <w:t xml:space="preserve">We then uprate this by </w:t>
      </w:r>
      <w:r w:rsidR="00CC7557">
        <w:t>20.66</w:t>
      </w:r>
      <w:r w:rsidR="003F3874">
        <w:t xml:space="preserve">% to </w:t>
      </w:r>
      <w:proofErr w:type="gramStart"/>
      <w:r w:rsidR="003F3874">
        <w:t>take into account</w:t>
      </w:r>
      <w:proofErr w:type="gramEnd"/>
      <w:r w:rsidR="003F3874">
        <w:t xml:space="preserve"> the non-wage costs of labour</w:t>
      </w:r>
      <w:r w:rsidR="000E52B5">
        <w:rPr>
          <w:rStyle w:val="FootnoteReference"/>
        </w:rPr>
        <w:footnoteReference w:id="9"/>
      </w:r>
      <w:r w:rsidR="003F3874">
        <w:t xml:space="preserve"> (such as social security contributions employers are required to provide), so that the hourly labour cost is £1</w:t>
      </w:r>
      <w:r w:rsidR="006139D6">
        <w:t>7</w:t>
      </w:r>
      <w:r w:rsidR="003F3874">
        <w:t>.</w:t>
      </w:r>
      <w:r w:rsidR="006139D6">
        <w:t>10</w:t>
      </w:r>
      <w:r w:rsidR="003F3874">
        <w:t>.</w:t>
      </w:r>
      <w:r w:rsidR="00DE1350">
        <w:t xml:space="preserve"> </w:t>
      </w:r>
    </w:p>
    <w:p w14:paraId="4E98F962" w14:textId="44410D88" w:rsidR="00DE1350" w:rsidRDefault="00DE1350" w:rsidP="00F45C80">
      <w:pPr>
        <w:numPr>
          <w:ilvl w:val="0"/>
          <w:numId w:val="4"/>
        </w:numPr>
        <w:spacing w:after="200" w:line="20" w:lineRule="atLeast"/>
      </w:pPr>
      <w:r>
        <w:t>As it will take half an hour of a senior staff member’s time to become familiar with the new regulation, the cost per business is estimated as £8.</w:t>
      </w:r>
      <w:r w:rsidR="000C1A1A">
        <w:t>55</w:t>
      </w:r>
      <w:r>
        <w:t xml:space="preserve">. As established in </w:t>
      </w:r>
      <w:r w:rsidR="000C42F1" w:rsidRPr="007C3091">
        <w:t xml:space="preserve">table </w:t>
      </w:r>
      <w:r w:rsidR="00FB56EA" w:rsidRPr="007C3091">
        <w:t>1</w:t>
      </w:r>
      <w:r>
        <w:t xml:space="preserve">, 810,700 micro-businesses will have to familiarise with the </w:t>
      </w:r>
      <w:r w:rsidR="0057650B">
        <w:t>SI</w:t>
      </w:r>
      <w:r>
        <w:t xml:space="preserve"> and will experience this £8.</w:t>
      </w:r>
      <w:r w:rsidR="00A530FB">
        <w:t>55</w:t>
      </w:r>
      <w:r>
        <w:t xml:space="preserve"> cost. As a result, </w:t>
      </w:r>
      <w:r w:rsidRPr="00DE1350">
        <w:rPr>
          <w:b/>
        </w:rPr>
        <w:t xml:space="preserve">we estimate that the cost </w:t>
      </w:r>
      <w:r w:rsidR="00264EC7">
        <w:rPr>
          <w:b/>
        </w:rPr>
        <w:t>to</w:t>
      </w:r>
      <w:r w:rsidRPr="00DE1350">
        <w:rPr>
          <w:b/>
        </w:rPr>
        <w:t xml:space="preserve"> </w:t>
      </w:r>
      <w:r>
        <w:rPr>
          <w:b/>
        </w:rPr>
        <w:t>micro-</w:t>
      </w:r>
      <w:r w:rsidRPr="00DE1350">
        <w:rPr>
          <w:b/>
        </w:rPr>
        <w:t xml:space="preserve">businesses </w:t>
      </w:r>
      <w:r w:rsidR="00264EC7">
        <w:rPr>
          <w:b/>
        </w:rPr>
        <w:t xml:space="preserve">of </w:t>
      </w:r>
      <w:r>
        <w:rPr>
          <w:b/>
        </w:rPr>
        <w:t>familiarising themselves with the new regulation is £6.9</w:t>
      </w:r>
      <w:r w:rsidRPr="00DE1350">
        <w:rPr>
          <w:b/>
        </w:rPr>
        <w:t xml:space="preserve"> million</w:t>
      </w:r>
      <w:r w:rsidR="000E52B5">
        <w:rPr>
          <w:rStyle w:val="FootnoteReference"/>
          <w:b/>
        </w:rPr>
        <w:footnoteReference w:id="10"/>
      </w:r>
      <w:r w:rsidRPr="00DE1350">
        <w:t>.</w:t>
      </w:r>
    </w:p>
    <w:p w14:paraId="7EBFB96E" w14:textId="0479FB13" w:rsidR="00315A7C" w:rsidRDefault="00DB1233" w:rsidP="00F45C80">
      <w:pPr>
        <w:numPr>
          <w:ilvl w:val="0"/>
          <w:numId w:val="4"/>
        </w:numPr>
        <w:spacing w:after="200" w:line="20" w:lineRule="atLeast"/>
      </w:pPr>
      <w:r>
        <w:t xml:space="preserve">For larger firms with 10 or more employees, </w:t>
      </w:r>
      <w:r w:rsidR="00E34A28">
        <w:t>the 2015 ADR IA</w:t>
      </w:r>
      <w:r>
        <w:t xml:space="preserve"> </w:t>
      </w:r>
      <w:r w:rsidR="00A63211">
        <w:t>estimate</w:t>
      </w:r>
      <w:r>
        <w:t xml:space="preserve">d that a staff member at management level would be familiarised with the reforms </w:t>
      </w:r>
      <w:r w:rsidR="00E34A28">
        <w:t xml:space="preserve">and would then train 20 frontline staff members on the reforms for half an hour. For consistency, we follow the same </w:t>
      </w:r>
      <w:r w:rsidR="009A38EC">
        <w:t xml:space="preserve">assumptions </w:t>
      </w:r>
      <w:r w:rsidR="00E34A28">
        <w:t xml:space="preserve">but </w:t>
      </w:r>
      <w:r w:rsidR="0017463F">
        <w:t xml:space="preserve">since the familiarisation requirements </w:t>
      </w:r>
      <w:r w:rsidR="009A38EC">
        <w:t xml:space="preserve">in this amendment </w:t>
      </w:r>
      <w:r w:rsidR="0017463F">
        <w:t xml:space="preserve">are </w:t>
      </w:r>
      <w:r w:rsidR="009A38EC">
        <w:t>fewer</w:t>
      </w:r>
      <w:r w:rsidR="0017463F">
        <w:t xml:space="preserve"> than for the 2015 ADR</w:t>
      </w:r>
      <w:r w:rsidR="009A38EC">
        <w:t xml:space="preserve"> </w:t>
      </w:r>
      <w:r w:rsidR="009001F6">
        <w:t>R</w:t>
      </w:r>
      <w:r w:rsidR="009A38EC">
        <w:t>egulations</w:t>
      </w:r>
      <w:r w:rsidR="00AF57D3">
        <w:t xml:space="preserve"> (see </w:t>
      </w:r>
      <w:r w:rsidR="00AF57D3" w:rsidRPr="00F22B3A">
        <w:t xml:space="preserve">paragraph </w:t>
      </w:r>
      <w:r w:rsidR="00145B3E">
        <w:t>7</w:t>
      </w:r>
      <w:r w:rsidR="00BD4EF7">
        <w:t>4</w:t>
      </w:r>
      <w:r w:rsidR="00AF57D3">
        <w:t>)</w:t>
      </w:r>
      <w:r w:rsidR="0017463F">
        <w:t xml:space="preserve">, we </w:t>
      </w:r>
      <w:r w:rsidR="00E34A28">
        <w:t>assume that</w:t>
      </w:r>
      <w:r w:rsidR="0017463F">
        <w:t xml:space="preserve"> the 20 frontline staff member</w:t>
      </w:r>
      <w:r w:rsidR="00AF57D3">
        <w:t>s</w:t>
      </w:r>
      <w:r w:rsidR="0017463F">
        <w:t xml:space="preserve"> would </w:t>
      </w:r>
      <w:r w:rsidR="009A38EC">
        <w:t>require</w:t>
      </w:r>
      <w:r w:rsidR="00E43B46">
        <w:t xml:space="preserve"> less</w:t>
      </w:r>
      <w:r w:rsidR="009A38EC">
        <w:t xml:space="preserve"> training time. We estimate that 15 minutes of training should be </w:t>
      </w:r>
      <w:proofErr w:type="gramStart"/>
      <w:r w:rsidR="009A38EC">
        <w:t>sufficient</w:t>
      </w:r>
      <w:proofErr w:type="gramEnd"/>
      <w:r w:rsidR="009A38EC">
        <w:t xml:space="preserve"> for </w:t>
      </w:r>
      <w:r w:rsidR="00315A7C">
        <w:t>the frontline staff member to become familiar with the fact th</w:t>
      </w:r>
      <w:r w:rsidR="00733E1F">
        <w:t>at</w:t>
      </w:r>
      <w:r w:rsidR="00315A7C">
        <w:t xml:space="preserve"> the ODR should no longer be used as an </w:t>
      </w:r>
      <w:r w:rsidR="00315A7C" w:rsidRPr="00A04862">
        <w:t xml:space="preserve">out-of-court </w:t>
      </w:r>
      <w:r w:rsidR="00733E1F">
        <w:t xml:space="preserve">dispute </w:t>
      </w:r>
      <w:r w:rsidR="00315A7C" w:rsidRPr="00A04862">
        <w:t xml:space="preserve">resolution </w:t>
      </w:r>
      <w:r w:rsidR="00315A7C">
        <w:t>mechanism</w:t>
      </w:r>
      <w:r w:rsidR="0017463F">
        <w:t xml:space="preserve">. </w:t>
      </w:r>
    </w:p>
    <w:p w14:paraId="1BED7593" w14:textId="147DDCBA" w:rsidR="005B51B9" w:rsidRDefault="00AD064D" w:rsidP="00F45C80">
      <w:pPr>
        <w:numPr>
          <w:ilvl w:val="0"/>
          <w:numId w:val="4"/>
        </w:numPr>
        <w:spacing w:after="200" w:line="20" w:lineRule="atLeast"/>
      </w:pPr>
      <w:r>
        <w:t>Following the same methodology as</w:t>
      </w:r>
      <w:r w:rsidR="0017463F">
        <w:t xml:space="preserve"> in the 2015 ADR IA, </w:t>
      </w:r>
      <w:r w:rsidR="001A76D5">
        <w:t>we assume that a staff member at management level with an hourly cost of £1</w:t>
      </w:r>
      <w:r w:rsidR="00965859">
        <w:t>7</w:t>
      </w:r>
      <w:r w:rsidR="001A76D5">
        <w:t>.</w:t>
      </w:r>
      <w:r w:rsidR="00965859">
        <w:t>10</w:t>
      </w:r>
      <w:r w:rsidR="001A76D5">
        <w:t xml:space="preserve"> will require half an hour to become familiar with the new regulation – as estimated in </w:t>
      </w:r>
      <w:r w:rsidR="001A76D5" w:rsidRPr="00862DC4">
        <w:t xml:space="preserve">paragraphs </w:t>
      </w:r>
      <w:r w:rsidR="003908D4">
        <w:t>7</w:t>
      </w:r>
      <w:r w:rsidR="00275B9B">
        <w:t>5</w:t>
      </w:r>
      <w:r w:rsidR="001A76D5">
        <w:t xml:space="preserve"> and </w:t>
      </w:r>
      <w:r w:rsidR="003908D4">
        <w:t>7</w:t>
      </w:r>
      <w:r w:rsidR="00275B9B">
        <w:t>6</w:t>
      </w:r>
      <w:r w:rsidR="001A76D5">
        <w:rPr>
          <w:rStyle w:val="FootnoteReference"/>
        </w:rPr>
        <w:footnoteReference w:id="11"/>
      </w:r>
      <w:r w:rsidR="001A76D5">
        <w:t xml:space="preserve">. </w:t>
      </w:r>
      <w:r w:rsidR="00DB1233">
        <w:t>We estimate that</w:t>
      </w:r>
      <w:r w:rsidR="002D43AC">
        <w:t>,</w:t>
      </w:r>
      <w:r w:rsidR="00DB1233">
        <w:t xml:space="preserve"> in addition, there would also be familiarisation costs in training 20 frontline staff members on the reforms for </w:t>
      </w:r>
      <w:r w:rsidR="006119BA">
        <w:t>15 minutes.</w:t>
      </w:r>
      <w:r w:rsidR="005B51B9">
        <w:t xml:space="preserve"> As in the 2015 ADR IA, w</w:t>
      </w:r>
      <w:r w:rsidR="005B51B9" w:rsidRPr="003F3874">
        <w:t>e use the gross hourly wage data from the 2017 ASHE to</w:t>
      </w:r>
      <w:r w:rsidR="005B51B9">
        <w:t xml:space="preserve"> estimate the median wage for a Customer Service Occupations, at</w:t>
      </w:r>
      <w:r w:rsidR="00D83A21" w:rsidRPr="00D83A21">
        <w:t xml:space="preserve"> £10.22</w:t>
      </w:r>
      <w:r w:rsidR="005B51B9">
        <w:t xml:space="preserve"> per hour.</w:t>
      </w:r>
      <w:r w:rsidR="005B51B9" w:rsidRPr="003F3874">
        <w:t xml:space="preserve"> </w:t>
      </w:r>
      <w:r w:rsidR="005B51B9">
        <w:t xml:space="preserve">We then uprate this by </w:t>
      </w:r>
      <w:r w:rsidR="00CC7557">
        <w:t>20.66</w:t>
      </w:r>
      <w:r w:rsidR="005B51B9">
        <w:t xml:space="preserve">% to </w:t>
      </w:r>
      <w:proofErr w:type="gramStart"/>
      <w:r w:rsidR="005B51B9">
        <w:t>take into account</w:t>
      </w:r>
      <w:proofErr w:type="gramEnd"/>
      <w:r w:rsidR="005B51B9">
        <w:t xml:space="preserve"> the non-wage costs of labour so that the hourly labour cost is </w:t>
      </w:r>
      <w:r w:rsidR="00D83A21" w:rsidRPr="00D83A21">
        <w:t>£12.</w:t>
      </w:r>
      <w:r w:rsidR="00BB1C44">
        <w:t>3</w:t>
      </w:r>
      <w:r w:rsidR="00D83A21" w:rsidRPr="00D83A21">
        <w:t>3</w:t>
      </w:r>
      <w:r w:rsidR="005B51B9">
        <w:t>.</w:t>
      </w:r>
    </w:p>
    <w:p w14:paraId="47E0C8FC" w14:textId="60876EB0" w:rsidR="00D83A21" w:rsidRDefault="00D83A21" w:rsidP="00F45C80">
      <w:pPr>
        <w:numPr>
          <w:ilvl w:val="0"/>
          <w:numId w:val="4"/>
        </w:numPr>
        <w:spacing w:after="200" w:line="20" w:lineRule="atLeast"/>
      </w:pPr>
      <w:r>
        <w:t xml:space="preserve">As it will take half an hour for a senior staff member and 15 minutes for 20 frontline staff members to become familiar with the new regulation, the cost per business is estimated as </w:t>
      </w:r>
      <w:r w:rsidRPr="00D83A21">
        <w:t>£</w:t>
      </w:r>
      <w:r w:rsidR="00C02396">
        <w:t>70</w:t>
      </w:r>
      <w:r w:rsidRPr="00D83A21">
        <w:t>.</w:t>
      </w:r>
      <w:r w:rsidR="00C02396">
        <w:t>21</w:t>
      </w:r>
      <w:r>
        <w:t xml:space="preserve">. As established in </w:t>
      </w:r>
      <w:r w:rsidR="007A4935" w:rsidRPr="00D64BEC">
        <w:t>table</w:t>
      </w:r>
      <w:r w:rsidRPr="00D64BEC">
        <w:t xml:space="preserve"> </w:t>
      </w:r>
      <w:r w:rsidR="00803493" w:rsidRPr="00D64BEC">
        <w:t>1</w:t>
      </w:r>
      <w:r>
        <w:t xml:space="preserve">, 68,970 businesses will have to familiarise with the </w:t>
      </w:r>
      <w:r w:rsidR="0057650B">
        <w:t>SI</w:t>
      </w:r>
      <w:r>
        <w:t xml:space="preserve"> and will experience this £</w:t>
      </w:r>
      <w:r w:rsidR="00B02DD1">
        <w:t>70</w:t>
      </w:r>
      <w:r>
        <w:t>.</w:t>
      </w:r>
      <w:r w:rsidR="00B02DD1">
        <w:t>21</w:t>
      </w:r>
      <w:r>
        <w:t xml:space="preserve"> cost. As a result, </w:t>
      </w:r>
      <w:r w:rsidRPr="00DE1350">
        <w:rPr>
          <w:b/>
        </w:rPr>
        <w:t xml:space="preserve">we estimate that the cost </w:t>
      </w:r>
      <w:r w:rsidR="00072BF2">
        <w:rPr>
          <w:b/>
        </w:rPr>
        <w:t>t</w:t>
      </w:r>
      <w:r w:rsidRPr="00DE1350">
        <w:rPr>
          <w:b/>
        </w:rPr>
        <w:t xml:space="preserve">o </w:t>
      </w:r>
      <w:r>
        <w:rPr>
          <w:b/>
        </w:rPr>
        <w:t xml:space="preserve">SMEs and large firms </w:t>
      </w:r>
      <w:r w:rsidR="00072BF2">
        <w:rPr>
          <w:b/>
        </w:rPr>
        <w:t xml:space="preserve">of </w:t>
      </w:r>
      <w:r>
        <w:rPr>
          <w:b/>
        </w:rPr>
        <w:t>familiarising themselves with the new regulation is £4.8</w:t>
      </w:r>
      <w:r w:rsidRPr="00DE1350">
        <w:rPr>
          <w:b/>
        </w:rPr>
        <w:t xml:space="preserve"> million</w:t>
      </w:r>
      <w:r>
        <w:rPr>
          <w:rStyle w:val="FootnoteReference"/>
          <w:b/>
        </w:rPr>
        <w:footnoteReference w:id="12"/>
      </w:r>
      <w:r w:rsidRPr="00DE1350">
        <w:t>.</w:t>
      </w:r>
    </w:p>
    <w:p w14:paraId="28AB187A" w14:textId="7B1B7F3D" w:rsidR="002334E8" w:rsidRDefault="00DB1233" w:rsidP="00F45C80">
      <w:pPr>
        <w:numPr>
          <w:ilvl w:val="0"/>
          <w:numId w:val="4"/>
        </w:numPr>
        <w:spacing w:after="200" w:line="20" w:lineRule="atLeast"/>
      </w:pPr>
      <w:r>
        <w:lastRenderedPageBreak/>
        <w:t>Total familiarisation costs to business are therefore estimated to be approximately £1</w:t>
      </w:r>
      <w:r w:rsidR="00CC39D7">
        <w:t>1</w:t>
      </w:r>
      <w:r>
        <w:t>.</w:t>
      </w:r>
      <w:r w:rsidR="00CC39D7">
        <w:t>7</w:t>
      </w:r>
      <w:r w:rsidR="007A4935">
        <w:t xml:space="preserve"> </w:t>
      </w:r>
      <w:r>
        <w:t>m</w:t>
      </w:r>
      <w:r w:rsidR="007A4935">
        <w:t>illion</w:t>
      </w:r>
      <w:r w:rsidR="007A4935">
        <w:rPr>
          <w:rStyle w:val="FootnoteReference"/>
        </w:rPr>
        <w:footnoteReference w:id="13"/>
      </w:r>
      <w:r>
        <w:t xml:space="preserve"> (one-time cost). </w:t>
      </w:r>
      <w:r w:rsidR="0093785E">
        <w:t>As done for the 2015 ADR IA, w</w:t>
      </w:r>
      <w:r>
        <w:t>e allow for uncertainty in this estimate of +/- 20% giving a range of £</w:t>
      </w:r>
      <w:r w:rsidR="00CC39D7">
        <w:t>9.</w:t>
      </w:r>
      <w:r w:rsidR="001D60C3">
        <w:t>4</w:t>
      </w:r>
      <w:r w:rsidR="0047367B">
        <w:t xml:space="preserve"> </w:t>
      </w:r>
      <w:r>
        <w:t>m</w:t>
      </w:r>
      <w:r w:rsidR="0047367B">
        <w:t xml:space="preserve">illion to </w:t>
      </w:r>
      <w:r>
        <w:t>£</w:t>
      </w:r>
      <w:r w:rsidR="00CC39D7">
        <w:t>14.</w:t>
      </w:r>
      <w:r w:rsidR="001D60C3">
        <w:t>1</w:t>
      </w:r>
      <w:r w:rsidR="0047367B">
        <w:t xml:space="preserve"> </w:t>
      </w:r>
      <w:r>
        <w:t>m</w:t>
      </w:r>
      <w:r w:rsidR="0047367B">
        <w:t>illion</w:t>
      </w:r>
      <w:r>
        <w:t>.</w:t>
      </w:r>
    </w:p>
    <w:p w14:paraId="65659C85" w14:textId="69A10F63" w:rsidR="005B31C3" w:rsidRDefault="00E80514" w:rsidP="005B31C3">
      <w:pPr>
        <w:pStyle w:val="Heading3"/>
      </w:pPr>
      <w:bookmarkStart w:id="68" w:name="_Toc521073896"/>
      <w:r>
        <w:t>Cost of removing link to ODR platform</w:t>
      </w:r>
      <w:r w:rsidR="005B31C3">
        <w:t>:</w:t>
      </w:r>
      <w:bookmarkEnd w:id="68"/>
    </w:p>
    <w:p w14:paraId="42B3984E" w14:textId="23A54F00" w:rsidR="00807CEE" w:rsidRDefault="00D25EB5" w:rsidP="00F45C80">
      <w:pPr>
        <w:numPr>
          <w:ilvl w:val="0"/>
          <w:numId w:val="4"/>
        </w:numPr>
        <w:spacing w:after="200" w:line="20" w:lineRule="atLeast"/>
      </w:pPr>
      <w:r>
        <w:t>B</w:t>
      </w:r>
      <w:r w:rsidR="00807CEE" w:rsidRPr="00807CEE">
        <w:t>usinesses that sell goods and services online will incur a one-off cost of changing websites to remove the link to the ODR platform</w:t>
      </w:r>
      <w:r w:rsidR="004A7B83">
        <w:t>. Using the 2015 research on digital capabilities of SMEs by the Department for Business, Innovation and Skills</w:t>
      </w:r>
      <w:r w:rsidR="004A7B83">
        <w:rPr>
          <w:rStyle w:val="FootnoteReference"/>
        </w:rPr>
        <w:footnoteReference w:id="14"/>
      </w:r>
      <w:r w:rsidR="004A7B83">
        <w:t xml:space="preserve">, we estimate the proportion of businesses with an online presence given their size. The survey estimates that the proportion of businesses with online presence is as follows: 59% </w:t>
      </w:r>
      <w:r w:rsidR="00881824">
        <w:t>of</w:t>
      </w:r>
      <w:r w:rsidR="004A7B83">
        <w:t xml:space="preserve"> businesses with no employees, 78% </w:t>
      </w:r>
      <w:r w:rsidR="00881824">
        <w:t>of</w:t>
      </w:r>
      <w:r w:rsidR="004A7B83">
        <w:t xml:space="preserve"> micro-businesses, 86% </w:t>
      </w:r>
      <w:r w:rsidR="00881824">
        <w:t>o</w:t>
      </w:r>
      <w:r w:rsidR="004A7B83">
        <w:t xml:space="preserve">f small businesses, and 94% </w:t>
      </w:r>
      <w:r w:rsidR="00881824">
        <w:t>o</w:t>
      </w:r>
      <w:r w:rsidR="004A7B83">
        <w:t>f medium</w:t>
      </w:r>
      <w:r w:rsidR="00881824">
        <w:t>-sized</w:t>
      </w:r>
      <w:r w:rsidR="004A7B83">
        <w:t xml:space="preserve"> businesses. The research does not estimate the proportion of large businesses with a </w:t>
      </w:r>
      <w:proofErr w:type="gramStart"/>
      <w:r w:rsidR="004A7B83">
        <w:t>website</w:t>
      </w:r>
      <w:proofErr w:type="gramEnd"/>
      <w:r w:rsidR="004A7B83">
        <w:t xml:space="preserve"> but the 2015 ADR IA </w:t>
      </w:r>
      <w:r w:rsidR="00FB6009">
        <w:t>estimat</w:t>
      </w:r>
      <w:r w:rsidR="004A7B83">
        <w:t xml:space="preserve">ed that </w:t>
      </w:r>
      <w:r w:rsidR="007B5279">
        <w:t>100% of large businesses ha</w:t>
      </w:r>
      <w:r w:rsidR="007A4935">
        <w:t>ve</w:t>
      </w:r>
      <w:r w:rsidR="007B5279">
        <w:t xml:space="preserve"> a website. I</w:t>
      </w:r>
      <w:r w:rsidR="004A7B83">
        <w:t>n the absence of further evidence</w:t>
      </w:r>
      <w:r w:rsidR="007B5279">
        <w:t>,</w:t>
      </w:r>
      <w:r w:rsidR="004A7B83">
        <w:t xml:space="preserve"> we</w:t>
      </w:r>
      <w:r w:rsidR="007B5279">
        <w:t xml:space="preserve"> replicate this assumption in this impact assessment.</w:t>
      </w:r>
      <w:r w:rsidR="004A7B83">
        <w:t xml:space="preserve"> </w:t>
      </w:r>
      <w:r w:rsidR="00881824">
        <w:t xml:space="preserve">Using these ratios and the number of businesses in scope for this </w:t>
      </w:r>
      <w:r w:rsidR="0057650B">
        <w:t>SI</w:t>
      </w:r>
      <w:r w:rsidR="0047367B">
        <w:t xml:space="preserve"> (see </w:t>
      </w:r>
      <w:r w:rsidR="0047367B" w:rsidRPr="00CE3D1E">
        <w:t xml:space="preserve">paragraph </w:t>
      </w:r>
      <w:r w:rsidR="008A02D4">
        <w:t>7</w:t>
      </w:r>
      <w:r w:rsidR="00275B9B">
        <w:t>2</w:t>
      </w:r>
      <w:r w:rsidR="004D26A9">
        <w:t xml:space="preserve"> and </w:t>
      </w:r>
      <w:r w:rsidR="004D26A9" w:rsidRPr="00CE3D1E">
        <w:t>table</w:t>
      </w:r>
      <w:r w:rsidR="00C14B83" w:rsidRPr="00CE3D1E">
        <w:t xml:space="preserve"> 1</w:t>
      </w:r>
      <w:r w:rsidR="0047367B">
        <w:t>)</w:t>
      </w:r>
      <w:r w:rsidR="00881824">
        <w:t xml:space="preserve">, we estimate that </w:t>
      </w:r>
      <w:r w:rsidR="00881824" w:rsidRPr="00881824">
        <w:t>600,511</w:t>
      </w:r>
      <w:r w:rsidR="00881824">
        <w:t xml:space="preserve"> businesses will have to update their website and remove the link to the ODR platform.</w:t>
      </w:r>
      <w:r w:rsidR="0047367B">
        <w:t xml:space="preserve"> The breakdown is as follows:</w:t>
      </w:r>
    </w:p>
    <w:p w14:paraId="71D5BAC0" w14:textId="31F95A52" w:rsidR="007B5279" w:rsidRDefault="007B5279" w:rsidP="007B5279">
      <w:pPr>
        <w:spacing w:after="200" w:line="20" w:lineRule="atLeast"/>
      </w:pPr>
      <w:r w:rsidRPr="000B3D40">
        <w:t xml:space="preserve">Table </w:t>
      </w:r>
      <w:r w:rsidR="00803493" w:rsidRPr="000B3D40">
        <w:t>2</w:t>
      </w:r>
      <w:r>
        <w:t>: Proportion and number of businesses with a website, based on the size of the business</w:t>
      </w:r>
    </w:p>
    <w:tbl>
      <w:tblPr>
        <w:tblStyle w:val="TableGrid"/>
        <w:tblW w:w="0" w:type="auto"/>
        <w:tblLook w:val="04A0" w:firstRow="1" w:lastRow="0" w:firstColumn="1" w:lastColumn="0" w:noHBand="0" w:noVBand="1"/>
      </w:tblPr>
      <w:tblGrid>
        <w:gridCol w:w="3707"/>
        <w:gridCol w:w="3246"/>
        <w:gridCol w:w="3247"/>
      </w:tblGrid>
      <w:tr w:rsidR="003678F1" w14:paraId="250F6A10" w14:textId="77777777" w:rsidTr="00CF46CB">
        <w:tc>
          <w:tcPr>
            <w:tcW w:w="3794" w:type="dxa"/>
            <w:tcBorders>
              <w:top w:val="nil"/>
              <w:left w:val="nil"/>
            </w:tcBorders>
          </w:tcPr>
          <w:p w14:paraId="2E4A4562" w14:textId="77777777" w:rsidR="003678F1" w:rsidRDefault="003678F1" w:rsidP="003678F1">
            <w:pPr>
              <w:spacing w:after="200" w:line="20" w:lineRule="atLeast"/>
            </w:pPr>
          </w:p>
        </w:tc>
        <w:tc>
          <w:tcPr>
            <w:tcW w:w="3313" w:type="dxa"/>
          </w:tcPr>
          <w:p w14:paraId="7254981D" w14:textId="4C0212A6" w:rsidR="003678F1" w:rsidRPr="007B5279" w:rsidRDefault="00CF46CB" w:rsidP="003678F1">
            <w:pPr>
              <w:spacing w:after="200" w:line="20" w:lineRule="atLeast"/>
              <w:rPr>
                <w:b/>
              </w:rPr>
            </w:pPr>
            <w:r w:rsidRPr="007B5279">
              <w:rPr>
                <w:b/>
              </w:rPr>
              <w:t xml:space="preserve">Proportion of businesses with </w:t>
            </w:r>
            <w:r w:rsidR="007B5279" w:rsidRPr="007B5279">
              <w:rPr>
                <w:b/>
              </w:rPr>
              <w:t>a website</w:t>
            </w:r>
          </w:p>
        </w:tc>
        <w:tc>
          <w:tcPr>
            <w:tcW w:w="3314" w:type="dxa"/>
          </w:tcPr>
          <w:p w14:paraId="325C96BC" w14:textId="35F39E1A" w:rsidR="003678F1" w:rsidRPr="007B5279" w:rsidRDefault="00CF46CB" w:rsidP="007B5279">
            <w:pPr>
              <w:spacing w:after="200" w:line="20" w:lineRule="atLeast"/>
              <w:rPr>
                <w:b/>
              </w:rPr>
            </w:pPr>
            <w:r w:rsidRPr="007B5279">
              <w:rPr>
                <w:b/>
              </w:rPr>
              <w:t xml:space="preserve">Number of businesses in scope of regulation with </w:t>
            </w:r>
            <w:r w:rsidR="007B5279" w:rsidRPr="007B5279">
              <w:rPr>
                <w:b/>
              </w:rPr>
              <w:t>a website</w:t>
            </w:r>
          </w:p>
        </w:tc>
      </w:tr>
      <w:tr w:rsidR="00CF46CB" w14:paraId="7B647FDC" w14:textId="77777777" w:rsidTr="00CF46CB">
        <w:tc>
          <w:tcPr>
            <w:tcW w:w="3794" w:type="dxa"/>
          </w:tcPr>
          <w:p w14:paraId="5B64B164" w14:textId="63F2E1F5" w:rsidR="00CF46CB" w:rsidRDefault="00CF46CB" w:rsidP="003678F1">
            <w:pPr>
              <w:spacing w:after="200" w:line="20" w:lineRule="atLeast"/>
            </w:pPr>
            <w:r w:rsidRPr="00996769">
              <w:t>No employees</w:t>
            </w:r>
          </w:p>
        </w:tc>
        <w:tc>
          <w:tcPr>
            <w:tcW w:w="3313" w:type="dxa"/>
            <w:vAlign w:val="center"/>
          </w:tcPr>
          <w:p w14:paraId="40F63167" w14:textId="77D6461B" w:rsidR="00CF46CB" w:rsidRDefault="00CF46CB" w:rsidP="00CF46CB">
            <w:pPr>
              <w:spacing w:after="200" w:line="20" w:lineRule="atLeast"/>
              <w:jc w:val="right"/>
            </w:pPr>
            <w:r w:rsidRPr="00957016">
              <w:t>59%</w:t>
            </w:r>
          </w:p>
        </w:tc>
        <w:tc>
          <w:tcPr>
            <w:tcW w:w="3314" w:type="dxa"/>
            <w:vAlign w:val="center"/>
          </w:tcPr>
          <w:p w14:paraId="3FD221B9" w14:textId="07A63F10" w:rsidR="00CF46CB" w:rsidRDefault="00CF46CB" w:rsidP="00CF46CB">
            <w:pPr>
              <w:spacing w:after="200" w:line="20" w:lineRule="atLeast"/>
              <w:jc w:val="right"/>
            </w:pPr>
            <w:r w:rsidRPr="00D8345C">
              <w:t xml:space="preserve"> 285,295 </w:t>
            </w:r>
          </w:p>
        </w:tc>
      </w:tr>
      <w:tr w:rsidR="00CF46CB" w14:paraId="3FB9D893" w14:textId="77777777" w:rsidTr="00CF46CB">
        <w:tc>
          <w:tcPr>
            <w:tcW w:w="3794" w:type="dxa"/>
          </w:tcPr>
          <w:p w14:paraId="598A09F7" w14:textId="77D36704" w:rsidR="00CF46CB" w:rsidRDefault="00CF46CB" w:rsidP="003678F1">
            <w:pPr>
              <w:spacing w:after="200" w:line="20" w:lineRule="atLeast"/>
            </w:pPr>
            <w:r w:rsidRPr="00996769">
              <w:t>Micro (1 - 9 employees)</w:t>
            </w:r>
          </w:p>
        </w:tc>
        <w:tc>
          <w:tcPr>
            <w:tcW w:w="3313" w:type="dxa"/>
            <w:vAlign w:val="center"/>
          </w:tcPr>
          <w:p w14:paraId="1FAD2A11" w14:textId="724C5FC9" w:rsidR="00CF46CB" w:rsidRDefault="00CF46CB" w:rsidP="00CF46CB">
            <w:pPr>
              <w:spacing w:after="200" w:line="20" w:lineRule="atLeast"/>
              <w:jc w:val="right"/>
            </w:pPr>
            <w:r w:rsidRPr="00957016">
              <w:t>78%</w:t>
            </w:r>
          </w:p>
        </w:tc>
        <w:tc>
          <w:tcPr>
            <w:tcW w:w="3314" w:type="dxa"/>
            <w:vAlign w:val="center"/>
          </w:tcPr>
          <w:p w14:paraId="51337FC7" w14:textId="0FCDF373" w:rsidR="00CF46CB" w:rsidRDefault="00CF46CB" w:rsidP="00CF46CB">
            <w:pPr>
              <w:spacing w:after="200" w:line="20" w:lineRule="atLeast"/>
              <w:jc w:val="right"/>
            </w:pPr>
            <w:r w:rsidRPr="00D8345C">
              <w:t xml:space="preserve"> 255,177 </w:t>
            </w:r>
          </w:p>
        </w:tc>
      </w:tr>
      <w:tr w:rsidR="00CF46CB" w14:paraId="51C717F3" w14:textId="77777777" w:rsidTr="00CF46CB">
        <w:tc>
          <w:tcPr>
            <w:tcW w:w="3794" w:type="dxa"/>
          </w:tcPr>
          <w:p w14:paraId="57B64CBA" w14:textId="0423FDB1" w:rsidR="00CF46CB" w:rsidRDefault="00CF46CB" w:rsidP="003678F1">
            <w:pPr>
              <w:spacing w:after="200" w:line="20" w:lineRule="atLeast"/>
            </w:pPr>
            <w:r w:rsidRPr="00996769">
              <w:t>Small (10 - 49 employees)</w:t>
            </w:r>
          </w:p>
        </w:tc>
        <w:tc>
          <w:tcPr>
            <w:tcW w:w="3313" w:type="dxa"/>
            <w:vAlign w:val="center"/>
          </w:tcPr>
          <w:p w14:paraId="07AA66CC" w14:textId="77038419" w:rsidR="00CF46CB" w:rsidRDefault="00CF46CB" w:rsidP="00CF46CB">
            <w:pPr>
              <w:spacing w:after="200" w:line="20" w:lineRule="atLeast"/>
              <w:jc w:val="right"/>
            </w:pPr>
            <w:r w:rsidRPr="00957016">
              <w:t>86%</w:t>
            </w:r>
          </w:p>
        </w:tc>
        <w:tc>
          <w:tcPr>
            <w:tcW w:w="3314" w:type="dxa"/>
            <w:vAlign w:val="center"/>
          </w:tcPr>
          <w:p w14:paraId="2F3650D0" w14:textId="6B0143D0" w:rsidR="00CF46CB" w:rsidRDefault="00CF46CB" w:rsidP="00CF46CB">
            <w:pPr>
              <w:spacing w:after="200" w:line="20" w:lineRule="atLeast"/>
              <w:jc w:val="right"/>
            </w:pPr>
            <w:r w:rsidRPr="00D8345C">
              <w:t xml:space="preserve"> 52,482 </w:t>
            </w:r>
          </w:p>
        </w:tc>
      </w:tr>
      <w:tr w:rsidR="00CF46CB" w14:paraId="6735D355" w14:textId="77777777" w:rsidTr="00CF46CB">
        <w:tc>
          <w:tcPr>
            <w:tcW w:w="3794" w:type="dxa"/>
          </w:tcPr>
          <w:p w14:paraId="5DEE9DB1" w14:textId="73C81EE1" w:rsidR="00CF46CB" w:rsidRDefault="00CF46CB" w:rsidP="003678F1">
            <w:pPr>
              <w:spacing w:after="200" w:line="20" w:lineRule="atLeast"/>
            </w:pPr>
            <w:r w:rsidRPr="00996769">
              <w:t>Medium (50 - 249 employees)</w:t>
            </w:r>
          </w:p>
        </w:tc>
        <w:tc>
          <w:tcPr>
            <w:tcW w:w="3313" w:type="dxa"/>
            <w:vAlign w:val="center"/>
          </w:tcPr>
          <w:p w14:paraId="26247608" w14:textId="5CEFAA71" w:rsidR="00CF46CB" w:rsidRDefault="00CF46CB" w:rsidP="00CF46CB">
            <w:pPr>
              <w:spacing w:after="200" w:line="20" w:lineRule="atLeast"/>
              <w:jc w:val="right"/>
            </w:pPr>
            <w:r w:rsidRPr="00957016">
              <w:t>94%</w:t>
            </w:r>
          </w:p>
        </w:tc>
        <w:tc>
          <w:tcPr>
            <w:tcW w:w="3314" w:type="dxa"/>
            <w:vAlign w:val="center"/>
          </w:tcPr>
          <w:p w14:paraId="5FD0C581" w14:textId="2A9375E1" w:rsidR="00CF46CB" w:rsidRDefault="00CF46CB" w:rsidP="00CF46CB">
            <w:pPr>
              <w:spacing w:after="200" w:line="20" w:lineRule="atLeast"/>
              <w:jc w:val="right"/>
            </w:pPr>
            <w:r w:rsidRPr="00D8345C">
              <w:t xml:space="preserve"> 6,068 </w:t>
            </w:r>
          </w:p>
        </w:tc>
      </w:tr>
      <w:tr w:rsidR="00CF46CB" w14:paraId="7C73A779" w14:textId="77777777" w:rsidTr="00CF46CB">
        <w:tc>
          <w:tcPr>
            <w:tcW w:w="3794" w:type="dxa"/>
          </w:tcPr>
          <w:p w14:paraId="16F94C2F" w14:textId="5F5584B0" w:rsidR="00CF46CB" w:rsidRDefault="00CF46CB" w:rsidP="003678F1">
            <w:pPr>
              <w:spacing w:after="200" w:line="20" w:lineRule="atLeast"/>
            </w:pPr>
            <w:r w:rsidRPr="00996769">
              <w:t>Large (250 or more employees)</w:t>
            </w:r>
          </w:p>
        </w:tc>
        <w:tc>
          <w:tcPr>
            <w:tcW w:w="3313" w:type="dxa"/>
            <w:vAlign w:val="center"/>
          </w:tcPr>
          <w:p w14:paraId="74EC548E" w14:textId="716A9886" w:rsidR="00CF46CB" w:rsidRDefault="00CF46CB" w:rsidP="00CF46CB">
            <w:pPr>
              <w:spacing w:after="200" w:line="20" w:lineRule="atLeast"/>
              <w:jc w:val="right"/>
            </w:pPr>
            <w:r w:rsidRPr="00957016">
              <w:t>100%</w:t>
            </w:r>
          </w:p>
        </w:tc>
        <w:tc>
          <w:tcPr>
            <w:tcW w:w="3314" w:type="dxa"/>
            <w:vAlign w:val="center"/>
          </w:tcPr>
          <w:p w14:paraId="2974AF3E" w14:textId="761E0131" w:rsidR="00CF46CB" w:rsidRDefault="00CF46CB" w:rsidP="00CF46CB">
            <w:pPr>
              <w:spacing w:after="200" w:line="20" w:lineRule="atLeast"/>
              <w:jc w:val="right"/>
            </w:pPr>
            <w:r w:rsidRPr="00D8345C">
              <w:t xml:space="preserve"> 1,490 </w:t>
            </w:r>
          </w:p>
        </w:tc>
      </w:tr>
      <w:tr w:rsidR="00881824" w14:paraId="44EDA926" w14:textId="77777777" w:rsidTr="00102325">
        <w:tc>
          <w:tcPr>
            <w:tcW w:w="3794" w:type="dxa"/>
          </w:tcPr>
          <w:p w14:paraId="6B561C58" w14:textId="6C7EF5E3" w:rsidR="00881824" w:rsidRPr="00881824" w:rsidRDefault="00881824" w:rsidP="003678F1">
            <w:pPr>
              <w:spacing w:after="200" w:line="20" w:lineRule="atLeast"/>
              <w:rPr>
                <w:b/>
              </w:rPr>
            </w:pPr>
            <w:r w:rsidRPr="00881824">
              <w:rPr>
                <w:b/>
              </w:rPr>
              <w:t>TOTAL</w:t>
            </w:r>
          </w:p>
        </w:tc>
        <w:tc>
          <w:tcPr>
            <w:tcW w:w="6627" w:type="dxa"/>
            <w:gridSpan w:val="2"/>
            <w:vAlign w:val="center"/>
          </w:tcPr>
          <w:p w14:paraId="0EE010B5" w14:textId="17580525" w:rsidR="00881824" w:rsidRPr="00881824" w:rsidRDefault="00881824" w:rsidP="00CF46CB">
            <w:pPr>
              <w:spacing w:after="200" w:line="20" w:lineRule="atLeast"/>
              <w:jc w:val="right"/>
              <w:rPr>
                <w:b/>
              </w:rPr>
            </w:pPr>
            <w:r w:rsidRPr="00881824">
              <w:rPr>
                <w:b/>
              </w:rPr>
              <w:t>600,511</w:t>
            </w:r>
          </w:p>
        </w:tc>
      </w:tr>
    </w:tbl>
    <w:p w14:paraId="5D0304EE" w14:textId="77777777" w:rsidR="003678F1" w:rsidRDefault="003678F1" w:rsidP="007B5279">
      <w:pPr>
        <w:pStyle w:val="NoSpacing"/>
      </w:pPr>
    </w:p>
    <w:p w14:paraId="780ABA61" w14:textId="22FF0697" w:rsidR="00AE379C" w:rsidRDefault="00AE379C" w:rsidP="00F45C80">
      <w:pPr>
        <w:numPr>
          <w:ilvl w:val="0"/>
          <w:numId w:val="4"/>
        </w:numPr>
        <w:spacing w:after="200" w:line="20" w:lineRule="atLeast"/>
      </w:pPr>
      <w:r>
        <w:t>The 2015 ADR IA</w:t>
      </w:r>
      <w:r w:rsidR="009F5EA3">
        <w:t xml:space="preserve"> estimated</w:t>
      </w:r>
      <w:r>
        <w:t xml:space="preserve"> it would take an IT programmer one hour to make the changes to the websites introduced by the 2015 regulation</w:t>
      </w:r>
      <w:r w:rsidR="00D95888">
        <w:t xml:space="preserve">, </w:t>
      </w:r>
      <w:r w:rsidR="00D6135C">
        <w:t>that is,</w:t>
      </w:r>
      <w:r w:rsidR="00D95888">
        <w:t xml:space="preserve"> to</w:t>
      </w:r>
      <w:r w:rsidR="00F77BA4">
        <w:t xml:space="preserve"> change the websites to include a link to the ODR platform and to provide information about an ADR </w:t>
      </w:r>
      <w:r w:rsidR="004D385E">
        <w:t>body available for consumers to use</w:t>
      </w:r>
      <w:r>
        <w:t xml:space="preserve">. </w:t>
      </w:r>
      <w:r w:rsidR="007C7D57">
        <w:t>The only change needed under th</w:t>
      </w:r>
      <w:r w:rsidR="004D26A9">
        <w:t>e</w:t>
      </w:r>
      <w:r w:rsidR="007C7D57">
        <w:t xml:space="preserve"> </w:t>
      </w:r>
      <w:r w:rsidR="004D26A9" w:rsidRPr="00140B63">
        <w:t xml:space="preserve">Consumer Protection (Amendment) (EU Exit) Regulations </w:t>
      </w:r>
      <w:r w:rsidR="007C7D57">
        <w:t>is to remove the link to the ODR platform from the businesses’ website</w:t>
      </w:r>
      <w:r w:rsidR="00C7088F">
        <w:t xml:space="preserve"> and n</w:t>
      </w:r>
      <w:r w:rsidR="007C7D57">
        <w:t xml:space="preserve">o other changes to the website will be necessary to abide to the </w:t>
      </w:r>
      <w:r w:rsidR="0057650B">
        <w:t>SI</w:t>
      </w:r>
      <w:r w:rsidR="007C7D57">
        <w:t xml:space="preserve">. Removing the link to the ODR platform is relatively minor and will take less time than estimated under 2015 ADR IA. </w:t>
      </w:r>
      <w:proofErr w:type="gramStart"/>
      <w:r w:rsidR="007C7D57">
        <w:t>In light of</w:t>
      </w:r>
      <w:proofErr w:type="gramEnd"/>
      <w:r w:rsidR="007C7D57">
        <w:t xml:space="preserve"> this, we</w:t>
      </w:r>
      <w:r>
        <w:t xml:space="preserve"> assume it will</w:t>
      </w:r>
      <w:r w:rsidR="00D871A0">
        <w:t xml:space="preserve"> take</w:t>
      </w:r>
      <w:r>
        <w:t xml:space="preserve"> </w:t>
      </w:r>
      <w:r w:rsidR="00BE15F1">
        <w:t xml:space="preserve">an IT programmer </w:t>
      </w:r>
      <w:r>
        <w:t xml:space="preserve">half an hour to </w:t>
      </w:r>
      <w:r w:rsidR="007C7D57">
        <w:t>remove the link to the ODR website</w:t>
      </w:r>
      <w:r>
        <w:t>.</w:t>
      </w:r>
    </w:p>
    <w:p w14:paraId="50DE8DF2" w14:textId="699971D9" w:rsidR="00BE15F1" w:rsidRDefault="00BE15F1" w:rsidP="00CC7557">
      <w:pPr>
        <w:numPr>
          <w:ilvl w:val="0"/>
          <w:numId w:val="4"/>
        </w:numPr>
        <w:spacing w:after="200" w:line="20" w:lineRule="atLeast"/>
      </w:pPr>
      <w:r>
        <w:lastRenderedPageBreak/>
        <w:t>We use the gross hourly wages data from the 2017 Annual Survey of Hours and Earnings (ASHE) to estimate the median wage for an IT programmer</w:t>
      </w:r>
      <w:r>
        <w:rPr>
          <w:rStyle w:val="FootnoteReference"/>
        </w:rPr>
        <w:footnoteReference w:id="15"/>
      </w:r>
      <w:r>
        <w:t>, which is £</w:t>
      </w:r>
      <w:r w:rsidRPr="00BE15F1">
        <w:t>20.87</w:t>
      </w:r>
      <w:r>
        <w:t xml:space="preserve">. We then uprate this by </w:t>
      </w:r>
      <w:r w:rsidR="00CC7557">
        <w:t>20.66</w:t>
      </w:r>
      <w:r>
        <w:t xml:space="preserve">% to </w:t>
      </w:r>
      <w:proofErr w:type="gramStart"/>
      <w:r>
        <w:t>take into account</w:t>
      </w:r>
      <w:proofErr w:type="gramEnd"/>
      <w:r>
        <w:t xml:space="preserve"> the non-wage costs of labour, so that the hourly labour cost is £</w:t>
      </w:r>
      <w:r w:rsidRPr="00BE15F1">
        <w:t>2</w:t>
      </w:r>
      <w:r w:rsidR="003830D4">
        <w:t>5</w:t>
      </w:r>
      <w:r w:rsidRPr="00BE15F1">
        <w:t>.</w:t>
      </w:r>
      <w:r w:rsidR="003830D4">
        <w:t>18</w:t>
      </w:r>
      <w:r>
        <w:t xml:space="preserve">.  </w:t>
      </w:r>
    </w:p>
    <w:p w14:paraId="74786921" w14:textId="0D29DE93" w:rsidR="009E43E1" w:rsidRDefault="00BE15F1" w:rsidP="00F45C80">
      <w:pPr>
        <w:numPr>
          <w:ilvl w:val="0"/>
          <w:numId w:val="4"/>
        </w:numPr>
        <w:spacing w:after="200" w:line="20" w:lineRule="atLeast"/>
      </w:pPr>
      <w:r>
        <w:t>As it will take half an hour of an IT programmer’s time to remove the link to the ODR platform, the cost per business is estimated as £</w:t>
      </w:r>
      <w:r w:rsidRPr="00BE15F1">
        <w:t>12.</w:t>
      </w:r>
      <w:r w:rsidR="00B907D1">
        <w:t>5</w:t>
      </w:r>
      <w:r w:rsidRPr="00BE15F1">
        <w:t>9</w:t>
      </w:r>
      <w:r w:rsidR="00AF6056">
        <w:t>. A</w:t>
      </w:r>
      <w:r w:rsidR="00F255EA">
        <w:t xml:space="preserve">s established in </w:t>
      </w:r>
      <w:r w:rsidR="0093785E" w:rsidRPr="00473371">
        <w:t xml:space="preserve">paragraph </w:t>
      </w:r>
      <w:r w:rsidR="006E6BBB">
        <w:t>8</w:t>
      </w:r>
      <w:r w:rsidR="00275B9B">
        <w:t>1</w:t>
      </w:r>
      <w:r w:rsidR="00F255EA">
        <w:t xml:space="preserve">, 600,511 businesses </w:t>
      </w:r>
      <w:r w:rsidR="00AF6056">
        <w:t>with a website will have to remove the link</w:t>
      </w:r>
      <w:r w:rsidR="00F255EA">
        <w:t xml:space="preserve"> and experience this £12.</w:t>
      </w:r>
      <w:r w:rsidR="00366384">
        <w:t>5</w:t>
      </w:r>
      <w:r w:rsidR="00F255EA">
        <w:t>9 cost</w:t>
      </w:r>
      <w:r>
        <w:t xml:space="preserve">. </w:t>
      </w:r>
      <w:r w:rsidR="00355764">
        <w:t>As a result</w:t>
      </w:r>
      <w:r w:rsidR="00F255EA">
        <w:t xml:space="preserve">, </w:t>
      </w:r>
      <w:r w:rsidR="00F255EA" w:rsidRPr="00D871A0">
        <w:rPr>
          <w:b/>
        </w:rPr>
        <w:t xml:space="preserve">we estimate that the total cost </w:t>
      </w:r>
      <w:r w:rsidR="00072BF2">
        <w:rPr>
          <w:b/>
        </w:rPr>
        <w:t>t</w:t>
      </w:r>
      <w:r w:rsidR="00F255EA" w:rsidRPr="00D871A0">
        <w:rPr>
          <w:b/>
        </w:rPr>
        <w:t xml:space="preserve">o businesses with a website </w:t>
      </w:r>
      <w:r w:rsidR="00C35D4E">
        <w:rPr>
          <w:b/>
        </w:rPr>
        <w:t xml:space="preserve">of </w:t>
      </w:r>
      <w:r w:rsidR="00F255EA" w:rsidRPr="00D871A0">
        <w:rPr>
          <w:b/>
        </w:rPr>
        <w:t>removing the link to the ODR platform is £7</w:t>
      </w:r>
      <w:r w:rsidR="00355764" w:rsidRPr="00D871A0">
        <w:rPr>
          <w:b/>
        </w:rPr>
        <w:t>.</w:t>
      </w:r>
      <w:r w:rsidR="00366384">
        <w:rPr>
          <w:b/>
        </w:rPr>
        <w:t>6</w:t>
      </w:r>
      <w:r w:rsidR="00355764" w:rsidRPr="00D871A0">
        <w:rPr>
          <w:b/>
        </w:rPr>
        <w:t xml:space="preserve"> million</w:t>
      </w:r>
      <w:r w:rsidR="00F255EA">
        <w:rPr>
          <w:rStyle w:val="FootnoteReference"/>
        </w:rPr>
        <w:footnoteReference w:id="16"/>
      </w:r>
      <w:r w:rsidR="00355764">
        <w:t xml:space="preserve">. This is a one-off transitional cost that businesses will face </w:t>
      </w:r>
      <w:proofErr w:type="gramStart"/>
      <w:r w:rsidR="00355764">
        <w:t>in order to</w:t>
      </w:r>
      <w:proofErr w:type="gramEnd"/>
      <w:r w:rsidR="00355764">
        <w:t xml:space="preserve"> abide with the changes in the regulation. As done in the 2015 ADR IA, we allow for uncertainty in this estimate of +/- 20%, thereby giving a range of </w:t>
      </w:r>
      <w:r w:rsidR="00355764" w:rsidRPr="00355764">
        <w:t>£6</w:t>
      </w:r>
      <w:r w:rsidR="00355764">
        <w:t>.0 million to £9.</w:t>
      </w:r>
      <w:r w:rsidR="008D1F6D">
        <w:t>1</w:t>
      </w:r>
      <w:r w:rsidR="00355764">
        <w:t xml:space="preserve"> million.  </w:t>
      </w:r>
    </w:p>
    <w:p w14:paraId="65E3EFEE" w14:textId="4A7C37E5" w:rsidR="009E43E1" w:rsidRDefault="00CC5794" w:rsidP="009E43E1">
      <w:pPr>
        <w:pStyle w:val="Heading3"/>
      </w:pPr>
      <w:bookmarkStart w:id="69" w:name="_Toc521073897"/>
      <w:r>
        <w:t>Impact on UK Consumers</w:t>
      </w:r>
      <w:r w:rsidR="009E43E1">
        <w:t>:</w:t>
      </w:r>
      <w:bookmarkEnd w:id="69"/>
    </w:p>
    <w:p w14:paraId="357FB569" w14:textId="0BD46338" w:rsidR="00E07816" w:rsidRDefault="00A45447" w:rsidP="00F45C80">
      <w:pPr>
        <w:numPr>
          <w:ilvl w:val="0"/>
          <w:numId w:val="4"/>
        </w:numPr>
        <w:spacing w:after="200" w:line="20" w:lineRule="atLeast"/>
      </w:pPr>
      <w:r>
        <w:t xml:space="preserve">Between February 2016 and February 2018, UK consumers made 12,685 complaints via the ODR </w:t>
      </w:r>
      <w:r w:rsidR="00B702C7">
        <w:t>p</w:t>
      </w:r>
      <w:r>
        <w:t xml:space="preserve">latform. Of these, 9,658 (76%) were about traders based in the UK. We do not have data on the proportion </w:t>
      </w:r>
      <w:r w:rsidR="00C35D4E">
        <w:t xml:space="preserve">of </w:t>
      </w:r>
      <w:r>
        <w:t>complaints that were successfully resolved and the benefits that</w:t>
      </w:r>
      <w:r w:rsidR="006D6B5A">
        <w:t xml:space="preserve"> consumers have experienced </w:t>
      </w:r>
      <w:proofErr w:type="gramStart"/>
      <w:r w:rsidR="006D6B5A">
        <w:t>as a result of</w:t>
      </w:r>
      <w:proofErr w:type="gramEnd"/>
      <w:r w:rsidR="006D6B5A">
        <w:t xml:space="preserve"> </w:t>
      </w:r>
      <w:r>
        <w:t>resolving the</w:t>
      </w:r>
      <w:r w:rsidR="006D6B5A">
        <w:t>ir complaints</w:t>
      </w:r>
      <w:r>
        <w:t xml:space="preserve"> at the UK level. </w:t>
      </w:r>
    </w:p>
    <w:p w14:paraId="345514BA" w14:textId="5FBC2057" w:rsidR="00E07816" w:rsidRDefault="00A45447" w:rsidP="00F45C80">
      <w:pPr>
        <w:numPr>
          <w:ilvl w:val="0"/>
          <w:numId w:val="4"/>
        </w:numPr>
        <w:spacing w:after="200" w:line="20" w:lineRule="atLeast"/>
      </w:pPr>
      <w:r>
        <w:t>The E</w:t>
      </w:r>
      <w:r w:rsidR="00E07816">
        <w:t xml:space="preserve">uropean Commission however published a report on the functioning of the ODR </w:t>
      </w:r>
      <w:r w:rsidR="00B702C7">
        <w:t>p</w:t>
      </w:r>
      <w:r w:rsidR="00E07816">
        <w:t>latform</w:t>
      </w:r>
      <w:r w:rsidR="00350DAD">
        <w:rPr>
          <w:rStyle w:val="FootnoteReference"/>
        </w:rPr>
        <w:footnoteReference w:id="17"/>
      </w:r>
      <w:r w:rsidR="00E07816">
        <w:t>. This report states</w:t>
      </w:r>
      <w:r w:rsidR="00350DAD">
        <w:t xml:space="preserve"> that, across the EU, only 2% of complaints raised on the ODR platform were submitted to a specific ADR body. Out of all the complaints </w:t>
      </w:r>
      <w:r w:rsidR="00E07816">
        <w:t xml:space="preserve">made to the ODR from consumers across the EU, 85% of cases </w:t>
      </w:r>
      <w:r w:rsidR="00E07816" w:rsidRPr="00E07816">
        <w:t>complaints automatically closed within 30 calendar days after submission (i.e. deadline for the consumer and trader to</w:t>
      </w:r>
      <w:r w:rsidR="00E07816">
        <w:t xml:space="preserve"> agree on a competent ADR body). A further 9% of complaint cases were not accepted by the trader</w:t>
      </w:r>
      <w:r w:rsidR="00350DAD">
        <w:t xml:space="preserve"> and 4% </w:t>
      </w:r>
      <w:r w:rsidR="00F3476B">
        <w:t xml:space="preserve">were closed </w:t>
      </w:r>
      <w:r w:rsidR="00350DAD">
        <w:t xml:space="preserve">as </w:t>
      </w:r>
      <w:r w:rsidR="00F3476B">
        <w:t>either p</w:t>
      </w:r>
      <w:r w:rsidR="00350DAD" w:rsidRPr="00350DAD">
        <w:t>art</w:t>
      </w:r>
      <w:r w:rsidR="00F3476B">
        <w:t>y</w:t>
      </w:r>
      <w:r w:rsidR="00350DAD" w:rsidRPr="00350DAD">
        <w:t xml:space="preserve"> withdr</w:t>
      </w:r>
      <w:r w:rsidR="00F3476B">
        <w:t>e</w:t>
      </w:r>
      <w:r w:rsidR="00350DAD" w:rsidRPr="00350DAD">
        <w:t>w from the procedure before their agreement to use a specific ADR body</w:t>
      </w:r>
      <w:r w:rsidR="00E07816">
        <w:t>.</w:t>
      </w:r>
    </w:p>
    <w:p w14:paraId="3B1DBD56" w14:textId="3E4C6762" w:rsidR="009E43E1" w:rsidRDefault="00F3476B" w:rsidP="00F45C80">
      <w:pPr>
        <w:numPr>
          <w:ilvl w:val="0"/>
          <w:numId w:val="4"/>
        </w:numPr>
        <w:spacing w:after="200" w:line="20" w:lineRule="atLeast"/>
      </w:pPr>
      <w:r>
        <w:t xml:space="preserve">The report also suggests that the ADR procedure reached </w:t>
      </w:r>
      <w:proofErr w:type="gramStart"/>
      <w:r>
        <w:t>a final outcome</w:t>
      </w:r>
      <w:proofErr w:type="gramEnd"/>
      <w:r>
        <w:t xml:space="preserve"> in less than 1% of cases</w:t>
      </w:r>
      <w:r w:rsidR="00B702C7">
        <w:t xml:space="preserve"> submitted through the ODR platform</w:t>
      </w:r>
      <w:r>
        <w:t xml:space="preserve">. This is because out of the </w:t>
      </w:r>
      <w:r w:rsidR="00E07816">
        <w:t>2% of complaints submitted to a specific ADR body</w:t>
      </w:r>
      <w:r>
        <w:t xml:space="preserve">, </w:t>
      </w:r>
      <w:r w:rsidR="00E07816">
        <w:t>in around half of these cases the ADR bodies refused to deal with the case on procedural grounds such as lack of competence or the consumer's failure to attempt to contact the trader first. Furthermore, either consumers or traders in some instances withdrew from the pr</w:t>
      </w:r>
      <w:r>
        <w:t>ocedure before it was completed</w:t>
      </w:r>
      <w:r w:rsidR="00E07816">
        <w:t xml:space="preserve">. </w:t>
      </w:r>
      <w:r w:rsidR="0025592A">
        <w:t>N</w:t>
      </w:r>
      <w:r w:rsidR="00B702C7">
        <w:t xml:space="preserve">o data is provided on what outcome was reached or on the monetary benefit consumers experienced for &gt;1% of cases submitted through the ODR for which ADR procedure reached </w:t>
      </w:r>
      <w:proofErr w:type="gramStart"/>
      <w:r w:rsidR="00B702C7">
        <w:t>a final outcome</w:t>
      </w:r>
      <w:proofErr w:type="gramEnd"/>
      <w:r w:rsidR="00B702C7">
        <w:t xml:space="preserve">. As a result, we are unable to monetise the impact that access to the ODR platform had for such cases. </w:t>
      </w:r>
    </w:p>
    <w:p w14:paraId="627F0D95" w14:textId="314D2CF6" w:rsidR="003C4521" w:rsidRDefault="00F3476B" w:rsidP="00F45C80">
      <w:pPr>
        <w:numPr>
          <w:ilvl w:val="0"/>
          <w:numId w:val="4"/>
        </w:numPr>
        <w:spacing w:after="200" w:line="20" w:lineRule="atLeast"/>
      </w:pPr>
      <w:r>
        <w:t xml:space="preserve">Whilst this data </w:t>
      </w:r>
      <w:r w:rsidR="0025592A">
        <w:t xml:space="preserve">is not specific to the United Kingdom, it shows that a very limited number of complaints made to the ODR </w:t>
      </w:r>
      <w:r w:rsidR="00B702C7">
        <w:t>p</w:t>
      </w:r>
      <w:r w:rsidR="0025592A">
        <w:t xml:space="preserve">latform are </w:t>
      </w:r>
      <w:proofErr w:type="gramStart"/>
      <w:r w:rsidR="0025592A">
        <w:t>actually successful</w:t>
      </w:r>
      <w:proofErr w:type="gramEnd"/>
      <w:r w:rsidR="0025592A">
        <w:t xml:space="preserve"> in solving consumer issues. Other than the report published by the European Commission, there is no other source of data on the performance of the ODR </w:t>
      </w:r>
      <w:r w:rsidR="00B702C7">
        <w:t>p</w:t>
      </w:r>
      <w:r w:rsidR="0025592A">
        <w:t xml:space="preserve">latform. In the absence of further information, it seems that the benefits of access to the ODR </w:t>
      </w:r>
      <w:r w:rsidR="00B702C7">
        <w:t>p</w:t>
      </w:r>
      <w:r w:rsidR="0025592A">
        <w:t xml:space="preserve">latform for UK consumers are very limited. As a result, </w:t>
      </w:r>
      <w:r w:rsidR="0025592A" w:rsidRPr="0025592A">
        <w:rPr>
          <w:b/>
        </w:rPr>
        <w:t>we assume that the impact</w:t>
      </w:r>
      <w:r w:rsidR="0025592A">
        <w:rPr>
          <w:b/>
        </w:rPr>
        <w:t>s</w:t>
      </w:r>
      <w:r w:rsidR="0025592A" w:rsidRPr="0025592A">
        <w:rPr>
          <w:b/>
        </w:rPr>
        <w:t xml:space="preserve"> on UK consumers of losing access to the ODR </w:t>
      </w:r>
      <w:r w:rsidR="00B702C7">
        <w:rPr>
          <w:b/>
        </w:rPr>
        <w:t>p</w:t>
      </w:r>
      <w:r w:rsidR="0025592A" w:rsidRPr="0025592A">
        <w:rPr>
          <w:b/>
        </w:rPr>
        <w:t>latform are negligible</w:t>
      </w:r>
      <w:r w:rsidR="0025592A">
        <w:t>.</w:t>
      </w:r>
    </w:p>
    <w:p w14:paraId="4C7E3546" w14:textId="5A5C4ECB" w:rsidR="003C4521" w:rsidRDefault="003C4521" w:rsidP="003C4521">
      <w:pPr>
        <w:pStyle w:val="Heading3"/>
      </w:pPr>
      <w:bookmarkStart w:id="70" w:name="_Toc521073898"/>
      <w:r>
        <w:lastRenderedPageBreak/>
        <w:t>Summary of costs:</w:t>
      </w:r>
      <w:bookmarkEnd w:id="70"/>
    </w:p>
    <w:p w14:paraId="7F670563" w14:textId="4FF72938" w:rsidR="0047367B" w:rsidRDefault="003C4521" w:rsidP="00F45C80">
      <w:pPr>
        <w:numPr>
          <w:ilvl w:val="0"/>
          <w:numId w:val="4"/>
        </w:numPr>
        <w:spacing w:after="200" w:line="20" w:lineRule="atLeast"/>
      </w:pPr>
      <w:r>
        <w:t>The total costs that businesses will experience w</w:t>
      </w:r>
      <w:r w:rsidR="00E2642C">
        <w:t>ill</w:t>
      </w:r>
      <w:r>
        <w:t xml:space="preserve"> be the familiarisation cost and the cost of removing the link to the ODR platforms for businesses that have a website. Using the estimates </w:t>
      </w:r>
      <w:r w:rsidR="00E2642C">
        <w:t>above</w:t>
      </w:r>
      <w:r>
        <w:t xml:space="preserve">, </w:t>
      </w:r>
      <w:r w:rsidR="00E2642C">
        <w:t>the one-off transition co</w:t>
      </w:r>
      <w:r w:rsidR="0057650B">
        <w:t>sts arising from the SI</w:t>
      </w:r>
      <w:r w:rsidR="00E2642C">
        <w:t xml:space="preserve"> total to £19.</w:t>
      </w:r>
      <w:r w:rsidR="00082FA3">
        <w:t>3</w:t>
      </w:r>
      <w:r w:rsidR="00E2642C">
        <w:t xml:space="preserve"> million. As discussed in </w:t>
      </w:r>
      <w:r w:rsidR="00E2642C" w:rsidRPr="003E0632">
        <w:t xml:space="preserve">paragraph </w:t>
      </w:r>
      <w:r w:rsidR="002F56AE" w:rsidRPr="003E0632">
        <w:t>6</w:t>
      </w:r>
      <w:r w:rsidR="00275B9B">
        <w:t>9</w:t>
      </w:r>
      <w:r w:rsidR="00E2642C">
        <w:t xml:space="preserve">, the amendment to the </w:t>
      </w:r>
      <w:r w:rsidR="009001F6">
        <w:t xml:space="preserve">2015 </w:t>
      </w:r>
      <w:r w:rsidR="00E2642C">
        <w:t xml:space="preserve">ADR </w:t>
      </w:r>
      <w:r w:rsidR="009001F6">
        <w:t>R</w:t>
      </w:r>
      <w:r w:rsidR="00E2642C">
        <w:t>egulation</w:t>
      </w:r>
      <w:r w:rsidR="009001F6">
        <w:t>s</w:t>
      </w:r>
      <w:r w:rsidR="00E2642C">
        <w:t xml:space="preserve"> will lead to no ongoing costs and no ongoing benefits.</w:t>
      </w:r>
      <w:r w:rsidR="00784AAE">
        <w:t xml:space="preserve"> A breakdown of the costs per size of businesses </w:t>
      </w:r>
      <w:r w:rsidR="00D40003">
        <w:t xml:space="preserve">(rounded to the nearest thousand) </w:t>
      </w:r>
      <w:r w:rsidR="00784AAE">
        <w:t xml:space="preserve">is provided in </w:t>
      </w:r>
      <w:r w:rsidR="00784AAE" w:rsidRPr="007C1425">
        <w:t xml:space="preserve">table </w:t>
      </w:r>
      <w:r w:rsidR="0096254B" w:rsidRPr="007C1425">
        <w:t>3</w:t>
      </w:r>
      <w:r w:rsidR="00784AAE">
        <w:t>.</w:t>
      </w:r>
      <w:r w:rsidR="00B702C7">
        <w:t xml:space="preserve"> The impacts </w:t>
      </w:r>
      <w:r w:rsidR="00B702C7" w:rsidRPr="00B702C7">
        <w:t>on UK consumers of losing access to the ODR platform are negligible</w:t>
      </w:r>
      <w:r w:rsidR="00B702C7">
        <w:t>.</w:t>
      </w:r>
    </w:p>
    <w:p w14:paraId="42CE8109" w14:textId="52B3F910" w:rsidR="00385FB7" w:rsidRDefault="00385FB7" w:rsidP="00385FB7">
      <w:pPr>
        <w:spacing w:after="200" w:line="20" w:lineRule="atLeast"/>
      </w:pPr>
      <w:r w:rsidRPr="007C1425">
        <w:t xml:space="preserve">Table </w:t>
      </w:r>
      <w:r w:rsidR="0096254B" w:rsidRPr="007C1425">
        <w:t>3</w:t>
      </w:r>
      <w:r>
        <w:t xml:space="preserve">: Total costs of the </w:t>
      </w:r>
      <w:r w:rsidR="0057650B">
        <w:t>SI</w:t>
      </w:r>
      <w:r>
        <w:t xml:space="preserve"> for businesses</w:t>
      </w:r>
    </w:p>
    <w:tbl>
      <w:tblPr>
        <w:tblStyle w:val="TableGrid"/>
        <w:tblW w:w="0" w:type="auto"/>
        <w:tblLook w:val="04A0" w:firstRow="1" w:lastRow="0" w:firstColumn="1" w:lastColumn="0" w:noHBand="0" w:noVBand="1"/>
      </w:tblPr>
      <w:tblGrid>
        <w:gridCol w:w="2540"/>
        <w:gridCol w:w="2566"/>
        <w:gridCol w:w="3301"/>
        <w:gridCol w:w="1793"/>
      </w:tblGrid>
      <w:tr w:rsidR="00385FB7" w14:paraId="32A2CAA7" w14:textId="77777777" w:rsidTr="00897373">
        <w:tc>
          <w:tcPr>
            <w:tcW w:w="2540" w:type="dxa"/>
            <w:tcBorders>
              <w:top w:val="nil"/>
              <w:left w:val="nil"/>
            </w:tcBorders>
          </w:tcPr>
          <w:p w14:paraId="6E7CC9DA" w14:textId="77777777" w:rsidR="00385FB7" w:rsidRDefault="00385FB7" w:rsidP="00385FB7">
            <w:pPr>
              <w:spacing w:after="200" w:line="20" w:lineRule="atLeast"/>
            </w:pPr>
          </w:p>
        </w:tc>
        <w:tc>
          <w:tcPr>
            <w:tcW w:w="2566" w:type="dxa"/>
            <w:vAlign w:val="center"/>
          </w:tcPr>
          <w:p w14:paraId="445899EB" w14:textId="39704B6F" w:rsidR="00385FB7" w:rsidRPr="00385FB7" w:rsidRDefault="00385FB7" w:rsidP="00385FB7">
            <w:pPr>
              <w:spacing w:after="200" w:line="20" w:lineRule="atLeast"/>
              <w:rPr>
                <w:b/>
              </w:rPr>
            </w:pPr>
            <w:r w:rsidRPr="00385FB7">
              <w:rPr>
                <w:b/>
              </w:rPr>
              <w:t>Familiarisation Cost</w:t>
            </w:r>
          </w:p>
        </w:tc>
        <w:tc>
          <w:tcPr>
            <w:tcW w:w="3301" w:type="dxa"/>
            <w:vAlign w:val="center"/>
          </w:tcPr>
          <w:p w14:paraId="1615B19A" w14:textId="1893604F" w:rsidR="00385FB7" w:rsidRPr="00385FB7" w:rsidRDefault="00385FB7" w:rsidP="00B702C7">
            <w:pPr>
              <w:spacing w:after="200" w:line="20" w:lineRule="atLeast"/>
              <w:rPr>
                <w:b/>
              </w:rPr>
            </w:pPr>
            <w:r w:rsidRPr="00385FB7">
              <w:rPr>
                <w:b/>
              </w:rPr>
              <w:t xml:space="preserve">Cost of removing link to ODR </w:t>
            </w:r>
            <w:r w:rsidR="00B702C7">
              <w:rPr>
                <w:b/>
              </w:rPr>
              <w:t>p</w:t>
            </w:r>
            <w:r w:rsidRPr="00385FB7">
              <w:rPr>
                <w:b/>
              </w:rPr>
              <w:t>latform from businesses’ website</w:t>
            </w:r>
          </w:p>
        </w:tc>
        <w:tc>
          <w:tcPr>
            <w:tcW w:w="1793" w:type="dxa"/>
            <w:vAlign w:val="center"/>
          </w:tcPr>
          <w:p w14:paraId="594B23A1" w14:textId="3C8E4816" w:rsidR="00385FB7" w:rsidRPr="00385FB7" w:rsidRDefault="00385FB7" w:rsidP="00385FB7">
            <w:pPr>
              <w:spacing w:after="200" w:line="20" w:lineRule="atLeast"/>
              <w:rPr>
                <w:b/>
              </w:rPr>
            </w:pPr>
            <w:r w:rsidRPr="00385FB7">
              <w:rPr>
                <w:b/>
              </w:rPr>
              <w:t>TOTAL</w:t>
            </w:r>
          </w:p>
        </w:tc>
      </w:tr>
      <w:tr w:rsidR="00A42A7E" w14:paraId="2A502626" w14:textId="77777777" w:rsidTr="00897373">
        <w:tc>
          <w:tcPr>
            <w:tcW w:w="2540" w:type="dxa"/>
          </w:tcPr>
          <w:p w14:paraId="2A45497A" w14:textId="1F1C1490" w:rsidR="00A42A7E" w:rsidRDefault="00A42A7E" w:rsidP="00A42A7E">
            <w:pPr>
              <w:spacing w:after="200" w:line="20" w:lineRule="atLeast"/>
            </w:pPr>
            <w:r w:rsidRPr="00996769">
              <w:t>No employees</w:t>
            </w:r>
          </w:p>
        </w:tc>
        <w:tc>
          <w:tcPr>
            <w:tcW w:w="2566" w:type="dxa"/>
          </w:tcPr>
          <w:p w14:paraId="3F209ADF" w14:textId="268ED500" w:rsidR="00A42A7E" w:rsidRDefault="00A42A7E" w:rsidP="00A42A7E">
            <w:pPr>
              <w:spacing w:after="200" w:line="20" w:lineRule="atLeast"/>
              <w:jc w:val="right"/>
            </w:pPr>
            <w:r w:rsidRPr="007A28B5">
              <w:t>£4,1</w:t>
            </w:r>
            <w:r>
              <w:t>34</w:t>
            </w:r>
            <w:r w:rsidRPr="007A28B5">
              <w:t>,000</w:t>
            </w:r>
          </w:p>
        </w:tc>
        <w:tc>
          <w:tcPr>
            <w:tcW w:w="3301" w:type="dxa"/>
          </w:tcPr>
          <w:p w14:paraId="60E236C6" w14:textId="0FF5B539" w:rsidR="00A42A7E" w:rsidRDefault="00A42A7E" w:rsidP="00A42A7E">
            <w:pPr>
              <w:spacing w:after="200" w:line="20" w:lineRule="atLeast"/>
              <w:jc w:val="right"/>
            </w:pPr>
            <w:r w:rsidRPr="00140681">
              <w:t>£3,592,000</w:t>
            </w:r>
          </w:p>
        </w:tc>
        <w:tc>
          <w:tcPr>
            <w:tcW w:w="1793" w:type="dxa"/>
          </w:tcPr>
          <w:p w14:paraId="615C3AFF" w14:textId="78145D3C" w:rsidR="00A42A7E" w:rsidRDefault="00A42A7E" w:rsidP="00A42A7E">
            <w:pPr>
              <w:spacing w:after="200" w:line="20" w:lineRule="atLeast"/>
              <w:jc w:val="right"/>
            </w:pPr>
            <w:r w:rsidRPr="007827CB">
              <w:t>£7,726,000</w:t>
            </w:r>
          </w:p>
        </w:tc>
      </w:tr>
      <w:tr w:rsidR="00A42A7E" w14:paraId="275F263D" w14:textId="77777777" w:rsidTr="00897373">
        <w:tc>
          <w:tcPr>
            <w:tcW w:w="2540" w:type="dxa"/>
          </w:tcPr>
          <w:p w14:paraId="5FD44DA7" w14:textId="134D984E" w:rsidR="00A42A7E" w:rsidRDefault="00A42A7E" w:rsidP="00A42A7E">
            <w:pPr>
              <w:spacing w:after="200" w:line="20" w:lineRule="atLeast"/>
            </w:pPr>
            <w:r w:rsidRPr="00996769">
              <w:t>Micro (1 - 9 employees)</w:t>
            </w:r>
          </w:p>
        </w:tc>
        <w:tc>
          <w:tcPr>
            <w:tcW w:w="2566" w:type="dxa"/>
          </w:tcPr>
          <w:p w14:paraId="6EB3F54E" w14:textId="3EDAD0E6" w:rsidR="00A42A7E" w:rsidRDefault="00A42A7E" w:rsidP="00A42A7E">
            <w:pPr>
              <w:spacing w:after="200" w:line="20" w:lineRule="atLeast"/>
              <w:jc w:val="right"/>
            </w:pPr>
            <w:r w:rsidRPr="007A28B5">
              <w:t>£2,7</w:t>
            </w:r>
            <w:r>
              <w:t>9</w:t>
            </w:r>
            <w:r w:rsidRPr="007A28B5">
              <w:t>7,000</w:t>
            </w:r>
          </w:p>
        </w:tc>
        <w:tc>
          <w:tcPr>
            <w:tcW w:w="3301" w:type="dxa"/>
          </w:tcPr>
          <w:p w14:paraId="08D691EC" w14:textId="10E212E4" w:rsidR="00A42A7E" w:rsidRDefault="00A42A7E" w:rsidP="00A42A7E">
            <w:pPr>
              <w:spacing w:after="200" w:line="20" w:lineRule="atLeast"/>
              <w:jc w:val="right"/>
            </w:pPr>
            <w:r w:rsidRPr="00140681">
              <w:t>£3,213,000</w:t>
            </w:r>
          </w:p>
        </w:tc>
        <w:tc>
          <w:tcPr>
            <w:tcW w:w="1793" w:type="dxa"/>
          </w:tcPr>
          <w:p w14:paraId="2AA8C375" w14:textId="69921AAD" w:rsidR="00A42A7E" w:rsidRDefault="00A42A7E" w:rsidP="00A42A7E">
            <w:pPr>
              <w:spacing w:after="200" w:line="20" w:lineRule="atLeast"/>
              <w:jc w:val="right"/>
            </w:pPr>
            <w:r w:rsidRPr="007827CB">
              <w:t>£6,010,000</w:t>
            </w:r>
          </w:p>
        </w:tc>
      </w:tr>
      <w:tr w:rsidR="00A42A7E" w14:paraId="72940654" w14:textId="77777777" w:rsidTr="00897373">
        <w:tc>
          <w:tcPr>
            <w:tcW w:w="2540" w:type="dxa"/>
          </w:tcPr>
          <w:p w14:paraId="084AB79F" w14:textId="22D8A076" w:rsidR="00A42A7E" w:rsidRDefault="00A42A7E" w:rsidP="00A42A7E">
            <w:pPr>
              <w:spacing w:after="200" w:line="20" w:lineRule="atLeast"/>
            </w:pPr>
            <w:r w:rsidRPr="00996769">
              <w:t>Small (10 - 49 employees)</w:t>
            </w:r>
          </w:p>
        </w:tc>
        <w:tc>
          <w:tcPr>
            <w:tcW w:w="2566" w:type="dxa"/>
          </w:tcPr>
          <w:p w14:paraId="357310D9" w14:textId="729729DE" w:rsidR="00A42A7E" w:rsidRDefault="00A42A7E" w:rsidP="00A42A7E">
            <w:pPr>
              <w:spacing w:after="200" w:line="20" w:lineRule="atLeast"/>
              <w:jc w:val="right"/>
            </w:pPr>
            <w:r w:rsidRPr="007A28B5">
              <w:t>£4,2</w:t>
            </w:r>
            <w:r>
              <w:t>84</w:t>
            </w:r>
            <w:r w:rsidRPr="007A28B5">
              <w:t>,000</w:t>
            </w:r>
          </w:p>
        </w:tc>
        <w:tc>
          <w:tcPr>
            <w:tcW w:w="3301" w:type="dxa"/>
          </w:tcPr>
          <w:p w14:paraId="1A5A369E" w14:textId="06369183" w:rsidR="00A42A7E" w:rsidRDefault="00A42A7E" w:rsidP="00A42A7E">
            <w:pPr>
              <w:spacing w:after="200" w:line="20" w:lineRule="atLeast"/>
              <w:jc w:val="right"/>
            </w:pPr>
            <w:r w:rsidRPr="00140681">
              <w:t>£661,000</w:t>
            </w:r>
          </w:p>
        </w:tc>
        <w:tc>
          <w:tcPr>
            <w:tcW w:w="1793" w:type="dxa"/>
          </w:tcPr>
          <w:p w14:paraId="11EE0073" w14:textId="63218BBC" w:rsidR="00A42A7E" w:rsidRDefault="00A42A7E" w:rsidP="00A42A7E">
            <w:pPr>
              <w:spacing w:after="200" w:line="20" w:lineRule="atLeast"/>
              <w:jc w:val="right"/>
            </w:pPr>
            <w:r w:rsidRPr="007827CB">
              <w:t>£4,945,000</w:t>
            </w:r>
          </w:p>
        </w:tc>
      </w:tr>
      <w:tr w:rsidR="00A42A7E" w14:paraId="54D90F83" w14:textId="77777777" w:rsidTr="00897373">
        <w:tc>
          <w:tcPr>
            <w:tcW w:w="2540" w:type="dxa"/>
          </w:tcPr>
          <w:p w14:paraId="33C3BA74" w14:textId="6B908437" w:rsidR="00A42A7E" w:rsidRDefault="00A42A7E" w:rsidP="00A42A7E">
            <w:pPr>
              <w:spacing w:after="200" w:line="20" w:lineRule="atLeast"/>
            </w:pPr>
            <w:r w:rsidRPr="00996769">
              <w:t>Medium (50 - 249 employees)</w:t>
            </w:r>
          </w:p>
        </w:tc>
        <w:tc>
          <w:tcPr>
            <w:tcW w:w="2566" w:type="dxa"/>
          </w:tcPr>
          <w:p w14:paraId="76D4CA61" w14:textId="02A3A680" w:rsidR="00A42A7E" w:rsidRDefault="00A42A7E" w:rsidP="00A42A7E">
            <w:pPr>
              <w:spacing w:after="200" w:line="20" w:lineRule="atLeast"/>
              <w:jc w:val="right"/>
            </w:pPr>
            <w:r w:rsidRPr="007A28B5">
              <w:t>£45</w:t>
            </w:r>
            <w:r>
              <w:t>3</w:t>
            </w:r>
            <w:r w:rsidRPr="007A28B5">
              <w:t>,000</w:t>
            </w:r>
          </w:p>
        </w:tc>
        <w:tc>
          <w:tcPr>
            <w:tcW w:w="3301" w:type="dxa"/>
          </w:tcPr>
          <w:p w14:paraId="5C64EE10" w14:textId="1C93095E" w:rsidR="00A42A7E" w:rsidRDefault="00A42A7E" w:rsidP="00A42A7E">
            <w:pPr>
              <w:spacing w:after="200" w:line="20" w:lineRule="atLeast"/>
              <w:jc w:val="right"/>
            </w:pPr>
            <w:r w:rsidRPr="00140681">
              <w:t>£76,000</w:t>
            </w:r>
          </w:p>
        </w:tc>
        <w:tc>
          <w:tcPr>
            <w:tcW w:w="1793" w:type="dxa"/>
          </w:tcPr>
          <w:p w14:paraId="270DBB59" w14:textId="5ED235E0" w:rsidR="00A42A7E" w:rsidRDefault="00A42A7E" w:rsidP="00A42A7E">
            <w:pPr>
              <w:spacing w:after="200" w:line="20" w:lineRule="atLeast"/>
              <w:jc w:val="right"/>
            </w:pPr>
            <w:r w:rsidRPr="007827CB">
              <w:t>£529,000</w:t>
            </w:r>
          </w:p>
        </w:tc>
      </w:tr>
      <w:tr w:rsidR="00A42A7E" w14:paraId="1DAD814C" w14:textId="77777777" w:rsidTr="00897373">
        <w:tc>
          <w:tcPr>
            <w:tcW w:w="2540" w:type="dxa"/>
          </w:tcPr>
          <w:p w14:paraId="2634E7B0" w14:textId="222D1869" w:rsidR="00A42A7E" w:rsidRDefault="00A42A7E" w:rsidP="00A42A7E">
            <w:pPr>
              <w:spacing w:after="200" w:line="20" w:lineRule="atLeast"/>
            </w:pPr>
            <w:r w:rsidRPr="00996769">
              <w:t>Large (250 or more employees)</w:t>
            </w:r>
          </w:p>
        </w:tc>
        <w:tc>
          <w:tcPr>
            <w:tcW w:w="2566" w:type="dxa"/>
          </w:tcPr>
          <w:p w14:paraId="56A90F45" w14:textId="712F64DC" w:rsidR="00A42A7E" w:rsidRDefault="00A42A7E" w:rsidP="00A42A7E">
            <w:pPr>
              <w:spacing w:after="200" w:line="20" w:lineRule="atLeast"/>
              <w:jc w:val="right"/>
            </w:pPr>
            <w:r w:rsidRPr="007A28B5">
              <w:t>£10</w:t>
            </w:r>
            <w:r>
              <w:t>5</w:t>
            </w:r>
            <w:r w:rsidRPr="007A28B5">
              <w:t>,000</w:t>
            </w:r>
          </w:p>
        </w:tc>
        <w:tc>
          <w:tcPr>
            <w:tcW w:w="3301" w:type="dxa"/>
          </w:tcPr>
          <w:p w14:paraId="2EBBBD15" w14:textId="21936463" w:rsidR="00A42A7E" w:rsidRDefault="00A42A7E" w:rsidP="00A42A7E">
            <w:pPr>
              <w:spacing w:after="200" w:line="20" w:lineRule="atLeast"/>
              <w:jc w:val="right"/>
            </w:pPr>
            <w:r w:rsidRPr="00140681">
              <w:t>£19,000</w:t>
            </w:r>
          </w:p>
        </w:tc>
        <w:tc>
          <w:tcPr>
            <w:tcW w:w="1793" w:type="dxa"/>
          </w:tcPr>
          <w:p w14:paraId="7351A17F" w14:textId="10760F55" w:rsidR="00A42A7E" w:rsidRDefault="00A42A7E" w:rsidP="00A42A7E">
            <w:pPr>
              <w:spacing w:after="200" w:line="20" w:lineRule="atLeast"/>
              <w:jc w:val="right"/>
            </w:pPr>
            <w:r w:rsidRPr="007827CB">
              <w:t>£124,000</w:t>
            </w:r>
          </w:p>
        </w:tc>
      </w:tr>
      <w:tr w:rsidR="00A42A7E" w14:paraId="3E1D04F8" w14:textId="77777777" w:rsidTr="00897373">
        <w:tc>
          <w:tcPr>
            <w:tcW w:w="2540" w:type="dxa"/>
          </w:tcPr>
          <w:p w14:paraId="2445F356" w14:textId="370E334F" w:rsidR="00A42A7E" w:rsidRDefault="00A42A7E" w:rsidP="00A42A7E">
            <w:pPr>
              <w:spacing w:after="200" w:line="20" w:lineRule="atLeast"/>
            </w:pPr>
            <w:r w:rsidRPr="00881824">
              <w:rPr>
                <w:b/>
              </w:rPr>
              <w:t>TOTAL</w:t>
            </w:r>
          </w:p>
        </w:tc>
        <w:tc>
          <w:tcPr>
            <w:tcW w:w="2566" w:type="dxa"/>
          </w:tcPr>
          <w:p w14:paraId="2A9502F5" w14:textId="0D426BFA" w:rsidR="00A42A7E" w:rsidRDefault="00A42A7E" w:rsidP="00A42A7E">
            <w:pPr>
              <w:spacing w:after="200" w:line="20" w:lineRule="atLeast"/>
              <w:jc w:val="right"/>
            </w:pPr>
            <w:r w:rsidRPr="007A28B5">
              <w:t>£11,</w:t>
            </w:r>
            <w:r>
              <w:t>773</w:t>
            </w:r>
            <w:r w:rsidRPr="007A28B5">
              <w:t>,000</w:t>
            </w:r>
          </w:p>
        </w:tc>
        <w:tc>
          <w:tcPr>
            <w:tcW w:w="3301" w:type="dxa"/>
          </w:tcPr>
          <w:p w14:paraId="319F4D3E" w14:textId="54CB40AB" w:rsidR="00A42A7E" w:rsidRDefault="00A42A7E" w:rsidP="00A42A7E">
            <w:pPr>
              <w:spacing w:after="200" w:line="20" w:lineRule="atLeast"/>
              <w:jc w:val="right"/>
            </w:pPr>
            <w:r w:rsidRPr="00140681">
              <w:t>£7,561,000</w:t>
            </w:r>
          </w:p>
        </w:tc>
        <w:tc>
          <w:tcPr>
            <w:tcW w:w="1793" w:type="dxa"/>
          </w:tcPr>
          <w:p w14:paraId="47630E01" w14:textId="03662D16" w:rsidR="00A42A7E" w:rsidRPr="00A42A7E" w:rsidRDefault="00A42A7E" w:rsidP="00A42A7E">
            <w:pPr>
              <w:spacing w:after="200" w:line="20" w:lineRule="atLeast"/>
              <w:jc w:val="right"/>
              <w:rPr>
                <w:b/>
              </w:rPr>
            </w:pPr>
            <w:r w:rsidRPr="00A42A7E">
              <w:rPr>
                <w:b/>
              </w:rPr>
              <w:t>£19,334,000</w:t>
            </w:r>
          </w:p>
        </w:tc>
      </w:tr>
    </w:tbl>
    <w:p w14:paraId="2779F8E8" w14:textId="77777777" w:rsidR="00385FB7" w:rsidRDefault="00385FB7" w:rsidP="00385FB7">
      <w:pPr>
        <w:spacing w:after="200" w:line="20" w:lineRule="atLeast"/>
      </w:pPr>
    </w:p>
    <w:p w14:paraId="4FF10036" w14:textId="23F605BB" w:rsidR="009E43E1" w:rsidRDefault="004D26A9" w:rsidP="004D26A9">
      <w:pPr>
        <w:pStyle w:val="Heading1"/>
        <w:pageBreakBefore/>
      </w:pPr>
      <w:bookmarkStart w:id="71" w:name="_Toc521073899"/>
      <w:r>
        <w:lastRenderedPageBreak/>
        <w:t>Risks and Assumptions:</w:t>
      </w:r>
      <w:bookmarkEnd w:id="71"/>
    </w:p>
    <w:p w14:paraId="65315514" w14:textId="781B8759" w:rsidR="004D26A9" w:rsidRDefault="004D26A9" w:rsidP="004D26A9">
      <w:r w:rsidRPr="00E719A8">
        <w:t xml:space="preserve">Table </w:t>
      </w:r>
      <w:r w:rsidR="0096254B" w:rsidRPr="00E719A8">
        <w:t>4</w:t>
      </w:r>
      <w:r>
        <w:t>: Main assumptions within this impact assessment</w:t>
      </w:r>
    </w:p>
    <w:p w14:paraId="4FCD84BD" w14:textId="77777777" w:rsidR="0047566D" w:rsidRDefault="0047566D" w:rsidP="004D26A9"/>
    <w:tbl>
      <w:tblPr>
        <w:tblStyle w:val="TableGrid"/>
        <w:tblW w:w="0" w:type="auto"/>
        <w:tblLook w:val="04A0" w:firstRow="1" w:lastRow="0" w:firstColumn="1" w:lastColumn="0" w:noHBand="0" w:noVBand="1"/>
      </w:tblPr>
      <w:tblGrid>
        <w:gridCol w:w="5512"/>
        <w:gridCol w:w="4683"/>
      </w:tblGrid>
      <w:tr w:rsidR="0047566D" w14:paraId="73729B09" w14:textId="77777777" w:rsidTr="002B3B66">
        <w:tc>
          <w:tcPr>
            <w:tcW w:w="5512" w:type="dxa"/>
          </w:tcPr>
          <w:p w14:paraId="3E15EAF9" w14:textId="47DBCEE7" w:rsidR="0047566D" w:rsidRPr="002E19C0" w:rsidRDefault="0047566D" w:rsidP="002E19C0">
            <w:pPr>
              <w:pStyle w:val="Numberedparagraph"/>
              <w:rPr>
                <w:b/>
              </w:rPr>
            </w:pPr>
            <w:r w:rsidRPr="002E19C0">
              <w:rPr>
                <w:b/>
              </w:rPr>
              <w:t>Key assumptions</w:t>
            </w:r>
          </w:p>
        </w:tc>
        <w:tc>
          <w:tcPr>
            <w:tcW w:w="4683" w:type="dxa"/>
          </w:tcPr>
          <w:p w14:paraId="69E4392E" w14:textId="569D461D" w:rsidR="0047566D" w:rsidRPr="002E19C0" w:rsidRDefault="0047566D" w:rsidP="002E19C0">
            <w:pPr>
              <w:pStyle w:val="Numberedparagraph"/>
              <w:rPr>
                <w:b/>
              </w:rPr>
            </w:pPr>
            <w:r w:rsidRPr="002E19C0">
              <w:rPr>
                <w:b/>
              </w:rPr>
              <w:t>Source</w:t>
            </w:r>
          </w:p>
        </w:tc>
      </w:tr>
      <w:tr w:rsidR="002E19C0" w14:paraId="7E6587D5" w14:textId="77777777" w:rsidTr="002B3B66">
        <w:tc>
          <w:tcPr>
            <w:tcW w:w="10195" w:type="dxa"/>
            <w:gridSpan w:val="2"/>
            <w:shd w:val="clear" w:color="auto" w:fill="D9D9D9" w:themeFill="background1" w:themeFillShade="D9"/>
          </w:tcPr>
          <w:p w14:paraId="6D30A637" w14:textId="7704325C" w:rsidR="002E19C0" w:rsidRDefault="002E19C0" w:rsidP="002E19C0">
            <w:pPr>
              <w:pStyle w:val="Numberedparagraph"/>
            </w:pPr>
            <w:r w:rsidRPr="002E19C0">
              <w:t>Amendment of the Alternative Dispute Resolution for Consumer Disputes (Competent Authorities and Information) Regulations 2015 and Revocation of Regulation (EU) 524/2013</w:t>
            </w:r>
          </w:p>
        </w:tc>
      </w:tr>
      <w:tr w:rsidR="0047566D" w14:paraId="1169CE86" w14:textId="77777777" w:rsidTr="002B3B66">
        <w:tc>
          <w:tcPr>
            <w:tcW w:w="5512" w:type="dxa"/>
          </w:tcPr>
          <w:p w14:paraId="18190053" w14:textId="430E0311" w:rsidR="0047566D" w:rsidRPr="002E19C0" w:rsidRDefault="002E19C0" w:rsidP="002E19C0">
            <w:pPr>
              <w:pStyle w:val="Numberedparagraph"/>
            </w:pPr>
            <w:r w:rsidRPr="002E19C0">
              <w:t xml:space="preserve">Familiarisation time in micro businesses: half an hour of </w:t>
            </w:r>
            <w:r w:rsidR="00D43C78">
              <w:t xml:space="preserve">one </w:t>
            </w:r>
            <w:r w:rsidRPr="002E19C0">
              <w:t>senior staff member (often the owner or proprietor</w:t>
            </w:r>
            <w:r w:rsidR="00D43C78">
              <w:t>)</w:t>
            </w:r>
          </w:p>
        </w:tc>
        <w:tc>
          <w:tcPr>
            <w:tcW w:w="4683" w:type="dxa"/>
          </w:tcPr>
          <w:p w14:paraId="122E3311" w14:textId="5A065258" w:rsidR="0047566D" w:rsidRDefault="002E19C0" w:rsidP="009001F6">
            <w:pPr>
              <w:pStyle w:val="Numberedparagraph"/>
            </w:pPr>
            <w:r>
              <w:t xml:space="preserve">2015 </w:t>
            </w:r>
            <w:r w:rsidR="00D43C78">
              <w:t>ADR Impact Assessment with amendment</w:t>
            </w:r>
            <w:r>
              <w:t xml:space="preserve"> as </w:t>
            </w:r>
            <w:r w:rsidR="00FA514E">
              <w:t xml:space="preserve">the </w:t>
            </w:r>
            <w:r>
              <w:t>requirements</w:t>
            </w:r>
            <w:r w:rsidR="00FA514E">
              <w:t xml:space="preserve"> introduced by the </w:t>
            </w:r>
            <w:r w:rsidR="00FA514E" w:rsidRPr="00FA514E">
              <w:t>Consumer Protection (Amendment) (EU Exit) Regulations</w:t>
            </w:r>
            <w:r>
              <w:t xml:space="preserve"> are</w:t>
            </w:r>
            <w:r w:rsidR="00FA514E">
              <w:t xml:space="preserve"> less burdensome</w:t>
            </w:r>
            <w:r>
              <w:t xml:space="preserve"> than </w:t>
            </w:r>
            <w:r w:rsidR="00FA514E">
              <w:t>those introduced by</w:t>
            </w:r>
            <w:r>
              <w:t xml:space="preserve"> the 2015 ADR </w:t>
            </w:r>
            <w:r w:rsidR="009001F6">
              <w:t>R</w:t>
            </w:r>
            <w:r>
              <w:t>egulation</w:t>
            </w:r>
            <w:r w:rsidR="00FA514E">
              <w:t>s</w:t>
            </w:r>
            <w:r>
              <w:t>.</w:t>
            </w:r>
          </w:p>
        </w:tc>
      </w:tr>
      <w:tr w:rsidR="00D43C78" w14:paraId="3A627A27" w14:textId="77777777" w:rsidTr="002B3B66">
        <w:tc>
          <w:tcPr>
            <w:tcW w:w="5512" w:type="dxa"/>
          </w:tcPr>
          <w:p w14:paraId="232498C3" w14:textId="0B988DCD" w:rsidR="00D43C78" w:rsidRDefault="00D43C78" w:rsidP="00D43C78">
            <w:pPr>
              <w:pStyle w:val="Numberedparagraph"/>
            </w:pPr>
            <w:r w:rsidRPr="002E19C0">
              <w:t xml:space="preserve">Familiarisation time in </w:t>
            </w:r>
            <w:r>
              <w:t>larger</w:t>
            </w:r>
            <w:r w:rsidRPr="002E19C0">
              <w:t xml:space="preserve"> businesses</w:t>
            </w:r>
            <w:r>
              <w:t xml:space="preserve"> (10 or more employees)</w:t>
            </w:r>
            <w:r w:rsidRPr="002E19C0">
              <w:t xml:space="preserve">: half an hour of </w:t>
            </w:r>
            <w:r>
              <w:t xml:space="preserve">one </w:t>
            </w:r>
            <w:r w:rsidRPr="002E19C0">
              <w:t>senior staff member (often the owner or proprietor</w:t>
            </w:r>
            <w:r>
              <w:t>) and 15 minutes of training for 20 frontline staff members</w:t>
            </w:r>
          </w:p>
        </w:tc>
        <w:tc>
          <w:tcPr>
            <w:tcW w:w="4683" w:type="dxa"/>
          </w:tcPr>
          <w:p w14:paraId="4E053F84" w14:textId="6B711876" w:rsidR="00D43C78" w:rsidRDefault="00FA514E" w:rsidP="00D43C78">
            <w:pPr>
              <w:pStyle w:val="Numberedparagraph"/>
            </w:pPr>
            <w:r>
              <w:t xml:space="preserve">2015 ADR Impact Assessment with amendment as the requirements introduced by the </w:t>
            </w:r>
            <w:r w:rsidRPr="00FA514E">
              <w:t>Consumer Protection (Amendment) (EU Exit) Regulations</w:t>
            </w:r>
            <w:r>
              <w:t xml:space="preserve"> are less burdensome than th</w:t>
            </w:r>
            <w:r w:rsidR="009001F6">
              <w:t>ose introduced by the 2015 ADR R</w:t>
            </w:r>
            <w:r>
              <w:t>egulations.</w:t>
            </w:r>
          </w:p>
        </w:tc>
      </w:tr>
      <w:tr w:rsidR="00D43C78" w14:paraId="4ED04F8F" w14:textId="77777777" w:rsidTr="002B3B66">
        <w:tc>
          <w:tcPr>
            <w:tcW w:w="5512" w:type="dxa"/>
          </w:tcPr>
          <w:p w14:paraId="30A0C6C3" w14:textId="192BD000" w:rsidR="00D43C78" w:rsidRDefault="00D43C78" w:rsidP="00D43C78">
            <w:pPr>
              <w:pStyle w:val="Numberedparagraph"/>
            </w:pPr>
            <w:r>
              <w:t>I</w:t>
            </w:r>
            <w:r w:rsidRPr="00D43C78">
              <w:t>t will take an IT programmer half an hour to remove the link to the ODR website</w:t>
            </w:r>
          </w:p>
        </w:tc>
        <w:tc>
          <w:tcPr>
            <w:tcW w:w="4683" w:type="dxa"/>
          </w:tcPr>
          <w:p w14:paraId="22F5E7F4" w14:textId="4262F55D" w:rsidR="00D43C78" w:rsidRDefault="00FA514E" w:rsidP="009001F6">
            <w:pPr>
              <w:pStyle w:val="Numberedparagraph"/>
            </w:pPr>
            <w:r>
              <w:t xml:space="preserve">2015 ADR Impact Assessment with amendment as the requirements introduced by the </w:t>
            </w:r>
            <w:r w:rsidRPr="00FA514E">
              <w:t>Consumer Protection (Amendment) (EU Exit) Regulations</w:t>
            </w:r>
            <w:r>
              <w:t xml:space="preserve"> are less burdensome than those introduced by the 2015 ADR </w:t>
            </w:r>
            <w:r w:rsidR="009001F6">
              <w:t>R</w:t>
            </w:r>
            <w:r>
              <w:t>egulations.</w:t>
            </w:r>
          </w:p>
        </w:tc>
      </w:tr>
    </w:tbl>
    <w:p w14:paraId="1A6A321C" w14:textId="77777777" w:rsidR="0047566D" w:rsidRDefault="0047566D" w:rsidP="004D26A9"/>
    <w:p w14:paraId="12EDEFF3" w14:textId="77777777" w:rsidR="004D26A9" w:rsidRDefault="004D26A9" w:rsidP="004D26A9"/>
    <w:p w14:paraId="4D1AFBEB" w14:textId="77777777" w:rsidR="004D26A9" w:rsidRPr="004D26A9" w:rsidRDefault="004D26A9" w:rsidP="004D26A9"/>
    <w:p w14:paraId="6A90EC39" w14:textId="25891BFD" w:rsidR="00187843" w:rsidRDefault="00187843" w:rsidP="00187843">
      <w:pPr>
        <w:pStyle w:val="Heading1"/>
        <w:pageBreakBefore/>
      </w:pPr>
      <w:bookmarkStart w:id="72" w:name="_Toc521073900"/>
      <w:r>
        <w:lastRenderedPageBreak/>
        <w:t>Analytical Notes</w:t>
      </w:r>
      <w:bookmarkEnd w:id="72"/>
    </w:p>
    <w:p w14:paraId="76EB218B" w14:textId="449602FB" w:rsidR="00187843" w:rsidRPr="00E844D5" w:rsidRDefault="00187843" w:rsidP="00B130A9">
      <w:pPr>
        <w:pStyle w:val="Heading2"/>
        <w:rPr>
          <w:rFonts w:eastAsia="SimSun"/>
          <w:lang w:eastAsia="zh-CN"/>
        </w:rPr>
      </w:pPr>
      <w:bookmarkStart w:id="73" w:name="_Toc521073901"/>
      <w:r w:rsidRPr="00E844D5">
        <w:rPr>
          <w:rFonts w:eastAsia="SimSun"/>
          <w:lang w:eastAsia="zh-CN"/>
        </w:rPr>
        <w:t>Direct Costs to Businesses</w:t>
      </w:r>
      <w:bookmarkEnd w:id="73"/>
    </w:p>
    <w:p w14:paraId="0A3896B5" w14:textId="3AA7887B" w:rsidR="00102325" w:rsidRPr="00965298" w:rsidRDefault="00913B24" w:rsidP="00F45C80">
      <w:pPr>
        <w:numPr>
          <w:ilvl w:val="0"/>
          <w:numId w:val="4"/>
        </w:numPr>
        <w:spacing w:after="200" w:line="20" w:lineRule="atLeast"/>
      </w:pPr>
      <w:r w:rsidRPr="00965298">
        <w:t xml:space="preserve">Section 21 of the Small Business, Enterprise and Regulatory Reform Act 2015 (SBEE) established a duty on the Secretary of State to publish a target for Government in respect of the economic impact on business activities of qualifying regulatory provisions which come in or cease during the relevant </w:t>
      </w:r>
      <w:proofErr w:type="gramStart"/>
      <w:r w:rsidRPr="00965298">
        <w:t>time period</w:t>
      </w:r>
      <w:proofErr w:type="gramEnd"/>
      <w:r w:rsidRPr="00965298">
        <w:t xml:space="preserve">. The Business Impact Target (BIT) established in </w:t>
      </w:r>
      <w:r w:rsidR="009263F6" w:rsidRPr="00965298">
        <w:t>Ju</w:t>
      </w:r>
      <w:r w:rsidR="00CF39C9" w:rsidRPr="00965298">
        <w:t>ne</w:t>
      </w:r>
      <w:r w:rsidRPr="00965298">
        <w:t xml:space="preserve"> 201</w:t>
      </w:r>
      <w:r w:rsidR="009263F6" w:rsidRPr="00965298">
        <w:t>8</w:t>
      </w:r>
      <w:r w:rsidRPr="00965298">
        <w:t xml:space="preserve"> </w:t>
      </w:r>
      <w:r w:rsidR="009263F6" w:rsidRPr="00965298">
        <w:t>i</w:t>
      </w:r>
      <w:r w:rsidRPr="00965298">
        <w:t>s for a saving of £</w:t>
      </w:r>
      <w:r w:rsidR="00965298" w:rsidRPr="00965298">
        <w:t>9</w:t>
      </w:r>
      <w:r w:rsidRPr="00965298">
        <w:t>bn for business and voluntary or community bodies from qualifying measures that come in to force or cease during the Parliament</w:t>
      </w:r>
      <w:r w:rsidR="00E63786" w:rsidRPr="00965298">
        <w:rPr>
          <w:rStyle w:val="FootnoteReference"/>
        </w:rPr>
        <w:footnoteReference w:id="18"/>
      </w:r>
      <w:r w:rsidRPr="00965298">
        <w:t xml:space="preserve">. </w:t>
      </w:r>
    </w:p>
    <w:p w14:paraId="341CDB6A" w14:textId="5CFE5BB5" w:rsidR="00D46928" w:rsidRPr="00E844D5" w:rsidRDefault="00D46928" w:rsidP="009D27D1">
      <w:pPr>
        <w:numPr>
          <w:ilvl w:val="0"/>
          <w:numId w:val="4"/>
        </w:numPr>
        <w:spacing w:after="200" w:line="20" w:lineRule="atLeast"/>
      </w:pPr>
      <w:r w:rsidRPr="00E844D5">
        <w:t>“Qualifying regulatory provisions” are broadly defined as provisions concerning the regulation of activities of business</w:t>
      </w:r>
      <w:r w:rsidR="0056272D" w:rsidRPr="00E844D5">
        <w:t xml:space="preserve"> and voluntary or</w:t>
      </w:r>
      <w:r w:rsidR="000B0082" w:rsidRPr="00E844D5">
        <w:t xml:space="preserve"> </w:t>
      </w:r>
      <w:r w:rsidRPr="00E844D5">
        <w:t>community bodies, except where they are undertaken by public bodies or as part of delivery of public services.</w:t>
      </w:r>
      <w:r w:rsidR="001327F1" w:rsidRPr="00E844D5">
        <w:t xml:space="preserve"> </w:t>
      </w:r>
      <w:r w:rsidRPr="00E844D5">
        <w:t xml:space="preserve">The proposals outlined in this impact assessment are </w:t>
      </w:r>
      <w:r w:rsidR="00B43695">
        <w:t>r</w:t>
      </w:r>
      <w:r w:rsidR="00B43695" w:rsidRPr="00582D83">
        <w:t>egulatory provisions that deal with deficiencies in retained EU Law under the E</w:t>
      </w:r>
      <w:r w:rsidR="00A41F1A">
        <w:t xml:space="preserve">uropean </w:t>
      </w:r>
      <w:r w:rsidR="00B43695" w:rsidRPr="00582D83">
        <w:t>U</w:t>
      </w:r>
      <w:r w:rsidR="00A41F1A">
        <w:t>nion</w:t>
      </w:r>
      <w:r w:rsidR="00B43695" w:rsidRPr="00582D83">
        <w:t xml:space="preserve"> </w:t>
      </w:r>
      <w:r w:rsidR="00A41F1A">
        <w:t>(</w:t>
      </w:r>
      <w:r w:rsidR="00B43695" w:rsidRPr="00582D83">
        <w:t>Withdrawal</w:t>
      </w:r>
      <w:r w:rsidR="00A41F1A">
        <w:t>)</w:t>
      </w:r>
      <w:r w:rsidR="00B43695" w:rsidRPr="00582D83">
        <w:t xml:space="preserve"> </w:t>
      </w:r>
      <w:r w:rsidR="00B43695">
        <w:t>Act 2018.</w:t>
      </w:r>
      <w:r w:rsidR="009D27D1">
        <w:t xml:space="preserve"> </w:t>
      </w:r>
      <w:r w:rsidRPr="00E844D5">
        <w:t xml:space="preserve">Under the </w:t>
      </w:r>
      <w:r w:rsidR="00E534FF" w:rsidRPr="00E844D5">
        <w:t xml:space="preserve">recent communication by the </w:t>
      </w:r>
      <w:r w:rsidRPr="00E844D5">
        <w:t xml:space="preserve">Better Regulation </w:t>
      </w:r>
      <w:r w:rsidR="009F0A98" w:rsidRPr="00E844D5">
        <w:t>Executive</w:t>
      </w:r>
      <w:r w:rsidR="00B948CE">
        <w:rPr>
          <w:rStyle w:val="FootnoteReference"/>
        </w:rPr>
        <w:footnoteReference w:id="19"/>
      </w:r>
      <w:r w:rsidRPr="00E844D5">
        <w:t xml:space="preserve">, </w:t>
      </w:r>
      <w:r w:rsidR="009D27D1">
        <w:t xml:space="preserve">this </w:t>
      </w:r>
      <w:r w:rsidRPr="00E844D5">
        <w:t>E</w:t>
      </w:r>
      <w:r w:rsidR="009F0A98" w:rsidRPr="00E844D5">
        <w:t>U Exit SI</w:t>
      </w:r>
      <w:r w:rsidR="009D27D1">
        <w:t xml:space="preserve"> i</w:t>
      </w:r>
      <w:r w:rsidR="009F0A98" w:rsidRPr="00E844D5">
        <w:t>s</w:t>
      </w:r>
      <w:r w:rsidR="009D27D1">
        <w:t xml:space="preserve"> a</w:t>
      </w:r>
      <w:r w:rsidR="004F7E18" w:rsidRPr="00E844D5">
        <w:t xml:space="preserve"> Non-Qualifying-Regulatory-Provision (NQRP) and therefore the EANDCB will not score against the Business Impact Target</w:t>
      </w:r>
      <w:r w:rsidRPr="00E844D5">
        <w:t xml:space="preserve">. </w:t>
      </w:r>
    </w:p>
    <w:p w14:paraId="63CB45DF" w14:textId="483ACEF9" w:rsidR="00F11E29" w:rsidRPr="00E844D5" w:rsidRDefault="00F11E29" w:rsidP="00F45C80">
      <w:pPr>
        <w:numPr>
          <w:ilvl w:val="0"/>
          <w:numId w:val="4"/>
        </w:numPr>
        <w:spacing w:after="200" w:line="20" w:lineRule="atLeast"/>
      </w:pPr>
      <w:r w:rsidRPr="00E844D5">
        <w:t>An EANDCB of £</w:t>
      </w:r>
      <w:r w:rsidR="001A7A7F" w:rsidRPr="00E844D5">
        <w:t>1</w:t>
      </w:r>
      <w:r w:rsidR="00AE6AA0" w:rsidRPr="00E844D5">
        <w:t>.</w:t>
      </w:r>
      <w:r w:rsidR="001A7A7F" w:rsidRPr="00E844D5">
        <w:t>9</w:t>
      </w:r>
      <w:r w:rsidRPr="00E844D5">
        <w:t xml:space="preserve"> million has</w:t>
      </w:r>
      <w:r w:rsidR="00D46928" w:rsidRPr="00E844D5">
        <w:t xml:space="preserve"> nonetheless</w:t>
      </w:r>
      <w:r w:rsidRPr="00E844D5">
        <w:t xml:space="preserve"> been calculated for this impact assessment. It is estimated that the</w:t>
      </w:r>
      <w:r w:rsidR="00AE6AA0" w:rsidRPr="00E844D5">
        <w:t xml:space="preserve"> Consumer Protection (Amendment) (EU Exit) Regulations</w:t>
      </w:r>
      <w:r w:rsidRPr="00E844D5">
        <w:t xml:space="preserve"> will result in a </w:t>
      </w:r>
      <w:r w:rsidR="001534B9" w:rsidRPr="00E844D5">
        <w:t>familiarisation cost of £</w:t>
      </w:r>
      <w:r w:rsidR="003A03EF" w:rsidRPr="00E844D5">
        <w:t>11.</w:t>
      </w:r>
      <w:r w:rsidR="00FC5F39" w:rsidRPr="00E844D5">
        <w:t>8</w:t>
      </w:r>
      <w:r w:rsidR="003A03EF" w:rsidRPr="00E844D5">
        <w:t xml:space="preserve"> million</w:t>
      </w:r>
      <w:r w:rsidR="001534B9" w:rsidRPr="00E844D5">
        <w:t xml:space="preserve"> and in a </w:t>
      </w:r>
      <w:r w:rsidRPr="00E844D5">
        <w:t>one-off transitional cost of £</w:t>
      </w:r>
      <w:r w:rsidR="00D011D1" w:rsidRPr="00E844D5">
        <w:t>7</w:t>
      </w:r>
      <w:r w:rsidR="00AE6AA0" w:rsidRPr="00E844D5">
        <w:t>.</w:t>
      </w:r>
      <w:r w:rsidR="00F558A2" w:rsidRPr="00E844D5">
        <w:t>6</w:t>
      </w:r>
      <w:r w:rsidRPr="00E844D5">
        <w:t xml:space="preserve"> million</w:t>
      </w:r>
      <w:r w:rsidR="001534B9" w:rsidRPr="00E844D5">
        <w:t xml:space="preserve">. There will be </w:t>
      </w:r>
      <w:r w:rsidR="00D011D1" w:rsidRPr="00E844D5">
        <w:t>no ongoing a</w:t>
      </w:r>
      <w:r w:rsidRPr="00E844D5">
        <w:t>nnual cost</w:t>
      </w:r>
      <w:r w:rsidR="00D62ACE" w:rsidRPr="00E844D5">
        <w:t xml:space="preserve"> for any business and no annual benefits</w:t>
      </w:r>
      <w:r w:rsidRPr="00E844D5">
        <w:t xml:space="preserve"> for</w:t>
      </w:r>
      <w:r w:rsidR="00D62ACE" w:rsidRPr="00E844D5">
        <w:t xml:space="preserve"> </w:t>
      </w:r>
      <w:r w:rsidR="0092262A" w:rsidRPr="00E844D5">
        <w:t>existing businesses</w:t>
      </w:r>
      <w:r w:rsidR="00D62ACE" w:rsidRPr="00E844D5">
        <w:t xml:space="preserve">, </w:t>
      </w:r>
      <w:r w:rsidR="00B73FA2" w:rsidRPr="00E844D5">
        <w:t xml:space="preserve">although it will </w:t>
      </w:r>
      <w:r w:rsidR="00F42136" w:rsidRPr="00E844D5">
        <w:t xml:space="preserve">result in a small </w:t>
      </w:r>
      <w:r w:rsidR="00B73FA2" w:rsidRPr="00E844D5">
        <w:t>reduc</w:t>
      </w:r>
      <w:r w:rsidR="00F42136" w:rsidRPr="00E844D5">
        <w:t>tion</w:t>
      </w:r>
      <w:r w:rsidR="00B73FA2" w:rsidRPr="00E844D5">
        <w:t xml:space="preserve"> </w:t>
      </w:r>
      <w:r w:rsidR="0092262A" w:rsidRPr="00E844D5">
        <w:t>in</w:t>
      </w:r>
      <w:r w:rsidR="00B73FA2" w:rsidRPr="00E844D5">
        <w:t xml:space="preserve"> regulatory burden for future businesses </w:t>
      </w:r>
      <w:r w:rsidR="003A03EF" w:rsidRPr="00E844D5">
        <w:t xml:space="preserve">that wish to enter the market, as they will no longer be required to </w:t>
      </w:r>
      <w:r w:rsidR="0092262A" w:rsidRPr="00E844D5">
        <w:t xml:space="preserve">add a link to the ODR Platform. </w:t>
      </w:r>
      <w:r w:rsidR="00C747A3" w:rsidRPr="00E844D5">
        <w:t>Whilst</w:t>
      </w:r>
      <w:r w:rsidR="00757A73" w:rsidRPr="00E844D5">
        <w:t xml:space="preserve"> there will b</w:t>
      </w:r>
      <w:r w:rsidR="0060535D" w:rsidRPr="00E844D5">
        <w:t xml:space="preserve">e an impact on consumers as they will no longer be able to submit a complaint via the ODR platform, our data shows that </w:t>
      </w:r>
      <w:r w:rsidR="000E2B35" w:rsidRPr="00E844D5">
        <w:t xml:space="preserve">a very limited number of complaints made to the ODR are </w:t>
      </w:r>
      <w:proofErr w:type="gramStart"/>
      <w:r w:rsidR="000E2B35" w:rsidRPr="00E844D5">
        <w:t>actually successful</w:t>
      </w:r>
      <w:proofErr w:type="gramEnd"/>
      <w:r w:rsidR="000E2B35" w:rsidRPr="00E844D5">
        <w:t xml:space="preserve"> in solving consumer issues, so that the impact on UK consumers of losing access to the ODR platform is considered as negligible</w:t>
      </w:r>
      <w:r w:rsidRPr="00E844D5">
        <w:t>.</w:t>
      </w:r>
    </w:p>
    <w:p w14:paraId="6CFC1C8E" w14:textId="77777777" w:rsidR="00064095" w:rsidRPr="00D46EA7" w:rsidRDefault="00064095" w:rsidP="00D46EA7">
      <w:pPr>
        <w:pStyle w:val="NoSpacing"/>
      </w:pPr>
    </w:p>
    <w:p w14:paraId="780A29CF" w14:textId="3908EAC0" w:rsidR="009D0BC6" w:rsidRDefault="00223B86" w:rsidP="00187843">
      <w:pPr>
        <w:pStyle w:val="Heading2"/>
        <w:rPr>
          <w:rFonts w:eastAsia="SimSun"/>
          <w:lang w:eastAsia="zh-CN"/>
        </w:rPr>
      </w:pPr>
      <w:bookmarkStart w:id="74" w:name="_Toc521073902"/>
      <w:r>
        <w:rPr>
          <w:rFonts w:eastAsia="SimSun"/>
          <w:lang w:eastAsia="zh-CN"/>
        </w:rPr>
        <w:t xml:space="preserve">Small and Micro Business </w:t>
      </w:r>
      <w:r w:rsidR="00C05373">
        <w:rPr>
          <w:rFonts w:eastAsia="SimSun"/>
          <w:lang w:eastAsia="zh-CN"/>
        </w:rPr>
        <w:t>Assessment</w:t>
      </w:r>
      <w:bookmarkEnd w:id="74"/>
    </w:p>
    <w:p w14:paraId="46933232" w14:textId="32BDC182" w:rsidR="000B1DA4" w:rsidRDefault="000B1DA4" w:rsidP="00F45C80">
      <w:pPr>
        <w:numPr>
          <w:ilvl w:val="0"/>
          <w:numId w:val="4"/>
        </w:numPr>
        <w:spacing w:after="200" w:line="20" w:lineRule="atLeast"/>
      </w:pPr>
      <w:r>
        <w:t xml:space="preserve">Under the Government’s Better Regulation Framework, the default option for new domestic regulatory measures is for small and micro businesses to be exempted. </w:t>
      </w:r>
      <w:r w:rsidRPr="008C52B2">
        <w:t xml:space="preserve">The purpose of this regulation is however to </w:t>
      </w:r>
      <w:r w:rsidR="00BE7811" w:rsidRPr="008C52B2">
        <w:t xml:space="preserve">amend existing UK legislation </w:t>
      </w:r>
      <w:r w:rsidR="00647A62" w:rsidRPr="008C52B2">
        <w:t>t</w:t>
      </w:r>
      <w:r w:rsidR="007D258E">
        <w:t xml:space="preserve">o </w:t>
      </w:r>
      <w:r w:rsidR="0044569E" w:rsidRPr="0044569E">
        <w:t xml:space="preserve">ensure the continued effective operation of the existing consumer protection regime following EU </w:t>
      </w:r>
      <w:r w:rsidR="00D84C2B">
        <w:t>E</w:t>
      </w:r>
      <w:r w:rsidR="0044569E" w:rsidRPr="0044569E">
        <w:t>xit. The SI is not intended as a vehicle for reforming the existing regime.</w:t>
      </w:r>
      <w:r w:rsidR="00647A62">
        <w:t xml:space="preserve"> </w:t>
      </w:r>
      <w:r w:rsidR="00397AD6" w:rsidRPr="008F4572">
        <w:t>E</w:t>
      </w:r>
      <w:r w:rsidRPr="008F4572">
        <w:t>xempting small and micro businesses is therefore not possible as it puts the UK at risk of</w:t>
      </w:r>
      <w:r w:rsidR="008F4572" w:rsidRPr="008F4572">
        <w:t xml:space="preserve"> have an ineffective </w:t>
      </w:r>
      <w:r w:rsidR="008F4572">
        <w:t xml:space="preserve">legal framework that protects the rights and interests of consumers, which </w:t>
      </w:r>
      <w:r w:rsidR="005315CF">
        <w:t>c</w:t>
      </w:r>
      <w:r w:rsidR="008F4572">
        <w:t xml:space="preserve">ould make it easier for rogue businesses to </w:t>
      </w:r>
      <w:r w:rsidR="005315CF">
        <w:t>target</w:t>
      </w:r>
      <w:r w:rsidR="008F4572">
        <w:t xml:space="preserve"> consumers</w:t>
      </w:r>
      <w:r>
        <w:t>. Small and micro businesses represent 9</w:t>
      </w:r>
      <w:r w:rsidR="005A26B6">
        <w:t>9</w:t>
      </w:r>
      <w:r>
        <w:t>%</w:t>
      </w:r>
      <w:r w:rsidR="00E162DE">
        <w:t xml:space="preserve"> (or </w:t>
      </w:r>
      <w:r w:rsidR="00E162DE" w:rsidRPr="00E162DE">
        <w:t>871</w:t>
      </w:r>
      <w:r w:rsidR="00E162DE">
        <w:t>,</w:t>
      </w:r>
      <w:r w:rsidR="00E162DE" w:rsidRPr="00E162DE">
        <w:t>725</w:t>
      </w:r>
      <w:r w:rsidR="00E162DE">
        <w:t>)</w:t>
      </w:r>
      <w:r>
        <w:t xml:space="preserve"> of all businesses </w:t>
      </w:r>
      <w:r w:rsidR="00982A7F">
        <w:t>that sell goods and services</w:t>
      </w:r>
      <w:r w:rsidR="00824FCC">
        <w:t>. They however</w:t>
      </w:r>
      <w:r>
        <w:t xml:space="preserve"> cannot be exempted from this regulation as exempting them would not achieve </w:t>
      </w:r>
      <w:r w:rsidR="00E22582">
        <w:t xml:space="preserve">the Government’s </w:t>
      </w:r>
      <w:r>
        <w:t>objective</w:t>
      </w:r>
      <w:r w:rsidR="00E22582">
        <w:t xml:space="preserve"> of</w:t>
      </w:r>
      <w:r>
        <w:t xml:space="preserve"> </w:t>
      </w:r>
      <w:r w:rsidR="00E22582">
        <w:t xml:space="preserve">withdrawing from the European Union whilst </w:t>
      </w:r>
      <w:r w:rsidR="00E22582" w:rsidRPr="00E22582">
        <w:t>ensur</w:t>
      </w:r>
      <w:r w:rsidR="00E22582">
        <w:t>ing that</w:t>
      </w:r>
      <w:r w:rsidR="00E22582" w:rsidRPr="00E22582">
        <w:t xml:space="preserve"> UK law continues to be operable at the point of exiting the EU</w:t>
      </w:r>
      <w:r>
        <w:t>.</w:t>
      </w:r>
    </w:p>
    <w:p w14:paraId="3A72051D" w14:textId="51EC6EAB" w:rsidR="00187843" w:rsidRDefault="000B1DA4" w:rsidP="00F45C80">
      <w:pPr>
        <w:numPr>
          <w:ilvl w:val="0"/>
          <w:numId w:val="4"/>
        </w:numPr>
        <w:spacing w:after="200" w:line="20" w:lineRule="atLeast"/>
      </w:pPr>
      <w:r>
        <w:lastRenderedPageBreak/>
        <w:t xml:space="preserve">The regulation will apply to all businesses in scope in the same way. However, small and micro businesses may face a greater exposure relative to their size with regards to the </w:t>
      </w:r>
      <w:r w:rsidR="007B0A28">
        <w:t>requirement of removing the link to the ODR platform and the cost incurred</w:t>
      </w:r>
      <w:r w:rsidR="00162E1C">
        <w:t xml:space="preserve">. This is because small businesses </w:t>
      </w:r>
      <w:r w:rsidR="00175D83">
        <w:t>may</w:t>
      </w:r>
      <w:r w:rsidR="00BE4B30">
        <w:t xml:space="preserve"> not have the </w:t>
      </w:r>
      <w:r w:rsidR="00BE4B30" w:rsidRPr="00BE4B30">
        <w:t>availab</w:t>
      </w:r>
      <w:r w:rsidR="00BE4B30">
        <w:t xml:space="preserve">le </w:t>
      </w:r>
      <w:r w:rsidR="001D43AD">
        <w:t>knowledge</w:t>
      </w:r>
      <w:r w:rsidR="00BE4B30">
        <w:t xml:space="preserve"> and the </w:t>
      </w:r>
      <w:r w:rsidR="00BE4B30" w:rsidRPr="00BE4B30">
        <w:t>dedicated IT teams</w:t>
      </w:r>
      <w:r w:rsidR="00BE4B30">
        <w:t xml:space="preserve"> to remove the link to the ODR platform that larger businesses may have. As a result, they may </w:t>
      </w:r>
      <w:r w:rsidR="005F792A">
        <w:t>take longer than large business</w:t>
      </w:r>
      <w:r w:rsidR="005D2FBC">
        <w:t xml:space="preserve">es to </w:t>
      </w:r>
      <w:r w:rsidR="00ED3AEC">
        <w:t xml:space="preserve">do so and </w:t>
      </w:r>
      <w:r>
        <w:t xml:space="preserve">may be more likely to be deterred from </w:t>
      </w:r>
      <w:r w:rsidR="00E01525">
        <w:t>removing the link to the ODR platform</w:t>
      </w:r>
      <w:r w:rsidR="00DC7C7D">
        <w:t xml:space="preserve">. Existing guidance </w:t>
      </w:r>
      <w:r w:rsidR="005011B1" w:rsidRPr="005011B1">
        <w:t>for businesses will be updated to explain the changes that this instrument makes</w:t>
      </w:r>
      <w:r w:rsidR="005011B1">
        <w:t xml:space="preserve">. </w:t>
      </w:r>
      <w:r w:rsidR="007B0A28" w:rsidRPr="007B0A28">
        <w:t xml:space="preserve">Specific guidance for competent authorities and entities who want to get approved as certified ADR provider </w:t>
      </w:r>
      <w:r w:rsidR="00192D99">
        <w:t>is</w:t>
      </w:r>
      <w:r w:rsidR="007B0A28" w:rsidRPr="007B0A28">
        <w:t xml:space="preserve"> available on The Chartered Trading Standards Institute (CTSI) website.</w:t>
      </w:r>
      <w:r w:rsidR="005F21FC">
        <w:t xml:space="preserve"> </w:t>
      </w:r>
      <w:r w:rsidR="003454BC">
        <w:t>The Department for Business, Energy and Industrial Strategy will be informing stakeholders of the impact of this statutory instrument as the policy progresses.</w:t>
      </w:r>
    </w:p>
    <w:p w14:paraId="772097D2" w14:textId="77777777" w:rsidR="003454BC" w:rsidRDefault="003454BC" w:rsidP="00D46EA7">
      <w:pPr>
        <w:pStyle w:val="NoSpacing"/>
      </w:pPr>
    </w:p>
    <w:p w14:paraId="2DB46908" w14:textId="6A447D08" w:rsidR="00280EBD" w:rsidRDefault="00280EBD" w:rsidP="00280EBD">
      <w:pPr>
        <w:pStyle w:val="Heading2"/>
      </w:pPr>
      <w:bookmarkStart w:id="75" w:name="_Toc521073903"/>
      <w:r>
        <w:t>Wider Impacts</w:t>
      </w:r>
      <w:bookmarkEnd w:id="75"/>
    </w:p>
    <w:p w14:paraId="607D9058" w14:textId="75AAC2CD" w:rsidR="00280EBD" w:rsidRDefault="00280EBD" w:rsidP="00280EBD">
      <w:pPr>
        <w:pStyle w:val="Heading3"/>
      </w:pPr>
      <w:bookmarkStart w:id="76" w:name="_Toc521073904"/>
      <w:r>
        <w:t>Equalities Impact</w:t>
      </w:r>
      <w:bookmarkEnd w:id="76"/>
    </w:p>
    <w:p w14:paraId="18504E7A" w14:textId="68E568CA" w:rsidR="00DF41B7" w:rsidRDefault="00AD3337" w:rsidP="00F45C80">
      <w:pPr>
        <w:numPr>
          <w:ilvl w:val="0"/>
          <w:numId w:val="4"/>
        </w:numPr>
        <w:spacing w:after="200" w:line="20" w:lineRule="atLeast"/>
      </w:pPr>
      <w:r>
        <w:t xml:space="preserve">The cost and benefit of this statutory instrument </w:t>
      </w:r>
      <w:r w:rsidR="00280EBD">
        <w:t>would not be expected to fall disproportionately on any of the protected groups.</w:t>
      </w:r>
    </w:p>
    <w:p w14:paraId="7B0A156D" w14:textId="2E47FCBE" w:rsidR="009D4899" w:rsidRPr="008F711C" w:rsidRDefault="009D4899" w:rsidP="00280EBD">
      <w:pPr>
        <w:pStyle w:val="Heading3"/>
      </w:pPr>
      <w:bookmarkStart w:id="77" w:name="_Toc521073905"/>
      <w:r w:rsidRPr="008F711C">
        <w:t>Family Test</w:t>
      </w:r>
      <w:bookmarkEnd w:id="77"/>
    </w:p>
    <w:p w14:paraId="63B5D63F" w14:textId="3FA57E34" w:rsidR="007646CB" w:rsidRDefault="00C5275A" w:rsidP="00F45C80">
      <w:pPr>
        <w:numPr>
          <w:ilvl w:val="0"/>
          <w:numId w:val="4"/>
        </w:numPr>
        <w:spacing w:after="200" w:line="20" w:lineRule="atLeast"/>
      </w:pPr>
      <w:r>
        <w:t xml:space="preserve">The cost and benefits of this statutory instrument would not be expected to affect families or their </w:t>
      </w:r>
      <w:r w:rsidR="00AD3337">
        <w:t>formation</w:t>
      </w:r>
      <w:r w:rsidR="00DF41B7">
        <w:t>.</w:t>
      </w:r>
    </w:p>
    <w:p w14:paraId="731B7757" w14:textId="6571C301" w:rsidR="009473FF" w:rsidRDefault="007646CB" w:rsidP="007646CB">
      <w:pPr>
        <w:pStyle w:val="Heading1"/>
        <w:pageBreakBefore/>
      </w:pPr>
      <w:bookmarkStart w:id="78" w:name="_Annex_A_–"/>
      <w:bookmarkStart w:id="79" w:name="_Toc521073906"/>
      <w:bookmarkEnd w:id="78"/>
      <w:r>
        <w:lastRenderedPageBreak/>
        <w:t xml:space="preserve">Annex </w:t>
      </w:r>
      <w:r w:rsidR="00A50EA0">
        <w:t>A</w:t>
      </w:r>
      <w:r>
        <w:t xml:space="preserve"> – </w:t>
      </w:r>
      <w:r w:rsidR="009473FF">
        <w:t xml:space="preserve">Breakdown of population and size of businesses in scope of </w:t>
      </w:r>
      <w:r w:rsidR="00FE3566">
        <w:t xml:space="preserve">Amendment of </w:t>
      </w:r>
      <w:r w:rsidR="009473FF">
        <w:t xml:space="preserve">the </w:t>
      </w:r>
      <w:r w:rsidR="009001F6">
        <w:t xml:space="preserve">2015 </w:t>
      </w:r>
      <w:r w:rsidR="00FE3566">
        <w:t>ADR Regulation</w:t>
      </w:r>
      <w:r w:rsidR="009001F6">
        <w:t>s</w:t>
      </w:r>
      <w:r w:rsidR="00FE3566">
        <w:t xml:space="preserve"> and Revocation of ODR Regulations.</w:t>
      </w:r>
      <w:bookmarkEnd w:id="79"/>
    </w:p>
    <w:p w14:paraId="01773A5C" w14:textId="32AFB588" w:rsidR="009473FF" w:rsidRDefault="009473FF" w:rsidP="009473FF">
      <w:pPr>
        <w:pStyle w:val="Heading2"/>
      </w:pPr>
      <w:bookmarkStart w:id="80" w:name="_Toc521073907"/>
      <w:r>
        <w:t>Retail:</w:t>
      </w:r>
      <w:bookmarkEnd w:id="80"/>
    </w:p>
    <w:p w14:paraId="21F42F21" w14:textId="24DCCADA" w:rsidR="009473FF" w:rsidRDefault="009473FF" w:rsidP="009473FF">
      <w:pPr>
        <w:spacing w:after="200" w:line="20" w:lineRule="atLeast"/>
      </w:pPr>
      <w:r w:rsidRPr="00E719A8">
        <w:t xml:space="preserve">Table </w:t>
      </w:r>
      <w:r w:rsidR="0096254B" w:rsidRPr="00E719A8">
        <w:t>5</w:t>
      </w:r>
      <w:r>
        <w:t>:</w:t>
      </w:r>
      <w:r w:rsidRPr="002334E8">
        <w:t xml:space="preserve"> Population and size of businesses in scope of </w:t>
      </w:r>
      <w:r w:rsidR="009001F6">
        <w:t xml:space="preserve">2015 </w:t>
      </w:r>
      <w:r w:rsidRPr="002334E8">
        <w:t xml:space="preserve">ADR </w:t>
      </w:r>
      <w:r w:rsidR="009001F6">
        <w:t>R</w:t>
      </w:r>
      <w:r w:rsidRPr="002334E8">
        <w:t>egulations</w:t>
      </w:r>
      <w:r w:rsidR="00FE3566">
        <w:t xml:space="preserve"> in 2007 SIC Code 47</w:t>
      </w:r>
    </w:p>
    <w:tbl>
      <w:tblPr>
        <w:tblStyle w:val="TableGrid"/>
        <w:tblW w:w="0" w:type="auto"/>
        <w:tblLook w:val="04A0" w:firstRow="1" w:lastRow="0" w:firstColumn="1" w:lastColumn="0" w:noHBand="0" w:noVBand="1"/>
      </w:tblPr>
      <w:tblGrid>
        <w:gridCol w:w="5099"/>
        <w:gridCol w:w="5101"/>
      </w:tblGrid>
      <w:tr w:rsidR="009473FF" w14:paraId="6E349DD4" w14:textId="77777777" w:rsidTr="005631E9">
        <w:tc>
          <w:tcPr>
            <w:tcW w:w="5210" w:type="dxa"/>
            <w:tcBorders>
              <w:top w:val="nil"/>
              <w:left w:val="nil"/>
              <w:bottom w:val="single" w:sz="4" w:space="0" w:color="auto"/>
            </w:tcBorders>
          </w:tcPr>
          <w:p w14:paraId="2FC0C9EC" w14:textId="77777777" w:rsidR="009473FF" w:rsidRDefault="009473FF" w:rsidP="005631E9">
            <w:pPr>
              <w:spacing w:after="200" w:line="20" w:lineRule="atLeast"/>
            </w:pPr>
          </w:p>
        </w:tc>
        <w:tc>
          <w:tcPr>
            <w:tcW w:w="5211" w:type="dxa"/>
            <w:tcBorders>
              <w:bottom w:val="single" w:sz="4" w:space="0" w:color="auto"/>
            </w:tcBorders>
          </w:tcPr>
          <w:p w14:paraId="120F40C6" w14:textId="77777777" w:rsidR="009473FF" w:rsidRDefault="009473FF" w:rsidP="005631E9">
            <w:pPr>
              <w:spacing w:after="200" w:line="20" w:lineRule="atLeast"/>
            </w:pPr>
            <w:r>
              <w:t>Number of businesses in scope of Amendment to ADR and Revocation of ODR regulations</w:t>
            </w:r>
          </w:p>
        </w:tc>
      </w:tr>
      <w:tr w:rsidR="009473FF" w14:paraId="1735E452" w14:textId="77777777" w:rsidTr="005631E9">
        <w:tc>
          <w:tcPr>
            <w:tcW w:w="5210" w:type="dxa"/>
            <w:tcBorders>
              <w:bottom w:val="nil"/>
            </w:tcBorders>
          </w:tcPr>
          <w:p w14:paraId="7397CD2B" w14:textId="77777777" w:rsidR="009473FF" w:rsidRDefault="009473FF" w:rsidP="005631E9">
            <w:pPr>
              <w:spacing w:after="200" w:line="20" w:lineRule="atLeast"/>
            </w:pPr>
            <w:r>
              <w:t>Micro-businesses (no or 1 to 9 employees)</w:t>
            </w:r>
          </w:p>
        </w:tc>
        <w:tc>
          <w:tcPr>
            <w:tcW w:w="5211" w:type="dxa"/>
            <w:tcBorders>
              <w:bottom w:val="nil"/>
            </w:tcBorders>
            <w:vAlign w:val="center"/>
          </w:tcPr>
          <w:p w14:paraId="21A6CDE7" w14:textId="584993E3" w:rsidR="009473FF" w:rsidRDefault="00FE3566" w:rsidP="005631E9">
            <w:pPr>
              <w:spacing w:after="200" w:line="20" w:lineRule="atLeast"/>
              <w:jc w:val="right"/>
            </w:pPr>
            <w:r w:rsidRPr="00FE3566">
              <w:t>278,480</w:t>
            </w:r>
          </w:p>
        </w:tc>
      </w:tr>
      <w:tr w:rsidR="00FE3566" w14:paraId="52BC7DBB" w14:textId="77777777" w:rsidTr="005631E9">
        <w:tc>
          <w:tcPr>
            <w:tcW w:w="5210" w:type="dxa"/>
            <w:tcBorders>
              <w:top w:val="nil"/>
              <w:bottom w:val="nil"/>
            </w:tcBorders>
          </w:tcPr>
          <w:p w14:paraId="0984E99F" w14:textId="77777777" w:rsidR="00FE3566" w:rsidRDefault="00FE3566" w:rsidP="005631E9">
            <w:pPr>
              <w:spacing w:after="200" w:line="20" w:lineRule="atLeast"/>
            </w:pPr>
            <w:r>
              <w:t>Small businesses (10 to 49 employees)</w:t>
            </w:r>
          </w:p>
        </w:tc>
        <w:tc>
          <w:tcPr>
            <w:tcW w:w="5211" w:type="dxa"/>
            <w:tcBorders>
              <w:top w:val="nil"/>
              <w:bottom w:val="nil"/>
            </w:tcBorders>
          </w:tcPr>
          <w:p w14:paraId="4B032558" w14:textId="25072477" w:rsidR="00FE3566" w:rsidRDefault="00FE3566" w:rsidP="005631E9">
            <w:pPr>
              <w:spacing w:after="200" w:line="20" w:lineRule="atLeast"/>
              <w:jc w:val="right"/>
            </w:pPr>
            <w:r w:rsidRPr="00891B20">
              <w:t xml:space="preserve"> 16,395 </w:t>
            </w:r>
          </w:p>
        </w:tc>
      </w:tr>
      <w:tr w:rsidR="00FE3566" w14:paraId="210A918E" w14:textId="77777777" w:rsidTr="005631E9">
        <w:tc>
          <w:tcPr>
            <w:tcW w:w="5210" w:type="dxa"/>
            <w:tcBorders>
              <w:top w:val="nil"/>
              <w:bottom w:val="nil"/>
            </w:tcBorders>
          </w:tcPr>
          <w:p w14:paraId="243043D4" w14:textId="77777777" w:rsidR="00FE3566" w:rsidRDefault="00FE3566" w:rsidP="005631E9">
            <w:pPr>
              <w:spacing w:after="200" w:line="20" w:lineRule="atLeast"/>
            </w:pPr>
            <w:r>
              <w:t>Medium (50 to 249 employees)</w:t>
            </w:r>
          </w:p>
        </w:tc>
        <w:tc>
          <w:tcPr>
            <w:tcW w:w="5211" w:type="dxa"/>
            <w:tcBorders>
              <w:top w:val="nil"/>
              <w:bottom w:val="nil"/>
            </w:tcBorders>
          </w:tcPr>
          <w:p w14:paraId="6AA6EE22" w14:textId="3683E50A" w:rsidR="00FE3566" w:rsidRDefault="00FE3566" w:rsidP="005631E9">
            <w:pPr>
              <w:spacing w:after="200" w:line="20" w:lineRule="atLeast"/>
              <w:jc w:val="right"/>
            </w:pPr>
            <w:r w:rsidRPr="00891B20">
              <w:t xml:space="preserve"> 1,595 </w:t>
            </w:r>
          </w:p>
        </w:tc>
      </w:tr>
      <w:tr w:rsidR="00FE3566" w14:paraId="65B77C7B" w14:textId="77777777" w:rsidTr="005631E9">
        <w:tc>
          <w:tcPr>
            <w:tcW w:w="5210" w:type="dxa"/>
            <w:tcBorders>
              <w:top w:val="nil"/>
              <w:bottom w:val="single" w:sz="4" w:space="0" w:color="auto"/>
            </w:tcBorders>
          </w:tcPr>
          <w:p w14:paraId="2D7EAA16" w14:textId="77777777" w:rsidR="00FE3566" w:rsidRDefault="00FE3566" w:rsidP="005631E9">
            <w:pPr>
              <w:spacing w:after="200" w:line="20" w:lineRule="atLeast"/>
            </w:pPr>
            <w:r>
              <w:t>Large (250 or more employees)</w:t>
            </w:r>
          </w:p>
        </w:tc>
        <w:tc>
          <w:tcPr>
            <w:tcW w:w="5211" w:type="dxa"/>
            <w:tcBorders>
              <w:top w:val="nil"/>
              <w:bottom w:val="single" w:sz="4" w:space="0" w:color="auto"/>
            </w:tcBorders>
          </w:tcPr>
          <w:p w14:paraId="6F4FDBFD" w14:textId="1A0B4B8B" w:rsidR="00FE3566" w:rsidRDefault="00FE3566" w:rsidP="005631E9">
            <w:pPr>
              <w:spacing w:after="200" w:line="20" w:lineRule="atLeast"/>
              <w:jc w:val="right"/>
            </w:pPr>
            <w:r w:rsidRPr="00891B20">
              <w:t xml:space="preserve"> 475 </w:t>
            </w:r>
          </w:p>
        </w:tc>
      </w:tr>
      <w:tr w:rsidR="00FE3566" w:rsidRPr="002334E8" w14:paraId="6CB25A4A" w14:textId="77777777" w:rsidTr="005631E9">
        <w:tc>
          <w:tcPr>
            <w:tcW w:w="5210" w:type="dxa"/>
            <w:tcBorders>
              <w:top w:val="single" w:sz="4" w:space="0" w:color="auto"/>
              <w:left w:val="single" w:sz="4" w:space="0" w:color="auto"/>
              <w:bottom w:val="single" w:sz="4" w:space="0" w:color="auto"/>
              <w:right w:val="single" w:sz="4" w:space="0" w:color="auto"/>
            </w:tcBorders>
          </w:tcPr>
          <w:p w14:paraId="4B2F7963" w14:textId="77777777" w:rsidR="00FE3566" w:rsidRPr="002334E8" w:rsidRDefault="00FE3566" w:rsidP="005631E9">
            <w:pPr>
              <w:spacing w:after="200" w:line="20" w:lineRule="atLeast"/>
              <w:rPr>
                <w:b/>
              </w:rPr>
            </w:pPr>
            <w:r w:rsidRPr="002334E8">
              <w:rPr>
                <w:b/>
              </w:rPr>
              <w:t>TOTAL</w:t>
            </w:r>
          </w:p>
        </w:tc>
        <w:tc>
          <w:tcPr>
            <w:tcW w:w="5211" w:type="dxa"/>
            <w:tcBorders>
              <w:top w:val="single" w:sz="4" w:space="0" w:color="auto"/>
              <w:left w:val="single" w:sz="4" w:space="0" w:color="auto"/>
              <w:bottom w:val="single" w:sz="4" w:space="0" w:color="auto"/>
              <w:right w:val="single" w:sz="4" w:space="0" w:color="auto"/>
            </w:tcBorders>
          </w:tcPr>
          <w:p w14:paraId="7750AAB8" w14:textId="3227E7C8" w:rsidR="00FE3566" w:rsidRPr="00FE3566" w:rsidRDefault="00FE3566" w:rsidP="005631E9">
            <w:pPr>
              <w:spacing w:after="200" w:line="20" w:lineRule="atLeast"/>
              <w:jc w:val="right"/>
              <w:rPr>
                <w:b/>
              </w:rPr>
            </w:pPr>
            <w:r w:rsidRPr="00FE3566">
              <w:rPr>
                <w:b/>
              </w:rPr>
              <w:t xml:space="preserve"> 296,945 </w:t>
            </w:r>
          </w:p>
        </w:tc>
      </w:tr>
    </w:tbl>
    <w:p w14:paraId="7D45F094" w14:textId="77777777" w:rsidR="009473FF" w:rsidRDefault="009473FF" w:rsidP="009473FF"/>
    <w:p w14:paraId="6F8C67F8" w14:textId="77777777" w:rsidR="00ED1B59" w:rsidRDefault="00ED1B59" w:rsidP="00ED1B59"/>
    <w:p w14:paraId="139637F2" w14:textId="7F9A294A" w:rsidR="009473FF" w:rsidRDefault="009473FF" w:rsidP="009473FF">
      <w:pPr>
        <w:pStyle w:val="Heading2"/>
      </w:pPr>
      <w:bookmarkStart w:id="81" w:name="_Toc521073908"/>
      <w:r>
        <w:t>Accommodation:</w:t>
      </w:r>
      <w:bookmarkEnd w:id="81"/>
    </w:p>
    <w:p w14:paraId="04ECF76A" w14:textId="6EAC9A47" w:rsidR="009473FF" w:rsidRDefault="009473FF" w:rsidP="009473FF">
      <w:pPr>
        <w:spacing w:after="200" w:line="20" w:lineRule="atLeast"/>
      </w:pPr>
      <w:r w:rsidRPr="00E719A8">
        <w:t xml:space="preserve">Table </w:t>
      </w:r>
      <w:r w:rsidR="0096254B" w:rsidRPr="00E719A8">
        <w:t>6</w:t>
      </w:r>
      <w:r>
        <w:t>:</w:t>
      </w:r>
      <w:r w:rsidRPr="002334E8">
        <w:t xml:space="preserve"> Population and size of businesses in scope of </w:t>
      </w:r>
      <w:r w:rsidR="009001F6">
        <w:t xml:space="preserve">2015 </w:t>
      </w:r>
      <w:r w:rsidRPr="002334E8">
        <w:t xml:space="preserve">ADR </w:t>
      </w:r>
      <w:r w:rsidR="009001F6">
        <w:t>R</w:t>
      </w:r>
      <w:r w:rsidRPr="002334E8">
        <w:t>egulations</w:t>
      </w:r>
      <w:r w:rsidR="00FE3566">
        <w:t xml:space="preserve"> in 2007 SIC Code 55 and 56</w:t>
      </w:r>
    </w:p>
    <w:tbl>
      <w:tblPr>
        <w:tblStyle w:val="TableGrid"/>
        <w:tblW w:w="0" w:type="auto"/>
        <w:tblLook w:val="04A0" w:firstRow="1" w:lastRow="0" w:firstColumn="1" w:lastColumn="0" w:noHBand="0" w:noVBand="1"/>
      </w:tblPr>
      <w:tblGrid>
        <w:gridCol w:w="5099"/>
        <w:gridCol w:w="5101"/>
      </w:tblGrid>
      <w:tr w:rsidR="009473FF" w14:paraId="61911523" w14:textId="77777777" w:rsidTr="005631E9">
        <w:tc>
          <w:tcPr>
            <w:tcW w:w="5210" w:type="dxa"/>
            <w:tcBorders>
              <w:top w:val="nil"/>
              <w:left w:val="nil"/>
              <w:bottom w:val="single" w:sz="4" w:space="0" w:color="auto"/>
            </w:tcBorders>
          </w:tcPr>
          <w:p w14:paraId="11DC4F57" w14:textId="77777777" w:rsidR="009473FF" w:rsidRDefault="009473FF" w:rsidP="005631E9">
            <w:pPr>
              <w:spacing w:after="200" w:line="20" w:lineRule="atLeast"/>
            </w:pPr>
          </w:p>
        </w:tc>
        <w:tc>
          <w:tcPr>
            <w:tcW w:w="5211" w:type="dxa"/>
            <w:tcBorders>
              <w:bottom w:val="single" w:sz="4" w:space="0" w:color="auto"/>
            </w:tcBorders>
          </w:tcPr>
          <w:p w14:paraId="4BDC6810" w14:textId="77777777" w:rsidR="009473FF" w:rsidRDefault="009473FF" w:rsidP="005631E9">
            <w:pPr>
              <w:spacing w:after="200" w:line="20" w:lineRule="atLeast"/>
            </w:pPr>
            <w:r>
              <w:t>Number of businesses in scope of Amendment to ADR and Revocation of ODR regulations</w:t>
            </w:r>
          </w:p>
        </w:tc>
      </w:tr>
      <w:tr w:rsidR="009473FF" w14:paraId="004A3E5D" w14:textId="77777777" w:rsidTr="005631E9">
        <w:tc>
          <w:tcPr>
            <w:tcW w:w="5210" w:type="dxa"/>
            <w:tcBorders>
              <w:bottom w:val="nil"/>
            </w:tcBorders>
          </w:tcPr>
          <w:p w14:paraId="15E4CC10" w14:textId="77777777" w:rsidR="009473FF" w:rsidRDefault="009473FF" w:rsidP="005631E9">
            <w:pPr>
              <w:spacing w:after="200" w:line="20" w:lineRule="atLeast"/>
            </w:pPr>
            <w:r>
              <w:t>Micro-businesses (no or 1 to 9 employees)</w:t>
            </w:r>
          </w:p>
        </w:tc>
        <w:tc>
          <w:tcPr>
            <w:tcW w:w="5211" w:type="dxa"/>
            <w:tcBorders>
              <w:bottom w:val="nil"/>
            </w:tcBorders>
            <w:vAlign w:val="center"/>
          </w:tcPr>
          <w:p w14:paraId="05754E51" w14:textId="00D59746" w:rsidR="009473FF" w:rsidRDefault="00FE3566" w:rsidP="005631E9">
            <w:pPr>
              <w:spacing w:after="200" w:line="20" w:lineRule="atLeast"/>
              <w:jc w:val="right"/>
            </w:pPr>
            <w:r w:rsidRPr="00FE3566">
              <w:t>168,955</w:t>
            </w:r>
          </w:p>
        </w:tc>
      </w:tr>
      <w:tr w:rsidR="00FE3566" w14:paraId="218EA1BF" w14:textId="77777777" w:rsidTr="005631E9">
        <w:tc>
          <w:tcPr>
            <w:tcW w:w="5210" w:type="dxa"/>
            <w:tcBorders>
              <w:top w:val="nil"/>
              <w:bottom w:val="nil"/>
            </w:tcBorders>
          </w:tcPr>
          <w:p w14:paraId="3B472D75" w14:textId="77777777" w:rsidR="00FE3566" w:rsidRDefault="00FE3566" w:rsidP="005631E9">
            <w:pPr>
              <w:spacing w:after="200" w:line="20" w:lineRule="atLeast"/>
            </w:pPr>
            <w:r>
              <w:t>Small businesses (10 to 49 employees)</w:t>
            </w:r>
          </w:p>
        </w:tc>
        <w:tc>
          <w:tcPr>
            <w:tcW w:w="5211" w:type="dxa"/>
            <w:tcBorders>
              <w:top w:val="nil"/>
              <w:bottom w:val="nil"/>
            </w:tcBorders>
          </w:tcPr>
          <w:p w14:paraId="34A7B9C6" w14:textId="538E9A02" w:rsidR="00FE3566" w:rsidRDefault="00FE3566" w:rsidP="005631E9">
            <w:pPr>
              <w:spacing w:after="200" w:line="20" w:lineRule="atLeast"/>
              <w:jc w:val="right"/>
            </w:pPr>
            <w:r w:rsidRPr="006632A7">
              <w:t xml:space="preserve"> 29,470 </w:t>
            </w:r>
          </w:p>
        </w:tc>
      </w:tr>
      <w:tr w:rsidR="00FE3566" w14:paraId="5EAF25CC" w14:textId="77777777" w:rsidTr="005631E9">
        <w:tc>
          <w:tcPr>
            <w:tcW w:w="5210" w:type="dxa"/>
            <w:tcBorders>
              <w:top w:val="nil"/>
              <w:bottom w:val="nil"/>
            </w:tcBorders>
          </w:tcPr>
          <w:p w14:paraId="77DFD46E" w14:textId="77777777" w:rsidR="00FE3566" w:rsidRDefault="00FE3566" w:rsidP="005631E9">
            <w:pPr>
              <w:spacing w:after="200" w:line="20" w:lineRule="atLeast"/>
            </w:pPr>
            <w:r>
              <w:t>Medium (50 to 249 employees)</w:t>
            </w:r>
          </w:p>
        </w:tc>
        <w:tc>
          <w:tcPr>
            <w:tcW w:w="5211" w:type="dxa"/>
            <w:tcBorders>
              <w:top w:val="nil"/>
              <w:bottom w:val="nil"/>
            </w:tcBorders>
          </w:tcPr>
          <w:p w14:paraId="60E57B11" w14:textId="2B13C5E7" w:rsidR="00FE3566" w:rsidRDefault="00FE3566" w:rsidP="005631E9">
            <w:pPr>
              <w:spacing w:after="200" w:line="20" w:lineRule="atLeast"/>
              <w:jc w:val="right"/>
            </w:pPr>
            <w:r w:rsidRPr="006632A7">
              <w:t xml:space="preserve"> 3,040 </w:t>
            </w:r>
          </w:p>
        </w:tc>
      </w:tr>
      <w:tr w:rsidR="00FE3566" w14:paraId="5D15F219" w14:textId="77777777" w:rsidTr="005631E9">
        <w:tc>
          <w:tcPr>
            <w:tcW w:w="5210" w:type="dxa"/>
            <w:tcBorders>
              <w:top w:val="nil"/>
              <w:bottom w:val="single" w:sz="4" w:space="0" w:color="auto"/>
            </w:tcBorders>
          </w:tcPr>
          <w:p w14:paraId="0049EF29" w14:textId="77777777" w:rsidR="00FE3566" w:rsidRDefault="00FE3566" w:rsidP="005631E9">
            <w:pPr>
              <w:spacing w:after="200" w:line="20" w:lineRule="atLeast"/>
            </w:pPr>
            <w:r>
              <w:t>Large (250 or more employees)</w:t>
            </w:r>
          </w:p>
        </w:tc>
        <w:tc>
          <w:tcPr>
            <w:tcW w:w="5211" w:type="dxa"/>
            <w:tcBorders>
              <w:top w:val="nil"/>
              <w:bottom w:val="single" w:sz="4" w:space="0" w:color="auto"/>
            </w:tcBorders>
          </w:tcPr>
          <w:p w14:paraId="2F68A886" w14:textId="68E13BFF" w:rsidR="00FE3566" w:rsidRDefault="00FE3566" w:rsidP="005631E9">
            <w:pPr>
              <w:spacing w:after="200" w:line="20" w:lineRule="atLeast"/>
              <w:jc w:val="right"/>
            </w:pPr>
            <w:r w:rsidRPr="006632A7">
              <w:t xml:space="preserve"> 590 </w:t>
            </w:r>
          </w:p>
        </w:tc>
      </w:tr>
      <w:tr w:rsidR="00FE3566" w:rsidRPr="002334E8" w14:paraId="2E0AE33E" w14:textId="77777777" w:rsidTr="005631E9">
        <w:tc>
          <w:tcPr>
            <w:tcW w:w="5210" w:type="dxa"/>
            <w:tcBorders>
              <w:top w:val="single" w:sz="4" w:space="0" w:color="auto"/>
              <w:left w:val="single" w:sz="4" w:space="0" w:color="auto"/>
              <w:bottom w:val="single" w:sz="4" w:space="0" w:color="auto"/>
              <w:right w:val="single" w:sz="4" w:space="0" w:color="auto"/>
            </w:tcBorders>
          </w:tcPr>
          <w:p w14:paraId="2DF59402" w14:textId="77777777" w:rsidR="00FE3566" w:rsidRPr="002334E8" w:rsidRDefault="00FE3566" w:rsidP="005631E9">
            <w:pPr>
              <w:spacing w:after="200" w:line="20" w:lineRule="atLeast"/>
              <w:rPr>
                <w:b/>
              </w:rPr>
            </w:pPr>
            <w:r w:rsidRPr="002334E8">
              <w:rPr>
                <w:b/>
              </w:rPr>
              <w:t>TOTAL</w:t>
            </w:r>
          </w:p>
        </w:tc>
        <w:tc>
          <w:tcPr>
            <w:tcW w:w="5211" w:type="dxa"/>
            <w:tcBorders>
              <w:top w:val="single" w:sz="4" w:space="0" w:color="auto"/>
              <w:left w:val="single" w:sz="4" w:space="0" w:color="auto"/>
              <w:bottom w:val="single" w:sz="4" w:space="0" w:color="auto"/>
              <w:right w:val="single" w:sz="4" w:space="0" w:color="auto"/>
            </w:tcBorders>
          </w:tcPr>
          <w:p w14:paraId="413BCBEC" w14:textId="3BAB0C5E" w:rsidR="00FE3566" w:rsidRPr="00FE3566" w:rsidRDefault="00FE3566" w:rsidP="005631E9">
            <w:pPr>
              <w:spacing w:after="200" w:line="20" w:lineRule="atLeast"/>
              <w:jc w:val="right"/>
              <w:rPr>
                <w:b/>
              </w:rPr>
            </w:pPr>
            <w:r w:rsidRPr="00FE3566">
              <w:rPr>
                <w:b/>
              </w:rPr>
              <w:t xml:space="preserve"> 202,055 </w:t>
            </w:r>
          </w:p>
        </w:tc>
      </w:tr>
    </w:tbl>
    <w:p w14:paraId="4345BB05" w14:textId="77777777" w:rsidR="009473FF" w:rsidRDefault="009473FF" w:rsidP="009473FF"/>
    <w:p w14:paraId="0FB50064" w14:textId="77777777" w:rsidR="00ED1B59" w:rsidRDefault="00ED1B59" w:rsidP="00ED1B59"/>
    <w:p w14:paraId="723FD500" w14:textId="66874D64" w:rsidR="009473FF" w:rsidRDefault="009473FF" w:rsidP="009473FF">
      <w:pPr>
        <w:pStyle w:val="Heading2"/>
      </w:pPr>
      <w:bookmarkStart w:id="82" w:name="_Toc521073909"/>
      <w:r>
        <w:lastRenderedPageBreak/>
        <w:t>Automotive:</w:t>
      </w:r>
      <w:bookmarkEnd w:id="82"/>
    </w:p>
    <w:p w14:paraId="15DB64A7" w14:textId="31DB0B95" w:rsidR="009473FF" w:rsidRDefault="009473FF" w:rsidP="009473FF">
      <w:pPr>
        <w:spacing w:after="200" w:line="20" w:lineRule="atLeast"/>
      </w:pPr>
      <w:r w:rsidRPr="00E719A8">
        <w:t xml:space="preserve">Table </w:t>
      </w:r>
      <w:r w:rsidR="0096254B" w:rsidRPr="00E719A8">
        <w:t>7</w:t>
      </w:r>
      <w:r>
        <w:t>:</w:t>
      </w:r>
      <w:r w:rsidRPr="002334E8">
        <w:t xml:space="preserve"> Population and size of businesses in scope of </w:t>
      </w:r>
      <w:r w:rsidR="009001F6">
        <w:t xml:space="preserve">2015 </w:t>
      </w:r>
      <w:r w:rsidRPr="002334E8">
        <w:t xml:space="preserve">ADR </w:t>
      </w:r>
      <w:r w:rsidR="009001F6">
        <w:t>R</w:t>
      </w:r>
      <w:r w:rsidRPr="002334E8">
        <w:t>egulations</w:t>
      </w:r>
      <w:r w:rsidR="00FE3566">
        <w:t xml:space="preserve"> in 2007 SIC Code 45</w:t>
      </w:r>
    </w:p>
    <w:tbl>
      <w:tblPr>
        <w:tblStyle w:val="TableGrid"/>
        <w:tblW w:w="0" w:type="auto"/>
        <w:tblLook w:val="04A0" w:firstRow="1" w:lastRow="0" w:firstColumn="1" w:lastColumn="0" w:noHBand="0" w:noVBand="1"/>
      </w:tblPr>
      <w:tblGrid>
        <w:gridCol w:w="5099"/>
        <w:gridCol w:w="5101"/>
      </w:tblGrid>
      <w:tr w:rsidR="009473FF" w14:paraId="3B3F94D6" w14:textId="77777777" w:rsidTr="005631E9">
        <w:tc>
          <w:tcPr>
            <w:tcW w:w="5210" w:type="dxa"/>
            <w:tcBorders>
              <w:top w:val="nil"/>
              <w:left w:val="nil"/>
              <w:bottom w:val="single" w:sz="4" w:space="0" w:color="auto"/>
            </w:tcBorders>
          </w:tcPr>
          <w:p w14:paraId="1CB113B1" w14:textId="77777777" w:rsidR="009473FF" w:rsidRDefault="009473FF" w:rsidP="005631E9">
            <w:pPr>
              <w:spacing w:after="200" w:line="20" w:lineRule="atLeast"/>
            </w:pPr>
          </w:p>
        </w:tc>
        <w:tc>
          <w:tcPr>
            <w:tcW w:w="5211" w:type="dxa"/>
            <w:tcBorders>
              <w:bottom w:val="single" w:sz="4" w:space="0" w:color="auto"/>
            </w:tcBorders>
          </w:tcPr>
          <w:p w14:paraId="504D298B" w14:textId="77777777" w:rsidR="009473FF" w:rsidRDefault="009473FF" w:rsidP="005631E9">
            <w:pPr>
              <w:spacing w:after="200" w:line="20" w:lineRule="atLeast"/>
            </w:pPr>
            <w:r>
              <w:t>Number of businesses in scope of Amendment to ADR and Revocation of ODR regulations</w:t>
            </w:r>
          </w:p>
        </w:tc>
      </w:tr>
      <w:tr w:rsidR="009473FF" w14:paraId="635E9055" w14:textId="77777777" w:rsidTr="005631E9">
        <w:tc>
          <w:tcPr>
            <w:tcW w:w="5210" w:type="dxa"/>
            <w:tcBorders>
              <w:bottom w:val="nil"/>
            </w:tcBorders>
          </w:tcPr>
          <w:p w14:paraId="113D9955" w14:textId="77777777" w:rsidR="009473FF" w:rsidRDefault="009473FF" w:rsidP="005631E9">
            <w:pPr>
              <w:spacing w:after="200" w:line="20" w:lineRule="atLeast"/>
            </w:pPr>
            <w:r>
              <w:t>Micro-businesses (no or 1 to 9 employees)</w:t>
            </w:r>
          </w:p>
        </w:tc>
        <w:tc>
          <w:tcPr>
            <w:tcW w:w="5211" w:type="dxa"/>
            <w:tcBorders>
              <w:bottom w:val="nil"/>
            </w:tcBorders>
            <w:vAlign w:val="center"/>
          </w:tcPr>
          <w:p w14:paraId="032FFF37" w14:textId="790C7FB6" w:rsidR="009473FF" w:rsidRDefault="00ED1B59" w:rsidP="00ED1B59">
            <w:pPr>
              <w:spacing w:after="200" w:line="20" w:lineRule="atLeast"/>
              <w:jc w:val="right"/>
            </w:pPr>
            <w:r w:rsidRPr="00ED1B59">
              <w:t>100,395</w:t>
            </w:r>
          </w:p>
        </w:tc>
      </w:tr>
      <w:tr w:rsidR="00FE3566" w14:paraId="517DC708" w14:textId="77777777" w:rsidTr="005631E9">
        <w:tc>
          <w:tcPr>
            <w:tcW w:w="5210" w:type="dxa"/>
            <w:tcBorders>
              <w:top w:val="nil"/>
              <w:bottom w:val="nil"/>
            </w:tcBorders>
          </w:tcPr>
          <w:p w14:paraId="3DD4054B" w14:textId="77777777" w:rsidR="00FE3566" w:rsidRDefault="00FE3566" w:rsidP="005631E9">
            <w:pPr>
              <w:spacing w:after="200" w:line="20" w:lineRule="atLeast"/>
            </w:pPr>
            <w:r>
              <w:t>Small businesses (10 to 49 employees)</w:t>
            </w:r>
          </w:p>
        </w:tc>
        <w:tc>
          <w:tcPr>
            <w:tcW w:w="5211" w:type="dxa"/>
            <w:tcBorders>
              <w:top w:val="nil"/>
              <w:bottom w:val="nil"/>
            </w:tcBorders>
          </w:tcPr>
          <w:p w14:paraId="09DBD4C2" w14:textId="7DBEB85F" w:rsidR="00FE3566" w:rsidRDefault="00FE3566" w:rsidP="005631E9">
            <w:pPr>
              <w:spacing w:after="200" w:line="20" w:lineRule="atLeast"/>
              <w:jc w:val="right"/>
            </w:pPr>
            <w:r w:rsidRPr="00C211E4">
              <w:t xml:space="preserve"> 5,520 </w:t>
            </w:r>
          </w:p>
        </w:tc>
      </w:tr>
      <w:tr w:rsidR="00FE3566" w14:paraId="16E49576" w14:textId="77777777" w:rsidTr="005631E9">
        <w:tc>
          <w:tcPr>
            <w:tcW w:w="5210" w:type="dxa"/>
            <w:tcBorders>
              <w:top w:val="nil"/>
              <w:bottom w:val="nil"/>
            </w:tcBorders>
          </w:tcPr>
          <w:p w14:paraId="61494C5B" w14:textId="77777777" w:rsidR="00FE3566" w:rsidRDefault="00FE3566" w:rsidP="005631E9">
            <w:pPr>
              <w:spacing w:after="200" w:line="20" w:lineRule="atLeast"/>
            </w:pPr>
            <w:r>
              <w:t>Medium (50 to 249 employees)</w:t>
            </w:r>
          </w:p>
        </w:tc>
        <w:tc>
          <w:tcPr>
            <w:tcW w:w="5211" w:type="dxa"/>
            <w:tcBorders>
              <w:top w:val="nil"/>
              <w:bottom w:val="nil"/>
            </w:tcBorders>
          </w:tcPr>
          <w:p w14:paraId="54031FB7" w14:textId="4FFE7D0E" w:rsidR="00FE3566" w:rsidRDefault="00FE3566" w:rsidP="005631E9">
            <w:pPr>
              <w:spacing w:after="200" w:line="20" w:lineRule="atLeast"/>
              <w:jc w:val="right"/>
            </w:pPr>
            <w:r w:rsidRPr="00C211E4">
              <w:t xml:space="preserve"> 760 </w:t>
            </w:r>
          </w:p>
        </w:tc>
      </w:tr>
      <w:tr w:rsidR="00FE3566" w14:paraId="70CCBB0C" w14:textId="77777777" w:rsidTr="005631E9">
        <w:tc>
          <w:tcPr>
            <w:tcW w:w="5210" w:type="dxa"/>
            <w:tcBorders>
              <w:top w:val="nil"/>
              <w:bottom w:val="single" w:sz="4" w:space="0" w:color="auto"/>
            </w:tcBorders>
          </w:tcPr>
          <w:p w14:paraId="5A468B82" w14:textId="77777777" w:rsidR="00FE3566" w:rsidRDefault="00FE3566" w:rsidP="005631E9">
            <w:pPr>
              <w:spacing w:after="200" w:line="20" w:lineRule="atLeast"/>
            </w:pPr>
            <w:r>
              <w:t>Large (250 or more employees)</w:t>
            </w:r>
          </w:p>
        </w:tc>
        <w:tc>
          <w:tcPr>
            <w:tcW w:w="5211" w:type="dxa"/>
            <w:tcBorders>
              <w:top w:val="nil"/>
              <w:bottom w:val="single" w:sz="4" w:space="0" w:color="auto"/>
            </w:tcBorders>
          </w:tcPr>
          <w:p w14:paraId="5F62EA8B" w14:textId="1AE88D2E" w:rsidR="00FE3566" w:rsidRDefault="00FE3566" w:rsidP="005631E9">
            <w:pPr>
              <w:spacing w:after="200" w:line="20" w:lineRule="atLeast"/>
              <w:jc w:val="right"/>
            </w:pPr>
            <w:r w:rsidRPr="00C211E4">
              <w:t xml:space="preserve"> 185 </w:t>
            </w:r>
          </w:p>
        </w:tc>
      </w:tr>
      <w:tr w:rsidR="00FE3566" w:rsidRPr="002334E8" w14:paraId="2A758A39" w14:textId="77777777" w:rsidTr="005631E9">
        <w:tc>
          <w:tcPr>
            <w:tcW w:w="5210" w:type="dxa"/>
            <w:tcBorders>
              <w:top w:val="single" w:sz="4" w:space="0" w:color="auto"/>
              <w:left w:val="single" w:sz="4" w:space="0" w:color="auto"/>
              <w:bottom w:val="single" w:sz="4" w:space="0" w:color="auto"/>
              <w:right w:val="single" w:sz="4" w:space="0" w:color="auto"/>
            </w:tcBorders>
          </w:tcPr>
          <w:p w14:paraId="7930B26B" w14:textId="77777777" w:rsidR="00FE3566" w:rsidRPr="002334E8" w:rsidRDefault="00FE3566" w:rsidP="005631E9">
            <w:pPr>
              <w:spacing w:after="200" w:line="20" w:lineRule="atLeast"/>
              <w:rPr>
                <w:b/>
              </w:rPr>
            </w:pPr>
            <w:r w:rsidRPr="002334E8">
              <w:rPr>
                <w:b/>
              </w:rPr>
              <w:t>TOTAL</w:t>
            </w:r>
          </w:p>
        </w:tc>
        <w:tc>
          <w:tcPr>
            <w:tcW w:w="5211" w:type="dxa"/>
            <w:tcBorders>
              <w:top w:val="single" w:sz="4" w:space="0" w:color="auto"/>
              <w:left w:val="single" w:sz="4" w:space="0" w:color="auto"/>
              <w:bottom w:val="single" w:sz="4" w:space="0" w:color="auto"/>
              <w:right w:val="single" w:sz="4" w:space="0" w:color="auto"/>
            </w:tcBorders>
          </w:tcPr>
          <w:p w14:paraId="5C39A4D6" w14:textId="5D49B1EB" w:rsidR="00FE3566" w:rsidRPr="00FE3566" w:rsidRDefault="00FE3566" w:rsidP="005631E9">
            <w:pPr>
              <w:spacing w:after="200" w:line="20" w:lineRule="atLeast"/>
              <w:jc w:val="right"/>
              <w:rPr>
                <w:b/>
              </w:rPr>
            </w:pPr>
            <w:r w:rsidRPr="00FE3566">
              <w:rPr>
                <w:b/>
              </w:rPr>
              <w:t xml:space="preserve"> 106,860 </w:t>
            </w:r>
          </w:p>
        </w:tc>
      </w:tr>
    </w:tbl>
    <w:p w14:paraId="7BC290F4" w14:textId="77777777" w:rsidR="009473FF" w:rsidRDefault="009473FF" w:rsidP="009473FF"/>
    <w:p w14:paraId="2431ACD6" w14:textId="77777777" w:rsidR="00ED1B59" w:rsidRDefault="00ED1B59" w:rsidP="00ED1B59"/>
    <w:p w14:paraId="184DF8A6" w14:textId="76F850FE" w:rsidR="009473FF" w:rsidRDefault="009473FF" w:rsidP="009473FF">
      <w:pPr>
        <w:pStyle w:val="Heading2"/>
      </w:pPr>
      <w:bookmarkStart w:id="83" w:name="_Toc521073910"/>
      <w:r>
        <w:t>Personal Services:</w:t>
      </w:r>
      <w:bookmarkEnd w:id="83"/>
    </w:p>
    <w:p w14:paraId="0248BC92" w14:textId="164C97C1" w:rsidR="009473FF" w:rsidRDefault="009473FF" w:rsidP="009473FF">
      <w:pPr>
        <w:spacing w:after="200" w:line="20" w:lineRule="atLeast"/>
      </w:pPr>
      <w:r w:rsidRPr="00E719A8">
        <w:t xml:space="preserve">Table </w:t>
      </w:r>
      <w:r w:rsidR="0096254B" w:rsidRPr="00E719A8">
        <w:t>8</w:t>
      </w:r>
      <w:r>
        <w:t>:</w:t>
      </w:r>
      <w:r w:rsidRPr="002334E8">
        <w:t xml:space="preserve"> Population and size of businesses in scope of </w:t>
      </w:r>
      <w:r w:rsidR="009001F6">
        <w:t xml:space="preserve">2015 </w:t>
      </w:r>
      <w:r w:rsidRPr="002334E8">
        <w:t xml:space="preserve">ADR </w:t>
      </w:r>
      <w:r w:rsidR="009001F6">
        <w:t>R</w:t>
      </w:r>
      <w:r w:rsidRPr="002334E8">
        <w:t>egulations</w:t>
      </w:r>
      <w:r w:rsidR="00FE3566">
        <w:t xml:space="preserve"> in 2007 SIC Code </w:t>
      </w:r>
      <w:r w:rsidR="00FE3566" w:rsidRPr="00FE3566">
        <w:t>77.1, 77.2, 85.5, 93.1, and 96</w:t>
      </w:r>
    </w:p>
    <w:tbl>
      <w:tblPr>
        <w:tblStyle w:val="TableGrid"/>
        <w:tblW w:w="0" w:type="auto"/>
        <w:tblLook w:val="04A0" w:firstRow="1" w:lastRow="0" w:firstColumn="1" w:lastColumn="0" w:noHBand="0" w:noVBand="1"/>
      </w:tblPr>
      <w:tblGrid>
        <w:gridCol w:w="5099"/>
        <w:gridCol w:w="5101"/>
      </w:tblGrid>
      <w:tr w:rsidR="009473FF" w14:paraId="006B1AEF" w14:textId="77777777" w:rsidTr="005631E9">
        <w:tc>
          <w:tcPr>
            <w:tcW w:w="5210" w:type="dxa"/>
            <w:tcBorders>
              <w:top w:val="nil"/>
              <w:left w:val="nil"/>
              <w:bottom w:val="single" w:sz="4" w:space="0" w:color="auto"/>
            </w:tcBorders>
          </w:tcPr>
          <w:p w14:paraId="3B76CC5C" w14:textId="77777777" w:rsidR="009473FF" w:rsidRDefault="009473FF" w:rsidP="005631E9">
            <w:pPr>
              <w:spacing w:after="200" w:line="20" w:lineRule="atLeast"/>
            </w:pPr>
          </w:p>
        </w:tc>
        <w:tc>
          <w:tcPr>
            <w:tcW w:w="5211" w:type="dxa"/>
            <w:tcBorders>
              <w:bottom w:val="single" w:sz="4" w:space="0" w:color="auto"/>
            </w:tcBorders>
          </w:tcPr>
          <w:p w14:paraId="578ABC6A" w14:textId="77777777" w:rsidR="009473FF" w:rsidRDefault="009473FF" w:rsidP="005631E9">
            <w:pPr>
              <w:spacing w:after="200" w:line="20" w:lineRule="atLeast"/>
            </w:pPr>
            <w:r>
              <w:t>Number of businesses in scope of Amendment to ADR and Revocation of ODR regulations</w:t>
            </w:r>
          </w:p>
        </w:tc>
      </w:tr>
      <w:tr w:rsidR="009473FF" w14:paraId="3612AB20" w14:textId="77777777" w:rsidTr="005631E9">
        <w:tc>
          <w:tcPr>
            <w:tcW w:w="5210" w:type="dxa"/>
            <w:tcBorders>
              <w:bottom w:val="nil"/>
            </w:tcBorders>
          </w:tcPr>
          <w:p w14:paraId="27F4EFEF" w14:textId="77777777" w:rsidR="009473FF" w:rsidRDefault="009473FF" w:rsidP="005631E9">
            <w:pPr>
              <w:spacing w:after="200" w:line="20" w:lineRule="atLeast"/>
            </w:pPr>
            <w:r>
              <w:t>Micro-businesses (no or 1 to 9 employees)</w:t>
            </w:r>
          </w:p>
        </w:tc>
        <w:tc>
          <w:tcPr>
            <w:tcW w:w="5211" w:type="dxa"/>
            <w:tcBorders>
              <w:bottom w:val="nil"/>
            </w:tcBorders>
            <w:vAlign w:val="center"/>
          </w:tcPr>
          <w:p w14:paraId="7AA564A3" w14:textId="34E26FCF" w:rsidR="009473FF" w:rsidRDefault="00ED1B59" w:rsidP="00ED1B59">
            <w:pPr>
              <w:spacing w:after="200" w:line="20" w:lineRule="atLeast"/>
              <w:jc w:val="right"/>
            </w:pPr>
            <w:r w:rsidRPr="00ED1B59">
              <w:t>262,870</w:t>
            </w:r>
          </w:p>
        </w:tc>
      </w:tr>
      <w:tr w:rsidR="00ED1B59" w14:paraId="1CCB9B51" w14:textId="77777777" w:rsidTr="005631E9">
        <w:tc>
          <w:tcPr>
            <w:tcW w:w="5210" w:type="dxa"/>
            <w:tcBorders>
              <w:top w:val="nil"/>
              <w:bottom w:val="nil"/>
            </w:tcBorders>
          </w:tcPr>
          <w:p w14:paraId="053BCE0F" w14:textId="77777777" w:rsidR="00ED1B59" w:rsidRDefault="00ED1B59" w:rsidP="005631E9">
            <w:pPr>
              <w:spacing w:after="200" w:line="20" w:lineRule="atLeast"/>
            </w:pPr>
            <w:r>
              <w:t>Small businesses (10 to 49 employees)</w:t>
            </w:r>
          </w:p>
        </w:tc>
        <w:tc>
          <w:tcPr>
            <w:tcW w:w="5211" w:type="dxa"/>
            <w:tcBorders>
              <w:top w:val="nil"/>
              <w:bottom w:val="nil"/>
            </w:tcBorders>
          </w:tcPr>
          <w:p w14:paraId="625CCA59" w14:textId="24651853" w:rsidR="00ED1B59" w:rsidRDefault="00ED1B59" w:rsidP="005631E9">
            <w:pPr>
              <w:spacing w:after="200" w:line="20" w:lineRule="atLeast"/>
              <w:jc w:val="right"/>
            </w:pPr>
            <w:r w:rsidRPr="005B72F8">
              <w:t xml:space="preserve"> 9,640 </w:t>
            </w:r>
          </w:p>
        </w:tc>
      </w:tr>
      <w:tr w:rsidR="00ED1B59" w14:paraId="0CFBAF33" w14:textId="77777777" w:rsidTr="005631E9">
        <w:tc>
          <w:tcPr>
            <w:tcW w:w="5210" w:type="dxa"/>
            <w:tcBorders>
              <w:top w:val="nil"/>
              <w:bottom w:val="nil"/>
            </w:tcBorders>
          </w:tcPr>
          <w:p w14:paraId="4A1223E1" w14:textId="77777777" w:rsidR="00ED1B59" w:rsidRDefault="00ED1B59" w:rsidP="005631E9">
            <w:pPr>
              <w:spacing w:after="200" w:line="20" w:lineRule="atLeast"/>
            </w:pPr>
            <w:r>
              <w:t>Medium (50 to 249 employees)</w:t>
            </w:r>
          </w:p>
        </w:tc>
        <w:tc>
          <w:tcPr>
            <w:tcW w:w="5211" w:type="dxa"/>
            <w:tcBorders>
              <w:top w:val="nil"/>
              <w:bottom w:val="nil"/>
            </w:tcBorders>
          </w:tcPr>
          <w:p w14:paraId="34F74415" w14:textId="4E9E897E" w:rsidR="00ED1B59" w:rsidRDefault="00ED1B59" w:rsidP="005631E9">
            <w:pPr>
              <w:spacing w:after="200" w:line="20" w:lineRule="atLeast"/>
              <w:jc w:val="right"/>
            </w:pPr>
            <w:r w:rsidRPr="005B72F8">
              <w:t xml:space="preserve"> 1,060 </w:t>
            </w:r>
          </w:p>
        </w:tc>
      </w:tr>
      <w:tr w:rsidR="00ED1B59" w14:paraId="0B37A164" w14:textId="77777777" w:rsidTr="005631E9">
        <w:tc>
          <w:tcPr>
            <w:tcW w:w="5210" w:type="dxa"/>
            <w:tcBorders>
              <w:top w:val="nil"/>
              <w:bottom w:val="single" w:sz="4" w:space="0" w:color="auto"/>
            </w:tcBorders>
          </w:tcPr>
          <w:p w14:paraId="2E7CFBA3" w14:textId="77777777" w:rsidR="00ED1B59" w:rsidRDefault="00ED1B59" w:rsidP="005631E9">
            <w:pPr>
              <w:spacing w:after="200" w:line="20" w:lineRule="atLeast"/>
            </w:pPr>
            <w:r>
              <w:t>Large (250 or more employees)</w:t>
            </w:r>
          </w:p>
        </w:tc>
        <w:tc>
          <w:tcPr>
            <w:tcW w:w="5211" w:type="dxa"/>
            <w:tcBorders>
              <w:top w:val="nil"/>
              <w:bottom w:val="single" w:sz="4" w:space="0" w:color="auto"/>
            </w:tcBorders>
          </w:tcPr>
          <w:p w14:paraId="0BCE7A54" w14:textId="29F1A2DA" w:rsidR="00ED1B59" w:rsidRDefault="00ED1B59" w:rsidP="005631E9">
            <w:pPr>
              <w:spacing w:after="200" w:line="20" w:lineRule="atLeast"/>
              <w:jc w:val="right"/>
            </w:pPr>
            <w:r w:rsidRPr="005B72F8">
              <w:t xml:space="preserve"> 240 </w:t>
            </w:r>
          </w:p>
        </w:tc>
      </w:tr>
      <w:tr w:rsidR="00ED1B59" w:rsidRPr="002334E8" w14:paraId="67F2463C" w14:textId="77777777" w:rsidTr="005631E9">
        <w:tc>
          <w:tcPr>
            <w:tcW w:w="5210" w:type="dxa"/>
            <w:tcBorders>
              <w:top w:val="single" w:sz="4" w:space="0" w:color="auto"/>
              <w:left w:val="single" w:sz="4" w:space="0" w:color="auto"/>
              <w:bottom w:val="single" w:sz="4" w:space="0" w:color="auto"/>
              <w:right w:val="single" w:sz="4" w:space="0" w:color="auto"/>
            </w:tcBorders>
          </w:tcPr>
          <w:p w14:paraId="703727A2" w14:textId="77777777" w:rsidR="00ED1B59" w:rsidRPr="002334E8" w:rsidRDefault="00ED1B59" w:rsidP="005631E9">
            <w:pPr>
              <w:spacing w:after="200" w:line="20" w:lineRule="atLeast"/>
              <w:rPr>
                <w:b/>
              </w:rPr>
            </w:pPr>
            <w:r w:rsidRPr="002334E8">
              <w:rPr>
                <w:b/>
              </w:rPr>
              <w:t>TOTAL</w:t>
            </w:r>
          </w:p>
        </w:tc>
        <w:tc>
          <w:tcPr>
            <w:tcW w:w="5211" w:type="dxa"/>
            <w:tcBorders>
              <w:top w:val="single" w:sz="4" w:space="0" w:color="auto"/>
              <w:left w:val="single" w:sz="4" w:space="0" w:color="auto"/>
              <w:bottom w:val="single" w:sz="4" w:space="0" w:color="auto"/>
              <w:right w:val="single" w:sz="4" w:space="0" w:color="auto"/>
            </w:tcBorders>
          </w:tcPr>
          <w:p w14:paraId="0EF8556F" w14:textId="6CB358EF" w:rsidR="00ED1B59" w:rsidRPr="00ED1B59" w:rsidRDefault="00ED1B59" w:rsidP="005631E9">
            <w:pPr>
              <w:spacing w:after="200" w:line="20" w:lineRule="atLeast"/>
              <w:jc w:val="right"/>
              <w:rPr>
                <w:b/>
              </w:rPr>
            </w:pPr>
            <w:r w:rsidRPr="005B72F8">
              <w:t xml:space="preserve"> </w:t>
            </w:r>
            <w:r w:rsidRPr="00ED1B59">
              <w:rPr>
                <w:b/>
              </w:rPr>
              <w:t xml:space="preserve">273,810 </w:t>
            </w:r>
          </w:p>
        </w:tc>
      </w:tr>
    </w:tbl>
    <w:p w14:paraId="5A5ADF3C" w14:textId="77777777" w:rsidR="009473FF" w:rsidRDefault="009473FF" w:rsidP="009473FF"/>
    <w:p w14:paraId="6B32D623" w14:textId="77777777" w:rsidR="009473FF" w:rsidRDefault="009473FF" w:rsidP="009473FF"/>
    <w:p w14:paraId="56069B1C" w14:textId="77777777" w:rsidR="009473FF" w:rsidRDefault="009473FF" w:rsidP="009473FF"/>
    <w:p w14:paraId="0AEA051B" w14:textId="77777777" w:rsidR="009473FF" w:rsidRPr="009473FF" w:rsidRDefault="009473FF" w:rsidP="009473FF"/>
    <w:p w14:paraId="5E8CDE2F" w14:textId="2B8270E7" w:rsidR="007646CB" w:rsidRDefault="009473FF" w:rsidP="007646CB">
      <w:pPr>
        <w:pStyle w:val="Heading1"/>
        <w:pageBreakBefore/>
      </w:pPr>
      <w:bookmarkStart w:id="84" w:name="_Toc521073911"/>
      <w:r>
        <w:lastRenderedPageBreak/>
        <w:t xml:space="preserve">Annex B – Median </w:t>
      </w:r>
      <w:r w:rsidR="00C448B4">
        <w:t>hourly wage costs of different professions involved in the regulations</w:t>
      </w:r>
      <w:bookmarkEnd w:id="84"/>
    </w:p>
    <w:p w14:paraId="3F5CE152" w14:textId="77777777" w:rsidR="00C448B4" w:rsidRDefault="00C448B4" w:rsidP="00C448B4">
      <w:pPr>
        <w:pStyle w:val="Heading2"/>
      </w:pPr>
      <w:bookmarkStart w:id="85" w:name="_Toc521073912"/>
      <w:r>
        <w:t>Amendment of the Alternative Dispute Resolution for Consumer Disputes (Competent Authorities and Information) Regulations 2015 and Revocation of Regulation (EU) 524/2013</w:t>
      </w:r>
      <w:bookmarkEnd w:id="85"/>
    </w:p>
    <w:tbl>
      <w:tblPr>
        <w:tblStyle w:val="TableGrid"/>
        <w:tblW w:w="0" w:type="auto"/>
        <w:tblLook w:val="04A0" w:firstRow="1" w:lastRow="0" w:firstColumn="1" w:lastColumn="0" w:noHBand="0" w:noVBand="1"/>
      </w:tblPr>
      <w:tblGrid>
        <w:gridCol w:w="2567"/>
        <w:gridCol w:w="2531"/>
        <w:gridCol w:w="2562"/>
        <w:gridCol w:w="2540"/>
      </w:tblGrid>
      <w:tr w:rsidR="00C448B4" w14:paraId="754444C0" w14:textId="77777777" w:rsidTr="00C448B4">
        <w:tc>
          <w:tcPr>
            <w:tcW w:w="2605" w:type="dxa"/>
            <w:tcBorders>
              <w:top w:val="nil"/>
              <w:left w:val="nil"/>
            </w:tcBorders>
          </w:tcPr>
          <w:p w14:paraId="59F2AA4C" w14:textId="77777777" w:rsidR="00C448B4" w:rsidRDefault="00C448B4" w:rsidP="00C448B4"/>
        </w:tc>
        <w:tc>
          <w:tcPr>
            <w:tcW w:w="2605" w:type="dxa"/>
          </w:tcPr>
          <w:p w14:paraId="4D7C12A1" w14:textId="2B313BB9" w:rsidR="00C448B4" w:rsidRDefault="00C448B4" w:rsidP="00C448B4">
            <w:r w:rsidRPr="00F1053A">
              <w:rPr>
                <w:b/>
                <w:sz w:val="22"/>
              </w:rPr>
              <w:t>SOC 2010 code</w:t>
            </w:r>
          </w:p>
        </w:tc>
        <w:tc>
          <w:tcPr>
            <w:tcW w:w="2605" w:type="dxa"/>
          </w:tcPr>
          <w:p w14:paraId="2BE38F58" w14:textId="1ACCF8C2" w:rsidR="00C448B4" w:rsidRDefault="00C448B4" w:rsidP="00C448B4">
            <w:r w:rsidRPr="00F1053A">
              <w:rPr>
                <w:b/>
                <w:sz w:val="22"/>
              </w:rPr>
              <w:t>Description</w:t>
            </w:r>
          </w:p>
        </w:tc>
        <w:tc>
          <w:tcPr>
            <w:tcW w:w="2606" w:type="dxa"/>
          </w:tcPr>
          <w:p w14:paraId="53FEE92D" w14:textId="1F1AC346" w:rsidR="00C448B4" w:rsidRDefault="00C448B4" w:rsidP="00C448B4">
            <w:r w:rsidRPr="00F1053A">
              <w:rPr>
                <w:b/>
                <w:sz w:val="22"/>
              </w:rPr>
              <w:t>Median hourly wage</w:t>
            </w:r>
            <w:r>
              <w:rPr>
                <w:b/>
                <w:sz w:val="22"/>
              </w:rPr>
              <w:t xml:space="preserve"> cost</w:t>
            </w:r>
            <w:r w:rsidRPr="00F1053A">
              <w:rPr>
                <w:b/>
                <w:sz w:val="22"/>
              </w:rPr>
              <w:t xml:space="preserve"> 201</w:t>
            </w:r>
            <w:r>
              <w:rPr>
                <w:b/>
                <w:sz w:val="22"/>
              </w:rPr>
              <w:t>7</w:t>
            </w:r>
            <w:r w:rsidR="00C30C40">
              <w:rPr>
                <w:b/>
                <w:sz w:val="22"/>
              </w:rPr>
              <w:t xml:space="preserve"> ASHE</w:t>
            </w:r>
            <w:r w:rsidRPr="00F1053A">
              <w:rPr>
                <w:b/>
                <w:sz w:val="22"/>
              </w:rPr>
              <w:t xml:space="preserve"> (£)</w:t>
            </w:r>
          </w:p>
        </w:tc>
      </w:tr>
      <w:tr w:rsidR="007B5D85" w14:paraId="64BC9045" w14:textId="77777777" w:rsidTr="007B5D85">
        <w:tc>
          <w:tcPr>
            <w:tcW w:w="2605" w:type="dxa"/>
            <w:vAlign w:val="center"/>
          </w:tcPr>
          <w:p w14:paraId="570E7F0C" w14:textId="1543DB55" w:rsidR="007B5D85" w:rsidRDefault="007B5D85" w:rsidP="007B5D85">
            <w:r w:rsidRPr="002E7DD9">
              <w:t>Customer service managers and supervisors</w:t>
            </w:r>
          </w:p>
        </w:tc>
        <w:tc>
          <w:tcPr>
            <w:tcW w:w="2605" w:type="dxa"/>
            <w:vAlign w:val="center"/>
          </w:tcPr>
          <w:p w14:paraId="622CCE97" w14:textId="674216BB" w:rsidR="007B5D85" w:rsidRDefault="007B5D85" w:rsidP="007B5D85">
            <w:pPr>
              <w:jc w:val="right"/>
            </w:pPr>
            <w:r w:rsidRPr="002E7DD9">
              <w:t>7220</w:t>
            </w:r>
          </w:p>
        </w:tc>
        <w:tc>
          <w:tcPr>
            <w:tcW w:w="2605" w:type="dxa"/>
            <w:vAlign w:val="center"/>
          </w:tcPr>
          <w:p w14:paraId="6BFE71E3" w14:textId="6D6EEF61" w:rsidR="007B5D85" w:rsidRDefault="007B5D85" w:rsidP="007B5D85">
            <w:r w:rsidRPr="002E7DD9">
              <w:t>Customer service managers and supervisors</w:t>
            </w:r>
          </w:p>
        </w:tc>
        <w:tc>
          <w:tcPr>
            <w:tcW w:w="2606" w:type="dxa"/>
            <w:vAlign w:val="center"/>
          </w:tcPr>
          <w:p w14:paraId="1B63F50C" w14:textId="53E24836" w:rsidR="007B5D85" w:rsidRDefault="007B5D85" w:rsidP="007B5D85">
            <w:pPr>
              <w:jc w:val="right"/>
            </w:pPr>
            <w:r w:rsidRPr="002E7DD9">
              <w:t>£14.17</w:t>
            </w:r>
          </w:p>
        </w:tc>
      </w:tr>
      <w:tr w:rsidR="007B5D85" w14:paraId="383A39ED" w14:textId="77777777" w:rsidTr="007B5D85">
        <w:tc>
          <w:tcPr>
            <w:tcW w:w="2605" w:type="dxa"/>
            <w:vAlign w:val="center"/>
          </w:tcPr>
          <w:p w14:paraId="30F788C6" w14:textId="2AF90FB8" w:rsidR="007B5D85" w:rsidRDefault="007B5D85" w:rsidP="007B5D85">
            <w:r w:rsidRPr="002E7DD9">
              <w:t>Customer service occupations</w:t>
            </w:r>
          </w:p>
        </w:tc>
        <w:tc>
          <w:tcPr>
            <w:tcW w:w="2605" w:type="dxa"/>
            <w:vAlign w:val="center"/>
          </w:tcPr>
          <w:p w14:paraId="2346E860" w14:textId="2FDCBFFD" w:rsidR="007B5D85" w:rsidRDefault="007B5D85" w:rsidP="007B5D85">
            <w:pPr>
              <w:jc w:val="right"/>
            </w:pPr>
            <w:r w:rsidRPr="002E7DD9">
              <w:t>7219</w:t>
            </w:r>
          </w:p>
        </w:tc>
        <w:tc>
          <w:tcPr>
            <w:tcW w:w="2605" w:type="dxa"/>
            <w:vAlign w:val="center"/>
          </w:tcPr>
          <w:p w14:paraId="724D798C" w14:textId="42BE24F3" w:rsidR="007B5D85" w:rsidRDefault="007B5D85" w:rsidP="007B5D85">
            <w:r w:rsidRPr="002E7DD9">
              <w:t>Frontline staff member</w:t>
            </w:r>
          </w:p>
        </w:tc>
        <w:tc>
          <w:tcPr>
            <w:tcW w:w="2606" w:type="dxa"/>
            <w:vAlign w:val="center"/>
          </w:tcPr>
          <w:p w14:paraId="213CE56D" w14:textId="139C6887" w:rsidR="007B5D85" w:rsidRDefault="007B5D85" w:rsidP="007B5D85">
            <w:pPr>
              <w:jc w:val="right"/>
            </w:pPr>
            <w:r w:rsidRPr="002E7DD9">
              <w:t>£10.22</w:t>
            </w:r>
          </w:p>
        </w:tc>
      </w:tr>
      <w:tr w:rsidR="007B5D85" w14:paraId="690726C8" w14:textId="77777777" w:rsidTr="007B5D85">
        <w:tc>
          <w:tcPr>
            <w:tcW w:w="2605" w:type="dxa"/>
            <w:vAlign w:val="center"/>
          </w:tcPr>
          <w:p w14:paraId="2CCCFCD6" w14:textId="7262CC3F" w:rsidR="007B5D85" w:rsidRDefault="007B5D85" w:rsidP="007B5D85">
            <w:r w:rsidRPr="002E7DD9">
              <w:t>Programmers and software development professionals</w:t>
            </w:r>
          </w:p>
        </w:tc>
        <w:tc>
          <w:tcPr>
            <w:tcW w:w="2605" w:type="dxa"/>
            <w:vAlign w:val="center"/>
          </w:tcPr>
          <w:p w14:paraId="4F0C5903" w14:textId="5342787C" w:rsidR="007B5D85" w:rsidRDefault="007B5D85" w:rsidP="007B5D85">
            <w:pPr>
              <w:jc w:val="right"/>
            </w:pPr>
            <w:r w:rsidRPr="002E7DD9">
              <w:t>2136</w:t>
            </w:r>
          </w:p>
        </w:tc>
        <w:tc>
          <w:tcPr>
            <w:tcW w:w="2605" w:type="dxa"/>
            <w:vAlign w:val="center"/>
          </w:tcPr>
          <w:p w14:paraId="27BF9591" w14:textId="38150098" w:rsidR="007B5D85" w:rsidRDefault="007B5D85" w:rsidP="007B5D85">
            <w:r w:rsidRPr="002E7DD9">
              <w:t>IT programmer</w:t>
            </w:r>
          </w:p>
        </w:tc>
        <w:tc>
          <w:tcPr>
            <w:tcW w:w="2606" w:type="dxa"/>
            <w:vAlign w:val="center"/>
          </w:tcPr>
          <w:p w14:paraId="7BD9AE78" w14:textId="18C48F01" w:rsidR="007B5D85" w:rsidRDefault="007B5D85" w:rsidP="007B5D85">
            <w:pPr>
              <w:jc w:val="right"/>
            </w:pPr>
            <w:r w:rsidRPr="002E7DD9">
              <w:t>£20.87</w:t>
            </w:r>
          </w:p>
        </w:tc>
      </w:tr>
    </w:tbl>
    <w:p w14:paraId="5192D6E8" w14:textId="77777777" w:rsidR="00C448B4" w:rsidRPr="00C448B4" w:rsidRDefault="00C448B4" w:rsidP="00C448B4"/>
    <w:sectPr w:rsidR="00C448B4" w:rsidRPr="00C448B4" w:rsidSect="007C5FF5">
      <w:headerReference w:type="even" r:id="rId19"/>
      <w:headerReference w:type="default" r:id="rId20"/>
      <w:footerReference w:type="default" r:id="rId21"/>
      <w:headerReference w:type="first" r:id="rId22"/>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A32E" w14:textId="77777777" w:rsidR="002C5BE7" w:rsidRDefault="002C5BE7">
      <w:r>
        <w:separator/>
      </w:r>
    </w:p>
  </w:endnote>
  <w:endnote w:type="continuationSeparator" w:id="0">
    <w:p w14:paraId="07BD27AF" w14:textId="77777777" w:rsidR="002C5BE7" w:rsidRDefault="002C5BE7">
      <w:r>
        <w:continuationSeparator/>
      </w:r>
    </w:p>
  </w:endnote>
  <w:endnote w:type="continuationNotice" w:id="1">
    <w:p w14:paraId="141F4055" w14:textId="77777777" w:rsidR="002C5BE7" w:rsidRDefault="002C5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03F8" w14:textId="77777777" w:rsidR="00546543" w:rsidRDefault="00546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C5B2" w14:textId="77777777" w:rsidR="00546543" w:rsidRDefault="00546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A5B7" w14:textId="77777777" w:rsidR="00546543" w:rsidRDefault="005465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0F76" w14:textId="77777777" w:rsidR="00546543" w:rsidRPr="00EB43FD" w:rsidRDefault="00546543"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Pr>
        <w:rStyle w:val="PageNumber"/>
        <w:b w:val="0"/>
        <w:noProof/>
        <w:szCs w:val="18"/>
      </w:rPr>
      <w:t>25</w:t>
    </w:r>
    <w:r w:rsidRPr="00EB43FD">
      <w:rPr>
        <w:rStyle w:val="PageNumber"/>
        <w:b w:val="0"/>
        <w:szCs w:val="18"/>
      </w:rPr>
      <w:fldChar w:fldCharType="end"/>
    </w:r>
  </w:p>
  <w:p w14:paraId="6526F449" w14:textId="77777777" w:rsidR="00546543" w:rsidRDefault="00546543"/>
  <w:p w14:paraId="22768D3B" w14:textId="77777777" w:rsidR="00546543" w:rsidRDefault="00546543"/>
  <w:p w14:paraId="173EE0F4" w14:textId="77777777" w:rsidR="00546543" w:rsidRDefault="00546543"/>
  <w:p w14:paraId="38312040" w14:textId="77777777" w:rsidR="00546543" w:rsidRDefault="005465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587F6" w14:textId="77777777" w:rsidR="002C5BE7" w:rsidRDefault="002C5BE7">
      <w:r>
        <w:separator/>
      </w:r>
    </w:p>
  </w:footnote>
  <w:footnote w:type="continuationSeparator" w:id="0">
    <w:p w14:paraId="67B44B9D" w14:textId="77777777" w:rsidR="002C5BE7" w:rsidRDefault="002C5BE7">
      <w:r>
        <w:continuationSeparator/>
      </w:r>
    </w:p>
  </w:footnote>
  <w:footnote w:type="continuationNotice" w:id="1">
    <w:p w14:paraId="5F758DCA" w14:textId="77777777" w:rsidR="002C5BE7" w:rsidRDefault="002C5BE7"/>
  </w:footnote>
  <w:footnote w:id="2">
    <w:p w14:paraId="3BB4DBBC" w14:textId="03646CA2" w:rsidR="00546543" w:rsidRDefault="00546543">
      <w:pPr>
        <w:pStyle w:val="FootnoteText"/>
      </w:pPr>
      <w:r>
        <w:rPr>
          <w:rStyle w:val="FootnoteReference"/>
        </w:rPr>
        <w:footnoteRef/>
      </w:r>
      <w:r>
        <w:t xml:space="preserve"> </w:t>
      </w:r>
      <w:r w:rsidRPr="00AA4F4A">
        <w:t xml:space="preserve">  </w:t>
      </w:r>
      <w:hyperlink r:id="rId1" w:history="1">
        <w:r w:rsidRPr="00B10EE6">
          <w:rPr>
            <w:rStyle w:val="Hyperlink"/>
          </w:rPr>
          <w:t>http://www.legislation.gov.uk/uksi/2015/1972/pdfs/uksi_20151972_en.pdf</w:t>
        </w:r>
      </w:hyperlink>
      <w:r>
        <w:t xml:space="preserve"> </w:t>
      </w:r>
    </w:p>
  </w:footnote>
  <w:footnote w:id="3">
    <w:p w14:paraId="4C1317D0" w14:textId="448B971F" w:rsidR="00546543" w:rsidRDefault="00546543">
      <w:pPr>
        <w:pStyle w:val="FootnoteText"/>
      </w:pPr>
      <w:r>
        <w:rPr>
          <w:rStyle w:val="FootnoteReference"/>
        </w:rPr>
        <w:footnoteRef/>
      </w:r>
      <w:r>
        <w:t xml:space="preserve"> Department for Business, Innovation and Skills (2015) Impact Assessment for Alternative Dispute Resolution, available at: </w:t>
      </w:r>
      <w:hyperlink r:id="rId2" w:history="1">
        <w:r w:rsidRPr="005B0765">
          <w:rPr>
            <w:rStyle w:val="Hyperlink"/>
          </w:rPr>
          <w:t>https://www.legislation.gov.uk/ukia/2015/241/pdfs/ukia_20150241_en.pdf</w:t>
        </w:r>
      </w:hyperlink>
      <w:r>
        <w:t xml:space="preserve"> </w:t>
      </w:r>
    </w:p>
  </w:footnote>
  <w:footnote w:id="4">
    <w:p w14:paraId="0D99DB59" w14:textId="5200C980" w:rsidR="00546543" w:rsidRDefault="00546543">
      <w:pPr>
        <w:pStyle w:val="FootnoteText"/>
      </w:pPr>
      <w:r>
        <w:rPr>
          <w:rStyle w:val="FootnoteReference"/>
        </w:rPr>
        <w:footnoteRef/>
      </w:r>
      <w:r>
        <w:t xml:space="preserve"> Department for Business, Enterprise and Regulatory Reforms (2007) Impact Assessment: T</w:t>
      </w:r>
      <w:r w:rsidRPr="00AC5F1C">
        <w:t>he Consumer Protection from Unfair Trading Regulations</w:t>
      </w:r>
      <w:r>
        <w:t>,</w:t>
      </w:r>
      <w:r w:rsidRPr="00AC5F1C">
        <w:t xml:space="preserve"> </w:t>
      </w:r>
      <w:r>
        <w:t xml:space="preserve">available at: </w:t>
      </w:r>
      <w:hyperlink r:id="rId3" w:history="1">
        <w:r w:rsidRPr="005B0765">
          <w:rPr>
            <w:rStyle w:val="Hyperlink"/>
          </w:rPr>
          <w:t>https://www.legislation.gov.uk/ukia/2008/10/pdfs/ukia_20080010_en.pdf</w:t>
        </w:r>
      </w:hyperlink>
      <w:r>
        <w:t xml:space="preserve"> </w:t>
      </w:r>
    </w:p>
  </w:footnote>
  <w:footnote w:id="5">
    <w:p w14:paraId="56BBD7DB" w14:textId="7687A5F1" w:rsidR="00546543" w:rsidRDefault="00546543">
      <w:pPr>
        <w:pStyle w:val="FootnoteText"/>
      </w:pPr>
      <w:r>
        <w:rPr>
          <w:rStyle w:val="FootnoteReference"/>
        </w:rPr>
        <w:footnoteRef/>
      </w:r>
      <w:r>
        <w:t xml:space="preserve"> Available at </w:t>
      </w:r>
      <w:hyperlink r:id="rId4" w:history="1">
        <w:r w:rsidRPr="005B0765">
          <w:rPr>
            <w:rStyle w:val="Hyperlink"/>
          </w:rPr>
          <w:t>https://www.ons.gov.uk/methodology/classificationsandstandards/ukstandardindustrialclassificationofeconomicactivities/uksic2007</w:t>
        </w:r>
      </w:hyperlink>
      <w:r>
        <w:t xml:space="preserve"> </w:t>
      </w:r>
    </w:p>
  </w:footnote>
  <w:footnote w:id="6">
    <w:p w14:paraId="62E4179E" w14:textId="1626ADA2" w:rsidR="00546543" w:rsidRDefault="00546543">
      <w:pPr>
        <w:pStyle w:val="FootnoteText"/>
      </w:pPr>
      <w:r>
        <w:rPr>
          <w:rStyle w:val="FootnoteReference"/>
        </w:rPr>
        <w:footnoteRef/>
      </w:r>
      <w:r>
        <w:t xml:space="preserve"> The 2003 SIC Code 55 includes both accommodation and food services whilst the two sectors are separated in the 2007 SIC codes (55 and 56 respectively). To maintain consistency with the methodology used in the previous 2015 ADR IA, we continue to include food services as businesses in scope for this SI.</w:t>
      </w:r>
    </w:p>
  </w:footnote>
  <w:footnote w:id="7">
    <w:p w14:paraId="03698709" w14:textId="4419499C" w:rsidR="00546543" w:rsidRDefault="00546543">
      <w:pPr>
        <w:pStyle w:val="FootnoteText"/>
      </w:pPr>
      <w:r>
        <w:rPr>
          <w:rStyle w:val="FootnoteReference"/>
        </w:rPr>
        <w:footnoteRef/>
      </w:r>
      <w:r>
        <w:t xml:space="preserve"> These SIC codes represent the following sectors: “wholesale and retail trade and repair of motor vehicles and motorcycles” (45), “retail trade, except of motor vehicles and motorcycles” (47), “accommodation” (55), “food and beverage service activities” (56), “renting and leasing of motor vehicles” (77.1), “rental and leasing of personal and household goods” (77.2), “other education” (85.5), “sport activities” (93.1), and “other personal services activities” (96).</w:t>
      </w:r>
    </w:p>
  </w:footnote>
  <w:footnote w:id="8">
    <w:p w14:paraId="4753E292" w14:textId="7623C034" w:rsidR="00546543" w:rsidRDefault="00546543">
      <w:pPr>
        <w:pStyle w:val="FootnoteText"/>
      </w:pPr>
      <w:r>
        <w:rPr>
          <w:rStyle w:val="FootnoteReference"/>
        </w:rPr>
        <w:footnoteRef/>
      </w:r>
      <w:r>
        <w:t xml:space="preserve"> Under this SI, consumer service staff will receive a short explanation on the revocation of ODR instead of an explanation on the additional information on both ADR and ODR to be provided to consumers (as estimated in the 2015 ADR IA).</w:t>
      </w:r>
    </w:p>
  </w:footnote>
  <w:footnote w:id="9">
    <w:p w14:paraId="7867FE7D" w14:textId="794B4F84" w:rsidR="00546543" w:rsidRDefault="00546543">
      <w:pPr>
        <w:pStyle w:val="FootnoteText"/>
      </w:pPr>
      <w:r>
        <w:rPr>
          <w:rStyle w:val="FootnoteReference"/>
        </w:rPr>
        <w:footnoteRef/>
      </w:r>
      <w:r>
        <w:t xml:space="preserve"> Eurostat wage data, 2017</w:t>
      </w:r>
    </w:p>
  </w:footnote>
  <w:footnote w:id="10">
    <w:p w14:paraId="7DBFC03D" w14:textId="0186C569" w:rsidR="00546543" w:rsidRDefault="00546543">
      <w:pPr>
        <w:pStyle w:val="FootnoteText"/>
      </w:pPr>
      <w:r>
        <w:rPr>
          <w:rStyle w:val="FootnoteReference"/>
        </w:rPr>
        <w:footnoteRef/>
      </w:r>
      <w:r>
        <w:t xml:space="preserve"> 810,700 * £8.55</w:t>
      </w:r>
    </w:p>
  </w:footnote>
  <w:footnote w:id="11">
    <w:p w14:paraId="3AA8016D" w14:textId="2D7A3A44" w:rsidR="00546543" w:rsidRDefault="00546543">
      <w:pPr>
        <w:pStyle w:val="FootnoteText"/>
      </w:pPr>
      <w:r>
        <w:rPr>
          <w:rStyle w:val="FootnoteReference"/>
        </w:rPr>
        <w:footnoteRef/>
      </w:r>
      <w:r>
        <w:t xml:space="preserve"> This will be the same wage cost as estimated for customer service managers and supervisors in </w:t>
      </w:r>
      <w:r w:rsidRPr="00862DC4">
        <w:t>paragraphs 7</w:t>
      </w:r>
      <w:r>
        <w:t>5 and 76.</w:t>
      </w:r>
    </w:p>
  </w:footnote>
  <w:footnote w:id="12">
    <w:p w14:paraId="158B53A0" w14:textId="3B505D08" w:rsidR="00546543" w:rsidRDefault="00546543" w:rsidP="00D83A21">
      <w:pPr>
        <w:pStyle w:val="FootnoteText"/>
      </w:pPr>
      <w:r>
        <w:rPr>
          <w:rStyle w:val="FootnoteReference"/>
        </w:rPr>
        <w:footnoteRef/>
      </w:r>
      <w:r>
        <w:t xml:space="preserve"> 68,970 * £70.21</w:t>
      </w:r>
    </w:p>
  </w:footnote>
  <w:footnote w:id="13">
    <w:p w14:paraId="10D869E7" w14:textId="1DAF911E" w:rsidR="00546543" w:rsidRDefault="00546543">
      <w:pPr>
        <w:pStyle w:val="FootnoteText"/>
      </w:pPr>
      <w:r>
        <w:rPr>
          <w:rStyle w:val="FootnoteReference"/>
        </w:rPr>
        <w:footnoteRef/>
      </w:r>
      <w:r>
        <w:t xml:space="preserve"> £11.7 million = £6.9 million + £4.8 million</w:t>
      </w:r>
    </w:p>
  </w:footnote>
  <w:footnote w:id="14">
    <w:p w14:paraId="102E04F5" w14:textId="0860AE51" w:rsidR="00546543" w:rsidRDefault="00546543">
      <w:pPr>
        <w:pStyle w:val="FootnoteText"/>
      </w:pPr>
      <w:r>
        <w:rPr>
          <w:rStyle w:val="FootnoteReference"/>
        </w:rPr>
        <w:footnoteRef/>
      </w:r>
      <w:r>
        <w:t xml:space="preserve"> </w:t>
      </w:r>
      <w:r w:rsidRPr="004A7B83">
        <w:t xml:space="preserve">Department for Business, Innovation and Skills (2015) "Digital Capabilities in SMEs: Evidence Review and Re-survey of 2014 Small Business Survey respondents  ", available at: </w:t>
      </w:r>
      <w:hyperlink r:id="rId5" w:history="1">
        <w:r w:rsidRPr="004974A4">
          <w:rPr>
            <w:rStyle w:val="Hyperlink"/>
          </w:rPr>
          <w:t>https://www.gov.uk/government/uploads/system/uploads/attachment_data/file/457750/BIS-15-509-digital-capabilities-in-SMEs-evidence-review-and-re-survey-of-2014-small-business-survey-respondents.pdf</w:t>
        </w:r>
      </w:hyperlink>
      <w:r>
        <w:t xml:space="preserve"> </w:t>
      </w:r>
    </w:p>
  </w:footnote>
  <w:footnote w:id="15">
    <w:p w14:paraId="4121BFCF" w14:textId="28FB8D47" w:rsidR="00546543" w:rsidRDefault="00546543" w:rsidP="00BE15F1">
      <w:pPr>
        <w:pStyle w:val="FootnoteText"/>
      </w:pPr>
      <w:r>
        <w:rPr>
          <w:rStyle w:val="FootnoteReference"/>
        </w:rPr>
        <w:footnoteRef/>
      </w:r>
      <w:r>
        <w:t xml:space="preserve"> SOC Code Used: </w:t>
      </w:r>
      <w:r w:rsidRPr="00BE15F1">
        <w:t>2136</w:t>
      </w:r>
    </w:p>
  </w:footnote>
  <w:footnote w:id="16">
    <w:p w14:paraId="7874E563" w14:textId="7E5B7A30" w:rsidR="00546543" w:rsidRDefault="00546543">
      <w:pPr>
        <w:pStyle w:val="FootnoteText"/>
      </w:pPr>
      <w:r>
        <w:rPr>
          <w:rStyle w:val="FootnoteReference"/>
        </w:rPr>
        <w:footnoteRef/>
      </w:r>
      <w:r>
        <w:t xml:space="preserve"> 600,511 * £12.59</w:t>
      </w:r>
    </w:p>
  </w:footnote>
  <w:footnote w:id="17">
    <w:p w14:paraId="6C699C53" w14:textId="04F1A0DA" w:rsidR="00546543" w:rsidRDefault="00546543">
      <w:pPr>
        <w:pStyle w:val="FootnoteText"/>
      </w:pPr>
      <w:r>
        <w:rPr>
          <w:rStyle w:val="FootnoteReference"/>
        </w:rPr>
        <w:footnoteRef/>
      </w:r>
      <w:r>
        <w:t xml:space="preserve"> Available at </w:t>
      </w:r>
      <w:hyperlink r:id="rId6" w:history="1">
        <w:r w:rsidRPr="00BA133C">
          <w:rPr>
            <w:rStyle w:val="Hyperlink"/>
          </w:rPr>
          <w:t>https://ec.europa.eu/info/sites/info/files/first_report_on_the_functioning_of_the_odr_platform.pdf</w:t>
        </w:r>
      </w:hyperlink>
      <w:r>
        <w:t xml:space="preserve"> </w:t>
      </w:r>
    </w:p>
  </w:footnote>
  <w:footnote w:id="18">
    <w:p w14:paraId="29192D4A" w14:textId="156A284B" w:rsidR="00546543" w:rsidRDefault="00546543">
      <w:pPr>
        <w:pStyle w:val="FootnoteText"/>
      </w:pPr>
      <w:r>
        <w:rPr>
          <w:rStyle w:val="FootnoteReference"/>
        </w:rPr>
        <w:footnoteRef/>
      </w:r>
      <w:r>
        <w:t xml:space="preserve"> </w:t>
      </w:r>
      <w:hyperlink r:id="rId7" w:history="1">
        <w:r w:rsidRPr="00461557">
          <w:rPr>
            <w:rStyle w:val="Hyperlink"/>
          </w:rPr>
          <w:t>https://www.parliament.uk/business/publications/written-questions-answers-statements/written-statement/Commons/2018-06-20/HCWS776/</w:t>
        </w:r>
      </w:hyperlink>
      <w:r>
        <w:t xml:space="preserve"> </w:t>
      </w:r>
    </w:p>
  </w:footnote>
  <w:footnote w:id="19">
    <w:p w14:paraId="41504A79" w14:textId="6FC7FD01" w:rsidR="00546543" w:rsidRDefault="00546543">
      <w:pPr>
        <w:pStyle w:val="FootnoteText"/>
      </w:pPr>
      <w:r>
        <w:rPr>
          <w:rStyle w:val="FootnoteReference"/>
        </w:rPr>
        <w:footnoteRef/>
      </w:r>
      <w:r>
        <w:t xml:space="preserve"> </w:t>
      </w:r>
      <w:hyperlink r:id="rId8" w:history="1">
        <w:r w:rsidRPr="00461557">
          <w:rPr>
            <w:rStyle w:val="Hyperlink"/>
          </w:rPr>
          <w:t>https://www.parliament.uk/business/publications/written-questions-answers-statements/written-statement/Commons/2018-06-20/HCWS776/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9BAF" w14:textId="50656693" w:rsidR="00546543" w:rsidRDefault="00546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B0A2" w14:textId="5D1CEA98" w:rsidR="00546543" w:rsidRDefault="00546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CF4D" w14:textId="192C37CD" w:rsidR="00546543" w:rsidRDefault="005465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85E1" w14:textId="4E618555" w:rsidR="00546543" w:rsidRDefault="00546543"/>
  <w:p w14:paraId="1DEAF2C4" w14:textId="77777777" w:rsidR="00546543" w:rsidRDefault="00546543"/>
  <w:p w14:paraId="125FBA99" w14:textId="77777777" w:rsidR="00546543" w:rsidRDefault="00546543"/>
  <w:p w14:paraId="5BC09945" w14:textId="77777777" w:rsidR="00546543" w:rsidRDefault="005465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BE7E" w14:textId="0E44EB3E" w:rsidR="00546543" w:rsidRDefault="005465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28C4" w14:textId="3960B737" w:rsidR="00546543" w:rsidRDefault="00546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0CC8"/>
    <w:multiLevelType w:val="hybridMultilevel"/>
    <w:tmpl w:val="3B3CC8E6"/>
    <w:lvl w:ilvl="0" w:tplc="C9045974">
      <w:start w:val="1"/>
      <w:numFmt w:val="bullet"/>
      <w:pStyle w:val="ListBullet"/>
      <w:lvlText w:val=""/>
      <w:lvlJc w:val="left"/>
      <w:pPr>
        <w:tabs>
          <w:tab w:val="num" w:pos="831"/>
        </w:tabs>
        <w:ind w:left="831" w:hanging="284"/>
      </w:pPr>
      <w:rPr>
        <w:rFonts w:ascii="Symbol" w:hAnsi="Symbol" w:hint="default"/>
        <w:color w:val="000000"/>
        <w:sz w:val="24"/>
      </w:rPr>
    </w:lvl>
    <w:lvl w:ilvl="1" w:tplc="4D2296F0">
      <w:start w:val="1"/>
      <w:numFmt w:val="bullet"/>
      <w:lvlText w:val=""/>
      <w:lvlJc w:val="left"/>
      <w:pPr>
        <w:tabs>
          <w:tab w:val="num" w:pos="1874"/>
        </w:tabs>
        <w:ind w:left="1874" w:hanging="360"/>
      </w:pPr>
      <w:rPr>
        <w:rFonts w:ascii="Symbol" w:hAnsi="Symbol"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1" w15:restartNumberingAfterBreak="0">
    <w:nsid w:val="120C79DF"/>
    <w:multiLevelType w:val="hybridMultilevel"/>
    <w:tmpl w:val="5A6EB8A4"/>
    <w:lvl w:ilvl="0" w:tplc="40321D88">
      <w:start w:val="1"/>
      <w:numFmt w:val="bullet"/>
      <w:lvlText w:val=""/>
      <w:lvlJc w:val="left"/>
      <w:pPr>
        <w:ind w:left="340"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937E16"/>
    <w:multiLevelType w:val="hybridMultilevel"/>
    <w:tmpl w:val="6D26DCA0"/>
    <w:lvl w:ilvl="0" w:tplc="66A2B430">
      <w:start w:val="1"/>
      <w:numFmt w:val="decimal"/>
      <w:lvlText w:val="%1."/>
      <w:lvlJc w:val="left"/>
      <w:pPr>
        <w:ind w:left="720" w:hanging="360"/>
      </w:pPr>
      <w:rPr>
        <w:rFonts w:hint="default"/>
        <w:b w:val="0"/>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13ED0"/>
    <w:multiLevelType w:val="hybridMultilevel"/>
    <w:tmpl w:val="15A01476"/>
    <w:lvl w:ilvl="0" w:tplc="66A2B430">
      <w:start w:val="1"/>
      <w:numFmt w:val="decimal"/>
      <w:lvlText w:val="%1."/>
      <w:lvlJc w:val="left"/>
      <w:pPr>
        <w:ind w:left="720" w:hanging="360"/>
      </w:pPr>
      <w:rPr>
        <w:rFonts w:hint="default"/>
        <w:b w:val="0"/>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9F22020"/>
    <w:multiLevelType w:val="hybridMultilevel"/>
    <w:tmpl w:val="6B8072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837AC0"/>
    <w:multiLevelType w:val="multilevel"/>
    <w:tmpl w:val="F05205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034F4F"/>
    <w:multiLevelType w:val="multilevel"/>
    <w:tmpl w:val="B032E8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8"/>
  </w:num>
  <w:num w:numId="2">
    <w:abstractNumId w:val="4"/>
  </w:num>
  <w:num w:numId="3">
    <w:abstractNumId w:val="9"/>
  </w:num>
  <w:num w:numId="4">
    <w:abstractNumId w:val="3"/>
  </w:num>
  <w:num w:numId="5">
    <w:abstractNumId w:val="5"/>
  </w:num>
  <w:num w:numId="6">
    <w:abstractNumId w:val="0"/>
  </w:num>
  <w:num w:numId="7">
    <w:abstractNumId w:val="1"/>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ShadeFormData/>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Doc" w:val="Created"/>
    <w:docVar w:name="VerNumber" w:val="3.9.0"/>
  </w:docVars>
  <w:rsids>
    <w:rsidRoot w:val="00CB16A1"/>
    <w:rsid w:val="000001D5"/>
    <w:rsid w:val="000003C5"/>
    <w:rsid w:val="00000766"/>
    <w:rsid w:val="000019B2"/>
    <w:rsid w:val="00001E72"/>
    <w:rsid w:val="000027F6"/>
    <w:rsid w:val="000032EA"/>
    <w:rsid w:val="00003A70"/>
    <w:rsid w:val="0000505F"/>
    <w:rsid w:val="0000513D"/>
    <w:rsid w:val="00005894"/>
    <w:rsid w:val="00005D69"/>
    <w:rsid w:val="00006A0D"/>
    <w:rsid w:val="00006BC5"/>
    <w:rsid w:val="00006DF7"/>
    <w:rsid w:val="000071A5"/>
    <w:rsid w:val="000074DD"/>
    <w:rsid w:val="000079C0"/>
    <w:rsid w:val="00010546"/>
    <w:rsid w:val="00010950"/>
    <w:rsid w:val="00010A41"/>
    <w:rsid w:val="00010EE1"/>
    <w:rsid w:val="000113BD"/>
    <w:rsid w:val="00011833"/>
    <w:rsid w:val="00011CE3"/>
    <w:rsid w:val="00011D89"/>
    <w:rsid w:val="00012437"/>
    <w:rsid w:val="00012458"/>
    <w:rsid w:val="00012C6D"/>
    <w:rsid w:val="000130C2"/>
    <w:rsid w:val="000142F1"/>
    <w:rsid w:val="00014486"/>
    <w:rsid w:val="0001460F"/>
    <w:rsid w:val="0001480E"/>
    <w:rsid w:val="00015A58"/>
    <w:rsid w:val="00015FE7"/>
    <w:rsid w:val="000166B7"/>
    <w:rsid w:val="00020280"/>
    <w:rsid w:val="000204EA"/>
    <w:rsid w:val="00020A1F"/>
    <w:rsid w:val="00020EBE"/>
    <w:rsid w:val="00020EC2"/>
    <w:rsid w:val="000212B2"/>
    <w:rsid w:val="00021306"/>
    <w:rsid w:val="000213E6"/>
    <w:rsid w:val="00021C58"/>
    <w:rsid w:val="000222F1"/>
    <w:rsid w:val="00022BE0"/>
    <w:rsid w:val="00022E3E"/>
    <w:rsid w:val="00022E52"/>
    <w:rsid w:val="00022F52"/>
    <w:rsid w:val="00023080"/>
    <w:rsid w:val="000235A4"/>
    <w:rsid w:val="0002370C"/>
    <w:rsid w:val="00023996"/>
    <w:rsid w:val="000239A7"/>
    <w:rsid w:val="00023AF2"/>
    <w:rsid w:val="00023BDD"/>
    <w:rsid w:val="00023E62"/>
    <w:rsid w:val="000250AF"/>
    <w:rsid w:val="000251D0"/>
    <w:rsid w:val="00025318"/>
    <w:rsid w:val="00026555"/>
    <w:rsid w:val="00026AC0"/>
    <w:rsid w:val="00027E47"/>
    <w:rsid w:val="00030761"/>
    <w:rsid w:val="00030B4D"/>
    <w:rsid w:val="000310EF"/>
    <w:rsid w:val="000312D1"/>
    <w:rsid w:val="000313D6"/>
    <w:rsid w:val="0003237F"/>
    <w:rsid w:val="000330CD"/>
    <w:rsid w:val="00033DFE"/>
    <w:rsid w:val="00033FC7"/>
    <w:rsid w:val="00034491"/>
    <w:rsid w:val="000345BB"/>
    <w:rsid w:val="00034F46"/>
    <w:rsid w:val="00035054"/>
    <w:rsid w:val="000358C8"/>
    <w:rsid w:val="00036540"/>
    <w:rsid w:val="00036781"/>
    <w:rsid w:val="00036A5A"/>
    <w:rsid w:val="00036CC3"/>
    <w:rsid w:val="00037090"/>
    <w:rsid w:val="0003786D"/>
    <w:rsid w:val="0004016B"/>
    <w:rsid w:val="000407D8"/>
    <w:rsid w:val="00040C8B"/>
    <w:rsid w:val="00040EAF"/>
    <w:rsid w:val="00041648"/>
    <w:rsid w:val="00041AF8"/>
    <w:rsid w:val="00042D6E"/>
    <w:rsid w:val="00042E27"/>
    <w:rsid w:val="00044211"/>
    <w:rsid w:val="00044F01"/>
    <w:rsid w:val="00045479"/>
    <w:rsid w:val="000455E4"/>
    <w:rsid w:val="00045828"/>
    <w:rsid w:val="00045BAD"/>
    <w:rsid w:val="00045CFC"/>
    <w:rsid w:val="00046423"/>
    <w:rsid w:val="0004656A"/>
    <w:rsid w:val="00046695"/>
    <w:rsid w:val="000474CD"/>
    <w:rsid w:val="00047EA3"/>
    <w:rsid w:val="00050258"/>
    <w:rsid w:val="00051403"/>
    <w:rsid w:val="00052324"/>
    <w:rsid w:val="00052B80"/>
    <w:rsid w:val="00052F44"/>
    <w:rsid w:val="00052FD5"/>
    <w:rsid w:val="00053366"/>
    <w:rsid w:val="00053A87"/>
    <w:rsid w:val="00053B64"/>
    <w:rsid w:val="00054388"/>
    <w:rsid w:val="00054458"/>
    <w:rsid w:val="00054649"/>
    <w:rsid w:val="00054845"/>
    <w:rsid w:val="00056A5C"/>
    <w:rsid w:val="00056EE6"/>
    <w:rsid w:val="00056FA0"/>
    <w:rsid w:val="00057C6F"/>
    <w:rsid w:val="00057F36"/>
    <w:rsid w:val="0006012F"/>
    <w:rsid w:val="0006047F"/>
    <w:rsid w:val="0006053F"/>
    <w:rsid w:val="000612A5"/>
    <w:rsid w:val="000612AC"/>
    <w:rsid w:val="000619DF"/>
    <w:rsid w:val="00061F0A"/>
    <w:rsid w:val="000623E6"/>
    <w:rsid w:val="00062E07"/>
    <w:rsid w:val="00064095"/>
    <w:rsid w:val="000652ED"/>
    <w:rsid w:val="0006586A"/>
    <w:rsid w:val="00065CEF"/>
    <w:rsid w:val="0006611D"/>
    <w:rsid w:val="0006616E"/>
    <w:rsid w:val="000662CC"/>
    <w:rsid w:val="00066428"/>
    <w:rsid w:val="0006708B"/>
    <w:rsid w:val="000671A2"/>
    <w:rsid w:val="000676F8"/>
    <w:rsid w:val="000679FA"/>
    <w:rsid w:val="00067CF9"/>
    <w:rsid w:val="0007046F"/>
    <w:rsid w:val="00070597"/>
    <w:rsid w:val="00070EEB"/>
    <w:rsid w:val="00071000"/>
    <w:rsid w:val="00071299"/>
    <w:rsid w:val="000713D9"/>
    <w:rsid w:val="000719E8"/>
    <w:rsid w:val="00071EF9"/>
    <w:rsid w:val="00072272"/>
    <w:rsid w:val="0007265D"/>
    <w:rsid w:val="00072BF2"/>
    <w:rsid w:val="000730F4"/>
    <w:rsid w:val="00073D13"/>
    <w:rsid w:val="00074328"/>
    <w:rsid w:val="0007491A"/>
    <w:rsid w:val="0007522C"/>
    <w:rsid w:val="0007524C"/>
    <w:rsid w:val="0007532E"/>
    <w:rsid w:val="00075787"/>
    <w:rsid w:val="000759F1"/>
    <w:rsid w:val="00075BA7"/>
    <w:rsid w:val="000767AC"/>
    <w:rsid w:val="0007695E"/>
    <w:rsid w:val="00076A0B"/>
    <w:rsid w:val="00076A78"/>
    <w:rsid w:val="00076B7F"/>
    <w:rsid w:val="00076C08"/>
    <w:rsid w:val="0007737F"/>
    <w:rsid w:val="00077E75"/>
    <w:rsid w:val="000811FC"/>
    <w:rsid w:val="00081AAF"/>
    <w:rsid w:val="00081AF9"/>
    <w:rsid w:val="00082659"/>
    <w:rsid w:val="00082BAC"/>
    <w:rsid w:val="00082FA3"/>
    <w:rsid w:val="000839A0"/>
    <w:rsid w:val="000845C4"/>
    <w:rsid w:val="00084BD2"/>
    <w:rsid w:val="000860CC"/>
    <w:rsid w:val="00086128"/>
    <w:rsid w:val="00086DE3"/>
    <w:rsid w:val="000871FB"/>
    <w:rsid w:val="0008731F"/>
    <w:rsid w:val="000879F2"/>
    <w:rsid w:val="0009064B"/>
    <w:rsid w:val="0009182D"/>
    <w:rsid w:val="000929CB"/>
    <w:rsid w:val="00093598"/>
    <w:rsid w:val="0009381F"/>
    <w:rsid w:val="00093AA5"/>
    <w:rsid w:val="00093B34"/>
    <w:rsid w:val="00094680"/>
    <w:rsid w:val="000956FD"/>
    <w:rsid w:val="00096E85"/>
    <w:rsid w:val="000A02BC"/>
    <w:rsid w:val="000A02C0"/>
    <w:rsid w:val="000A0F3D"/>
    <w:rsid w:val="000A1437"/>
    <w:rsid w:val="000A1F12"/>
    <w:rsid w:val="000A28E5"/>
    <w:rsid w:val="000A318A"/>
    <w:rsid w:val="000A36EE"/>
    <w:rsid w:val="000A403E"/>
    <w:rsid w:val="000A43E2"/>
    <w:rsid w:val="000A5C5D"/>
    <w:rsid w:val="000A5F7A"/>
    <w:rsid w:val="000A6009"/>
    <w:rsid w:val="000A6E4B"/>
    <w:rsid w:val="000A79FC"/>
    <w:rsid w:val="000B0027"/>
    <w:rsid w:val="000B004F"/>
    <w:rsid w:val="000B0082"/>
    <w:rsid w:val="000B07A1"/>
    <w:rsid w:val="000B07E6"/>
    <w:rsid w:val="000B1176"/>
    <w:rsid w:val="000B1468"/>
    <w:rsid w:val="000B1DA4"/>
    <w:rsid w:val="000B2F4F"/>
    <w:rsid w:val="000B3B78"/>
    <w:rsid w:val="000B3D40"/>
    <w:rsid w:val="000B3E49"/>
    <w:rsid w:val="000B5216"/>
    <w:rsid w:val="000B57D0"/>
    <w:rsid w:val="000B62BD"/>
    <w:rsid w:val="000B7835"/>
    <w:rsid w:val="000C031E"/>
    <w:rsid w:val="000C05E7"/>
    <w:rsid w:val="000C0CC8"/>
    <w:rsid w:val="000C0DCB"/>
    <w:rsid w:val="000C13B4"/>
    <w:rsid w:val="000C165A"/>
    <w:rsid w:val="000C1A1A"/>
    <w:rsid w:val="000C1D45"/>
    <w:rsid w:val="000C30D8"/>
    <w:rsid w:val="000C35D3"/>
    <w:rsid w:val="000C42F1"/>
    <w:rsid w:val="000C4443"/>
    <w:rsid w:val="000C4589"/>
    <w:rsid w:val="000C57D5"/>
    <w:rsid w:val="000C5BE5"/>
    <w:rsid w:val="000C6186"/>
    <w:rsid w:val="000C65C4"/>
    <w:rsid w:val="000C6A87"/>
    <w:rsid w:val="000C6E7F"/>
    <w:rsid w:val="000C76AF"/>
    <w:rsid w:val="000D160C"/>
    <w:rsid w:val="000D1CB0"/>
    <w:rsid w:val="000D1E8A"/>
    <w:rsid w:val="000D277F"/>
    <w:rsid w:val="000D27CD"/>
    <w:rsid w:val="000D2B0C"/>
    <w:rsid w:val="000D4FB8"/>
    <w:rsid w:val="000D51C7"/>
    <w:rsid w:val="000D55B5"/>
    <w:rsid w:val="000D58A1"/>
    <w:rsid w:val="000D58BD"/>
    <w:rsid w:val="000D5ED5"/>
    <w:rsid w:val="000D5FD2"/>
    <w:rsid w:val="000D63A9"/>
    <w:rsid w:val="000D6A0D"/>
    <w:rsid w:val="000D6CFB"/>
    <w:rsid w:val="000D6F7A"/>
    <w:rsid w:val="000D74FB"/>
    <w:rsid w:val="000D782D"/>
    <w:rsid w:val="000D79BD"/>
    <w:rsid w:val="000D7F7C"/>
    <w:rsid w:val="000E0816"/>
    <w:rsid w:val="000E16EE"/>
    <w:rsid w:val="000E1757"/>
    <w:rsid w:val="000E225A"/>
    <w:rsid w:val="000E2582"/>
    <w:rsid w:val="000E2723"/>
    <w:rsid w:val="000E2B35"/>
    <w:rsid w:val="000E316E"/>
    <w:rsid w:val="000E3308"/>
    <w:rsid w:val="000E33DF"/>
    <w:rsid w:val="000E3E2F"/>
    <w:rsid w:val="000E3FD7"/>
    <w:rsid w:val="000E4375"/>
    <w:rsid w:val="000E452D"/>
    <w:rsid w:val="000E47F8"/>
    <w:rsid w:val="000E48D3"/>
    <w:rsid w:val="000E49B0"/>
    <w:rsid w:val="000E4B6F"/>
    <w:rsid w:val="000E4C41"/>
    <w:rsid w:val="000E501E"/>
    <w:rsid w:val="000E52B5"/>
    <w:rsid w:val="000E5A45"/>
    <w:rsid w:val="000E5CD5"/>
    <w:rsid w:val="000E6647"/>
    <w:rsid w:val="000E7C39"/>
    <w:rsid w:val="000F004E"/>
    <w:rsid w:val="000F031B"/>
    <w:rsid w:val="000F05EF"/>
    <w:rsid w:val="000F0840"/>
    <w:rsid w:val="000F21D2"/>
    <w:rsid w:val="000F2F26"/>
    <w:rsid w:val="000F37BB"/>
    <w:rsid w:val="000F4211"/>
    <w:rsid w:val="000F4481"/>
    <w:rsid w:val="000F473D"/>
    <w:rsid w:val="000F510F"/>
    <w:rsid w:val="000F57BB"/>
    <w:rsid w:val="000F5B84"/>
    <w:rsid w:val="000F5E93"/>
    <w:rsid w:val="000F7FFB"/>
    <w:rsid w:val="00100298"/>
    <w:rsid w:val="00100885"/>
    <w:rsid w:val="00100EEE"/>
    <w:rsid w:val="00101961"/>
    <w:rsid w:val="00101C85"/>
    <w:rsid w:val="00101FC9"/>
    <w:rsid w:val="00102325"/>
    <w:rsid w:val="00102420"/>
    <w:rsid w:val="00102870"/>
    <w:rsid w:val="001034CE"/>
    <w:rsid w:val="001040AB"/>
    <w:rsid w:val="0010435A"/>
    <w:rsid w:val="001058C9"/>
    <w:rsid w:val="00105939"/>
    <w:rsid w:val="00105F7C"/>
    <w:rsid w:val="0010611D"/>
    <w:rsid w:val="00106778"/>
    <w:rsid w:val="0010684E"/>
    <w:rsid w:val="001073A8"/>
    <w:rsid w:val="00107733"/>
    <w:rsid w:val="00110396"/>
    <w:rsid w:val="001106CF"/>
    <w:rsid w:val="001110DB"/>
    <w:rsid w:val="00113E1E"/>
    <w:rsid w:val="00115211"/>
    <w:rsid w:val="00115D70"/>
    <w:rsid w:val="001169B2"/>
    <w:rsid w:val="001169B5"/>
    <w:rsid w:val="00116EA4"/>
    <w:rsid w:val="001175B8"/>
    <w:rsid w:val="00120113"/>
    <w:rsid w:val="0012049C"/>
    <w:rsid w:val="00121C0C"/>
    <w:rsid w:val="001220AD"/>
    <w:rsid w:val="00122D9F"/>
    <w:rsid w:val="001235DD"/>
    <w:rsid w:val="0012369A"/>
    <w:rsid w:val="001238B4"/>
    <w:rsid w:val="00123D26"/>
    <w:rsid w:val="00123DD6"/>
    <w:rsid w:val="00123EF5"/>
    <w:rsid w:val="001243CD"/>
    <w:rsid w:val="0012460B"/>
    <w:rsid w:val="0012542F"/>
    <w:rsid w:val="001254EE"/>
    <w:rsid w:val="00125567"/>
    <w:rsid w:val="0012649E"/>
    <w:rsid w:val="0012675B"/>
    <w:rsid w:val="00126A1E"/>
    <w:rsid w:val="00127373"/>
    <w:rsid w:val="0012789F"/>
    <w:rsid w:val="001278ED"/>
    <w:rsid w:val="00130433"/>
    <w:rsid w:val="00130570"/>
    <w:rsid w:val="0013061D"/>
    <w:rsid w:val="00130883"/>
    <w:rsid w:val="00130DFE"/>
    <w:rsid w:val="00130F46"/>
    <w:rsid w:val="00131433"/>
    <w:rsid w:val="00131CE4"/>
    <w:rsid w:val="001327F1"/>
    <w:rsid w:val="00132AF0"/>
    <w:rsid w:val="00133148"/>
    <w:rsid w:val="001331EA"/>
    <w:rsid w:val="00133A17"/>
    <w:rsid w:val="00133B7A"/>
    <w:rsid w:val="00133C58"/>
    <w:rsid w:val="00134C95"/>
    <w:rsid w:val="00134EAB"/>
    <w:rsid w:val="00136483"/>
    <w:rsid w:val="001365F4"/>
    <w:rsid w:val="00136BB7"/>
    <w:rsid w:val="00136BBC"/>
    <w:rsid w:val="001370E7"/>
    <w:rsid w:val="00137A81"/>
    <w:rsid w:val="00137FDE"/>
    <w:rsid w:val="001400B8"/>
    <w:rsid w:val="00140524"/>
    <w:rsid w:val="00140B63"/>
    <w:rsid w:val="0014140D"/>
    <w:rsid w:val="00141A49"/>
    <w:rsid w:val="00141B6F"/>
    <w:rsid w:val="0014336D"/>
    <w:rsid w:val="00144023"/>
    <w:rsid w:val="0014408B"/>
    <w:rsid w:val="001447B1"/>
    <w:rsid w:val="00145B3E"/>
    <w:rsid w:val="00145BD2"/>
    <w:rsid w:val="00146A38"/>
    <w:rsid w:val="00146EF2"/>
    <w:rsid w:val="001477D1"/>
    <w:rsid w:val="001506AB"/>
    <w:rsid w:val="001508B4"/>
    <w:rsid w:val="00150DAE"/>
    <w:rsid w:val="001517AA"/>
    <w:rsid w:val="00151BDA"/>
    <w:rsid w:val="00151F83"/>
    <w:rsid w:val="0015254E"/>
    <w:rsid w:val="00152C60"/>
    <w:rsid w:val="00152D0E"/>
    <w:rsid w:val="00153488"/>
    <w:rsid w:val="001534B9"/>
    <w:rsid w:val="001535F3"/>
    <w:rsid w:val="00153962"/>
    <w:rsid w:val="00153EAC"/>
    <w:rsid w:val="00153FC6"/>
    <w:rsid w:val="0015420E"/>
    <w:rsid w:val="00154CD7"/>
    <w:rsid w:val="00155D74"/>
    <w:rsid w:val="0015614B"/>
    <w:rsid w:val="00156E0C"/>
    <w:rsid w:val="00157F10"/>
    <w:rsid w:val="001605E5"/>
    <w:rsid w:val="00160691"/>
    <w:rsid w:val="00160E9E"/>
    <w:rsid w:val="001624AE"/>
    <w:rsid w:val="001624D0"/>
    <w:rsid w:val="00162BDA"/>
    <w:rsid w:val="00162BE5"/>
    <w:rsid w:val="00162E1C"/>
    <w:rsid w:val="00163AC2"/>
    <w:rsid w:val="00163C2A"/>
    <w:rsid w:val="00163D79"/>
    <w:rsid w:val="00164379"/>
    <w:rsid w:val="00164A79"/>
    <w:rsid w:val="00165113"/>
    <w:rsid w:val="001658EF"/>
    <w:rsid w:val="001662F3"/>
    <w:rsid w:val="00167A67"/>
    <w:rsid w:val="001709E2"/>
    <w:rsid w:val="00170BAE"/>
    <w:rsid w:val="001738BC"/>
    <w:rsid w:val="0017452C"/>
    <w:rsid w:val="0017463F"/>
    <w:rsid w:val="00174C10"/>
    <w:rsid w:val="00175447"/>
    <w:rsid w:val="001755E1"/>
    <w:rsid w:val="001757BD"/>
    <w:rsid w:val="00175C7F"/>
    <w:rsid w:val="00175D83"/>
    <w:rsid w:val="00176106"/>
    <w:rsid w:val="001768F4"/>
    <w:rsid w:val="00177F66"/>
    <w:rsid w:val="001804FC"/>
    <w:rsid w:val="0018073D"/>
    <w:rsid w:val="001808C9"/>
    <w:rsid w:val="00180C06"/>
    <w:rsid w:val="00182B85"/>
    <w:rsid w:val="00183038"/>
    <w:rsid w:val="00183882"/>
    <w:rsid w:val="001841B7"/>
    <w:rsid w:val="001844B6"/>
    <w:rsid w:val="0018494F"/>
    <w:rsid w:val="001851A3"/>
    <w:rsid w:val="001851B9"/>
    <w:rsid w:val="001855B1"/>
    <w:rsid w:val="001855C4"/>
    <w:rsid w:val="001856F4"/>
    <w:rsid w:val="00185E57"/>
    <w:rsid w:val="00186318"/>
    <w:rsid w:val="0018669A"/>
    <w:rsid w:val="00187295"/>
    <w:rsid w:val="00187514"/>
    <w:rsid w:val="001876EA"/>
    <w:rsid w:val="00187843"/>
    <w:rsid w:val="0019021E"/>
    <w:rsid w:val="001908EA"/>
    <w:rsid w:val="00190F9A"/>
    <w:rsid w:val="00191305"/>
    <w:rsid w:val="00192D99"/>
    <w:rsid w:val="00194050"/>
    <w:rsid w:val="00194745"/>
    <w:rsid w:val="00194E96"/>
    <w:rsid w:val="0019725D"/>
    <w:rsid w:val="00197F8E"/>
    <w:rsid w:val="00197FB7"/>
    <w:rsid w:val="001A0086"/>
    <w:rsid w:val="001A02DB"/>
    <w:rsid w:val="001A07F1"/>
    <w:rsid w:val="001A10C5"/>
    <w:rsid w:val="001A2211"/>
    <w:rsid w:val="001A2A85"/>
    <w:rsid w:val="001A333A"/>
    <w:rsid w:val="001A353B"/>
    <w:rsid w:val="001A3B0B"/>
    <w:rsid w:val="001A4332"/>
    <w:rsid w:val="001A4432"/>
    <w:rsid w:val="001A478E"/>
    <w:rsid w:val="001A488C"/>
    <w:rsid w:val="001A509E"/>
    <w:rsid w:val="001A5780"/>
    <w:rsid w:val="001A6FE6"/>
    <w:rsid w:val="001A71C1"/>
    <w:rsid w:val="001A7566"/>
    <w:rsid w:val="001A76D5"/>
    <w:rsid w:val="001A7A7F"/>
    <w:rsid w:val="001A7B39"/>
    <w:rsid w:val="001A7B61"/>
    <w:rsid w:val="001A7D6D"/>
    <w:rsid w:val="001B06B8"/>
    <w:rsid w:val="001B0BA7"/>
    <w:rsid w:val="001B1210"/>
    <w:rsid w:val="001B146B"/>
    <w:rsid w:val="001B297F"/>
    <w:rsid w:val="001B305C"/>
    <w:rsid w:val="001B34EB"/>
    <w:rsid w:val="001B3F59"/>
    <w:rsid w:val="001B41AA"/>
    <w:rsid w:val="001B44AA"/>
    <w:rsid w:val="001B4B65"/>
    <w:rsid w:val="001C04FF"/>
    <w:rsid w:val="001C0644"/>
    <w:rsid w:val="001C0B58"/>
    <w:rsid w:val="001C1477"/>
    <w:rsid w:val="001C154E"/>
    <w:rsid w:val="001C1A98"/>
    <w:rsid w:val="001C1E22"/>
    <w:rsid w:val="001C210E"/>
    <w:rsid w:val="001C266A"/>
    <w:rsid w:val="001C2AB9"/>
    <w:rsid w:val="001C3363"/>
    <w:rsid w:val="001C379F"/>
    <w:rsid w:val="001C384A"/>
    <w:rsid w:val="001C4269"/>
    <w:rsid w:val="001C4287"/>
    <w:rsid w:val="001C44D1"/>
    <w:rsid w:val="001C4A0F"/>
    <w:rsid w:val="001C4DC9"/>
    <w:rsid w:val="001C4F8A"/>
    <w:rsid w:val="001C549D"/>
    <w:rsid w:val="001C566B"/>
    <w:rsid w:val="001C569F"/>
    <w:rsid w:val="001C6462"/>
    <w:rsid w:val="001C6697"/>
    <w:rsid w:val="001C684D"/>
    <w:rsid w:val="001C6EE9"/>
    <w:rsid w:val="001C75B7"/>
    <w:rsid w:val="001C7A09"/>
    <w:rsid w:val="001C7A8F"/>
    <w:rsid w:val="001C7B08"/>
    <w:rsid w:val="001C7C39"/>
    <w:rsid w:val="001C7D62"/>
    <w:rsid w:val="001C7DD2"/>
    <w:rsid w:val="001C7E20"/>
    <w:rsid w:val="001D024E"/>
    <w:rsid w:val="001D02BB"/>
    <w:rsid w:val="001D0310"/>
    <w:rsid w:val="001D04E3"/>
    <w:rsid w:val="001D09CC"/>
    <w:rsid w:val="001D0AF4"/>
    <w:rsid w:val="001D0EE9"/>
    <w:rsid w:val="001D12D6"/>
    <w:rsid w:val="001D1876"/>
    <w:rsid w:val="001D2096"/>
    <w:rsid w:val="001D214A"/>
    <w:rsid w:val="001D2B88"/>
    <w:rsid w:val="001D3A43"/>
    <w:rsid w:val="001D3C11"/>
    <w:rsid w:val="001D3FB3"/>
    <w:rsid w:val="001D3FF2"/>
    <w:rsid w:val="001D43AD"/>
    <w:rsid w:val="001D4AA8"/>
    <w:rsid w:val="001D4D42"/>
    <w:rsid w:val="001D505C"/>
    <w:rsid w:val="001D5460"/>
    <w:rsid w:val="001D588D"/>
    <w:rsid w:val="001D5B33"/>
    <w:rsid w:val="001D5CDC"/>
    <w:rsid w:val="001D5EC9"/>
    <w:rsid w:val="001D60C3"/>
    <w:rsid w:val="001D6B90"/>
    <w:rsid w:val="001D73BB"/>
    <w:rsid w:val="001D78FF"/>
    <w:rsid w:val="001D7A00"/>
    <w:rsid w:val="001E00B1"/>
    <w:rsid w:val="001E0508"/>
    <w:rsid w:val="001E0D98"/>
    <w:rsid w:val="001E152A"/>
    <w:rsid w:val="001E1DA0"/>
    <w:rsid w:val="001E2522"/>
    <w:rsid w:val="001E2755"/>
    <w:rsid w:val="001E36FE"/>
    <w:rsid w:val="001E3F07"/>
    <w:rsid w:val="001E4026"/>
    <w:rsid w:val="001E4583"/>
    <w:rsid w:val="001E463C"/>
    <w:rsid w:val="001E4DAD"/>
    <w:rsid w:val="001E4ED9"/>
    <w:rsid w:val="001E6F40"/>
    <w:rsid w:val="001E7589"/>
    <w:rsid w:val="001F0DB2"/>
    <w:rsid w:val="001F124B"/>
    <w:rsid w:val="001F2534"/>
    <w:rsid w:val="001F319E"/>
    <w:rsid w:val="001F3AFD"/>
    <w:rsid w:val="001F4352"/>
    <w:rsid w:val="001F5423"/>
    <w:rsid w:val="001F5716"/>
    <w:rsid w:val="001F5DD9"/>
    <w:rsid w:val="001F69E9"/>
    <w:rsid w:val="001F6D51"/>
    <w:rsid w:val="001F71C9"/>
    <w:rsid w:val="001F73EE"/>
    <w:rsid w:val="001F760B"/>
    <w:rsid w:val="001F767E"/>
    <w:rsid w:val="001F76E7"/>
    <w:rsid w:val="00200025"/>
    <w:rsid w:val="00200046"/>
    <w:rsid w:val="002002FD"/>
    <w:rsid w:val="0020104C"/>
    <w:rsid w:val="002014D2"/>
    <w:rsid w:val="0020151D"/>
    <w:rsid w:val="00201B79"/>
    <w:rsid w:val="00202E56"/>
    <w:rsid w:val="002033D6"/>
    <w:rsid w:val="00203758"/>
    <w:rsid w:val="00203D26"/>
    <w:rsid w:val="00204AB1"/>
    <w:rsid w:val="00205E05"/>
    <w:rsid w:val="002061AB"/>
    <w:rsid w:val="0020691A"/>
    <w:rsid w:val="0020708B"/>
    <w:rsid w:val="002072C7"/>
    <w:rsid w:val="0020776A"/>
    <w:rsid w:val="00207B21"/>
    <w:rsid w:val="00207D2A"/>
    <w:rsid w:val="00211196"/>
    <w:rsid w:val="00211257"/>
    <w:rsid w:val="00211383"/>
    <w:rsid w:val="00211C58"/>
    <w:rsid w:val="00212CFC"/>
    <w:rsid w:val="00212D3B"/>
    <w:rsid w:val="00212FEF"/>
    <w:rsid w:val="002136EB"/>
    <w:rsid w:val="00213D7C"/>
    <w:rsid w:val="00213F3E"/>
    <w:rsid w:val="0021433C"/>
    <w:rsid w:val="002144F0"/>
    <w:rsid w:val="0021455E"/>
    <w:rsid w:val="00214DCA"/>
    <w:rsid w:val="00216ADA"/>
    <w:rsid w:val="00216F02"/>
    <w:rsid w:val="0021731F"/>
    <w:rsid w:val="00217CA1"/>
    <w:rsid w:val="00217D5F"/>
    <w:rsid w:val="00217DFB"/>
    <w:rsid w:val="00220269"/>
    <w:rsid w:val="00220F29"/>
    <w:rsid w:val="002219B7"/>
    <w:rsid w:val="00221FAD"/>
    <w:rsid w:val="00222050"/>
    <w:rsid w:val="00222171"/>
    <w:rsid w:val="00222C77"/>
    <w:rsid w:val="0022320F"/>
    <w:rsid w:val="0022364C"/>
    <w:rsid w:val="00223B86"/>
    <w:rsid w:val="0022490F"/>
    <w:rsid w:val="00224BBB"/>
    <w:rsid w:val="00224BFC"/>
    <w:rsid w:val="002250E1"/>
    <w:rsid w:val="00225F9C"/>
    <w:rsid w:val="00226674"/>
    <w:rsid w:val="0022702C"/>
    <w:rsid w:val="0022742F"/>
    <w:rsid w:val="002274E5"/>
    <w:rsid w:val="0022767B"/>
    <w:rsid w:val="00227EBE"/>
    <w:rsid w:val="0023005A"/>
    <w:rsid w:val="0023012C"/>
    <w:rsid w:val="00230CE3"/>
    <w:rsid w:val="0023131C"/>
    <w:rsid w:val="0023169C"/>
    <w:rsid w:val="002319DB"/>
    <w:rsid w:val="00231B54"/>
    <w:rsid w:val="00232083"/>
    <w:rsid w:val="0023290A"/>
    <w:rsid w:val="00232C13"/>
    <w:rsid w:val="002334E8"/>
    <w:rsid w:val="0023355B"/>
    <w:rsid w:val="0023360A"/>
    <w:rsid w:val="00233CE2"/>
    <w:rsid w:val="00233DDC"/>
    <w:rsid w:val="002343F1"/>
    <w:rsid w:val="002347A2"/>
    <w:rsid w:val="002351E7"/>
    <w:rsid w:val="00236A81"/>
    <w:rsid w:val="00236BB4"/>
    <w:rsid w:val="002372FE"/>
    <w:rsid w:val="00237899"/>
    <w:rsid w:val="00237DFF"/>
    <w:rsid w:val="00240004"/>
    <w:rsid w:val="002410F0"/>
    <w:rsid w:val="00241738"/>
    <w:rsid w:val="002418A2"/>
    <w:rsid w:val="00241D74"/>
    <w:rsid w:val="00242587"/>
    <w:rsid w:val="002425C2"/>
    <w:rsid w:val="0024293F"/>
    <w:rsid w:val="00242B08"/>
    <w:rsid w:val="00242C41"/>
    <w:rsid w:val="002437A8"/>
    <w:rsid w:val="00244A9A"/>
    <w:rsid w:val="00244E47"/>
    <w:rsid w:val="0024545C"/>
    <w:rsid w:val="00246360"/>
    <w:rsid w:val="002467CD"/>
    <w:rsid w:val="00247056"/>
    <w:rsid w:val="0024712A"/>
    <w:rsid w:val="00247639"/>
    <w:rsid w:val="002477B4"/>
    <w:rsid w:val="00250259"/>
    <w:rsid w:val="00250AE6"/>
    <w:rsid w:val="00251ED1"/>
    <w:rsid w:val="0025250D"/>
    <w:rsid w:val="00252DA7"/>
    <w:rsid w:val="002530A8"/>
    <w:rsid w:val="00253CF1"/>
    <w:rsid w:val="00253E69"/>
    <w:rsid w:val="00253F45"/>
    <w:rsid w:val="00253F4D"/>
    <w:rsid w:val="0025521B"/>
    <w:rsid w:val="00255304"/>
    <w:rsid w:val="0025592A"/>
    <w:rsid w:val="00255C1A"/>
    <w:rsid w:val="00255F28"/>
    <w:rsid w:val="00256179"/>
    <w:rsid w:val="002561F9"/>
    <w:rsid w:val="002576A4"/>
    <w:rsid w:val="00257837"/>
    <w:rsid w:val="002607AB"/>
    <w:rsid w:val="00260AE6"/>
    <w:rsid w:val="002617CA"/>
    <w:rsid w:val="0026191F"/>
    <w:rsid w:val="00262130"/>
    <w:rsid w:val="002621B8"/>
    <w:rsid w:val="00262437"/>
    <w:rsid w:val="002629EC"/>
    <w:rsid w:val="00262E14"/>
    <w:rsid w:val="00262EF7"/>
    <w:rsid w:val="00263BBF"/>
    <w:rsid w:val="00264178"/>
    <w:rsid w:val="002641CA"/>
    <w:rsid w:val="00264278"/>
    <w:rsid w:val="00264DB6"/>
    <w:rsid w:val="00264E03"/>
    <w:rsid w:val="00264EC7"/>
    <w:rsid w:val="00265153"/>
    <w:rsid w:val="00266F21"/>
    <w:rsid w:val="0026712B"/>
    <w:rsid w:val="0026754E"/>
    <w:rsid w:val="002677D9"/>
    <w:rsid w:val="00270A0A"/>
    <w:rsid w:val="00270DB3"/>
    <w:rsid w:val="002718D6"/>
    <w:rsid w:val="00271CC0"/>
    <w:rsid w:val="00272491"/>
    <w:rsid w:val="00272539"/>
    <w:rsid w:val="00272842"/>
    <w:rsid w:val="00272E7B"/>
    <w:rsid w:val="00272F62"/>
    <w:rsid w:val="0027391B"/>
    <w:rsid w:val="00273A3C"/>
    <w:rsid w:val="002744A1"/>
    <w:rsid w:val="0027483C"/>
    <w:rsid w:val="00275B9B"/>
    <w:rsid w:val="0027668F"/>
    <w:rsid w:val="00276899"/>
    <w:rsid w:val="00280E95"/>
    <w:rsid w:val="00280EBD"/>
    <w:rsid w:val="00280EC9"/>
    <w:rsid w:val="00280F79"/>
    <w:rsid w:val="00281336"/>
    <w:rsid w:val="00281E7E"/>
    <w:rsid w:val="00281F89"/>
    <w:rsid w:val="00282550"/>
    <w:rsid w:val="00282A2D"/>
    <w:rsid w:val="00282ECF"/>
    <w:rsid w:val="00282EFA"/>
    <w:rsid w:val="002836BF"/>
    <w:rsid w:val="002837FC"/>
    <w:rsid w:val="00283CBF"/>
    <w:rsid w:val="00284C30"/>
    <w:rsid w:val="00284D09"/>
    <w:rsid w:val="002854B8"/>
    <w:rsid w:val="00285D25"/>
    <w:rsid w:val="00286282"/>
    <w:rsid w:val="0028697F"/>
    <w:rsid w:val="00286BBA"/>
    <w:rsid w:val="00286CA9"/>
    <w:rsid w:val="00286FE3"/>
    <w:rsid w:val="0028755A"/>
    <w:rsid w:val="00287695"/>
    <w:rsid w:val="00287BA8"/>
    <w:rsid w:val="00287C5D"/>
    <w:rsid w:val="00287DF9"/>
    <w:rsid w:val="00287EDE"/>
    <w:rsid w:val="00290335"/>
    <w:rsid w:val="0029052C"/>
    <w:rsid w:val="00290B92"/>
    <w:rsid w:val="0029158C"/>
    <w:rsid w:val="00291D3E"/>
    <w:rsid w:val="00292008"/>
    <w:rsid w:val="0029258A"/>
    <w:rsid w:val="00293832"/>
    <w:rsid w:val="0029449C"/>
    <w:rsid w:val="0029451F"/>
    <w:rsid w:val="0029485E"/>
    <w:rsid w:val="00296B5A"/>
    <w:rsid w:val="00296F24"/>
    <w:rsid w:val="002A06DA"/>
    <w:rsid w:val="002A0EC6"/>
    <w:rsid w:val="002A1BFB"/>
    <w:rsid w:val="002A3641"/>
    <w:rsid w:val="002A4500"/>
    <w:rsid w:val="002A456F"/>
    <w:rsid w:val="002A45CB"/>
    <w:rsid w:val="002A4D3D"/>
    <w:rsid w:val="002A4EE1"/>
    <w:rsid w:val="002A57C6"/>
    <w:rsid w:val="002A5A1B"/>
    <w:rsid w:val="002A5B14"/>
    <w:rsid w:val="002A60D8"/>
    <w:rsid w:val="002A6E2B"/>
    <w:rsid w:val="002A7088"/>
    <w:rsid w:val="002B07C1"/>
    <w:rsid w:val="002B081E"/>
    <w:rsid w:val="002B09CE"/>
    <w:rsid w:val="002B11B6"/>
    <w:rsid w:val="002B15D4"/>
    <w:rsid w:val="002B1AAC"/>
    <w:rsid w:val="002B2572"/>
    <w:rsid w:val="002B2A47"/>
    <w:rsid w:val="002B323D"/>
    <w:rsid w:val="002B3B66"/>
    <w:rsid w:val="002B47BF"/>
    <w:rsid w:val="002B4C9F"/>
    <w:rsid w:val="002B4D79"/>
    <w:rsid w:val="002B528B"/>
    <w:rsid w:val="002B64F7"/>
    <w:rsid w:val="002B6570"/>
    <w:rsid w:val="002B7335"/>
    <w:rsid w:val="002B77F5"/>
    <w:rsid w:val="002B7AF8"/>
    <w:rsid w:val="002C10F0"/>
    <w:rsid w:val="002C1451"/>
    <w:rsid w:val="002C15F8"/>
    <w:rsid w:val="002C196E"/>
    <w:rsid w:val="002C1A91"/>
    <w:rsid w:val="002C1D0C"/>
    <w:rsid w:val="002C1D71"/>
    <w:rsid w:val="002C1EC2"/>
    <w:rsid w:val="002C2584"/>
    <w:rsid w:val="002C2E5A"/>
    <w:rsid w:val="002C331D"/>
    <w:rsid w:val="002C39C0"/>
    <w:rsid w:val="002C470F"/>
    <w:rsid w:val="002C4912"/>
    <w:rsid w:val="002C5214"/>
    <w:rsid w:val="002C5BE7"/>
    <w:rsid w:val="002C5D92"/>
    <w:rsid w:val="002C6A6D"/>
    <w:rsid w:val="002C6BBA"/>
    <w:rsid w:val="002C74CE"/>
    <w:rsid w:val="002D0023"/>
    <w:rsid w:val="002D005D"/>
    <w:rsid w:val="002D08F3"/>
    <w:rsid w:val="002D0920"/>
    <w:rsid w:val="002D0ABB"/>
    <w:rsid w:val="002D0B1E"/>
    <w:rsid w:val="002D0BAE"/>
    <w:rsid w:val="002D1AE9"/>
    <w:rsid w:val="002D1FAC"/>
    <w:rsid w:val="002D217F"/>
    <w:rsid w:val="002D22CA"/>
    <w:rsid w:val="002D2ABB"/>
    <w:rsid w:val="002D2D7E"/>
    <w:rsid w:val="002D3034"/>
    <w:rsid w:val="002D3103"/>
    <w:rsid w:val="002D3252"/>
    <w:rsid w:val="002D364E"/>
    <w:rsid w:val="002D3804"/>
    <w:rsid w:val="002D3847"/>
    <w:rsid w:val="002D4104"/>
    <w:rsid w:val="002D4177"/>
    <w:rsid w:val="002D43AC"/>
    <w:rsid w:val="002D4B45"/>
    <w:rsid w:val="002D5219"/>
    <w:rsid w:val="002D548B"/>
    <w:rsid w:val="002D583A"/>
    <w:rsid w:val="002D66B1"/>
    <w:rsid w:val="002D67DD"/>
    <w:rsid w:val="002D78AC"/>
    <w:rsid w:val="002D7A8B"/>
    <w:rsid w:val="002D7BA3"/>
    <w:rsid w:val="002D7ECF"/>
    <w:rsid w:val="002E0317"/>
    <w:rsid w:val="002E12FA"/>
    <w:rsid w:val="002E19C0"/>
    <w:rsid w:val="002E1C94"/>
    <w:rsid w:val="002E1F78"/>
    <w:rsid w:val="002E2320"/>
    <w:rsid w:val="002E2BF6"/>
    <w:rsid w:val="002E3FB5"/>
    <w:rsid w:val="002E4443"/>
    <w:rsid w:val="002E46DE"/>
    <w:rsid w:val="002E5406"/>
    <w:rsid w:val="002E78D7"/>
    <w:rsid w:val="002F0163"/>
    <w:rsid w:val="002F0B54"/>
    <w:rsid w:val="002F1069"/>
    <w:rsid w:val="002F1C10"/>
    <w:rsid w:val="002F1CB1"/>
    <w:rsid w:val="002F21B5"/>
    <w:rsid w:val="002F2D33"/>
    <w:rsid w:val="002F3633"/>
    <w:rsid w:val="002F39DC"/>
    <w:rsid w:val="002F3C75"/>
    <w:rsid w:val="002F51BE"/>
    <w:rsid w:val="002F56AE"/>
    <w:rsid w:val="002F5B67"/>
    <w:rsid w:val="002F653C"/>
    <w:rsid w:val="002F6B7A"/>
    <w:rsid w:val="002F6BBE"/>
    <w:rsid w:val="002F708E"/>
    <w:rsid w:val="002F70F7"/>
    <w:rsid w:val="002F72CD"/>
    <w:rsid w:val="002F743E"/>
    <w:rsid w:val="002F7D4C"/>
    <w:rsid w:val="002F7D6A"/>
    <w:rsid w:val="002F7E79"/>
    <w:rsid w:val="003006A0"/>
    <w:rsid w:val="003006B9"/>
    <w:rsid w:val="00300A7C"/>
    <w:rsid w:val="00300CED"/>
    <w:rsid w:val="00300D77"/>
    <w:rsid w:val="00301422"/>
    <w:rsid w:val="00301FA7"/>
    <w:rsid w:val="003024BF"/>
    <w:rsid w:val="003030CB"/>
    <w:rsid w:val="003030E1"/>
    <w:rsid w:val="00303BB0"/>
    <w:rsid w:val="00303EF8"/>
    <w:rsid w:val="003041CA"/>
    <w:rsid w:val="003041CB"/>
    <w:rsid w:val="00304544"/>
    <w:rsid w:val="00304677"/>
    <w:rsid w:val="00304919"/>
    <w:rsid w:val="00304C1D"/>
    <w:rsid w:val="00305973"/>
    <w:rsid w:val="003069E8"/>
    <w:rsid w:val="00306B46"/>
    <w:rsid w:val="00306C57"/>
    <w:rsid w:val="00307309"/>
    <w:rsid w:val="00307737"/>
    <w:rsid w:val="00307E85"/>
    <w:rsid w:val="00310269"/>
    <w:rsid w:val="00310E27"/>
    <w:rsid w:val="00310E67"/>
    <w:rsid w:val="00311024"/>
    <w:rsid w:val="003111DB"/>
    <w:rsid w:val="00311373"/>
    <w:rsid w:val="00311A8B"/>
    <w:rsid w:val="00311B37"/>
    <w:rsid w:val="00311CCB"/>
    <w:rsid w:val="00313108"/>
    <w:rsid w:val="003138BF"/>
    <w:rsid w:val="00313937"/>
    <w:rsid w:val="00314466"/>
    <w:rsid w:val="003149E9"/>
    <w:rsid w:val="003150C7"/>
    <w:rsid w:val="00315A7C"/>
    <w:rsid w:val="003160C4"/>
    <w:rsid w:val="00316892"/>
    <w:rsid w:val="00316B83"/>
    <w:rsid w:val="00316FBE"/>
    <w:rsid w:val="00317DAD"/>
    <w:rsid w:val="003203C7"/>
    <w:rsid w:val="00320415"/>
    <w:rsid w:val="003205FA"/>
    <w:rsid w:val="00320AC5"/>
    <w:rsid w:val="00321AAC"/>
    <w:rsid w:val="00321C2A"/>
    <w:rsid w:val="00321DFB"/>
    <w:rsid w:val="003228BF"/>
    <w:rsid w:val="0032299B"/>
    <w:rsid w:val="00322E0B"/>
    <w:rsid w:val="00323107"/>
    <w:rsid w:val="00323375"/>
    <w:rsid w:val="00323A85"/>
    <w:rsid w:val="00323C5A"/>
    <w:rsid w:val="00323D7E"/>
    <w:rsid w:val="00324155"/>
    <w:rsid w:val="00324485"/>
    <w:rsid w:val="00324636"/>
    <w:rsid w:val="00324C15"/>
    <w:rsid w:val="00324F5E"/>
    <w:rsid w:val="00325A7C"/>
    <w:rsid w:val="0032732E"/>
    <w:rsid w:val="00327619"/>
    <w:rsid w:val="003309E7"/>
    <w:rsid w:val="003314FE"/>
    <w:rsid w:val="003319AA"/>
    <w:rsid w:val="00331D04"/>
    <w:rsid w:val="00331DCE"/>
    <w:rsid w:val="00331F43"/>
    <w:rsid w:val="00332055"/>
    <w:rsid w:val="00332280"/>
    <w:rsid w:val="003323DB"/>
    <w:rsid w:val="00332807"/>
    <w:rsid w:val="003328DF"/>
    <w:rsid w:val="00332B05"/>
    <w:rsid w:val="003330C7"/>
    <w:rsid w:val="00334BF9"/>
    <w:rsid w:val="00335C9A"/>
    <w:rsid w:val="00336868"/>
    <w:rsid w:val="00337FD0"/>
    <w:rsid w:val="003409BF"/>
    <w:rsid w:val="003410FC"/>
    <w:rsid w:val="00341BFE"/>
    <w:rsid w:val="00342051"/>
    <w:rsid w:val="003424CF"/>
    <w:rsid w:val="003432B0"/>
    <w:rsid w:val="003439B6"/>
    <w:rsid w:val="00343A1C"/>
    <w:rsid w:val="003443B7"/>
    <w:rsid w:val="003454BC"/>
    <w:rsid w:val="00345525"/>
    <w:rsid w:val="00345BBF"/>
    <w:rsid w:val="00345ECE"/>
    <w:rsid w:val="003464E7"/>
    <w:rsid w:val="00346978"/>
    <w:rsid w:val="00346EE1"/>
    <w:rsid w:val="0034734A"/>
    <w:rsid w:val="00347890"/>
    <w:rsid w:val="00350A7C"/>
    <w:rsid w:val="00350DAD"/>
    <w:rsid w:val="00351302"/>
    <w:rsid w:val="003516B4"/>
    <w:rsid w:val="003517D7"/>
    <w:rsid w:val="0035268D"/>
    <w:rsid w:val="00352980"/>
    <w:rsid w:val="003547BA"/>
    <w:rsid w:val="00354BDF"/>
    <w:rsid w:val="00354BEA"/>
    <w:rsid w:val="00354C80"/>
    <w:rsid w:val="0035513D"/>
    <w:rsid w:val="0035526A"/>
    <w:rsid w:val="00355655"/>
    <w:rsid w:val="00355764"/>
    <w:rsid w:val="00355A58"/>
    <w:rsid w:val="00355CA5"/>
    <w:rsid w:val="00355D59"/>
    <w:rsid w:val="00355DAB"/>
    <w:rsid w:val="00355E73"/>
    <w:rsid w:val="00356009"/>
    <w:rsid w:val="00356841"/>
    <w:rsid w:val="00357F62"/>
    <w:rsid w:val="003608B3"/>
    <w:rsid w:val="00360C52"/>
    <w:rsid w:val="003613FD"/>
    <w:rsid w:val="0036156C"/>
    <w:rsid w:val="00361ACC"/>
    <w:rsid w:val="00361B6F"/>
    <w:rsid w:val="00362334"/>
    <w:rsid w:val="0036262D"/>
    <w:rsid w:val="00362C8A"/>
    <w:rsid w:val="003631FF"/>
    <w:rsid w:val="0036351F"/>
    <w:rsid w:val="00363C6E"/>
    <w:rsid w:val="003640B6"/>
    <w:rsid w:val="00364715"/>
    <w:rsid w:val="00364ADD"/>
    <w:rsid w:val="00364B8F"/>
    <w:rsid w:val="00365106"/>
    <w:rsid w:val="00365687"/>
    <w:rsid w:val="003657AB"/>
    <w:rsid w:val="003658D9"/>
    <w:rsid w:val="00365C78"/>
    <w:rsid w:val="00366150"/>
    <w:rsid w:val="00366371"/>
    <w:rsid w:val="00366384"/>
    <w:rsid w:val="00366DCB"/>
    <w:rsid w:val="0036764D"/>
    <w:rsid w:val="003678F1"/>
    <w:rsid w:val="00370337"/>
    <w:rsid w:val="00370A03"/>
    <w:rsid w:val="0037173D"/>
    <w:rsid w:val="00371E9F"/>
    <w:rsid w:val="00372A0F"/>
    <w:rsid w:val="00372A69"/>
    <w:rsid w:val="003731C2"/>
    <w:rsid w:val="003737B2"/>
    <w:rsid w:val="00373EDE"/>
    <w:rsid w:val="00374A57"/>
    <w:rsid w:val="00374A8E"/>
    <w:rsid w:val="00375E2B"/>
    <w:rsid w:val="00376491"/>
    <w:rsid w:val="00376601"/>
    <w:rsid w:val="00377241"/>
    <w:rsid w:val="00380189"/>
    <w:rsid w:val="00380370"/>
    <w:rsid w:val="003803CF"/>
    <w:rsid w:val="00380A15"/>
    <w:rsid w:val="00381107"/>
    <w:rsid w:val="00381308"/>
    <w:rsid w:val="003818E8"/>
    <w:rsid w:val="00382327"/>
    <w:rsid w:val="00382A5E"/>
    <w:rsid w:val="00383017"/>
    <w:rsid w:val="003830D4"/>
    <w:rsid w:val="00383A2F"/>
    <w:rsid w:val="0038469C"/>
    <w:rsid w:val="00384830"/>
    <w:rsid w:val="003848EF"/>
    <w:rsid w:val="00384905"/>
    <w:rsid w:val="00384E0B"/>
    <w:rsid w:val="003856A1"/>
    <w:rsid w:val="00385ACF"/>
    <w:rsid w:val="00385BF8"/>
    <w:rsid w:val="00385E9E"/>
    <w:rsid w:val="00385FB7"/>
    <w:rsid w:val="00386560"/>
    <w:rsid w:val="00386B5D"/>
    <w:rsid w:val="00386C61"/>
    <w:rsid w:val="00387737"/>
    <w:rsid w:val="003908D4"/>
    <w:rsid w:val="00391113"/>
    <w:rsid w:val="0039180D"/>
    <w:rsid w:val="00391D88"/>
    <w:rsid w:val="00392D5E"/>
    <w:rsid w:val="00393463"/>
    <w:rsid w:val="00393C3E"/>
    <w:rsid w:val="00394AA9"/>
    <w:rsid w:val="00394B71"/>
    <w:rsid w:val="00394EBF"/>
    <w:rsid w:val="00395589"/>
    <w:rsid w:val="00395DFD"/>
    <w:rsid w:val="00395F95"/>
    <w:rsid w:val="00396BE2"/>
    <w:rsid w:val="00396C1A"/>
    <w:rsid w:val="003972F5"/>
    <w:rsid w:val="0039760E"/>
    <w:rsid w:val="00397AD6"/>
    <w:rsid w:val="00397C66"/>
    <w:rsid w:val="003A03EF"/>
    <w:rsid w:val="003A049E"/>
    <w:rsid w:val="003A0606"/>
    <w:rsid w:val="003A0822"/>
    <w:rsid w:val="003A0BBA"/>
    <w:rsid w:val="003A12B1"/>
    <w:rsid w:val="003A151C"/>
    <w:rsid w:val="003A193B"/>
    <w:rsid w:val="003A1E99"/>
    <w:rsid w:val="003A371F"/>
    <w:rsid w:val="003A37EB"/>
    <w:rsid w:val="003A3C66"/>
    <w:rsid w:val="003A4E2B"/>
    <w:rsid w:val="003A5102"/>
    <w:rsid w:val="003A53C5"/>
    <w:rsid w:val="003A54EB"/>
    <w:rsid w:val="003A5630"/>
    <w:rsid w:val="003A5EEC"/>
    <w:rsid w:val="003A6079"/>
    <w:rsid w:val="003A6129"/>
    <w:rsid w:val="003A65F8"/>
    <w:rsid w:val="003A68AB"/>
    <w:rsid w:val="003A691A"/>
    <w:rsid w:val="003A7572"/>
    <w:rsid w:val="003A7B12"/>
    <w:rsid w:val="003B00FB"/>
    <w:rsid w:val="003B04F0"/>
    <w:rsid w:val="003B0774"/>
    <w:rsid w:val="003B1336"/>
    <w:rsid w:val="003B13EC"/>
    <w:rsid w:val="003B1A18"/>
    <w:rsid w:val="003B20FC"/>
    <w:rsid w:val="003B2A7D"/>
    <w:rsid w:val="003B2F6F"/>
    <w:rsid w:val="003B30DD"/>
    <w:rsid w:val="003B3E18"/>
    <w:rsid w:val="003B4CA1"/>
    <w:rsid w:val="003B4E21"/>
    <w:rsid w:val="003B5044"/>
    <w:rsid w:val="003B52F2"/>
    <w:rsid w:val="003B6646"/>
    <w:rsid w:val="003B675D"/>
    <w:rsid w:val="003B72CF"/>
    <w:rsid w:val="003B78AB"/>
    <w:rsid w:val="003C0C82"/>
    <w:rsid w:val="003C0DC7"/>
    <w:rsid w:val="003C0E77"/>
    <w:rsid w:val="003C146E"/>
    <w:rsid w:val="003C161A"/>
    <w:rsid w:val="003C22C1"/>
    <w:rsid w:val="003C2DEE"/>
    <w:rsid w:val="003C4286"/>
    <w:rsid w:val="003C4521"/>
    <w:rsid w:val="003C48A9"/>
    <w:rsid w:val="003C4D92"/>
    <w:rsid w:val="003C502E"/>
    <w:rsid w:val="003C546B"/>
    <w:rsid w:val="003C5661"/>
    <w:rsid w:val="003C5D4B"/>
    <w:rsid w:val="003C67A3"/>
    <w:rsid w:val="003C6944"/>
    <w:rsid w:val="003C6C81"/>
    <w:rsid w:val="003C6DE2"/>
    <w:rsid w:val="003D0EC3"/>
    <w:rsid w:val="003D11C0"/>
    <w:rsid w:val="003D2341"/>
    <w:rsid w:val="003D2817"/>
    <w:rsid w:val="003D2833"/>
    <w:rsid w:val="003D2C68"/>
    <w:rsid w:val="003D2D82"/>
    <w:rsid w:val="003D33A3"/>
    <w:rsid w:val="003D3D52"/>
    <w:rsid w:val="003D495A"/>
    <w:rsid w:val="003D4CC7"/>
    <w:rsid w:val="003D572E"/>
    <w:rsid w:val="003D57B2"/>
    <w:rsid w:val="003D5C83"/>
    <w:rsid w:val="003D6960"/>
    <w:rsid w:val="003D6C2E"/>
    <w:rsid w:val="003D741D"/>
    <w:rsid w:val="003D7721"/>
    <w:rsid w:val="003D77EE"/>
    <w:rsid w:val="003E0510"/>
    <w:rsid w:val="003E0632"/>
    <w:rsid w:val="003E1BBB"/>
    <w:rsid w:val="003E1BCD"/>
    <w:rsid w:val="003E2295"/>
    <w:rsid w:val="003E2ACE"/>
    <w:rsid w:val="003E3772"/>
    <w:rsid w:val="003E3816"/>
    <w:rsid w:val="003E3F0C"/>
    <w:rsid w:val="003E464D"/>
    <w:rsid w:val="003E5051"/>
    <w:rsid w:val="003E54B6"/>
    <w:rsid w:val="003E55D0"/>
    <w:rsid w:val="003E58BD"/>
    <w:rsid w:val="003E5FCC"/>
    <w:rsid w:val="003E66BB"/>
    <w:rsid w:val="003E7A4D"/>
    <w:rsid w:val="003E7AC7"/>
    <w:rsid w:val="003E7B72"/>
    <w:rsid w:val="003F0656"/>
    <w:rsid w:val="003F0C3C"/>
    <w:rsid w:val="003F123F"/>
    <w:rsid w:val="003F1367"/>
    <w:rsid w:val="003F16C3"/>
    <w:rsid w:val="003F1D29"/>
    <w:rsid w:val="003F1F49"/>
    <w:rsid w:val="003F20A5"/>
    <w:rsid w:val="003F219F"/>
    <w:rsid w:val="003F2653"/>
    <w:rsid w:val="003F28EA"/>
    <w:rsid w:val="003F2FA0"/>
    <w:rsid w:val="003F3874"/>
    <w:rsid w:val="003F42A7"/>
    <w:rsid w:val="003F5043"/>
    <w:rsid w:val="003F5DCB"/>
    <w:rsid w:val="003F6045"/>
    <w:rsid w:val="003F6DE3"/>
    <w:rsid w:val="003F71C5"/>
    <w:rsid w:val="003F728D"/>
    <w:rsid w:val="003F729C"/>
    <w:rsid w:val="003F7E17"/>
    <w:rsid w:val="0040042E"/>
    <w:rsid w:val="00400804"/>
    <w:rsid w:val="00400C05"/>
    <w:rsid w:val="004016DE"/>
    <w:rsid w:val="004025DC"/>
    <w:rsid w:val="00402863"/>
    <w:rsid w:val="00402A8E"/>
    <w:rsid w:val="00402C37"/>
    <w:rsid w:val="00402E80"/>
    <w:rsid w:val="004031D3"/>
    <w:rsid w:val="00403B84"/>
    <w:rsid w:val="00403D0C"/>
    <w:rsid w:val="004041B8"/>
    <w:rsid w:val="0040453E"/>
    <w:rsid w:val="00404E47"/>
    <w:rsid w:val="0040549F"/>
    <w:rsid w:val="00405928"/>
    <w:rsid w:val="00405ACA"/>
    <w:rsid w:val="00405B95"/>
    <w:rsid w:val="00406702"/>
    <w:rsid w:val="00407428"/>
    <w:rsid w:val="004102D6"/>
    <w:rsid w:val="00410645"/>
    <w:rsid w:val="00411664"/>
    <w:rsid w:val="004124E0"/>
    <w:rsid w:val="00412A08"/>
    <w:rsid w:val="0041347B"/>
    <w:rsid w:val="00413A2A"/>
    <w:rsid w:val="00413B90"/>
    <w:rsid w:val="00413F16"/>
    <w:rsid w:val="0041409A"/>
    <w:rsid w:val="00414AE3"/>
    <w:rsid w:val="004150D1"/>
    <w:rsid w:val="00415552"/>
    <w:rsid w:val="004158B8"/>
    <w:rsid w:val="00416050"/>
    <w:rsid w:val="00416BA1"/>
    <w:rsid w:val="00417259"/>
    <w:rsid w:val="004175D4"/>
    <w:rsid w:val="00420067"/>
    <w:rsid w:val="0042160F"/>
    <w:rsid w:val="00421BFD"/>
    <w:rsid w:val="00422963"/>
    <w:rsid w:val="00422A5A"/>
    <w:rsid w:val="00422B6D"/>
    <w:rsid w:val="00422C18"/>
    <w:rsid w:val="004240A9"/>
    <w:rsid w:val="004241DF"/>
    <w:rsid w:val="0042464E"/>
    <w:rsid w:val="0042494E"/>
    <w:rsid w:val="0042519B"/>
    <w:rsid w:val="004267CD"/>
    <w:rsid w:val="00426AB3"/>
    <w:rsid w:val="00426D6A"/>
    <w:rsid w:val="00427909"/>
    <w:rsid w:val="00430400"/>
    <w:rsid w:val="00432445"/>
    <w:rsid w:val="00432E67"/>
    <w:rsid w:val="00433533"/>
    <w:rsid w:val="004339B5"/>
    <w:rsid w:val="00433C28"/>
    <w:rsid w:val="0043446F"/>
    <w:rsid w:val="00435C84"/>
    <w:rsid w:val="00435F9C"/>
    <w:rsid w:val="0043683F"/>
    <w:rsid w:val="00436C57"/>
    <w:rsid w:val="00436F92"/>
    <w:rsid w:val="00437336"/>
    <w:rsid w:val="00437841"/>
    <w:rsid w:val="004402B2"/>
    <w:rsid w:val="004406D1"/>
    <w:rsid w:val="00440A77"/>
    <w:rsid w:val="004420EE"/>
    <w:rsid w:val="004422A6"/>
    <w:rsid w:val="00442808"/>
    <w:rsid w:val="00442BB9"/>
    <w:rsid w:val="004431BB"/>
    <w:rsid w:val="004442E2"/>
    <w:rsid w:val="00444562"/>
    <w:rsid w:val="0044488A"/>
    <w:rsid w:val="00444F82"/>
    <w:rsid w:val="00445001"/>
    <w:rsid w:val="00445542"/>
    <w:rsid w:val="00445634"/>
    <w:rsid w:val="0044569E"/>
    <w:rsid w:val="004471C5"/>
    <w:rsid w:val="00447CD6"/>
    <w:rsid w:val="00447E6C"/>
    <w:rsid w:val="00451033"/>
    <w:rsid w:val="00451BE5"/>
    <w:rsid w:val="0045253C"/>
    <w:rsid w:val="00452756"/>
    <w:rsid w:val="004529C6"/>
    <w:rsid w:val="00452B35"/>
    <w:rsid w:val="00452B8A"/>
    <w:rsid w:val="00452BA0"/>
    <w:rsid w:val="00453000"/>
    <w:rsid w:val="00453888"/>
    <w:rsid w:val="00453A3F"/>
    <w:rsid w:val="0045446C"/>
    <w:rsid w:val="004547EA"/>
    <w:rsid w:val="00454B80"/>
    <w:rsid w:val="00454D52"/>
    <w:rsid w:val="00455236"/>
    <w:rsid w:val="00455EAA"/>
    <w:rsid w:val="00456494"/>
    <w:rsid w:val="00456AA3"/>
    <w:rsid w:val="00456BDB"/>
    <w:rsid w:val="00457408"/>
    <w:rsid w:val="00457506"/>
    <w:rsid w:val="004577E1"/>
    <w:rsid w:val="0045799A"/>
    <w:rsid w:val="00457CB0"/>
    <w:rsid w:val="00460130"/>
    <w:rsid w:val="00460A3B"/>
    <w:rsid w:val="00461989"/>
    <w:rsid w:val="00461A8C"/>
    <w:rsid w:val="00462598"/>
    <w:rsid w:val="004627B9"/>
    <w:rsid w:val="00462AA0"/>
    <w:rsid w:val="00463296"/>
    <w:rsid w:val="00463490"/>
    <w:rsid w:val="00463A92"/>
    <w:rsid w:val="00463AEB"/>
    <w:rsid w:val="0046433C"/>
    <w:rsid w:val="00465BC3"/>
    <w:rsid w:val="00465E9C"/>
    <w:rsid w:val="00466326"/>
    <w:rsid w:val="00466FDC"/>
    <w:rsid w:val="0046716C"/>
    <w:rsid w:val="004674CA"/>
    <w:rsid w:val="00467BE1"/>
    <w:rsid w:val="00467FB4"/>
    <w:rsid w:val="00470048"/>
    <w:rsid w:val="00470A84"/>
    <w:rsid w:val="00470BEA"/>
    <w:rsid w:val="00470C8C"/>
    <w:rsid w:val="00471060"/>
    <w:rsid w:val="004716AC"/>
    <w:rsid w:val="00471E07"/>
    <w:rsid w:val="00472E97"/>
    <w:rsid w:val="00473194"/>
    <w:rsid w:val="004732D2"/>
    <w:rsid w:val="00473371"/>
    <w:rsid w:val="0047367B"/>
    <w:rsid w:val="00473868"/>
    <w:rsid w:val="00473B5B"/>
    <w:rsid w:val="00473C52"/>
    <w:rsid w:val="0047414C"/>
    <w:rsid w:val="00474FAE"/>
    <w:rsid w:val="0047566D"/>
    <w:rsid w:val="00476092"/>
    <w:rsid w:val="004763AF"/>
    <w:rsid w:val="00476DCB"/>
    <w:rsid w:val="004777E0"/>
    <w:rsid w:val="00480B81"/>
    <w:rsid w:val="00481353"/>
    <w:rsid w:val="0048196D"/>
    <w:rsid w:val="00481DBF"/>
    <w:rsid w:val="004820C7"/>
    <w:rsid w:val="00482557"/>
    <w:rsid w:val="004825F1"/>
    <w:rsid w:val="00482A5B"/>
    <w:rsid w:val="0048317E"/>
    <w:rsid w:val="004833D5"/>
    <w:rsid w:val="00483E1A"/>
    <w:rsid w:val="00483FB7"/>
    <w:rsid w:val="00484566"/>
    <w:rsid w:val="00484B38"/>
    <w:rsid w:val="00485114"/>
    <w:rsid w:val="004860C0"/>
    <w:rsid w:val="004869C0"/>
    <w:rsid w:val="00486FD0"/>
    <w:rsid w:val="00487074"/>
    <w:rsid w:val="00487984"/>
    <w:rsid w:val="0049072A"/>
    <w:rsid w:val="0049072D"/>
    <w:rsid w:val="00490FF7"/>
    <w:rsid w:val="0049127D"/>
    <w:rsid w:val="004919B2"/>
    <w:rsid w:val="00491E03"/>
    <w:rsid w:val="004925F8"/>
    <w:rsid w:val="0049272C"/>
    <w:rsid w:val="00492D28"/>
    <w:rsid w:val="00493027"/>
    <w:rsid w:val="004930F6"/>
    <w:rsid w:val="00493B5E"/>
    <w:rsid w:val="0049416F"/>
    <w:rsid w:val="004943A4"/>
    <w:rsid w:val="00494739"/>
    <w:rsid w:val="004948C9"/>
    <w:rsid w:val="0049513D"/>
    <w:rsid w:val="00495404"/>
    <w:rsid w:val="0049551A"/>
    <w:rsid w:val="00495803"/>
    <w:rsid w:val="00495FBE"/>
    <w:rsid w:val="00495FE4"/>
    <w:rsid w:val="00496723"/>
    <w:rsid w:val="00496828"/>
    <w:rsid w:val="00497931"/>
    <w:rsid w:val="004A07DB"/>
    <w:rsid w:val="004A14BC"/>
    <w:rsid w:val="004A2357"/>
    <w:rsid w:val="004A2D46"/>
    <w:rsid w:val="004A2F33"/>
    <w:rsid w:val="004A31AF"/>
    <w:rsid w:val="004A33F9"/>
    <w:rsid w:val="004A34EE"/>
    <w:rsid w:val="004A3723"/>
    <w:rsid w:val="004A3D93"/>
    <w:rsid w:val="004A3EFD"/>
    <w:rsid w:val="004A3F27"/>
    <w:rsid w:val="004A4099"/>
    <w:rsid w:val="004A670B"/>
    <w:rsid w:val="004A68DF"/>
    <w:rsid w:val="004A7302"/>
    <w:rsid w:val="004A7B83"/>
    <w:rsid w:val="004A7E39"/>
    <w:rsid w:val="004B0668"/>
    <w:rsid w:val="004B06F3"/>
    <w:rsid w:val="004B0972"/>
    <w:rsid w:val="004B1880"/>
    <w:rsid w:val="004B1BAB"/>
    <w:rsid w:val="004B1BF6"/>
    <w:rsid w:val="004B2451"/>
    <w:rsid w:val="004B2939"/>
    <w:rsid w:val="004B2F40"/>
    <w:rsid w:val="004B3B7B"/>
    <w:rsid w:val="004B42BE"/>
    <w:rsid w:val="004B5251"/>
    <w:rsid w:val="004B5B92"/>
    <w:rsid w:val="004B5FF0"/>
    <w:rsid w:val="004C0EF7"/>
    <w:rsid w:val="004C13CB"/>
    <w:rsid w:val="004C1BBB"/>
    <w:rsid w:val="004C1DAF"/>
    <w:rsid w:val="004C2438"/>
    <w:rsid w:val="004C29E9"/>
    <w:rsid w:val="004C2AF2"/>
    <w:rsid w:val="004C4C8F"/>
    <w:rsid w:val="004C4D7C"/>
    <w:rsid w:val="004C4E38"/>
    <w:rsid w:val="004C5621"/>
    <w:rsid w:val="004C5754"/>
    <w:rsid w:val="004C5912"/>
    <w:rsid w:val="004C594F"/>
    <w:rsid w:val="004C596C"/>
    <w:rsid w:val="004C619A"/>
    <w:rsid w:val="004C64A5"/>
    <w:rsid w:val="004C6A24"/>
    <w:rsid w:val="004C6DC9"/>
    <w:rsid w:val="004C6DCB"/>
    <w:rsid w:val="004C6DE7"/>
    <w:rsid w:val="004C6FB8"/>
    <w:rsid w:val="004D002E"/>
    <w:rsid w:val="004D0574"/>
    <w:rsid w:val="004D07E5"/>
    <w:rsid w:val="004D0C7C"/>
    <w:rsid w:val="004D118B"/>
    <w:rsid w:val="004D1659"/>
    <w:rsid w:val="004D180E"/>
    <w:rsid w:val="004D1BD6"/>
    <w:rsid w:val="004D1E32"/>
    <w:rsid w:val="004D2112"/>
    <w:rsid w:val="004D26A9"/>
    <w:rsid w:val="004D3506"/>
    <w:rsid w:val="004D37FB"/>
    <w:rsid w:val="004D385E"/>
    <w:rsid w:val="004D3E1E"/>
    <w:rsid w:val="004D4AAB"/>
    <w:rsid w:val="004D4C71"/>
    <w:rsid w:val="004D5D65"/>
    <w:rsid w:val="004D5FE3"/>
    <w:rsid w:val="004D6275"/>
    <w:rsid w:val="004D6A17"/>
    <w:rsid w:val="004D6A72"/>
    <w:rsid w:val="004D6B7C"/>
    <w:rsid w:val="004D72EE"/>
    <w:rsid w:val="004D73B7"/>
    <w:rsid w:val="004E01FE"/>
    <w:rsid w:val="004E032C"/>
    <w:rsid w:val="004E0610"/>
    <w:rsid w:val="004E1139"/>
    <w:rsid w:val="004E1174"/>
    <w:rsid w:val="004E29C6"/>
    <w:rsid w:val="004E3341"/>
    <w:rsid w:val="004E350B"/>
    <w:rsid w:val="004E3E8F"/>
    <w:rsid w:val="004E4095"/>
    <w:rsid w:val="004E449C"/>
    <w:rsid w:val="004E4A68"/>
    <w:rsid w:val="004E4DAB"/>
    <w:rsid w:val="004E4E16"/>
    <w:rsid w:val="004E547A"/>
    <w:rsid w:val="004E5CC9"/>
    <w:rsid w:val="004E5E6C"/>
    <w:rsid w:val="004E6055"/>
    <w:rsid w:val="004E64C4"/>
    <w:rsid w:val="004E6683"/>
    <w:rsid w:val="004E759F"/>
    <w:rsid w:val="004E7D74"/>
    <w:rsid w:val="004F08E1"/>
    <w:rsid w:val="004F10C7"/>
    <w:rsid w:val="004F187E"/>
    <w:rsid w:val="004F5E43"/>
    <w:rsid w:val="004F6BD7"/>
    <w:rsid w:val="004F6FFF"/>
    <w:rsid w:val="004F7BA3"/>
    <w:rsid w:val="004F7E18"/>
    <w:rsid w:val="00500698"/>
    <w:rsid w:val="00500C9D"/>
    <w:rsid w:val="005011B1"/>
    <w:rsid w:val="00501646"/>
    <w:rsid w:val="005017CB"/>
    <w:rsid w:val="005019E2"/>
    <w:rsid w:val="00501A0E"/>
    <w:rsid w:val="005025E6"/>
    <w:rsid w:val="005027D5"/>
    <w:rsid w:val="00503ABA"/>
    <w:rsid w:val="00503C08"/>
    <w:rsid w:val="00503C39"/>
    <w:rsid w:val="005041DA"/>
    <w:rsid w:val="005046FD"/>
    <w:rsid w:val="00504CAA"/>
    <w:rsid w:val="005055DB"/>
    <w:rsid w:val="00506528"/>
    <w:rsid w:val="00506542"/>
    <w:rsid w:val="00506C39"/>
    <w:rsid w:val="00507639"/>
    <w:rsid w:val="0050797B"/>
    <w:rsid w:val="00507986"/>
    <w:rsid w:val="00507DAA"/>
    <w:rsid w:val="00510163"/>
    <w:rsid w:val="005103BA"/>
    <w:rsid w:val="00510AC6"/>
    <w:rsid w:val="00510DFC"/>
    <w:rsid w:val="00511382"/>
    <w:rsid w:val="005115BE"/>
    <w:rsid w:val="005116B1"/>
    <w:rsid w:val="00511AF2"/>
    <w:rsid w:val="00512099"/>
    <w:rsid w:val="005126BC"/>
    <w:rsid w:val="00512CEA"/>
    <w:rsid w:val="0051362C"/>
    <w:rsid w:val="00514173"/>
    <w:rsid w:val="0051498B"/>
    <w:rsid w:val="00514E22"/>
    <w:rsid w:val="00515262"/>
    <w:rsid w:val="005157DA"/>
    <w:rsid w:val="00515F0F"/>
    <w:rsid w:val="00516023"/>
    <w:rsid w:val="005162BA"/>
    <w:rsid w:val="00516518"/>
    <w:rsid w:val="00517226"/>
    <w:rsid w:val="00517351"/>
    <w:rsid w:val="005174C2"/>
    <w:rsid w:val="00520444"/>
    <w:rsid w:val="00520724"/>
    <w:rsid w:val="00520A9E"/>
    <w:rsid w:val="00522BC6"/>
    <w:rsid w:val="00523F15"/>
    <w:rsid w:val="0052463E"/>
    <w:rsid w:val="005247F7"/>
    <w:rsid w:val="00524C2E"/>
    <w:rsid w:val="00525141"/>
    <w:rsid w:val="00525511"/>
    <w:rsid w:val="005255DB"/>
    <w:rsid w:val="00525D56"/>
    <w:rsid w:val="00525FC7"/>
    <w:rsid w:val="0052660B"/>
    <w:rsid w:val="00526A02"/>
    <w:rsid w:val="00526B28"/>
    <w:rsid w:val="00526D8E"/>
    <w:rsid w:val="00527387"/>
    <w:rsid w:val="0052748F"/>
    <w:rsid w:val="00527A7D"/>
    <w:rsid w:val="00527A90"/>
    <w:rsid w:val="0053000B"/>
    <w:rsid w:val="00530167"/>
    <w:rsid w:val="005306CE"/>
    <w:rsid w:val="00531255"/>
    <w:rsid w:val="005315CF"/>
    <w:rsid w:val="00531633"/>
    <w:rsid w:val="0053182E"/>
    <w:rsid w:val="0053190D"/>
    <w:rsid w:val="00533406"/>
    <w:rsid w:val="00533C9C"/>
    <w:rsid w:val="00533D7B"/>
    <w:rsid w:val="00533FD2"/>
    <w:rsid w:val="005341F0"/>
    <w:rsid w:val="00536129"/>
    <w:rsid w:val="005370E1"/>
    <w:rsid w:val="00537ADB"/>
    <w:rsid w:val="005404D4"/>
    <w:rsid w:val="00540558"/>
    <w:rsid w:val="005409C5"/>
    <w:rsid w:val="00540A6C"/>
    <w:rsid w:val="00540A7C"/>
    <w:rsid w:val="0054242E"/>
    <w:rsid w:val="00543AAC"/>
    <w:rsid w:val="00543AC4"/>
    <w:rsid w:val="00544094"/>
    <w:rsid w:val="00544292"/>
    <w:rsid w:val="005450A1"/>
    <w:rsid w:val="00545412"/>
    <w:rsid w:val="005456EC"/>
    <w:rsid w:val="00545FA9"/>
    <w:rsid w:val="00546543"/>
    <w:rsid w:val="00546B3B"/>
    <w:rsid w:val="00547027"/>
    <w:rsid w:val="00547154"/>
    <w:rsid w:val="00547EF9"/>
    <w:rsid w:val="00550B99"/>
    <w:rsid w:val="00551204"/>
    <w:rsid w:val="005513EA"/>
    <w:rsid w:val="005514C5"/>
    <w:rsid w:val="005519B6"/>
    <w:rsid w:val="005520D6"/>
    <w:rsid w:val="00552600"/>
    <w:rsid w:val="00552641"/>
    <w:rsid w:val="00552817"/>
    <w:rsid w:val="00552EA8"/>
    <w:rsid w:val="005533ED"/>
    <w:rsid w:val="005534BC"/>
    <w:rsid w:val="00553846"/>
    <w:rsid w:val="00553952"/>
    <w:rsid w:val="00553BD3"/>
    <w:rsid w:val="00553F7B"/>
    <w:rsid w:val="00554697"/>
    <w:rsid w:val="00554795"/>
    <w:rsid w:val="00555410"/>
    <w:rsid w:val="00556DEA"/>
    <w:rsid w:val="00557A01"/>
    <w:rsid w:val="00560465"/>
    <w:rsid w:val="00560972"/>
    <w:rsid w:val="00561F11"/>
    <w:rsid w:val="0056272D"/>
    <w:rsid w:val="00562C2A"/>
    <w:rsid w:val="005631E9"/>
    <w:rsid w:val="00563F7B"/>
    <w:rsid w:val="005640A6"/>
    <w:rsid w:val="00564653"/>
    <w:rsid w:val="00564AA7"/>
    <w:rsid w:val="00564DC1"/>
    <w:rsid w:val="00565B84"/>
    <w:rsid w:val="0056664A"/>
    <w:rsid w:val="00566DBF"/>
    <w:rsid w:val="00570137"/>
    <w:rsid w:val="005705A1"/>
    <w:rsid w:val="005706FD"/>
    <w:rsid w:val="00570700"/>
    <w:rsid w:val="00570F8E"/>
    <w:rsid w:val="005719FD"/>
    <w:rsid w:val="00571B06"/>
    <w:rsid w:val="00572118"/>
    <w:rsid w:val="00573359"/>
    <w:rsid w:val="005741B5"/>
    <w:rsid w:val="00574A89"/>
    <w:rsid w:val="005758BA"/>
    <w:rsid w:val="00575FFA"/>
    <w:rsid w:val="0057650B"/>
    <w:rsid w:val="00576AB3"/>
    <w:rsid w:val="00576B33"/>
    <w:rsid w:val="00576DA6"/>
    <w:rsid w:val="00576F30"/>
    <w:rsid w:val="0058014A"/>
    <w:rsid w:val="00580AD7"/>
    <w:rsid w:val="00581453"/>
    <w:rsid w:val="00581746"/>
    <w:rsid w:val="00581D48"/>
    <w:rsid w:val="00582412"/>
    <w:rsid w:val="005824A4"/>
    <w:rsid w:val="00582D83"/>
    <w:rsid w:val="00582D8E"/>
    <w:rsid w:val="00583159"/>
    <w:rsid w:val="00583660"/>
    <w:rsid w:val="00583F6C"/>
    <w:rsid w:val="00586B97"/>
    <w:rsid w:val="00586CE4"/>
    <w:rsid w:val="00586D82"/>
    <w:rsid w:val="005871ED"/>
    <w:rsid w:val="00587518"/>
    <w:rsid w:val="005875FD"/>
    <w:rsid w:val="005879B8"/>
    <w:rsid w:val="00590710"/>
    <w:rsid w:val="00591130"/>
    <w:rsid w:val="005932AD"/>
    <w:rsid w:val="00593567"/>
    <w:rsid w:val="00593648"/>
    <w:rsid w:val="00593FBD"/>
    <w:rsid w:val="00594141"/>
    <w:rsid w:val="0059471F"/>
    <w:rsid w:val="00594AC6"/>
    <w:rsid w:val="00594F99"/>
    <w:rsid w:val="00595842"/>
    <w:rsid w:val="005958E6"/>
    <w:rsid w:val="00595DF5"/>
    <w:rsid w:val="005967C9"/>
    <w:rsid w:val="00596C9E"/>
    <w:rsid w:val="00596F19"/>
    <w:rsid w:val="005970AD"/>
    <w:rsid w:val="005970B5"/>
    <w:rsid w:val="0059732A"/>
    <w:rsid w:val="005978D0"/>
    <w:rsid w:val="005A0026"/>
    <w:rsid w:val="005A04B1"/>
    <w:rsid w:val="005A0B86"/>
    <w:rsid w:val="005A1420"/>
    <w:rsid w:val="005A23A1"/>
    <w:rsid w:val="005A26B6"/>
    <w:rsid w:val="005A2783"/>
    <w:rsid w:val="005A2FC0"/>
    <w:rsid w:val="005A336F"/>
    <w:rsid w:val="005A3880"/>
    <w:rsid w:val="005A66F6"/>
    <w:rsid w:val="005A7A14"/>
    <w:rsid w:val="005B0500"/>
    <w:rsid w:val="005B1321"/>
    <w:rsid w:val="005B21F8"/>
    <w:rsid w:val="005B25E3"/>
    <w:rsid w:val="005B2AEF"/>
    <w:rsid w:val="005B2AFE"/>
    <w:rsid w:val="005B2F23"/>
    <w:rsid w:val="005B31C3"/>
    <w:rsid w:val="005B341F"/>
    <w:rsid w:val="005B3588"/>
    <w:rsid w:val="005B375B"/>
    <w:rsid w:val="005B3882"/>
    <w:rsid w:val="005B3CB1"/>
    <w:rsid w:val="005B44D6"/>
    <w:rsid w:val="005B48FB"/>
    <w:rsid w:val="005B4D71"/>
    <w:rsid w:val="005B51B9"/>
    <w:rsid w:val="005B5651"/>
    <w:rsid w:val="005B610E"/>
    <w:rsid w:val="005B613F"/>
    <w:rsid w:val="005B6641"/>
    <w:rsid w:val="005B668C"/>
    <w:rsid w:val="005B71E9"/>
    <w:rsid w:val="005C071E"/>
    <w:rsid w:val="005C0E7F"/>
    <w:rsid w:val="005C1CDC"/>
    <w:rsid w:val="005C1D1A"/>
    <w:rsid w:val="005C2921"/>
    <w:rsid w:val="005C2C6E"/>
    <w:rsid w:val="005C364A"/>
    <w:rsid w:val="005C429A"/>
    <w:rsid w:val="005C4396"/>
    <w:rsid w:val="005C4600"/>
    <w:rsid w:val="005C4F25"/>
    <w:rsid w:val="005C5607"/>
    <w:rsid w:val="005C5C92"/>
    <w:rsid w:val="005C66E5"/>
    <w:rsid w:val="005D0080"/>
    <w:rsid w:val="005D0450"/>
    <w:rsid w:val="005D064D"/>
    <w:rsid w:val="005D1643"/>
    <w:rsid w:val="005D1B8A"/>
    <w:rsid w:val="005D27B8"/>
    <w:rsid w:val="005D29B4"/>
    <w:rsid w:val="005D2BB2"/>
    <w:rsid w:val="005D2E03"/>
    <w:rsid w:val="005D2FBC"/>
    <w:rsid w:val="005D3753"/>
    <w:rsid w:val="005D3BD6"/>
    <w:rsid w:val="005D4544"/>
    <w:rsid w:val="005D4C24"/>
    <w:rsid w:val="005D4F09"/>
    <w:rsid w:val="005D5178"/>
    <w:rsid w:val="005D5D60"/>
    <w:rsid w:val="005D633C"/>
    <w:rsid w:val="005D6CD6"/>
    <w:rsid w:val="005D6EA8"/>
    <w:rsid w:val="005D6F05"/>
    <w:rsid w:val="005D6FA5"/>
    <w:rsid w:val="005D7080"/>
    <w:rsid w:val="005D7A24"/>
    <w:rsid w:val="005D7A4E"/>
    <w:rsid w:val="005E00E4"/>
    <w:rsid w:val="005E06C9"/>
    <w:rsid w:val="005E0FE4"/>
    <w:rsid w:val="005E10E3"/>
    <w:rsid w:val="005E1685"/>
    <w:rsid w:val="005E3027"/>
    <w:rsid w:val="005E33C5"/>
    <w:rsid w:val="005E39B1"/>
    <w:rsid w:val="005E3CC1"/>
    <w:rsid w:val="005E3E03"/>
    <w:rsid w:val="005E3FC7"/>
    <w:rsid w:val="005E4AE4"/>
    <w:rsid w:val="005E4B99"/>
    <w:rsid w:val="005E5544"/>
    <w:rsid w:val="005E614E"/>
    <w:rsid w:val="005E6845"/>
    <w:rsid w:val="005F0898"/>
    <w:rsid w:val="005F0F9B"/>
    <w:rsid w:val="005F18D3"/>
    <w:rsid w:val="005F21FC"/>
    <w:rsid w:val="005F32E7"/>
    <w:rsid w:val="005F398C"/>
    <w:rsid w:val="005F3E53"/>
    <w:rsid w:val="005F4237"/>
    <w:rsid w:val="005F515A"/>
    <w:rsid w:val="005F54D7"/>
    <w:rsid w:val="005F6776"/>
    <w:rsid w:val="005F698B"/>
    <w:rsid w:val="005F6E4B"/>
    <w:rsid w:val="005F7275"/>
    <w:rsid w:val="005F731C"/>
    <w:rsid w:val="005F792A"/>
    <w:rsid w:val="005F7E4E"/>
    <w:rsid w:val="006008EB"/>
    <w:rsid w:val="00600934"/>
    <w:rsid w:val="00600956"/>
    <w:rsid w:val="00600EE2"/>
    <w:rsid w:val="006011E1"/>
    <w:rsid w:val="006015CA"/>
    <w:rsid w:val="00602169"/>
    <w:rsid w:val="0060220A"/>
    <w:rsid w:val="00602401"/>
    <w:rsid w:val="00603332"/>
    <w:rsid w:val="00603454"/>
    <w:rsid w:val="00603AB2"/>
    <w:rsid w:val="00604158"/>
    <w:rsid w:val="00604F7E"/>
    <w:rsid w:val="0060528A"/>
    <w:rsid w:val="0060535D"/>
    <w:rsid w:val="0060666C"/>
    <w:rsid w:val="00606C5F"/>
    <w:rsid w:val="00607E21"/>
    <w:rsid w:val="00610728"/>
    <w:rsid w:val="00610A2B"/>
    <w:rsid w:val="0061164D"/>
    <w:rsid w:val="006119BA"/>
    <w:rsid w:val="00611CB5"/>
    <w:rsid w:val="00612BB1"/>
    <w:rsid w:val="006139D6"/>
    <w:rsid w:val="0061404B"/>
    <w:rsid w:val="00614CE6"/>
    <w:rsid w:val="00615948"/>
    <w:rsid w:val="00615CA5"/>
    <w:rsid w:val="00615D39"/>
    <w:rsid w:val="00615D43"/>
    <w:rsid w:val="006165E6"/>
    <w:rsid w:val="00616794"/>
    <w:rsid w:val="00616820"/>
    <w:rsid w:val="006168C3"/>
    <w:rsid w:val="00616BCC"/>
    <w:rsid w:val="00616BD6"/>
    <w:rsid w:val="00616FAC"/>
    <w:rsid w:val="006175E8"/>
    <w:rsid w:val="0061761A"/>
    <w:rsid w:val="00617C19"/>
    <w:rsid w:val="006202AD"/>
    <w:rsid w:val="00620537"/>
    <w:rsid w:val="00620E28"/>
    <w:rsid w:val="00621095"/>
    <w:rsid w:val="0062307F"/>
    <w:rsid w:val="0062325C"/>
    <w:rsid w:val="00623836"/>
    <w:rsid w:val="00623997"/>
    <w:rsid w:val="00623DFF"/>
    <w:rsid w:val="00624001"/>
    <w:rsid w:val="00624299"/>
    <w:rsid w:val="0062430A"/>
    <w:rsid w:val="0062432C"/>
    <w:rsid w:val="006243EB"/>
    <w:rsid w:val="00624520"/>
    <w:rsid w:val="00624B8E"/>
    <w:rsid w:val="00624E08"/>
    <w:rsid w:val="00625536"/>
    <w:rsid w:val="00625846"/>
    <w:rsid w:val="00625AC1"/>
    <w:rsid w:val="00626698"/>
    <w:rsid w:val="006267F8"/>
    <w:rsid w:val="00626BAB"/>
    <w:rsid w:val="0062713A"/>
    <w:rsid w:val="00627A4E"/>
    <w:rsid w:val="00630966"/>
    <w:rsid w:val="00630EC4"/>
    <w:rsid w:val="00630EC9"/>
    <w:rsid w:val="006313DD"/>
    <w:rsid w:val="00631B4C"/>
    <w:rsid w:val="00631B5E"/>
    <w:rsid w:val="00632522"/>
    <w:rsid w:val="00632653"/>
    <w:rsid w:val="006328B1"/>
    <w:rsid w:val="00632CB9"/>
    <w:rsid w:val="00633C3C"/>
    <w:rsid w:val="0063465A"/>
    <w:rsid w:val="00634B8F"/>
    <w:rsid w:val="00635856"/>
    <w:rsid w:val="00635BAE"/>
    <w:rsid w:val="00636526"/>
    <w:rsid w:val="0063728E"/>
    <w:rsid w:val="006376FD"/>
    <w:rsid w:val="0064030F"/>
    <w:rsid w:val="006408DC"/>
    <w:rsid w:val="0064101A"/>
    <w:rsid w:val="00641033"/>
    <w:rsid w:val="00641D5A"/>
    <w:rsid w:val="00641F36"/>
    <w:rsid w:val="00641F98"/>
    <w:rsid w:val="00642777"/>
    <w:rsid w:val="00643B89"/>
    <w:rsid w:val="0064566D"/>
    <w:rsid w:val="00645936"/>
    <w:rsid w:val="00645FAB"/>
    <w:rsid w:val="00646433"/>
    <w:rsid w:val="00646B92"/>
    <w:rsid w:val="0064738F"/>
    <w:rsid w:val="00647402"/>
    <w:rsid w:val="0064797D"/>
    <w:rsid w:val="00647A62"/>
    <w:rsid w:val="00650282"/>
    <w:rsid w:val="006504C6"/>
    <w:rsid w:val="00650A11"/>
    <w:rsid w:val="006511BB"/>
    <w:rsid w:val="00651493"/>
    <w:rsid w:val="00651C30"/>
    <w:rsid w:val="006531EF"/>
    <w:rsid w:val="006533F9"/>
    <w:rsid w:val="006546CA"/>
    <w:rsid w:val="006546CC"/>
    <w:rsid w:val="00654712"/>
    <w:rsid w:val="006548B5"/>
    <w:rsid w:val="00655B56"/>
    <w:rsid w:val="00655B60"/>
    <w:rsid w:val="00656305"/>
    <w:rsid w:val="006577A7"/>
    <w:rsid w:val="0066034A"/>
    <w:rsid w:val="0066095E"/>
    <w:rsid w:val="006631B8"/>
    <w:rsid w:val="0066334F"/>
    <w:rsid w:val="00663B3A"/>
    <w:rsid w:val="00663E12"/>
    <w:rsid w:val="0066461E"/>
    <w:rsid w:val="006656EC"/>
    <w:rsid w:val="00665CCD"/>
    <w:rsid w:val="006662EE"/>
    <w:rsid w:val="0066698E"/>
    <w:rsid w:val="006672BB"/>
    <w:rsid w:val="00667977"/>
    <w:rsid w:val="006709C8"/>
    <w:rsid w:val="00670AAE"/>
    <w:rsid w:val="00671396"/>
    <w:rsid w:val="0067242A"/>
    <w:rsid w:val="006724DA"/>
    <w:rsid w:val="006725A4"/>
    <w:rsid w:val="0067327A"/>
    <w:rsid w:val="00673855"/>
    <w:rsid w:val="00674043"/>
    <w:rsid w:val="006750E7"/>
    <w:rsid w:val="00675A54"/>
    <w:rsid w:val="006764F6"/>
    <w:rsid w:val="00676D22"/>
    <w:rsid w:val="0067720E"/>
    <w:rsid w:val="00677513"/>
    <w:rsid w:val="00677BF7"/>
    <w:rsid w:val="00677C65"/>
    <w:rsid w:val="0068051F"/>
    <w:rsid w:val="006808F7"/>
    <w:rsid w:val="00680B85"/>
    <w:rsid w:val="006812CF"/>
    <w:rsid w:val="00681506"/>
    <w:rsid w:val="006820E6"/>
    <w:rsid w:val="00682127"/>
    <w:rsid w:val="006824EE"/>
    <w:rsid w:val="00682702"/>
    <w:rsid w:val="00682BBC"/>
    <w:rsid w:val="00683DDE"/>
    <w:rsid w:val="00684490"/>
    <w:rsid w:val="00684784"/>
    <w:rsid w:val="00684D1E"/>
    <w:rsid w:val="00684DCF"/>
    <w:rsid w:val="00684F88"/>
    <w:rsid w:val="00685477"/>
    <w:rsid w:val="00685855"/>
    <w:rsid w:val="0068592C"/>
    <w:rsid w:val="00685CB3"/>
    <w:rsid w:val="00686666"/>
    <w:rsid w:val="006867B7"/>
    <w:rsid w:val="00686AC4"/>
    <w:rsid w:val="00686F5E"/>
    <w:rsid w:val="00687316"/>
    <w:rsid w:val="00687842"/>
    <w:rsid w:val="00690F4C"/>
    <w:rsid w:val="00690F90"/>
    <w:rsid w:val="006914EF"/>
    <w:rsid w:val="006917AF"/>
    <w:rsid w:val="00692223"/>
    <w:rsid w:val="00692BAE"/>
    <w:rsid w:val="00692DE8"/>
    <w:rsid w:val="00692EDC"/>
    <w:rsid w:val="0069344C"/>
    <w:rsid w:val="006938DE"/>
    <w:rsid w:val="0069403E"/>
    <w:rsid w:val="006945C8"/>
    <w:rsid w:val="006947E5"/>
    <w:rsid w:val="00694940"/>
    <w:rsid w:val="0069613C"/>
    <w:rsid w:val="00696A63"/>
    <w:rsid w:val="00697CC2"/>
    <w:rsid w:val="006A0080"/>
    <w:rsid w:val="006A00C0"/>
    <w:rsid w:val="006A0557"/>
    <w:rsid w:val="006A0782"/>
    <w:rsid w:val="006A0AAB"/>
    <w:rsid w:val="006A14D2"/>
    <w:rsid w:val="006A19CB"/>
    <w:rsid w:val="006A1B09"/>
    <w:rsid w:val="006A2A2C"/>
    <w:rsid w:val="006A2D92"/>
    <w:rsid w:val="006A30BD"/>
    <w:rsid w:val="006A3B8C"/>
    <w:rsid w:val="006A3EF0"/>
    <w:rsid w:val="006A56C1"/>
    <w:rsid w:val="006A5A2E"/>
    <w:rsid w:val="006A687E"/>
    <w:rsid w:val="006A7235"/>
    <w:rsid w:val="006A75BE"/>
    <w:rsid w:val="006A7BC1"/>
    <w:rsid w:val="006B04D1"/>
    <w:rsid w:val="006B14EC"/>
    <w:rsid w:val="006B1D58"/>
    <w:rsid w:val="006B2315"/>
    <w:rsid w:val="006B2B72"/>
    <w:rsid w:val="006B2C87"/>
    <w:rsid w:val="006B3171"/>
    <w:rsid w:val="006B3C41"/>
    <w:rsid w:val="006B4257"/>
    <w:rsid w:val="006B479D"/>
    <w:rsid w:val="006B4BF0"/>
    <w:rsid w:val="006B4EB6"/>
    <w:rsid w:val="006B536B"/>
    <w:rsid w:val="006B5392"/>
    <w:rsid w:val="006B5B51"/>
    <w:rsid w:val="006B5D8C"/>
    <w:rsid w:val="006B6AA3"/>
    <w:rsid w:val="006B6D60"/>
    <w:rsid w:val="006B7697"/>
    <w:rsid w:val="006B7913"/>
    <w:rsid w:val="006B7941"/>
    <w:rsid w:val="006C0521"/>
    <w:rsid w:val="006C11C3"/>
    <w:rsid w:val="006C1BD8"/>
    <w:rsid w:val="006C437E"/>
    <w:rsid w:val="006C44AF"/>
    <w:rsid w:val="006C4BAF"/>
    <w:rsid w:val="006C5244"/>
    <w:rsid w:val="006C5CD2"/>
    <w:rsid w:val="006C5CE3"/>
    <w:rsid w:val="006C61D1"/>
    <w:rsid w:val="006C63DD"/>
    <w:rsid w:val="006C6438"/>
    <w:rsid w:val="006C6483"/>
    <w:rsid w:val="006C662F"/>
    <w:rsid w:val="006C73BD"/>
    <w:rsid w:val="006C7426"/>
    <w:rsid w:val="006C74F8"/>
    <w:rsid w:val="006C79E6"/>
    <w:rsid w:val="006D007B"/>
    <w:rsid w:val="006D017B"/>
    <w:rsid w:val="006D068A"/>
    <w:rsid w:val="006D0A6F"/>
    <w:rsid w:val="006D0FE4"/>
    <w:rsid w:val="006D1474"/>
    <w:rsid w:val="006D1B41"/>
    <w:rsid w:val="006D1C43"/>
    <w:rsid w:val="006D1F7D"/>
    <w:rsid w:val="006D29CD"/>
    <w:rsid w:val="006D2BE3"/>
    <w:rsid w:val="006D2BEB"/>
    <w:rsid w:val="006D2BF3"/>
    <w:rsid w:val="006D37CF"/>
    <w:rsid w:val="006D3A15"/>
    <w:rsid w:val="006D3FEA"/>
    <w:rsid w:val="006D6B5A"/>
    <w:rsid w:val="006D7398"/>
    <w:rsid w:val="006D76F0"/>
    <w:rsid w:val="006E0398"/>
    <w:rsid w:val="006E059F"/>
    <w:rsid w:val="006E11EC"/>
    <w:rsid w:val="006E12D9"/>
    <w:rsid w:val="006E17B6"/>
    <w:rsid w:val="006E1FB0"/>
    <w:rsid w:val="006E20E9"/>
    <w:rsid w:val="006E2426"/>
    <w:rsid w:val="006E2DC9"/>
    <w:rsid w:val="006E42A4"/>
    <w:rsid w:val="006E455A"/>
    <w:rsid w:val="006E46F3"/>
    <w:rsid w:val="006E5700"/>
    <w:rsid w:val="006E5AA4"/>
    <w:rsid w:val="006E5C25"/>
    <w:rsid w:val="006E5F14"/>
    <w:rsid w:val="006E650C"/>
    <w:rsid w:val="006E6522"/>
    <w:rsid w:val="006E6686"/>
    <w:rsid w:val="006E67D7"/>
    <w:rsid w:val="006E6A7A"/>
    <w:rsid w:val="006E6BBB"/>
    <w:rsid w:val="006E6C75"/>
    <w:rsid w:val="006E7242"/>
    <w:rsid w:val="006E746F"/>
    <w:rsid w:val="006E76C5"/>
    <w:rsid w:val="006E7A4E"/>
    <w:rsid w:val="006F00BD"/>
    <w:rsid w:val="006F07A1"/>
    <w:rsid w:val="006F08B2"/>
    <w:rsid w:val="006F0945"/>
    <w:rsid w:val="006F0A6A"/>
    <w:rsid w:val="006F12E4"/>
    <w:rsid w:val="006F39CE"/>
    <w:rsid w:val="006F3BB8"/>
    <w:rsid w:val="006F41A6"/>
    <w:rsid w:val="006F53A9"/>
    <w:rsid w:val="006F5715"/>
    <w:rsid w:val="006F5B0E"/>
    <w:rsid w:val="006F5B12"/>
    <w:rsid w:val="006F5CD2"/>
    <w:rsid w:val="006F6DB9"/>
    <w:rsid w:val="006F7425"/>
    <w:rsid w:val="00700734"/>
    <w:rsid w:val="00701172"/>
    <w:rsid w:val="0070149F"/>
    <w:rsid w:val="00701D78"/>
    <w:rsid w:val="00703D2D"/>
    <w:rsid w:val="00704FEB"/>
    <w:rsid w:val="00705EF9"/>
    <w:rsid w:val="007062E7"/>
    <w:rsid w:val="00706A4D"/>
    <w:rsid w:val="00706DC1"/>
    <w:rsid w:val="00706E15"/>
    <w:rsid w:val="00706F14"/>
    <w:rsid w:val="00706FE9"/>
    <w:rsid w:val="007074A3"/>
    <w:rsid w:val="0070752E"/>
    <w:rsid w:val="00707F48"/>
    <w:rsid w:val="00710BF9"/>
    <w:rsid w:val="00711651"/>
    <w:rsid w:val="00711DE5"/>
    <w:rsid w:val="00712914"/>
    <w:rsid w:val="00712CD8"/>
    <w:rsid w:val="0071360C"/>
    <w:rsid w:val="0071362D"/>
    <w:rsid w:val="0071367B"/>
    <w:rsid w:val="007139B6"/>
    <w:rsid w:val="0071468E"/>
    <w:rsid w:val="00715244"/>
    <w:rsid w:val="00715259"/>
    <w:rsid w:val="007166DF"/>
    <w:rsid w:val="0071686F"/>
    <w:rsid w:val="00716A12"/>
    <w:rsid w:val="00716D5C"/>
    <w:rsid w:val="00716E66"/>
    <w:rsid w:val="00717760"/>
    <w:rsid w:val="00717800"/>
    <w:rsid w:val="00717A38"/>
    <w:rsid w:val="00717EBE"/>
    <w:rsid w:val="007208D9"/>
    <w:rsid w:val="00720AF5"/>
    <w:rsid w:val="00720C9D"/>
    <w:rsid w:val="00720D4C"/>
    <w:rsid w:val="00720FFE"/>
    <w:rsid w:val="00721153"/>
    <w:rsid w:val="00721793"/>
    <w:rsid w:val="00722896"/>
    <w:rsid w:val="0072393F"/>
    <w:rsid w:val="00723C45"/>
    <w:rsid w:val="007240F2"/>
    <w:rsid w:val="007245D7"/>
    <w:rsid w:val="00724A95"/>
    <w:rsid w:val="00724C0F"/>
    <w:rsid w:val="00724C26"/>
    <w:rsid w:val="00726988"/>
    <w:rsid w:val="00726D0E"/>
    <w:rsid w:val="00727E5E"/>
    <w:rsid w:val="00732185"/>
    <w:rsid w:val="0073258B"/>
    <w:rsid w:val="00732BA8"/>
    <w:rsid w:val="0073350E"/>
    <w:rsid w:val="00733701"/>
    <w:rsid w:val="00733E1F"/>
    <w:rsid w:val="00733F8C"/>
    <w:rsid w:val="00734E99"/>
    <w:rsid w:val="007359A7"/>
    <w:rsid w:val="00735B76"/>
    <w:rsid w:val="00735FBA"/>
    <w:rsid w:val="007368FA"/>
    <w:rsid w:val="00736A54"/>
    <w:rsid w:val="00736B19"/>
    <w:rsid w:val="00737D0A"/>
    <w:rsid w:val="007402DA"/>
    <w:rsid w:val="00741C04"/>
    <w:rsid w:val="00741C7D"/>
    <w:rsid w:val="00741F8A"/>
    <w:rsid w:val="0074215D"/>
    <w:rsid w:val="00742B91"/>
    <w:rsid w:val="00742EF6"/>
    <w:rsid w:val="00744139"/>
    <w:rsid w:val="00744359"/>
    <w:rsid w:val="00744ECC"/>
    <w:rsid w:val="00745A92"/>
    <w:rsid w:val="00745FDD"/>
    <w:rsid w:val="0074677C"/>
    <w:rsid w:val="00746E21"/>
    <w:rsid w:val="007471B9"/>
    <w:rsid w:val="0074740B"/>
    <w:rsid w:val="00747E73"/>
    <w:rsid w:val="00750911"/>
    <w:rsid w:val="00750C18"/>
    <w:rsid w:val="00752561"/>
    <w:rsid w:val="0075287F"/>
    <w:rsid w:val="0075393B"/>
    <w:rsid w:val="00753AFC"/>
    <w:rsid w:val="00753B43"/>
    <w:rsid w:val="0075471A"/>
    <w:rsid w:val="007548A8"/>
    <w:rsid w:val="0075495F"/>
    <w:rsid w:val="00755B5D"/>
    <w:rsid w:val="00755E47"/>
    <w:rsid w:val="00756182"/>
    <w:rsid w:val="00756801"/>
    <w:rsid w:val="00756DB9"/>
    <w:rsid w:val="0075771C"/>
    <w:rsid w:val="00757A73"/>
    <w:rsid w:val="007608D7"/>
    <w:rsid w:val="00760CA9"/>
    <w:rsid w:val="0076205A"/>
    <w:rsid w:val="00762CC8"/>
    <w:rsid w:val="0076335C"/>
    <w:rsid w:val="007634BB"/>
    <w:rsid w:val="00763B0E"/>
    <w:rsid w:val="00763D76"/>
    <w:rsid w:val="00763FB1"/>
    <w:rsid w:val="0076424B"/>
    <w:rsid w:val="007646CB"/>
    <w:rsid w:val="007649F2"/>
    <w:rsid w:val="00764FAA"/>
    <w:rsid w:val="00766173"/>
    <w:rsid w:val="00766254"/>
    <w:rsid w:val="00766A4F"/>
    <w:rsid w:val="00766C81"/>
    <w:rsid w:val="00767A04"/>
    <w:rsid w:val="00767C99"/>
    <w:rsid w:val="007703AE"/>
    <w:rsid w:val="0077044A"/>
    <w:rsid w:val="0077045A"/>
    <w:rsid w:val="0077075A"/>
    <w:rsid w:val="007707E3"/>
    <w:rsid w:val="00770812"/>
    <w:rsid w:val="00771000"/>
    <w:rsid w:val="00771348"/>
    <w:rsid w:val="007714DC"/>
    <w:rsid w:val="0077155B"/>
    <w:rsid w:val="00771641"/>
    <w:rsid w:val="007716EA"/>
    <w:rsid w:val="00772695"/>
    <w:rsid w:val="0077354D"/>
    <w:rsid w:val="00773719"/>
    <w:rsid w:val="00773759"/>
    <w:rsid w:val="007738E1"/>
    <w:rsid w:val="00773A9C"/>
    <w:rsid w:val="00773B58"/>
    <w:rsid w:val="007740B4"/>
    <w:rsid w:val="00774343"/>
    <w:rsid w:val="007748F9"/>
    <w:rsid w:val="00774EAA"/>
    <w:rsid w:val="007754E1"/>
    <w:rsid w:val="00776953"/>
    <w:rsid w:val="00777394"/>
    <w:rsid w:val="00777487"/>
    <w:rsid w:val="007777A1"/>
    <w:rsid w:val="0077782C"/>
    <w:rsid w:val="00777E25"/>
    <w:rsid w:val="0078003D"/>
    <w:rsid w:val="0078132B"/>
    <w:rsid w:val="00781B3A"/>
    <w:rsid w:val="0078273E"/>
    <w:rsid w:val="00782DCD"/>
    <w:rsid w:val="00782F4E"/>
    <w:rsid w:val="00782F88"/>
    <w:rsid w:val="007842D3"/>
    <w:rsid w:val="0078471D"/>
    <w:rsid w:val="00784AAE"/>
    <w:rsid w:val="00784EC0"/>
    <w:rsid w:val="00785A03"/>
    <w:rsid w:val="00786701"/>
    <w:rsid w:val="00786A04"/>
    <w:rsid w:val="0078730F"/>
    <w:rsid w:val="0078760F"/>
    <w:rsid w:val="0079067A"/>
    <w:rsid w:val="00790AA6"/>
    <w:rsid w:val="00791070"/>
    <w:rsid w:val="007910DD"/>
    <w:rsid w:val="007913FD"/>
    <w:rsid w:val="0079148E"/>
    <w:rsid w:val="007920DE"/>
    <w:rsid w:val="00792150"/>
    <w:rsid w:val="0079221B"/>
    <w:rsid w:val="0079246F"/>
    <w:rsid w:val="007925C2"/>
    <w:rsid w:val="00792830"/>
    <w:rsid w:val="00792F12"/>
    <w:rsid w:val="00793075"/>
    <w:rsid w:val="0079484F"/>
    <w:rsid w:val="007949A4"/>
    <w:rsid w:val="00794AA8"/>
    <w:rsid w:val="00795523"/>
    <w:rsid w:val="007958F1"/>
    <w:rsid w:val="00795B1F"/>
    <w:rsid w:val="00796187"/>
    <w:rsid w:val="00796269"/>
    <w:rsid w:val="0079698A"/>
    <w:rsid w:val="00796A34"/>
    <w:rsid w:val="00796A50"/>
    <w:rsid w:val="007A01E1"/>
    <w:rsid w:val="007A0272"/>
    <w:rsid w:val="007A0720"/>
    <w:rsid w:val="007A0C09"/>
    <w:rsid w:val="007A0F0C"/>
    <w:rsid w:val="007A17A4"/>
    <w:rsid w:val="007A189F"/>
    <w:rsid w:val="007A21F2"/>
    <w:rsid w:val="007A257A"/>
    <w:rsid w:val="007A33E6"/>
    <w:rsid w:val="007A3BD3"/>
    <w:rsid w:val="007A3D90"/>
    <w:rsid w:val="007A48AE"/>
    <w:rsid w:val="007A4935"/>
    <w:rsid w:val="007A49C2"/>
    <w:rsid w:val="007A4A89"/>
    <w:rsid w:val="007A4BDD"/>
    <w:rsid w:val="007A5213"/>
    <w:rsid w:val="007A5602"/>
    <w:rsid w:val="007A58B0"/>
    <w:rsid w:val="007A60ED"/>
    <w:rsid w:val="007A615C"/>
    <w:rsid w:val="007A6D28"/>
    <w:rsid w:val="007A7966"/>
    <w:rsid w:val="007A79F8"/>
    <w:rsid w:val="007B05B3"/>
    <w:rsid w:val="007B0A28"/>
    <w:rsid w:val="007B0DC4"/>
    <w:rsid w:val="007B109E"/>
    <w:rsid w:val="007B1343"/>
    <w:rsid w:val="007B14CE"/>
    <w:rsid w:val="007B1CE2"/>
    <w:rsid w:val="007B2D36"/>
    <w:rsid w:val="007B31CA"/>
    <w:rsid w:val="007B33D7"/>
    <w:rsid w:val="007B3A6E"/>
    <w:rsid w:val="007B3A92"/>
    <w:rsid w:val="007B3B21"/>
    <w:rsid w:val="007B3DC7"/>
    <w:rsid w:val="007B3E52"/>
    <w:rsid w:val="007B4180"/>
    <w:rsid w:val="007B4F8C"/>
    <w:rsid w:val="007B5279"/>
    <w:rsid w:val="007B56CF"/>
    <w:rsid w:val="007B5D85"/>
    <w:rsid w:val="007B5E9B"/>
    <w:rsid w:val="007B6738"/>
    <w:rsid w:val="007C0802"/>
    <w:rsid w:val="007C08F8"/>
    <w:rsid w:val="007C0ED0"/>
    <w:rsid w:val="007C1425"/>
    <w:rsid w:val="007C1837"/>
    <w:rsid w:val="007C1DC5"/>
    <w:rsid w:val="007C2074"/>
    <w:rsid w:val="007C2377"/>
    <w:rsid w:val="007C293A"/>
    <w:rsid w:val="007C2D71"/>
    <w:rsid w:val="007C3091"/>
    <w:rsid w:val="007C3C92"/>
    <w:rsid w:val="007C5063"/>
    <w:rsid w:val="007C5FF5"/>
    <w:rsid w:val="007C7A0C"/>
    <w:rsid w:val="007C7D57"/>
    <w:rsid w:val="007C7FDC"/>
    <w:rsid w:val="007D01D3"/>
    <w:rsid w:val="007D02C6"/>
    <w:rsid w:val="007D0775"/>
    <w:rsid w:val="007D090E"/>
    <w:rsid w:val="007D0CC0"/>
    <w:rsid w:val="007D111C"/>
    <w:rsid w:val="007D258E"/>
    <w:rsid w:val="007D2E04"/>
    <w:rsid w:val="007D2F39"/>
    <w:rsid w:val="007D3746"/>
    <w:rsid w:val="007D412D"/>
    <w:rsid w:val="007D428D"/>
    <w:rsid w:val="007D45DB"/>
    <w:rsid w:val="007D4BA8"/>
    <w:rsid w:val="007D4BF3"/>
    <w:rsid w:val="007D537B"/>
    <w:rsid w:val="007D5A3F"/>
    <w:rsid w:val="007D5F1C"/>
    <w:rsid w:val="007D6031"/>
    <w:rsid w:val="007D6F2A"/>
    <w:rsid w:val="007D6F3F"/>
    <w:rsid w:val="007D6FC4"/>
    <w:rsid w:val="007D7E88"/>
    <w:rsid w:val="007D7F31"/>
    <w:rsid w:val="007D7F5A"/>
    <w:rsid w:val="007E0469"/>
    <w:rsid w:val="007E1522"/>
    <w:rsid w:val="007E190E"/>
    <w:rsid w:val="007E1A87"/>
    <w:rsid w:val="007E1C30"/>
    <w:rsid w:val="007E1D58"/>
    <w:rsid w:val="007E24DE"/>
    <w:rsid w:val="007E426B"/>
    <w:rsid w:val="007E527C"/>
    <w:rsid w:val="007E52AE"/>
    <w:rsid w:val="007E52D3"/>
    <w:rsid w:val="007E6CF8"/>
    <w:rsid w:val="007E6ECC"/>
    <w:rsid w:val="007E7060"/>
    <w:rsid w:val="007E7B1F"/>
    <w:rsid w:val="007F002F"/>
    <w:rsid w:val="007F05CE"/>
    <w:rsid w:val="007F0ABE"/>
    <w:rsid w:val="007F0EA2"/>
    <w:rsid w:val="007F0ED9"/>
    <w:rsid w:val="007F1D96"/>
    <w:rsid w:val="007F25A7"/>
    <w:rsid w:val="007F2645"/>
    <w:rsid w:val="007F4668"/>
    <w:rsid w:val="007F4A8B"/>
    <w:rsid w:val="007F571B"/>
    <w:rsid w:val="007F5BDA"/>
    <w:rsid w:val="007F64C7"/>
    <w:rsid w:val="007F7F48"/>
    <w:rsid w:val="00801599"/>
    <w:rsid w:val="00801E4A"/>
    <w:rsid w:val="00801FAE"/>
    <w:rsid w:val="0080293A"/>
    <w:rsid w:val="00802F03"/>
    <w:rsid w:val="008030A6"/>
    <w:rsid w:val="008031EC"/>
    <w:rsid w:val="00803493"/>
    <w:rsid w:val="008034D8"/>
    <w:rsid w:val="00804439"/>
    <w:rsid w:val="00804718"/>
    <w:rsid w:val="00805215"/>
    <w:rsid w:val="008054F0"/>
    <w:rsid w:val="00805BD3"/>
    <w:rsid w:val="008062EC"/>
    <w:rsid w:val="0080657C"/>
    <w:rsid w:val="00807A20"/>
    <w:rsid w:val="00807CEE"/>
    <w:rsid w:val="00807DB6"/>
    <w:rsid w:val="00810457"/>
    <w:rsid w:val="008109C1"/>
    <w:rsid w:val="0081109B"/>
    <w:rsid w:val="008115D4"/>
    <w:rsid w:val="008119BA"/>
    <w:rsid w:val="00811DE3"/>
    <w:rsid w:val="0081239D"/>
    <w:rsid w:val="008128EA"/>
    <w:rsid w:val="00813292"/>
    <w:rsid w:val="00813CB2"/>
    <w:rsid w:val="0081420D"/>
    <w:rsid w:val="00814A1C"/>
    <w:rsid w:val="008150A6"/>
    <w:rsid w:val="00815425"/>
    <w:rsid w:val="008155E3"/>
    <w:rsid w:val="00815767"/>
    <w:rsid w:val="00816C8C"/>
    <w:rsid w:val="00816E1E"/>
    <w:rsid w:val="008172FC"/>
    <w:rsid w:val="00817638"/>
    <w:rsid w:val="00817A06"/>
    <w:rsid w:val="00820041"/>
    <w:rsid w:val="00820198"/>
    <w:rsid w:val="00820842"/>
    <w:rsid w:val="008210A8"/>
    <w:rsid w:val="00821E4B"/>
    <w:rsid w:val="00822290"/>
    <w:rsid w:val="008228A5"/>
    <w:rsid w:val="00822B3C"/>
    <w:rsid w:val="00822B9B"/>
    <w:rsid w:val="00822E6D"/>
    <w:rsid w:val="00823ADA"/>
    <w:rsid w:val="00824FCC"/>
    <w:rsid w:val="00825568"/>
    <w:rsid w:val="008255F2"/>
    <w:rsid w:val="008261BB"/>
    <w:rsid w:val="008272B4"/>
    <w:rsid w:val="00830416"/>
    <w:rsid w:val="00830539"/>
    <w:rsid w:val="00830ED9"/>
    <w:rsid w:val="00832555"/>
    <w:rsid w:val="00832753"/>
    <w:rsid w:val="0083291C"/>
    <w:rsid w:val="00832E07"/>
    <w:rsid w:val="00832FB9"/>
    <w:rsid w:val="00833484"/>
    <w:rsid w:val="00833516"/>
    <w:rsid w:val="00834367"/>
    <w:rsid w:val="00834625"/>
    <w:rsid w:val="0083471A"/>
    <w:rsid w:val="008356EF"/>
    <w:rsid w:val="008361B7"/>
    <w:rsid w:val="008361C7"/>
    <w:rsid w:val="0083620A"/>
    <w:rsid w:val="008369A3"/>
    <w:rsid w:val="00837300"/>
    <w:rsid w:val="0083740C"/>
    <w:rsid w:val="008374E2"/>
    <w:rsid w:val="00837F65"/>
    <w:rsid w:val="008400A4"/>
    <w:rsid w:val="008410B6"/>
    <w:rsid w:val="0084176D"/>
    <w:rsid w:val="00841A91"/>
    <w:rsid w:val="00841F9D"/>
    <w:rsid w:val="008420C3"/>
    <w:rsid w:val="008421AA"/>
    <w:rsid w:val="008422A9"/>
    <w:rsid w:val="0084296B"/>
    <w:rsid w:val="008438FE"/>
    <w:rsid w:val="008454FE"/>
    <w:rsid w:val="00845B33"/>
    <w:rsid w:val="00845DE5"/>
    <w:rsid w:val="00846407"/>
    <w:rsid w:val="00847899"/>
    <w:rsid w:val="008478CE"/>
    <w:rsid w:val="00847C2B"/>
    <w:rsid w:val="00847E57"/>
    <w:rsid w:val="00847E7D"/>
    <w:rsid w:val="00847F14"/>
    <w:rsid w:val="00847F8F"/>
    <w:rsid w:val="00850096"/>
    <w:rsid w:val="00850653"/>
    <w:rsid w:val="00850673"/>
    <w:rsid w:val="008506FF"/>
    <w:rsid w:val="00850ABB"/>
    <w:rsid w:val="00850CF7"/>
    <w:rsid w:val="00853494"/>
    <w:rsid w:val="0085384C"/>
    <w:rsid w:val="008538ED"/>
    <w:rsid w:val="00854558"/>
    <w:rsid w:val="00854B58"/>
    <w:rsid w:val="00854C9B"/>
    <w:rsid w:val="0085583B"/>
    <w:rsid w:val="00856DBB"/>
    <w:rsid w:val="00856F28"/>
    <w:rsid w:val="00857E85"/>
    <w:rsid w:val="00860C96"/>
    <w:rsid w:val="00860E75"/>
    <w:rsid w:val="00860FF6"/>
    <w:rsid w:val="0086103A"/>
    <w:rsid w:val="008617EA"/>
    <w:rsid w:val="00861F27"/>
    <w:rsid w:val="00862031"/>
    <w:rsid w:val="0086208D"/>
    <w:rsid w:val="0086233F"/>
    <w:rsid w:val="00862502"/>
    <w:rsid w:val="00862676"/>
    <w:rsid w:val="008629E3"/>
    <w:rsid w:val="00862CE3"/>
    <w:rsid w:val="00862DC4"/>
    <w:rsid w:val="00862F21"/>
    <w:rsid w:val="00864321"/>
    <w:rsid w:val="008644C6"/>
    <w:rsid w:val="00865A32"/>
    <w:rsid w:val="00865DC8"/>
    <w:rsid w:val="008665E5"/>
    <w:rsid w:val="00866D3A"/>
    <w:rsid w:val="008677A1"/>
    <w:rsid w:val="008701E1"/>
    <w:rsid w:val="008709D2"/>
    <w:rsid w:val="00870A1C"/>
    <w:rsid w:val="00870A48"/>
    <w:rsid w:val="00870ACD"/>
    <w:rsid w:val="00870CAC"/>
    <w:rsid w:val="00870D58"/>
    <w:rsid w:val="008712A0"/>
    <w:rsid w:val="0087149D"/>
    <w:rsid w:val="00871713"/>
    <w:rsid w:val="008717D4"/>
    <w:rsid w:val="0087183B"/>
    <w:rsid w:val="00871DB0"/>
    <w:rsid w:val="00872621"/>
    <w:rsid w:val="008727AA"/>
    <w:rsid w:val="008729DD"/>
    <w:rsid w:val="00873250"/>
    <w:rsid w:val="00873488"/>
    <w:rsid w:val="00873597"/>
    <w:rsid w:val="00873825"/>
    <w:rsid w:val="008738A8"/>
    <w:rsid w:val="008739EF"/>
    <w:rsid w:val="00873ADE"/>
    <w:rsid w:val="0087519C"/>
    <w:rsid w:val="00875304"/>
    <w:rsid w:val="00876900"/>
    <w:rsid w:val="00876AA0"/>
    <w:rsid w:val="00876CB9"/>
    <w:rsid w:val="00876F9A"/>
    <w:rsid w:val="008774F3"/>
    <w:rsid w:val="00877C17"/>
    <w:rsid w:val="00880007"/>
    <w:rsid w:val="00880288"/>
    <w:rsid w:val="00881824"/>
    <w:rsid w:val="00881ACD"/>
    <w:rsid w:val="0088206F"/>
    <w:rsid w:val="00883673"/>
    <w:rsid w:val="008839E5"/>
    <w:rsid w:val="00883C78"/>
    <w:rsid w:val="00883F37"/>
    <w:rsid w:val="008842A6"/>
    <w:rsid w:val="00884B32"/>
    <w:rsid w:val="00884C43"/>
    <w:rsid w:val="00885307"/>
    <w:rsid w:val="00885319"/>
    <w:rsid w:val="00886070"/>
    <w:rsid w:val="008863EE"/>
    <w:rsid w:val="0088673C"/>
    <w:rsid w:val="00886A36"/>
    <w:rsid w:val="0088752B"/>
    <w:rsid w:val="0088761A"/>
    <w:rsid w:val="00887A05"/>
    <w:rsid w:val="00890851"/>
    <w:rsid w:val="00890A9E"/>
    <w:rsid w:val="00891A64"/>
    <w:rsid w:val="00892576"/>
    <w:rsid w:val="0089343A"/>
    <w:rsid w:val="00894601"/>
    <w:rsid w:val="00894B6C"/>
    <w:rsid w:val="00894CC3"/>
    <w:rsid w:val="00894CD3"/>
    <w:rsid w:val="00895655"/>
    <w:rsid w:val="0089585F"/>
    <w:rsid w:val="00895D49"/>
    <w:rsid w:val="00895EEB"/>
    <w:rsid w:val="00895F53"/>
    <w:rsid w:val="008968BC"/>
    <w:rsid w:val="0089699B"/>
    <w:rsid w:val="00897016"/>
    <w:rsid w:val="00897373"/>
    <w:rsid w:val="00897B1F"/>
    <w:rsid w:val="00897BCA"/>
    <w:rsid w:val="008A02D4"/>
    <w:rsid w:val="008A2166"/>
    <w:rsid w:val="008A31F6"/>
    <w:rsid w:val="008A362A"/>
    <w:rsid w:val="008A4654"/>
    <w:rsid w:val="008A4769"/>
    <w:rsid w:val="008A4FD3"/>
    <w:rsid w:val="008A6491"/>
    <w:rsid w:val="008A654F"/>
    <w:rsid w:val="008A6657"/>
    <w:rsid w:val="008A6708"/>
    <w:rsid w:val="008A72BB"/>
    <w:rsid w:val="008A7CF1"/>
    <w:rsid w:val="008B0002"/>
    <w:rsid w:val="008B0674"/>
    <w:rsid w:val="008B09B8"/>
    <w:rsid w:val="008B0B60"/>
    <w:rsid w:val="008B0CFF"/>
    <w:rsid w:val="008B1811"/>
    <w:rsid w:val="008B1AD0"/>
    <w:rsid w:val="008B1AF4"/>
    <w:rsid w:val="008B20C2"/>
    <w:rsid w:val="008B254C"/>
    <w:rsid w:val="008B2B20"/>
    <w:rsid w:val="008B2FFC"/>
    <w:rsid w:val="008B333C"/>
    <w:rsid w:val="008B38D7"/>
    <w:rsid w:val="008B3934"/>
    <w:rsid w:val="008B3A36"/>
    <w:rsid w:val="008B3C1E"/>
    <w:rsid w:val="008B3CD2"/>
    <w:rsid w:val="008B3D41"/>
    <w:rsid w:val="008B3FC3"/>
    <w:rsid w:val="008B4836"/>
    <w:rsid w:val="008B5C6E"/>
    <w:rsid w:val="008B5F25"/>
    <w:rsid w:val="008B6589"/>
    <w:rsid w:val="008B67E7"/>
    <w:rsid w:val="008B70A8"/>
    <w:rsid w:val="008B748C"/>
    <w:rsid w:val="008B75E1"/>
    <w:rsid w:val="008B7612"/>
    <w:rsid w:val="008B7660"/>
    <w:rsid w:val="008B7BEE"/>
    <w:rsid w:val="008B7CFC"/>
    <w:rsid w:val="008C011F"/>
    <w:rsid w:val="008C01D6"/>
    <w:rsid w:val="008C02D0"/>
    <w:rsid w:val="008C0805"/>
    <w:rsid w:val="008C096C"/>
    <w:rsid w:val="008C0B6E"/>
    <w:rsid w:val="008C10DB"/>
    <w:rsid w:val="008C1C71"/>
    <w:rsid w:val="008C1C75"/>
    <w:rsid w:val="008C1CAA"/>
    <w:rsid w:val="008C23DA"/>
    <w:rsid w:val="008C242A"/>
    <w:rsid w:val="008C26F4"/>
    <w:rsid w:val="008C2823"/>
    <w:rsid w:val="008C2B2E"/>
    <w:rsid w:val="008C3539"/>
    <w:rsid w:val="008C4888"/>
    <w:rsid w:val="008C49B9"/>
    <w:rsid w:val="008C49D5"/>
    <w:rsid w:val="008C52B2"/>
    <w:rsid w:val="008C53F8"/>
    <w:rsid w:val="008C5ACD"/>
    <w:rsid w:val="008C624A"/>
    <w:rsid w:val="008C6F94"/>
    <w:rsid w:val="008C759F"/>
    <w:rsid w:val="008C75BD"/>
    <w:rsid w:val="008C7B84"/>
    <w:rsid w:val="008D079F"/>
    <w:rsid w:val="008D08A6"/>
    <w:rsid w:val="008D12A2"/>
    <w:rsid w:val="008D14BB"/>
    <w:rsid w:val="008D1DB1"/>
    <w:rsid w:val="008D1DF0"/>
    <w:rsid w:val="008D1F6D"/>
    <w:rsid w:val="008D25AA"/>
    <w:rsid w:val="008D2A9E"/>
    <w:rsid w:val="008D2DE2"/>
    <w:rsid w:val="008D2E0D"/>
    <w:rsid w:val="008D2EA0"/>
    <w:rsid w:val="008D2FF2"/>
    <w:rsid w:val="008D3163"/>
    <w:rsid w:val="008D3892"/>
    <w:rsid w:val="008D39AA"/>
    <w:rsid w:val="008D477A"/>
    <w:rsid w:val="008D4BAD"/>
    <w:rsid w:val="008D4BD6"/>
    <w:rsid w:val="008D5118"/>
    <w:rsid w:val="008D51F8"/>
    <w:rsid w:val="008D55F9"/>
    <w:rsid w:val="008D5682"/>
    <w:rsid w:val="008D5C56"/>
    <w:rsid w:val="008D5F25"/>
    <w:rsid w:val="008D60B1"/>
    <w:rsid w:val="008D60C9"/>
    <w:rsid w:val="008D6175"/>
    <w:rsid w:val="008D6759"/>
    <w:rsid w:val="008D6A9C"/>
    <w:rsid w:val="008E003D"/>
    <w:rsid w:val="008E0D56"/>
    <w:rsid w:val="008E0D62"/>
    <w:rsid w:val="008E0DA5"/>
    <w:rsid w:val="008E1A92"/>
    <w:rsid w:val="008E2760"/>
    <w:rsid w:val="008E2B2F"/>
    <w:rsid w:val="008E348C"/>
    <w:rsid w:val="008E4C11"/>
    <w:rsid w:val="008E4DFF"/>
    <w:rsid w:val="008E549E"/>
    <w:rsid w:val="008E54D0"/>
    <w:rsid w:val="008E5C63"/>
    <w:rsid w:val="008E5E0E"/>
    <w:rsid w:val="008E5E23"/>
    <w:rsid w:val="008E67C0"/>
    <w:rsid w:val="008E7B7A"/>
    <w:rsid w:val="008E7F9F"/>
    <w:rsid w:val="008F09FE"/>
    <w:rsid w:val="008F0E38"/>
    <w:rsid w:val="008F1046"/>
    <w:rsid w:val="008F18B3"/>
    <w:rsid w:val="008F1E40"/>
    <w:rsid w:val="008F1FDB"/>
    <w:rsid w:val="008F281A"/>
    <w:rsid w:val="008F2D03"/>
    <w:rsid w:val="008F2DC7"/>
    <w:rsid w:val="008F2E83"/>
    <w:rsid w:val="008F2E84"/>
    <w:rsid w:val="008F3B13"/>
    <w:rsid w:val="008F4572"/>
    <w:rsid w:val="008F483E"/>
    <w:rsid w:val="008F497B"/>
    <w:rsid w:val="008F498B"/>
    <w:rsid w:val="008F5890"/>
    <w:rsid w:val="008F5B59"/>
    <w:rsid w:val="008F6525"/>
    <w:rsid w:val="008F65B9"/>
    <w:rsid w:val="008F6B54"/>
    <w:rsid w:val="008F6E2E"/>
    <w:rsid w:val="008F6E9D"/>
    <w:rsid w:val="008F711C"/>
    <w:rsid w:val="008F73C4"/>
    <w:rsid w:val="008F751B"/>
    <w:rsid w:val="008F77F6"/>
    <w:rsid w:val="008F78FC"/>
    <w:rsid w:val="008F7D56"/>
    <w:rsid w:val="009001F6"/>
    <w:rsid w:val="00900639"/>
    <w:rsid w:val="00900817"/>
    <w:rsid w:val="00900C12"/>
    <w:rsid w:val="00901538"/>
    <w:rsid w:val="00901EDF"/>
    <w:rsid w:val="00902119"/>
    <w:rsid w:val="00902759"/>
    <w:rsid w:val="00903BB9"/>
    <w:rsid w:val="00903CAE"/>
    <w:rsid w:val="00903DE1"/>
    <w:rsid w:val="00903E92"/>
    <w:rsid w:val="00903E9C"/>
    <w:rsid w:val="0090408C"/>
    <w:rsid w:val="0090418D"/>
    <w:rsid w:val="009046AC"/>
    <w:rsid w:val="00904B02"/>
    <w:rsid w:val="00904BBF"/>
    <w:rsid w:val="009050B9"/>
    <w:rsid w:val="00905752"/>
    <w:rsid w:val="00905EC8"/>
    <w:rsid w:val="00906288"/>
    <w:rsid w:val="00906C21"/>
    <w:rsid w:val="00906E14"/>
    <w:rsid w:val="00907085"/>
    <w:rsid w:val="009074B9"/>
    <w:rsid w:val="009076FD"/>
    <w:rsid w:val="009078C5"/>
    <w:rsid w:val="00907D63"/>
    <w:rsid w:val="00910C39"/>
    <w:rsid w:val="00910C5E"/>
    <w:rsid w:val="0091113E"/>
    <w:rsid w:val="009113A9"/>
    <w:rsid w:val="00911E99"/>
    <w:rsid w:val="00912027"/>
    <w:rsid w:val="009128E8"/>
    <w:rsid w:val="00913B24"/>
    <w:rsid w:val="00913BAB"/>
    <w:rsid w:val="009151F3"/>
    <w:rsid w:val="009155F1"/>
    <w:rsid w:val="00916AC8"/>
    <w:rsid w:val="00916F45"/>
    <w:rsid w:val="009172E7"/>
    <w:rsid w:val="00917EA6"/>
    <w:rsid w:val="00920088"/>
    <w:rsid w:val="00920962"/>
    <w:rsid w:val="00920A27"/>
    <w:rsid w:val="00921582"/>
    <w:rsid w:val="0092192C"/>
    <w:rsid w:val="0092262A"/>
    <w:rsid w:val="009232AB"/>
    <w:rsid w:val="00923D81"/>
    <w:rsid w:val="00924A8B"/>
    <w:rsid w:val="00924D77"/>
    <w:rsid w:val="009258D3"/>
    <w:rsid w:val="00925C99"/>
    <w:rsid w:val="00925CCB"/>
    <w:rsid w:val="009263F6"/>
    <w:rsid w:val="0092697D"/>
    <w:rsid w:val="00927157"/>
    <w:rsid w:val="0092717C"/>
    <w:rsid w:val="0092726F"/>
    <w:rsid w:val="00927320"/>
    <w:rsid w:val="009300C8"/>
    <w:rsid w:val="009308F0"/>
    <w:rsid w:val="00931140"/>
    <w:rsid w:val="00931E01"/>
    <w:rsid w:val="0093251D"/>
    <w:rsid w:val="00932889"/>
    <w:rsid w:val="00932DE0"/>
    <w:rsid w:val="009331F2"/>
    <w:rsid w:val="0093367B"/>
    <w:rsid w:val="00934356"/>
    <w:rsid w:val="00935117"/>
    <w:rsid w:val="00935B52"/>
    <w:rsid w:val="009360C3"/>
    <w:rsid w:val="00936A00"/>
    <w:rsid w:val="00936C94"/>
    <w:rsid w:val="0093785E"/>
    <w:rsid w:val="00937862"/>
    <w:rsid w:val="00937CD8"/>
    <w:rsid w:val="00937DFB"/>
    <w:rsid w:val="009402A0"/>
    <w:rsid w:val="009405C4"/>
    <w:rsid w:val="0094185B"/>
    <w:rsid w:val="00941D69"/>
    <w:rsid w:val="0094215D"/>
    <w:rsid w:val="00942481"/>
    <w:rsid w:val="00942640"/>
    <w:rsid w:val="00942C49"/>
    <w:rsid w:val="00942C54"/>
    <w:rsid w:val="00942F9A"/>
    <w:rsid w:val="0094304A"/>
    <w:rsid w:val="00943CE7"/>
    <w:rsid w:val="00944059"/>
    <w:rsid w:val="00944597"/>
    <w:rsid w:val="00944936"/>
    <w:rsid w:val="00944AA7"/>
    <w:rsid w:val="009459EC"/>
    <w:rsid w:val="00946AD7"/>
    <w:rsid w:val="009473FF"/>
    <w:rsid w:val="00947506"/>
    <w:rsid w:val="009475B3"/>
    <w:rsid w:val="009479F3"/>
    <w:rsid w:val="00947C30"/>
    <w:rsid w:val="00947F91"/>
    <w:rsid w:val="00947FCD"/>
    <w:rsid w:val="00950359"/>
    <w:rsid w:val="0095045E"/>
    <w:rsid w:val="00951941"/>
    <w:rsid w:val="0095199F"/>
    <w:rsid w:val="00952D7C"/>
    <w:rsid w:val="009537CE"/>
    <w:rsid w:val="009540CA"/>
    <w:rsid w:val="009540D9"/>
    <w:rsid w:val="009546F6"/>
    <w:rsid w:val="00954A4E"/>
    <w:rsid w:val="009550D3"/>
    <w:rsid w:val="00955BC8"/>
    <w:rsid w:val="009569C9"/>
    <w:rsid w:val="00956ABB"/>
    <w:rsid w:val="00956BA1"/>
    <w:rsid w:val="00956C27"/>
    <w:rsid w:val="00956EBC"/>
    <w:rsid w:val="00957332"/>
    <w:rsid w:val="00960C7D"/>
    <w:rsid w:val="00960D70"/>
    <w:rsid w:val="00961356"/>
    <w:rsid w:val="00961B8D"/>
    <w:rsid w:val="009620AF"/>
    <w:rsid w:val="0096254B"/>
    <w:rsid w:val="00962C9F"/>
    <w:rsid w:val="00962E43"/>
    <w:rsid w:val="00962FB7"/>
    <w:rsid w:val="0096305B"/>
    <w:rsid w:val="00963CDB"/>
    <w:rsid w:val="00963DA9"/>
    <w:rsid w:val="0096455D"/>
    <w:rsid w:val="00964725"/>
    <w:rsid w:val="00964C48"/>
    <w:rsid w:val="00964E6C"/>
    <w:rsid w:val="00964F55"/>
    <w:rsid w:val="00964FF6"/>
    <w:rsid w:val="009651CF"/>
    <w:rsid w:val="00965298"/>
    <w:rsid w:val="00965859"/>
    <w:rsid w:val="00965CBF"/>
    <w:rsid w:val="00966271"/>
    <w:rsid w:val="00967A15"/>
    <w:rsid w:val="00971098"/>
    <w:rsid w:val="009718EF"/>
    <w:rsid w:val="00972622"/>
    <w:rsid w:val="009728E5"/>
    <w:rsid w:val="00972A05"/>
    <w:rsid w:val="00973560"/>
    <w:rsid w:val="0097372C"/>
    <w:rsid w:val="00973FD4"/>
    <w:rsid w:val="00974220"/>
    <w:rsid w:val="00974447"/>
    <w:rsid w:val="00974AF2"/>
    <w:rsid w:val="00974DAE"/>
    <w:rsid w:val="0097500D"/>
    <w:rsid w:val="00975CC8"/>
    <w:rsid w:val="00976098"/>
    <w:rsid w:val="009769C6"/>
    <w:rsid w:val="00977827"/>
    <w:rsid w:val="00977E03"/>
    <w:rsid w:val="00977F47"/>
    <w:rsid w:val="009804DA"/>
    <w:rsid w:val="00980757"/>
    <w:rsid w:val="0098088D"/>
    <w:rsid w:val="00980FD2"/>
    <w:rsid w:val="00982693"/>
    <w:rsid w:val="00982A7F"/>
    <w:rsid w:val="009834ED"/>
    <w:rsid w:val="00983797"/>
    <w:rsid w:val="009837EF"/>
    <w:rsid w:val="00984BDC"/>
    <w:rsid w:val="00984DEF"/>
    <w:rsid w:val="009852B9"/>
    <w:rsid w:val="00985491"/>
    <w:rsid w:val="00985627"/>
    <w:rsid w:val="009857E0"/>
    <w:rsid w:val="00985EC9"/>
    <w:rsid w:val="00986439"/>
    <w:rsid w:val="009867FD"/>
    <w:rsid w:val="00987858"/>
    <w:rsid w:val="00987A1D"/>
    <w:rsid w:val="00990A3E"/>
    <w:rsid w:val="0099110A"/>
    <w:rsid w:val="009918E1"/>
    <w:rsid w:val="009918FB"/>
    <w:rsid w:val="00991CE2"/>
    <w:rsid w:val="009929EF"/>
    <w:rsid w:val="009930B7"/>
    <w:rsid w:val="00993643"/>
    <w:rsid w:val="00994503"/>
    <w:rsid w:val="00994CC3"/>
    <w:rsid w:val="00994E63"/>
    <w:rsid w:val="009956DB"/>
    <w:rsid w:val="009969FA"/>
    <w:rsid w:val="009A0497"/>
    <w:rsid w:val="009A1142"/>
    <w:rsid w:val="009A123E"/>
    <w:rsid w:val="009A1A9A"/>
    <w:rsid w:val="009A1F71"/>
    <w:rsid w:val="009A2AC9"/>
    <w:rsid w:val="009A2D21"/>
    <w:rsid w:val="009A38EC"/>
    <w:rsid w:val="009A3B2B"/>
    <w:rsid w:val="009A4B6A"/>
    <w:rsid w:val="009A533C"/>
    <w:rsid w:val="009A556F"/>
    <w:rsid w:val="009A5AFD"/>
    <w:rsid w:val="009A5F7F"/>
    <w:rsid w:val="009A6752"/>
    <w:rsid w:val="009A6791"/>
    <w:rsid w:val="009A6CB8"/>
    <w:rsid w:val="009A7309"/>
    <w:rsid w:val="009B03D4"/>
    <w:rsid w:val="009B1004"/>
    <w:rsid w:val="009B1427"/>
    <w:rsid w:val="009B157C"/>
    <w:rsid w:val="009B1962"/>
    <w:rsid w:val="009B2293"/>
    <w:rsid w:val="009B2902"/>
    <w:rsid w:val="009B29ED"/>
    <w:rsid w:val="009B2A8D"/>
    <w:rsid w:val="009B33F5"/>
    <w:rsid w:val="009B36BF"/>
    <w:rsid w:val="009B4299"/>
    <w:rsid w:val="009B43A1"/>
    <w:rsid w:val="009B5872"/>
    <w:rsid w:val="009B5A80"/>
    <w:rsid w:val="009B6430"/>
    <w:rsid w:val="009B66EF"/>
    <w:rsid w:val="009B671B"/>
    <w:rsid w:val="009B6ACF"/>
    <w:rsid w:val="009B6B48"/>
    <w:rsid w:val="009B6B60"/>
    <w:rsid w:val="009B7123"/>
    <w:rsid w:val="009B7608"/>
    <w:rsid w:val="009B780E"/>
    <w:rsid w:val="009C08A3"/>
    <w:rsid w:val="009C0CEB"/>
    <w:rsid w:val="009C1CD4"/>
    <w:rsid w:val="009C3E19"/>
    <w:rsid w:val="009C4C6E"/>
    <w:rsid w:val="009C563A"/>
    <w:rsid w:val="009C5F41"/>
    <w:rsid w:val="009C6485"/>
    <w:rsid w:val="009C65BF"/>
    <w:rsid w:val="009C74B5"/>
    <w:rsid w:val="009C7761"/>
    <w:rsid w:val="009C7BD2"/>
    <w:rsid w:val="009D0BC6"/>
    <w:rsid w:val="009D0E47"/>
    <w:rsid w:val="009D0EB2"/>
    <w:rsid w:val="009D1D9C"/>
    <w:rsid w:val="009D1E6D"/>
    <w:rsid w:val="009D1F1C"/>
    <w:rsid w:val="009D2073"/>
    <w:rsid w:val="009D27D1"/>
    <w:rsid w:val="009D2902"/>
    <w:rsid w:val="009D32E5"/>
    <w:rsid w:val="009D37D0"/>
    <w:rsid w:val="009D3AEC"/>
    <w:rsid w:val="009D4899"/>
    <w:rsid w:val="009D5908"/>
    <w:rsid w:val="009D59D8"/>
    <w:rsid w:val="009D6048"/>
    <w:rsid w:val="009D6599"/>
    <w:rsid w:val="009D7413"/>
    <w:rsid w:val="009D7957"/>
    <w:rsid w:val="009D7A9C"/>
    <w:rsid w:val="009D7CE6"/>
    <w:rsid w:val="009E008F"/>
    <w:rsid w:val="009E0870"/>
    <w:rsid w:val="009E11C7"/>
    <w:rsid w:val="009E1E21"/>
    <w:rsid w:val="009E262C"/>
    <w:rsid w:val="009E3075"/>
    <w:rsid w:val="009E308B"/>
    <w:rsid w:val="009E3B03"/>
    <w:rsid w:val="009E4083"/>
    <w:rsid w:val="009E43E1"/>
    <w:rsid w:val="009E45EE"/>
    <w:rsid w:val="009E46BA"/>
    <w:rsid w:val="009E57E5"/>
    <w:rsid w:val="009E5844"/>
    <w:rsid w:val="009E5B33"/>
    <w:rsid w:val="009E6430"/>
    <w:rsid w:val="009E720C"/>
    <w:rsid w:val="009E738D"/>
    <w:rsid w:val="009E771F"/>
    <w:rsid w:val="009E7BC4"/>
    <w:rsid w:val="009F034C"/>
    <w:rsid w:val="009F0A98"/>
    <w:rsid w:val="009F0F0D"/>
    <w:rsid w:val="009F166D"/>
    <w:rsid w:val="009F266D"/>
    <w:rsid w:val="009F2A1F"/>
    <w:rsid w:val="009F3A86"/>
    <w:rsid w:val="009F3B4A"/>
    <w:rsid w:val="009F40E2"/>
    <w:rsid w:val="009F48BD"/>
    <w:rsid w:val="009F4F5B"/>
    <w:rsid w:val="009F50E0"/>
    <w:rsid w:val="009F56A0"/>
    <w:rsid w:val="009F5EA3"/>
    <w:rsid w:val="009F6692"/>
    <w:rsid w:val="009F6B42"/>
    <w:rsid w:val="009F7EA2"/>
    <w:rsid w:val="00A003AB"/>
    <w:rsid w:val="00A00D88"/>
    <w:rsid w:val="00A00F82"/>
    <w:rsid w:val="00A01818"/>
    <w:rsid w:val="00A0187E"/>
    <w:rsid w:val="00A0238E"/>
    <w:rsid w:val="00A02AB8"/>
    <w:rsid w:val="00A02FDA"/>
    <w:rsid w:val="00A033F3"/>
    <w:rsid w:val="00A03D87"/>
    <w:rsid w:val="00A03F80"/>
    <w:rsid w:val="00A0444F"/>
    <w:rsid w:val="00A04862"/>
    <w:rsid w:val="00A04888"/>
    <w:rsid w:val="00A05393"/>
    <w:rsid w:val="00A055BA"/>
    <w:rsid w:val="00A05924"/>
    <w:rsid w:val="00A05A31"/>
    <w:rsid w:val="00A06A27"/>
    <w:rsid w:val="00A06CF8"/>
    <w:rsid w:val="00A07467"/>
    <w:rsid w:val="00A0779B"/>
    <w:rsid w:val="00A107D1"/>
    <w:rsid w:val="00A113CC"/>
    <w:rsid w:val="00A11AE4"/>
    <w:rsid w:val="00A122F1"/>
    <w:rsid w:val="00A12337"/>
    <w:rsid w:val="00A127AE"/>
    <w:rsid w:val="00A12D89"/>
    <w:rsid w:val="00A1527C"/>
    <w:rsid w:val="00A178B2"/>
    <w:rsid w:val="00A20487"/>
    <w:rsid w:val="00A20CF1"/>
    <w:rsid w:val="00A212FC"/>
    <w:rsid w:val="00A2176B"/>
    <w:rsid w:val="00A21C3A"/>
    <w:rsid w:val="00A21E13"/>
    <w:rsid w:val="00A22274"/>
    <w:rsid w:val="00A223AF"/>
    <w:rsid w:val="00A2267C"/>
    <w:rsid w:val="00A2296E"/>
    <w:rsid w:val="00A22C43"/>
    <w:rsid w:val="00A22EF2"/>
    <w:rsid w:val="00A23419"/>
    <w:rsid w:val="00A248D7"/>
    <w:rsid w:val="00A24D36"/>
    <w:rsid w:val="00A26C8B"/>
    <w:rsid w:val="00A26CED"/>
    <w:rsid w:val="00A274C3"/>
    <w:rsid w:val="00A3139B"/>
    <w:rsid w:val="00A31DA5"/>
    <w:rsid w:val="00A32793"/>
    <w:rsid w:val="00A337FD"/>
    <w:rsid w:val="00A33CC1"/>
    <w:rsid w:val="00A35082"/>
    <w:rsid w:val="00A35B9F"/>
    <w:rsid w:val="00A36332"/>
    <w:rsid w:val="00A376D1"/>
    <w:rsid w:val="00A37747"/>
    <w:rsid w:val="00A3775F"/>
    <w:rsid w:val="00A379A5"/>
    <w:rsid w:val="00A4097F"/>
    <w:rsid w:val="00A412A4"/>
    <w:rsid w:val="00A41AC7"/>
    <w:rsid w:val="00A41F1A"/>
    <w:rsid w:val="00A4257A"/>
    <w:rsid w:val="00A42A7E"/>
    <w:rsid w:val="00A433C8"/>
    <w:rsid w:val="00A43F54"/>
    <w:rsid w:val="00A44441"/>
    <w:rsid w:val="00A44E29"/>
    <w:rsid w:val="00A45151"/>
    <w:rsid w:val="00A452D2"/>
    <w:rsid w:val="00A45447"/>
    <w:rsid w:val="00A45607"/>
    <w:rsid w:val="00A45752"/>
    <w:rsid w:val="00A45E96"/>
    <w:rsid w:val="00A461C5"/>
    <w:rsid w:val="00A46BA8"/>
    <w:rsid w:val="00A4718D"/>
    <w:rsid w:val="00A477BC"/>
    <w:rsid w:val="00A47DE2"/>
    <w:rsid w:val="00A500DB"/>
    <w:rsid w:val="00A50355"/>
    <w:rsid w:val="00A50CD6"/>
    <w:rsid w:val="00A50EA0"/>
    <w:rsid w:val="00A51B51"/>
    <w:rsid w:val="00A52215"/>
    <w:rsid w:val="00A52AF2"/>
    <w:rsid w:val="00A530FB"/>
    <w:rsid w:val="00A54026"/>
    <w:rsid w:val="00A54031"/>
    <w:rsid w:val="00A5425E"/>
    <w:rsid w:val="00A54607"/>
    <w:rsid w:val="00A551F0"/>
    <w:rsid w:val="00A55678"/>
    <w:rsid w:val="00A55814"/>
    <w:rsid w:val="00A566F7"/>
    <w:rsid w:val="00A56BA5"/>
    <w:rsid w:val="00A57733"/>
    <w:rsid w:val="00A57D12"/>
    <w:rsid w:val="00A60284"/>
    <w:rsid w:val="00A60788"/>
    <w:rsid w:val="00A624D4"/>
    <w:rsid w:val="00A62554"/>
    <w:rsid w:val="00A62DDB"/>
    <w:rsid w:val="00A63211"/>
    <w:rsid w:val="00A63795"/>
    <w:rsid w:val="00A63817"/>
    <w:rsid w:val="00A649E8"/>
    <w:rsid w:val="00A64DFC"/>
    <w:rsid w:val="00A64E67"/>
    <w:rsid w:val="00A653F3"/>
    <w:rsid w:val="00A6565D"/>
    <w:rsid w:val="00A65708"/>
    <w:rsid w:val="00A661B7"/>
    <w:rsid w:val="00A675F7"/>
    <w:rsid w:val="00A6761F"/>
    <w:rsid w:val="00A67AF0"/>
    <w:rsid w:val="00A67B22"/>
    <w:rsid w:val="00A67BB6"/>
    <w:rsid w:val="00A67F88"/>
    <w:rsid w:val="00A702BA"/>
    <w:rsid w:val="00A704BD"/>
    <w:rsid w:val="00A71559"/>
    <w:rsid w:val="00A72370"/>
    <w:rsid w:val="00A73CE6"/>
    <w:rsid w:val="00A73E4F"/>
    <w:rsid w:val="00A73E5D"/>
    <w:rsid w:val="00A73F4E"/>
    <w:rsid w:val="00A74233"/>
    <w:rsid w:val="00A74FE2"/>
    <w:rsid w:val="00A757DB"/>
    <w:rsid w:val="00A758B2"/>
    <w:rsid w:val="00A75DAF"/>
    <w:rsid w:val="00A80271"/>
    <w:rsid w:val="00A8030D"/>
    <w:rsid w:val="00A80316"/>
    <w:rsid w:val="00A806EF"/>
    <w:rsid w:val="00A80DCD"/>
    <w:rsid w:val="00A8109F"/>
    <w:rsid w:val="00A810C1"/>
    <w:rsid w:val="00A824D7"/>
    <w:rsid w:val="00A8286F"/>
    <w:rsid w:val="00A82D00"/>
    <w:rsid w:val="00A8360B"/>
    <w:rsid w:val="00A83CA5"/>
    <w:rsid w:val="00A83D14"/>
    <w:rsid w:val="00A849F3"/>
    <w:rsid w:val="00A84A65"/>
    <w:rsid w:val="00A84ABD"/>
    <w:rsid w:val="00A84AD9"/>
    <w:rsid w:val="00A857D9"/>
    <w:rsid w:val="00A86678"/>
    <w:rsid w:val="00A86EC3"/>
    <w:rsid w:val="00A87A1E"/>
    <w:rsid w:val="00A905A1"/>
    <w:rsid w:val="00A90857"/>
    <w:rsid w:val="00A90A64"/>
    <w:rsid w:val="00A90C59"/>
    <w:rsid w:val="00A90CFF"/>
    <w:rsid w:val="00A90F8D"/>
    <w:rsid w:val="00A91448"/>
    <w:rsid w:val="00A92245"/>
    <w:rsid w:val="00A922E1"/>
    <w:rsid w:val="00A93A78"/>
    <w:rsid w:val="00A94548"/>
    <w:rsid w:val="00A9499B"/>
    <w:rsid w:val="00A94C63"/>
    <w:rsid w:val="00A94CD8"/>
    <w:rsid w:val="00A95616"/>
    <w:rsid w:val="00A95848"/>
    <w:rsid w:val="00A95BCF"/>
    <w:rsid w:val="00A97D24"/>
    <w:rsid w:val="00AA0D01"/>
    <w:rsid w:val="00AA15A8"/>
    <w:rsid w:val="00AA1BFC"/>
    <w:rsid w:val="00AA21A0"/>
    <w:rsid w:val="00AA25A1"/>
    <w:rsid w:val="00AA2B6A"/>
    <w:rsid w:val="00AA371D"/>
    <w:rsid w:val="00AA3760"/>
    <w:rsid w:val="00AA386F"/>
    <w:rsid w:val="00AA49C5"/>
    <w:rsid w:val="00AA4B70"/>
    <w:rsid w:val="00AA4F4A"/>
    <w:rsid w:val="00AA65D2"/>
    <w:rsid w:val="00AA69D3"/>
    <w:rsid w:val="00AA6EC2"/>
    <w:rsid w:val="00AA7756"/>
    <w:rsid w:val="00AA7B65"/>
    <w:rsid w:val="00AB04EB"/>
    <w:rsid w:val="00AB0661"/>
    <w:rsid w:val="00AB071C"/>
    <w:rsid w:val="00AB1454"/>
    <w:rsid w:val="00AB1A4D"/>
    <w:rsid w:val="00AB20FF"/>
    <w:rsid w:val="00AB2495"/>
    <w:rsid w:val="00AB2960"/>
    <w:rsid w:val="00AB2A12"/>
    <w:rsid w:val="00AB2D4C"/>
    <w:rsid w:val="00AB331C"/>
    <w:rsid w:val="00AB3C2E"/>
    <w:rsid w:val="00AB4647"/>
    <w:rsid w:val="00AB4818"/>
    <w:rsid w:val="00AB50F6"/>
    <w:rsid w:val="00AB574B"/>
    <w:rsid w:val="00AB6DF3"/>
    <w:rsid w:val="00AB759A"/>
    <w:rsid w:val="00AB79EC"/>
    <w:rsid w:val="00AC0042"/>
    <w:rsid w:val="00AC06AD"/>
    <w:rsid w:val="00AC0A67"/>
    <w:rsid w:val="00AC0C8A"/>
    <w:rsid w:val="00AC0D7A"/>
    <w:rsid w:val="00AC116F"/>
    <w:rsid w:val="00AC1183"/>
    <w:rsid w:val="00AC1611"/>
    <w:rsid w:val="00AC1849"/>
    <w:rsid w:val="00AC1B70"/>
    <w:rsid w:val="00AC1DB2"/>
    <w:rsid w:val="00AC23DD"/>
    <w:rsid w:val="00AC29AD"/>
    <w:rsid w:val="00AC4221"/>
    <w:rsid w:val="00AC4436"/>
    <w:rsid w:val="00AC474E"/>
    <w:rsid w:val="00AC4A05"/>
    <w:rsid w:val="00AC4ED6"/>
    <w:rsid w:val="00AC5127"/>
    <w:rsid w:val="00AC5F1C"/>
    <w:rsid w:val="00AC6D37"/>
    <w:rsid w:val="00AC6D7C"/>
    <w:rsid w:val="00AC725E"/>
    <w:rsid w:val="00AC758F"/>
    <w:rsid w:val="00AC7CEA"/>
    <w:rsid w:val="00AD00ED"/>
    <w:rsid w:val="00AD01BB"/>
    <w:rsid w:val="00AD02B4"/>
    <w:rsid w:val="00AD064D"/>
    <w:rsid w:val="00AD16DF"/>
    <w:rsid w:val="00AD179C"/>
    <w:rsid w:val="00AD1E24"/>
    <w:rsid w:val="00AD1FC9"/>
    <w:rsid w:val="00AD2601"/>
    <w:rsid w:val="00AD26B2"/>
    <w:rsid w:val="00AD2716"/>
    <w:rsid w:val="00AD2DB6"/>
    <w:rsid w:val="00AD3337"/>
    <w:rsid w:val="00AD3457"/>
    <w:rsid w:val="00AD349A"/>
    <w:rsid w:val="00AD3880"/>
    <w:rsid w:val="00AD3AA3"/>
    <w:rsid w:val="00AD4CDC"/>
    <w:rsid w:val="00AD51A5"/>
    <w:rsid w:val="00AD5512"/>
    <w:rsid w:val="00AD5C7A"/>
    <w:rsid w:val="00AD6203"/>
    <w:rsid w:val="00AD640D"/>
    <w:rsid w:val="00AD6A76"/>
    <w:rsid w:val="00AD6B21"/>
    <w:rsid w:val="00AD6B26"/>
    <w:rsid w:val="00AD6B49"/>
    <w:rsid w:val="00AD6D7F"/>
    <w:rsid w:val="00AD6E6D"/>
    <w:rsid w:val="00AD6F02"/>
    <w:rsid w:val="00AD7362"/>
    <w:rsid w:val="00AD772B"/>
    <w:rsid w:val="00AE012F"/>
    <w:rsid w:val="00AE03EF"/>
    <w:rsid w:val="00AE0DA4"/>
    <w:rsid w:val="00AE0DAF"/>
    <w:rsid w:val="00AE12C0"/>
    <w:rsid w:val="00AE12D7"/>
    <w:rsid w:val="00AE1412"/>
    <w:rsid w:val="00AE1961"/>
    <w:rsid w:val="00AE1C61"/>
    <w:rsid w:val="00AE1E77"/>
    <w:rsid w:val="00AE1F4B"/>
    <w:rsid w:val="00AE21FE"/>
    <w:rsid w:val="00AE2731"/>
    <w:rsid w:val="00AE2753"/>
    <w:rsid w:val="00AE311C"/>
    <w:rsid w:val="00AE32FC"/>
    <w:rsid w:val="00AE379C"/>
    <w:rsid w:val="00AE3926"/>
    <w:rsid w:val="00AE3D28"/>
    <w:rsid w:val="00AE46AA"/>
    <w:rsid w:val="00AE4782"/>
    <w:rsid w:val="00AE51A7"/>
    <w:rsid w:val="00AE6061"/>
    <w:rsid w:val="00AE623C"/>
    <w:rsid w:val="00AE6AA0"/>
    <w:rsid w:val="00AE71D4"/>
    <w:rsid w:val="00AE7A14"/>
    <w:rsid w:val="00AE7CC2"/>
    <w:rsid w:val="00AE7F1D"/>
    <w:rsid w:val="00AF0388"/>
    <w:rsid w:val="00AF05EF"/>
    <w:rsid w:val="00AF0863"/>
    <w:rsid w:val="00AF0961"/>
    <w:rsid w:val="00AF14B0"/>
    <w:rsid w:val="00AF2289"/>
    <w:rsid w:val="00AF2298"/>
    <w:rsid w:val="00AF29BB"/>
    <w:rsid w:val="00AF2B88"/>
    <w:rsid w:val="00AF4266"/>
    <w:rsid w:val="00AF47E6"/>
    <w:rsid w:val="00AF5575"/>
    <w:rsid w:val="00AF57D3"/>
    <w:rsid w:val="00AF5F2E"/>
    <w:rsid w:val="00AF6056"/>
    <w:rsid w:val="00AF63A9"/>
    <w:rsid w:val="00AF66B4"/>
    <w:rsid w:val="00AF6868"/>
    <w:rsid w:val="00AF71CF"/>
    <w:rsid w:val="00AF739D"/>
    <w:rsid w:val="00AF7476"/>
    <w:rsid w:val="00B00194"/>
    <w:rsid w:val="00B006A9"/>
    <w:rsid w:val="00B00EC6"/>
    <w:rsid w:val="00B01623"/>
    <w:rsid w:val="00B01ECE"/>
    <w:rsid w:val="00B02139"/>
    <w:rsid w:val="00B02AAF"/>
    <w:rsid w:val="00B02DD1"/>
    <w:rsid w:val="00B0606C"/>
    <w:rsid w:val="00B06148"/>
    <w:rsid w:val="00B06587"/>
    <w:rsid w:val="00B068F2"/>
    <w:rsid w:val="00B06DCE"/>
    <w:rsid w:val="00B06F4B"/>
    <w:rsid w:val="00B1045B"/>
    <w:rsid w:val="00B10759"/>
    <w:rsid w:val="00B1087E"/>
    <w:rsid w:val="00B10AD2"/>
    <w:rsid w:val="00B10D5A"/>
    <w:rsid w:val="00B11129"/>
    <w:rsid w:val="00B11B9E"/>
    <w:rsid w:val="00B12551"/>
    <w:rsid w:val="00B12922"/>
    <w:rsid w:val="00B130A9"/>
    <w:rsid w:val="00B13310"/>
    <w:rsid w:val="00B139CD"/>
    <w:rsid w:val="00B141D2"/>
    <w:rsid w:val="00B14EA7"/>
    <w:rsid w:val="00B154EA"/>
    <w:rsid w:val="00B156D7"/>
    <w:rsid w:val="00B15BAC"/>
    <w:rsid w:val="00B15D5D"/>
    <w:rsid w:val="00B16720"/>
    <w:rsid w:val="00B170FF"/>
    <w:rsid w:val="00B20739"/>
    <w:rsid w:val="00B20969"/>
    <w:rsid w:val="00B20A2C"/>
    <w:rsid w:val="00B20CF0"/>
    <w:rsid w:val="00B20E31"/>
    <w:rsid w:val="00B20EA2"/>
    <w:rsid w:val="00B2109F"/>
    <w:rsid w:val="00B21800"/>
    <w:rsid w:val="00B218EB"/>
    <w:rsid w:val="00B221F7"/>
    <w:rsid w:val="00B22390"/>
    <w:rsid w:val="00B2258D"/>
    <w:rsid w:val="00B225B0"/>
    <w:rsid w:val="00B229DE"/>
    <w:rsid w:val="00B22D68"/>
    <w:rsid w:val="00B235C2"/>
    <w:rsid w:val="00B23A4E"/>
    <w:rsid w:val="00B23C78"/>
    <w:rsid w:val="00B24B01"/>
    <w:rsid w:val="00B24F69"/>
    <w:rsid w:val="00B25AB8"/>
    <w:rsid w:val="00B3014E"/>
    <w:rsid w:val="00B31366"/>
    <w:rsid w:val="00B3171C"/>
    <w:rsid w:val="00B318B0"/>
    <w:rsid w:val="00B31E83"/>
    <w:rsid w:val="00B3230A"/>
    <w:rsid w:val="00B325B0"/>
    <w:rsid w:val="00B328FC"/>
    <w:rsid w:val="00B33D66"/>
    <w:rsid w:val="00B3411C"/>
    <w:rsid w:val="00B34E27"/>
    <w:rsid w:val="00B35180"/>
    <w:rsid w:val="00B3571A"/>
    <w:rsid w:val="00B35D1C"/>
    <w:rsid w:val="00B37950"/>
    <w:rsid w:val="00B37D79"/>
    <w:rsid w:val="00B4136C"/>
    <w:rsid w:val="00B4249C"/>
    <w:rsid w:val="00B4271C"/>
    <w:rsid w:val="00B42728"/>
    <w:rsid w:val="00B42A04"/>
    <w:rsid w:val="00B43453"/>
    <w:rsid w:val="00B43695"/>
    <w:rsid w:val="00B439BB"/>
    <w:rsid w:val="00B43E49"/>
    <w:rsid w:val="00B44729"/>
    <w:rsid w:val="00B450F8"/>
    <w:rsid w:val="00B45E4A"/>
    <w:rsid w:val="00B45F24"/>
    <w:rsid w:val="00B46046"/>
    <w:rsid w:val="00B4625D"/>
    <w:rsid w:val="00B46471"/>
    <w:rsid w:val="00B46DCE"/>
    <w:rsid w:val="00B470E7"/>
    <w:rsid w:val="00B47413"/>
    <w:rsid w:val="00B47571"/>
    <w:rsid w:val="00B47A0F"/>
    <w:rsid w:val="00B47B6C"/>
    <w:rsid w:val="00B47CFD"/>
    <w:rsid w:val="00B50649"/>
    <w:rsid w:val="00B506F1"/>
    <w:rsid w:val="00B50F26"/>
    <w:rsid w:val="00B50FD6"/>
    <w:rsid w:val="00B510EE"/>
    <w:rsid w:val="00B51285"/>
    <w:rsid w:val="00B51C16"/>
    <w:rsid w:val="00B51DCA"/>
    <w:rsid w:val="00B51EDA"/>
    <w:rsid w:val="00B52480"/>
    <w:rsid w:val="00B52EC0"/>
    <w:rsid w:val="00B53129"/>
    <w:rsid w:val="00B5400D"/>
    <w:rsid w:val="00B54386"/>
    <w:rsid w:val="00B549E8"/>
    <w:rsid w:val="00B557B6"/>
    <w:rsid w:val="00B55DC5"/>
    <w:rsid w:val="00B55E3F"/>
    <w:rsid w:val="00B566B8"/>
    <w:rsid w:val="00B568D4"/>
    <w:rsid w:val="00B57158"/>
    <w:rsid w:val="00B572A2"/>
    <w:rsid w:val="00B5794F"/>
    <w:rsid w:val="00B603D1"/>
    <w:rsid w:val="00B6058A"/>
    <w:rsid w:val="00B60A1E"/>
    <w:rsid w:val="00B60ADE"/>
    <w:rsid w:val="00B61595"/>
    <w:rsid w:val="00B6162A"/>
    <w:rsid w:val="00B61D80"/>
    <w:rsid w:val="00B6228F"/>
    <w:rsid w:val="00B62464"/>
    <w:rsid w:val="00B62C59"/>
    <w:rsid w:val="00B6330A"/>
    <w:rsid w:val="00B65767"/>
    <w:rsid w:val="00B657A0"/>
    <w:rsid w:val="00B65920"/>
    <w:rsid w:val="00B65DBC"/>
    <w:rsid w:val="00B65FA8"/>
    <w:rsid w:val="00B66063"/>
    <w:rsid w:val="00B66384"/>
    <w:rsid w:val="00B664D8"/>
    <w:rsid w:val="00B6735B"/>
    <w:rsid w:val="00B7014D"/>
    <w:rsid w:val="00B7017B"/>
    <w:rsid w:val="00B702C7"/>
    <w:rsid w:val="00B70577"/>
    <w:rsid w:val="00B70F44"/>
    <w:rsid w:val="00B722B5"/>
    <w:rsid w:val="00B73F2E"/>
    <w:rsid w:val="00B73FA2"/>
    <w:rsid w:val="00B74113"/>
    <w:rsid w:val="00B75686"/>
    <w:rsid w:val="00B75AA5"/>
    <w:rsid w:val="00B76B7A"/>
    <w:rsid w:val="00B77564"/>
    <w:rsid w:val="00B77777"/>
    <w:rsid w:val="00B77A5E"/>
    <w:rsid w:val="00B800D8"/>
    <w:rsid w:val="00B801CC"/>
    <w:rsid w:val="00B809CA"/>
    <w:rsid w:val="00B81D62"/>
    <w:rsid w:val="00B827C5"/>
    <w:rsid w:val="00B82CE6"/>
    <w:rsid w:val="00B82D82"/>
    <w:rsid w:val="00B83D1F"/>
    <w:rsid w:val="00B84190"/>
    <w:rsid w:val="00B84509"/>
    <w:rsid w:val="00B84970"/>
    <w:rsid w:val="00B84B17"/>
    <w:rsid w:val="00B84D76"/>
    <w:rsid w:val="00B8608A"/>
    <w:rsid w:val="00B86592"/>
    <w:rsid w:val="00B87D46"/>
    <w:rsid w:val="00B9057D"/>
    <w:rsid w:val="00B907D1"/>
    <w:rsid w:val="00B90B99"/>
    <w:rsid w:val="00B91546"/>
    <w:rsid w:val="00B919DC"/>
    <w:rsid w:val="00B91D3B"/>
    <w:rsid w:val="00B925E6"/>
    <w:rsid w:val="00B93466"/>
    <w:rsid w:val="00B94293"/>
    <w:rsid w:val="00B94701"/>
    <w:rsid w:val="00B948CE"/>
    <w:rsid w:val="00B94B1E"/>
    <w:rsid w:val="00B94E96"/>
    <w:rsid w:val="00B9551E"/>
    <w:rsid w:val="00B9650B"/>
    <w:rsid w:val="00B96B17"/>
    <w:rsid w:val="00B96B5D"/>
    <w:rsid w:val="00B96E74"/>
    <w:rsid w:val="00B9718C"/>
    <w:rsid w:val="00B97410"/>
    <w:rsid w:val="00B97B75"/>
    <w:rsid w:val="00BA0D05"/>
    <w:rsid w:val="00BA0EA6"/>
    <w:rsid w:val="00BA0EB6"/>
    <w:rsid w:val="00BA1691"/>
    <w:rsid w:val="00BA326C"/>
    <w:rsid w:val="00BA3D78"/>
    <w:rsid w:val="00BA3E56"/>
    <w:rsid w:val="00BA4203"/>
    <w:rsid w:val="00BA45E6"/>
    <w:rsid w:val="00BA4D76"/>
    <w:rsid w:val="00BA5017"/>
    <w:rsid w:val="00BA50D0"/>
    <w:rsid w:val="00BA5290"/>
    <w:rsid w:val="00BA5313"/>
    <w:rsid w:val="00BA59A9"/>
    <w:rsid w:val="00BA667F"/>
    <w:rsid w:val="00BA775F"/>
    <w:rsid w:val="00BB1709"/>
    <w:rsid w:val="00BB1C44"/>
    <w:rsid w:val="00BB249D"/>
    <w:rsid w:val="00BB29DB"/>
    <w:rsid w:val="00BB2BE5"/>
    <w:rsid w:val="00BB51CD"/>
    <w:rsid w:val="00BB5393"/>
    <w:rsid w:val="00BB59AA"/>
    <w:rsid w:val="00BB5E57"/>
    <w:rsid w:val="00BB5ECF"/>
    <w:rsid w:val="00BB683A"/>
    <w:rsid w:val="00BB6BE3"/>
    <w:rsid w:val="00BB6CF0"/>
    <w:rsid w:val="00BB76DF"/>
    <w:rsid w:val="00BB7A6C"/>
    <w:rsid w:val="00BC065D"/>
    <w:rsid w:val="00BC0B68"/>
    <w:rsid w:val="00BC0C52"/>
    <w:rsid w:val="00BC0DC7"/>
    <w:rsid w:val="00BC129F"/>
    <w:rsid w:val="00BC17BE"/>
    <w:rsid w:val="00BC19D9"/>
    <w:rsid w:val="00BC1D25"/>
    <w:rsid w:val="00BC1FBA"/>
    <w:rsid w:val="00BC23AF"/>
    <w:rsid w:val="00BC252E"/>
    <w:rsid w:val="00BC2FCC"/>
    <w:rsid w:val="00BC3188"/>
    <w:rsid w:val="00BC36D2"/>
    <w:rsid w:val="00BC3B7E"/>
    <w:rsid w:val="00BC3F63"/>
    <w:rsid w:val="00BC468A"/>
    <w:rsid w:val="00BC46AF"/>
    <w:rsid w:val="00BC49F7"/>
    <w:rsid w:val="00BC502F"/>
    <w:rsid w:val="00BC5400"/>
    <w:rsid w:val="00BC585A"/>
    <w:rsid w:val="00BC5EB7"/>
    <w:rsid w:val="00BC63D6"/>
    <w:rsid w:val="00BC64EC"/>
    <w:rsid w:val="00BC7D24"/>
    <w:rsid w:val="00BD0413"/>
    <w:rsid w:val="00BD0A75"/>
    <w:rsid w:val="00BD0C96"/>
    <w:rsid w:val="00BD188F"/>
    <w:rsid w:val="00BD19EF"/>
    <w:rsid w:val="00BD1A10"/>
    <w:rsid w:val="00BD21C7"/>
    <w:rsid w:val="00BD2538"/>
    <w:rsid w:val="00BD2E17"/>
    <w:rsid w:val="00BD3681"/>
    <w:rsid w:val="00BD427B"/>
    <w:rsid w:val="00BD441D"/>
    <w:rsid w:val="00BD45B7"/>
    <w:rsid w:val="00BD483E"/>
    <w:rsid w:val="00BD4AFF"/>
    <w:rsid w:val="00BD4EF7"/>
    <w:rsid w:val="00BD4FE2"/>
    <w:rsid w:val="00BD61AC"/>
    <w:rsid w:val="00BD6E3E"/>
    <w:rsid w:val="00BD6E65"/>
    <w:rsid w:val="00BD7989"/>
    <w:rsid w:val="00BD7B1A"/>
    <w:rsid w:val="00BE068B"/>
    <w:rsid w:val="00BE1223"/>
    <w:rsid w:val="00BE15F1"/>
    <w:rsid w:val="00BE20CA"/>
    <w:rsid w:val="00BE2174"/>
    <w:rsid w:val="00BE2470"/>
    <w:rsid w:val="00BE2ED0"/>
    <w:rsid w:val="00BE2FC2"/>
    <w:rsid w:val="00BE3370"/>
    <w:rsid w:val="00BE4286"/>
    <w:rsid w:val="00BE4558"/>
    <w:rsid w:val="00BE4622"/>
    <w:rsid w:val="00BE49CA"/>
    <w:rsid w:val="00BE4B30"/>
    <w:rsid w:val="00BE4FF6"/>
    <w:rsid w:val="00BE5FB9"/>
    <w:rsid w:val="00BE61A4"/>
    <w:rsid w:val="00BE647C"/>
    <w:rsid w:val="00BE650A"/>
    <w:rsid w:val="00BE655B"/>
    <w:rsid w:val="00BE6F1B"/>
    <w:rsid w:val="00BE70FB"/>
    <w:rsid w:val="00BE7587"/>
    <w:rsid w:val="00BE76D5"/>
    <w:rsid w:val="00BE7811"/>
    <w:rsid w:val="00BE7CC4"/>
    <w:rsid w:val="00BF019E"/>
    <w:rsid w:val="00BF0258"/>
    <w:rsid w:val="00BF033C"/>
    <w:rsid w:val="00BF0D50"/>
    <w:rsid w:val="00BF2141"/>
    <w:rsid w:val="00BF268F"/>
    <w:rsid w:val="00BF26A4"/>
    <w:rsid w:val="00BF309A"/>
    <w:rsid w:val="00BF369F"/>
    <w:rsid w:val="00BF385C"/>
    <w:rsid w:val="00BF4672"/>
    <w:rsid w:val="00BF4F49"/>
    <w:rsid w:val="00BF656A"/>
    <w:rsid w:val="00BF6B96"/>
    <w:rsid w:val="00C00312"/>
    <w:rsid w:val="00C00346"/>
    <w:rsid w:val="00C0080E"/>
    <w:rsid w:val="00C0082A"/>
    <w:rsid w:val="00C01FD0"/>
    <w:rsid w:val="00C02396"/>
    <w:rsid w:val="00C03042"/>
    <w:rsid w:val="00C0349A"/>
    <w:rsid w:val="00C03F95"/>
    <w:rsid w:val="00C04016"/>
    <w:rsid w:val="00C041C1"/>
    <w:rsid w:val="00C04208"/>
    <w:rsid w:val="00C04A7D"/>
    <w:rsid w:val="00C04B0A"/>
    <w:rsid w:val="00C04C2A"/>
    <w:rsid w:val="00C05373"/>
    <w:rsid w:val="00C05C6D"/>
    <w:rsid w:val="00C05D3E"/>
    <w:rsid w:val="00C06329"/>
    <w:rsid w:val="00C06A01"/>
    <w:rsid w:val="00C06A08"/>
    <w:rsid w:val="00C06D60"/>
    <w:rsid w:val="00C07569"/>
    <w:rsid w:val="00C079DC"/>
    <w:rsid w:val="00C07AA6"/>
    <w:rsid w:val="00C07FA6"/>
    <w:rsid w:val="00C1066F"/>
    <w:rsid w:val="00C11203"/>
    <w:rsid w:val="00C1130D"/>
    <w:rsid w:val="00C11364"/>
    <w:rsid w:val="00C1181A"/>
    <w:rsid w:val="00C1191B"/>
    <w:rsid w:val="00C120B1"/>
    <w:rsid w:val="00C120C0"/>
    <w:rsid w:val="00C1214E"/>
    <w:rsid w:val="00C121AF"/>
    <w:rsid w:val="00C13270"/>
    <w:rsid w:val="00C13AC5"/>
    <w:rsid w:val="00C13EF0"/>
    <w:rsid w:val="00C14B83"/>
    <w:rsid w:val="00C1521D"/>
    <w:rsid w:val="00C15A21"/>
    <w:rsid w:val="00C1618C"/>
    <w:rsid w:val="00C17361"/>
    <w:rsid w:val="00C17AAA"/>
    <w:rsid w:val="00C17B9B"/>
    <w:rsid w:val="00C17D86"/>
    <w:rsid w:val="00C2002C"/>
    <w:rsid w:val="00C202C8"/>
    <w:rsid w:val="00C208BD"/>
    <w:rsid w:val="00C213F8"/>
    <w:rsid w:val="00C2181B"/>
    <w:rsid w:val="00C219F1"/>
    <w:rsid w:val="00C21E0A"/>
    <w:rsid w:val="00C21F00"/>
    <w:rsid w:val="00C2206E"/>
    <w:rsid w:val="00C22803"/>
    <w:rsid w:val="00C22DC2"/>
    <w:rsid w:val="00C22EBB"/>
    <w:rsid w:val="00C235DF"/>
    <w:rsid w:val="00C23F07"/>
    <w:rsid w:val="00C24019"/>
    <w:rsid w:val="00C244A4"/>
    <w:rsid w:val="00C244B4"/>
    <w:rsid w:val="00C24765"/>
    <w:rsid w:val="00C2545A"/>
    <w:rsid w:val="00C25C71"/>
    <w:rsid w:val="00C26BA5"/>
    <w:rsid w:val="00C3008D"/>
    <w:rsid w:val="00C30465"/>
    <w:rsid w:val="00C305FD"/>
    <w:rsid w:val="00C30AB4"/>
    <w:rsid w:val="00C30C40"/>
    <w:rsid w:val="00C30D4D"/>
    <w:rsid w:val="00C31A85"/>
    <w:rsid w:val="00C31CC0"/>
    <w:rsid w:val="00C3203A"/>
    <w:rsid w:val="00C328BC"/>
    <w:rsid w:val="00C33045"/>
    <w:rsid w:val="00C33AFB"/>
    <w:rsid w:val="00C34BC9"/>
    <w:rsid w:val="00C353A7"/>
    <w:rsid w:val="00C35840"/>
    <w:rsid w:val="00C35D4E"/>
    <w:rsid w:val="00C364F8"/>
    <w:rsid w:val="00C369CA"/>
    <w:rsid w:val="00C372C7"/>
    <w:rsid w:val="00C3783C"/>
    <w:rsid w:val="00C4044F"/>
    <w:rsid w:val="00C411C3"/>
    <w:rsid w:val="00C413AC"/>
    <w:rsid w:val="00C41A41"/>
    <w:rsid w:val="00C41E67"/>
    <w:rsid w:val="00C42740"/>
    <w:rsid w:val="00C4294A"/>
    <w:rsid w:val="00C42A98"/>
    <w:rsid w:val="00C42AAB"/>
    <w:rsid w:val="00C42F79"/>
    <w:rsid w:val="00C4306B"/>
    <w:rsid w:val="00C43242"/>
    <w:rsid w:val="00C432CA"/>
    <w:rsid w:val="00C43BF7"/>
    <w:rsid w:val="00C4434F"/>
    <w:rsid w:val="00C448B4"/>
    <w:rsid w:val="00C4490D"/>
    <w:rsid w:val="00C44ECC"/>
    <w:rsid w:val="00C45162"/>
    <w:rsid w:val="00C45CDA"/>
    <w:rsid w:val="00C45F87"/>
    <w:rsid w:val="00C4648C"/>
    <w:rsid w:val="00C46C58"/>
    <w:rsid w:val="00C46EA7"/>
    <w:rsid w:val="00C506F0"/>
    <w:rsid w:val="00C509D3"/>
    <w:rsid w:val="00C50F82"/>
    <w:rsid w:val="00C51555"/>
    <w:rsid w:val="00C51817"/>
    <w:rsid w:val="00C51CFA"/>
    <w:rsid w:val="00C522A9"/>
    <w:rsid w:val="00C5275A"/>
    <w:rsid w:val="00C52EBA"/>
    <w:rsid w:val="00C549E7"/>
    <w:rsid w:val="00C557D6"/>
    <w:rsid w:val="00C55AE1"/>
    <w:rsid w:val="00C56403"/>
    <w:rsid w:val="00C5736C"/>
    <w:rsid w:val="00C57731"/>
    <w:rsid w:val="00C577ED"/>
    <w:rsid w:val="00C578A3"/>
    <w:rsid w:val="00C57FE5"/>
    <w:rsid w:val="00C60191"/>
    <w:rsid w:val="00C60599"/>
    <w:rsid w:val="00C60B97"/>
    <w:rsid w:val="00C60BBD"/>
    <w:rsid w:val="00C60E7F"/>
    <w:rsid w:val="00C60E88"/>
    <w:rsid w:val="00C60F47"/>
    <w:rsid w:val="00C6129D"/>
    <w:rsid w:val="00C62438"/>
    <w:rsid w:val="00C63A4E"/>
    <w:rsid w:val="00C63CA5"/>
    <w:rsid w:val="00C63CD2"/>
    <w:rsid w:val="00C64465"/>
    <w:rsid w:val="00C6462C"/>
    <w:rsid w:val="00C64636"/>
    <w:rsid w:val="00C64CA9"/>
    <w:rsid w:val="00C65116"/>
    <w:rsid w:val="00C65C3B"/>
    <w:rsid w:val="00C66520"/>
    <w:rsid w:val="00C6762D"/>
    <w:rsid w:val="00C67CDD"/>
    <w:rsid w:val="00C7088F"/>
    <w:rsid w:val="00C708B1"/>
    <w:rsid w:val="00C70FBA"/>
    <w:rsid w:val="00C7144C"/>
    <w:rsid w:val="00C71546"/>
    <w:rsid w:val="00C71BB6"/>
    <w:rsid w:val="00C7284A"/>
    <w:rsid w:val="00C734E1"/>
    <w:rsid w:val="00C73733"/>
    <w:rsid w:val="00C74435"/>
    <w:rsid w:val="00C74661"/>
    <w:rsid w:val="00C747A3"/>
    <w:rsid w:val="00C74FA7"/>
    <w:rsid w:val="00C75C12"/>
    <w:rsid w:val="00C76A5D"/>
    <w:rsid w:val="00C77020"/>
    <w:rsid w:val="00C770A6"/>
    <w:rsid w:val="00C779DA"/>
    <w:rsid w:val="00C77A21"/>
    <w:rsid w:val="00C77BAF"/>
    <w:rsid w:val="00C806CF"/>
    <w:rsid w:val="00C81208"/>
    <w:rsid w:val="00C81332"/>
    <w:rsid w:val="00C8155E"/>
    <w:rsid w:val="00C81FC5"/>
    <w:rsid w:val="00C82087"/>
    <w:rsid w:val="00C8263F"/>
    <w:rsid w:val="00C82C04"/>
    <w:rsid w:val="00C82C38"/>
    <w:rsid w:val="00C837FA"/>
    <w:rsid w:val="00C83A70"/>
    <w:rsid w:val="00C83BF6"/>
    <w:rsid w:val="00C84BC8"/>
    <w:rsid w:val="00C84DEA"/>
    <w:rsid w:val="00C84FEC"/>
    <w:rsid w:val="00C850F4"/>
    <w:rsid w:val="00C85455"/>
    <w:rsid w:val="00C8615B"/>
    <w:rsid w:val="00C86673"/>
    <w:rsid w:val="00C87631"/>
    <w:rsid w:val="00C876BC"/>
    <w:rsid w:val="00C8797D"/>
    <w:rsid w:val="00C901DE"/>
    <w:rsid w:val="00C902D7"/>
    <w:rsid w:val="00C9030C"/>
    <w:rsid w:val="00C9113B"/>
    <w:rsid w:val="00C914DE"/>
    <w:rsid w:val="00C92726"/>
    <w:rsid w:val="00C93C89"/>
    <w:rsid w:val="00C94463"/>
    <w:rsid w:val="00C94CD6"/>
    <w:rsid w:val="00C9537F"/>
    <w:rsid w:val="00C958FA"/>
    <w:rsid w:val="00C96388"/>
    <w:rsid w:val="00C9661C"/>
    <w:rsid w:val="00C969A3"/>
    <w:rsid w:val="00C96C91"/>
    <w:rsid w:val="00C971CD"/>
    <w:rsid w:val="00C97565"/>
    <w:rsid w:val="00CA10EB"/>
    <w:rsid w:val="00CA2FB2"/>
    <w:rsid w:val="00CA31D5"/>
    <w:rsid w:val="00CA34AD"/>
    <w:rsid w:val="00CA407F"/>
    <w:rsid w:val="00CA43A1"/>
    <w:rsid w:val="00CA45E4"/>
    <w:rsid w:val="00CA5A53"/>
    <w:rsid w:val="00CA5B78"/>
    <w:rsid w:val="00CA64C6"/>
    <w:rsid w:val="00CA6695"/>
    <w:rsid w:val="00CA70B9"/>
    <w:rsid w:val="00CA70DB"/>
    <w:rsid w:val="00CA7654"/>
    <w:rsid w:val="00CA798E"/>
    <w:rsid w:val="00CA7A87"/>
    <w:rsid w:val="00CB043D"/>
    <w:rsid w:val="00CB08C2"/>
    <w:rsid w:val="00CB0B6E"/>
    <w:rsid w:val="00CB0FEF"/>
    <w:rsid w:val="00CB1153"/>
    <w:rsid w:val="00CB16A1"/>
    <w:rsid w:val="00CB1824"/>
    <w:rsid w:val="00CB267E"/>
    <w:rsid w:val="00CB2E87"/>
    <w:rsid w:val="00CB35E8"/>
    <w:rsid w:val="00CB411C"/>
    <w:rsid w:val="00CB511B"/>
    <w:rsid w:val="00CB7288"/>
    <w:rsid w:val="00CC0158"/>
    <w:rsid w:val="00CC06F5"/>
    <w:rsid w:val="00CC0746"/>
    <w:rsid w:val="00CC0E6C"/>
    <w:rsid w:val="00CC0F98"/>
    <w:rsid w:val="00CC13AD"/>
    <w:rsid w:val="00CC1E77"/>
    <w:rsid w:val="00CC2533"/>
    <w:rsid w:val="00CC35EE"/>
    <w:rsid w:val="00CC3809"/>
    <w:rsid w:val="00CC39D7"/>
    <w:rsid w:val="00CC47F1"/>
    <w:rsid w:val="00CC4C29"/>
    <w:rsid w:val="00CC514E"/>
    <w:rsid w:val="00CC55CB"/>
    <w:rsid w:val="00CC5794"/>
    <w:rsid w:val="00CC5A92"/>
    <w:rsid w:val="00CC6C7E"/>
    <w:rsid w:val="00CC74FB"/>
    <w:rsid w:val="00CC7557"/>
    <w:rsid w:val="00CC7744"/>
    <w:rsid w:val="00CD058E"/>
    <w:rsid w:val="00CD0628"/>
    <w:rsid w:val="00CD0728"/>
    <w:rsid w:val="00CD08A5"/>
    <w:rsid w:val="00CD0946"/>
    <w:rsid w:val="00CD0D23"/>
    <w:rsid w:val="00CD12A6"/>
    <w:rsid w:val="00CD19BC"/>
    <w:rsid w:val="00CD1BEF"/>
    <w:rsid w:val="00CD2C94"/>
    <w:rsid w:val="00CD3152"/>
    <w:rsid w:val="00CD355F"/>
    <w:rsid w:val="00CD39C1"/>
    <w:rsid w:val="00CD3F58"/>
    <w:rsid w:val="00CD44C8"/>
    <w:rsid w:val="00CD488C"/>
    <w:rsid w:val="00CD6233"/>
    <w:rsid w:val="00CD739C"/>
    <w:rsid w:val="00CD75EC"/>
    <w:rsid w:val="00CD79C4"/>
    <w:rsid w:val="00CD7A69"/>
    <w:rsid w:val="00CD7C25"/>
    <w:rsid w:val="00CE002D"/>
    <w:rsid w:val="00CE04A8"/>
    <w:rsid w:val="00CE1353"/>
    <w:rsid w:val="00CE2D6B"/>
    <w:rsid w:val="00CE30A6"/>
    <w:rsid w:val="00CE30D2"/>
    <w:rsid w:val="00CE3D1E"/>
    <w:rsid w:val="00CE42A1"/>
    <w:rsid w:val="00CE45FB"/>
    <w:rsid w:val="00CE4FA6"/>
    <w:rsid w:val="00CE508E"/>
    <w:rsid w:val="00CE5348"/>
    <w:rsid w:val="00CE6738"/>
    <w:rsid w:val="00CE7C01"/>
    <w:rsid w:val="00CF0A07"/>
    <w:rsid w:val="00CF0C3D"/>
    <w:rsid w:val="00CF200B"/>
    <w:rsid w:val="00CF2024"/>
    <w:rsid w:val="00CF28B6"/>
    <w:rsid w:val="00CF39C9"/>
    <w:rsid w:val="00CF3FBF"/>
    <w:rsid w:val="00CF46CB"/>
    <w:rsid w:val="00CF4AD8"/>
    <w:rsid w:val="00CF4AF0"/>
    <w:rsid w:val="00CF4E6D"/>
    <w:rsid w:val="00CF5175"/>
    <w:rsid w:val="00CF5B6D"/>
    <w:rsid w:val="00CF60BA"/>
    <w:rsid w:val="00CF61B6"/>
    <w:rsid w:val="00CF671F"/>
    <w:rsid w:val="00CF68B4"/>
    <w:rsid w:val="00CF6C62"/>
    <w:rsid w:val="00CF7B4C"/>
    <w:rsid w:val="00CF7E5A"/>
    <w:rsid w:val="00CF7FBD"/>
    <w:rsid w:val="00D00388"/>
    <w:rsid w:val="00D00503"/>
    <w:rsid w:val="00D00846"/>
    <w:rsid w:val="00D0108C"/>
    <w:rsid w:val="00D011D1"/>
    <w:rsid w:val="00D01950"/>
    <w:rsid w:val="00D01BCD"/>
    <w:rsid w:val="00D02FB7"/>
    <w:rsid w:val="00D03318"/>
    <w:rsid w:val="00D036D7"/>
    <w:rsid w:val="00D03CDF"/>
    <w:rsid w:val="00D045AA"/>
    <w:rsid w:val="00D04919"/>
    <w:rsid w:val="00D04ADF"/>
    <w:rsid w:val="00D0527C"/>
    <w:rsid w:val="00D052B4"/>
    <w:rsid w:val="00D0644C"/>
    <w:rsid w:val="00D0691A"/>
    <w:rsid w:val="00D06EA4"/>
    <w:rsid w:val="00D07211"/>
    <w:rsid w:val="00D0788C"/>
    <w:rsid w:val="00D07E33"/>
    <w:rsid w:val="00D10076"/>
    <w:rsid w:val="00D1110E"/>
    <w:rsid w:val="00D11A15"/>
    <w:rsid w:val="00D11B97"/>
    <w:rsid w:val="00D11E0F"/>
    <w:rsid w:val="00D12169"/>
    <w:rsid w:val="00D12778"/>
    <w:rsid w:val="00D12835"/>
    <w:rsid w:val="00D13B5A"/>
    <w:rsid w:val="00D13D9E"/>
    <w:rsid w:val="00D1488F"/>
    <w:rsid w:val="00D159E5"/>
    <w:rsid w:val="00D16690"/>
    <w:rsid w:val="00D1671D"/>
    <w:rsid w:val="00D16733"/>
    <w:rsid w:val="00D20645"/>
    <w:rsid w:val="00D20D4C"/>
    <w:rsid w:val="00D20FE9"/>
    <w:rsid w:val="00D218C4"/>
    <w:rsid w:val="00D21E3A"/>
    <w:rsid w:val="00D224B1"/>
    <w:rsid w:val="00D22AA1"/>
    <w:rsid w:val="00D22AD5"/>
    <w:rsid w:val="00D238CB"/>
    <w:rsid w:val="00D239CA"/>
    <w:rsid w:val="00D23A87"/>
    <w:rsid w:val="00D23AB8"/>
    <w:rsid w:val="00D24195"/>
    <w:rsid w:val="00D243C1"/>
    <w:rsid w:val="00D2449C"/>
    <w:rsid w:val="00D24AAD"/>
    <w:rsid w:val="00D252D1"/>
    <w:rsid w:val="00D25689"/>
    <w:rsid w:val="00D25C74"/>
    <w:rsid w:val="00D25EB5"/>
    <w:rsid w:val="00D263BC"/>
    <w:rsid w:val="00D26566"/>
    <w:rsid w:val="00D26BE3"/>
    <w:rsid w:val="00D273BB"/>
    <w:rsid w:val="00D2758D"/>
    <w:rsid w:val="00D31576"/>
    <w:rsid w:val="00D3177D"/>
    <w:rsid w:val="00D31FF9"/>
    <w:rsid w:val="00D327DC"/>
    <w:rsid w:val="00D32821"/>
    <w:rsid w:val="00D329FD"/>
    <w:rsid w:val="00D32C1A"/>
    <w:rsid w:val="00D337D1"/>
    <w:rsid w:val="00D33D63"/>
    <w:rsid w:val="00D33EFF"/>
    <w:rsid w:val="00D34C89"/>
    <w:rsid w:val="00D356B1"/>
    <w:rsid w:val="00D357D2"/>
    <w:rsid w:val="00D35822"/>
    <w:rsid w:val="00D35B71"/>
    <w:rsid w:val="00D35E5E"/>
    <w:rsid w:val="00D36A4F"/>
    <w:rsid w:val="00D36B2F"/>
    <w:rsid w:val="00D37B8F"/>
    <w:rsid w:val="00D40003"/>
    <w:rsid w:val="00D406B9"/>
    <w:rsid w:val="00D40A5A"/>
    <w:rsid w:val="00D41336"/>
    <w:rsid w:val="00D41BC9"/>
    <w:rsid w:val="00D41FA2"/>
    <w:rsid w:val="00D420DA"/>
    <w:rsid w:val="00D42294"/>
    <w:rsid w:val="00D43C78"/>
    <w:rsid w:val="00D43E31"/>
    <w:rsid w:val="00D44912"/>
    <w:rsid w:val="00D44950"/>
    <w:rsid w:val="00D45AF2"/>
    <w:rsid w:val="00D45EC4"/>
    <w:rsid w:val="00D46928"/>
    <w:rsid w:val="00D46D7D"/>
    <w:rsid w:val="00D46EA7"/>
    <w:rsid w:val="00D478C9"/>
    <w:rsid w:val="00D50283"/>
    <w:rsid w:val="00D50314"/>
    <w:rsid w:val="00D5127D"/>
    <w:rsid w:val="00D51CE9"/>
    <w:rsid w:val="00D53479"/>
    <w:rsid w:val="00D54527"/>
    <w:rsid w:val="00D54E74"/>
    <w:rsid w:val="00D55334"/>
    <w:rsid w:val="00D555BF"/>
    <w:rsid w:val="00D56057"/>
    <w:rsid w:val="00D56228"/>
    <w:rsid w:val="00D5791F"/>
    <w:rsid w:val="00D57BC8"/>
    <w:rsid w:val="00D6135C"/>
    <w:rsid w:val="00D61419"/>
    <w:rsid w:val="00D61C42"/>
    <w:rsid w:val="00D62697"/>
    <w:rsid w:val="00D62ACE"/>
    <w:rsid w:val="00D62B97"/>
    <w:rsid w:val="00D62F11"/>
    <w:rsid w:val="00D635CD"/>
    <w:rsid w:val="00D637F7"/>
    <w:rsid w:val="00D64225"/>
    <w:rsid w:val="00D648A8"/>
    <w:rsid w:val="00D64BEC"/>
    <w:rsid w:val="00D65851"/>
    <w:rsid w:val="00D66060"/>
    <w:rsid w:val="00D670C8"/>
    <w:rsid w:val="00D674E3"/>
    <w:rsid w:val="00D675F9"/>
    <w:rsid w:val="00D6772B"/>
    <w:rsid w:val="00D708EE"/>
    <w:rsid w:val="00D70936"/>
    <w:rsid w:val="00D70CE8"/>
    <w:rsid w:val="00D711A9"/>
    <w:rsid w:val="00D71F7D"/>
    <w:rsid w:val="00D71F97"/>
    <w:rsid w:val="00D7239D"/>
    <w:rsid w:val="00D7300E"/>
    <w:rsid w:val="00D7328C"/>
    <w:rsid w:val="00D73421"/>
    <w:rsid w:val="00D73CAF"/>
    <w:rsid w:val="00D7450E"/>
    <w:rsid w:val="00D74A41"/>
    <w:rsid w:val="00D74F9C"/>
    <w:rsid w:val="00D76907"/>
    <w:rsid w:val="00D80137"/>
    <w:rsid w:val="00D80689"/>
    <w:rsid w:val="00D80D2E"/>
    <w:rsid w:val="00D8161A"/>
    <w:rsid w:val="00D81644"/>
    <w:rsid w:val="00D8171F"/>
    <w:rsid w:val="00D81B6B"/>
    <w:rsid w:val="00D82DAE"/>
    <w:rsid w:val="00D83A21"/>
    <w:rsid w:val="00D83FF0"/>
    <w:rsid w:val="00D84C2B"/>
    <w:rsid w:val="00D84CDD"/>
    <w:rsid w:val="00D8555E"/>
    <w:rsid w:val="00D856D8"/>
    <w:rsid w:val="00D8572B"/>
    <w:rsid w:val="00D85D6C"/>
    <w:rsid w:val="00D86870"/>
    <w:rsid w:val="00D86A29"/>
    <w:rsid w:val="00D86A56"/>
    <w:rsid w:val="00D86BC6"/>
    <w:rsid w:val="00D871A0"/>
    <w:rsid w:val="00D87249"/>
    <w:rsid w:val="00D9007A"/>
    <w:rsid w:val="00D902AC"/>
    <w:rsid w:val="00D90CD1"/>
    <w:rsid w:val="00D92889"/>
    <w:rsid w:val="00D93F51"/>
    <w:rsid w:val="00D9441D"/>
    <w:rsid w:val="00D94722"/>
    <w:rsid w:val="00D94CD0"/>
    <w:rsid w:val="00D95888"/>
    <w:rsid w:val="00D95AEB"/>
    <w:rsid w:val="00D95EF4"/>
    <w:rsid w:val="00D96CE4"/>
    <w:rsid w:val="00D97240"/>
    <w:rsid w:val="00D974A6"/>
    <w:rsid w:val="00D97F2B"/>
    <w:rsid w:val="00DA027F"/>
    <w:rsid w:val="00DA04ED"/>
    <w:rsid w:val="00DA0798"/>
    <w:rsid w:val="00DA0883"/>
    <w:rsid w:val="00DA0BD6"/>
    <w:rsid w:val="00DA166D"/>
    <w:rsid w:val="00DA259B"/>
    <w:rsid w:val="00DA2B9B"/>
    <w:rsid w:val="00DA2EC8"/>
    <w:rsid w:val="00DA35CD"/>
    <w:rsid w:val="00DA38FC"/>
    <w:rsid w:val="00DA3BD2"/>
    <w:rsid w:val="00DA4C11"/>
    <w:rsid w:val="00DA5016"/>
    <w:rsid w:val="00DA5DBE"/>
    <w:rsid w:val="00DA5F69"/>
    <w:rsid w:val="00DA664C"/>
    <w:rsid w:val="00DA68D0"/>
    <w:rsid w:val="00DA6B1E"/>
    <w:rsid w:val="00DA6BAD"/>
    <w:rsid w:val="00DA6F58"/>
    <w:rsid w:val="00DA791C"/>
    <w:rsid w:val="00DB0B46"/>
    <w:rsid w:val="00DB1233"/>
    <w:rsid w:val="00DB16DE"/>
    <w:rsid w:val="00DB17A2"/>
    <w:rsid w:val="00DB1D74"/>
    <w:rsid w:val="00DB25E4"/>
    <w:rsid w:val="00DB2C4C"/>
    <w:rsid w:val="00DB30A7"/>
    <w:rsid w:val="00DB33FF"/>
    <w:rsid w:val="00DB36C2"/>
    <w:rsid w:val="00DB45EC"/>
    <w:rsid w:val="00DB4917"/>
    <w:rsid w:val="00DB4FB3"/>
    <w:rsid w:val="00DB5F07"/>
    <w:rsid w:val="00DB6294"/>
    <w:rsid w:val="00DB6524"/>
    <w:rsid w:val="00DB6D0F"/>
    <w:rsid w:val="00DC0123"/>
    <w:rsid w:val="00DC075B"/>
    <w:rsid w:val="00DC14F0"/>
    <w:rsid w:val="00DC1512"/>
    <w:rsid w:val="00DC1788"/>
    <w:rsid w:val="00DC1831"/>
    <w:rsid w:val="00DC1945"/>
    <w:rsid w:val="00DC212A"/>
    <w:rsid w:val="00DC33AC"/>
    <w:rsid w:val="00DC35F8"/>
    <w:rsid w:val="00DC371E"/>
    <w:rsid w:val="00DC4784"/>
    <w:rsid w:val="00DC4DBE"/>
    <w:rsid w:val="00DC5F70"/>
    <w:rsid w:val="00DC60ED"/>
    <w:rsid w:val="00DC68C9"/>
    <w:rsid w:val="00DC7C7D"/>
    <w:rsid w:val="00DD0712"/>
    <w:rsid w:val="00DD127C"/>
    <w:rsid w:val="00DD1878"/>
    <w:rsid w:val="00DD1B1B"/>
    <w:rsid w:val="00DD1D16"/>
    <w:rsid w:val="00DD251C"/>
    <w:rsid w:val="00DD267C"/>
    <w:rsid w:val="00DD2A0F"/>
    <w:rsid w:val="00DD32DC"/>
    <w:rsid w:val="00DD563B"/>
    <w:rsid w:val="00DD57CF"/>
    <w:rsid w:val="00DD617D"/>
    <w:rsid w:val="00DD68E7"/>
    <w:rsid w:val="00DD6E40"/>
    <w:rsid w:val="00DD7A6A"/>
    <w:rsid w:val="00DE04E0"/>
    <w:rsid w:val="00DE06E0"/>
    <w:rsid w:val="00DE0D99"/>
    <w:rsid w:val="00DE1013"/>
    <w:rsid w:val="00DE1350"/>
    <w:rsid w:val="00DE1ABB"/>
    <w:rsid w:val="00DE2141"/>
    <w:rsid w:val="00DE361A"/>
    <w:rsid w:val="00DE3A54"/>
    <w:rsid w:val="00DE4047"/>
    <w:rsid w:val="00DE441B"/>
    <w:rsid w:val="00DE55FF"/>
    <w:rsid w:val="00DE5F6F"/>
    <w:rsid w:val="00DE6149"/>
    <w:rsid w:val="00DE6225"/>
    <w:rsid w:val="00DE6613"/>
    <w:rsid w:val="00DE6E68"/>
    <w:rsid w:val="00DE78B8"/>
    <w:rsid w:val="00DE7B47"/>
    <w:rsid w:val="00DE7D1F"/>
    <w:rsid w:val="00DE7F03"/>
    <w:rsid w:val="00DF03D8"/>
    <w:rsid w:val="00DF0E2D"/>
    <w:rsid w:val="00DF1162"/>
    <w:rsid w:val="00DF2675"/>
    <w:rsid w:val="00DF2D48"/>
    <w:rsid w:val="00DF2D8C"/>
    <w:rsid w:val="00DF2F4B"/>
    <w:rsid w:val="00DF351B"/>
    <w:rsid w:val="00DF41B7"/>
    <w:rsid w:val="00DF4F26"/>
    <w:rsid w:val="00DF5013"/>
    <w:rsid w:val="00DF5274"/>
    <w:rsid w:val="00DF546A"/>
    <w:rsid w:val="00DF5F2C"/>
    <w:rsid w:val="00DF71A3"/>
    <w:rsid w:val="00DF7524"/>
    <w:rsid w:val="00DF7966"/>
    <w:rsid w:val="00E00448"/>
    <w:rsid w:val="00E00B23"/>
    <w:rsid w:val="00E00C9F"/>
    <w:rsid w:val="00E0117D"/>
    <w:rsid w:val="00E01525"/>
    <w:rsid w:val="00E01AEA"/>
    <w:rsid w:val="00E01B90"/>
    <w:rsid w:val="00E01C62"/>
    <w:rsid w:val="00E023D5"/>
    <w:rsid w:val="00E0241D"/>
    <w:rsid w:val="00E0310F"/>
    <w:rsid w:val="00E03125"/>
    <w:rsid w:val="00E039AA"/>
    <w:rsid w:val="00E044E4"/>
    <w:rsid w:val="00E04D95"/>
    <w:rsid w:val="00E04E67"/>
    <w:rsid w:val="00E06179"/>
    <w:rsid w:val="00E06B86"/>
    <w:rsid w:val="00E06D84"/>
    <w:rsid w:val="00E0769B"/>
    <w:rsid w:val="00E07816"/>
    <w:rsid w:val="00E079CD"/>
    <w:rsid w:val="00E108C0"/>
    <w:rsid w:val="00E10B5C"/>
    <w:rsid w:val="00E10C90"/>
    <w:rsid w:val="00E11760"/>
    <w:rsid w:val="00E119E8"/>
    <w:rsid w:val="00E11E77"/>
    <w:rsid w:val="00E12245"/>
    <w:rsid w:val="00E12973"/>
    <w:rsid w:val="00E12DCA"/>
    <w:rsid w:val="00E13423"/>
    <w:rsid w:val="00E1371A"/>
    <w:rsid w:val="00E141EC"/>
    <w:rsid w:val="00E14792"/>
    <w:rsid w:val="00E14B38"/>
    <w:rsid w:val="00E14DAE"/>
    <w:rsid w:val="00E155FA"/>
    <w:rsid w:val="00E156D0"/>
    <w:rsid w:val="00E162DE"/>
    <w:rsid w:val="00E162FE"/>
    <w:rsid w:val="00E16600"/>
    <w:rsid w:val="00E169CD"/>
    <w:rsid w:val="00E16F42"/>
    <w:rsid w:val="00E16FC7"/>
    <w:rsid w:val="00E17566"/>
    <w:rsid w:val="00E177BF"/>
    <w:rsid w:val="00E205A2"/>
    <w:rsid w:val="00E217A2"/>
    <w:rsid w:val="00E21A4B"/>
    <w:rsid w:val="00E2221E"/>
    <w:rsid w:val="00E22582"/>
    <w:rsid w:val="00E2269F"/>
    <w:rsid w:val="00E22851"/>
    <w:rsid w:val="00E228DE"/>
    <w:rsid w:val="00E23208"/>
    <w:rsid w:val="00E24758"/>
    <w:rsid w:val="00E254E9"/>
    <w:rsid w:val="00E2642C"/>
    <w:rsid w:val="00E2663F"/>
    <w:rsid w:val="00E2714E"/>
    <w:rsid w:val="00E27311"/>
    <w:rsid w:val="00E2763D"/>
    <w:rsid w:val="00E27FA9"/>
    <w:rsid w:val="00E30714"/>
    <w:rsid w:val="00E3071D"/>
    <w:rsid w:val="00E30C0B"/>
    <w:rsid w:val="00E32232"/>
    <w:rsid w:val="00E32535"/>
    <w:rsid w:val="00E3374A"/>
    <w:rsid w:val="00E345DB"/>
    <w:rsid w:val="00E34A28"/>
    <w:rsid w:val="00E34B24"/>
    <w:rsid w:val="00E3545D"/>
    <w:rsid w:val="00E3574A"/>
    <w:rsid w:val="00E35A46"/>
    <w:rsid w:val="00E35CCD"/>
    <w:rsid w:val="00E35E57"/>
    <w:rsid w:val="00E3677C"/>
    <w:rsid w:val="00E378C7"/>
    <w:rsid w:val="00E40533"/>
    <w:rsid w:val="00E405B8"/>
    <w:rsid w:val="00E42283"/>
    <w:rsid w:val="00E423F0"/>
    <w:rsid w:val="00E431F8"/>
    <w:rsid w:val="00E435D8"/>
    <w:rsid w:val="00E43B46"/>
    <w:rsid w:val="00E4448D"/>
    <w:rsid w:val="00E4479B"/>
    <w:rsid w:val="00E45487"/>
    <w:rsid w:val="00E46F96"/>
    <w:rsid w:val="00E46F9E"/>
    <w:rsid w:val="00E475AC"/>
    <w:rsid w:val="00E479DD"/>
    <w:rsid w:val="00E47B6A"/>
    <w:rsid w:val="00E47DD7"/>
    <w:rsid w:val="00E47FE3"/>
    <w:rsid w:val="00E50699"/>
    <w:rsid w:val="00E50D28"/>
    <w:rsid w:val="00E512CF"/>
    <w:rsid w:val="00E51807"/>
    <w:rsid w:val="00E51C03"/>
    <w:rsid w:val="00E52237"/>
    <w:rsid w:val="00E52268"/>
    <w:rsid w:val="00E52A6E"/>
    <w:rsid w:val="00E52CCF"/>
    <w:rsid w:val="00E531C5"/>
    <w:rsid w:val="00E534FF"/>
    <w:rsid w:val="00E53642"/>
    <w:rsid w:val="00E53896"/>
    <w:rsid w:val="00E538F5"/>
    <w:rsid w:val="00E53A39"/>
    <w:rsid w:val="00E54299"/>
    <w:rsid w:val="00E55277"/>
    <w:rsid w:val="00E5597A"/>
    <w:rsid w:val="00E55ABB"/>
    <w:rsid w:val="00E55CDC"/>
    <w:rsid w:val="00E5686D"/>
    <w:rsid w:val="00E56BB1"/>
    <w:rsid w:val="00E56E2A"/>
    <w:rsid w:val="00E5795F"/>
    <w:rsid w:val="00E57C86"/>
    <w:rsid w:val="00E6038C"/>
    <w:rsid w:val="00E60932"/>
    <w:rsid w:val="00E60BCA"/>
    <w:rsid w:val="00E622B5"/>
    <w:rsid w:val="00E62D70"/>
    <w:rsid w:val="00E62FEA"/>
    <w:rsid w:val="00E63786"/>
    <w:rsid w:val="00E64602"/>
    <w:rsid w:val="00E647C8"/>
    <w:rsid w:val="00E64FCC"/>
    <w:rsid w:val="00E650CF"/>
    <w:rsid w:val="00E659E5"/>
    <w:rsid w:val="00E6655E"/>
    <w:rsid w:val="00E665F2"/>
    <w:rsid w:val="00E673D9"/>
    <w:rsid w:val="00E67B60"/>
    <w:rsid w:val="00E67D90"/>
    <w:rsid w:val="00E7117E"/>
    <w:rsid w:val="00E719A8"/>
    <w:rsid w:val="00E71CE9"/>
    <w:rsid w:val="00E72931"/>
    <w:rsid w:val="00E74C2B"/>
    <w:rsid w:val="00E74DC5"/>
    <w:rsid w:val="00E74F67"/>
    <w:rsid w:val="00E75380"/>
    <w:rsid w:val="00E75815"/>
    <w:rsid w:val="00E75D16"/>
    <w:rsid w:val="00E7665D"/>
    <w:rsid w:val="00E766DF"/>
    <w:rsid w:val="00E77167"/>
    <w:rsid w:val="00E77FD6"/>
    <w:rsid w:val="00E801BE"/>
    <w:rsid w:val="00E80514"/>
    <w:rsid w:val="00E8172C"/>
    <w:rsid w:val="00E81F35"/>
    <w:rsid w:val="00E82628"/>
    <w:rsid w:val="00E82A1F"/>
    <w:rsid w:val="00E82A56"/>
    <w:rsid w:val="00E82B1A"/>
    <w:rsid w:val="00E833AE"/>
    <w:rsid w:val="00E83C28"/>
    <w:rsid w:val="00E83D8A"/>
    <w:rsid w:val="00E844D5"/>
    <w:rsid w:val="00E84991"/>
    <w:rsid w:val="00E86AB7"/>
    <w:rsid w:val="00E86D2E"/>
    <w:rsid w:val="00E87C90"/>
    <w:rsid w:val="00E90104"/>
    <w:rsid w:val="00E90731"/>
    <w:rsid w:val="00E9209E"/>
    <w:rsid w:val="00E925F5"/>
    <w:rsid w:val="00E927FD"/>
    <w:rsid w:val="00E9285A"/>
    <w:rsid w:val="00E9304E"/>
    <w:rsid w:val="00E938E5"/>
    <w:rsid w:val="00E93C0D"/>
    <w:rsid w:val="00E940C4"/>
    <w:rsid w:val="00E94CBB"/>
    <w:rsid w:val="00E95A84"/>
    <w:rsid w:val="00E96B27"/>
    <w:rsid w:val="00E96CB5"/>
    <w:rsid w:val="00E971EF"/>
    <w:rsid w:val="00E9789E"/>
    <w:rsid w:val="00E97BF4"/>
    <w:rsid w:val="00EA000E"/>
    <w:rsid w:val="00EA068B"/>
    <w:rsid w:val="00EA0B74"/>
    <w:rsid w:val="00EA10D6"/>
    <w:rsid w:val="00EA171E"/>
    <w:rsid w:val="00EA1CAF"/>
    <w:rsid w:val="00EA1D66"/>
    <w:rsid w:val="00EA1F7A"/>
    <w:rsid w:val="00EA2A88"/>
    <w:rsid w:val="00EA2EC1"/>
    <w:rsid w:val="00EA2FC4"/>
    <w:rsid w:val="00EA3798"/>
    <w:rsid w:val="00EA388E"/>
    <w:rsid w:val="00EA3E1D"/>
    <w:rsid w:val="00EA471A"/>
    <w:rsid w:val="00EA47EF"/>
    <w:rsid w:val="00EA50DA"/>
    <w:rsid w:val="00EA588E"/>
    <w:rsid w:val="00EA5E1E"/>
    <w:rsid w:val="00EA5F13"/>
    <w:rsid w:val="00EA6FC0"/>
    <w:rsid w:val="00EA73C3"/>
    <w:rsid w:val="00EA74AB"/>
    <w:rsid w:val="00EA78FF"/>
    <w:rsid w:val="00EB002B"/>
    <w:rsid w:val="00EB00CB"/>
    <w:rsid w:val="00EB094A"/>
    <w:rsid w:val="00EB10FF"/>
    <w:rsid w:val="00EB11D1"/>
    <w:rsid w:val="00EB1238"/>
    <w:rsid w:val="00EB279B"/>
    <w:rsid w:val="00EB29F3"/>
    <w:rsid w:val="00EB2CA5"/>
    <w:rsid w:val="00EB37B3"/>
    <w:rsid w:val="00EB43FD"/>
    <w:rsid w:val="00EB44BE"/>
    <w:rsid w:val="00EB4682"/>
    <w:rsid w:val="00EB477D"/>
    <w:rsid w:val="00EB47F7"/>
    <w:rsid w:val="00EB48AA"/>
    <w:rsid w:val="00EB49FF"/>
    <w:rsid w:val="00EB5477"/>
    <w:rsid w:val="00EB5AD1"/>
    <w:rsid w:val="00EB5ECB"/>
    <w:rsid w:val="00EB5F61"/>
    <w:rsid w:val="00EB69C4"/>
    <w:rsid w:val="00EB7FCF"/>
    <w:rsid w:val="00EC0470"/>
    <w:rsid w:val="00EC0C42"/>
    <w:rsid w:val="00EC1317"/>
    <w:rsid w:val="00EC16F5"/>
    <w:rsid w:val="00EC28E5"/>
    <w:rsid w:val="00EC3190"/>
    <w:rsid w:val="00EC360C"/>
    <w:rsid w:val="00EC45DF"/>
    <w:rsid w:val="00EC513B"/>
    <w:rsid w:val="00EC5A30"/>
    <w:rsid w:val="00EC5E89"/>
    <w:rsid w:val="00EC6093"/>
    <w:rsid w:val="00EC6350"/>
    <w:rsid w:val="00EC6534"/>
    <w:rsid w:val="00EC6B93"/>
    <w:rsid w:val="00EC6F90"/>
    <w:rsid w:val="00EC741D"/>
    <w:rsid w:val="00ED07CF"/>
    <w:rsid w:val="00ED134A"/>
    <w:rsid w:val="00ED1B59"/>
    <w:rsid w:val="00ED2B4D"/>
    <w:rsid w:val="00ED3089"/>
    <w:rsid w:val="00ED3602"/>
    <w:rsid w:val="00ED3AEC"/>
    <w:rsid w:val="00ED4162"/>
    <w:rsid w:val="00ED4935"/>
    <w:rsid w:val="00ED4A80"/>
    <w:rsid w:val="00ED5D3F"/>
    <w:rsid w:val="00ED65D1"/>
    <w:rsid w:val="00ED66EB"/>
    <w:rsid w:val="00ED7E03"/>
    <w:rsid w:val="00EE0868"/>
    <w:rsid w:val="00EE09BE"/>
    <w:rsid w:val="00EE12DB"/>
    <w:rsid w:val="00EE1372"/>
    <w:rsid w:val="00EE1BFF"/>
    <w:rsid w:val="00EE1E4C"/>
    <w:rsid w:val="00EE1F4D"/>
    <w:rsid w:val="00EE1F4E"/>
    <w:rsid w:val="00EE2F65"/>
    <w:rsid w:val="00EE3C2B"/>
    <w:rsid w:val="00EE40EF"/>
    <w:rsid w:val="00EE4BE1"/>
    <w:rsid w:val="00EE4D5F"/>
    <w:rsid w:val="00EE5D9E"/>
    <w:rsid w:val="00EE5F9D"/>
    <w:rsid w:val="00EE6394"/>
    <w:rsid w:val="00EE7394"/>
    <w:rsid w:val="00EE7FE8"/>
    <w:rsid w:val="00EF0258"/>
    <w:rsid w:val="00EF0AB4"/>
    <w:rsid w:val="00EF0ADA"/>
    <w:rsid w:val="00EF0B62"/>
    <w:rsid w:val="00EF0F29"/>
    <w:rsid w:val="00EF1989"/>
    <w:rsid w:val="00EF1C22"/>
    <w:rsid w:val="00EF2B98"/>
    <w:rsid w:val="00EF3125"/>
    <w:rsid w:val="00EF3A40"/>
    <w:rsid w:val="00EF3CA9"/>
    <w:rsid w:val="00EF468B"/>
    <w:rsid w:val="00EF486F"/>
    <w:rsid w:val="00EF4B18"/>
    <w:rsid w:val="00EF5051"/>
    <w:rsid w:val="00EF5429"/>
    <w:rsid w:val="00EF5743"/>
    <w:rsid w:val="00EF7A51"/>
    <w:rsid w:val="00F00F41"/>
    <w:rsid w:val="00F011D8"/>
    <w:rsid w:val="00F017C1"/>
    <w:rsid w:val="00F01AF0"/>
    <w:rsid w:val="00F025E4"/>
    <w:rsid w:val="00F02857"/>
    <w:rsid w:val="00F02FF3"/>
    <w:rsid w:val="00F03424"/>
    <w:rsid w:val="00F04034"/>
    <w:rsid w:val="00F0449E"/>
    <w:rsid w:val="00F045BD"/>
    <w:rsid w:val="00F04CDD"/>
    <w:rsid w:val="00F051D0"/>
    <w:rsid w:val="00F0606D"/>
    <w:rsid w:val="00F06858"/>
    <w:rsid w:val="00F06972"/>
    <w:rsid w:val="00F069BB"/>
    <w:rsid w:val="00F06A27"/>
    <w:rsid w:val="00F071A7"/>
    <w:rsid w:val="00F07638"/>
    <w:rsid w:val="00F0778D"/>
    <w:rsid w:val="00F077D3"/>
    <w:rsid w:val="00F07A09"/>
    <w:rsid w:val="00F07D0D"/>
    <w:rsid w:val="00F07E0C"/>
    <w:rsid w:val="00F1082F"/>
    <w:rsid w:val="00F10868"/>
    <w:rsid w:val="00F10D44"/>
    <w:rsid w:val="00F1126A"/>
    <w:rsid w:val="00F1169D"/>
    <w:rsid w:val="00F11E29"/>
    <w:rsid w:val="00F12835"/>
    <w:rsid w:val="00F12A5C"/>
    <w:rsid w:val="00F1328C"/>
    <w:rsid w:val="00F132F1"/>
    <w:rsid w:val="00F137CB"/>
    <w:rsid w:val="00F13939"/>
    <w:rsid w:val="00F13B21"/>
    <w:rsid w:val="00F1424F"/>
    <w:rsid w:val="00F14463"/>
    <w:rsid w:val="00F144C1"/>
    <w:rsid w:val="00F14583"/>
    <w:rsid w:val="00F14931"/>
    <w:rsid w:val="00F15DA7"/>
    <w:rsid w:val="00F1653E"/>
    <w:rsid w:val="00F16D46"/>
    <w:rsid w:val="00F1714A"/>
    <w:rsid w:val="00F1790A"/>
    <w:rsid w:val="00F17FE9"/>
    <w:rsid w:val="00F200B6"/>
    <w:rsid w:val="00F20198"/>
    <w:rsid w:val="00F20F1A"/>
    <w:rsid w:val="00F21096"/>
    <w:rsid w:val="00F2128C"/>
    <w:rsid w:val="00F21BC7"/>
    <w:rsid w:val="00F21F58"/>
    <w:rsid w:val="00F2280E"/>
    <w:rsid w:val="00F22B3A"/>
    <w:rsid w:val="00F22C44"/>
    <w:rsid w:val="00F22D13"/>
    <w:rsid w:val="00F23291"/>
    <w:rsid w:val="00F23360"/>
    <w:rsid w:val="00F23579"/>
    <w:rsid w:val="00F238C0"/>
    <w:rsid w:val="00F23D6A"/>
    <w:rsid w:val="00F24349"/>
    <w:rsid w:val="00F247D6"/>
    <w:rsid w:val="00F247F8"/>
    <w:rsid w:val="00F25284"/>
    <w:rsid w:val="00F255EA"/>
    <w:rsid w:val="00F25ADA"/>
    <w:rsid w:val="00F26476"/>
    <w:rsid w:val="00F26622"/>
    <w:rsid w:val="00F26CA0"/>
    <w:rsid w:val="00F26CA1"/>
    <w:rsid w:val="00F26EB4"/>
    <w:rsid w:val="00F27AA9"/>
    <w:rsid w:val="00F30A77"/>
    <w:rsid w:val="00F31416"/>
    <w:rsid w:val="00F31E29"/>
    <w:rsid w:val="00F3213A"/>
    <w:rsid w:val="00F32483"/>
    <w:rsid w:val="00F32D68"/>
    <w:rsid w:val="00F330C9"/>
    <w:rsid w:val="00F33190"/>
    <w:rsid w:val="00F332A2"/>
    <w:rsid w:val="00F336DF"/>
    <w:rsid w:val="00F337B2"/>
    <w:rsid w:val="00F33C8F"/>
    <w:rsid w:val="00F33D36"/>
    <w:rsid w:val="00F3476B"/>
    <w:rsid w:val="00F34D04"/>
    <w:rsid w:val="00F354F1"/>
    <w:rsid w:val="00F35623"/>
    <w:rsid w:val="00F35732"/>
    <w:rsid w:val="00F36037"/>
    <w:rsid w:val="00F3610A"/>
    <w:rsid w:val="00F40F3E"/>
    <w:rsid w:val="00F415A5"/>
    <w:rsid w:val="00F42136"/>
    <w:rsid w:val="00F42FBD"/>
    <w:rsid w:val="00F438C8"/>
    <w:rsid w:val="00F44860"/>
    <w:rsid w:val="00F45460"/>
    <w:rsid w:val="00F45648"/>
    <w:rsid w:val="00F45799"/>
    <w:rsid w:val="00F45C80"/>
    <w:rsid w:val="00F4755A"/>
    <w:rsid w:val="00F50ACB"/>
    <w:rsid w:val="00F510A9"/>
    <w:rsid w:val="00F52E47"/>
    <w:rsid w:val="00F53623"/>
    <w:rsid w:val="00F53A45"/>
    <w:rsid w:val="00F53F19"/>
    <w:rsid w:val="00F540CB"/>
    <w:rsid w:val="00F542A7"/>
    <w:rsid w:val="00F54501"/>
    <w:rsid w:val="00F546E2"/>
    <w:rsid w:val="00F547A2"/>
    <w:rsid w:val="00F555C6"/>
    <w:rsid w:val="00F55761"/>
    <w:rsid w:val="00F558A2"/>
    <w:rsid w:val="00F55CA3"/>
    <w:rsid w:val="00F5646E"/>
    <w:rsid w:val="00F5678A"/>
    <w:rsid w:val="00F6036B"/>
    <w:rsid w:val="00F6038C"/>
    <w:rsid w:val="00F607AF"/>
    <w:rsid w:val="00F60CC6"/>
    <w:rsid w:val="00F61178"/>
    <w:rsid w:val="00F6154C"/>
    <w:rsid w:val="00F61D79"/>
    <w:rsid w:val="00F622E8"/>
    <w:rsid w:val="00F622F5"/>
    <w:rsid w:val="00F6368A"/>
    <w:rsid w:val="00F63895"/>
    <w:rsid w:val="00F63F4E"/>
    <w:rsid w:val="00F647B8"/>
    <w:rsid w:val="00F64822"/>
    <w:rsid w:val="00F64F62"/>
    <w:rsid w:val="00F651FC"/>
    <w:rsid w:val="00F65915"/>
    <w:rsid w:val="00F65CB3"/>
    <w:rsid w:val="00F6615C"/>
    <w:rsid w:val="00F668FE"/>
    <w:rsid w:val="00F66B4C"/>
    <w:rsid w:val="00F6708A"/>
    <w:rsid w:val="00F6759D"/>
    <w:rsid w:val="00F703CB"/>
    <w:rsid w:val="00F707E3"/>
    <w:rsid w:val="00F70A77"/>
    <w:rsid w:val="00F71160"/>
    <w:rsid w:val="00F715CA"/>
    <w:rsid w:val="00F71CD0"/>
    <w:rsid w:val="00F71DB3"/>
    <w:rsid w:val="00F71FC5"/>
    <w:rsid w:val="00F724E7"/>
    <w:rsid w:val="00F73049"/>
    <w:rsid w:val="00F730DC"/>
    <w:rsid w:val="00F73342"/>
    <w:rsid w:val="00F7378F"/>
    <w:rsid w:val="00F73B7E"/>
    <w:rsid w:val="00F73FBF"/>
    <w:rsid w:val="00F74613"/>
    <w:rsid w:val="00F748F9"/>
    <w:rsid w:val="00F75C16"/>
    <w:rsid w:val="00F767E8"/>
    <w:rsid w:val="00F77458"/>
    <w:rsid w:val="00F77609"/>
    <w:rsid w:val="00F77B19"/>
    <w:rsid w:val="00F77BA4"/>
    <w:rsid w:val="00F77D9E"/>
    <w:rsid w:val="00F803B7"/>
    <w:rsid w:val="00F80AE5"/>
    <w:rsid w:val="00F811A3"/>
    <w:rsid w:val="00F814E6"/>
    <w:rsid w:val="00F81644"/>
    <w:rsid w:val="00F81C71"/>
    <w:rsid w:val="00F824E1"/>
    <w:rsid w:val="00F82A24"/>
    <w:rsid w:val="00F8349D"/>
    <w:rsid w:val="00F83E12"/>
    <w:rsid w:val="00F84E50"/>
    <w:rsid w:val="00F855B3"/>
    <w:rsid w:val="00F85709"/>
    <w:rsid w:val="00F86FA3"/>
    <w:rsid w:val="00F8705A"/>
    <w:rsid w:val="00F9065F"/>
    <w:rsid w:val="00F91101"/>
    <w:rsid w:val="00F911F0"/>
    <w:rsid w:val="00F9142F"/>
    <w:rsid w:val="00F91F5A"/>
    <w:rsid w:val="00F92019"/>
    <w:rsid w:val="00F92F01"/>
    <w:rsid w:val="00F93447"/>
    <w:rsid w:val="00F93EAA"/>
    <w:rsid w:val="00F94069"/>
    <w:rsid w:val="00F941C2"/>
    <w:rsid w:val="00F9420A"/>
    <w:rsid w:val="00F946D9"/>
    <w:rsid w:val="00F94FB4"/>
    <w:rsid w:val="00F95635"/>
    <w:rsid w:val="00F9599C"/>
    <w:rsid w:val="00F95B2C"/>
    <w:rsid w:val="00F970EC"/>
    <w:rsid w:val="00F971E5"/>
    <w:rsid w:val="00FA0AA2"/>
    <w:rsid w:val="00FA121E"/>
    <w:rsid w:val="00FA1321"/>
    <w:rsid w:val="00FA16C6"/>
    <w:rsid w:val="00FA2E7E"/>
    <w:rsid w:val="00FA30C5"/>
    <w:rsid w:val="00FA4219"/>
    <w:rsid w:val="00FA4E9A"/>
    <w:rsid w:val="00FA509B"/>
    <w:rsid w:val="00FA514E"/>
    <w:rsid w:val="00FA6A27"/>
    <w:rsid w:val="00FA7181"/>
    <w:rsid w:val="00FA71D2"/>
    <w:rsid w:val="00FA75D7"/>
    <w:rsid w:val="00FA7820"/>
    <w:rsid w:val="00FA7AB0"/>
    <w:rsid w:val="00FA7B8C"/>
    <w:rsid w:val="00FB0971"/>
    <w:rsid w:val="00FB0DAC"/>
    <w:rsid w:val="00FB0F81"/>
    <w:rsid w:val="00FB17F6"/>
    <w:rsid w:val="00FB1D22"/>
    <w:rsid w:val="00FB29D4"/>
    <w:rsid w:val="00FB3263"/>
    <w:rsid w:val="00FB3FAE"/>
    <w:rsid w:val="00FB4260"/>
    <w:rsid w:val="00FB4F56"/>
    <w:rsid w:val="00FB4FA2"/>
    <w:rsid w:val="00FB566C"/>
    <w:rsid w:val="00FB56EA"/>
    <w:rsid w:val="00FB5ADF"/>
    <w:rsid w:val="00FB5CFE"/>
    <w:rsid w:val="00FB6009"/>
    <w:rsid w:val="00FB6B90"/>
    <w:rsid w:val="00FB6ED3"/>
    <w:rsid w:val="00FB71C9"/>
    <w:rsid w:val="00FB770F"/>
    <w:rsid w:val="00FB79D5"/>
    <w:rsid w:val="00FC07D5"/>
    <w:rsid w:val="00FC0D50"/>
    <w:rsid w:val="00FC1AFF"/>
    <w:rsid w:val="00FC30A7"/>
    <w:rsid w:val="00FC31A0"/>
    <w:rsid w:val="00FC330F"/>
    <w:rsid w:val="00FC3357"/>
    <w:rsid w:val="00FC3792"/>
    <w:rsid w:val="00FC3832"/>
    <w:rsid w:val="00FC3B90"/>
    <w:rsid w:val="00FC3ED3"/>
    <w:rsid w:val="00FC3FE8"/>
    <w:rsid w:val="00FC4754"/>
    <w:rsid w:val="00FC4C42"/>
    <w:rsid w:val="00FC558E"/>
    <w:rsid w:val="00FC57CA"/>
    <w:rsid w:val="00FC5F39"/>
    <w:rsid w:val="00FC631E"/>
    <w:rsid w:val="00FC6A0B"/>
    <w:rsid w:val="00FC6BFA"/>
    <w:rsid w:val="00FC7F75"/>
    <w:rsid w:val="00FD002F"/>
    <w:rsid w:val="00FD0A2F"/>
    <w:rsid w:val="00FD1F2A"/>
    <w:rsid w:val="00FD2F08"/>
    <w:rsid w:val="00FD33E7"/>
    <w:rsid w:val="00FD3972"/>
    <w:rsid w:val="00FD4195"/>
    <w:rsid w:val="00FD575A"/>
    <w:rsid w:val="00FD5E4A"/>
    <w:rsid w:val="00FD5FBF"/>
    <w:rsid w:val="00FD6A55"/>
    <w:rsid w:val="00FE00B4"/>
    <w:rsid w:val="00FE05D0"/>
    <w:rsid w:val="00FE13D2"/>
    <w:rsid w:val="00FE1433"/>
    <w:rsid w:val="00FE170B"/>
    <w:rsid w:val="00FE26CB"/>
    <w:rsid w:val="00FE2DF3"/>
    <w:rsid w:val="00FE2FCF"/>
    <w:rsid w:val="00FE3566"/>
    <w:rsid w:val="00FE41CB"/>
    <w:rsid w:val="00FE454D"/>
    <w:rsid w:val="00FE474F"/>
    <w:rsid w:val="00FE574F"/>
    <w:rsid w:val="00FE610F"/>
    <w:rsid w:val="00FE7122"/>
    <w:rsid w:val="00FE7C1F"/>
    <w:rsid w:val="00FF029E"/>
    <w:rsid w:val="00FF02F0"/>
    <w:rsid w:val="00FF0487"/>
    <w:rsid w:val="00FF0720"/>
    <w:rsid w:val="00FF0726"/>
    <w:rsid w:val="00FF0918"/>
    <w:rsid w:val="00FF0A78"/>
    <w:rsid w:val="00FF2332"/>
    <w:rsid w:val="00FF26D4"/>
    <w:rsid w:val="00FF3070"/>
    <w:rsid w:val="00FF3858"/>
    <w:rsid w:val="00FF3CD9"/>
    <w:rsid w:val="00FF3D81"/>
    <w:rsid w:val="00FF44FF"/>
    <w:rsid w:val="00FF48F9"/>
    <w:rsid w:val="00FF5900"/>
    <w:rsid w:val="00FF5BAE"/>
    <w:rsid w:val="00FF6353"/>
    <w:rsid w:val="00FF6F4D"/>
    <w:rsid w:val="00FF6F9C"/>
    <w:rsid w:val="00FF7792"/>
    <w:rsid w:val="00FF7B29"/>
    <w:rsid w:val="0A785543"/>
    <w:rsid w:val="1640417E"/>
    <w:rsid w:val="330A2FB8"/>
    <w:rsid w:val="3C276672"/>
    <w:rsid w:val="58FAC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654B56"/>
  <w15:docId w15:val="{0E0D911E-77D7-41E9-995E-938104F1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6599"/>
    <w:rPr>
      <w:rFonts w:ascii="Arial" w:hAnsi="Arial"/>
      <w:sz w:val="24"/>
      <w:szCs w:val="24"/>
      <w:lang w:eastAsia="en-US"/>
    </w:rPr>
  </w:style>
  <w:style w:type="paragraph" w:styleId="Heading1">
    <w:name w:val="heading 1"/>
    <w:basedOn w:val="Normal"/>
    <w:next w:val="Normal"/>
    <w:qFormat/>
    <w:rsid w:val="00272842"/>
    <w:pPr>
      <w:spacing w:after="324"/>
      <w:outlineLvl w:val="0"/>
    </w:pPr>
    <w:rPr>
      <w:b/>
      <w:bCs/>
      <w:color w:val="003478"/>
      <w:kern w:val="32"/>
      <w:sz w:val="56"/>
      <w:szCs w:val="32"/>
    </w:rPr>
  </w:style>
  <w:style w:type="paragraph" w:styleId="Heading2">
    <w:name w:val="heading 2"/>
    <w:basedOn w:val="Normal"/>
    <w:next w:val="Normal"/>
    <w:link w:val="Heading2Char"/>
    <w:qFormat/>
    <w:rsid w:val="00272842"/>
    <w:pPr>
      <w:spacing w:before="120" w:after="240"/>
      <w:outlineLvl w:val="1"/>
    </w:pPr>
    <w:rPr>
      <w:b/>
      <w:bCs/>
      <w:iCs/>
      <w:color w:val="003478"/>
      <w:sz w:val="32"/>
      <w:szCs w:val="28"/>
    </w:rPr>
  </w:style>
  <w:style w:type="paragraph" w:styleId="Heading3">
    <w:name w:val="heading 3"/>
    <w:basedOn w:val="Normal"/>
    <w:next w:val="Normal"/>
    <w:link w:val="Heading3Char"/>
    <w:qFormat/>
    <w:rsid w:val="00272842"/>
    <w:pPr>
      <w:spacing w:after="120"/>
      <w:outlineLvl w:val="2"/>
    </w:pPr>
    <w:rPr>
      <w:b/>
      <w:bCs/>
      <w:color w:val="009BBB"/>
      <w:sz w:val="26"/>
      <w:szCs w:val="26"/>
    </w:rPr>
  </w:style>
  <w:style w:type="paragraph" w:styleId="Heading4">
    <w:name w:val="heading 4"/>
    <w:basedOn w:val="Normal"/>
    <w:next w:val="Normal"/>
    <w:link w:val="Heading4Char"/>
    <w:qFormat/>
    <w:rsid w:val="00272842"/>
    <w:pPr>
      <w:spacing w:after="6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uiPriority w:val="5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semiHidden/>
    <w:rsid w:val="00490FF7"/>
    <w:rPr>
      <w:rFonts w:eastAsia="SimSun"/>
      <w:sz w:val="16"/>
      <w:szCs w:val="20"/>
      <w:lang w:eastAsia="zh-CN"/>
    </w:rPr>
  </w:style>
  <w:style w:type="character" w:styleId="FootnoteReference">
    <w:name w:val="footnote reference"/>
    <w:aliases w:val="SUPERS,Footnote symbol,Footnote reference number,Times 10 ...,Times 10 Point,Exposant 3 Point,Ref,de nota al pie,note TESI,EN Footnote Reference,stylish"/>
    <w:uiPriority w:val="99"/>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link w:val="EBNumberCharChar"/>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pPr>
  </w:style>
  <w:style w:type="character" w:styleId="Hyperlink">
    <w:name w:val="Hyperlink"/>
    <w:uiPriority w:val="99"/>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FootnoteTextChar">
    <w:name w:val="Footnote Text Char"/>
    <w:link w:val="FootnoteText"/>
    <w:semiHidden/>
    <w:rsid w:val="009B1004"/>
    <w:rPr>
      <w:rFonts w:ascii="Arial" w:eastAsia="SimSun" w:hAnsi="Arial"/>
      <w:sz w:val="16"/>
      <w:lang w:eastAsia="zh-CN"/>
    </w:rPr>
  </w:style>
  <w:style w:type="character" w:customStyle="1" w:styleId="IALabel">
    <w:name w:val="IALabel"/>
    <w:rsid w:val="009F6692"/>
    <w:rPr>
      <w:color w:val="000000"/>
      <w:sz w:val="20"/>
    </w:rPr>
  </w:style>
  <w:style w:type="character" w:styleId="EndnoteReference">
    <w:name w:val="endnote reference"/>
    <w:rsid w:val="00A04888"/>
    <w:rPr>
      <w:vertAlign w:val="superscript"/>
    </w:rPr>
  </w:style>
  <w:style w:type="character" w:styleId="CommentReference">
    <w:name w:val="annotation reference"/>
    <w:uiPriority w:val="99"/>
    <w:rsid w:val="008C53F8"/>
    <w:rPr>
      <w:sz w:val="16"/>
      <w:szCs w:val="16"/>
    </w:rPr>
  </w:style>
  <w:style w:type="paragraph" w:styleId="CommentText">
    <w:name w:val="annotation text"/>
    <w:basedOn w:val="Normal"/>
    <w:link w:val="CommentTextChar"/>
    <w:rsid w:val="008C53F8"/>
    <w:rPr>
      <w:sz w:val="20"/>
      <w:szCs w:val="20"/>
    </w:rPr>
  </w:style>
  <w:style w:type="character" w:customStyle="1" w:styleId="CommentTextChar">
    <w:name w:val="Comment Text Char"/>
    <w:link w:val="CommentText"/>
    <w:rsid w:val="008C53F8"/>
    <w:rPr>
      <w:rFonts w:ascii="Arial" w:hAnsi="Arial"/>
      <w:lang w:eastAsia="en-US"/>
    </w:rPr>
  </w:style>
  <w:style w:type="paragraph" w:styleId="CommentSubject">
    <w:name w:val="annotation subject"/>
    <w:basedOn w:val="CommentText"/>
    <w:next w:val="CommentText"/>
    <w:link w:val="CommentSubjectChar"/>
    <w:rsid w:val="008C53F8"/>
    <w:rPr>
      <w:b/>
      <w:bCs/>
    </w:rPr>
  </w:style>
  <w:style w:type="character" w:customStyle="1" w:styleId="CommentSubjectChar">
    <w:name w:val="Comment Subject Char"/>
    <w:link w:val="CommentSubject"/>
    <w:rsid w:val="008C53F8"/>
    <w:rPr>
      <w:rFonts w:ascii="Arial" w:hAnsi="Arial"/>
      <w:b/>
      <w:bCs/>
      <w:lang w:eastAsia="en-US"/>
    </w:rPr>
  </w:style>
  <w:style w:type="character" w:customStyle="1" w:styleId="EBNumberCharChar">
    <w:name w:val="EBNumber Char Char"/>
    <w:link w:val="EBNumber"/>
    <w:locked/>
    <w:rsid w:val="00F07638"/>
    <w:rPr>
      <w:rFonts w:ascii="Arial" w:hAnsi="Arial" w:cs="Arial"/>
      <w:bCs/>
      <w:color w:val="000000"/>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8C1C75"/>
    <w:pPr>
      <w:ind w:left="720"/>
    </w:pPr>
  </w:style>
  <w:style w:type="character" w:customStyle="1" w:styleId="Heading2Char">
    <w:name w:val="Heading 2 Char"/>
    <w:link w:val="Heading2"/>
    <w:rsid w:val="00272842"/>
    <w:rPr>
      <w:rFonts w:ascii="Arial" w:hAnsi="Arial"/>
      <w:b/>
      <w:bCs/>
      <w:iCs/>
      <w:color w:val="003478"/>
      <w:sz w:val="32"/>
      <w:szCs w:val="28"/>
      <w:lang w:eastAsia="en-US"/>
    </w:rPr>
  </w:style>
  <w:style w:type="character" w:customStyle="1" w:styleId="Heading3Char">
    <w:name w:val="Heading 3 Char"/>
    <w:link w:val="Heading3"/>
    <w:rsid w:val="00272842"/>
    <w:rPr>
      <w:rFonts w:ascii="Arial" w:hAnsi="Arial"/>
      <w:b/>
      <w:bCs/>
      <w:color w:val="009BBB"/>
      <w:sz w:val="26"/>
      <w:szCs w:val="26"/>
      <w:lang w:eastAsia="en-US"/>
    </w:rPr>
  </w:style>
  <w:style w:type="character" w:customStyle="1" w:styleId="Heading4Char">
    <w:name w:val="Heading 4 Char"/>
    <w:link w:val="Heading4"/>
    <w:rsid w:val="00272842"/>
    <w:rPr>
      <w:rFonts w:ascii="Arial" w:hAnsi="Arial"/>
      <w:b/>
      <w:sz w:val="24"/>
      <w:szCs w:val="24"/>
      <w:lang w:eastAsia="en-US"/>
    </w:rPr>
  </w:style>
  <w:style w:type="paragraph" w:customStyle="1" w:styleId="Documenttitle">
    <w:name w:val="Document title"/>
    <w:basedOn w:val="Normal"/>
    <w:rsid w:val="00272842"/>
    <w:pPr>
      <w:spacing w:line="240" w:lineRule="atLeast"/>
    </w:pPr>
    <w:rPr>
      <w:b/>
      <w:caps/>
    </w:rPr>
  </w:style>
  <w:style w:type="paragraph" w:styleId="TOCHeading">
    <w:name w:val="TOC Heading"/>
    <w:basedOn w:val="Heading1"/>
    <w:next w:val="Normal"/>
    <w:uiPriority w:val="39"/>
    <w:semiHidden/>
    <w:unhideWhenUsed/>
    <w:qFormat/>
    <w:rsid w:val="004C6FB8"/>
    <w:pPr>
      <w:keepNext/>
      <w:keepLines/>
      <w:spacing w:before="480" w:after="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rsid w:val="004C6FB8"/>
  </w:style>
  <w:style w:type="paragraph" w:styleId="TOC2">
    <w:name w:val="toc 2"/>
    <w:basedOn w:val="Normal"/>
    <w:next w:val="Normal"/>
    <w:autoRedefine/>
    <w:uiPriority w:val="39"/>
    <w:rsid w:val="004C6FB8"/>
    <w:pPr>
      <w:ind w:left="240"/>
    </w:pPr>
  </w:style>
  <w:style w:type="paragraph" w:styleId="TOC3">
    <w:name w:val="toc 3"/>
    <w:basedOn w:val="Normal"/>
    <w:next w:val="Normal"/>
    <w:autoRedefine/>
    <w:uiPriority w:val="39"/>
    <w:rsid w:val="004C6FB8"/>
    <w:pPr>
      <w:ind w:left="480"/>
    </w:pPr>
  </w:style>
  <w:style w:type="character" w:styleId="Strong">
    <w:name w:val="Strong"/>
    <w:qFormat/>
    <w:rsid w:val="00460130"/>
    <w:rPr>
      <w:b/>
      <w:bCs/>
    </w:rPr>
  </w:style>
  <w:style w:type="paragraph" w:styleId="Revision">
    <w:name w:val="Revision"/>
    <w:hidden/>
    <w:uiPriority w:val="99"/>
    <w:semiHidden/>
    <w:rsid w:val="007F002F"/>
    <w:rPr>
      <w:rFonts w:ascii="Arial" w:hAnsi="Arial"/>
      <w:sz w:val="24"/>
      <w:szCs w:val="24"/>
      <w:lang w:eastAsia="en-US"/>
    </w:rPr>
  </w:style>
  <w:style w:type="paragraph" w:customStyle="1" w:styleId="Numberedparagraph">
    <w:name w:val="Numbered paragraph"/>
    <w:basedOn w:val="Normal"/>
    <w:link w:val="NumberedparagraphChar"/>
    <w:autoRedefine/>
    <w:uiPriority w:val="99"/>
    <w:qFormat/>
    <w:rsid w:val="002E19C0"/>
    <w:pPr>
      <w:spacing w:after="120"/>
    </w:pPr>
    <w:rPr>
      <w:szCs w:val="23"/>
    </w:rPr>
  </w:style>
  <w:style w:type="paragraph" w:styleId="ListBullet">
    <w:name w:val="List Bullet"/>
    <w:aliases w:val="Bullets"/>
    <w:basedOn w:val="Normal"/>
    <w:link w:val="ListBulletChar"/>
    <w:qFormat/>
    <w:rsid w:val="00BD21C7"/>
    <w:pPr>
      <w:numPr>
        <w:numId w:val="6"/>
      </w:numPr>
      <w:spacing w:after="200" w:line="288" w:lineRule="exact"/>
    </w:pPr>
  </w:style>
  <w:style w:type="character" w:styleId="PlaceholderText">
    <w:name w:val="Placeholder Text"/>
    <w:basedOn w:val="DefaultParagraphFont"/>
    <w:uiPriority w:val="99"/>
    <w:semiHidden/>
    <w:rsid w:val="00E0241D"/>
    <w:rPr>
      <w:color w:val="808080"/>
    </w:rPr>
  </w:style>
  <w:style w:type="paragraph" w:styleId="NoSpacing">
    <w:name w:val="No Spacing"/>
    <w:uiPriority w:val="1"/>
    <w:qFormat/>
    <w:rsid w:val="002372FE"/>
    <w:rPr>
      <w:rFonts w:ascii="Arial" w:hAnsi="Arial"/>
      <w:sz w:val="24"/>
      <w:szCs w:val="24"/>
      <w:lang w:eastAsia="en-US"/>
    </w:rPr>
  </w:style>
  <w:style w:type="paragraph" w:customStyle="1" w:styleId="Default">
    <w:name w:val="Default"/>
    <w:rsid w:val="00506542"/>
    <w:pPr>
      <w:autoSpaceDE w:val="0"/>
      <w:autoSpaceDN w:val="0"/>
      <w:adjustRightInd w:val="0"/>
    </w:pPr>
    <w:rPr>
      <w:rFonts w:ascii="Arial" w:hAnsi="Arial" w:cs="Arial"/>
      <w:color w:val="000000"/>
      <w:sz w:val="24"/>
      <w:szCs w:val="24"/>
    </w:rPr>
  </w:style>
  <w:style w:type="character" w:customStyle="1" w:styleId="NumberedparagraphChar">
    <w:name w:val="Numbered paragraph Char"/>
    <w:basedOn w:val="DefaultParagraphFont"/>
    <w:link w:val="Numberedparagraph"/>
    <w:uiPriority w:val="99"/>
    <w:rsid w:val="002E19C0"/>
    <w:rPr>
      <w:rFonts w:ascii="Arial" w:hAnsi="Arial"/>
      <w:sz w:val="24"/>
      <w:szCs w:val="23"/>
      <w:lang w:eastAsia="en-US"/>
    </w:rPr>
  </w:style>
  <w:style w:type="character" w:customStyle="1" w:styleId="ListBulletChar">
    <w:name w:val="List Bullet Char"/>
    <w:aliases w:val="Bullets Char"/>
    <w:basedOn w:val="NumberedparagraphChar"/>
    <w:link w:val="ListBullet"/>
    <w:rsid w:val="00C42740"/>
    <w:rPr>
      <w:rFonts w:ascii="Arial" w:hAnsi="Arial"/>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311024"/>
    <w:rPr>
      <w:rFonts w:ascii="Arial" w:hAnsi="Arial"/>
      <w:sz w:val="24"/>
      <w:szCs w:val="24"/>
      <w:lang w:eastAsia="en-US"/>
    </w:rPr>
  </w:style>
  <w:style w:type="character" w:styleId="UnresolvedMention">
    <w:name w:val="Unresolved Mention"/>
    <w:basedOn w:val="DefaultParagraphFont"/>
    <w:uiPriority w:val="99"/>
    <w:semiHidden/>
    <w:unhideWhenUsed/>
    <w:rsid w:val="00AA4F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966">
      <w:bodyDiv w:val="1"/>
      <w:marLeft w:val="0"/>
      <w:marRight w:val="0"/>
      <w:marTop w:val="0"/>
      <w:marBottom w:val="0"/>
      <w:divBdr>
        <w:top w:val="none" w:sz="0" w:space="0" w:color="auto"/>
        <w:left w:val="none" w:sz="0" w:space="0" w:color="auto"/>
        <w:bottom w:val="none" w:sz="0" w:space="0" w:color="auto"/>
        <w:right w:val="none" w:sz="0" w:space="0" w:color="auto"/>
      </w:divBdr>
    </w:div>
    <w:div w:id="22480114">
      <w:bodyDiv w:val="1"/>
      <w:marLeft w:val="0"/>
      <w:marRight w:val="0"/>
      <w:marTop w:val="0"/>
      <w:marBottom w:val="0"/>
      <w:divBdr>
        <w:top w:val="none" w:sz="0" w:space="0" w:color="auto"/>
        <w:left w:val="none" w:sz="0" w:space="0" w:color="auto"/>
        <w:bottom w:val="none" w:sz="0" w:space="0" w:color="auto"/>
        <w:right w:val="none" w:sz="0" w:space="0" w:color="auto"/>
      </w:divBdr>
    </w:div>
    <w:div w:id="23680597">
      <w:bodyDiv w:val="1"/>
      <w:marLeft w:val="0"/>
      <w:marRight w:val="0"/>
      <w:marTop w:val="0"/>
      <w:marBottom w:val="0"/>
      <w:divBdr>
        <w:top w:val="none" w:sz="0" w:space="0" w:color="auto"/>
        <w:left w:val="none" w:sz="0" w:space="0" w:color="auto"/>
        <w:bottom w:val="none" w:sz="0" w:space="0" w:color="auto"/>
        <w:right w:val="none" w:sz="0" w:space="0" w:color="auto"/>
      </w:divBdr>
      <w:divsChild>
        <w:div w:id="1026835985">
          <w:marLeft w:val="0"/>
          <w:marRight w:val="0"/>
          <w:marTop w:val="0"/>
          <w:marBottom w:val="0"/>
          <w:divBdr>
            <w:top w:val="none" w:sz="0" w:space="0" w:color="auto"/>
            <w:left w:val="none" w:sz="0" w:space="0" w:color="auto"/>
            <w:bottom w:val="none" w:sz="0" w:space="0" w:color="auto"/>
            <w:right w:val="none" w:sz="0" w:space="0" w:color="auto"/>
          </w:divBdr>
        </w:div>
        <w:div w:id="190069900">
          <w:marLeft w:val="0"/>
          <w:marRight w:val="0"/>
          <w:marTop w:val="0"/>
          <w:marBottom w:val="0"/>
          <w:divBdr>
            <w:top w:val="none" w:sz="0" w:space="0" w:color="auto"/>
            <w:left w:val="none" w:sz="0" w:space="0" w:color="auto"/>
            <w:bottom w:val="none" w:sz="0" w:space="0" w:color="auto"/>
            <w:right w:val="none" w:sz="0" w:space="0" w:color="auto"/>
          </w:divBdr>
        </w:div>
        <w:div w:id="1559590395">
          <w:marLeft w:val="0"/>
          <w:marRight w:val="0"/>
          <w:marTop w:val="0"/>
          <w:marBottom w:val="0"/>
          <w:divBdr>
            <w:top w:val="none" w:sz="0" w:space="0" w:color="auto"/>
            <w:left w:val="none" w:sz="0" w:space="0" w:color="auto"/>
            <w:bottom w:val="none" w:sz="0" w:space="0" w:color="auto"/>
            <w:right w:val="none" w:sz="0" w:space="0" w:color="auto"/>
          </w:divBdr>
        </w:div>
        <w:div w:id="1303726967">
          <w:marLeft w:val="0"/>
          <w:marRight w:val="0"/>
          <w:marTop w:val="0"/>
          <w:marBottom w:val="0"/>
          <w:divBdr>
            <w:top w:val="none" w:sz="0" w:space="0" w:color="auto"/>
            <w:left w:val="none" w:sz="0" w:space="0" w:color="auto"/>
            <w:bottom w:val="none" w:sz="0" w:space="0" w:color="auto"/>
            <w:right w:val="none" w:sz="0" w:space="0" w:color="auto"/>
          </w:divBdr>
        </w:div>
        <w:div w:id="942491843">
          <w:marLeft w:val="0"/>
          <w:marRight w:val="0"/>
          <w:marTop w:val="0"/>
          <w:marBottom w:val="0"/>
          <w:divBdr>
            <w:top w:val="none" w:sz="0" w:space="0" w:color="auto"/>
            <w:left w:val="none" w:sz="0" w:space="0" w:color="auto"/>
            <w:bottom w:val="none" w:sz="0" w:space="0" w:color="auto"/>
            <w:right w:val="none" w:sz="0" w:space="0" w:color="auto"/>
          </w:divBdr>
        </w:div>
        <w:div w:id="1978990888">
          <w:marLeft w:val="0"/>
          <w:marRight w:val="0"/>
          <w:marTop w:val="0"/>
          <w:marBottom w:val="0"/>
          <w:divBdr>
            <w:top w:val="none" w:sz="0" w:space="0" w:color="auto"/>
            <w:left w:val="none" w:sz="0" w:space="0" w:color="auto"/>
            <w:bottom w:val="none" w:sz="0" w:space="0" w:color="auto"/>
            <w:right w:val="none" w:sz="0" w:space="0" w:color="auto"/>
          </w:divBdr>
        </w:div>
        <w:div w:id="1635871450">
          <w:marLeft w:val="0"/>
          <w:marRight w:val="0"/>
          <w:marTop w:val="0"/>
          <w:marBottom w:val="0"/>
          <w:divBdr>
            <w:top w:val="none" w:sz="0" w:space="0" w:color="auto"/>
            <w:left w:val="none" w:sz="0" w:space="0" w:color="auto"/>
            <w:bottom w:val="none" w:sz="0" w:space="0" w:color="auto"/>
            <w:right w:val="none" w:sz="0" w:space="0" w:color="auto"/>
          </w:divBdr>
        </w:div>
        <w:div w:id="1242259269">
          <w:marLeft w:val="0"/>
          <w:marRight w:val="0"/>
          <w:marTop w:val="0"/>
          <w:marBottom w:val="0"/>
          <w:divBdr>
            <w:top w:val="none" w:sz="0" w:space="0" w:color="auto"/>
            <w:left w:val="none" w:sz="0" w:space="0" w:color="auto"/>
            <w:bottom w:val="none" w:sz="0" w:space="0" w:color="auto"/>
            <w:right w:val="none" w:sz="0" w:space="0" w:color="auto"/>
          </w:divBdr>
        </w:div>
      </w:divsChild>
    </w:div>
    <w:div w:id="25183870">
      <w:bodyDiv w:val="1"/>
      <w:marLeft w:val="0"/>
      <w:marRight w:val="0"/>
      <w:marTop w:val="0"/>
      <w:marBottom w:val="0"/>
      <w:divBdr>
        <w:top w:val="none" w:sz="0" w:space="0" w:color="auto"/>
        <w:left w:val="none" w:sz="0" w:space="0" w:color="auto"/>
        <w:bottom w:val="none" w:sz="0" w:space="0" w:color="auto"/>
        <w:right w:val="none" w:sz="0" w:space="0" w:color="auto"/>
      </w:divBdr>
    </w:div>
    <w:div w:id="27609134">
      <w:bodyDiv w:val="1"/>
      <w:marLeft w:val="0"/>
      <w:marRight w:val="0"/>
      <w:marTop w:val="0"/>
      <w:marBottom w:val="0"/>
      <w:divBdr>
        <w:top w:val="none" w:sz="0" w:space="0" w:color="auto"/>
        <w:left w:val="none" w:sz="0" w:space="0" w:color="auto"/>
        <w:bottom w:val="none" w:sz="0" w:space="0" w:color="auto"/>
        <w:right w:val="none" w:sz="0" w:space="0" w:color="auto"/>
      </w:divBdr>
    </w:div>
    <w:div w:id="51004661">
      <w:bodyDiv w:val="1"/>
      <w:marLeft w:val="0"/>
      <w:marRight w:val="0"/>
      <w:marTop w:val="0"/>
      <w:marBottom w:val="0"/>
      <w:divBdr>
        <w:top w:val="none" w:sz="0" w:space="0" w:color="auto"/>
        <w:left w:val="none" w:sz="0" w:space="0" w:color="auto"/>
        <w:bottom w:val="none" w:sz="0" w:space="0" w:color="auto"/>
        <w:right w:val="none" w:sz="0" w:space="0" w:color="auto"/>
      </w:divBdr>
    </w:div>
    <w:div w:id="54818036">
      <w:bodyDiv w:val="1"/>
      <w:marLeft w:val="0"/>
      <w:marRight w:val="0"/>
      <w:marTop w:val="0"/>
      <w:marBottom w:val="0"/>
      <w:divBdr>
        <w:top w:val="none" w:sz="0" w:space="0" w:color="auto"/>
        <w:left w:val="none" w:sz="0" w:space="0" w:color="auto"/>
        <w:bottom w:val="none" w:sz="0" w:space="0" w:color="auto"/>
        <w:right w:val="none" w:sz="0" w:space="0" w:color="auto"/>
      </w:divBdr>
    </w:div>
    <w:div w:id="61878120">
      <w:bodyDiv w:val="1"/>
      <w:marLeft w:val="0"/>
      <w:marRight w:val="0"/>
      <w:marTop w:val="0"/>
      <w:marBottom w:val="0"/>
      <w:divBdr>
        <w:top w:val="none" w:sz="0" w:space="0" w:color="auto"/>
        <w:left w:val="none" w:sz="0" w:space="0" w:color="auto"/>
        <w:bottom w:val="none" w:sz="0" w:space="0" w:color="auto"/>
        <w:right w:val="none" w:sz="0" w:space="0" w:color="auto"/>
      </w:divBdr>
    </w:div>
    <w:div w:id="64492436">
      <w:bodyDiv w:val="1"/>
      <w:marLeft w:val="0"/>
      <w:marRight w:val="0"/>
      <w:marTop w:val="0"/>
      <w:marBottom w:val="0"/>
      <w:divBdr>
        <w:top w:val="none" w:sz="0" w:space="0" w:color="auto"/>
        <w:left w:val="none" w:sz="0" w:space="0" w:color="auto"/>
        <w:bottom w:val="none" w:sz="0" w:space="0" w:color="auto"/>
        <w:right w:val="none" w:sz="0" w:space="0" w:color="auto"/>
      </w:divBdr>
    </w:div>
    <w:div w:id="73355343">
      <w:bodyDiv w:val="1"/>
      <w:marLeft w:val="0"/>
      <w:marRight w:val="0"/>
      <w:marTop w:val="0"/>
      <w:marBottom w:val="0"/>
      <w:divBdr>
        <w:top w:val="none" w:sz="0" w:space="0" w:color="auto"/>
        <w:left w:val="none" w:sz="0" w:space="0" w:color="auto"/>
        <w:bottom w:val="none" w:sz="0" w:space="0" w:color="auto"/>
        <w:right w:val="none" w:sz="0" w:space="0" w:color="auto"/>
      </w:divBdr>
      <w:divsChild>
        <w:div w:id="2018072158">
          <w:marLeft w:val="0"/>
          <w:marRight w:val="0"/>
          <w:marTop w:val="0"/>
          <w:marBottom w:val="0"/>
          <w:divBdr>
            <w:top w:val="none" w:sz="0" w:space="0" w:color="auto"/>
            <w:left w:val="none" w:sz="0" w:space="0" w:color="auto"/>
            <w:bottom w:val="none" w:sz="0" w:space="0" w:color="auto"/>
            <w:right w:val="none" w:sz="0" w:space="0" w:color="auto"/>
          </w:divBdr>
        </w:div>
        <w:div w:id="1717461603">
          <w:marLeft w:val="0"/>
          <w:marRight w:val="0"/>
          <w:marTop w:val="0"/>
          <w:marBottom w:val="0"/>
          <w:divBdr>
            <w:top w:val="none" w:sz="0" w:space="0" w:color="auto"/>
            <w:left w:val="none" w:sz="0" w:space="0" w:color="auto"/>
            <w:bottom w:val="none" w:sz="0" w:space="0" w:color="auto"/>
            <w:right w:val="none" w:sz="0" w:space="0" w:color="auto"/>
          </w:divBdr>
        </w:div>
        <w:div w:id="670790477">
          <w:marLeft w:val="0"/>
          <w:marRight w:val="0"/>
          <w:marTop w:val="0"/>
          <w:marBottom w:val="0"/>
          <w:divBdr>
            <w:top w:val="none" w:sz="0" w:space="0" w:color="auto"/>
            <w:left w:val="none" w:sz="0" w:space="0" w:color="auto"/>
            <w:bottom w:val="none" w:sz="0" w:space="0" w:color="auto"/>
            <w:right w:val="none" w:sz="0" w:space="0" w:color="auto"/>
          </w:divBdr>
        </w:div>
      </w:divsChild>
    </w:div>
    <w:div w:id="74014469">
      <w:bodyDiv w:val="1"/>
      <w:marLeft w:val="0"/>
      <w:marRight w:val="0"/>
      <w:marTop w:val="0"/>
      <w:marBottom w:val="0"/>
      <w:divBdr>
        <w:top w:val="none" w:sz="0" w:space="0" w:color="auto"/>
        <w:left w:val="none" w:sz="0" w:space="0" w:color="auto"/>
        <w:bottom w:val="none" w:sz="0" w:space="0" w:color="auto"/>
        <w:right w:val="none" w:sz="0" w:space="0" w:color="auto"/>
      </w:divBdr>
    </w:div>
    <w:div w:id="89084344">
      <w:bodyDiv w:val="1"/>
      <w:marLeft w:val="0"/>
      <w:marRight w:val="0"/>
      <w:marTop w:val="0"/>
      <w:marBottom w:val="0"/>
      <w:divBdr>
        <w:top w:val="none" w:sz="0" w:space="0" w:color="auto"/>
        <w:left w:val="none" w:sz="0" w:space="0" w:color="auto"/>
        <w:bottom w:val="none" w:sz="0" w:space="0" w:color="auto"/>
        <w:right w:val="none" w:sz="0" w:space="0" w:color="auto"/>
      </w:divBdr>
    </w:div>
    <w:div w:id="131019904">
      <w:bodyDiv w:val="1"/>
      <w:marLeft w:val="0"/>
      <w:marRight w:val="0"/>
      <w:marTop w:val="0"/>
      <w:marBottom w:val="0"/>
      <w:divBdr>
        <w:top w:val="none" w:sz="0" w:space="0" w:color="auto"/>
        <w:left w:val="none" w:sz="0" w:space="0" w:color="auto"/>
        <w:bottom w:val="none" w:sz="0" w:space="0" w:color="auto"/>
        <w:right w:val="none" w:sz="0" w:space="0" w:color="auto"/>
      </w:divBdr>
    </w:div>
    <w:div w:id="135801498">
      <w:bodyDiv w:val="1"/>
      <w:marLeft w:val="0"/>
      <w:marRight w:val="0"/>
      <w:marTop w:val="0"/>
      <w:marBottom w:val="0"/>
      <w:divBdr>
        <w:top w:val="none" w:sz="0" w:space="0" w:color="auto"/>
        <w:left w:val="none" w:sz="0" w:space="0" w:color="auto"/>
        <w:bottom w:val="none" w:sz="0" w:space="0" w:color="auto"/>
        <w:right w:val="none" w:sz="0" w:space="0" w:color="auto"/>
      </w:divBdr>
    </w:div>
    <w:div w:id="139151200">
      <w:bodyDiv w:val="1"/>
      <w:marLeft w:val="0"/>
      <w:marRight w:val="0"/>
      <w:marTop w:val="0"/>
      <w:marBottom w:val="0"/>
      <w:divBdr>
        <w:top w:val="none" w:sz="0" w:space="0" w:color="auto"/>
        <w:left w:val="none" w:sz="0" w:space="0" w:color="auto"/>
        <w:bottom w:val="none" w:sz="0" w:space="0" w:color="auto"/>
        <w:right w:val="none" w:sz="0" w:space="0" w:color="auto"/>
      </w:divBdr>
    </w:div>
    <w:div w:id="153571420">
      <w:bodyDiv w:val="1"/>
      <w:marLeft w:val="0"/>
      <w:marRight w:val="0"/>
      <w:marTop w:val="0"/>
      <w:marBottom w:val="0"/>
      <w:divBdr>
        <w:top w:val="none" w:sz="0" w:space="0" w:color="auto"/>
        <w:left w:val="none" w:sz="0" w:space="0" w:color="auto"/>
        <w:bottom w:val="none" w:sz="0" w:space="0" w:color="auto"/>
        <w:right w:val="none" w:sz="0" w:space="0" w:color="auto"/>
      </w:divBdr>
    </w:div>
    <w:div w:id="160241930">
      <w:bodyDiv w:val="1"/>
      <w:marLeft w:val="0"/>
      <w:marRight w:val="0"/>
      <w:marTop w:val="0"/>
      <w:marBottom w:val="0"/>
      <w:divBdr>
        <w:top w:val="none" w:sz="0" w:space="0" w:color="auto"/>
        <w:left w:val="none" w:sz="0" w:space="0" w:color="auto"/>
        <w:bottom w:val="none" w:sz="0" w:space="0" w:color="auto"/>
        <w:right w:val="none" w:sz="0" w:space="0" w:color="auto"/>
      </w:divBdr>
    </w:div>
    <w:div w:id="172189113">
      <w:bodyDiv w:val="1"/>
      <w:marLeft w:val="0"/>
      <w:marRight w:val="0"/>
      <w:marTop w:val="0"/>
      <w:marBottom w:val="0"/>
      <w:divBdr>
        <w:top w:val="none" w:sz="0" w:space="0" w:color="auto"/>
        <w:left w:val="none" w:sz="0" w:space="0" w:color="auto"/>
        <w:bottom w:val="none" w:sz="0" w:space="0" w:color="auto"/>
        <w:right w:val="none" w:sz="0" w:space="0" w:color="auto"/>
      </w:divBdr>
    </w:div>
    <w:div w:id="179666507">
      <w:bodyDiv w:val="1"/>
      <w:marLeft w:val="0"/>
      <w:marRight w:val="0"/>
      <w:marTop w:val="0"/>
      <w:marBottom w:val="0"/>
      <w:divBdr>
        <w:top w:val="none" w:sz="0" w:space="0" w:color="auto"/>
        <w:left w:val="none" w:sz="0" w:space="0" w:color="auto"/>
        <w:bottom w:val="none" w:sz="0" w:space="0" w:color="auto"/>
        <w:right w:val="none" w:sz="0" w:space="0" w:color="auto"/>
      </w:divBdr>
      <w:divsChild>
        <w:div w:id="1220241120">
          <w:marLeft w:val="0"/>
          <w:marRight w:val="0"/>
          <w:marTop w:val="0"/>
          <w:marBottom w:val="0"/>
          <w:divBdr>
            <w:top w:val="none" w:sz="0" w:space="0" w:color="auto"/>
            <w:left w:val="none" w:sz="0" w:space="0" w:color="auto"/>
            <w:bottom w:val="none" w:sz="0" w:space="0" w:color="auto"/>
            <w:right w:val="none" w:sz="0" w:space="0" w:color="auto"/>
          </w:divBdr>
        </w:div>
        <w:div w:id="1364017981">
          <w:marLeft w:val="0"/>
          <w:marRight w:val="0"/>
          <w:marTop w:val="0"/>
          <w:marBottom w:val="0"/>
          <w:divBdr>
            <w:top w:val="none" w:sz="0" w:space="0" w:color="auto"/>
            <w:left w:val="none" w:sz="0" w:space="0" w:color="auto"/>
            <w:bottom w:val="none" w:sz="0" w:space="0" w:color="auto"/>
            <w:right w:val="none" w:sz="0" w:space="0" w:color="auto"/>
          </w:divBdr>
        </w:div>
        <w:div w:id="353383441">
          <w:marLeft w:val="0"/>
          <w:marRight w:val="0"/>
          <w:marTop w:val="0"/>
          <w:marBottom w:val="0"/>
          <w:divBdr>
            <w:top w:val="none" w:sz="0" w:space="0" w:color="auto"/>
            <w:left w:val="none" w:sz="0" w:space="0" w:color="auto"/>
            <w:bottom w:val="none" w:sz="0" w:space="0" w:color="auto"/>
            <w:right w:val="none" w:sz="0" w:space="0" w:color="auto"/>
          </w:divBdr>
        </w:div>
      </w:divsChild>
    </w:div>
    <w:div w:id="193467440">
      <w:bodyDiv w:val="1"/>
      <w:marLeft w:val="0"/>
      <w:marRight w:val="0"/>
      <w:marTop w:val="0"/>
      <w:marBottom w:val="0"/>
      <w:divBdr>
        <w:top w:val="none" w:sz="0" w:space="0" w:color="auto"/>
        <w:left w:val="none" w:sz="0" w:space="0" w:color="auto"/>
        <w:bottom w:val="none" w:sz="0" w:space="0" w:color="auto"/>
        <w:right w:val="none" w:sz="0" w:space="0" w:color="auto"/>
      </w:divBdr>
    </w:div>
    <w:div w:id="194314311">
      <w:bodyDiv w:val="1"/>
      <w:marLeft w:val="0"/>
      <w:marRight w:val="0"/>
      <w:marTop w:val="0"/>
      <w:marBottom w:val="0"/>
      <w:divBdr>
        <w:top w:val="none" w:sz="0" w:space="0" w:color="auto"/>
        <w:left w:val="none" w:sz="0" w:space="0" w:color="auto"/>
        <w:bottom w:val="none" w:sz="0" w:space="0" w:color="auto"/>
        <w:right w:val="none" w:sz="0" w:space="0" w:color="auto"/>
      </w:divBdr>
    </w:div>
    <w:div w:id="205719441">
      <w:bodyDiv w:val="1"/>
      <w:marLeft w:val="0"/>
      <w:marRight w:val="0"/>
      <w:marTop w:val="0"/>
      <w:marBottom w:val="0"/>
      <w:divBdr>
        <w:top w:val="none" w:sz="0" w:space="0" w:color="auto"/>
        <w:left w:val="none" w:sz="0" w:space="0" w:color="auto"/>
        <w:bottom w:val="none" w:sz="0" w:space="0" w:color="auto"/>
        <w:right w:val="none" w:sz="0" w:space="0" w:color="auto"/>
      </w:divBdr>
    </w:div>
    <w:div w:id="209000598">
      <w:bodyDiv w:val="1"/>
      <w:marLeft w:val="0"/>
      <w:marRight w:val="0"/>
      <w:marTop w:val="0"/>
      <w:marBottom w:val="0"/>
      <w:divBdr>
        <w:top w:val="none" w:sz="0" w:space="0" w:color="auto"/>
        <w:left w:val="none" w:sz="0" w:space="0" w:color="auto"/>
        <w:bottom w:val="none" w:sz="0" w:space="0" w:color="auto"/>
        <w:right w:val="none" w:sz="0" w:space="0" w:color="auto"/>
      </w:divBdr>
    </w:div>
    <w:div w:id="219174149">
      <w:bodyDiv w:val="1"/>
      <w:marLeft w:val="0"/>
      <w:marRight w:val="0"/>
      <w:marTop w:val="0"/>
      <w:marBottom w:val="0"/>
      <w:divBdr>
        <w:top w:val="none" w:sz="0" w:space="0" w:color="auto"/>
        <w:left w:val="none" w:sz="0" w:space="0" w:color="auto"/>
        <w:bottom w:val="none" w:sz="0" w:space="0" w:color="auto"/>
        <w:right w:val="none" w:sz="0" w:space="0" w:color="auto"/>
      </w:divBdr>
      <w:divsChild>
        <w:div w:id="1730955614">
          <w:marLeft w:val="0"/>
          <w:marRight w:val="0"/>
          <w:marTop w:val="0"/>
          <w:marBottom w:val="0"/>
          <w:divBdr>
            <w:top w:val="none" w:sz="0" w:space="0" w:color="auto"/>
            <w:left w:val="none" w:sz="0" w:space="0" w:color="auto"/>
            <w:bottom w:val="none" w:sz="0" w:space="0" w:color="auto"/>
            <w:right w:val="none" w:sz="0" w:space="0" w:color="auto"/>
          </w:divBdr>
        </w:div>
        <w:div w:id="672683251">
          <w:marLeft w:val="0"/>
          <w:marRight w:val="0"/>
          <w:marTop w:val="0"/>
          <w:marBottom w:val="0"/>
          <w:divBdr>
            <w:top w:val="none" w:sz="0" w:space="0" w:color="auto"/>
            <w:left w:val="none" w:sz="0" w:space="0" w:color="auto"/>
            <w:bottom w:val="none" w:sz="0" w:space="0" w:color="auto"/>
            <w:right w:val="none" w:sz="0" w:space="0" w:color="auto"/>
          </w:divBdr>
        </w:div>
        <w:div w:id="188104839">
          <w:marLeft w:val="0"/>
          <w:marRight w:val="0"/>
          <w:marTop w:val="0"/>
          <w:marBottom w:val="0"/>
          <w:divBdr>
            <w:top w:val="none" w:sz="0" w:space="0" w:color="auto"/>
            <w:left w:val="none" w:sz="0" w:space="0" w:color="auto"/>
            <w:bottom w:val="none" w:sz="0" w:space="0" w:color="auto"/>
            <w:right w:val="none" w:sz="0" w:space="0" w:color="auto"/>
          </w:divBdr>
        </w:div>
      </w:divsChild>
    </w:div>
    <w:div w:id="219554877">
      <w:bodyDiv w:val="1"/>
      <w:marLeft w:val="0"/>
      <w:marRight w:val="0"/>
      <w:marTop w:val="0"/>
      <w:marBottom w:val="0"/>
      <w:divBdr>
        <w:top w:val="none" w:sz="0" w:space="0" w:color="auto"/>
        <w:left w:val="none" w:sz="0" w:space="0" w:color="auto"/>
        <w:bottom w:val="none" w:sz="0" w:space="0" w:color="auto"/>
        <w:right w:val="none" w:sz="0" w:space="0" w:color="auto"/>
      </w:divBdr>
    </w:div>
    <w:div w:id="313025985">
      <w:bodyDiv w:val="1"/>
      <w:marLeft w:val="0"/>
      <w:marRight w:val="0"/>
      <w:marTop w:val="0"/>
      <w:marBottom w:val="0"/>
      <w:divBdr>
        <w:top w:val="none" w:sz="0" w:space="0" w:color="auto"/>
        <w:left w:val="none" w:sz="0" w:space="0" w:color="auto"/>
        <w:bottom w:val="none" w:sz="0" w:space="0" w:color="auto"/>
        <w:right w:val="none" w:sz="0" w:space="0" w:color="auto"/>
      </w:divBdr>
      <w:divsChild>
        <w:div w:id="959997895">
          <w:marLeft w:val="0"/>
          <w:marRight w:val="0"/>
          <w:marTop w:val="0"/>
          <w:marBottom w:val="0"/>
          <w:divBdr>
            <w:top w:val="none" w:sz="0" w:space="0" w:color="auto"/>
            <w:left w:val="none" w:sz="0" w:space="0" w:color="auto"/>
            <w:bottom w:val="none" w:sz="0" w:space="0" w:color="auto"/>
            <w:right w:val="none" w:sz="0" w:space="0" w:color="auto"/>
          </w:divBdr>
        </w:div>
        <w:div w:id="1554001499">
          <w:marLeft w:val="0"/>
          <w:marRight w:val="0"/>
          <w:marTop w:val="0"/>
          <w:marBottom w:val="0"/>
          <w:divBdr>
            <w:top w:val="none" w:sz="0" w:space="0" w:color="auto"/>
            <w:left w:val="none" w:sz="0" w:space="0" w:color="auto"/>
            <w:bottom w:val="none" w:sz="0" w:space="0" w:color="auto"/>
            <w:right w:val="none" w:sz="0" w:space="0" w:color="auto"/>
          </w:divBdr>
        </w:div>
        <w:div w:id="1957171594">
          <w:marLeft w:val="0"/>
          <w:marRight w:val="0"/>
          <w:marTop w:val="0"/>
          <w:marBottom w:val="0"/>
          <w:divBdr>
            <w:top w:val="none" w:sz="0" w:space="0" w:color="auto"/>
            <w:left w:val="none" w:sz="0" w:space="0" w:color="auto"/>
            <w:bottom w:val="none" w:sz="0" w:space="0" w:color="auto"/>
            <w:right w:val="none" w:sz="0" w:space="0" w:color="auto"/>
          </w:divBdr>
        </w:div>
        <w:div w:id="1444306464">
          <w:marLeft w:val="0"/>
          <w:marRight w:val="0"/>
          <w:marTop w:val="0"/>
          <w:marBottom w:val="0"/>
          <w:divBdr>
            <w:top w:val="none" w:sz="0" w:space="0" w:color="auto"/>
            <w:left w:val="none" w:sz="0" w:space="0" w:color="auto"/>
            <w:bottom w:val="none" w:sz="0" w:space="0" w:color="auto"/>
            <w:right w:val="none" w:sz="0" w:space="0" w:color="auto"/>
          </w:divBdr>
        </w:div>
        <w:div w:id="243687427">
          <w:marLeft w:val="0"/>
          <w:marRight w:val="0"/>
          <w:marTop w:val="0"/>
          <w:marBottom w:val="0"/>
          <w:divBdr>
            <w:top w:val="none" w:sz="0" w:space="0" w:color="auto"/>
            <w:left w:val="none" w:sz="0" w:space="0" w:color="auto"/>
            <w:bottom w:val="none" w:sz="0" w:space="0" w:color="auto"/>
            <w:right w:val="none" w:sz="0" w:space="0" w:color="auto"/>
          </w:divBdr>
        </w:div>
        <w:div w:id="2030985903">
          <w:marLeft w:val="0"/>
          <w:marRight w:val="0"/>
          <w:marTop w:val="0"/>
          <w:marBottom w:val="0"/>
          <w:divBdr>
            <w:top w:val="none" w:sz="0" w:space="0" w:color="auto"/>
            <w:left w:val="none" w:sz="0" w:space="0" w:color="auto"/>
            <w:bottom w:val="none" w:sz="0" w:space="0" w:color="auto"/>
            <w:right w:val="none" w:sz="0" w:space="0" w:color="auto"/>
          </w:divBdr>
        </w:div>
        <w:div w:id="90012808">
          <w:marLeft w:val="0"/>
          <w:marRight w:val="0"/>
          <w:marTop w:val="0"/>
          <w:marBottom w:val="0"/>
          <w:divBdr>
            <w:top w:val="none" w:sz="0" w:space="0" w:color="auto"/>
            <w:left w:val="none" w:sz="0" w:space="0" w:color="auto"/>
            <w:bottom w:val="none" w:sz="0" w:space="0" w:color="auto"/>
            <w:right w:val="none" w:sz="0" w:space="0" w:color="auto"/>
          </w:divBdr>
        </w:div>
        <w:div w:id="542836636">
          <w:marLeft w:val="0"/>
          <w:marRight w:val="0"/>
          <w:marTop w:val="0"/>
          <w:marBottom w:val="0"/>
          <w:divBdr>
            <w:top w:val="none" w:sz="0" w:space="0" w:color="auto"/>
            <w:left w:val="none" w:sz="0" w:space="0" w:color="auto"/>
            <w:bottom w:val="none" w:sz="0" w:space="0" w:color="auto"/>
            <w:right w:val="none" w:sz="0" w:space="0" w:color="auto"/>
          </w:divBdr>
        </w:div>
        <w:div w:id="1846243467">
          <w:marLeft w:val="0"/>
          <w:marRight w:val="0"/>
          <w:marTop w:val="0"/>
          <w:marBottom w:val="0"/>
          <w:divBdr>
            <w:top w:val="none" w:sz="0" w:space="0" w:color="auto"/>
            <w:left w:val="none" w:sz="0" w:space="0" w:color="auto"/>
            <w:bottom w:val="none" w:sz="0" w:space="0" w:color="auto"/>
            <w:right w:val="none" w:sz="0" w:space="0" w:color="auto"/>
          </w:divBdr>
        </w:div>
        <w:div w:id="683361973">
          <w:marLeft w:val="0"/>
          <w:marRight w:val="0"/>
          <w:marTop w:val="0"/>
          <w:marBottom w:val="0"/>
          <w:divBdr>
            <w:top w:val="none" w:sz="0" w:space="0" w:color="auto"/>
            <w:left w:val="none" w:sz="0" w:space="0" w:color="auto"/>
            <w:bottom w:val="none" w:sz="0" w:space="0" w:color="auto"/>
            <w:right w:val="none" w:sz="0" w:space="0" w:color="auto"/>
          </w:divBdr>
        </w:div>
        <w:div w:id="981158528">
          <w:marLeft w:val="0"/>
          <w:marRight w:val="0"/>
          <w:marTop w:val="0"/>
          <w:marBottom w:val="0"/>
          <w:divBdr>
            <w:top w:val="none" w:sz="0" w:space="0" w:color="auto"/>
            <w:left w:val="none" w:sz="0" w:space="0" w:color="auto"/>
            <w:bottom w:val="none" w:sz="0" w:space="0" w:color="auto"/>
            <w:right w:val="none" w:sz="0" w:space="0" w:color="auto"/>
          </w:divBdr>
        </w:div>
        <w:div w:id="1055591728">
          <w:marLeft w:val="0"/>
          <w:marRight w:val="0"/>
          <w:marTop w:val="0"/>
          <w:marBottom w:val="0"/>
          <w:divBdr>
            <w:top w:val="none" w:sz="0" w:space="0" w:color="auto"/>
            <w:left w:val="none" w:sz="0" w:space="0" w:color="auto"/>
            <w:bottom w:val="none" w:sz="0" w:space="0" w:color="auto"/>
            <w:right w:val="none" w:sz="0" w:space="0" w:color="auto"/>
          </w:divBdr>
        </w:div>
        <w:div w:id="2000843746">
          <w:marLeft w:val="0"/>
          <w:marRight w:val="0"/>
          <w:marTop w:val="0"/>
          <w:marBottom w:val="0"/>
          <w:divBdr>
            <w:top w:val="none" w:sz="0" w:space="0" w:color="auto"/>
            <w:left w:val="none" w:sz="0" w:space="0" w:color="auto"/>
            <w:bottom w:val="none" w:sz="0" w:space="0" w:color="auto"/>
            <w:right w:val="none" w:sz="0" w:space="0" w:color="auto"/>
          </w:divBdr>
        </w:div>
        <w:div w:id="1356730883">
          <w:marLeft w:val="0"/>
          <w:marRight w:val="0"/>
          <w:marTop w:val="0"/>
          <w:marBottom w:val="0"/>
          <w:divBdr>
            <w:top w:val="none" w:sz="0" w:space="0" w:color="auto"/>
            <w:left w:val="none" w:sz="0" w:space="0" w:color="auto"/>
            <w:bottom w:val="none" w:sz="0" w:space="0" w:color="auto"/>
            <w:right w:val="none" w:sz="0" w:space="0" w:color="auto"/>
          </w:divBdr>
        </w:div>
        <w:div w:id="266932055">
          <w:marLeft w:val="0"/>
          <w:marRight w:val="0"/>
          <w:marTop w:val="0"/>
          <w:marBottom w:val="0"/>
          <w:divBdr>
            <w:top w:val="none" w:sz="0" w:space="0" w:color="auto"/>
            <w:left w:val="none" w:sz="0" w:space="0" w:color="auto"/>
            <w:bottom w:val="none" w:sz="0" w:space="0" w:color="auto"/>
            <w:right w:val="none" w:sz="0" w:space="0" w:color="auto"/>
          </w:divBdr>
        </w:div>
        <w:div w:id="166016641">
          <w:marLeft w:val="0"/>
          <w:marRight w:val="0"/>
          <w:marTop w:val="0"/>
          <w:marBottom w:val="0"/>
          <w:divBdr>
            <w:top w:val="none" w:sz="0" w:space="0" w:color="auto"/>
            <w:left w:val="none" w:sz="0" w:space="0" w:color="auto"/>
            <w:bottom w:val="none" w:sz="0" w:space="0" w:color="auto"/>
            <w:right w:val="none" w:sz="0" w:space="0" w:color="auto"/>
          </w:divBdr>
        </w:div>
        <w:div w:id="350957227">
          <w:marLeft w:val="0"/>
          <w:marRight w:val="0"/>
          <w:marTop w:val="0"/>
          <w:marBottom w:val="0"/>
          <w:divBdr>
            <w:top w:val="none" w:sz="0" w:space="0" w:color="auto"/>
            <w:left w:val="none" w:sz="0" w:space="0" w:color="auto"/>
            <w:bottom w:val="none" w:sz="0" w:space="0" w:color="auto"/>
            <w:right w:val="none" w:sz="0" w:space="0" w:color="auto"/>
          </w:divBdr>
        </w:div>
        <w:div w:id="1697534787">
          <w:marLeft w:val="0"/>
          <w:marRight w:val="0"/>
          <w:marTop w:val="0"/>
          <w:marBottom w:val="0"/>
          <w:divBdr>
            <w:top w:val="none" w:sz="0" w:space="0" w:color="auto"/>
            <w:left w:val="none" w:sz="0" w:space="0" w:color="auto"/>
            <w:bottom w:val="none" w:sz="0" w:space="0" w:color="auto"/>
            <w:right w:val="none" w:sz="0" w:space="0" w:color="auto"/>
          </w:divBdr>
        </w:div>
        <w:div w:id="1597714423">
          <w:marLeft w:val="0"/>
          <w:marRight w:val="0"/>
          <w:marTop w:val="0"/>
          <w:marBottom w:val="0"/>
          <w:divBdr>
            <w:top w:val="none" w:sz="0" w:space="0" w:color="auto"/>
            <w:left w:val="none" w:sz="0" w:space="0" w:color="auto"/>
            <w:bottom w:val="none" w:sz="0" w:space="0" w:color="auto"/>
            <w:right w:val="none" w:sz="0" w:space="0" w:color="auto"/>
          </w:divBdr>
        </w:div>
        <w:div w:id="758865006">
          <w:marLeft w:val="0"/>
          <w:marRight w:val="0"/>
          <w:marTop w:val="0"/>
          <w:marBottom w:val="0"/>
          <w:divBdr>
            <w:top w:val="none" w:sz="0" w:space="0" w:color="auto"/>
            <w:left w:val="none" w:sz="0" w:space="0" w:color="auto"/>
            <w:bottom w:val="none" w:sz="0" w:space="0" w:color="auto"/>
            <w:right w:val="none" w:sz="0" w:space="0" w:color="auto"/>
          </w:divBdr>
        </w:div>
        <w:div w:id="2043482565">
          <w:marLeft w:val="0"/>
          <w:marRight w:val="0"/>
          <w:marTop w:val="0"/>
          <w:marBottom w:val="0"/>
          <w:divBdr>
            <w:top w:val="none" w:sz="0" w:space="0" w:color="auto"/>
            <w:left w:val="none" w:sz="0" w:space="0" w:color="auto"/>
            <w:bottom w:val="none" w:sz="0" w:space="0" w:color="auto"/>
            <w:right w:val="none" w:sz="0" w:space="0" w:color="auto"/>
          </w:divBdr>
        </w:div>
        <w:div w:id="1359700150">
          <w:marLeft w:val="0"/>
          <w:marRight w:val="0"/>
          <w:marTop w:val="0"/>
          <w:marBottom w:val="0"/>
          <w:divBdr>
            <w:top w:val="none" w:sz="0" w:space="0" w:color="auto"/>
            <w:left w:val="none" w:sz="0" w:space="0" w:color="auto"/>
            <w:bottom w:val="none" w:sz="0" w:space="0" w:color="auto"/>
            <w:right w:val="none" w:sz="0" w:space="0" w:color="auto"/>
          </w:divBdr>
        </w:div>
        <w:div w:id="1180511340">
          <w:marLeft w:val="0"/>
          <w:marRight w:val="0"/>
          <w:marTop w:val="0"/>
          <w:marBottom w:val="0"/>
          <w:divBdr>
            <w:top w:val="none" w:sz="0" w:space="0" w:color="auto"/>
            <w:left w:val="none" w:sz="0" w:space="0" w:color="auto"/>
            <w:bottom w:val="none" w:sz="0" w:space="0" w:color="auto"/>
            <w:right w:val="none" w:sz="0" w:space="0" w:color="auto"/>
          </w:divBdr>
        </w:div>
        <w:div w:id="1158691351">
          <w:marLeft w:val="0"/>
          <w:marRight w:val="0"/>
          <w:marTop w:val="0"/>
          <w:marBottom w:val="0"/>
          <w:divBdr>
            <w:top w:val="none" w:sz="0" w:space="0" w:color="auto"/>
            <w:left w:val="none" w:sz="0" w:space="0" w:color="auto"/>
            <w:bottom w:val="none" w:sz="0" w:space="0" w:color="auto"/>
            <w:right w:val="none" w:sz="0" w:space="0" w:color="auto"/>
          </w:divBdr>
        </w:div>
        <w:div w:id="552352295">
          <w:marLeft w:val="0"/>
          <w:marRight w:val="0"/>
          <w:marTop w:val="0"/>
          <w:marBottom w:val="0"/>
          <w:divBdr>
            <w:top w:val="none" w:sz="0" w:space="0" w:color="auto"/>
            <w:left w:val="none" w:sz="0" w:space="0" w:color="auto"/>
            <w:bottom w:val="none" w:sz="0" w:space="0" w:color="auto"/>
            <w:right w:val="none" w:sz="0" w:space="0" w:color="auto"/>
          </w:divBdr>
        </w:div>
        <w:div w:id="200478021">
          <w:marLeft w:val="0"/>
          <w:marRight w:val="0"/>
          <w:marTop w:val="0"/>
          <w:marBottom w:val="0"/>
          <w:divBdr>
            <w:top w:val="none" w:sz="0" w:space="0" w:color="auto"/>
            <w:left w:val="none" w:sz="0" w:space="0" w:color="auto"/>
            <w:bottom w:val="none" w:sz="0" w:space="0" w:color="auto"/>
            <w:right w:val="none" w:sz="0" w:space="0" w:color="auto"/>
          </w:divBdr>
        </w:div>
        <w:div w:id="607935635">
          <w:marLeft w:val="0"/>
          <w:marRight w:val="0"/>
          <w:marTop w:val="0"/>
          <w:marBottom w:val="0"/>
          <w:divBdr>
            <w:top w:val="none" w:sz="0" w:space="0" w:color="auto"/>
            <w:left w:val="none" w:sz="0" w:space="0" w:color="auto"/>
            <w:bottom w:val="none" w:sz="0" w:space="0" w:color="auto"/>
            <w:right w:val="none" w:sz="0" w:space="0" w:color="auto"/>
          </w:divBdr>
        </w:div>
        <w:div w:id="190608240">
          <w:marLeft w:val="0"/>
          <w:marRight w:val="0"/>
          <w:marTop w:val="0"/>
          <w:marBottom w:val="0"/>
          <w:divBdr>
            <w:top w:val="none" w:sz="0" w:space="0" w:color="auto"/>
            <w:left w:val="none" w:sz="0" w:space="0" w:color="auto"/>
            <w:bottom w:val="none" w:sz="0" w:space="0" w:color="auto"/>
            <w:right w:val="none" w:sz="0" w:space="0" w:color="auto"/>
          </w:divBdr>
        </w:div>
        <w:div w:id="1285120234">
          <w:marLeft w:val="0"/>
          <w:marRight w:val="0"/>
          <w:marTop w:val="0"/>
          <w:marBottom w:val="0"/>
          <w:divBdr>
            <w:top w:val="none" w:sz="0" w:space="0" w:color="auto"/>
            <w:left w:val="none" w:sz="0" w:space="0" w:color="auto"/>
            <w:bottom w:val="none" w:sz="0" w:space="0" w:color="auto"/>
            <w:right w:val="none" w:sz="0" w:space="0" w:color="auto"/>
          </w:divBdr>
        </w:div>
        <w:div w:id="667949584">
          <w:marLeft w:val="0"/>
          <w:marRight w:val="0"/>
          <w:marTop w:val="0"/>
          <w:marBottom w:val="0"/>
          <w:divBdr>
            <w:top w:val="none" w:sz="0" w:space="0" w:color="auto"/>
            <w:left w:val="none" w:sz="0" w:space="0" w:color="auto"/>
            <w:bottom w:val="none" w:sz="0" w:space="0" w:color="auto"/>
            <w:right w:val="none" w:sz="0" w:space="0" w:color="auto"/>
          </w:divBdr>
        </w:div>
        <w:div w:id="1586836876">
          <w:marLeft w:val="0"/>
          <w:marRight w:val="0"/>
          <w:marTop w:val="0"/>
          <w:marBottom w:val="0"/>
          <w:divBdr>
            <w:top w:val="none" w:sz="0" w:space="0" w:color="auto"/>
            <w:left w:val="none" w:sz="0" w:space="0" w:color="auto"/>
            <w:bottom w:val="none" w:sz="0" w:space="0" w:color="auto"/>
            <w:right w:val="none" w:sz="0" w:space="0" w:color="auto"/>
          </w:divBdr>
        </w:div>
        <w:div w:id="1554122689">
          <w:marLeft w:val="0"/>
          <w:marRight w:val="0"/>
          <w:marTop w:val="0"/>
          <w:marBottom w:val="0"/>
          <w:divBdr>
            <w:top w:val="none" w:sz="0" w:space="0" w:color="auto"/>
            <w:left w:val="none" w:sz="0" w:space="0" w:color="auto"/>
            <w:bottom w:val="none" w:sz="0" w:space="0" w:color="auto"/>
            <w:right w:val="none" w:sz="0" w:space="0" w:color="auto"/>
          </w:divBdr>
        </w:div>
        <w:div w:id="177277319">
          <w:marLeft w:val="0"/>
          <w:marRight w:val="0"/>
          <w:marTop w:val="0"/>
          <w:marBottom w:val="0"/>
          <w:divBdr>
            <w:top w:val="none" w:sz="0" w:space="0" w:color="auto"/>
            <w:left w:val="none" w:sz="0" w:space="0" w:color="auto"/>
            <w:bottom w:val="none" w:sz="0" w:space="0" w:color="auto"/>
            <w:right w:val="none" w:sz="0" w:space="0" w:color="auto"/>
          </w:divBdr>
        </w:div>
        <w:div w:id="453210251">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661537113">
          <w:marLeft w:val="0"/>
          <w:marRight w:val="0"/>
          <w:marTop w:val="0"/>
          <w:marBottom w:val="0"/>
          <w:divBdr>
            <w:top w:val="none" w:sz="0" w:space="0" w:color="auto"/>
            <w:left w:val="none" w:sz="0" w:space="0" w:color="auto"/>
            <w:bottom w:val="none" w:sz="0" w:space="0" w:color="auto"/>
            <w:right w:val="none" w:sz="0" w:space="0" w:color="auto"/>
          </w:divBdr>
        </w:div>
        <w:div w:id="1511336334">
          <w:marLeft w:val="0"/>
          <w:marRight w:val="0"/>
          <w:marTop w:val="0"/>
          <w:marBottom w:val="0"/>
          <w:divBdr>
            <w:top w:val="none" w:sz="0" w:space="0" w:color="auto"/>
            <w:left w:val="none" w:sz="0" w:space="0" w:color="auto"/>
            <w:bottom w:val="none" w:sz="0" w:space="0" w:color="auto"/>
            <w:right w:val="none" w:sz="0" w:space="0" w:color="auto"/>
          </w:divBdr>
        </w:div>
        <w:div w:id="1025642085">
          <w:marLeft w:val="0"/>
          <w:marRight w:val="0"/>
          <w:marTop w:val="0"/>
          <w:marBottom w:val="0"/>
          <w:divBdr>
            <w:top w:val="none" w:sz="0" w:space="0" w:color="auto"/>
            <w:left w:val="none" w:sz="0" w:space="0" w:color="auto"/>
            <w:bottom w:val="none" w:sz="0" w:space="0" w:color="auto"/>
            <w:right w:val="none" w:sz="0" w:space="0" w:color="auto"/>
          </w:divBdr>
        </w:div>
        <w:div w:id="883785222">
          <w:marLeft w:val="0"/>
          <w:marRight w:val="0"/>
          <w:marTop w:val="0"/>
          <w:marBottom w:val="0"/>
          <w:divBdr>
            <w:top w:val="none" w:sz="0" w:space="0" w:color="auto"/>
            <w:left w:val="none" w:sz="0" w:space="0" w:color="auto"/>
            <w:bottom w:val="none" w:sz="0" w:space="0" w:color="auto"/>
            <w:right w:val="none" w:sz="0" w:space="0" w:color="auto"/>
          </w:divBdr>
        </w:div>
        <w:div w:id="1203446899">
          <w:marLeft w:val="0"/>
          <w:marRight w:val="0"/>
          <w:marTop w:val="0"/>
          <w:marBottom w:val="0"/>
          <w:divBdr>
            <w:top w:val="none" w:sz="0" w:space="0" w:color="auto"/>
            <w:left w:val="none" w:sz="0" w:space="0" w:color="auto"/>
            <w:bottom w:val="none" w:sz="0" w:space="0" w:color="auto"/>
            <w:right w:val="none" w:sz="0" w:space="0" w:color="auto"/>
          </w:divBdr>
        </w:div>
        <w:div w:id="1966354227">
          <w:marLeft w:val="0"/>
          <w:marRight w:val="0"/>
          <w:marTop w:val="0"/>
          <w:marBottom w:val="0"/>
          <w:divBdr>
            <w:top w:val="none" w:sz="0" w:space="0" w:color="auto"/>
            <w:left w:val="none" w:sz="0" w:space="0" w:color="auto"/>
            <w:bottom w:val="none" w:sz="0" w:space="0" w:color="auto"/>
            <w:right w:val="none" w:sz="0" w:space="0" w:color="auto"/>
          </w:divBdr>
        </w:div>
        <w:div w:id="1220246673">
          <w:marLeft w:val="0"/>
          <w:marRight w:val="0"/>
          <w:marTop w:val="0"/>
          <w:marBottom w:val="0"/>
          <w:divBdr>
            <w:top w:val="none" w:sz="0" w:space="0" w:color="auto"/>
            <w:left w:val="none" w:sz="0" w:space="0" w:color="auto"/>
            <w:bottom w:val="none" w:sz="0" w:space="0" w:color="auto"/>
            <w:right w:val="none" w:sz="0" w:space="0" w:color="auto"/>
          </w:divBdr>
        </w:div>
        <w:div w:id="2139103614">
          <w:marLeft w:val="0"/>
          <w:marRight w:val="0"/>
          <w:marTop w:val="0"/>
          <w:marBottom w:val="0"/>
          <w:divBdr>
            <w:top w:val="none" w:sz="0" w:space="0" w:color="auto"/>
            <w:left w:val="none" w:sz="0" w:space="0" w:color="auto"/>
            <w:bottom w:val="none" w:sz="0" w:space="0" w:color="auto"/>
            <w:right w:val="none" w:sz="0" w:space="0" w:color="auto"/>
          </w:divBdr>
        </w:div>
        <w:div w:id="1847551310">
          <w:marLeft w:val="0"/>
          <w:marRight w:val="0"/>
          <w:marTop w:val="0"/>
          <w:marBottom w:val="0"/>
          <w:divBdr>
            <w:top w:val="none" w:sz="0" w:space="0" w:color="auto"/>
            <w:left w:val="none" w:sz="0" w:space="0" w:color="auto"/>
            <w:bottom w:val="none" w:sz="0" w:space="0" w:color="auto"/>
            <w:right w:val="none" w:sz="0" w:space="0" w:color="auto"/>
          </w:divBdr>
        </w:div>
      </w:divsChild>
    </w:div>
    <w:div w:id="328944730">
      <w:bodyDiv w:val="1"/>
      <w:marLeft w:val="0"/>
      <w:marRight w:val="0"/>
      <w:marTop w:val="0"/>
      <w:marBottom w:val="0"/>
      <w:divBdr>
        <w:top w:val="none" w:sz="0" w:space="0" w:color="auto"/>
        <w:left w:val="none" w:sz="0" w:space="0" w:color="auto"/>
        <w:bottom w:val="none" w:sz="0" w:space="0" w:color="auto"/>
        <w:right w:val="none" w:sz="0" w:space="0" w:color="auto"/>
      </w:divBdr>
    </w:div>
    <w:div w:id="379672376">
      <w:bodyDiv w:val="1"/>
      <w:marLeft w:val="0"/>
      <w:marRight w:val="0"/>
      <w:marTop w:val="0"/>
      <w:marBottom w:val="0"/>
      <w:divBdr>
        <w:top w:val="none" w:sz="0" w:space="0" w:color="auto"/>
        <w:left w:val="none" w:sz="0" w:space="0" w:color="auto"/>
        <w:bottom w:val="none" w:sz="0" w:space="0" w:color="auto"/>
        <w:right w:val="none" w:sz="0" w:space="0" w:color="auto"/>
      </w:divBdr>
    </w:div>
    <w:div w:id="397288811">
      <w:bodyDiv w:val="1"/>
      <w:marLeft w:val="0"/>
      <w:marRight w:val="0"/>
      <w:marTop w:val="0"/>
      <w:marBottom w:val="0"/>
      <w:divBdr>
        <w:top w:val="none" w:sz="0" w:space="0" w:color="auto"/>
        <w:left w:val="none" w:sz="0" w:space="0" w:color="auto"/>
        <w:bottom w:val="none" w:sz="0" w:space="0" w:color="auto"/>
        <w:right w:val="none" w:sz="0" w:space="0" w:color="auto"/>
      </w:divBdr>
    </w:div>
    <w:div w:id="397555953">
      <w:bodyDiv w:val="1"/>
      <w:marLeft w:val="0"/>
      <w:marRight w:val="0"/>
      <w:marTop w:val="0"/>
      <w:marBottom w:val="0"/>
      <w:divBdr>
        <w:top w:val="none" w:sz="0" w:space="0" w:color="auto"/>
        <w:left w:val="none" w:sz="0" w:space="0" w:color="auto"/>
        <w:bottom w:val="none" w:sz="0" w:space="0" w:color="auto"/>
        <w:right w:val="none" w:sz="0" w:space="0" w:color="auto"/>
      </w:divBdr>
    </w:div>
    <w:div w:id="403332885">
      <w:bodyDiv w:val="1"/>
      <w:marLeft w:val="0"/>
      <w:marRight w:val="0"/>
      <w:marTop w:val="0"/>
      <w:marBottom w:val="0"/>
      <w:divBdr>
        <w:top w:val="none" w:sz="0" w:space="0" w:color="auto"/>
        <w:left w:val="none" w:sz="0" w:space="0" w:color="auto"/>
        <w:bottom w:val="none" w:sz="0" w:space="0" w:color="auto"/>
        <w:right w:val="none" w:sz="0" w:space="0" w:color="auto"/>
      </w:divBdr>
    </w:div>
    <w:div w:id="422727684">
      <w:bodyDiv w:val="1"/>
      <w:marLeft w:val="0"/>
      <w:marRight w:val="0"/>
      <w:marTop w:val="0"/>
      <w:marBottom w:val="0"/>
      <w:divBdr>
        <w:top w:val="none" w:sz="0" w:space="0" w:color="auto"/>
        <w:left w:val="none" w:sz="0" w:space="0" w:color="auto"/>
        <w:bottom w:val="none" w:sz="0" w:space="0" w:color="auto"/>
        <w:right w:val="none" w:sz="0" w:space="0" w:color="auto"/>
      </w:divBdr>
    </w:div>
    <w:div w:id="473762195">
      <w:bodyDiv w:val="1"/>
      <w:marLeft w:val="0"/>
      <w:marRight w:val="0"/>
      <w:marTop w:val="0"/>
      <w:marBottom w:val="0"/>
      <w:divBdr>
        <w:top w:val="none" w:sz="0" w:space="0" w:color="auto"/>
        <w:left w:val="none" w:sz="0" w:space="0" w:color="auto"/>
        <w:bottom w:val="none" w:sz="0" w:space="0" w:color="auto"/>
        <w:right w:val="none" w:sz="0" w:space="0" w:color="auto"/>
      </w:divBdr>
    </w:div>
    <w:div w:id="511645889">
      <w:bodyDiv w:val="1"/>
      <w:marLeft w:val="0"/>
      <w:marRight w:val="0"/>
      <w:marTop w:val="0"/>
      <w:marBottom w:val="0"/>
      <w:divBdr>
        <w:top w:val="none" w:sz="0" w:space="0" w:color="auto"/>
        <w:left w:val="none" w:sz="0" w:space="0" w:color="auto"/>
        <w:bottom w:val="none" w:sz="0" w:space="0" w:color="auto"/>
        <w:right w:val="none" w:sz="0" w:space="0" w:color="auto"/>
      </w:divBdr>
    </w:div>
    <w:div w:id="522864394">
      <w:bodyDiv w:val="1"/>
      <w:marLeft w:val="0"/>
      <w:marRight w:val="0"/>
      <w:marTop w:val="0"/>
      <w:marBottom w:val="0"/>
      <w:divBdr>
        <w:top w:val="none" w:sz="0" w:space="0" w:color="auto"/>
        <w:left w:val="none" w:sz="0" w:space="0" w:color="auto"/>
        <w:bottom w:val="none" w:sz="0" w:space="0" w:color="auto"/>
        <w:right w:val="none" w:sz="0" w:space="0" w:color="auto"/>
      </w:divBdr>
    </w:div>
    <w:div w:id="574777467">
      <w:bodyDiv w:val="1"/>
      <w:marLeft w:val="0"/>
      <w:marRight w:val="0"/>
      <w:marTop w:val="0"/>
      <w:marBottom w:val="0"/>
      <w:divBdr>
        <w:top w:val="none" w:sz="0" w:space="0" w:color="auto"/>
        <w:left w:val="none" w:sz="0" w:space="0" w:color="auto"/>
        <w:bottom w:val="none" w:sz="0" w:space="0" w:color="auto"/>
        <w:right w:val="none" w:sz="0" w:space="0" w:color="auto"/>
      </w:divBdr>
    </w:div>
    <w:div w:id="576671457">
      <w:bodyDiv w:val="1"/>
      <w:marLeft w:val="0"/>
      <w:marRight w:val="0"/>
      <w:marTop w:val="0"/>
      <w:marBottom w:val="0"/>
      <w:divBdr>
        <w:top w:val="none" w:sz="0" w:space="0" w:color="auto"/>
        <w:left w:val="none" w:sz="0" w:space="0" w:color="auto"/>
        <w:bottom w:val="none" w:sz="0" w:space="0" w:color="auto"/>
        <w:right w:val="none" w:sz="0" w:space="0" w:color="auto"/>
      </w:divBdr>
    </w:div>
    <w:div w:id="578053941">
      <w:bodyDiv w:val="1"/>
      <w:marLeft w:val="0"/>
      <w:marRight w:val="0"/>
      <w:marTop w:val="0"/>
      <w:marBottom w:val="0"/>
      <w:divBdr>
        <w:top w:val="none" w:sz="0" w:space="0" w:color="auto"/>
        <w:left w:val="none" w:sz="0" w:space="0" w:color="auto"/>
        <w:bottom w:val="none" w:sz="0" w:space="0" w:color="auto"/>
        <w:right w:val="none" w:sz="0" w:space="0" w:color="auto"/>
      </w:divBdr>
    </w:div>
    <w:div w:id="619645893">
      <w:bodyDiv w:val="1"/>
      <w:marLeft w:val="0"/>
      <w:marRight w:val="0"/>
      <w:marTop w:val="0"/>
      <w:marBottom w:val="0"/>
      <w:divBdr>
        <w:top w:val="none" w:sz="0" w:space="0" w:color="auto"/>
        <w:left w:val="none" w:sz="0" w:space="0" w:color="auto"/>
        <w:bottom w:val="none" w:sz="0" w:space="0" w:color="auto"/>
        <w:right w:val="none" w:sz="0" w:space="0" w:color="auto"/>
      </w:divBdr>
    </w:div>
    <w:div w:id="622271580">
      <w:bodyDiv w:val="1"/>
      <w:marLeft w:val="0"/>
      <w:marRight w:val="0"/>
      <w:marTop w:val="0"/>
      <w:marBottom w:val="0"/>
      <w:divBdr>
        <w:top w:val="none" w:sz="0" w:space="0" w:color="auto"/>
        <w:left w:val="none" w:sz="0" w:space="0" w:color="auto"/>
        <w:bottom w:val="none" w:sz="0" w:space="0" w:color="auto"/>
        <w:right w:val="none" w:sz="0" w:space="0" w:color="auto"/>
      </w:divBdr>
    </w:div>
    <w:div w:id="622927040">
      <w:bodyDiv w:val="1"/>
      <w:marLeft w:val="0"/>
      <w:marRight w:val="0"/>
      <w:marTop w:val="0"/>
      <w:marBottom w:val="0"/>
      <w:divBdr>
        <w:top w:val="none" w:sz="0" w:space="0" w:color="auto"/>
        <w:left w:val="none" w:sz="0" w:space="0" w:color="auto"/>
        <w:bottom w:val="none" w:sz="0" w:space="0" w:color="auto"/>
        <w:right w:val="none" w:sz="0" w:space="0" w:color="auto"/>
      </w:divBdr>
    </w:div>
    <w:div w:id="637877224">
      <w:bodyDiv w:val="1"/>
      <w:marLeft w:val="0"/>
      <w:marRight w:val="0"/>
      <w:marTop w:val="0"/>
      <w:marBottom w:val="0"/>
      <w:divBdr>
        <w:top w:val="none" w:sz="0" w:space="0" w:color="auto"/>
        <w:left w:val="none" w:sz="0" w:space="0" w:color="auto"/>
        <w:bottom w:val="none" w:sz="0" w:space="0" w:color="auto"/>
        <w:right w:val="none" w:sz="0" w:space="0" w:color="auto"/>
      </w:divBdr>
    </w:div>
    <w:div w:id="638918121">
      <w:bodyDiv w:val="1"/>
      <w:marLeft w:val="0"/>
      <w:marRight w:val="0"/>
      <w:marTop w:val="0"/>
      <w:marBottom w:val="0"/>
      <w:divBdr>
        <w:top w:val="none" w:sz="0" w:space="0" w:color="auto"/>
        <w:left w:val="none" w:sz="0" w:space="0" w:color="auto"/>
        <w:bottom w:val="none" w:sz="0" w:space="0" w:color="auto"/>
        <w:right w:val="none" w:sz="0" w:space="0" w:color="auto"/>
      </w:divBdr>
    </w:div>
    <w:div w:id="650061831">
      <w:bodyDiv w:val="1"/>
      <w:marLeft w:val="0"/>
      <w:marRight w:val="0"/>
      <w:marTop w:val="0"/>
      <w:marBottom w:val="0"/>
      <w:divBdr>
        <w:top w:val="none" w:sz="0" w:space="0" w:color="auto"/>
        <w:left w:val="none" w:sz="0" w:space="0" w:color="auto"/>
        <w:bottom w:val="none" w:sz="0" w:space="0" w:color="auto"/>
        <w:right w:val="none" w:sz="0" w:space="0" w:color="auto"/>
      </w:divBdr>
    </w:div>
    <w:div w:id="676855927">
      <w:bodyDiv w:val="1"/>
      <w:marLeft w:val="0"/>
      <w:marRight w:val="0"/>
      <w:marTop w:val="0"/>
      <w:marBottom w:val="0"/>
      <w:divBdr>
        <w:top w:val="none" w:sz="0" w:space="0" w:color="auto"/>
        <w:left w:val="none" w:sz="0" w:space="0" w:color="auto"/>
        <w:bottom w:val="none" w:sz="0" w:space="0" w:color="auto"/>
        <w:right w:val="none" w:sz="0" w:space="0" w:color="auto"/>
      </w:divBdr>
    </w:div>
    <w:div w:id="688718419">
      <w:bodyDiv w:val="1"/>
      <w:marLeft w:val="0"/>
      <w:marRight w:val="0"/>
      <w:marTop w:val="0"/>
      <w:marBottom w:val="0"/>
      <w:divBdr>
        <w:top w:val="none" w:sz="0" w:space="0" w:color="auto"/>
        <w:left w:val="none" w:sz="0" w:space="0" w:color="auto"/>
        <w:bottom w:val="none" w:sz="0" w:space="0" w:color="auto"/>
        <w:right w:val="none" w:sz="0" w:space="0" w:color="auto"/>
      </w:divBdr>
    </w:div>
    <w:div w:id="695616024">
      <w:bodyDiv w:val="1"/>
      <w:marLeft w:val="0"/>
      <w:marRight w:val="0"/>
      <w:marTop w:val="0"/>
      <w:marBottom w:val="0"/>
      <w:divBdr>
        <w:top w:val="none" w:sz="0" w:space="0" w:color="auto"/>
        <w:left w:val="none" w:sz="0" w:space="0" w:color="auto"/>
        <w:bottom w:val="none" w:sz="0" w:space="0" w:color="auto"/>
        <w:right w:val="none" w:sz="0" w:space="0" w:color="auto"/>
      </w:divBdr>
    </w:div>
    <w:div w:id="703749042">
      <w:bodyDiv w:val="1"/>
      <w:marLeft w:val="0"/>
      <w:marRight w:val="0"/>
      <w:marTop w:val="0"/>
      <w:marBottom w:val="0"/>
      <w:divBdr>
        <w:top w:val="none" w:sz="0" w:space="0" w:color="auto"/>
        <w:left w:val="none" w:sz="0" w:space="0" w:color="auto"/>
        <w:bottom w:val="none" w:sz="0" w:space="0" w:color="auto"/>
        <w:right w:val="none" w:sz="0" w:space="0" w:color="auto"/>
      </w:divBdr>
    </w:div>
    <w:div w:id="729353498">
      <w:bodyDiv w:val="1"/>
      <w:marLeft w:val="0"/>
      <w:marRight w:val="0"/>
      <w:marTop w:val="0"/>
      <w:marBottom w:val="0"/>
      <w:divBdr>
        <w:top w:val="none" w:sz="0" w:space="0" w:color="auto"/>
        <w:left w:val="none" w:sz="0" w:space="0" w:color="auto"/>
        <w:bottom w:val="none" w:sz="0" w:space="0" w:color="auto"/>
        <w:right w:val="none" w:sz="0" w:space="0" w:color="auto"/>
      </w:divBdr>
    </w:div>
    <w:div w:id="747963708">
      <w:bodyDiv w:val="1"/>
      <w:marLeft w:val="0"/>
      <w:marRight w:val="0"/>
      <w:marTop w:val="0"/>
      <w:marBottom w:val="0"/>
      <w:divBdr>
        <w:top w:val="none" w:sz="0" w:space="0" w:color="auto"/>
        <w:left w:val="none" w:sz="0" w:space="0" w:color="auto"/>
        <w:bottom w:val="none" w:sz="0" w:space="0" w:color="auto"/>
        <w:right w:val="none" w:sz="0" w:space="0" w:color="auto"/>
      </w:divBdr>
    </w:div>
    <w:div w:id="752901037">
      <w:bodyDiv w:val="1"/>
      <w:marLeft w:val="0"/>
      <w:marRight w:val="0"/>
      <w:marTop w:val="0"/>
      <w:marBottom w:val="0"/>
      <w:divBdr>
        <w:top w:val="none" w:sz="0" w:space="0" w:color="auto"/>
        <w:left w:val="none" w:sz="0" w:space="0" w:color="auto"/>
        <w:bottom w:val="none" w:sz="0" w:space="0" w:color="auto"/>
        <w:right w:val="none" w:sz="0" w:space="0" w:color="auto"/>
      </w:divBdr>
    </w:div>
    <w:div w:id="774403160">
      <w:bodyDiv w:val="1"/>
      <w:marLeft w:val="0"/>
      <w:marRight w:val="0"/>
      <w:marTop w:val="0"/>
      <w:marBottom w:val="0"/>
      <w:divBdr>
        <w:top w:val="none" w:sz="0" w:space="0" w:color="auto"/>
        <w:left w:val="none" w:sz="0" w:space="0" w:color="auto"/>
        <w:bottom w:val="none" w:sz="0" w:space="0" w:color="auto"/>
        <w:right w:val="none" w:sz="0" w:space="0" w:color="auto"/>
      </w:divBdr>
    </w:div>
    <w:div w:id="806896909">
      <w:bodyDiv w:val="1"/>
      <w:marLeft w:val="0"/>
      <w:marRight w:val="0"/>
      <w:marTop w:val="0"/>
      <w:marBottom w:val="0"/>
      <w:divBdr>
        <w:top w:val="none" w:sz="0" w:space="0" w:color="auto"/>
        <w:left w:val="none" w:sz="0" w:space="0" w:color="auto"/>
        <w:bottom w:val="none" w:sz="0" w:space="0" w:color="auto"/>
        <w:right w:val="none" w:sz="0" w:space="0" w:color="auto"/>
      </w:divBdr>
    </w:div>
    <w:div w:id="831524477">
      <w:bodyDiv w:val="1"/>
      <w:marLeft w:val="0"/>
      <w:marRight w:val="0"/>
      <w:marTop w:val="0"/>
      <w:marBottom w:val="0"/>
      <w:divBdr>
        <w:top w:val="none" w:sz="0" w:space="0" w:color="auto"/>
        <w:left w:val="none" w:sz="0" w:space="0" w:color="auto"/>
        <w:bottom w:val="none" w:sz="0" w:space="0" w:color="auto"/>
        <w:right w:val="none" w:sz="0" w:space="0" w:color="auto"/>
      </w:divBdr>
    </w:div>
    <w:div w:id="838619338">
      <w:bodyDiv w:val="1"/>
      <w:marLeft w:val="0"/>
      <w:marRight w:val="0"/>
      <w:marTop w:val="0"/>
      <w:marBottom w:val="0"/>
      <w:divBdr>
        <w:top w:val="none" w:sz="0" w:space="0" w:color="auto"/>
        <w:left w:val="none" w:sz="0" w:space="0" w:color="auto"/>
        <w:bottom w:val="none" w:sz="0" w:space="0" w:color="auto"/>
        <w:right w:val="none" w:sz="0" w:space="0" w:color="auto"/>
      </w:divBdr>
      <w:divsChild>
        <w:div w:id="1566408216">
          <w:marLeft w:val="0"/>
          <w:marRight w:val="0"/>
          <w:marTop w:val="0"/>
          <w:marBottom w:val="0"/>
          <w:divBdr>
            <w:top w:val="none" w:sz="0" w:space="0" w:color="auto"/>
            <w:left w:val="none" w:sz="0" w:space="0" w:color="auto"/>
            <w:bottom w:val="none" w:sz="0" w:space="0" w:color="auto"/>
            <w:right w:val="none" w:sz="0" w:space="0" w:color="auto"/>
          </w:divBdr>
        </w:div>
        <w:div w:id="20522903">
          <w:marLeft w:val="0"/>
          <w:marRight w:val="0"/>
          <w:marTop w:val="0"/>
          <w:marBottom w:val="0"/>
          <w:divBdr>
            <w:top w:val="none" w:sz="0" w:space="0" w:color="auto"/>
            <w:left w:val="none" w:sz="0" w:space="0" w:color="auto"/>
            <w:bottom w:val="none" w:sz="0" w:space="0" w:color="auto"/>
            <w:right w:val="none" w:sz="0" w:space="0" w:color="auto"/>
          </w:divBdr>
        </w:div>
        <w:div w:id="1650671862">
          <w:marLeft w:val="0"/>
          <w:marRight w:val="0"/>
          <w:marTop w:val="0"/>
          <w:marBottom w:val="0"/>
          <w:divBdr>
            <w:top w:val="none" w:sz="0" w:space="0" w:color="auto"/>
            <w:left w:val="none" w:sz="0" w:space="0" w:color="auto"/>
            <w:bottom w:val="none" w:sz="0" w:space="0" w:color="auto"/>
            <w:right w:val="none" w:sz="0" w:space="0" w:color="auto"/>
          </w:divBdr>
        </w:div>
      </w:divsChild>
    </w:div>
    <w:div w:id="855997113">
      <w:bodyDiv w:val="1"/>
      <w:marLeft w:val="0"/>
      <w:marRight w:val="0"/>
      <w:marTop w:val="0"/>
      <w:marBottom w:val="0"/>
      <w:divBdr>
        <w:top w:val="none" w:sz="0" w:space="0" w:color="auto"/>
        <w:left w:val="none" w:sz="0" w:space="0" w:color="auto"/>
        <w:bottom w:val="none" w:sz="0" w:space="0" w:color="auto"/>
        <w:right w:val="none" w:sz="0" w:space="0" w:color="auto"/>
      </w:divBdr>
    </w:div>
    <w:div w:id="875240896">
      <w:bodyDiv w:val="1"/>
      <w:marLeft w:val="0"/>
      <w:marRight w:val="0"/>
      <w:marTop w:val="0"/>
      <w:marBottom w:val="0"/>
      <w:divBdr>
        <w:top w:val="none" w:sz="0" w:space="0" w:color="auto"/>
        <w:left w:val="none" w:sz="0" w:space="0" w:color="auto"/>
        <w:bottom w:val="none" w:sz="0" w:space="0" w:color="auto"/>
        <w:right w:val="none" w:sz="0" w:space="0" w:color="auto"/>
      </w:divBdr>
    </w:div>
    <w:div w:id="884219073">
      <w:bodyDiv w:val="1"/>
      <w:marLeft w:val="0"/>
      <w:marRight w:val="0"/>
      <w:marTop w:val="0"/>
      <w:marBottom w:val="0"/>
      <w:divBdr>
        <w:top w:val="none" w:sz="0" w:space="0" w:color="auto"/>
        <w:left w:val="none" w:sz="0" w:space="0" w:color="auto"/>
        <w:bottom w:val="none" w:sz="0" w:space="0" w:color="auto"/>
        <w:right w:val="none" w:sz="0" w:space="0" w:color="auto"/>
      </w:divBdr>
    </w:div>
    <w:div w:id="898907382">
      <w:bodyDiv w:val="1"/>
      <w:marLeft w:val="0"/>
      <w:marRight w:val="0"/>
      <w:marTop w:val="0"/>
      <w:marBottom w:val="0"/>
      <w:divBdr>
        <w:top w:val="none" w:sz="0" w:space="0" w:color="auto"/>
        <w:left w:val="none" w:sz="0" w:space="0" w:color="auto"/>
        <w:bottom w:val="none" w:sz="0" w:space="0" w:color="auto"/>
        <w:right w:val="none" w:sz="0" w:space="0" w:color="auto"/>
      </w:divBdr>
    </w:div>
    <w:div w:id="931472208">
      <w:bodyDiv w:val="1"/>
      <w:marLeft w:val="0"/>
      <w:marRight w:val="0"/>
      <w:marTop w:val="0"/>
      <w:marBottom w:val="0"/>
      <w:divBdr>
        <w:top w:val="none" w:sz="0" w:space="0" w:color="auto"/>
        <w:left w:val="none" w:sz="0" w:space="0" w:color="auto"/>
        <w:bottom w:val="none" w:sz="0" w:space="0" w:color="auto"/>
        <w:right w:val="none" w:sz="0" w:space="0" w:color="auto"/>
      </w:divBdr>
    </w:div>
    <w:div w:id="935482064">
      <w:bodyDiv w:val="1"/>
      <w:marLeft w:val="0"/>
      <w:marRight w:val="0"/>
      <w:marTop w:val="0"/>
      <w:marBottom w:val="0"/>
      <w:divBdr>
        <w:top w:val="none" w:sz="0" w:space="0" w:color="auto"/>
        <w:left w:val="none" w:sz="0" w:space="0" w:color="auto"/>
        <w:bottom w:val="none" w:sz="0" w:space="0" w:color="auto"/>
        <w:right w:val="none" w:sz="0" w:space="0" w:color="auto"/>
      </w:divBdr>
    </w:div>
    <w:div w:id="943074724">
      <w:bodyDiv w:val="1"/>
      <w:marLeft w:val="0"/>
      <w:marRight w:val="0"/>
      <w:marTop w:val="0"/>
      <w:marBottom w:val="0"/>
      <w:divBdr>
        <w:top w:val="none" w:sz="0" w:space="0" w:color="auto"/>
        <w:left w:val="none" w:sz="0" w:space="0" w:color="auto"/>
        <w:bottom w:val="none" w:sz="0" w:space="0" w:color="auto"/>
        <w:right w:val="none" w:sz="0" w:space="0" w:color="auto"/>
      </w:divBdr>
    </w:div>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949776690">
      <w:bodyDiv w:val="1"/>
      <w:marLeft w:val="0"/>
      <w:marRight w:val="0"/>
      <w:marTop w:val="0"/>
      <w:marBottom w:val="0"/>
      <w:divBdr>
        <w:top w:val="none" w:sz="0" w:space="0" w:color="auto"/>
        <w:left w:val="none" w:sz="0" w:space="0" w:color="auto"/>
        <w:bottom w:val="none" w:sz="0" w:space="0" w:color="auto"/>
        <w:right w:val="none" w:sz="0" w:space="0" w:color="auto"/>
      </w:divBdr>
    </w:div>
    <w:div w:id="955987966">
      <w:bodyDiv w:val="1"/>
      <w:marLeft w:val="0"/>
      <w:marRight w:val="0"/>
      <w:marTop w:val="0"/>
      <w:marBottom w:val="0"/>
      <w:divBdr>
        <w:top w:val="none" w:sz="0" w:space="0" w:color="auto"/>
        <w:left w:val="none" w:sz="0" w:space="0" w:color="auto"/>
        <w:bottom w:val="none" w:sz="0" w:space="0" w:color="auto"/>
        <w:right w:val="none" w:sz="0" w:space="0" w:color="auto"/>
      </w:divBdr>
    </w:div>
    <w:div w:id="961888637">
      <w:bodyDiv w:val="1"/>
      <w:marLeft w:val="0"/>
      <w:marRight w:val="0"/>
      <w:marTop w:val="0"/>
      <w:marBottom w:val="0"/>
      <w:divBdr>
        <w:top w:val="none" w:sz="0" w:space="0" w:color="auto"/>
        <w:left w:val="none" w:sz="0" w:space="0" w:color="auto"/>
        <w:bottom w:val="none" w:sz="0" w:space="0" w:color="auto"/>
        <w:right w:val="none" w:sz="0" w:space="0" w:color="auto"/>
      </w:divBdr>
    </w:div>
    <w:div w:id="984505763">
      <w:bodyDiv w:val="1"/>
      <w:marLeft w:val="0"/>
      <w:marRight w:val="0"/>
      <w:marTop w:val="0"/>
      <w:marBottom w:val="0"/>
      <w:divBdr>
        <w:top w:val="none" w:sz="0" w:space="0" w:color="auto"/>
        <w:left w:val="none" w:sz="0" w:space="0" w:color="auto"/>
        <w:bottom w:val="none" w:sz="0" w:space="0" w:color="auto"/>
        <w:right w:val="none" w:sz="0" w:space="0" w:color="auto"/>
      </w:divBdr>
    </w:div>
    <w:div w:id="991300797">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1035275723">
      <w:bodyDiv w:val="1"/>
      <w:marLeft w:val="0"/>
      <w:marRight w:val="0"/>
      <w:marTop w:val="0"/>
      <w:marBottom w:val="0"/>
      <w:divBdr>
        <w:top w:val="none" w:sz="0" w:space="0" w:color="auto"/>
        <w:left w:val="none" w:sz="0" w:space="0" w:color="auto"/>
        <w:bottom w:val="none" w:sz="0" w:space="0" w:color="auto"/>
        <w:right w:val="none" w:sz="0" w:space="0" w:color="auto"/>
      </w:divBdr>
      <w:divsChild>
        <w:div w:id="508636803">
          <w:marLeft w:val="0"/>
          <w:marRight w:val="0"/>
          <w:marTop w:val="0"/>
          <w:marBottom w:val="0"/>
          <w:divBdr>
            <w:top w:val="none" w:sz="0" w:space="0" w:color="auto"/>
            <w:left w:val="none" w:sz="0" w:space="0" w:color="auto"/>
            <w:bottom w:val="none" w:sz="0" w:space="0" w:color="auto"/>
            <w:right w:val="none" w:sz="0" w:space="0" w:color="auto"/>
          </w:divBdr>
        </w:div>
        <w:div w:id="1563908959">
          <w:marLeft w:val="0"/>
          <w:marRight w:val="0"/>
          <w:marTop w:val="0"/>
          <w:marBottom w:val="0"/>
          <w:divBdr>
            <w:top w:val="none" w:sz="0" w:space="0" w:color="auto"/>
            <w:left w:val="none" w:sz="0" w:space="0" w:color="auto"/>
            <w:bottom w:val="none" w:sz="0" w:space="0" w:color="auto"/>
            <w:right w:val="none" w:sz="0" w:space="0" w:color="auto"/>
          </w:divBdr>
        </w:div>
        <w:div w:id="1554922915">
          <w:marLeft w:val="0"/>
          <w:marRight w:val="0"/>
          <w:marTop w:val="0"/>
          <w:marBottom w:val="0"/>
          <w:divBdr>
            <w:top w:val="none" w:sz="0" w:space="0" w:color="auto"/>
            <w:left w:val="none" w:sz="0" w:space="0" w:color="auto"/>
            <w:bottom w:val="none" w:sz="0" w:space="0" w:color="auto"/>
            <w:right w:val="none" w:sz="0" w:space="0" w:color="auto"/>
          </w:divBdr>
        </w:div>
        <w:div w:id="932324792">
          <w:marLeft w:val="0"/>
          <w:marRight w:val="0"/>
          <w:marTop w:val="0"/>
          <w:marBottom w:val="0"/>
          <w:divBdr>
            <w:top w:val="none" w:sz="0" w:space="0" w:color="auto"/>
            <w:left w:val="none" w:sz="0" w:space="0" w:color="auto"/>
            <w:bottom w:val="none" w:sz="0" w:space="0" w:color="auto"/>
            <w:right w:val="none" w:sz="0" w:space="0" w:color="auto"/>
          </w:divBdr>
        </w:div>
        <w:div w:id="443351950">
          <w:marLeft w:val="0"/>
          <w:marRight w:val="0"/>
          <w:marTop w:val="0"/>
          <w:marBottom w:val="0"/>
          <w:divBdr>
            <w:top w:val="none" w:sz="0" w:space="0" w:color="auto"/>
            <w:left w:val="none" w:sz="0" w:space="0" w:color="auto"/>
            <w:bottom w:val="none" w:sz="0" w:space="0" w:color="auto"/>
            <w:right w:val="none" w:sz="0" w:space="0" w:color="auto"/>
          </w:divBdr>
        </w:div>
        <w:div w:id="1748501818">
          <w:marLeft w:val="0"/>
          <w:marRight w:val="0"/>
          <w:marTop w:val="0"/>
          <w:marBottom w:val="0"/>
          <w:divBdr>
            <w:top w:val="none" w:sz="0" w:space="0" w:color="auto"/>
            <w:left w:val="none" w:sz="0" w:space="0" w:color="auto"/>
            <w:bottom w:val="none" w:sz="0" w:space="0" w:color="auto"/>
            <w:right w:val="none" w:sz="0" w:space="0" w:color="auto"/>
          </w:divBdr>
        </w:div>
        <w:div w:id="275672299">
          <w:marLeft w:val="0"/>
          <w:marRight w:val="0"/>
          <w:marTop w:val="0"/>
          <w:marBottom w:val="0"/>
          <w:divBdr>
            <w:top w:val="none" w:sz="0" w:space="0" w:color="auto"/>
            <w:left w:val="none" w:sz="0" w:space="0" w:color="auto"/>
            <w:bottom w:val="none" w:sz="0" w:space="0" w:color="auto"/>
            <w:right w:val="none" w:sz="0" w:space="0" w:color="auto"/>
          </w:divBdr>
        </w:div>
        <w:div w:id="551425504">
          <w:marLeft w:val="0"/>
          <w:marRight w:val="0"/>
          <w:marTop w:val="0"/>
          <w:marBottom w:val="0"/>
          <w:divBdr>
            <w:top w:val="none" w:sz="0" w:space="0" w:color="auto"/>
            <w:left w:val="none" w:sz="0" w:space="0" w:color="auto"/>
            <w:bottom w:val="none" w:sz="0" w:space="0" w:color="auto"/>
            <w:right w:val="none" w:sz="0" w:space="0" w:color="auto"/>
          </w:divBdr>
        </w:div>
      </w:divsChild>
    </w:div>
    <w:div w:id="1048798479">
      <w:bodyDiv w:val="1"/>
      <w:marLeft w:val="0"/>
      <w:marRight w:val="0"/>
      <w:marTop w:val="0"/>
      <w:marBottom w:val="0"/>
      <w:divBdr>
        <w:top w:val="none" w:sz="0" w:space="0" w:color="auto"/>
        <w:left w:val="none" w:sz="0" w:space="0" w:color="auto"/>
        <w:bottom w:val="none" w:sz="0" w:space="0" w:color="auto"/>
        <w:right w:val="none" w:sz="0" w:space="0" w:color="auto"/>
      </w:divBdr>
    </w:div>
    <w:div w:id="1053582530">
      <w:bodyDiv w:val="1"/>
      <w:marLeft w:val="0"/>
      <w:marRight w:val="0"/>
      <w:marTop w:val="0"/>
      <w:marBottom w:val="0"/>
      <w:divBdr>
        <w:top w:val="none" w:sz="0" w:space="0" w:color="auto"/>
        <w:left w:val="none" w:sz="0" w:space="0" w:color="auto"/>
        <w:bottom w:val="none" w:sz="0" w:space="0" w:color="auto"/>
        <w:right w:val="none" w:sz="0" w:space="0" w:color="auto"/>
      </w:divBdr>
    </w:div>
    <w:div w:id="1058169724">
      <w:bodyDiv w:val="1"/>
      <w:marLeft w:val="0"/>
      <w:marRight w:val="0"/>
      <w:marTop w:val="0"/>
      <w:marBottom w:val="0"/>
      <w:divBdr>
        <w:top w:val="none" w:sz="0" w:space="0" w:color="auto"/>
        <w:left w:val="none" w:sz="0" w:space="0" w:color="auto"/>
        <w:bottom w:val="none" w:sz="0" w:space="0" w:color="auto"/>
        <w:right w:val="none" w:sz="0" w:space="0" w:color="auto"/>
      </w:divBdr>
      <w:divsChild>
        <w:div w:id="24212099">
          <w:marLeft w:val="0"/>
          <w:marRight w:val="0"/>
          <w:marTop w:val="0"/>
          <w:marBottom w:val="0"/>
          <w:divBdr>
            <w:top w:val="none" w:sz="0" w:space="0" w:color="auto"/>
            <w:left w:val="none" w:sz="0" w:space="0" w:color="auto"/>
            <w:bottom w:val="none" w:sz="0" w:space="0" w:color="auto"/>
            <w:right w:val="none" w:sz="0" w:space="0" w:color="auto"/>
          </w:divBdr>
        </w:div>
        <w:div w:id="877477227">
          <w:marLeft w:val="0"/>
          <w:marRight w:val="0"/>
          <w:marTop w:val="0"/>
          <w:marBottom w:val="0"/>
          <w:divBdr>
            <w:top w:val="none" w:sz="0" w:space="0" w:color="auto"/>
            <w:left w:val="none" w:sz="0" w:space="0" w:color="auto"/>
            <w:bottom w:val="none" w:sz="0" w:space="0" w:color="auto"/>
            <w:right w:val="none" w:sz="0" w:space="0" w:color="auto"/>
          </w:divBdr>
        </w:div>
        <w:div w:id="1367754778">
          <w:marLeft w:val="0"/>
          <w:marRight w:val="0"/>
          <w:marTop w:val="0"/>
          <w:marBottom w:val="0"/>
          <w:divBdr>
            <w:top w:val="none" w:sz="0" w:space="0" w:color="auto"/>
            <w:left w:val="none" w:sz="0" w:space="0" w:color="auto"/>
            <w:bottom w:val="none" w:sz="0" w:space="0" w:color="auto"/>
            <w:right w:val="none" w:sz="0" w:space="0" w:color="auto"/>
          </w:divBdr>
        </w:div>
        <w:div w:id="398869527">
          <w:marLeft w:val="0"/>
          <w:marRight w:val="0"/>
          <w:marTop w:val="0"/>
          <w:marBottom w:val="0"/>
          <w:divBdr>
            <w:top w:val="none" w:sz="0" w:space="0" w:color="auto"/>
            <w:left w:val="none" w:sz="0" w:space="0" w:color="auto"/>
            <w:bottom w:val="none" w:sz="0" w:space="0" w:color="auto"/>
            <w:right w:val="none" w:sz="0" w:space="0" w:color="auto"/>
          </w:divBdr>
        </w:div>
      </w:divsChild>
    </w:div>
    <w:div w:id="1064527005">
      <w:bodyDiv w:val="1"/>
      <w:marLeft w:val="0"/>
      <w:marRight w:val="0"/>
      <w:marTop w:val="0"/>
      <w:marBottom w:val="0"/>
      <w:divBdr>
        <w:top w:val="none" w:sz="0" w:space="0" w:color="auto"/>
        <w:left w:val="none" w:sz="0" w:space="0" w:color="auto"/>
        <w:bottom w:val="none" w:sz="0" w:space="0" w:color="auto"/>
        <w:right w:val="none" w:sz="0" w:space="0" w:color="auto"/>
      </w:divBdr>
    </w:div>
    <w:div w:id="1089304335">
      <w:bodyDiv w:val="1"/>
      <w:marLeft w:val="0"/>
      <w:marRight w:val="0"/>
      <w:marTop w:val="0"/>
      <w:marBottom w:val="0"/>
      <w:divBdr>
        <w:top w:val="none" w:sz="0" w:space="0" w:color="auto"/>
        <w:left w:val="none" w:sz="0" w:space="0" w:color="auto"/>
        <w:bottom w:val="none" w:sz="0" w:space="0" w:color="auto"/>
        <w:right w:val="none" w:sz="0" w:space="0" w:color="auto"/>
      </w:divBdr>
    </w:div>
    <w:div w:id="1095517206">
      <w:bodyDiv w:val="1"/>
      <w:marLeft w:val="0"/>
      <w:marRight w:val="0"/>
      <w:marTop w:val="0"/>
      <w:marBottom w:val="0"/>
      <w:divBdr>
        <w:top w:val="none" w:sz="0" w:space="0" w:color="auto"/>
        <w:left w:val="none" w:sz="0" w:space="0" w:color="auto"/>
        <w:bottom w:val="none" w:sz="0" w:space="0" w:color="auto"/>
        <w:right w:val="none" w:sz="0" w:space="0" w:color="auto"/>
      </w:divBdr>
    </w:div>
    <w:div w:id="1122455850">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
    <w:div w:id="1137726412">
      <w:bodyDiv w:val="1"/>
      <w:marLeft w:val="0"/>
      <w:marRight w:val="0"/>
      <w:marTop w:val="0"/>
      <w:marBottom w:val="0"/>
      <w:divBdr>
        <w:top w:val="none" w:sz="0" w:space="0" w:color="auto"/>
        <w:left w:val="none" w:sz="0" w:space="0" w:color="auto"/>
        <w:bottom w:val="none" w:sz="0" w:space="0" w:color="auto"/>
        <w:right w:val="none" w:sz="0" w:space="0" w:color="auto"/>
      </w:divBdr>
    </w:div>
    <w:div w:id="1172062471">
      <w:bodyDiv w:val="1"/>
      <w:marLeft w:val="0"/>
      <w:marRight w:val="0"/>
      <w:marTop w:val="0"/>
      <w:marBottom w:val="0"/>
      <w:divBdr>
        <w:top w:val="none" w:sz="0" w:space="0" w:color="auto"/>
        <w:left w:val="none" w:sz="0" w:space="0" w:color="auto"/>
        <w:bottom w:val="none" w:sz="0" w:space="0" w:color="auto"/>
        <w:right w:val="none" w:sz="0" w:space="0" w:color="auto"/>
      </w:divBdr>
      <w:divsChild>
        <w:div w:id="367996921">
          <w:marLeft w:val="0"/>
          <w:marRight w:val="0"/>
          <w:marTop w:val="0"/>
          <w:marBottom w:val="0"/>
          <w:divBdr>
            <w:top w:val="none" w:sz="0" w:space="0" w:color="auto"/>
            <w:left w:val="none" w:sz="0" w:space="0" w:color="auto"/>
            <w:bottom w:val="none" w:sz="0" w:space="0" w:color="auto"/>
            <w:right w:val="none" w:sz="0" w:space="0" w:color="auto"/>
          </w:divBdr>
        </w:div>
        <w:div w:id="2025087829">
          <w:marLeft w:val="0"/>
          <w:marRight w:val="0"/>
          <w:marTop w:val="0"/>
          <w:marBottom w:val="0"/>
          <w:divBdr>
            <w:top w:val="none" w:sz="0" w:space="0" w:color="auto"/>
            <w:left w:val="none" w:sz="0" w:space="0" w:color="auto"/>
            <w:bottom w:val="none" w:sz="0" w:space="0" w:color="auto"/>
            <w:right w:val="none" w:sz="0" w:space="0" w:color="auto"/>
          </w:divBdr>
        </w:div>
        <w:div w:id="1789004898">
          <w:marLeft w:val="0"/>
          <w:marRight w:val="0"/>
          <w:marTop w:val="0"/>
          <w:marBottom w:val="0"/>
          <w:divBdr>
            <w:top w:val="none" w:sz="0" w:space="0" w:color="auto"/>
            <w:left w:val="none" w:sz="0" w:space="0" w:color="auto"/>
            <w:bottom w:val="none" w:sz="0" w:space="0" w:color="auto"/>
            <w:right w:val="none" w:sz="0" w:space="0" w:color="auto"/>
          </w:divBdr>
        </w:div>
        <w:div w:id="347802993">
          <w:marLeft w:val="0"/>
          <w:marRight w:val="0"/>
          <w:marTop w:val="0"/>
          <w:marBottom w:val="0"/>
          <w:divBdr>
            <w:top w:val="none" w:sz="0" w:space="0" w:color="auto"/>
            <w:left w:val="none" w:sz="0" w:space="0" w:color="auto"/>
            <w:bottom w:val="none" w:sz="0" w:space="0" w:color="auto"/>
            <w:right w:val="none" w:sz="0" w:space="0" w:color="auto"/>
          </w:divBdr>
        </w:div>
        <w:div w:id="1067335438">
          <w:marLeft w:val="0"/>
          <w:marRight w:val="0"/>
          <w:marTop w:val="0"/>
          <w:marBottom w:val="0"/>
          <w:divBdr>
            <w:top w:val="none" w:sz="0" w:space="0" w:color="auto"/>
            <w:left w:val="none" w:sz="0" w:space="0" w:color="auto"/>
            <w:bottom w:val="none" w:sz="0" w:space="0" w:color="auto"/>
            <w:right w:val="none" w:sz="0" w:space="0" w:color="auto"/>
          </w:divBdr>
        </w:div>
        <w:div w:id="593172559">
          <w:marLeft w:val="0"/>
          <w:marRight w:val="0"/>
          <w:marTop w:val="0"/>
          <w:marBottom w:val="0"/>
          <w:divBdr>
            <w:top w:val="none" w:sz="0" w:space="0" w:color="auto"/>
            <w:left w:val="none" w:sz="0" w:space="0" w:color="auto"/>
            <w:bottom w:val="none" w:sz="0" w:space="0" w:color="auto"/>
            <w:right w:val="none" w:sz="0" w:space="0" w:color="auto"/>
          </w:divBdr>
        </w:div>
        <w:div w:id="614101997">
          <w:marLeft w:val="0"/>
          <w:marRight w:val="0"/>
          <w:marTop w:val="0"/>
          <w:marBottom w:val="0"/>
          <w:divBdr>
            <w:top w:val="none" w:sz="0" w:space="0" w:color="auto"/>
            <w:left w:val="none" w:sz="0" w:space="0" w:color="auto"/>
            <w:bottom w:val="none" w:sz="0" w:space="0" w:color="auto"/>
            <w:right w:val="none" w:sz="0" w:space="0" w:color="auto"/>
          </w:divBdr>
        </w:div>
        <w:div w:id="63917499">
          <w:marLeft w:val="0"/>
          <w:marRight w:val="0"/>
          <w:marTop w:val="0"/>
          <w:marBottom w:val="0"/>
          <w:divBdr>
            <w:top w:val="none" w:sz="0" w:space="0" w:color="auto"/>
            <w:left w:val="none" w:sz="0" w:space="0" w:color="auto"/>
            <w:bottom w:val="none" w:sz="0" w:space="0" w:color="auto"/>
            <w:right w:val="none" w:sz="0" w:space="0" w:color="auto"/>
          </w:divBdr>
        </w:div>
        <w:div w:id="673606844">
          <w:marLeft w:val="0"/>
          <w:marRight w:val="0"/>
          <w:marTop w:val="0"/>
          <w:marBottom w:val="0"/>
          <w:divBdr>
            <w:top w:val="none" w:sz="0" w:space="0" w:color="auto"/>
            <w:left w:val="none" w:sz="0" w:space="0" w:color="auto"/>
            <w:bottom w:val="none" w:sz="0" w:space="0" w:color="auto"/>
            <w:right w:val="none" w:sz="0" w:space="0" w:color="auto"/>
          </w:divBdr>
        </w:div>
        <w:div w:id="348677107">
          <w:marLeft w:val="0"/>
          <w:marRight w:val="0"/>
          <w:marTop w:val="0"/>
          <w:marBottom w:val="0"/>
          <w:divBdr>
            <w:top w:val="none" w:sz="0" w:space="0" w:color="auto"/>
            <w:left w:val="none" w:sz="0" w:space="0" w:color="auto"/>
            <w:bottom w:val="none" w:sz="0" w:space="0" w:color="auto"/>
            <w:right w:val="none" w:sz="0" w:space="0" w:color="auto"/>
          </w:divBdr>
        </w:div>
        <w:div w:id="2131238868">
          <w:marLeft w:val="0"/>
          <w:marRight w:val="0"/>
          <w:marTop w:val="0"/>
          <w:marBottom w:val="0"/>
          <w:divBdr>
            <w:top w:val="none" w:sz="0" w:space="0" w:color="auto"/>
            <w:left w:val="none" w:sz="0" w:space="0" w:color="auto"/>
            <w:bottom w:val="none" w:sz="0" w:space="0" w:color="auto"/>
            <w:right w:val="none" w:sz="0" w:space="0" w:color="auto"/>
          </w:divBdr>
        </w:div>
        <w:div w:id="421221024">
          <w:marLeft w:val="0"/>
          <w:marRight w:val="0"/>
          <w:marTop w:val="0"/>
          <w:marBottom w:val="0"/>
          <w:divBdr>
            <w:top w:val="none" w:sz="0" w:space="0" w:color="auto"/>
            <w:left w:val="none" w:sz="0" w:space="0" w:color="auto"/>
            <w:bottom w:val="none" w:sz="0" w:space="0" w:color="auto"/>
            <w:right w:val="none" w:sz="0" w:space="0" w:color="auto"/>
          </w:divBdr>
        </w:div>
        <w:div w:id="1678266057">
          <w:marLeft w:val="0"/>
          <w:marRight w:val="0"/>
          <w:marTop w:val="0"/>
          <w:marBottom w:val="0"/>
          <w:divBdr>
            <w:top w:val="none" w:sz="0" w:space="0" w:color="auto"/>
            <w:left w:val="none" w:sz="0" w:space="0" w:color="auto"/>
            <w:bottom w:val="none" w:sz="0" w:space="0" w:color="auto"/>
            <w:right w:val="none" w:sz="0" w:space="0" w:color="auto"/>
          </w:divBdr>
        </w:div>
        <w:div w:id="387918488">
          <w:marLeft w:val="0"/>
          <w:marRight w:val="0"/>
          <w:marTop w:val="0"/>
          <w:marBottom w:val="0"/>
          <w:divBdr>
            <w:top w:val="none" w:sz="0" w:space="0" w:color="auto"/>
            <w:left w:val="none" w:sz="0" w:space="0" w:color="auto"/>
            <w:bottom w:val="none" w:sz="0" w:space="0" w:color="auto"/>
            <w:right w:val="none" w:sz="0" w:space="0" w:color="auto"/>
          </w:divBdr>
        </w:div>
        <w:div w:id="771819755">
          <w:marLeft w:val="0"/>
          <w:marRight w:val="0"/>
          <w:marTop w:val="0"/>
          <w:marBottom w:val="0"/>
          <w:divBdr>
            <w:top w:val="none" w:sz="0" w:space="0" w:color="auto"/>
            <w:left w:val="none" w:sz="0" w:space="0" w:color="auto"/>
            <w:bottom w:val="none" w:sz="0" w:space="0" w:color="auto"/>
            <w:right w:val="none" w:sz="0" w:space="0" w:color="auto"/>
          </w:divBdr>
        </w:div>
        <w:div w:id="429937055">
          <w:marLeft w:val="0"/>
          <w:marRight w:val="0"/>
          <w:marTop w:val="0"/>
          <w:marBottom w:val="0"/>
          <w:divBdr>
            <w:top w:val="none" w:sz="0" w:space="0" w:color="auto"/>
            <w:left w:val="none" w:sz="0" w:space="0" w:color="auto"/>
            <w:bottom w:val="none" w:sz="0" w:space="0" w:color="auto"/>
            <w:right w:val="none" w:sz="0" w:space="0" w:color="auto"/>
          </w:divBdr>
        </w:div>
        <w:div w:id="1890918992">
          <w:marLeft w:val="0"/>
          <w:marRight w:val="0"/>
          <w:marTop w:val="0"/>
          <w:marBottom w:val="0"/>
          <w:divBdr>
            <w:top w:val="none" w:sz="0" w:space="0" w:color="auto"/>
            <w:left w:val="none" w:sz="0" w:space="0" w:color="auto"/>
            <w:bottom w:val="none" w:sz="0" w:space="0" w:color="auto"/>
            <w:right w:val="none" w:sz="0" w:space="0" w:color="auto"/>
          </w:divBdr>
        </w:div>
        <w:div w:id="1764257395">
          <w:marLeft w:val="0"/>
          <w:marRight w:val="0"/>
          <w:marTop w:val="0"/>
          <w:marBottom w:val="0"/>
          <w:divBdr>
            <w:top w:val="none" w:sz="0" w:space="0" w:color="auto"/>
            <w:left w:val="none" w:sz="0" w:space="0" w:color="auto"/>
            <w:bottom w:val="none" w:sz="0" w:space="0" w:color="auto"/>
            <w:right w:val="none" w:sz="0" w:space="0" w:color="auto"/>
          </w:divBdr>
        </w:div>
        <w:div w:id="1717851389">
          <w:marLeft w:val="0"/>
          <w:marRight w:val="0"/>
          <w:marTop w:val="0"/>
          <w:marBottom w:val="0"/>
          <w:divBdr>
            <w:top w:val="none" w:sz="0" w:space="0" w:color="auto"/>
            <w:left w:val="none" w:sz="0" w:space="0" w:color="auto"/>
            <w:bottom w:val="none" w:sz="0" w:space="0" w:color="auto"/>
            <w:right w:val="none" w:sz="0" w:space="0" w:color="auto"/>
          </w:divBdr>
        </w:div>
        <w:div w:id="26682117">
          <w:marLeft w:val="0"/>
          <w:marRight w:val="0"/>
          <w:marTop w:val="0"/>
          <w:marBottom w:val="0"/>
          <w:divBdr>
            <w:top w:val="none" w:sz="0" w:space="0" w:color="auto"/>
            <w:left w:val="none" w:sz="0" w:space="0" w:color="auto"/>
            <w:bottom w:val="none" w:sz="0" w:space="0" w:color="auto"/>
            <w:right w:val="none" w:sz="0" w:space="0" w:color="auto"/>
          </w:divBdr>
        </w:div>
        <w:div w:id="2116438140">
          <w:marLeft w:val="0"/>
          <w:marRight w:val="0"/>
          <w:marTop w:val="0"/>
          <w:marBottom w:val="0"/>
          <w:divBdr>
            <w:top w:val="none" w:sz="0" w:space="0" w:color="auto"/>
            <w:left w:val="none" w:sz="0" w:space="0" w:color="auto"/>
            <w:bottom w:val="none" w:sz="0" w:space="0" w:color="auto"/>
            <w:right w:val="none" w:sz="0" w:space="0" w:color="auto"/>
          </w:divBdr>
        </w:div>
        <w:div w:id="1603033148">
          <w:marLeft w:val="0"/>
          <w:marRight w:val="0"/>
          <w:marTop w:val="0"/>
          <w:marBottom w:val="0"/>
          <w:divBdr>
            <w:top w:val="none" w:sz="0" w:space="0" w:color="auto"/>
            <w:left w:val="none" w:sz="0" w:space="0" w:color="auto"/>
            <w:bottom w:val="none" w:sz="0" w:space="0" w:color="auto"/>
            <w:right w:val="none" w:sz="0" w:space="0" w:color="auto"/>
          </w:divBdr>
        </w:div>
        <w:div w:id="630668790">
          <w:marLeft w:val="0"/>
          <w:marRight w:val="0"/>
          <w:marTop w:val="0"/>
          <w:marBottom w:val="0"/>
          <w:divBdr>
            <w:top w:val="none" w:sz="0" w:space="0" w:color="auto"/>
            <w:left w:val="none" w:sz="0" w:space="0" w:color="auto"/>
            <w:bottom w:val="none" w:sz="0" w:space="0" w:color="auto"/>
            <w:right w:val="none" w:sz="0" w:space="0" w:color="auto"/>
          </w:divBdr>
        </w:div>
        <w:div w:id="438647257">
          <w:marLeft w:val="0"/>
          <w:marRight w:val="0"/>
          <w:marTop w:val="0"/>
          <w:marBottom w:val="0"/>
          <w:divBdr>
            <w:top w:val="none" w:sz="0" w:space="0" w:color="auto"/>
            <w:left w:val="none" w:sz="0" w:space="0" w:color="auto"/>
            <w:bottom w:val="none" w:sz="0" w:space="0" w:color="auto"/>
            <w:right w:val="none" w:sz="0" w:space="0" w:color="auto"/>
          </w:divBdr>
        </w:div>
        <w:div w:id="1208762609">
          <w:marLeft w:val="0"/>
          <w:marRight w:val="0"/>
          <w:marTop w:val="0"/>
          <w:marBottom w:val="0"/>
          <w:divBdr>
            <w:top w:val="none" w:sz="0" w:space="0" w:color="auto"/>
            <w:left w:val="none" w:sz="0" w:space="0" w:color="auto"/>
            <w:bottom w:val="none" w:sz="0" w:space="0" w:color="auto"/>
            <w:right w:val="none" w:sz="0" w:space="0" w:color="auto"/>
          </w:divBdr>
        </w:div>
        <w:div w:id="200897519">
          <w:marLeft w:val="0"/>
          <w:marRight w:val="0"/>
          <w:marTop w:val="0"/>
          <w:marBottom w:val="0"/>
          <w:divBdr>
            <w:top w:val="none" w:sz="0" w:space="0" w:color="auto"/>
            <w:left w:val="none" w:sz="0" w:space="0" w:color="auto"/>
            <w:bottom w:val="none" w:sz="0" w:space="0" w:color="auto"/>
            <w:right w:val="none" w:sz="0" w:space="0" w:color="auto"/>
          </w:divBdr>
        </w:div>
        <w:div w:id="1000237076">
          <w:marLeft w:val="0"/>
          <w:marRight w:val="0"/>
          <w:marTop w:val="0"/>
          <w:marBottom w:val="0"/>
          <w:divBdr>
            <w:top w:val="none" w:sz="0" w:space="0" w:color="auto"/>
            <w:left w:val="none" w:sz="0" w:space="0" w:color="auto"/>
            <w:bottom w:val="none" w:sz="0" w:space="0" w:color="auto"/>
            <w:right w:val="none" w:sz="0" w:space="0" w:color="auto"/>
          </w:divBdr>
        </w:div>
        <w:div w:id="2066290778">
          <w:marLeft w:val="0"/>
          <w:marRight w:val="0"/>
          <w:marTop w:val="0"/>
          <w:marBottom w:val="0"/>
          <w:divBdr>
            <w:top w:val="none" w:sz="0" w:space="0" w:color="auto"/>
            <w:left w:val="none" w:sz="0" w:space="0" w:color="auto"/>
            <w:bottom w:val="none" w:sz="0" w:space="0" w:color="auto"/>
            <w:right w:val="none" w:sz="0" w:space="0" w:color="auto"/>
          </w:divBdr>
        </w:div>
        <w:div w:id="1044911449">
          <w:marLeft w:val="0"/>
          <w:marRight w:val="0"/>
          <w:marTop w:val="0"/>
          <w:marBottom w:val="0"/>
          <w:divBdr>
            <w:top w:val="none" w:sz="0" w:space="0" w:color="auto"/>
            <w:left w:val="none" w:sz="0" w:space="0" w:color="auto"/>
            <w:bottom w:val="none" w:sz="0" w:space="0" w:color="auto"/>
            <w:right w:val="none" w:sz="0" w:space="0" w:color="auto"/>
          </w:divBdr>
        </w:div>
        <w:div w:id="2064592857">
          <w:marLeft w:val="0"/>
          <w:marRight w:val="0"/>
          <w:marTop w:val="0"/>
          <w:marBottom w:val="0"/>
          <w:divBdr>
            <w:top w:val="none" w:sz="0" w:space="0" w:color="auto"/>
            <w:left w:val="none" w:sz="0" w:space="0" w:color="auto"/>
            <w:bottom w:val="none" w:sz="0" w:space="0" w:color="auto"/>
            <w:right w:val="none" w:sz="0" w:space="0" w:color="auto"/>
          </w:divBdr>
        </w:div>
        <w:div w:id="1050304453">
          <w:marLeft w:val="0"/>
          <w:marRight w:val="0"/>
          <w:marTop w:val="0"/>
          <w:marBottom w:val="0"/>
          <w:divBdr>
            <w:top w:val="none" w:sz="0" w:space="0" w:color="auto"/>
            <w:left w:val="none" w:sz="0" w:space="0" w:color="auto"/>
            <w:bottom w:val="none" w:sz="0" w:space="0" w:color="auto"/>
            <w:right w:val="none" w:sz="0" w:space="0" w:color="auto"/>
          </w:divBdr>
        </w:div>
        <w:div w:id="1049576402">
          <w:marLeft w:val="0"/>
          <w:marRight w:val="0"/>
          <w:marTop w:val="0"/>
          <w:marBottom w:val="0"/>
          <w:divBdr>
            <w:top w:val="none" w:sz="0" w:space="0" w:color="auto"/>
            <w:left w:val="none" w:sz="0" w:space="0" w:color="auto"/>
            <w:bottom w:val="none" w:sz="0" w:space="0" w:color="auto"/>
            <w:right w:val="none" w:sz="0" w:space="0" w:color="auto"/>
          </w:divBdr>
        </w:div>
        <w:div w:id="1653217803">
          <w:marLeft w:val="0"/>
          <w:marRight w:val="0"/>
          <w:marTop w:val="0"/>
          <w:marBottom w:val="0"/>
          <w:divBdr>
            <w:top w:val="none" w:sz="0" w:space="0" w:color="auto"/>
            <w:left w:val="none" w:sz="0" w:space="0" w:color="auto"/>
            <w:bottom w:val="none" w:sz="0" w:space="0" w:color="auto"/>
            <w:right w:val="none" w:sz="0" w:space="0" w:color="auto"/>
          </w:divBdr>
        </w:div>
        <w:div w:id="507213574">
          <w:marLeft w:val="0"/>
          <w:marRight w:val="0"/>
          <w:marTop w:val="0"/>
          <w:marBottom w:val="0"/>
          <w:divBdr>
            <w:top w:val="none" w:sz="0" w:space="0" w:color="auto"/>
            <w:left w:val="none" w:sz="0" w:space="0" w:color="auto"/>
            <w:bottom w:val="none" w:sz="0" w:space="0" w:color="auto"/>
            <w:right w:val="none" w:sz="0" w:space="0" w:color="auto"/>
          </w:divBdr>
        </w:div>
        <w:div w:id="1215044809">
          <w:marLeft w:val="0"/>
          <w:marRight w:val="0"/>
          <w:marTop w:val="0"/>
          <w:marBottom w:val="0"/>
          <w:divBdr>
            <w:top w:val="none" w:sz="0" w:space="0" w:color="auto"/>
            <w:left w:val="none" w:sz="0" w:space="0" w:color="auto"/>
            <w:bottom w:val="none" w:sz="0" w:space="0" w:color="auto"/>
            <w:right w:val="none" w:sz="0" w:space="0" w:color="auto"/>
          </w:divBdr>
        </w:div>
        <w:div w:id="1628511771">
          <w:marLeft w:val="0"/>
          <w:marRight w:val="0"/>
          <w:marTop w:val="0"/>
          <w:marBottom w:val="0"/>
          <w:divBdr>
            <w:top w:val="none" w:sz="0" w:space="0" w:color="auto"/>
            <w:left w:val="none" w:sz="0" w:space="0" w:color="auto"/>
            <w:bottom w:val="none" w:sz="0" w:space="0" w:color="auto"/>
            <w:right w:val="none" w:sz="0" w:space="0" w:color="auto"/>
          </w:divBdr>
        </w:div>
        <w:div w:id="301886919">
          <w:marLeft w:val="0"/>
          <w:marRight w:val="0"/>
          <w:marTop w:val="0"/>
          <w:marBottom w:val="0"/>
          <w:divBdr>
            <w:top w:val="none" w:sz="0" w:space="0" w:color="auto"/>
            <w:left w:val="none" w:sz="0" w:space="0" w:color="auto"/>
            <w:bottom w:val="none" w:sz="0" w:space="0" w:color="auto"/>
            <w:right w:val="none" w:sz="0" w:space="0" w:color="auto"/>
          </w:divBdr>
        </w:div>
        <w:div w:id="469902817">
          <w:marLeft w:val="0"/>
          <w:marRight w:val="0"/>
          <w:marTop w:val="0"/>
          <w:marBottom w:val="0"/>
          <w:divBdr>
            <w:top w:val="none" w:sz="0" w:space="0" w:color="auto"/>
            <w:left w:val="none" w:sz="0" w:space="0" w:color="auto"/>
            <w:bottom w:val="none" w:sz="0" w:space="0" w:color="auto"/>
            <w:right w:val="none" w:sz="0" w:space="0" w:color="auto"/>
          </w:divBdr>
        </w:div>
      </w:divsChild>
    </w:div>
    <w:div w:id="1174881915">
      <w:bodyDiv w:val="1"/>
      <w:marLeft w:val="0"/>
      <w:marRight w:val="0"/>
      <w:marTop w:val="0"/>
      <w:marBottom w:val="0"/>
      <w:divBdr>
        <w:top w:val="none" w:sz="0" w:space="0" w:color="auto"/>
        <w:left w:val="none" w:sz="0" w:space="0" w:color="auto"/>
        <w:bottom w:val="none" w:sz="0" w:space="0" w:color="auto"/>
        <w:right w:val="none" w:sz="0" w:space="0" w:color="auto"/>
      </w:divBdr>
    </w:div>
    <w:div w:id="1193377570">
      <w:bodyDiv w:val="1"/>
      <w:marLeft w:val="0"/>
      <w:marRight w:val="0"/>
      <w:marTop w:val="0"/>
      <w:marBottom w:val="0"/>
      <w:divBdr>
        <w:top w:val="none" w:sz="0" w:space="0" w:color="auto"/>
        <w:left w:val="none" w:sz="0" w:space="0" w:color="auto"/>
        <w:bottom w:val="none" w:sz="0" w:space="0" w:color="auto"/>
        <w:right w:val="none" w:sz="0" w:space="0" w:color="auto"/>
      </w:divBdr>
    </w:div>
    <w:div w:id="1193417585">
      <w:bodyDiv w:val="1"/>
      <w:marLeft w:val="0"/>
      <w:marRight w:val="0"/>
      <w:marTop w:val="0"/>
      <w:marBottom w:val="0"/>
      <w:divBdr>
        <w:top w:val="none" w:sz="0" w:space="0" w:color="auto"/>
        <w:left w:val="none" w:sz="0" w:space="0" w:color="auto"/>
        <w:bottom w:val="none" w:sz="0" w:space="0" w:color="auto"/>
        <w:right w:val="none" w:sz="0" w:space="0" w:color="auto"/>
      </w:divBdr>
    </w:div>
    <w:div w:id="1209878885">
      <w:bodyDiv w:val="1"/>
      <w:marLeft w:val="0"/>
      <w:marRight w:val="0"/>
      <w:marTop w:val="0"/>
      <w:marBottom w:val="0"/>
      <w:divBdr>
        <w:top w:val="none" w:sz="0" w:space="0" w:color="auto"/>
        <w:left w:val="none" w:sz="0" w:space="0" w:color="auto"/>
        <w:bottom w:val="none" w:sz="0" w:space="0" w:color="auto"/>
        <w:right w:val="none" w:sz="0" w:space="0" w:color="auto"/>
      </w:divBdr>
    </w:div>
    <w:div w:id="1221090073">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276136357">
      <w:bodyDiv w:val="1"/>
      <w:marLeft w:val="0"/>
      <w:marRight w:val="0"/>
      <w:marTop w:val="0"/>
      <w:marBottom w:val="0"/>
      <w:divBdr>
        <w:top w:val="none" w:sz="0" w:space="0" w:color="auto"/>
        <w:left w:val="none" w:sz="0" w:space="0" w:color="auto"/>
        <w:bottom w:val="none" w:sz="0" w:space="0" w:color="auto"/>
        <w:right w:val="none" w:sz="0" w:space="0" w:color="auto"/>
      </w:divBdr>
      <w:divsChild>
        <w:div w:id="608633685">
          <w:marLeft w:val="0"/>
          <w:marRight w:val="0"/>
          <w:marTop w:val="0"/>
          <w:marBottom w:val="0"/>
          <w:divBdr>
            <w:top w:val="none" w:sz="0" w:space="0" w:color="auto"/>
            <w:left w:val="none" w:sz="0" w:space="0" w:color="auto"/>
            <w:bottom w:val="none" w:sz="0" w:space="0" w:color="auto"/>
            <w:right w:val="none" w:sz="0" w:space="0" w:color="auto"/>
          </w:divBdr>
        </w:div>
        <w:div w:id="1359820369">
          <w:marLeft w:val="0"/>
          <w:marRight w:val="0"/>
          <w:marTop w:val="0"/>
          <w:marBottom w:val="0"/>
          <w:divBdr>
            <w:top w:val="none" w:sz="0" w:space="0" w:color="auto"/>
            <w:left w:val="none" w:sz="0" w:space="0" w:color="auto"/>
            <w:bottom w:val="none" w:sz="0" w:space="0" w:color="auto"/>
            <w:right w:val="none" w:sz="0" w:space="0" w:color="auto"/>
          </w:divBdr>
        </w:div>
      </w:divsChild>
    </w:div>
    <w:div w:id="1300457773">
      <w:bodyDiv w:val="1"/>
      <w:marLeft w:val="0"/>
      <w:marRight w:val="0"/>
      <w:marTop w:val="0"/>
      <w:marBottom w:val="0"/>
      <w:divBdr>
        <w:top w:val="none" w:sz="0" w:space="0" w:color="auto"/>
        <w:left w:val="none" w:sz="0" w:space="0" w:color="auto"/>
        <w:bottom w:val="none" w:sz="0" w:space="0" w:color="auto"/>
        <w:right w:val="none" w:sz="0" w:space="0" w:color="auto"/>
      </w:divBdr>
    </w:div>
    <w:div w:id="1307007767">
      <w:bodyDiv w:val="1"/>
      <w:marLeft w:val="0"/>
      <w:marRight w:val="0"/>
      <w:marTop w:val="0"/>
      <w:marBottom w:val="0"/>
      <w:divBdr>
        <w:top w:val="none" w:sz="0" w:space="0" w:color="auto"/>
        <w:left w:val="none" w:sz="0" w:space="0" w:color="auto"/>
        <w:bottom w:val="none" w:sz="0" w:space="0" w:color="auto"/>
        <w:right w:val="none" w:sz="0" w:space="0" w:color="auto"/>
      </w:divBdr>
    </w:div>
    <w:div w:id="1312708678">
      <w:bodyDiv w:val="1"/>
      <w:marLeft w:val="0"/>
      <w:marRight w:val="0"/>
      <w:marTop w:val="0"/>
      <w:marBottom w:val="0"/>
      <w:divBdr>
        <w:top w:val="none" w:sz="0" w:space="0" w:color="auto"/>
        <w:left w:val="none" w:sz="0" w:space="0" w:color="auto"/>
        <w:bottom w:val="none" w:sz="0" w:space="0" w:color="auto"/>
        <w:right w:val="none" w:sz="0" w:space="0" w:color="auto"/>
      </w:divBdr>
    </w:div>
    <w:div w:id="1348019712">
      <w:bodyDiv w:val="1"/>
      <w:marLeft w:val="0"/>
      <w:marRight w:val="0"/>
      <w:marTop w:val="0"/>
      <w:marBottom w:val="0"/>
      <w:divBdr>
        <w:top w:val="none" w:sz="0" w:space="0" w:color="auto"/>
        <w:left w:val="none" w:sz="0" w:space="0" w:color="auto"/>
        <w:bottom w:val="none" w:sz="0" w:space="0" w:color="auto"/>
        <w:right w:val="none" w:sz="0" w:space="0" w:color="auto"/>
      </w:divBdr>
    </w:div>
    <w:div w:id="1368794965">
      <w:bodyDiv w:val="1"/>
      <w:marLeft w:val="0"/>
      <w:marRight w:val="0"/>
      <w:marTop w:val="0"/>
      <w:marBottom w:val="0"/>
      <w:divBdr>
        <w:top w:val="none" w:sz="0" w:space="0" w:color="auto"/>
        <w:left w:val="none" w:sz="0" w:space="0" w:color="auto"/>
        <w:bottom w:val="none" w:sz="0" w:space="0" w:color="auto"/>
        <w:right w:val="none" w:sz="0" w:space="0" w:color="auto"/>
      </w:divBdr>
    </w:div>
    <w:div w:id="1389646368">
      <w:bodyDiv w:val="1"/>
      <w:marLeft w:val="0"/>
      <w:marRight w:val="0"/>
      <w:marTop w:val="0"/>
      <w:marBottom w:val="0"/>
      <w:divBdr>
        <w:top w:val="none" w:sz="0" w:space="0" w:color="auto"/>
        <w:left w:val="none" w:sz="0" w:space="0" w:color="auto"/>
        <w:bottom w:val="none" w:sz="0" w:space="0" w:color="auto"/>
        <w:right w:val="none" w:sz="0" w:space="0" w:color="auto"/>
      </w:divBdr>
    </w:div>
    <w:div w:id="1405295681">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1478642395">
      <w:bodyDiv w:val="1"/>
      <w:marLeft w:val="0"/>
      <w:marRight w:val="0"/>
      <w:marTop w:val="0"/>
      <w:marBottom w:val="0"/>
      <w:divBdr>
        <w:top w:val="none" w:sz="0" w:space="0" w:color="auto"/>
        <w:left w:val="none" w:sz="0" w:space="0" w:color="auto"/>
        <w:bottom w:val="none" w:sz="0" w:space="0" w:color="auto"/>
        <w:right w:val="none" w:sz="0" w:space="0" w:color="auto"/>
      </w:divBdr>
    </w:div>
    <w:div w:id="1490752962">
      <w:bodyDiv w:val="1"/>
      <w:marLeft w:val="0"/>
      <w:marRight w:val="0"/>
      <w:marTop w:val="0"/>
      <w:marBottom w:val="0"/>
      <w:divBdr>
        <w:top w:val="none" w:sz="0" w:space="0" w:color="auto"/>
        <w:left w:val="none" w:sz="0" w:space="0" w:color="auto"/>
        <w:bottom w:val="none" w:sz="0" w:space="0" w:color="auto"/>
        <w:right w:val="none" w:sz="0" w:space="0" w:color="auto"/>
      </w:divBdr>
    </w:div>
    <w:div w:id="1512791936">
      <w:bodyDiv w:val="1"/>
      <w:marLeft w:val="0"/>
      <w:marRight w:val="0"/>
      <w:marTop w:val="0"/>
      <w:marBottom w:val="0"/>
      <w:divBdr>
        <w:top w:val="none" w:sz="0" w:space="0" w:color="auto"/>
        <w:left w:val="none" w:sz="0" w:space="0" w:color="auto"/>
        <w:bottom w:val="none" w:sz="0" w:space="0" w:color="auto"/>
        <w:right w:val="none" w:sz="0" w:space="0" w:color="auto"/>
      </w:divBdr>
    </w:div>
    <w:div w:id="1514415264">
      <w:bodyDiv w:val="1"/>
      <w:marLeft w:val="0"/>
      <w:marRight w:val="0"/>
      <w:marTop w:val="0"/>
      <w:marBottom w:val="0"/>
      <w:divBdr>
        <w:top w:val="none" w:sz="0" w:space="0" w:color="auto"/>
        <w:left w:val="none" w:sz="0" w:space="0" w:color="auto"/>
        <w:bottom w:val="none" w:sz="0" w:space="0" w:color="auto"/>
        <w:right w:val="none" w:sz="0" w:space="0" w:color="auto"/>
      </w:divBdr>
    </w:div>
    <w:div w:id="1522743445">
      <w:bodyDiv w:val="1"/>
      <w:marLeft w:val="0"/>
      <w:marRight w:val="0"/>
      <w:marTop w:val="0"/>
      <w:marBottom w:val="0"/>
      <w:divBdr>
        <w:top w:val="none" w:sz="0" w:space="0" w:color="auto"/>
        <w:left w:val="none" w:sz="0" w:space="0" w:color="auto"/>
        <w:bottom w:val="none" w:sz="0" w:space="0" w:color="auto"/>
        <w:right w:val="none" w:sz="0" w:space="0" w:color="auto"/>
      </w:divBdr>
    </w:div>
    <w:div w:id="1543974862">
      <w:bodyDiv w:val="1"/>
      <w:marLeft w:val="0"/>
      <w:marRight w:val="0"/>
      <w:marTop w:val="0"/>
      <w:marBottom w:val="0"/>
      <w:divBdr>
        <w:top w:val="none" w:sz="0" w:space="0" w:color="auto"/>
        <w:left w:val="none" w:sz="0" w:space="0" w:color="auto"/>
        <w:bottom w:val="none" w:sz="0" w:space="0" w:color="auto"/>
        <w:right w:val="none" w:sz="0" w:space="0" w:color="auto"/>
      </w:divBdr>
    </w:div>
    <w:div w:id="1552427091">
      <w:bodyDiv w:val="1"/>
      <w:marLeft w:val="0"/>
      <w:marRight w:val="0"/>
      <w:marTop w:val="0"/>
      <w:marBottom w:val="0"/>
      <w:divBdr>
        <w:top w:val="none" w:sz="0" w:space="0" w:color="auto"/>
        <w:left w:val="none" w:sz="0" w:space="0" w:color="auto"/>
        <w:bottom w:val="none" w:sz="0" w:space="0" w:color="auto"/>
        <w:right w:val="none" w:sz="0" w:space="0" w:color="auto"/>
      </w:divBdr>
    </w:div>
    <w:div w:id="1558392907">
      <w:bodyDiv w:val="1"/>
      <w:marLeft w:val="0"/>
      <w:marRight w:val="0"/>
      <w:marTop w:val="0"/>
      <w:marBottom w:val="0"/>
      <w:divBdr>
        <w:top w:val="none" w:sz="0" w:space="0" w:color="auto"/>
        <w:left w:val="none" w:sz="0" w:space="0" w:color="auto"/>
        <w:bottom w:val="none" w:sz="0" w:space="0" w:color="auto"/>
        <w:right w:val="none" w:sz="0" w:space="0" w:color="auto"/>
      </w:divBdr>
    </w:div>
    <w:div w:id="1566330853">
      <w:bodyDiv w:val="1"/>
      <w:marLeft w:val="0"/>
      <w:marRight w:val="0"/>
      <w:marTop w:val="0"/>
      <w:marBottom w:val="0"/>
      <w:divBdr>
        <w:top w:val="none" w:sz="0" w:space="0" w:color="auto"/>
        <w:left w:val="none" w:sz="0" w:space="0" w:color="auto"/>
        <w:bottom w:val="none" w:sz="0" w:space="0" w:color="auto"/>
        <w:right w:val="none" w:sz="0" w:space="0" w:color="auto"/>
      </w:divBdr>
    </w:div>
    <w:div w:id="1615946080">
      <w:bodyDiv w:val="1"/>
      <w:marLeft w:val="0"/>
      <w:marRight w:val="0"/>
      <w:marTop w:val="0"/>
      <w:marBottom w:val="0"/>
      <w:divBdr>
        <w:top w:val="none" w:sz="0" w:space="0" w:color="auto"/>
        <w:left w:val="none" w:sz="0" w:space="0" w:color="auto"/>
        <w:bottom w:val="none" w:sz="0" w:space="0" w:color="auto"/>
        <w:right w:val="none" w:sz="0" w:space="0" w:color="auto"/>
      </w:divBdr>
    </w:div>
    <w:div w:id="1666546061">
      <w:bodyDiv w:val="1"/>
      <w:marLeft w:val="0"/>
      <w:marRight w:val="0"/>
      <w:marTop w:val="0"/>
      <w:marBottom w:val="0"/>
      <w:divBdr>
        <w:top w:val="none" w:sz="0" w:space="0" w:color="auto"/>
        <w:left w:val="none" w:sz="0" w:space="0" w:color="auto"/>
        <w:bottom w:val="none" w:sz="0" w:space="0" w:color="auto"/>
        <w:right w:val="none" w:sz="0" w:space="0" w:color="auto"/>
      </w:divBdr>
    </w:div>
    <w:div w:id="1673602097">
      <w:bodyDiv w:val="1"/>
      <w:marLeft w:val="0"/>
      <w:marRight w:val="0"/>
      <w:marTop w:val="0"/>
      <w:marBottom w:val="0"/>
      <w:divBdr>
        <w:top w:val="none" w:sz="0" w:space="0" w:color="auto"/>
        <w:left w:val="none" w:sz="0" w:space="0" w:color="auto"/>
        <w:bottom w:val="none" w:sz="0" w:space="0" w:color="auto"/>
        <w:right w:val="none" w:sz="0" w:space="0" w:color="auto"/>
      </w:divBdr>
      <w:divsChild>
        <w:div w:id="1219588727">
          <w:marLeft w:val="0"/>
          <w:marRight w:val="0"/>
          <w:marTop w:val="0"/>
          <w:marBottom w:val="0"/>
          <w:divBdr>
            <w:top w:val="none" w:sz="0" w:space="0" w:color="auto"/>
            <w:left w:val="none" w:sz="0" w:space="0" w:color="auto"/>
            <w:bottom w:val="none" w:sz="0" w:space="0" w:color="auto"/>
            <w:right w:val="none" w:sz="0" w:space="0" w:color="auto"/>
          </w:divBdr>
        </w:div>
        <w:div w:id="1667170936">
          <w:marLeft w:val="0"/>
          <w:marRight w:val="0"/>
          <w:marTop w:val="0"/>
          <w:marBottom w:val="0"/>
          <w:divBdr>
            <w:top w:val="none" w:sz="0" w:space="0" w:color="auto"/>
            <w:left w:val="none" w:sz="0" w:space="0" w:color="auto"/>
            <w:bottom w:val="none" w:sz="0" w:space="0" w:color="auto"/>
            <w:right w:val="none" w:sz="0" w:space="0" w:color="auto"/>
          </w:divBdr>
        </w:div>
        <w:div w:id="1199468067">
          <w:marLeft w:val="0"/>
          <w:marRight w:val="0"/>
          <w:marTop w:val="0"/>
          <w:marBottom w:val="0"/>
          <w:divBdr>
            <w:top w:val="none" w:sz="0" w:space="0" w:color="auto"/>
            <w:left w:val="none" w:sz="0" w:space="0" w:color="auto"/>
            <w:bottom w:val="none" w:sz="0" w:space="0" w:color="auto"/>
            <w:right w:val="none" w:sz="0" w:space="0" w:color="auto"/>
          </w:divBdr>
        </w:div>
      </w:divsChild>
    </w:div>
    <w:div w:id="1678776503">
      <w:bodyDiv w:val="1"/>
      <w:marLeft w:val="0"/>
      <w:marRight w:val="0"/>
      <w:marTop w:val="0"/>
      <w:marBottom w:val="0"/>
      <w:divBdr>
        <w:top w:val="none" w:sz="0" w:space="0" w:color="auto"/>
        <w:left w:val="none" w:sz="0" w:space="0" w:color="auto"/>
        <w:bottom w:val="none" w:sz="0" w:space="0" w:color="auto"/>
        <w:right w:val="none" w:sz="0" w:space="0" w:color="auto"/>
      </w:divBdr>
    </w:div>
    <w:div w:id="1693149219">
      <w:bodyDiv w:val="1"/>
      <w:marLeft w:val="0"/>
      <w:marRight w:val="0"/>
      <w:marTop w:val="0"/>
      <w:marBottom w:val="0"/>
      <w:divBdr>
        <w:top w:val="none" w:sz="0" w:space="0" w:color="auto"/>
        <w:left w:val="none" w:sz="0" w:space="0" w:color="auto"/>
        <w:bottom w:val="none" w:sz="0" w:space="0" w:color="auto"/>
        <w:right w:val="none" w:sz="0" w:space="0" w:color="auto"/>
      </w:divBdr>
    </w:div>
    <w:div w:id="1701277527">
      <w:bodyDiv w:val="1"/>
      <w:marLeft w:val="0"/>
      <w:marRight w:val="0"/>
      <w:marTop w:val="0"/>
      <w:marBottom w:val="0"/>
      <w:divBdr>
        <w:top w:val="none" w:sz="0" w:space="0" w:color="auto"/>
        <w:left w:val="none" w:sz="0" w:space="0" w:color="auto"/>
        <w:bottom w:val="none" w:sz="0" w:space="0" w:color="auto"/>
        <w:right w:val="none" w:sz="0" w:space="0" w:color="auto"/>
      </w:divBdr>
    </w:div>
    <w:div w:id="1719359045">
      <w:bodyDiv w:val="1"/>
      <w:marLeft w:val="0"/>
      <w:marRight w:val="0"/>
      <w:marTop w:val="0"/>
      <w:marBottom w:val="0"/>
      <w:divBdr>
        <w:top w:val="none" w:sz="0" w:space="0" w:color="auto"/>
        <w:left w:val="none" w:sz="0" w:space="0" w:color="auto"/>
        <w:bottom w:val="none" w:sz="0" w:space="0" w:color="auto"/>
        <w:right w:val="none" w:sz="0" w:space="0" w:color="auto"/>
      </w:divBdr>
    </w:div>
    <w:div w:id="1731074569">
      <w:bodyDiv w:val="1"/>
      <w:marLeft w:val="0"/>
      <w:marRight w:val="0"/>
      <w:marTop w:val="0"/>
      <w:marBottom w:val="0"/>
      <w:divBdr>
        <w:top w:val="none" w:sz="0" w:space="0" w:color="auto"/>
        <w:left w:val="none" w:sz="0" w:space="0" w:color="auto"/>
        <w:bottom w:val="none" w:sz="0" w:space="0" w:color="auto"/>
        <w:right w:val="none" w:sz="0" w:space="0" w:color="auto"/>
      </w:divBdr>
      <w:divsChild>
        <w:div w:id="421804117">
          <w:marLeft w:val="0"/>
          <w:marRight w:val="0"/>
          <w:marTop w:val="0"/>
          <w:marBottom w:val="0"/>
          <w:divBdr>
            <w:top w:val="none" w:sz="0" w:space="0" w:color="auto"/>
            <w:left w:val="none" w:sz="0" w:space="0" w:color="auto"/>
            <w:bottom w:val="none" w:sz="0" w:space="0" w:color="auto"/>
            <w:right w:val="none" w:sz="0" w:space="0" w:color="auto"/>
          </w:divBdr>
        </w:div>
        <w:div w:id="503320429">
          <w:marLeft w:val="0"/>
          <w:marRight w:val="0"/>
          <w:marTop w:val="0"/>
          <w:marBottom w:val="0"/>
          <w:divBdr>
            <w:top w:val="none" w:sz="0" w:space="0" w:color="auto"/>
            <w:left w:val="none" w:sz="0" w:space="0" w:color="auto"/>
            <w:bottom w:val="none" w:sz="0" w:space="0" w:color="auto"/>
            <w:right w:val="none" w:sz="0" w:space="0" w:color="auto"/>
          </w:divBdr>
        </w:div>
        <w:div w:id="1694068748">
          <w:marLeft w:val="0"/>
          <w:marRight w:val="0"/>
          <w:marTop w:val="0"/>
          <w:marBottom w:val="0"/>
          <w:divBdr>
            <w:top w:val="none" w:sz="0" w:space="0" w:color="auto"/>
            <w:left w:val="none" w:sz="0" w:space="0" w:color="auto"/>
            <w:bottom w:val="none" w:sz="0" w:space="0" w:color="auto"/>
            <w:right w:val="none" w:sz="0" w:space="0" w:color="auto"/>
          </w:divBdr>
        </w:div>
        <w:div w:id="918251929">
          <w:marLeft w:val="0"/>
          <w:marRight w:val="0"/>
          <w:marTop w:val="0"/>
          <w:marBottom w:val="0"/>
          <w:divBdr>
            <w:top w:val="none" w:sz="0" w:space="0" w:color="auto"/>
            <w:left w:val="none" w:sz="0" w:space="0" w:color="auto"/>
            <w:bottom w:val="none" w:sz="0" w:space="0" w:color="auto"/>
            <w:right w:val="none" w:sz="0" w:space="0" w:color="auto"/>
          </w:divBdr>
        </w:div>
        <w:div w:id="711225698">
          <w:marLeft w:val="0"/>
          <w:marRight w:val="0"/>
          <w:marTop w:val="0"/>
          <w:marBottom w:val="0"/>
          <w:divBdr>
            <w:top w:val="none" w:sz="0" w:space="0" w:color="auto"/>
            <w:left w:val="none" w:sz="0" w:space="0" w:color="auto"/>
            <w:bottom w:val="none" w:sz="0" w:space="0" w:color="auto"/>
            <w:right w:val="none" w:sz="0" w:space="0" w:color="auto"/>
          </w:divBdr>
        </w:div>
        <w:div w:id="1781990090">
          <w:marLeft w:val="0"/>
          <w:marRight w:val="0"/>
          <w:marTop w:val="0"/>
          <w:marBottom w:val="0"/>
          <w:divBdr>
            <w:top w:val="none" w:sz="0" w:space="0" w:color="auto"/>
            <w:left w:val="none" w:sz="0" w:space="0" w:color="auto"/>
            <w:bottom w:val="none" w:sz="0" w:space="0" w:color="auto"/>
            <w:right w:val="none" w:sz="0" w:space="0" w:color="auto"/>
          </w:divBdr>
        </w:div>
        <w:div w:id="456334810">
          <w:marLeft w:val="0"/>
          <w:marRight w:val="0"/>
          <w:marTop w:val="0"/>
          <w:marBottom w:val="0"/>
          <w:divBdr>
            <w:top w:val="none" w:sz="0" w:space="0" w:color="auto"/>
            <w:left w:val="none" w:sz="0" w:space="0" w:color="auto"/>
            <w:bottom w:val="none" w:sz="0" w:space="0" w:color="auto"/>
            <w:right w:val="none" w:sz="0" w:space="0" w:color="auto"/>
          </w:divBdr>
        </w:div>
        <w:div w:id="850490721">
          <w:marLeft w:val="0"/>
          <w:marRight w:val="0"/>
          <w:marTop w:val="0"/>
          <w:marBottom w:val="0"/>
          <w:divBdr>
            <w:top w:val="none" w:sz="0" w:space="0" w:color="auto"/>
            <w:left w:val="none" w:sz="0" w:space="0" w:color="auto"/>
            <w:bottom w:val="none" w:sz="0" w:space="0" w:color="auto"/>
            <w:right w:val="none" w:sz="0" w:space="0" w:color="auto"/>
          </w:divBdr>
        </w:div>
        <w:div w:id="1106773791">
          <w:marLeft w:val="0"/>
          <w:marRight w:val="0"/>
          <w:marTop w:val="0"/>
          <w:marBottom w:val="0"/>
          <w:divBdr>
            <w:top w:val="none" w:sz="0" w:space="0" w:color="auto"/>
            <w:left w:val="none" w:sz="0" w:space="0" w:color="auto"/>
            <w:bottom w:val="none" w:sz="0" w:space="0" w:color="auto"/>
            <w:right w:val="none" w:sz="0" w:space="0" w:color="auto"/>
          </w:divBdr>
        </w:div>
        <w:div w:id="904410520">
          <w:marLeft w:val="0"/>
          <w:marRight w:val="0"/>
          <w:marTop w:val="0"/>
          <w:marBottom w:val="0"/>
          <w:divBdr>
            <w:top w:val="none" w:sz="0" w:space="0" w:color="auto"/>
            <w:left w:val="none" w:sz="0" w:space="0" w:color="auto"/>
            <w:bottom w:val="none" w:sz="0" w:space="0" w:color="auto"/>
            <w:right w:val="none" w:sz="0" w:space="0" w:color="auto"/>
          </w:divBdr>
        </w:div>
        <w:div w:id="582420897">
          <w:marLeft w:val="0"/>
          <w:marRight w:val="0"/>
          <w:marTop w:val="0"/>
          <w:marBottom w:val="0"/>
          <w:divBdr>
            <w:top w:val="none" w:sz="0" w:space="0" w:color="auto"/>
            <w:left w:val="none" w:sz="0" w:space="0" w:color="auto"/>
            <w:bottom w:val="none" w:sz="0" w:space="0" w:color="auto"/>
            <w:right w:val="none" w:sz="0" w:space="0" w:color="auto"/>
          </w:divBdr>
        </w:div>
        <w:div w:id="1850876273">
          <w:marLeft w:val="0"/>
          <w:marRight w:val="0"/>
          <w:marTop w:val="0"/>
          <w:marBottom w:val="0"/>
          <w:divBdr>
            <w:top w:val="none" w:sz="0" w:space="0" w:color="auto"/>
            <w:left w:val="none" w:sz="0" w:space="0" w:color="auto"/>
            <w:bottom w:val="none" w:sz="0" w:space="0" w:color="auto"/>
            <w:right w:val="none" w:sz="0" w:space="0" w:color="auto"/>
          </w:divBdr>
        </w:div>
        <w:div w:id="24914168">
          <w:marLeft w:val="0"/>
          <w:marRight w:val="0"/>
          <w:marTop w:val="0"/>
          <w:marBottom w:val="0"/>
          <w:divBdr>
            <w:top w:val="none" w:sz="0" w:space="0" w:color="auto"/>
            <w:left w:val="none" w:sz="0" w:space="0" w:color="auto"/>
            <w:bottom w:val="none" w:sz="0" w:space="0" w:color="auto"/>
            <w:right w:val="none" w:sz="0" w:space="0" w:color="auto"/>
          </w:divBdr>
        </w:div>
        <w:div w:id="869614370">
          <w:marLeft w:val="0"/>
          <w:marRight w:val="0"/>
          <w:marTop w:val="0"/>
          <w:marBottom w:val="0"/>
          <w:divBdr>
            <w:top w:val="none" w:sz="0" w:space="0" w:color="auto"/>
            <w:left w:val="none" w:sz="0" w:space="0" w:color="auto"/>
            <w:bottom w:val="none" w:sz="0" w:space="0" w:color="auto"/>
            <w:right w:val="none" w:sz="0" w:space="0" w:color="auto"/>
          </w:divBdr>
        </w:div>
        <w:div w:id="458495454">
          <w:marLeft w:val="0"/>
          <w:marRight w:val="0"/>
          <w:marTop w:val="0"/>
          <w:marBottom w:val="0"/>
          <w:divBdr>
            <w:top w:val="none" w:sz="0" w:space="0" w:color="auto"/>
            <w:left w:val="none" w:sz="0" w:space="0" w:color="auto"/>
            <w:bottom w:val="none" w:sz="0" w:space="0" w:color="auto"/>
            <w:right w:val="none" w:sz="0" w:space="0" w:color="auto"/>
          </w:divBdr>
        </w:div>
        <w:div w:id="1824195748">
          <w:marLeft w:val="0"/>
          <w:marRight w:val="0"/>
          <w:marTop w:val="0"/>
          <w:marBottom w:val="0"/>
          <w:divBdr>
            <w:top w:val="none" w:sz="0" w:space="0" w:color="auto"/>
            <w:left w:val="none" w:sz="0" w:space="0" w:color="auto"/>
            <w:bottom w:val="none" w:sz="0" w:space="0" w:color="auto"/>
            <w:right w:val="none" w:sz="0" w:space="0" w:color="auto"/>
          </w:divBdr>
        </w:div>
        <w:div w:id="334311467">
          <w:marLeft w:val="0"/>
          <w:marRight w:val="0"/>
          <w:marTop w:val="0"/>
          <w:marBottom w:val="0"/>
          <w:divBdr>
            <w:top w:val="none" w:sz="0" w:space="0" w:color="auto"/>
            <w:left w:val="none" w:sz="0" w:space="0" w:color="auto"/>
            <w:bottom w:val="none" w:sz="0" w:space="0" w:color="auto"/>
            <w:right w:val="none" w:sz="0" w:space="0" w:color="auto"/>
          </w:divBdr>
        </w:div>
        <w:div w:id="181408169">
          <w:marLeft w:val="0"/>
          <w:marRight w:val="0"/>
          <w:marTop w:val="0"/>
          <w:marBottom w:val="0"/>
          <w:divBdr>
            <w:top w:val="none" w:sz="0" w:space="0" w:color="auto"/>
            <w:left w:val="none" w:sz="0" w:space="0" w:color="auto"/>
            <w:bottom w:val="none" w:sz="0" w:space="0" w:color="auto"/>
            <w:right w:val="none" w:sz="0" w:space="0" w:color="auto"/>
          </w:divBdr>
        </w:div>
        <w:div w:id="82798887">
          <w:marLeft w:val="0"/>
          <w:marRight w:val="0"/>
          <w:marTop w:val="0"/>
          <w:marBottom w:val="0"/>
          <w:divBdr>
            <w:top w:val="none" w:sz="0" w:space="0" w:color="auto"/>
            <w:left w:val="none" w:sz="0" w:space="0" w:color="auto"/>
            <w:bottom w:val="none" w:sz="0" w:space="0" w:color="auto"/>
            <w:right w:val="none" w:sz="0" w:space="0" w:color="auto"/>
          </w:divBdr>
        </w:div>
        <w:div w:id="796601879">
          <w:marLeft w:val="0"/>
          <w:marRight w:val="0"/>
          <w:marTop w:val="0"/>
          <w:marBottom w:val="0"/>
          <w:divBdr>
            <w:top w:val="none" w:sz="0" w:space="0" w:color="auto"/>
            <w:left w:val="none" w:sz="0" w:space="0" w:color="auto"/>
            <w:bottom w:val="none" w:sz="0" w:space="0" w:color="auto"/>
            <w:right w:val="none" w:sz="0" w:space="0" w:color="auto"/>
          </w:divBdr>
        </w:div>
        <w:div w:id="989215528">
          <w:marLeft w:val="0"/>
          <w:marRight w:val="0"/>
          <w:marTop w:val="0"/>
          <w:marBottom w:val="0"/>
          <w:divBdr>
            <w:top w:val="none" w:sz="0" w:space="0" w:color="auto"/>
            <w:left w:val="none" w:sz="0" w:space="0" w:color="auto"/>
            <w:bottom w:val="none" w:sz="0" w:space="0" w:color="auto"/>
            <w:right w:val="none" w:sz="0" w:space="0" w:color="auto"/>
          </w:divBdr>
        </w:div>
        <w:div w:id="158086138">
          <w:marLeft w:val="0"/>
          <w:marRight w:val="0"/>
          <w:marTop w:val="0"/>
          <w:marBottom w:val="0"/>
          <w:divBdr>
            <w:top w:val="none" w:sz="0" w:space="0" w:color="auto"/>
            <w:left w:val="none" w:sz="0" w:space="0" w:color="auto"/>
            <w:bottom w:val="none" w:sz="0" w:space="0" w:color="auto"/>
            <w:right w:val="none" w:sz="0" w:space="0" w:color="auto"/>
          </w:divBdr>
        </w:div>
        <w:div w:id="174730633">
          <w:marLeft w:val="0"/>
          <w:marRight w:val="0"/>
          <w:marTop w:val="0"/>
          <w:marBottom w:val="0"/>
          <w:divBdr>
            <w:top w:val="none" w:sz="0" w:space="0" w:color="auto"/>
            <w:left w:val="none" w:sz="0" w:space="0" w:color="auto"/>
            <w:bottom w:val="none" w:sz="0" w:space="0" w:color="auto"/>
            <w:right w:val="none" w:sz="0" w:space="0" w:color="auto"/>
          </w:divBdr>
        </w:div>
        <w:div w:id="1686515915">
          <w:marLeft w:val="0"/>
          <w:marRight w:val="0"/>
          <w:marTop w:val="0"/>
          <w:marBottom w:val="0"/>
          <w:divBdr>
            <w:top w:val="none" w:sz="0" w:space="0" w:color="auto"/>
            <w:left w:val="none" w:sz="0" w:space="0" w:color="auto"/>
            <w:bottom w:val="none" w:sz="0" w:space="0" w:color="auto"/>
            <w:right w:val="none" w:sz="0" w:space="0" w:color="auto"/>
          </w:divBdr>
        </w:div>
        <w:div w:id="1781678216">
          <w:marLeft w:val="0"/>
          <w:marRight w:val="0"/>
          <w:marTop w:val="0"/>
          <w:marBottom w:val="0"/>
          <w:divBdr>
            <w:top w:val="none" w:sz="0" w:space="0" w:color="auto"/>
            <w:left w:val="none" w:sz="0" w:space="0" w:color="auto"/>
            <w:bottom w:val="none" w:sz="0" w:space="0" w:color="auto"/>
            <w:right w:val="none" w:sz="0" w:space="0" w:color="auto"/>
          </w:divBdr>
        </w:div>
        <w:div w:id="1010985532">
          <w:marLeft w:val="0"/>
          <w:marRight w:val="0"/>
          <w:marTop w:val="0"/>
          <w:marBottom w:val="0"/>
          <w:divBdr>
            <w:top w:val="none" w:sz="0" w:space="0" w:color="auto"/>
            <w:left w:val="none" w:sz="0" w:space="0" w:color="auto"/>
            <w:bottom w:val="none" w:sz="0" w:space="0" w:color="auto"/>
            <w:right w:val="none" w:sz="0" w:space="0" w:color="auto"/>
          </w:divBdr>
        </w:div>
        <w:div w:id="440496762">
          <w:marLeft w:val="0"/>
          <w:marRight w:val="0"/>
          <w:marTop w:val="0"/>
          <w:marBottom w:val="0"/>
          <w:divBdr>
            <w:top w:val="none" w:sz="0" w:space="0" w:color="auto"/>
            <w:left w:val="none" w:sz="0" w:space="0" w:color="auto"/>
            <w:bottom w:val="none" w:sz="0" w:space="0" w:color="auto"/>
            <w:right w:val="none" w:sz="0" w:space="0" w:color="auto"/>
          </w:divBdr>
        </w:div>
      </w:divsChild>
    </w:div>
    <w:div w:id="1748765395">
      <w:bodyDiv w:val="1"/>
      <w:marLeft w:val="0"/>
      <w:marRight w:val="0"/>
      <w:marTop w:val="0"/>
      <w:marBottom w:val="0"/>
      <w:divBdr>
        <w:top w:val="none" w:sz="0" w:space="0" w:color="auto"/>
        <w:left w:val="none" w:sz="0" w:space="0" w:color="auto"/>
        <w:bottom w:val="none" w:sz="0" w:space="0" w:color="auto"/>
        <w:right w:val="none" w:sz="0" w:space="0" w:color="auto"/>
      </w:divBdr>
    </w:div>
    <w:div w:id="1765879230">
      <w:bodyDiv w:val="1"/>
      <w:marLeft w:val="0"/>
      <w:marRight w:val="0"/>
      <w:marTop w:val="0"/>
      <w:marBottom w:val="0"/>
      <w:divBdr>
        <w:top w:val="none" w:sz="0" w:space="0" w:color="auto"/>
        <w:left w:val="none" w:sz="0" w:space="0" w:color="auto"/>
        <w:bottom w:val="none" w:sz="0" w:space="0" w:color="auto"/>
        <w:right w:val="none" w:sz="0" w:space="0" w:color="auto"/>
      </w:divBdr>
    </w:div>
    <w:div w:id="1767537978">
      <w:bodyDiv w:val="1"/>
      <w:marLeft w:val="0"/>
      <w:marRight w:val="0"/>
      <w:marTop w:val="0"/>
      <w:marBottom w:val="0"/>
      <w:divBdr>
        <w:top w:val="none" w:sz="0" w:space="0" w:color="auto"/>
        <w:left w:val="none" w:sz="0" w:space="0" w:color="auto"/>
        <w:bottom w:val="none" w:sz="0" w:space="0" w:color="auto"/>
        <w:right w:val="none" w:sz="0" w:space="0" w:color="auto"/>
      </w:divBdr>
    </w:div>
    <w:div w:id="1783261554">
      <w:bodyDiv w:val="1"/>
      <w:marLeft w:val="0"/>
      <w:marRight w:val="0"/>
      <w:marTop w:val="0"/>
      <w:marBottom w:val="0"/>
      <w:divBdr>
        <w:top w:val="none" w:sz="0" w:space="0" w:color="auto"/>
        <w:left w:val="none" w:sz="0" w:space="0" w:color="auto"/>
        <w:bottom w:val="none" w:sz="0" w:space="0" w:color="auto"/>
        <w:right w:val="none" w:sz="0" w:space="0" w:color="auto"/>
      </w:divBdr>
      <w:divsChild>
        <w:div w:id="721055797">
          <w:marLeft w:val="0"/>
          <w:marRight w:val="0"/>
          <w:marTop w:val="0"/>
          <w:marBottom w:val="0"/>
          <w:divBdr>
            <w:top w:val="none" w:sz="0" w:space="0" w:color="auto"/>
            <w:left w:val="none" w:sz="0" w:space="0" w:color="auto"/>
            <w:bottom w:val="none" w:sz="0" w:space="0" w:color="auto"/>
            <w:right w:val="none" w:sz="0" w:space="0" w:color="auto"/>
          </w:divBdr>
        </w:div>
        <w:div w:id="1519346077">
          <w:marLeft w:val="0"/>
          <w:marRight w:val="0"/>
          <w:marTop w:val="0"/>
          <w:marBottom w:val="0"/>
          <w:divBdr>
            <w:top w:val="none" w:sz="0" w:space="0" w:color="auto"/>
            <w:left w:val="none" w:sz="0" w:space="0" w:color="auto"/>
            <w:bottom w:val="none" w:sz="0" w:space="0" w:color="auto"/>
            <w:right w:val="none" w:sz="0" w:space="0" w:color="auto"/>
          </w:divBdr>
        </w:div>
      </w:divsChild>
    </w:div>
    <w:div w:id="1801725386">
      <w:bodyDiv w:val="1"/>
      <w:marLeft w:val="0"/>
      <w:marRight w:val="0"/>
      <w:marTop w:val="0"/>
      <w:marBottom w:val="0"/>
      <w:divBdr>
        <w:top w:val="none" w:sz="0" w:space="0" w:color="auto"/>
        <w:left w:val="none" w:sz="0" w:space="0" w:color="auto"/>
        <w:bottom w:val="none" w:sz="0" w:space="0" w:color="auto"/>
        <w:right w:val="none" w:sz="0" w:space="0" w:color="auto"/>
      </w:divBdr>
    </w:div>
    <w:div w:id="1825972862">
      <w:bodyDiv w:val="1"/>
      <w:marLeft w:val="0"/>
      <w:marRight w:val="0"/>
      <w:marTop w:val="0"/>
      <w:marBottom w:val="0"/>
      <w:divBdr>
        <w:top w:val="none" w:sz="0" w:space="0" w:color="auto"/>
        <w:left w:val="none" w:sz="0" w:space="0" w:color="auto"/>
        <w:bottom w:val="none" w:sz="0" w:space="0" w:color="auto"/>
        <w:right w:val="none" w:sz="0" w:space="0" w:color="auto"/>
      </w:divBdr>
    </w:div>
    <w:div w:id="1840464913">
      <w:bodyDiv w:val="1"/>
      <w:marLeft w:val="0"/>
      <w:marRight w:val="0"/>
      <w:marTop w:val="0"/>
      <w:marBottom w:val="0"/>
      <w:divBdr>
        <w:top w:val="none" w:sz="0" w:space="0" w:color="auto"/>
        <w:left w:val="none" w:sz="0" w:space="0" w:color="auto"/>
        <w:bottom w:val="none" w:sz="0" w:space="0" w:color="auto"/>
        <w:right w:val="none" w:sz="0" w:space="0" w:color="auto"/>
      </w:divBdr>
      <w:divsChild>
        <w:div w:id="1460294966">
          <w:marLeft w:val="0"/>
          <w:marRight w:val="0"/>
          <w:marTop w:val="0"/>
          <w:marBottom w:val="0"/>
          <w:divBdr>
            <w:top w:val="none" w:sz="0" w:space="0" w:color="auto"/>
            <w:left w:val="none" w:sz="0" w:space="0" w:color="auto"/>
            <w:bottom w:val="none" w:sz="0" w:space="0" w:color="auto"/>
            <w:right w:val="none" w:sz="0" w:space="0" w:color="auto"/>
          </w:divBdr>
        </w:div>
        <w:div w:id="203760096">
          <w:marLeft w:val="0"/>
          <w:marRight w:val="0"/>
          <w:marTop w:val="0"/>
          <w:marBottom w:val="0"/>
          <w:divBdr>
            <w:top w:val="none" w:sz="0" w:space="0" w:color="auto"/>
            <w:left w:val="none" w:sz="0" w:space="0" w:color="auto"/>
            <w:bottom w:val="none" w:sz="0" w:space="0" w:color="auto"/>
            <w:right w:val="none" w:sz="0" w:space="0" w:color="auto"/>
          </w:divBdr>
        </w:div>
        <w:div w:id="674309849">
          <w:marLeft w:val="0"/>
          <w:marRight w:val="0"/>
          <w:marTop w:val="0"/>
          <w:marBottom w:val="0"/>
          <w:divBdr>
            <w:top w:val="none" w:sz="0" w:space="0" w:color="auto"/>
            <w:left w:val="none" w:sz="0" w:space="0" w:color="auto"/>
            <w:bottom w:val="none" w:sz="0" w:space="0" w:color="auto"/>
            <w:right w:val="none" w:sz="0" w:space="0" w:color="auto"/>
          </w:divBdr>
        </w:div>
        <w:div w:id="2035224706">
          <w:marLeft w:val="0"/>
          <w:marRight w:val="0"/>
          <w:marTop w:val="0"/>
          <w:marBottom w:val="0"/>
          <w:divBdr>
            <w:top w:val="none" w:sz="0" w:space="0" w:color="auto"/>
            <w:left w:val="none" w:sz="0" w:space="0" w:color="auto"/>
            <w:bottom w:val="none" w:sz="0" w:space="0" w:color="auto"/>
            <w:right w:val="none" w:sz="0" w:space="0" w:color="auto"/>
          </w:divBdr>
        </w:div>
        <w:div w:id="1199734115">
          <w:marLeft w:val="0"/>
          <w:marRight w:val="0"/>
          <w:marTop w:val="0"/>
          <w:marBottom w:val="0"/>
          <w:divBdr>
            <w:top w:val="none" w:sz="0" w:space="0" w:color="auto"/>
            <w:left w:val="none" w:sz="0" w:space="0" w:color="auto"/>
            <w:bottom w:val="none" w:sz="0" w:space="0" w:color="auto"/>
            <w:right w:val="none" w:sz="0" w:space="0" w:color="auto"/>
          </w:divBdr>
        </w:div>
      </w:divsChild>
    </w:div>
    <w:div w:id="1855150106">
      <w:bodyDiv w:val="1"/>
      <w:marLeft w:val="0"/>
      <w:marRight w:val="0"/>
      <w:marTop w:val="0"/>
      <w:marBottom w:val="0"/>
      <w:divBdr>
        <w:top w:val="none" w:sz="0" w:space="0" w:color="auto"/>
        <w:left w:val="none" w:sz="0" w:space="0" w:color="auto"/>
        <w:bottom w:val="none" w:sz="0" w:space="0" w:color="auto"/>
        <w:right w:val="none" w:sz="0" w:space="0" w:color="auto"/>
      </w:divBdr>
    </w:div>
    <w:div w:id="1860973173">
      <w:bodyDiv w:val="1"/>
      <w:marLeft w:val="0"/>
      <w:marRight w:val="0"/>
      <w:marTop w:val="0"/>
      <w:marBottom w:val="0"/>
      <w:divBdr>
        <w:top w:val="none" w:sz="0" w:space="0" w:color="auto"/>
        <w:left w:val="none" w:sz="0" w:space="0" w:color="auto"/>
        <w:bottom w:val="none" w:sz="0" w:space="0" w:color="auto"/>
        <w:right w:val="none" w:sz="0" w:space="0" w:color="auto"/>
      </w:divBdr>
    </w:div>
    <w:div w:id="1891116241">
      <w:bodyDiv w:val="1"/>
      <w:marLeft w:val="0"/>
      <w:marRight w:val="0"/>
      <w:marTop w:val="0"/>
      <w:marBottom w:val="0"/>
      <w:divBdr>
        <w:top w:val="none" w:sz="0" w:space="0" w:color="auto"/>
        <w:left w:val="none" w:sz="0" w:space="0" w:color="auto"/>
        <w:bottom w:val="none" w:sz="0" w:space="0" w:color="auto"/>
        <w:right w:val="none" w:sz="0" w:space="0" w:color="auto"/>
      </w:divBdr>
    </w:div>
    <w:div w:id="1896886395">
      <w:bodyDiv w:val="1"/>
      <w:marLeft w:val="0"/>
      <w:marRight w:val="0"/>
      <w:marTop w:val="0"/>
      <w:marBottom w:val="0"/>
      <w:divBdr>
        <w:top w:val="none" w:sz="0" w:space="0" w:color="auto"/>
        <w:left w:val="none" w:sz="0" w:space="0" w:color="auto"/>
        <w:bottom w:val="none" w:sz="0" w:space="0" w:color="auto"/>
        <w:right w:val="none" w:sz="0" w:space="0" w:color="auto"/>
      </w:divBdr>
    </w:div>
    <w:div w:id="1899633365">
      <w:bodyDiv w:val="1"/>
      <w:marLeft w:val="0"/>
      <w:marRight w:val="0"/>
      <w:marTop w:val="0"/>
      <w:marBottom w:val="0"/>
      <w:divBdr>
        <w:top w:val="none" w:sz="0" w:space="0" w:color="auto"/>
        <w:left w:val="none" w:sz="0" w:space="0" w:color="auto"/>
        <w:bottom w:val="none" w:sz="0" w:space="0" w:color="auto"/>
        <w:right w:val="none" w:sz="0" w:space="0" w:color="auto"/>
      </w:divBdr>
      <w:divsChild>
        <w:div w:id="1987051706">
          <w:marLeft w:val="0"/>
          <w:marRight w:val="0"/>
          <w:marTop w:val="0"/>
          <w:marBottom w:val="0"/>
          <w:divBdr>
            <w:top w:val="none" w:sz="0" w:space="0" w:color="auto"/>
            <w:left w:val="none" w:sz="0" w:space="0" w:color="auto"/>
            <w:bottom w:val="none" w:sz="0" w:space="0" w:color="auto"/>
            <w:right w:val="none" w:sz="0" w:space="0" w:color="auto"/>
          </w:divBdr>
        </w:div>
        <w:div w:id="2004813718">
          <w:marLeft w:val="0"/>
          <w:marRight w:val="0"/>
          <w:marTop w:val="0"/>
          <w:marBottom w:val="0"/>
          <w:divBdr>
            <w:top w:val="none" w:sz="0" w:space="0" w:color="auto"/>
            <w:left w:val="none" w:sz="0" w:space="0" w:color="auto"/>
            <w:bottom w:val="none" w:sz="0" w:space="0" w:color="auto"/>
            <w:right w:val="none" w:sz="0" w:space="0" w:color="auto"/>
          </w:divBdr>
        </w:div>
        <w:div w:id="575939263">
          <w:marLeft w:val="0"/>
          <w:marRight w:val="0"/>
          <w:marTop w:val="0"/>
          <w:marBottom w:val="0"/>
          <w:divBdr>
            <w:top w:val="none" w:sz="0" w:space="0" w:color="auto"/>
            <w:left w:val="none" w:sz="0" w:space="0" w:color="auto"/>
            <w:bottom w:val="none" w:sz="0" w:space="0" w:color="auto"/>
            <w:right w:val="none" w:sz="0" w:space="0" w:color="auto"/>
          </w:divBdr>
        </w:div>
        <w:div w:id="207839712">
          <w:marLeft w:val="0"/>
          <w:marRight w:val="0"/>
          <w:marTop w:val="0"/>
          <w:marBottom w:val="0"/>
          <w:divBdr>
            <w:top w:val="none" w:sz="0" w:space="0" w:color="auto"/>
            <w:left w:val="none" w:sz="0" w:space="0" w:color="auto"/>
            <w:bottom w:val="none" w:sz="0" w:space="0" w:color="auto"/>
            <w:right w:val="none" w:sz="0" w:space="0" w:color="auto"/>
          </w:divBdr>
        </w:div>
        <w:div w:id="72171006">
          <w:marLeft w:val="0"/>
          <w:marRight w:val="0"/>
          <w:marTop w:val="0"/>
          <w:marBottom w:val="0"/>
          <w:divBdr>
            <w:top w:val="none" w:sz="0" w:space="0" w:color="auto"/>
            <w:left w:val="none" w:sz="0" w:space="0" w:color="auto"/>
            <w:bottom w:val="none" w:sz="0" w:space="0" w:color="auto"/>
            <w:right w:val="none" w:sz="0" w:space="0" w:color="auto"/>
          </w:divBdr>
        </w:div>
        <w:div w:id="1158493695">
          <w:marLeft w:val="0"/>
          <w:marRight w:val="0"/>
          <w:marTop w:val="0"/>
          <w:marBottom w:val="0"/>
          <w:divBdr>
            <w:top w:val="none" w:sz="0" w:space="0" w:color="auto"/>
            <w:left w:val="none" w:sz="0" w:space="0" w:color="auto"/>
            <w:bottom w:val="none" w:sz="0" w:space="0" w:color="auto"/>
            <w:right w:val="none" w:sz="0" w:space="0" w:color="auto"/>
          </w:divBdr>
        </w:div>
        <w:div w:id="2113279561">
          <w:marLeft w:val="0"/>
          <w:marRight w:val="0"/>
          <w:marTop w:val="0"/>
          <w:marBottom w:val="0"/>
          <w:divBdr>
            <w:top w:val="none" w:sz="0" w:space="0" w:color="auto"/>
            <w:left w:val="none" w:sz="0" w:space="0" w:color="auto"/>
            <w:bottom w:val="none" w:sz="0" w:space="0" w:color="auto"/>
            <w:right w:val="none" w:sz="0" w:space="0" w:color="auto"/>
          </w:divBdr>
        </w:div>
      </w:divsChild>
    </w:div>
    <w:div w:id="1904674414">
      <w:bodyDiv w:val="1"/>
      <w:marLeft w:val="0"/>
      <w:marRight w:val="0"/>
      <w:marTop w:val="0"/>
      <w:marBottom w:val="0"/>
      <w:divBdr>
        <w:top w:val="none" w:sz="0" w:space="0" w:color="auto"/>
        <w:left w:val="none" w:sz="0" w:space="0" w:color="auto"/>
        <w:bottom w:val="none" w:sz="0" w:space="0" w:color="auto"/>
        <w:right w:val="none" w:sz="0" w:space="0" w:color="auto"/>
      </w:divBdr>
    </w:div>
    <w:div w:id="1956398993">
      <w:bodyDiv w:val="1"/>
      <w:marLeft w:val="0"/>
      <w:marRight w:val="0"/>
      <w:marTop w:val="0"/>
      <w:marBottom w:val="0"/>
      <w:divBdr>
        <w:top w:val="none" w:sz="0" w:space="0" w:color="auto"/>
        <w:left w:val="none" w:sz="0" w:space="0" w:color="auto"/>
        <w:bottom w:val="none" w:sz="0" w:space="0" w:color="auto"/>
        <w:right w:val="none" w:sz="0" w:space="0" w:color="auto"/>
      </w:divBdr>
    </w:div>
    <w:div w:id="1979332931">
      <w:bodyDiv w:val="1"/>
      <w:marLeft w:val="0"/>
      <w:marRight w:val="0"/>
      <w:marTop w:val="0"/>
      <w:marBottom w:val="0"/>
      <w:divBdr>
        <w:top w:val="none" w:sz="0" w:space="0" w:color="auto"/>
        <w:left w:val="none" w:sz="0" w:space="0" w:color="auto"/>
        <w:bottom w:val="none" w:sz="0" w:space="0" w:color="auto"/>
        <w:right w:val="none" w:sz="0" w:space="0" w:color="auto"/>
      </w:divBdr>
    </w:div>
    <w:div w:id="2008433774">
      <w:bodyDiv w:val="1"/>
      <w:marLeft w:val="0"/>
      <w:marRight w:val="0"/>
      <w:marTop w:val="0"/>
      <w:marBottom w:val="0"/>
      <w:divBdr>
        <w:top w:val="none" w:sz="0" w:space="0" w:color="auto"/>
        <w:left w:val="none" w:sz="0" w:space="0" w:color="auto"/>
        <w:bottom w:val="none" w:sz="0" w:space="0" w:color="auto"/>
        <w:right w:val="none" w:sz="0" w:space="0" w:color="auto"/>
      </w:divBdr>
    </w:div>
    <w:div w:id="2009017281">
      <w:bodyDiv w:val="1"/>
      <w:marLeft w:val="0"/>
      <w:marRight w:val="0"/>
      <w:marTop w:val="0"/>
      <w:marBottom w:val="0"/>
      <w:divBdr>
        <w:top w:val="none" w:sz="0" w:space="0" w:color="auto"/>
        <w:left w:val="none" w:sz="0" w:space="0" w:color="auto"/>
        <w:bottom w:val="none" w:sz="0" w:space="0" w:color="auto"/>
        <w:right w:val="none" w:sz="0" w:space="0" w:color="auto"/>
      </w:divBdr>
      <w:divsChild>
        <w:div w:id="1065832492">
          <w:marLeft w:val="0"/>
          <w:marRight w:val="0"/>
          <w:marTop w:val="0"/>
          <w:marBottom w:val="0"/>
          <w:divBdr>
            <w:top w:val="none" w:sz="0" w:space="0" w:color="auto"/>
            <w:left w:val="none" w:sz="0" w:space="0" w:color="auto"/>
            <w:bottom w:val="none" w:sz="0" w:space="0" w:color="auto"/>
            <w:right w:val="none" w:sz="0" w:space="0" w:color="auto"/>
          </w:divBdr>
        </w:div>
        <w:div w:id="1523519519">
          <w:marLeft w:val="0"/>
          <w:marRight w:val="0"/>
          <w:marTop w:val="0"/>
          <w:marBottom w:val="0"/>
          <w:divBdr>
            <w:top w:val="none" w:sz="0" w:space="0" w:color="auto"/>
            <w:left w:val="none" w:sz="0" w:space="0" w:color="auto"/>
            <w:bottom w:val="none" w:sz="0" w:space="0" w:color="auto"/>
            <w:right w:val="none" w:sz="0" w:space="0" w:color="auto"/>
          </w:divBdr>
        </w:div>
        <w:div w:id="1968512377">
          <w:marLeft w:val="0"/>
          <w:marRight w:val="0"/>
          <w:marTop w:val="0"/>
          <w:marBottom w:val="0"/>
          <w:divBdr>
            <w:top w:val="none" w:sz="0" w:space="0" w:color="auto"/>
            <w:left w:val="none" w:sz="0" w:space="0" w:color="auto"/>
            <w:bottom w:val="none" w:sz="0" w:space="0" w:color="auto"/>
            <w:right w:val="none" w:sz="0" w:space="0" w:color="auto"/>
          </w:divBdr>
        </w:div>
        <w:div w:id="919486087">
          <w:marLeft w:val="0"/>
          <w:marRight w:val="0"/>
          <w:marTop w:val="0"/>
          <w:marBottom w:val="0"/>
          <w:divBdr>
            <w:top w:val="none" w:sz="0" w:space="0" w:color="auto"/>
            <w:left w:val="none" w:sz="0" w:space="0" w:color="auto"/>
            <w:bottom w:val="none" w:sz="0" w:space="0" w:color="auto"/>
            <w:right w:val="none" w:sz="0" w:space="0" w:color="auto"/>
          </w:divBdr>
        </w:div>
        <w:div w:id="1350763717">
          <w:marLeft w:val="0"/>
          <w:marRight w:val="0"/>
          <w:marTop w:val="0"/>
          <w:marBottom w:val="0"/>
          <w:divBdr>
            <w:top w:val="none" w:sz="0" w:space="0" w:color="auto"/>
            <w:left w:val="none" w:sz="0" w:space="0" w:color="auto"/>
            <w:bottom w:val="none" w:sz="0" w:space="0" w:color="auto"/>
            <w:right w:val="none" w:sz="0" w:space="0" w:color="auto"/>
          </w:divBdr>
        </w:div>
        <w:div w:id="129448082">
          <w:marLeft w:val="0"/>
          <w:marRight w:val="0"/>
          <w:marTop w:val="0"/>
          <w:marBottom w:val="0"/>
          <w:divBdr>
            <w:top w:val="none" w:sz="0" w:space="0" w:color="auto"/>
            <w:left w:val="none" w:sz="0" w:space="0" w:color="auto"/>
            <w:bottom w:val="none" w:sz="0" w:space="0" w:color="auto"/>
            <w:right w:val="none" w:sz="0" w:space="0" w:color="auto"/>
          </w:divBdr>
        </w:div>
        <w:div w:id="1162352942">
          <w:marLeft w:val="0"/>
          <w:marRight w:val="0"/>
          <w:marTop w:val="0"/>
          <w:marBottom w:val="0"/>
          <w:divBdr>
            <w:top w:val="none" w:sz="0" w:space="0" w:color="auto"/>
            <w:left w:val="none" w:sz="0" w:space="0" w:color="auto"/>
            <w:bottom w:val="none" w:sz="0" w:space="0" w:color="auto"/>
            <w:right w:val="none" w:sz="0" w:space="0" w:color="auto"/>
          </w:divBdr>
        </w:div>
        <w:div w:id="211693245">
          <w:marLeft w:val="0"/>
          <w:marRight w:val="0"/>
          <w:marTop w:val="0"/>
          <w:marBottom w:val="0"/>
          <w:divBdr>
            <w:top w:val="none" w:sz="0" w:space="0" w:color="auto"/>
            <w:left w:val="none" w:sz="0" w:space="0" w:color="auto"/>
            <w:bottom w:val="none" w:sz="0" w:space="0" w:color="auto"/>
            <w:right w:val="none" w:sz="0" w:space="0" w:color="auto"/>
          </w:divBdr>
        </w:div>
        <w:div w:id="663555917">
          <w:marLeft w:val="0"/>
          <w:marRight w:val="0"/>
          <w:marTop w:val="0"/>
          <w:marBottom w:val="0"/>
          <w:divBdr>
            <w:top w:val="none" w:sz="0" w:space="0" w:color="auto"/>
            <w:left w:val="none" w:sz="0" w:space="0" w:color="auto"/>
            <w:bottom w:val="none" w:sz="0" w:space="0" w:color="auto"/>
            <w:right w:val="none" w:sz="0" w:space="0" w:color="auto"/>
          </w:divBdr>
        </w:div>
      </w:divsChild>
    </w:div>
    <w:div w:id="2016491116">
      <w:bodyDiv w:val="1"/>
      <w:marLeft w:val="0"/>
      <w:marRight w:val="0"/>
      <w:marTop w:val="0"/>
      <w:marBottom w:val="0"/>
      <w:divBdr>
        <w:top w:val="none" w:sz="0" w:space="0" w:color="auto"/>
        <w:left w:val="none" w:sz="0" w:space="0" w:color="auto"/>
        <w:bottom w:val="none" w:sz="0" w:space="0" w:color="auto"/>
        <w:right w:val="none" w:sz="0" w:space="0" w:color="auto"/>
      </w:divBdr>
    </w:div>
    <w:div w:id="2045980824">
      <w:bodyDiv w:val="1"/>
      <w:marLeft w:val="0"/>
      <w:marRight w:val="0"/>
      <w:marTop w:val="0"/>
      <w:marBottom w:val="0"/>
      <w:divBdr>
        <w:top w:val="none" w:sz="0" w:space="0" w:color="auto"/>
        <w:left w:val="none" w:sz="0" w:space="0" w:color="auto"/>
        <w:bottom w:val="none" w:sz="0" w:space="0" w:color="auto"/>
        <w:right w:val="none" w:sz="0" w:space="0" w:color="auto"/>
      </w:divBdr>
    </w:div>
    <w:div w:id="2059165616">
      <w:bodyDiv w:val="1"/>
      <w:marLeft w:val="0"/>
      <w:marRight w:val="0"/>
      <w:marTop w:val="0"/>
      <w:marBottom w:val="0"/>
      <w:divBdr>
        <w:top w:val="none" w:sz="0" w:space="0" w:color="auto"/>
        <w:left w:val="none" w:sz="0" w:space="0" w:color="auto"/>
        <w:bottom w:val="none" w:sz="0" w:space="0" w:color="auto"/>
        <w:right w:val="none" w:sz="0" w:space="0" w:color="auto"/>
      </w:divBdr>
    </w:div>
    <w:div w:id="2109614364">
      <w:bodyDiv w:val="1"/>
      <w:marLeft w:val="0"/>
      <w:marRight w:val="0"/>
      <w:marTop w:val="0"/>
      <w:marBottom w:val="0"/>
      <w:divBdr>
        <w:top w:val="none" w:sz="0" w:space="0" w:color="auto"/>
        <w:left w:val="none" w:sz="0" w:space="0" w:color="auto"/>
        <w:bottom w:val="none" w:sz="0" w:space="0" w:color="auto"/>
        <w:right w:val="none" w:sz="0" w:space="0" w:color="auto"/>
      </w:divBdr>
    </w:div>
    <w:div w:id="2114324732">
      <w:bodyDiv w:val="1"/>
      <w:marLeft w:val="0"/>
      <w:marRight w:val="0"/>
      <w:marTop w:val="0"/>
      <w:marBottom w:val="0"/>
      <w:divBdr>
        <w:top w:val="none" w:sz="0" w:space="0" w:color="auto"/>
        <w:left w:val="none" w:sz="0" w:space="0" w:color="auto"/>
        <w:bottom w:val="none" w:sz="0" w:space="0" w:color="auto"/>
        <w:right w:val="none" w:sz="0" w:space="0" w:color="auto"/>
      </w:divBdr>
    </w:div>
    <w:div w:id="2116629549">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 w:id="21404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marie.deliedekerke@beis.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parliament.uk/business/publications/written-questions-answers-statements/written-statement/Commons/2018-06-20/HCWS776/" TargetMode="External"/><Relationship Id="rId3" Type="http://schemas.openxmlformats.org/officeDocument/2006/relationships/hyperlink" Target="https://www.legislation.gov.uk/ukia/2008/10/pdfs/ukia_20080010_en.pdf" TargetMode="External"/><Relationship Id="rId7" Type="http://schemas.openxmlformats.org/officeDocument/2006/relationships/hyperlink" Target="https://www.parliament.uk/business/publications/written-questions-answers-statements/written-statement/Commons/2018-06-20/HCWS776/" TargetMode="External"/><Relationship Id="rId2" Type="http://schemas.openxmlformats.org/officeDocument/2006/relationships/hyperlink" Target="https://www.legislation.gov.uk/ukia/2015/241/pdfs/ukia_20150241_en.pdf" TargetMode="External"/><Relationship Id="rId1" Type="http://schemas.openxmlformats.org/officeDocument/2006/relationships/hyperlink" Target="http://www.legislation.gov.uk/uksi/2015/1972/pdfs/uksi_20151972_en.pdf" TargetMode="External"/><Relationship Id="rId6" Type="http://schemas.openxmlformats.org/officeDocument/2006/relationships/hyperlink" Target="https://ec.europa.eu/info/sites/info/files/first_report_on_the_functioning_of_the_odr_platform.pdf" TargetMode="External"/><Relationship Id="rId5" Type="http://schemas.openxmlformats.org/officeDocument/2006/relationships/hyperlink" Target="https://www.gov.uk/government/uploads/system/uploads/attachment_data/file/457750/BIS-15-509-digital-capabilities-in-SMEs-evidence-review-and-re-survey-of-2014-small-business-survey-respondents.pdf" TargetMode="External"/><Relationship Id="rId4" Type="http://schemas.openxmlformats.org/officeDocument/2006/relationships/hyperlink" Target="https://www.ons.gov.uk/methodology/classificationsandstandards/ukstandardindustrialclassificationofeconomicactivities/uksic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DCEC12768C27D4D9654FC99D8646E52" ma:contentTypeVersion="16431" ma:contentTypeDescription="Create a new document." ma:contentTypeScope="" ma:versionID="20da22403714ef56e92859976eaee8d7">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5838c155-ffb5-4a9c-9a4f-09683ac4b4fd" xmlns:ns8="c963a4c1-1bb4-49f2-a011-9c776a7eed2a" targetNamespace="http://schemas.microsoft.com/office/2006/metadata/properties" ma:root="true" ma:fieldsID="9f44e41746376a6cbc2ef32e65e80e2f"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5838c155-ffb5-4a9c-9a4f-09683ac4b4fd"/>
    <xsd:import namespace="c963a4c1-1bb4-49f2-a011-9c776a7eed2a"/>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ediaServiceMetadata" minOccurs="0"/>
                <xsd:element ref="ns7:MediaServiceFastMetadata" minOccurs="0"/>
                <xsd:element ref="ns7:MediaServiceDateTaken" minOccurs="0"/>
                <xsd:element ref="ns7:MediaServiceAutoTags" minOccurs="0"/>
                <xsd:element ref="ns7:MediaServiceOCR" minOccurs="0"/>
                <xsd:element ref="ns4:SharedWithUsers" minOccurs="0"/>
                <xsd:element ref="ns4:SharedWithDetails" minOccurs="0"/>
                <xsd:element ref="ns8:m975189f4ba442ecbf67d4147307b177" minOccurs="0"/>
                <xsd:element ref="ns4:TaxCatchAll" minOccurs="0"/>
                <xsd:element ref="ns4:TaxCatchAllLabel" minOccurs="0"/>
                <xsd:element ref="ns4:_dlc_DocId" minOccurs="0"/>
                <xsd:element ref="ns7:CIRRUSPreviousRetentionPolicy" minOccurs="0"/>
                <xsd:element ref="ns7:LegacyCaseReferenceNumber"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haredWithUsers" ma:index="6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5" nillable="true" ma:displayName="Shared With Details" ma:internalName="SharedWithDetails" ma:readOnly="true">
      <xsd:simpleType>
        <xsd:restriction base="dms:Note">
          <xsd:maxLength value="255"/>
        </xsd:restriction>
      </xsd:simpleType>
    </xsd:element>
    <xsd:element name="TaxCatchAll" ma:index="68"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9"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7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38c155-ffb5-4a9c-9a4f-09683ac4b4fd" elementFormDefault="qualified">
    <xsd:import namespace="http://schemas.microsoft.com/office/2006/documentManagement/types"/>
    <xsd:import namespace="http://schemas.microsoft.com/office/infopath/2007/PartnerControls"/>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DateTaken" ma:index="61" nillable="true" ma:displayName="MediaServiceDateTaken" ma:hidden="true" ma:internalName="MediaServiceDateTaken" ma:readOnly="true">
      <xsd:simpleType>
        <xsd:restriction base="dms:Text"/>
      </xsd:simpleType>
    </xsd:element>
    <xsd:element name="MediaServiceAutoTags" ma:index="62" nillable="true" ma:displayName="MediaServiceAutoTags" ma:internalName="MediaServiceAutoTags" ma:readOnly="true">
      <xsd:simpleType>
        <xsd:restriction base="dms:Text"/>
      </xsd:simpleType>
    </xsd:element>
    <xsd:element name="MediaServiceOCR" ma:index="63" nillable="true" ma:displayName="MediaServiceOCR" ma:internalName="MediaServiceOCR" ma:readOnly="true">
      <xsd:simpleType>
        <xsd:restriction base="dms:Note">
          <xsd:maxLength value="255"/>
        </xsd:restriction>
      </xsd:simpleType>
    </xsd:element>
    <xsd:element name="CIRRUSPreviousRetentionPolicy" ma:index="72" nillable="true" ma:displayName="Previous Retention Policy" ma:internalName="CIRRUSPreviousRetentionPolicy">
      <xsd:simpleType>
        <xsd:restriction base="dms:Note">
          <xsd:maxLength value="255"/>
        </xsd:restriction>
      </xsd:simpleType>
    </xsd:element>
    <xsd:element name="LegacyCaseReferenceNumber" ma:index="73" nillable="true" ma:displayName="Legacy Case Reference Number" ma:internalName="LegacyCaseReferenceNumber">
      <xsd:simpleType>
        <xsd:restriction base="dms:Note">
          <xsd:maxLength value="255"/>
        </xsd:restriction>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GenerationTime" ma:index="7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2018-03-19T13:27:43+00:00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Descriptor xmlns="0063f72e-ace3-48fb-9c1f-5b513408b31f" xsi:nil="true"/>
    <LegacyDateFileReceived xmlns="a172083e-e40c-4314-b43a-827352a1ed2c" xsi:nil="true"/>
    <ExternallyShared xmlns="b67a7830-db79-4a49-bf27-2aff92a2201a"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Analysis, Strategy and Critical Infrastructure</TermName>
          <TermId xmlns="http://schemas.microsoft.com/office/infopath/2007/PartnerControls">4b051bf0-2ecd-41ff-accb-f2792d7c72cd</TermId>
        </TermInfo>
      </Terms>
    </m975189f4ba442ecbf67d4147307b177>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LegacyProtectiveMarking xmlns="b67a7830-db79-4a49-bf27-2aff92a2201a" xsi:nil="true"/>
    <LegacyDateFileReturned xmlns="a172083e-e40c-4314-b43a-827352a1ed2c" xsi:nil="true"/>
    <LegacyReferencesToOtherItems xmlns="b67a7830-db79-4a49-bf27-2aff92a2201a" xsi:nil="true"/>
    <National_x0020_Caveat xmlns="0063f72e-ace3-48fb-9c1f-5b513408b31f" xsi:nil="true"/>
    <Retention_x0020_Label xmlns="a8f60570-4bd3-4f2b-950b-a996de8ab151">HMG PPP Review</Retention_x0020_Label>
    <LegacyCopyright xmlns="b67a7830-db79-4a49-bf27-2aff92a2201a" xsi:nil="true"/>
    <Date_x0020_Closed xmlns="b413c3fd-5a3b-4239-b985-69032e371c04" xsi:nil="true"/>
    <LegacyTags xmlns="b67a7830-db79-4a49-bf27-2aff92a2201a" xsi:nil="true"/>
    <TaxCatchAll xmlns="0063f72e-ace3-48fb-9c1f-5b513408b31f">
      <Value>40</Value>
    </TaxCatchAll>
    <LegacyFolderNotes xmlns="a172083e-e40c-4314-b43a-827352a1ed2c" xsi:nil="true"/>
    <LegacyNumericClass xmlns="b67a7830-db79-4a49-bf27-2aff92a2201a" xsi:nil="true"/>
    <LegacyCurrentLocation xmlns="b67a7830-db79-4a49-bf27-2aff92a2201a" xsi:nil="true"/>
    <_dlc_DocId xmlns="0063f72e-ace3-48fb-9c1f-5b513408b31f">2QFN7KK647Q6-1647631196-27313</_dlc_DocId>
    <_dlc_DocIdUrl xmlns="0063f72e-ace3-48fb-9c1f-5b513408b31f">
      <Url>https://beisgov.sharepoint.com/sites/beis/338/_layouts/15/DocIdRedir.aspx?ID=2QFN7KK647Q6-1647631196-27313</Url>
      <Description>2QFN7KK647Q6-1647631196-27313</Description>
    </_dlc_DocIdUrl>
    <Handling_x0020_Instructions xmlns="b413c3fd-5a3b-4239-b985-69032e371c04" xsi:nil="true"/>
    <CIRRUSPreviousRetentionPolicy xmlns="5838c155-ffb5-4a9c-9a4f-09683ac4b4fd" xsi:nil="true"/>
    <LegacyCaseReferenceNumber xmlns="5838c155-ffb5-4a9c-9a4f-09683ac4b4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DF9A-B58D-415F-861C-D125F8906D08}">
  <ds:schemaRefs>
    <ds:schemaRef ds:uri="http://schemas.microsoft.com/sharepoint/events"/>
  </ds:schemaRefs>
</ds:datastoreItem>
</file>

<file path=customXml/itemProps2.xml><?xml version="1.0" encoding="utf-8"?>
<ds:datastoreItem xmlns:ds="http://schemas.openxmlformats.org/officeDocument/2006/customXml" ds:itemID="{1DBFD03C-A1B3-4DF7-9259-E1A4A39E3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5838c155-ffb5-4a9c-9a4f-09683ac4b4fd"/>
    <ds:schemaRef ds:uri="c963a4c1-1bb4-49f2-a011-9c776a7ee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17456-6720-4FC8-9B41-EC7100881AB5}">
  <ds:schemaRefs>
    <ds:schemaRef ds:uri="b67a7830-db79-4a49-bf27-2aff92a2201a"/>
    <ds:schemaRef ds:uri="a8f60570-4bd3-4f2b-950b-a996de8ab151"/>
    <ds:schemaRef ds:uri="http://purl.org/dc/elements/1.1/"/>
    <ds:schemaRef ds:uri="http://schemas.microsoft.com/office/2006/metadata/properties"/>
    <ds:schemaRef ds:uri="http://schemas.microsoft.com/office/infopath/2007/PartnerControls"/>
    <ds:schemaRef ds:uri="c963a4c1-1bb4-49f2-a011-9c776a7eed2a"/>
    <ds:schemaRef ds:uri="http://schemas.openxmlformats.org/package/2006/metadata/core-properties"/>
    <ds:schemaRef ds:uri="http://purl.org/dc/terms/"/>
    <ds:schemaRef ds:uri="5838c155-ffb5-4a9c-9a4f-09683ac4b4fd"/>
    <ds:schemaRef ds:uri="a172083e-e40c-4314-b43a-827352a1ed2c"/>
    <ds:schemaRef ds:uri="http://schemas.microsoft.com/office/2006/documentManagement/types"/>
    <ds:schemaRef ds:uri="0063f72e-ace3-48fb-9c1f-5b513408b31f"/>
    <ds:schemaRef ds:uri="b413c3fd-5a3b-4239-b985-69032e371c04"/>
    <ds:schemaRef ds:uri="http://www.w3.org/XML/1998/namespace"/>
    <ds:schemaRef ds:uri="http://purl.org/dc/dcmitype/"/>
  </ds:schemaRefs>
</ds:datastoreItem>
</file>

<file path=customXml/itemProps4.xml><?xml version="1.0" encoding="utf-8"?>
<ds:datastoreItem xmlns:ds="http://schemas.openxmlformats.org/officeDocument/2006/customXml" ds:itemID="{ACF04FEE-DA53-4722-A22B-4CA702DF7ED7}">
  <ds:schemaRefs>
    <ds:schemaRef ds:uri="http://schemas.microsoft.com/sharepoint/v3/contenttype/forms"/>
  </ds:schemaRefs>
</ds:datastoreItem>
</file>

<file path=customXml/itemProps5.xml><?xml version="1.0" encoding="utf-8"?>
<ds:datastoreItem xmlns:ds="http://schemas.openxmlformats.org/officeDocument/2006/customXml" ds:itemID="{EAA337A2-C8E1-4F6A-9F4B-FF3426FC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10244</Words>
  <Characters>55158</Characters>
  <Application>Microsoft Office Word</Application>
  <DocSecurity>4</DocSecurity>
  <Lines>459</Lines>
  <Paragraphs>130</Paragraphs>
  <ScaleCrop>false</ScaleCrop>
  <HeadingPairs>
    <vt:vector size="2" baseType="variant">
      <vt:variant>
        <vt:lpstr>Title</vt:lpstr>
      </vt:variant>
      <vt:variant>
        <vt:i4>1</vt:i4>
      </vt:variant>
    </vt:vector>
  </HeadingPairs>
  <TitlesOfParts>
    <vt:vector size="1" baseType="lpstr">
      <vt:lpstr>Impact Assessment</vt:lpstr>
    </vt:vector>
  </TitlesOfParts>
  <Company>BIS</Company>
  <LinksUpToDate>false</LinksUpToDate>
  <CharactersWithSpaces>65272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Harris, Eleanor</dc:creator>
  <cp:lastModifiedBy>Day, Henry (BEIS)</cp:lastModifiedBy>
  <cp:revision>2</cp:revision>
  <cp:lastPrinted>2017-09-07T14:49:00Z</cp:lastPrinted>
  <dcterms:created xsi:type="dcterms:W3CDTF">2018-10-29T13:02:00Z</dcterms:created>
  <dcterms:modified xsi:type="dcterms:W3CDTF">2018-10-29T13:02:00Z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Consultation</vt:lpwstr>
  </property>
  <property fmtid="{D5CDD505-2E9C-101B-9397-08002B2CF9AE}" pid="4" name="ContentTypeId">
    <vt:lpwstr>0x0101005DCEC12768C27D4D9654FC99D8646E52</vt:lpwstr>
  </property>
  <property fmtid="{D5CDD505-2E9C-101B-9397-08002B2CF9AE}" pid="5" name="_dlc_DocIdItemGuid">
    <vt:lpwstr>e568732c-3d59-40c3-8bb2-0db93652f2e1</vt:lpwstr>
  </property>
  <property fmtid="{D5CDD505-2E9C-101B-9397-08002B2CF9AE}" pid="6" name="Business Unit">
    <vt:lpwstr>40;#Analysis, Strategy and Critical Infrastructure|4b051bf0-2ecd-41ff-accb-f2792d7c72cd</vt:lpwstr>
  </property>
</Properties>
</file>