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D8C4" w14:textId="77777777" w:rsidR="005E7B5C" w:rsidRPr="003F06E4" w:rsidRDefault="40A4D685" w:rsidP="00FC0AA9">
      <w:pPr>
        <w:pStyle w:val="EMBanner"/>
      </w:pPr>
      <w:r>
        <w:t>EXPLANATORY MEMORANDUM TO</w:t>
      </w:r>
    </w:p>
    <w:p w14:paraId="394B9B77" w14:textId="77777777" w:rsidR="004A2ECB" w:rsidRPr="003431FE" w:rsidRDefault="006D2D4D" w:rsidP="00503A97">
      <w:pPr>
        <w:pStyle w:val="EMSITitle"/>
        <w:rPr>
          <w:i/>
        </w:rPr>
      </w:pPr>
      <w:bookmarkStart w:id="0" w:name="_1fob9te" w:colFirst="0" w:colLast="0"/>
      <w:bookmarkEnd w:id="0"/>
      <w:r>
        <w:t xml:space="preserve">THE CONSUMER PROTECTION (AMENDMENT ETC.) (EU EXIT) REGULATIONS </w:t>
      </w:r>
    </w:p>
    <w:p w14:paraId="2497E9EA" w14:textId="77777777" w:rsidR="005E7B5C" w:rsidRPr="003F06E4" w:rsidRDefault="00B74A29" w:rsidP="004A2ECB">
      <w:pPr>
        <w:pStyle w:val="EMSINumber"/>
      </w:pPr>
      <w:r>
        <w:t>2018</w:t>
      </w:r>
      <w:r w:rsidR="005E7B5C" w:rsidRPr="003F06E4">
        <w:t xml:space="preserve"> No. [XXXX]</w:t>
      </w:r>
    </w:p>
    <w:p w14:paraId="72F58CFF" w14:textId="77777777" w:rsidR="00B57F4B" w:rsidRDefault="00DB2B7B" w:rsidP="00DB2B7B">
      <w:pPr>
        <w:pStyle w:val="EMSectionTitle"/>
        <w:tabs>
          <w:tab w:val="clear" w:pos="709"/>
          <w:tab w:val="num" w:pos="432"/>
        </w:tabs>
      </w:pPr>
      <w:r>
        <w:t>Introduction</w:t>
      </w:r>
    </w:p>
    <w:p w14:paraId="512F0E6B" w14:textId="77777777" w:rsidR="00C95E14" w:rsidRDefault="00DB2B7B" w:rsidP="00DB2B7B">
      <w:pPr>
        <w:pStyle w:val="EMLevel1Paragraph"/>
      </w:pPr>
      <w:r>
        <w:t xml:space="preserve">This explanatory memorandum has been prepared by the </w:t>
      </w:r>
      <w:r w:rsidR="00133538">
        <w:t>Department for Business, Energy and Industrial Strategy and is laid before Parliament by Act.</w:t>
      </w:r>
    </w:p>
    <w:p w14:paraId="1548FB69" w14:textId="77777777" w:rsidR="00DB2B7B" w:rsidRDefault="00C95E14" w:rsidP="00DB2B7B">
      <w:pPr>
        <w:pStyle w:val="EMLevel1Paragraph"/>
      </w:pPr>
      <w:r>
        <w:t>This memorandum contains information for the Sifting Committees.</w:t>
      </w:r>
    </w:p>
    <w:p w14:paraId="2BE1AB23" w14:textId="77777777" w:rsidR="00C95E14" w:rsidRPr="00BD3826" w:rsidRDefault="00C95E14" w:rsidP="00C95E14">
      <w:pPr>
        <w:pStyle w:val="EMSectionTitle"/>
        <w:numPr>
          <w:ilvl w:val="0"/>
          <w:numId w:val="14"/>
        </w:numPr>
        <w:tabs>
          <w:tab w:val="clear" w:pos="432"/>
          <w:tab w:val="num" w:pos="709"/>
        </w:tabs>
      </w:pPr>
      <w:r>
        <w:t>Purpose of the instrument</w:t>
      </w:r>
    </w:p>
    <w:p w14:paraId="3FA58E74" w14:textId="2F3524B3" w:rsidR="007C53DC" w:rsidRPr="004455F0" w:rsidRDefault="007B0ECD" w:rsidP="00BD3826">
      <w:pPr>
        <w:pStyle w:val="EMLevel1Paragraph"/>
        <w:numPr>
          <w:ilvl w:val="1"/>
          <w:numId w:val="1"/>
        </w:numPr>
        <w:ind w:left="720" w:hanging="720"/>
      </w:pPr>
      <w:r w:rsidRPr="00152BC2">
        <w:t xml:space="preserve">This </w:t>
      </w:r>
      <w:r w:rsidR="009A3D96" w:rsidRPr="00152BC2">
        <w:t>instrument</w:t>
      </w:r>
      <w:r w:rsidR="003855E8">
        <w:t>:</w:t>
      </w:r>
    </w:p>
    <w:p w14:paraId="18A54622" w14:textId="77777777" w:rsidR="00BD4CFE" w:rsidRPr="004455F0" w:rsidRDefault="00FC6F2E" w:rsidP="00315320">
      <w:pPr>
        <w:pStyle w:val="EMLevel1ListManualNumbering"/>
        <w:numPr>
          <w:ilvl w:val="0"/>
          <w:numId w:val="23"/>
        </w:numPr>
      </w:pPr>
      <w:r w:rsidRPr="00BD4CFE">
        <w:t xml:space="preserve">makes amendments to EU derived consumer protection legislation </w:t>
      </w:r>
      <w:r>
        <w:t xml:space="preserve">which are necessary </w:t>
      </w:r>
      <w:proofErr w:type="gramStart"/>
      <w:r>
        <w:t>as a result of</w:t>
      </w:r>
      <w:proofErr w:type="gramEnd"/>
      <w:r>
        <w:t xml:space="preserve"> the decision to leave the European Union</w:t>
      </w:r>
      <w:r w:rsidRPr="00BD4CFE">
        <w:t>. This is to ensure that the legislation continues to operate effectively at the point the United Kingdom withdraws from the European Union</w:t>
      </w:r>
      <w:r w:rsidR="00501D19">
        <w:t>;</w:t>
      </w:r>
    </w:p>
    <w:p w14:paraId="511F0F9B" w14:textId="77777777" w:rsidR="00DA0941" w:rsidRDefault="00FC6F2E" w:rsidP="00BD3826">
      <w:pPr>
        <w:pStyle w:val="EMLevel1ListManualNumbering"/>
        <w:numPr>
          <w:ilvl w:val="0"/>
          <w:numId w:val="23"/>
        </w:numPr>
      </w:pPr>
      <w:r w:rsidRPr="00FC6F2E">
        <w:t>revokes the EU Online Dispute Resolution Regulation</w:t>
      </w:r>
      <w:r w:rsidR="00501D19" w:rsidRPr="00FC6F2E">
        <w:t>;</w:t>
      </w:r>
      <w:r w:rsidR="00D928C4" w:rsidRPr="00FC6F2E">
        <w:t xml:space="preserve"> </w:t>
      </w:r>
    </w:p>
    <w:p w14:paraId="6FA55713" w14:textId="77777777" w:rsidR="00450AEC" w:rsidRDefault="00FC6F2E" w:rsidP="002D7306">
      <w:pPr>
        <w:pStyle w:val="EMLevel1ListManualNumbering"/>
        <w:numPr>
          <w:ilvl w:val="0"/>
          <w:numId w:val="23"/>
        </w:numPr>
      </w:pPr>
      <w:r w:rsidRPr="00653FBB">
        <w:t>makes amendments to EU</w:t>
      </w:r>
      <w:r w:rsidR="00417E67">
        <w:t xml:space="preserve"> </w:t>
      </w:r>
      <w:r w:rsidRPr="00417E67">
        <w:rPr>
          <w:color w:val="000000" w:themeColor="text1"/>
        </w:rPr>
        <w:t xml:space="preserve">derived consumer protection legislation to replace obsolete cross-references to EU law. These out-dated references were in place before the decision to leave the European Union and </w:t>
      </w:r>
      <w:r w:rsidR="00AF1BC3">
        <w:rPr>
          <w:color w:val="000000" w:themeColor="text1"/>
        </w:rPr>
        <w:t xml:space="preserve">correcting them now </w:t>
      </w:r>
      <w:r w:rsidR="00F26367">
        <w:rPr>
          <w:color w:val="000000" w:themeColor="text1"/>
        </w:rPr>
        <w:t>ensures that the law will function properly after exit day</w:t>
      </w:r>
      <w:r w:rsidRPr="00417E67">
        <w:rPr>
          <w:color w:val="000000" w:themeColor="text1"/>
        </w:rPr>
        <w:t>.</w:t>
      </w:r>
      <w:r w:rsidR="004F3E5E" w:rsidRPr="005534BA">
        <w:rPr>
          <w:color w:val="000000" w:themeColor="text1"/>
        </w:rPr>
        <w:t xml:space="preserve">        </w:t>
      </w:r>
      <w:r w:rsidR="004F3E5E" w:rsidRPr="005534BA">
        <w:rPr>
          <w:color w:val="000000" w:themeColor="text1"/>
        </w:rPr>
        <w:tab/>
      </w:r>
    </w:p>
    <w:p w14:paraId="350A6951" w14:textId="58D15218" w:rsidR="00E177F7" w:rsidRPr="00A16815" w:rsidRDefault="007D71ED" w:rsidP="00BD3826">
      <w:pPr>
        <w:pStyle w:val="EMSub-sectiontitle"/>
      </w:pPr>
      <w:r w:rsidRPr="00BA2756">
        <w:t>Ex</w:t>
      </w:r>
      <w:r w:rsidR="00D928C4" w:rsidRPr="005106DF">
        <w:t>planations</w:t>
      </w:r>
    </w:p>
    <w:p w14:paraId="524DF4B0" w14:textId="71473CDB" w:rsidR="0098576D" w:rsidRPr="00653FBB" w:rsidRDefault="007D6B2B" w:rsidP="00792470">
      <w:pPr>
        <w:pStyle w:val="EMLevel1Paragraph"/>
      </w:pPr>
      <w:r w:rsidRPr="00653FBB">
        <w:t>Thi</w:t>
      </w:r>
      <w:r w:rsidR="002E2F79">
        <w:t>s instrument affects</w:t>
      </w:r>
      <w:r w:rsidRPr="00653FBB">
        <w:t xml:space="preserve"> the following consumer protection legislation</w:t>
      </w:r>
    </w:p>
    <w:p w14:paraId="13B0E4F9" w14:textId="77777777" w:rsidR="00D9383E" w:rsidRDefault="00A76FF8" w:rsidP="00D9383E">
      <w:pPr>
        <w:pStyle w:val="EMLevel1Bullet"/>
      </w:pPr>
      <w:r>
        <w:t xml:space="preserve">Amendment of </w:t>
      </w:r>
      <w:r w:rsidR="00503A4F">
        <w:t>Primary Legislation</w:t>
      </w:r>
    </w:p>
    <w:p w14:paraId="044CE08E" w14:textId="77777777" w:rsidR="00A76FF8" w:rsidRDefault="00D03AE8" w:rsidP="00D9383E">
      <w:pPr>
        <w:pStyle w:val="EMLevel2Bullet"/>
      </w:pPr>
      <w:r w:rsidRPr="004455F0">
        <w:t>T</w:t>
      </w:r>
      <w:r w:rsidR="007D6B2B" w:rsidRPr="004455F0">
        <w:t>he Consumer Rights Act 2015</w:t>
      </w:r>
    </w:p>
    <w:p w14:paraId="144F4EA0" w14:textId="77777777" w:rsidR="00A76FF8" w:rsidRDefault="00A76FF8" w:rsidP="00BD3826">
      <w:pPr>
        <w:pStyle w:val="EMLevel1Bullet"/>
      </w:pPr>
      <w:r>
        <w:t>Amendment of Subordinate Legislation</w:t>
      </w:r>
    </w:p>
    <w:p w14:paraId="1DA53297" w14:textId="77777777" w:rsidR="007D6B2B" w:rsidRDefault="00D03AE8">
      <w:pPr>
        <w:pStyle w:val="EMLevel2Bullet"/>
      </w:pPr>
      <w:r w:rsidRPr="00653FBB">
        <w:t>T</w:t>
      </w:r>
      <w:r w:rsidR="007D6B2B" w:rsidRPr="00653FBB">
        <w:t>he Consumer Protection from Unfair Trading Regulations</w:t>
      </w:r>
      <w:r w:rsidRPr="00653FBB">
        <w:t xml:space="preserve"> </w:t>
      </w:r>
      <w:r w:rsidR="007D6B2B" w:rsidRPr="00653FBB">
        <w:t xml:space="preserve">2008 </w:t>
      </w:r>
    </w:p>
    <w:p w14:paraId="40756F82" w14:textId="77777777" w:rsidR="007D6B2B" w:rsidRDefault="00D03AE8">
      <w:pPr>
        <w:pStyle w:val="EMLevel2Bullet"/>
      </w:pPr>
      <w:r w:rsidRPr="00653FBB">
        <w:t>T</w:t>
      </w:r>
      <w:r w:rsidR="007D6B2B" w:rsidRPr="00653FBB">
        <w:t>he Consumer Rights (Payment Surcharges) Regulations 2012</w:t>
      </w:r>
    </w:p>
    <w:p w14:paraId="616B532B" w14:textId="77777777" w:rsidR="007D6B2B" w:rsidRDefault="00D03AE8">
      <w:pPr>
        <w:pStyle w:val="EMLevel2Bullet"/>
      </w:pPr>
      <w:r w:rsidRPr="00653FBB">
        <w:t>T</w:t>
      </w:r>
      <w:r w:rsidR="007D6B2B" w:rsidRPr="00653FBB">
        <w:t>he Consumer Contracts (Information, Cancellation and</w:t>
      </w:r>
      <w:r w:rsidRPr="00653FBB">
        <w:t xml:space="preserve"> </w:t>
      </w:r>
      <w:r w:rsidR="00A76FF8">
        <w:t xml:space="preserve">Additional </w:t>
      </w:r>
      <w:r w:rsidR="007D6B2B" w:rsidRPr="00653FBB">
        <w:t>Charges) Regulations 2013</w:t>
      </w:r>
    </w:p>
    <w:p w14:paraId="751E66EA" w14:textId="77777777" w:rsidR="00D9383E" w:rsidRDefault="00D03AE8" w:rsidP="00BD3826">
      <w:pPr>
        <w:pStyle w:val="EMLevel2Bullet"/>
      </w:pPr>
      <w:r w:rsidRPr="00653FBB">
        <w:t>T</w:t>
      </w:r>
      <w:r w:rsidR="007D6B2B" w:rsidRPr="00653FBB">
        <w:t>he Crystal Glass (Descriptions) Regulations 1973</w:t>
      </w:r>
    </w:p>
    <w:p w14:paraId="1E262D67" w14:textId="77777777" w:rsidR="007D6B2B" w:rsidRDefault="00D03AE8">
      <w:pPr>
        <w:pStyle w:val="EMLevel2Bullet"/>
      </w:pPr>
      <w:r w:rsidRPr="00653FBB">
        <w:t>T</w:t>
      </w:r>
      <w:r w:rsidR="007D6B2B" w:rsidRPr="00653FBB">
        <w:t>he Footwear (Indication of Composition) Labelling Regulations 1995</w:t>
      </w:r>
    </w:p>
    <w:p w14:paraId="11F6BF9C" w14:textId="03883E10" w:rsidR="00234E87" w:rsidRDefault="00D03AE8" w:rsidP="00BD3826">
      <w:pPr>
        <w:pStyle w:val="EMLevel2Bullet"/>
      </w:pPr>
      <w:r w:rsidRPr="00653FBB">
        <w:t>T</w:t>
      </w:r>
      <w:r w:rsidR="007D6B2B" w:rsidRPr="00653FBB">
        <w:t xml:space="preserve">he Alternative Dispute Resolution for Consumer Disputes (Competent </w:t>
      </w:r>
      <w:r w:rsidRPr="00653FBB">
        <w:t>A</w:t>
      </w:r>
      <w:r w:rsidR="007D6B2B" w:rsidRPr="00653FBB">
        <w:t>uthorities and Information) Regulations 2015</w:t>
      </w:r>
    </w:p>
    <w:p w14:paraId="422173ED" w14:textId="77777777" w:rsidR="002D52BF" w:rsidRDefault="00CE670B" w:rsidP="002D7306">
      <w:pPr>
        <w:pStyle w:val="EMLevel1Bullet"/>
      </w:pPr>
      <w:r>
        <w:t xml:space="preserve">Revocation of </w:t>
      </w:r>
      <w:r w:rsidR="00D95220">
        <w:t xml:space="preserve">Retained Direct EU </w:t>
      </w:r>
      <w:r>
        <w:t>Legislation</w:t>
      </w:r>
    </w:p>
    <w:p w14:paraId="346AC6A0" w14:textId="77777777" w:rsidR="00DD6E0D" w:rsidRDefault="007D6B2B" w:rsidP="00BD3826">
      <w:pPr>
        <w:pStyle w:val="EMLevel2Bullet"/>
        <w:rPr>
          <w:rFonts w:eastAsia="Calibri"/>
        </w:rPr>
      </w:pPr>
      <w:r w:rsidRPr="009D5665">
        <w:rPr>
          <w:rFonts w:eastAsia="Calibri"/>
        </w:rPr>
        <w:t xml:space="preserve">Regulation (EU) 524/2013 – </w:t>
      </w:r>
      <w:r w:rsidRPr="00653FBB">
        <w:rPr>
          <w:rFonts w:eastAsia="Calibri"/>
        </w:rPr>
        <w:t>Online</w:t>
      </w:r>
      <w:r w:rsidRPr="009D5665">
        <w:rPr>
          <w:rFonts w:eastAsia="Calibri"/>
        </w:rPr>
        <w:t xml:space="preserve"> Dispute Resolution</w:t>
      </w:r>
    </w:p>
    <w:p w14:paraId="227DEE36" w14:textId="77777777" w:rsidR="007D6B2B" w:rsidRPr="00C21B8E" w:rsidRDefault="007D6B2B" w:rsidP="00BD3826">
      <w:pPr>
        <w:pStyle w:val="EMLevel2Bullet"/>
        <w:numPr>
          <w:ilvl w:val="0"/>
          <w:numId w:val="0"/>
        </w:numPr>
        <w:ind w:left="2160"/>
        <w:rPr>
          <w:i/>
        </w:rPr>
      </w:pPr>
    </w:p>
    <w:p w14:paraId="54284464" w14:textId="77777777" w:rsidR="004501E6" w:rsidRPr="005F4D13" w:rsidRDefault="00E177F7" w:rsidP="00BD3826">
      <w:pPr>
        <w:pStyle w:val="EMSub-sub-sectiontitle"/>
      </w:pPr>
      <w:r w:rsidRPr="00D34B19">
        <w:t xml:space="preserve">Amendments made under section 2(2) of the European Communities Act </w:t>
      </w:r>
      <w:r w:rsidRPr="005F4D13">
        <w:t>19</w:t>
      </w:r>
      <w:r w:rsidR="00E93C38" w:rsidRPr="00BD3826">
        <w:t>7</w:t>
      </w:r>
      <w:r w:rsidRPr="00BD3826">
        <w:t>2</w:t>
      </w:r>
    </w:p>
    <w:p w14:paraId="45B709FE" w14:textId="54FF5E43" w:rsidR="00C069E1" w:rsidRPr="00BD3826" w:rsidRDefault="00EF5225" w:rsidP="00BD3826">
      <w:pPr>
        <w:pStyle w:val="EMLevel1Paragraph"/>
        <w:numPr>
          <w:ilvl w:val="1"/>
          <w:numId w:val="1"/>
        </w:numPr>
        <w:ind w:left="720" w:hanging="720"/>
      </w:pPr>
      <w:r>
        <w:t>T</w:t>
      </w:r>
      <w:r w:rsidR="00B61A0D" w:rsidRPr="00004964">
        <w:t>he Footwear (Indication of Composition</w:t>
      </w:r>
      <w:r w:rsidR="00B61A0D" w:rsidRPr="00BD3826">
        <w:t>) Labelling Regulations</w:t>
      </w:r>
      <w:r w:rsidR="00CD0729">
        <w:t xml:space="preserve"> </w:t>
      </w:r>
      <w:r w:rsidR="00B61A0D" w:rsidRPr="00BD3826">
        <w:t>1995</w:t>
      </w:r>
      <w:r w:rsidR="000D1D02" w:rsidRPr="00BD3826">
        <w:t xml:space="preserve">   </w:t>
      </w:r>
    </w:p>
    <w:p w14:paraId="1E51581C" w14:textId="4ADC3DC3" w:rsidR="00ED37D1" w:rsidRPr="00ED37D1" w:rsidRDefault="00B61A0D" w:rsidP="00ED37D1">
      <w:pPr>
        <w:pStyle w:val="EMLevel1Paragraph"/>
      </w:pPr>
      <w:r w:rsidRPr="00B41323">
        <w:lastRenderedPageBreak/>
        <w:t>These regulations contain definitions which cross refer to EU Directives that have</w:t>
      </w:r>
      <w:r w:rsidR="00B41323">
        <w:t xml:space="preserve"> </w:t>
      </w:r>
      <w:r w:rsidRPr="00B41323">
        <w:t xml:space="preserve">been repealed. These amendments replace these cross references to </w:t>
      </w:r>
      <w:r w:rsidR="0020417C" w:rsidRPr="00B41323">
        <w:t xml:space="preserve">refer instead to </w:t>
      </w:r>
      <w:r w:rsidRPr="00B41323">
        <w:t>EU</w:t>
      </w:r>
      <w:r w:rsidR="00BC0E97">
        <w:t xml:space="preserve"> Regulations that will become retained EU law on exit day.</w:t>
      </w:r>
    </w:p>
    <w:p w14:paraId="7805A4FD" w14:textId="7E3A3202" w:rsidR="005F7E80" w:rsidRDefault="007D6B2B" w:rsidP="00ED37D1">
      <w:pPr>
        <w:pStyle w:val="EMSub-sub-sectiontitle"/>
        <w:rPr>
          <w:szCs w:val="22"/>
        </w:rPr>
      </w:pPr>
      <w:r w:rsidRPr="00653FBB">
        <w:t xml:space="preserve">Amendments made under </w:t>
      </w:r>
      <w:r w:rsidR="00FB3903">
        <w:t>t</w:t>
      </w:r>
      <w:r w:rsidRPr="00653FBB">
        <w:t xml:space="preserve">he </w:t>
      </w:r>
      <w:r w:rsidR="007540D9" w:rsidRPr="00653FBB">
        <w:t>European Union (</w:t>
      </w:r>
      <w:r w:rsidRPr="00653FBB">
        <w:t>Withdrawal</w:t>
      </w:r>
      <w:r w:rsidR="007540D9" w:rsidRPr="00653FBB">
        <w:t>)</w:t>
      </w:r>
      <w:r w:rsidRPr="00653FBB">
        <w:t xml:space="preserve"> Act 2018</w:t>
      </w:r>
    </w:p>
    <w:p w14:paraId="0B9773A0" w14:textId="4FDBED0B" w:rsidR="002B4EFB" w:rsidRPr="00004964" w:rsidRDefault="00EF5225" w:rsidP="00004964">
      <w:pPr>
        <w:pStyle w:val="EMLevel1Paragraph"/>
      </w:pPr>
      <w:r>
        <w:t>T</w:t>
      </w:r>
      <w:r w:rsidR="0083212D" w:rsidRPr="00004964">
        <w:t>he Consumer Rights Act 2015</w:t>
      </w:r>
    </w:p>
    <w:p w14:paraId="4C3B8263" w14:textId="77777777" w:rsidR="006713EE" w:rsidRPr="00BD3826" w:rsidRDefault="006713EE">
      <w:pPr>
        <w:pStyle w:val="EMSub-sub-sectiontitle"/>
      </w:pPr>
      <w:r w:rsidRPr="00004964">
        <w:t xml:space="preserve">What did any relevant EU law do before </w:t>
      </w:r>
      <w:r w:rsidRPr="00BD3826">
        <w:t>exit day?</w:t>
      </w:r>
    </w:p>
    <w:p w14:paraId="591AE7AB" w14:textId="7A951F8D" w:rsidR="003A3328" w:rsidRDefault="00C37D14" w:rsidP="00BD3826">
      <w:pPr>
        <w:pStyle w:val="EMLevel2Paragraph"/>
        <w:numPr>
          <w:ilvl w:val="0"/>
          <w:numId w:val="0"/>
        </w:numPr>
        <w:ind w:left="720"/>
      </w:pPr>
      <w:r w:rsidRPr="00B0383C">
        <w:t xml:space="preserve">The </w:t>
      </w:r>
      <w:r w:rsidR="00AB699D" w:rsidRPr="00B0383C">
        <w:t xml:space="preserve">Consumer Rights Act 2015 provides essential contractual rights and remedies for consumers when they transact with businesses and covers the sale of goods, services and digital content. </w:t>
      </w:r>
      <w:r w:rsidR="008159FD">
        <w:t>It implements part of the Sale of Consumer Goods and Associated Guarantees Directive and the Unfair Terms in Consumer Contracts Directive.</w:t>
      </w:r>
    </w:p>
    <w:p w14:paraId="5CA34251" w14:textId="45E84E65" w:rsidR="003A3328" w:rsidRDefault="00FC6F2E" w:rsidP="00BD3826">
      <w:pPr>
        <w:pStyle w:val="EMLevel2Paragraph"/>
        <w:numPr>
          <w:ilvl w:val="0"/>
          <w:numId w:val="0"/>
        </w:numPr>
        <w:ind w:left="720"/>
      </w:pPr>
      <w:r w:rsidRPr="006D2D4D">
        <w:t>The relevant sections provide that:</w:t>
      </w:r>
    </w:p>
    <w:p w14:paraId="7E34166E" w14:textId="7C14615D" w:rsidR="00FC6F2E" w:rsidRDefault="00FC6F2E" w:rsidP="00BD3826">
      <w:pPr>
        <w:pStyle w:val="EMLevel1Bullet"/>
      </w:pPr>
      <w:r w:rsidRPr="006D2D4D">
        <w:t xml:space="preserve">When a </w:t>
      </w:r>
      <w:r>
        <w:t xml:space="preserve">sales or </w:t>
      </w:r>
      <w:r w:rsidRPr="006D2D4D">
        <w:t>consumer contract has a close connection to the UK, certain protections in the Act have effect even if the parties choose the law of a non-EEA state.</w:t>
      </w:r>
    </w:p>
    <w:p w14:paraId="4C56F7EE" w14:textId="34E82379" w:rsidR="00FC6F2E" w:rsidRDefault="00FC6F2E" w:rsidP="00BD3826">
      <w:pPr>
        <w:pStyle w:val="EMLevel1Bullet"/>
      </w:pPr>
      <w:r w:rsidRPr="004455F0">
        <w:t>Contractual terms that reflect international conventions to which the UK or EU is a party are excluded from protections against unfair terms.</w:t>
      </w:r>
    </w:p>
    <w:p w14:paraId="1DA85680" w14:textId="48A5A802" w:rsidR="00775455" w:rsidRPr="000940AA" w:rsidRDefault="00775455" w:rsidP="00BD3826">
      <w:pPr>
        <w:pStyle w:val="EMLevel1Bullet"/>
      </w:pPr>
      <w:r w:rsidRPr="005106DF">
        <w:t xml:space="preserve">Statements made by an importer into the EEA </w:t>
      </w:r>
      <w:r w:rsidR="00DB4310" w:rsidRPr="00C21B8E">
        <w:t>concerning</w:t>
      </w:r>
      <w:r w:rsidRPr="005A27D6">
        <w:t xml:space="preserve"> goods or digital content </w:t>
      </w:r>
      <w:r w:rsidR="000506F5" w:rsidRPr="005A27D6">
        <w:t xml:space="preserve">are </w:t>
      </w:r>
      <w:r w:rsidR="000506F5" w:rsidRPr="00A359E4">
        <w:t>relevant</w:t>
      </w:r>
      <w:r w:rsidR="00DB4310" w:rsidRPr="00E34635">
        <w:t xml:space="preserve"> in determining whether they are of satisfactory quality</w:t>
      </w:r>
      <w:r w:rsidRPr="00E34635">
        <w:t xml:space="preserve">.   </w:t>
      </w:r>
    </w:p>
    <w:p w14:paraId="4DC6F7CF" w14:textId="0F86FACB" w:rsidR="00FC6F2E" w:rsidRDefault="005E7B5C" w:rsidP="00BD3826">
      <w:pPr>
        <w:pStyle w:val="EMSub-sub-sectiontitle"/>
      </w:pPr>
      <w:r w:rsidRPr="00BD3826">
        <w:rPr>
          <w:bCs w:val="0"/>
          <w:i w:val="0"/>
          <w:iCs w:val="0"/>
        </w:rPr>
        <w:t>Why is it being changed?</w:t>
      </w:r>
    </w:p>
    <w:p w14:paraId="3A8BD03D" w14:textId="484FFC63" w:rsidR="00775455" w:rsidRDefault="00FC6F2E" w:rsidP="00BD3826">
      <w:pPr>
        <w:pStyle w:val="EMLevel2Paragraph"/>
        <w:numPr>
          <w:ilvl w:val="0"/>
          <w:numId w:val="0"/>
        </w:numPr>
        <w:ind w:left="720"/>
      </w:pPr>
      <w:r>
        <w:t xml:space="preserve">On the UK’s exit from the EU it will no longer be appropriate for UK law to give special treatment to contracts that choose the law of an EEA state.  Nor will it be appropriate for the EU’s membership of an international convention to be relevant to the fairness of contractual terms.  As the UK will no longer be a member of the EU single market, it will no longer be appropriate for the statements of an importer into that market to be relevant to the implied term of satisfactory quality.        </w:t>
      </w:r>
    </w:p>
    <w:p w14:paraId="35E4F5F7" w14:textId="6732A956" w:rsidR="00B573CD" w:rsidRPr="003F5A40" w:rsidRDefault="00775455" w:rsidP="00BD3826">
      <w:pPr>
        <w:pStyle w:val="EMSub-sub-sectiontitle"/>
      </w:pPr>
      <w:r w:rsidRPr="00C47D27">
        <w:t>What will it now do?</w:t>
      </w:r>
    </w:p>
    <w:p w14:paraId="03F623C8" w14:textId="1D9727EE" w:rsidR="00DE373F" w:rsidRDefault="00304486" w:rsidP="00BD3826">
      <w:pPr>
        <w:pStyle w:val="EMLevel1Paragraph"/>
        <w:numPr>
          <w:ilvl w:val="0"/>
          <w:numId w:val="0"/>
        </w:numPr>
        <w:ind w:left="720"/>
      </w:pPr>
      <w:r>
        <w:t>C</w:t>
      </w:r>
      <w:r w:rsidR="00775455">
        <w:t>ontracts where parties have chosen to use the law of an EEA state will now be treated in the same way as contracts where parties have chosen the law of other third countries. Only contract terms which reflect international conventions to which the UK is a party will be excluded from protection against unfair term</w:t>
      </w:r>
      <w:r w:rsidR="00E33A53">
        <w:t>.</w:t>
      </w:r>
      <w:r w:rsidR="00775455">
        <w:t xml:space="preserve"> </w:t>
      </w:r>
      <w:r w:rsidR="00E33A53">
        <w:t>S</w:t>
      </w:r>
      <w:r w:rsidR="00775455">
        <w:t>tatements made by an importer into the UK will be relevant to the implied term of satisfactory quality.</w:t>
      </w:r>
    </w:p>
    <w:p w14:paraId="14C759EB" w14:textId="4DBC5126" w:rsidR="007376FF" w:rsidRDefault="00A31E85" w:rsidP="00BD3826">
      <w:pPr>
        <w:pStyle w:val="EMLevel1Paragraph"/>
      </w:pPr>
      <w:r w:rsidRPr="004455F0">
        <w:t>The Consumer Protection from Unfair Trading Regulations 2008</w:t>
      </w:r>
    </w:p>
    <w:p w14:paraId="7F1A9C04" w14:textId="4C81F858" w:rsidR="00D12BAB" w:rsidRPr="00B7776C" w:rsidRDefault="00567E14" w:rsidP="00BD3826">
      <w:pPr>
        <w:pStyle w:val="EMSub-sub-sectiontitle"/>
        <w:rPr>
          <w:rFonts w:eastAsia="Calibri"/>
        </w:rPr>
      </w:pPr>
      <w:r w:rsidRPr="00BD3826">
        <w:rPr>
          <w:bCs w:val="0"/>
          <w:i w:val="0"/>
          <w:iCs w:val="0"/>
        </w:rPr>
        <w:t>What did any relevant EU law do before exit day?</w:t>
      </w:r>
    </w:p>
    <w:p w14:paraId="17CF6D76" w14:textId="67D54635" w:rsidR="00012BC3" w:rsidRPr="00DB4310" w:rsidRDefault="0098009F" w:rsidP="00BD3826">
      <w:pPr>
        <w:pStyle w:val="EMLevel2Paragraph"/>
        <w:numPr>
          <w:ilvl w:val="0"/>
          <w:numId w:val="0"/>
        </w:numPr>
        <w:ind w:left="720"/>
        <w:rPr>
          <w:rFonts w:eastAsia="Calibri"/>
        </w:rPr>
      </w:pPr>
      <w:r w:rsidRPr="00B6148E">
        <w:rPr>
          <w:rFonts w:eastAsia="Calibri"/>
        </w:rPr>
        <w:t>The Consumer Protection from Unfair Trading Regulations 2008</w:t>
      </w:r>
      <w:r w:rsidR="00841FEE">
        <w:rPr>
          <w:rFonts w:eastAsia="Calibri"/>
        </w:rPr>
        <w:t xml:space="preserve"> </w:t>
      </w:r>
      <w:r w:rsidRPr="00B6148E">
        <w:rPr>
          <w:rFonts w:eastAsia="Calibri"/>
        </w:rPr>
        <w:t>introduced a general prohibition on traders engaging in unfair commercial</w:t>
      </w:r>
      <w:r w:rsidR="00A377D9" w:rsidRPr="00B6148E">
        <w:rPr>
          <w:rFonts w:eastAsia="Calibri"/>
        </w:rPr>
        <w:t xml:space="preserve"> </w:t>
      </w:r>
      <w:r w:rsidRPr="00B6148E">
        <w:rPr>
          <w:rFonts w:eastAsia="Calibri"/>
        </w:rPr>
        <w:t>practices against consumers</w:t>
      </w:r>
      <w:r w:rsidR="0099798B">
        <w:rPr>
          <w:rFonts w:eastAsia="Calibri"/>
        </w:rPr>
        <w:t xml:space="preserve"> </w:t>
      </w:r>
      <w:r w:rsidR="0099798B" w:rsidRPr="00D35787">
        <w:rPr>
          <w:rFonts w:eastAsia="Calibri"/>
        </w:rPr>
        <w:t>including misleading actions</w:t>
      </w:r>
      <w:r w:rsidR="000B5342" w:rsidRPr="00D35787">
        <w:rPr>
          <w:rFonts w:eastAsia="Calibri"/>
        </w:rPr>
        <w:t xml:space="preserve">, </w:t>
      </w:r>
      <w:r w:rsidR="0099798B" w:rsidRPr="00D35787">
        <w:rPr>
          <w:rFonts w:eastAsia="Calibri"/>
        </w:rPr>
        <w:t>misleading omissions</w:t>
      </w:r>
      <w:r w:rsidR="000B5342" w:rsidRPr="00D35787">
        <w:rPr>
          <w:rFonts w:eastAsia="Calibri"/>
        </w:rPr>
        <w:t xml:space="preserve"> and aggressive </w:t>
      </w:r>
      <w:r w:rsidR="000B5342" w:rsidRPr="00DB4310">
        <w:rPr>
          <w:rFonts w:eastAsia="Calibri"/>
        </w:rPr>
        <w:t>practices</w:t>
      </w:r>
      <w:r w:rsidRPr="00DB4310">
        <w:rPr>
          <w:rFonts w:eastAsia="Calibri"/>
        </w:rPr>
        <w:t>.</w:t>
      </w:r>
    </w:p>
    <w:p w14:paraId="21E53B0C" w14:textId="7BF33F9C" w:rsidR="00841FEE" w:rsidRPr="00BA2756" w:rsidRDefault="00775455" w:rsidP="00BD3826">
      <w:pPr>
        <w:pStyle w:val="EMLevel2Paragraph"/>
        <w:numPr>
          <w:ilvl w:val="0"/>
          <w:numId w:val="0"/>
        </w:numPr>
        <w:ind w:left="720"/>
        <w:rPr>
          <w:rFonts w:eastAsia="Calibri"/>
        </w:rPr>
      </w:pPr>
      <w:r w:rsidRPr="00BA2756">
        <w:rPr>
          <w:rFonts w:eastAsia="Calibri"/>
        </w:rPr>
        <w:t xml:space="preserve">The </w:t>
      </w:r>
      <w:r w:rsidRPr="005106DF">
        <w:rPr>
          <w:rFonts w:eastAsia="Calibri"/>
        </w:rPr>
        <w:t>relevant sections</w:t>
      </w:r>
      <w:r w:rsidR="6F39813B" w:rsidRPr="00C21B8E">
        <w:rPr>
          <w:rFonts w:eastAsia="Calibri"/>
        </w:rPr>
        <w:t>:</w:t>
      </w:r>
    </w:p>
    <w:p w14:paraId="7216F0B5" w14:textId="77777777" w:rsidR="00A23EDF" w:rsidRDefault="152623C5" w:rsidP="00BD3826">
      <w:pPr>
        <w:pStyle w:val="EMLevel1Bullet"/>
        <w:rPr>
          <w:rFonts w:eastAsia="Calibri"/>
        </w:rPr>
      </w:pPr>
      <w:r w:rsidRPr="00513F61">
        <w:rPr>
          <w:rFonts w:eastAsia="Calibri"/>
        </w:rPr>
        <w:t xml:space="preserve">provide that </w:t>
      </w:r>
      <w:r w:rsidR="49666809" w:rsidRPr="00513F61">
        <w:rPr>
          <w:rFonts w:eastAsia="Calibri"/>
        </w:rPr>
        <w:t>a</w:t>
      </w:r>
      <w:r w:rsidRPr="00513F61">
        <w:rPr>
          <w:rFonts w:eastAsia="Calibri"/>
        </w:rPr>
        <w:t xml:space="preserve"> consumer </w:t>
      </w:r>
      <w:r w:rsidR="00535F4E">
        <w:rPr>
          <w:rFonts w:eastAsia="Calibri"/>
        </w:rPr>
        <w:t>may have</w:t>
      </w:r>
      <w:r w:rsidRPr="00513F61">
        <w:rPr>
          <w:rFonts w:eastAsia="Calibri"/>
        </w:rPr>
        <w:t xml:space="preserve"> a right to redress where an importer into the EEA engages in prohibited practices</w:t>
      </w:r>
      <w:r w:rsidR="49666809" w:rsidRPr="00513F61">
        <w:rPr>
          <w:rFonts w:eastAsia="Calibri"/>
        </w:rPr>
        <w:t>;</w:t>
      </w:r>
      <w:r w:rsidR="00775455" w:rsidRPr="00513F61">
        <w:rPr>
          <w:rFonts w:eastAsia="Calibri"/>
        </w:rPr>
        <w:t xml:space="preserve"> </w:t>
      </w:r>
    </w:p>
    <w:p w14:paraId="7CB4683C" w14:textId="77777777" w:rsidR="00A23EDF" w:rsidRPr="00513F61" w:rsidRDefault="00A23EDF" w:rsidP="00015A54">
      <w:pPr>
        <w:pStyle w:val="EMLevel1Bullet"/>
        <w:rPr>
          <w:rFonts w:eastAsia="Calibri"/>
        </w:rPr>
      </w:pPr>
      <w:r w:rsidRPr="00BA2756">
        <w:rPr>
          <w:rFonts w:eastAsia="Calibri"/>
        </w:rPr>
        <w:t>prohibit</w:t>
      </w:r>
      <w:r w:rsidR="00775455" w:rsidRPr="005106DF">
        <w:rPr>
          <w:rFonts w:eastAsia="Calibri"/>
        </w:rPr>
        <w:t xml:space="preserve"> unfair practice</w:t>
      </w:r>
      <w:r w:rsidRPr="00841FEE">
        <w:rPr>
          <w:rFonts w:eastAsia="Calibri"/>
        </w:rPr>
        <w:t>s, which include</w:t>
      </w:r>
      <w:r w:rsidR="00775455" w:rsidRPr="00841FEE">
        <w:rPr>
          <w:rFonts w:eastAsia="Calibri"/>
        </w:rPr>
        <w:t xml:space="preserve"> </w:t>
      </w:r>
      <w:r w:rsidRPr="00841FEE">
        <w:rPr>
          <w:rFonts w:eastAsia="Calibri"/>
        </w:rPr>
        <w:t>undertaking</w:t>
      </w:r>
      <w:r w:rsidR="00775455" w:rsidRPr="00841FEE">
        <w:rPr>
          <w:rFonts w:eastAsia="Calibri"/>
        </w:rPr>
        <w:t xml:space="preserve"> to provide an after-sales service </w:t>
      </w:r>
      <w:r w:rsidR="00775455" w:rsidRPr="00C21B8E">
        <w:t>to customers with whom the trader</w:t>
      </w:r>
      <w:r w:rsidR="00775455" w:rsidRPr="005A27D6">
        <w:t xml:space="preserve"> has communicated prior to a </w:t>
      </w:r>
      <w:r w:rsidR="00775455" w:rsidRPr="005A27D6">
        <w:lastRenderedPageBreak/>
        <w:t>transaction in a language which is not</w:t>
      </w:r>
      <w:r w:rsidR="00775455" w:rsidRPr="005A27D6">
        <w:rPr>
          <w:color w:val="FF0000"/>
        </w:rPr>
        <w:t xml:space="preserve"> </w:t>
      </w:r>
      <w:r w:rsidR="00775455" w:rsidRPr="00A359E4">
        <w:t xml:space="preserve">an official language of the EEA </w:t>
      </w:r>
      <w:r w:rsidR="00015A54">
        <w:t>s</w:t>
      </w:r>
      <w:r w:rsidR="00775455" w:rsidRPr="00A359E4">
        <w:t>tate where the trader is located, and then making such service available only in another language without clearly disclosing this to the consumer</w:t>
      </w:r>
      <w:r w:rsidR="49666809" w:rsidRPr="00E34635">
        <w:t>;</w:t>
      </w:r>
      <w:r w:rsidR="00775455" w:rsidRPr="00E34635">
        <w:t xml:space="preserve"> </w:t>
      </w:r>
    </w:p>
    <w:p w14:paraId="68E3B778" w14:textId="77777777" w:rsidR="00775455" w:rsidRPr="00841FEE" w:rsidRDefault="005D07F0" w:rsidP="00BD3826">
      <w:pPr>
        <w:pStyle w:val="EMLevel1Bullet"/>
        <w:rPr>
          <w:rFonts w:eastAsia="Calibri"/>
        </w:rPr>
      </w:pPr>
      <w:r w:rsidRPr="006E3ABA">
        <w:t xml:space="preserve">prohibit </w:t>
      </w:r>
      <w:r w:rsidR="42E87B64">
        <w:t>a</w:t>
      </w:r>
      <w:r>
        <w:t xml:space="preserve"> business from</w:t>
      </w:r>
      <w:r w:rsidR="0067589B">
        <w:t xml:space="preserve"> </w:t>
      </w:r>
      <w:r w:rsidR="00A23EDF" w:rsidRPr="00513F61">
        <w:t>creating</w:t>
      </w:r>
      <w:r w:rsidR="00775455" w:rsidRPr="00513F61">
        <w:t xml:space="preserve"> the false impression that after-sales service in relation to a product is available in an EEA State other than the state</w:t>
      </w:r>
      <w:r w:rsidR="00775455" w:rsidRPr="00513F61">
        <w:rPr>
          <w:color w:val="FF0000"/>
        </w:rPr>
        <w:t xml:space="preserve"> </w:t>
      </w:r>
      <w:r w:rsidR="00775455" w:rsidRPr="00513F61">
        <w:t>in which the product is sold</w:t>
      </w:r>
      <w:r w:rsidR="42E87B64" w:rsidRPr="00513F61">
        <w:t>.</w:t>
      </w:r>
    </w:p>
    <w:p w14:paraId="0C869079" w14:textId="3DDC3424" w:rsidR="00BB61C8" w:rsidRPr="00AF6CC7" w:rsidRDefault="00BB61C8" w:rsidP="00BD3826">
      <w:pPr>
        <w:pStyle w:val="EMSub-sub-sectiontitle"/>
        <w:rPr>
          <w:rFonts w:cs="Arial"/>
        </w:rPr>
      </w:pPr>
      <w:r w:rsidRPr="00BD3826">
        <w:rPr>
          <w:bCs w:val="0"/>
          <w:i w:val="0"/>
          <w:iCs w:val="0"/>
        </w:rPr>
        <w:t>Why is it being changed?</w:t>
      </w:r>
    </w:p>
    <w:p w14:paraId="21611C85" w14:textId="77777777" w:rsidR="00982528" w:rsidRDefault="00FB682D" w:rsidP="000E5B76">
      <w:pPr>
        <w:pStyle w:val="EMLevel2Paragraph"/>
        <w:numPr>
          <w:ilvl w:val="0"/>
          <w:numId w:val="0"/>
        </w:numPr>
        <w:ind w:left="720"/>
        <w:rPr>
          <w:rFonts w:eastAsia="Calibri"/>
        </w:rPr>
      </w:pPr>
      <w:r>
        <w:t xml:space="preserve">As the UK will no longer be a member of the EU single market, it will no longer be appropriate for </w:t>
      </w:r>
      <w:r w:rsidR="007E6A62">
        <w:t>the practices on an importer into the EEA</w:t>
      </w:r>
      <w:r w:rsidR="00CF0A54">
        <w:t xml:space="preserve"> to trigger a right to redress under UK law</w:t>
      </w:r>
      <w:r>
        <w:t>.</w:t>
      </w:r>
      <w:r w:rsidR="00CF0A54">
        <w:t xml:space="preserve"> </w:t>
      </w:r>
      <w:r w:rsidR="76AD9757">
        <w:rPr>
          <w:rFonts w:eastAsia="Calibri"/>
        </w:rPr>
        <w:t xml:space="preserve"> </w:t>
      </w:r>
      <w:r w:rsidR="001B7EBD">
        <w:rPr>
          <w:rFonts w:eastAsia="Calibri"/>
        </w:rPr>
        <w:t>T</w:t>
      </w:r>
      <w:r w:rsidR="76AD9757">
        <w:rPr>
          <w:rFonts w:eastAsia="Calibri"/>
        </w:rPr>
        <w:t xml:space="preserve">he </w:t>
      </w:r>
      <w:r w:rsidR="001B7EBD">
        <w:rPr>
          <w:rFonts w:eastAsia="Calibri"/>
        </w:rPr>
        <w:t>references to EEA states in</w:t>
      </w:r>
      <w:r w:rsidR="76AD9757">
        <w:rPr>
          <w:rFonts w:eastAsia="Calibri"/>
        </w:rPr>
        <w:t xml:space="preserve"> the language requirements </w:t>
      </w:r>
      <w:r w:rsidR="001B7EBD">
        <w:rPr>
          <w:rFonts w:eastAsia="Calibri"/>
        </w:rPr>
        <w:t xml:space="preserve">are being changed so that these requirements </w:t>
      </w:r>
      <w:r w:rsidR="76AD9757">
        <w:rPr>
          <w:rFonts w:eastAsia="Calibri"/>
        </w:rPr>
        <w:t xml:space="preserve">continue to operate as </w:t>
      </w:r>
      <w:r w:rsidR="1E825D34">
        <w:rPr>
          <w:rFonts w:eastAsia="Calibri"/>
        </w:rPr>
        <w:t>they do before exit day</w:t>
      </w:r>
      <w:r w:rsidR="007D060A">
        <w:rPr>
          <w:rFonts w:eastAsia="Calibri"/>
        </w:rPr>
        <w:t>.</w:t>
      </w:r>
    </w:p>
    <w:p w14:paraId="18FDF1D3" w14:textId="14423A95" w:rsidR="00841FEE" w:rsidRPr="00BA2756" w:rsidRDefault="00E37E92" w:rsidP="00BD3826">
      <w:pPr>
        <w:pStyle w:val="EMSub-sub-sectiontitle"/>
        <w:rPr>
          <w:rFonts w:eastAsia="Calibri"/>
        </w:rPr>
      </w:pPr>
      <w:r w:rsidRPr="00BD3826">
        <w:rPr>
          <w:bCs w:val="0"/>
          <w:i w:val="0"/>
          <w:iCs w:val="0"/>
        </w:rPr>
        <w:t>What will it now do?</w:t>
      </w:r>
    </w:p>
    <w:p w14:paraId="6132DBDE" w14:textId="77777777" w:rsidR="00A23EDF" w:rsidRPr="00513F61" w:rsidRDefault="00322D98" w:rsidP="004F3638">
      <w:pPr>
        <w:pStyle w:val="EMLevel1Bullet"/>
        <w:rPr>
          <w:rFonts w:eastAsia="Calibri"/>
        </w:rPr>
      </w:pPr>
      <w:r>
        <w:rPr>
          <w:rFonts w:eastAsia="Calibri"/>
        </w:rPr>
        <w:t>T</w:t>
      </w:r>
      <w:r w:rsidR="00A23EDF" w:rsidRPr="005106DF">
        <w:rPr>
          <w:rFonts w:eastAsia="Calibri"/>
        </w:rPr>
        <w:t xml:space="preserve">he consumer </w:t>
      </w:r>
      <w:r w:rsidR="00535F4E" w:rsidRPr="00841FEE">
        <w:rPr>
          <w:rFonts w:eastAsia="Calibri"/>
        </w:rPr>
        <w:t xml:space="preserve">may </w:t>
      </w:r>
      <w:r w:rsidR="00A23EDF" w:rsidRPr="00841FEE">
        <w:rPr>
          <w:rFonts w:eastAsia="Calibri"/>
        </w:rPr>
        <w:t>have a right to redress when an importer into the UK engages in prohibited practices</w:t>
      </w:r>
      <w:r>
        <w:rPr>
          <w:rFonts w:eastAsia="Calibri"/>
        </w:rPr>
        <w:t>.</w:t>
      </w:r>
      <w:r w:rsidR="00A23EDF" w:rsidRPr="00841FEE">
        <w:rPr>
          <w:rFonts w:eastAsia="Calibri"/>
        </w:rPr>
        <w:t xml:space="preserve"> </w:t>
      </w:r>
    </w:p>
    <w:p w14:paraId="7729BC48" w14:textId="77777777" w:rsidR="00A30B5E" w:rsidRPr="005A27D6" w:rsidRDefault="00322D98" w:rsidP="004F3638">
      <w:pPr>
        <w:pStyle w:val="EMLevel1Bullet"/>
        <w:rPr>
          <w:b/>
        </w:rPr>
      </w:pPr>
      <w:r>
        <w:rPr>
          <w:rFonts w:eastAsia="Calibri"/>
        </w:rPr>
        <w:t>T</w:t>
      </w:r>
      <w:r w:rsidR="00A23EDF" w:rsidRPr="00841FEE">
        <w:rPr>
          <w:rFonts w:eastAsia="Calibri"/>
        </w:rPr>
        <w:t xml:space="preserve">he language requirements </w:t>
      </w:r>
      <w:r>
        <w:rPr>
          <w:rFonts w:eastAsia="Calibri"/>
        </w:rPr>
        <w:t xml:space="preserve">will </w:t>
      </w:r>
      <w:r w:rsidR="712A6422" w:rsidRPr="00841FEE">
        <w:rPr>
          <w:rFonts w:eastAsia="Calibri"/>
        </w:rPr>
        <w:t>c</w:t>
      </w:r>
      <w:r w:rsidR="7564D79F" w:rsidRPr="00841FEE">
        <w:rPr>
          <w:rFonts w:eastAsia="Calibri"/>
        </w:rPr>
        <w:t>ontinue to operate in the same way, despite the UK no longer being within the EEA</w:t>
      </w:r>
      <w:r w:rsidR="00931FBF" w:rsidRPr="00C21B8E">
        <w:t>.</w:t>
      </w:r>
    </w:p>
    <w:p w14:paraId="1F3A2E83" w14:textId="1E2CC516" w:rsidR="002F59C2" w:rsidRPr="00BA2756" w:rsidRDefault="0029425D" w:rsidP="00BD3826">
      <w:pPr>
        <w:pStyle w:val="EMLevel1Paragraph"/>
      </w:pPr>
      <w:r w:rsidRPr="003F22C2">
        <w:t xml:space="preserve">Consumer </w:t>
      </w:r>
      <w:r w:rsidR="00ED4FE1" w:rsidRPr="003F22C2">
        <w:t>R</w:t>
      </w:r>
      <w:r w:rsidRPr="003F22C2">
        <w:t>ights (</w:t>
      </w:r>
      <w:r w:rsidR="00ED4FE1" w:rsidRPr="003F22C2">
        <w:t>P</w:t>
      </w:r>
      <w:r w:rsidRPr="003F22C2">
        <w:t xml:space="preserve">ayment </w:t>
      </w:r>
      <w:r w:rsidR="00ED4FE1" w:rsidRPr="003F22C2">
        <w:t>S</w:t>
      </w:r>
      <w:r w:rsidRPr="003F22C2">
        <w:t>urcharges) Reg</w:t>
      </w:r>
      <w:r w:rsidR="00422AF3" w:rsidRPr="003F22C2">
        <w:t>u</w:t>
      </w:r>
      <w:r w:rsidRPr="003F22C2">
        <w:t>lations 2012</w:t>
      </w:r>
    </w:p>
    <w:p w14:paraId="0F916003" w14:textId="36919FAE" w:rsidR="583B45C5" w:rsidRPr="00142AC5" w:rsidRDefault="583B45C5" w:rsidP="00BD3826">
      <w:pPr>
        <w:pStyle w:val="EMSub-sub-sectiontitle"/>
        <w:rPr>
          <w:rFonts w:eastAsia="Calibri"/>
        </w:rPr>
      </w:pPr>
      <w:r w:rsidRPr="00142AC5">
        <w:t>What did any relevant EU law do before exit day?</w:t>
      </w:r>
    </w:p>
    <w:p w14:paraId="571D07D7" w14:textId="77777777" w:rsidR="00A23EDF" w:rsidRPr="009E64F9" w:rsidRDefault="0048122C" w:rsidP="004F3638">
      <w:pPr>
        <w:pStyle w:val="EMLevel1Paragraph"/>
        <w:numPr>
          <w:ilvl w:val="0"/>
          <w:numId w:val="0"/>
        </w:numPr>
        <w:ind w:left="720"/>
        <w:rPr>
          <w:rFonts w:eastAsia="Calibri"/>
        </w:rPr>
      </w:pPr>
      <w:r w:rsidRPr="009E64F9">
        <w:rPr>
          <w:rFonts w:eastAsia="Calibri"/>
        </w:rPr>
        <w:t xml:space="preserve">The Consumer Rights (Payment Surcharges) Regulations </w:t>
      </w:r>
      <w:r w:rsidR="00060764">
        <w:rPr>
          <w:rFonts w:eastAsia="Calibri"/>
        </w:rPr>
        <w:t xml:space="preserve">2012 </w:t>
      </w:r>
      <w:r w:rsidRPr="009E64F9">
        <w:rPr>
          <w:rFonts w:eastAsia="Calibri"/>
        </w:rPr>
        <w:t xml:space="preserve">prohibit traders from </w:t>
      </w:r>
      <w:r w:rsidR="000B5342" w:rsidRPr="009E64F9">
        <w:t xml:space="preserve">imposing </w:t>
      </w:r>
      <w:r w:rsidR="00465788" w:rsidRPr="009E64F9">
        <w:t>additional charges for the use of specific payment mechanisms</w:t>
      </w:r>
      <w:r w:rsidRPr="009E64F9">
        <w:rPr>
          <w:rFonts w:eastAsia="Calibri"/>
        </w:rPr>
        <w:t>.</w:t>
      </w:r>
    </w:p>
    <w:p w14:paraId="0FC29827" w14:textId="39258AE6" w:rsidR="0048122C" w:rsidRDefault="00A23EDF" w:rsidP="00640683">
      <w:pPr>
        <w:pStyle w:val="EMLevel1Paragraph"/>
        <w:numPr>
          <w:ilvl w:val="0"/>
          <w:numId w:val="0"/>
        </w:numPr>
        <w:ind w:left="720"/>
        <w:rPr>
          <w:rFonts w:eastAsia="Calibri"/>
        </w:rPr>
      </w:pPr>
      <w:r w:rsidRPr="009E64F9">
        <w:rPr>
          <w:rFonts w:eastAsia="Calibri"/>
        </w:rPr>
        <w:t>The relevant sections define which contracts are excluded from the regulations by cross reference to EU Directives</w:t>
      </w:r>
      <w:r w:rsidR="00045209" w:rsidRPr="009E64F9">
        <w:rPr>
          <w:rFonts w:eastAsia="Calibri"/>
        </w:rPr>
        <w:t xml:space="preserve"> </w:t>
      </w:r>
      <w:r w:rsidRPr="009E64F9">
        <w:rPr>
          <w:rFonts w:eastAsia="Calibri"/>
        </w:rPr>
        <w:t>and</w:t>
      </w:r>
      <w:r w:rsidR="0048122C" w:rsidRPr="009E64F9">
        <w:rPr>
          <w:rFonts w:eastAsia="Calibri"/>
        </w:rPr>
        <w:t xml:space="preserve"> </w:t>
      </w:r>
      <w:r w:rsidRPr="009E64F9">
        <w:rPr>
          <w:rFonts w:eastAsia="Calibri"/>
        </w:rPr>
        <w:t xml:space="preserve">prohibit payees from charging more than the cost </w:t>
      </w:r>
      <w:r w:rsidR="007D060A" w:rsidRPr="009E64F9">
        <w:rPr>
          <w:rFonts w:eastAsia="Calibri"/>
        </w:rPr>
        <w:t>to</w:t>
      </w:r>
      <w:r w:rsidRPr="009E64F9">
        <w:rPr>
          <w:rFonts w:eastAsia="Calibri"/>
        </w:rPr>
        <w:t xml:space="preserve"> the payee when a payer uses a card</w:t>
      </w:r>
      <w:r w:rsidR="000004F7" w:rsidRPr="009E64F9">
        <w:rPr>
          <w:rFonts w:eastAsia="Calibri"/>
        </w:rPr>
        <w:t xml:space="preserve"> and prohibit the payee from charging any fee </w:t>
      </w:r>
      <w:r w:rsidR="00CB64DE" w:rsidRPr="009E64F9">
        <w:rPr>
          <w:rFonts w:eastAsia="Calibri"/>
        </w:rPr>
        <w:t>to a consumer</w:t>
      </w:r>
      <w:r w:rsidR="000004F7" w:rsidRPr="009E64F9">
        <w:rPr>
          <w:rFonts w:eastAsia="Calibri"/>
        </w:rPr>
        <w:t xml:space="preserve"> in </w:t>
      </w:r>
      <w:r w:rsidR="00B612EC" w:rsidRPr="009E64F9">
        <w:rPr>
          <w:rFonts w:eastAsia="Calibri"/>
        </w:rPr>
        <w:t>most</w:t>
      </w:r>
      <w:r w:rsidR="000004F7" w:rsidRPr="009E64F9">
        <w:rPr>
          <w:rFonts w:eastAsia="Calibri"/>
        </w:rPr>
        <w:t xml:space="preserve"> circumstances</w:t>
      </w:r>
      <w:r w:rsidRPr="009E64F9">
        <w:rPr>
          <w:rFonts w:eastAsia="Calibri"/>
        </w:rPr>
        <w:t xml:space="preserve">. </w:t>
      </w:r>
    </w:p>
    <w:p w14:paraId="3753C9DD" w14:textId="77777777" w:rsidR="0048122C" w:rsidRPr="00BD3826" w:rsidRDefault="0048122C" w:rsidP="00BD3826">
      <w:pPr>
        <w:pStyle w:val="EMSub-sub-sectiontitle"/>
        <w:rPr>
          <w:rFonts w:eastAsia="Calibri"/>
        </w:rPr>
      </w:pPr>
      <w:r w:rsidRPr="005465FF">
        <w:rPr>
          <w:rFonts w:eastAsia="Calibri"/>
        </w:rPr>
        <w:t xml:space="preserve">Why is it </w:t>
      </w:r>
      <w:r w:rsidRPr="00BD3826">
        <w:rPr>
          <w:rFonts w:eastAsia="Calibri"/>
        </w:rPr>
        <w:t>being changed?</w:t>
      </w:r>
    </w:p>
    <w:p w14:paraId="0FF94F5A" w14:textId="77777777" w:rsidR="0048122C" w:rsidRPr="009367AB" w:rsidRDefault="0048122C" w:rsidP="004F3638">
      <w:pPr>
        <w:pStyle w:val="EMLevel1Paragraph"/>
        <w:numPr>
          <w:ilvl w:val="0"/>
          <w:numId w:val="0"/>
        </w:numPr>
        <w:ind w:left="720"/>
        <w:rPr>
          <w:rFonts w:eastAsia="Calibri"/>
        </w:rPr>
      </w:pPr>
      <w:r w:rsidRPr="00860B6E">
        <w:rPr>
          <w:rFonts w:eastAsia="Calibri"/>
        </w:rPr>
        <w:t>The</w:t>
      </w:r>
      <w:r>
        <w:rPr>
          <w:rFonts w:eastAsia="Calibri"/>
        </w:rPr>
        <w:t xml:space="preserve"> </w:t>
      </w:r>
      <w:r w:rsidR="00045209" w:rsidRPr="00860B6E">
        <w:t xml:space="preserve">definitions of excluded contracts </w:t>
      </w:r>
      <w:r w:rsidR="00362F0D">
        <w:t xml:space="preserve">are amended </w:t>
      </w:r>
      <w:r w:rsidR="00045209" w:rsidRPr="00860B6E">
        <w:t xml:space="preserve">so that they will operate effectively after exit. After </w:t>
      </w:r>
      <w:proofErr w:type="gramStart"/>
      <w:r w:rsidR="00045209" w:rsidRPr="00860B6E">
        <w:t>exit</w:t>
      </w:r>
      <w:proofErr w:type="gramEnd"/>
      <w:r w:rsidR="00045209" w:rsidRPr="00860B6E">
        <w:t xml:space="preserve"> it will no longer be appropriate to impose restrictions on p</w:t>
      </w:r>
      <w:r w:rsidR="21D79C98" w:rsidRPr="00860B6E">
        <w:t xml:space="preserve">ayees where a </w:t>
      </w:r>
      <w:r w:rsidR="00045209" w:rsidRPr="00860B6E">
        <w:t xml:space="preserve">payment service provider </w:t>
      </w:r>
      <w:r w:rsidR="18CAA159" w:rsidRPr="00860B6E">
        <w:t>is</w:t>
      </w:r>
      <w:r w:rsidR="00045209" w:rsidRPr="00860B6E">
        <w:t xml:space="preserve"> based in the EEA which are not </w:t>
      </w:r>
      <w:r w:rsidR="007D060A" w:rsidRPr="00860B6E">
        <w:t xml:space="preserve">also </w:t>
      </w:r>
      <w:r w:rsidR="00045209" w:rsidRPr="00860B6E">
        <w:t xml:space="preserve">imposed </w:t>
      </w:r>
      <w:r w:rsidR="18CAA159" w:rsidRPr="00860B6E">
        <w:t>whe</w:t>
      </w:r>
      <w:r w:rsidR="00D60163">
        <w:t>re</w:t>
      </w:r>
      <w:r w:rsidR="18CAA159" w:rsidRPr="00860B6E">
        <w:t xml:space="preserve"> </w:t>
      </w:r>
      <w:r w:rsidR="00D60163">
        <w:t>a</w:t>
      </w:r>
      <w:r w:rsidR="18CAA159" w:rsidRPr="00860B6E">
        <w:t xml:space="preserve"> </w:t>
      </w:r>
      <w:r w:rsidR="00045209" w:rsidRPr="00860B6E">
        <w:t xml:space="preserve">payment service provider </w:t>
      </w:r>
      <w:r w:rsidR="00D60163">
        <w:t>is</w:t>
      </w:r>
      <w:r w:rsidR="18CAA159" w:rsidRPr="00860B6E">
        <w:t xml:space="preserve"> </w:t>
      </w:r>
      <w:r w:rsidR="00045209" w:rsidRPr="00860B6E">
        <w:t xml:space="preserve">in </w:t>
      </w:r>
      <w:r w:rsidR="00D60163">
        <w:t>an</w:t>
      </w:r>
      <w:r w:rsidR="00045209" w:rsidRPr="00860B6E">
        <w:t>other third countr</w:t>
      </w:r>
      <w:r w:rsidR="00D60163">
        <w:t>y</w:t>
      </w:r>
      <w:r w:rsidR="000D3CFD" w:rsidRPr="00860B6E">
        <w:rPr>
          <w:rFonts w:eastAsia="Calibri"/>
        </w:rPr>
        <w:t>.</w:t>
      </w:r>
    </w:p>
    <w:p w14:paraId="6A65F6A6" w14:textId="77777777" w:rsidR="0048122C" w:rsidRPr="00F51416" w:rsidRDefault="0048122C" w:rsidP="00BD3826">
      <w:pPr>
        <w:pStyle w:val="EMSub-sub-sectiontitle"/>
        <w:rPr>
          <w:rFonts w:eastAsia="Calibri"/>
          <w:b/>
        </w:rPr>
      </w:pPr>
      <w:r w:rsidRPr="00F51416">
        <w:rPr>
          <w:rFonts w:eastAsia="Calibri"/>
        </w:rPr>
        <w:t>What will it now do?</w:t>
      </w:r>
    </w:p>
    <w:p w14:paraId="64B43F08" w14:textId="77777777" w:rsidR="00306B92" w:rsidRPr="000940AA" w:rsidRDefault="00045209" w:rsidP="004F3638">
      <w:pPr>
        <w:pStyle w:val="EMLevel2Paragraph"/>
        <w:numPr>
          <w:ilvl w:val="0"/>
          <w:numId w:val="0"/>
        </w:numPr>
        <w:ind w:left="720"/>
        <w:rPr>
          <w:rFonts w:eastAsia="Calibri"/>
        </w:rPr>
      </w:pPr>
      <w:r>
        <w:t>The definitions</w:t>
      </w:r>
      <w:r w:rsidR="006E20EB">
        <w:t xml:space="preserve"> of excluded contracts</w:t>
      </w:r>
      <w:r w:rsidRPr="00653FBB">
        <w:t xml:space="preserve"> </w:t>
      </w:r>
      <w:r w:rsidR="000D3CFD" w:rsidRPr="00653FBB">
        <w:t>are amended to replace</w:t>
      </w:r>
      <w:r w:rsidR="009E16D2">
        <w:t xml:space="preserve"> a cross</w:t>
      </w:r>
      <w:r w:rsidR="000D3CFD" w:rsidRPr="00653FBB">
        <w:t xml:space="preserve"> reference to an EU Directive </w:t>
      </w:r>
      <w:r w:rsidR="009E16D2">
        <w:t>with</w:t>
      </w:r>
      <w:r w:rsidR="000D3CFD" w:rsidRPr="00653FBB">
        <w:t xml:space="preserve"> a cross reference to the Timeshare, Holiday Products, Resale and Exchange Contracts Regulations 2010 which will remain</w:t>
      </w:r>
      <w:r w:rsidR="009E16D2">
        <w:t xml:space="preserve"> </w:t>
      </w:r>
      <w:r w:rsidR="000D3CFD" w:rsidRPr="00653FBB">
        <w:t>in force in the UK after exit</w:t>
      </w:r>
      <w:r w:rsidR="009E16D2">
        <w:t>,</w:t>
      </w:r>
      <w:r w:rsidR="00625A17">
        <w:t xml:space="preserve"> </w:t>
      </w:r>
      <w:r w:rsidR="009E16D2">
        <w:t xml:space="preserve">and replaces </w:t>
      </w:r>
      <w:r w:rsidR="0048122C" w:rsidRPr="00F51416">
        <w:rPr>
          <w:rFonts w:eastAsia="Calibri"/>
        </w:rPr>
        <w:t>the words “EEA State” with “the United Kingdom” which means that the protection</w:t>
      </w:r>
      <w:r w:rsidR="44D418A8" w:rsidRPr="00F51416">
        <w:rPr>
          <w:rFonts w:eastAsia="Calibri"/>
        </w:rPr>
        <w:t>s</w:t>
      </w:r>
      <w:r w:rsidR="0048122C" w:rsidRPr="00F51416">
        <w:rPr>
          <w:rFonts w:eastAsia="Calibri"/>
        </w:rPr>
        <w:t xml:space="preserve"> against </w:t>
      </w:r>
      <w:r w:rsidR="44D418A8" w:rsidRPr="00F51416">
        <w:rPr>
          <w:rFonts w:eastAsia="Calibri"/>
        </w:rPr>
        <w:t>payment surcharges</w:t>
      </w:r>
      <w:r w:rsidR="0048122C" w:rsidRPr="00F51416">
        <w:rPr>
          <w:rFonts w:eastAsia="Calibri"/>
        </w:rPr>
        <w:t xml:space="preserve"> will now apply </w:t>
      </w:r>
      <w:r w:rsidR="44D418A8" w:rsidRPr="00F51416">
        <w:rPr>
          <w:rFonts w:eastAsia="Calibri"/>
        </w:rPr>
        <w:t xml:space="preserve">only </w:t>
      </w:r>
      <w:r w:rsidR="0048122C" w:rsidRPr="00F51416">
        <w:rPr>
          <w:rFonts w:eastAsia="Calibri"/>
        </w:rPr>
        <w:t xml:space="preserve">where a payment service provider </w:t>
      </w:r>
      <w:r w:rsidR="00683A62">
        <w:rPr>
          <w:rFonts w:eastAsia="Calibri"/>
        </w:rPr>
        <w:t>(or</w:t>
      </w:r>
      <w:r w:rsidR="0048122C" w:rsidRPr="00F51416">
        <w:rPr>
          <w:rFonts w:eastAsia="Calibri"/>
        </w:rPr>
        <w:t xml:space="preserve"> in </w:t>
      </w:r>
      <w:r w:rsidR="00683A62">
        <w:rPr>
          <w:rFonts w:eastAsia="Calibri"/>
        </w:rPr>
        <w:t xml:space="preserve">some cases both relevant payment service providers) </w:t>
      </w:r>
      <w:r w:rsidR="0048122C" w:rsidRPr="00F51416">
        <w:rPr>
          <w:rFonts w:eastAsia="Calibri"/>
        </w:rPr>
        <w:t xml:space="preserve">is located in the United Kingdom. </w:t>
      </w:r>
    </w:p>
    <w:p w14:paraId="71E2F1FE" w14:textId="5ADDE241" w:rsidR="00BC5E8E" w:rsidRPr="005149C4" w:rsidRDefault="00DE28A6" w:rsidP="004F3638">
      <w:pPr>
        <w:pStyle w:val="EMLevel1Paragraph"/>
        <w:rPr>
          <w:rFonts w:eastAsia="Calibri"/>
          <w:b/>
        </w:rPr>
      </w:pPr>
      <w:r>
        <w:rPr>
          <w:rFonts w:eastAsia="Calibri"/>
        </w:rPr>
        <w:t>T</w:t>
      </w:r>
      <w:r w:rsidR="00BC5E8E" w:rsidRPr="009D5665">
        <w:rPr>
          <w:rFonts w:eastAsia="Calibri"/>
        </w:rPr>
        <w:t xml:space="preserve">he Consumer Contracts (Information, </w:t>
      </w:r>
      <w:r w:rsidR="00ED4FE1" w:rsidRPr="009D5665">
        <w:rPr>
          <w:rFonts w:eastAsia="Calibri"/>
        </w:rPr>
        <w:t>C</w:t>
      </w:r>
      <w:r w:rsidR="00BC5E8E" w:rsidRPr="009D5665">
        <w:rPr>
          <w:rFonts w:eastAsia="Calibri"/>
        </w:rPr>
        <w:t>ancella</w:t>
      </w:r>
      <w:r w:rsidR="00BC5E8E" w:rsidRPr="009367AB">
        <w:rPr>
          <w:rFonts w:eastAsia="Calibri"/>
        </w:rPr>
        <w:t>tion and Additional Charges) Regulations 2013</w:t>
      </w:r>
    </w:p>
    <w:p w14:paraId="2A6A802E" w14:textId="77777777" w:rsidR="003A515B" w:rsidRPr="0065413D" w:rsidRDefault="003A515B" w:rsidP="00BD3826">
      <w:pPr>
        <w:pStyle w:val="EMSub-sub-sectiontitle"/>
        <w:rPr>
          <w:rFonts w:eastAsia="Calibri"/>
          <w:b/>
        </w:rPr>
      </w:pPr>
      <w:r w:rsidRPr="0065413D">
        <w:rPr>
          <w:rFonts w:eastAsia="Calibri"/>
        </w:rPr>
        <w:lastRenderedPageBreak/>
        <w:t>What did any relevant EU law do before exit day?</w:t>
      </w:r>
    </w:p>
    <w:p w14:paraId="4C47886A" w14:textId="0D3DC310" w:rsidR="00045209" w:rsidRPr="000940AA" w:rsidRDefault="003A515B" w:rsidP="00BD3826">
      <w:pPr>
        <w:pStyle w:val="EMLevel2Paragraph"/>
        <w:numPr>
          <w:ilvl w:val="0"/>
          <w:numId w:val="0"/>
        </w:numPr>
        <w:ind w:left="720"/>
        <w:rPr>
          <w:rFonts w:eastAsia="Calibri"/>
        </w:rPr>
      </w:pPr>
      <w:r w:rsidRPr="00B94A32">
        <w:rPr>
          <w:rFonts w:eastAsia="Calibri"/>
        </w:rPr>
        <w:t xml:space="preserve">This </w:t>
      </w:r>
      <w:r w:rsidR="00DE28A6" w:rsidRPr="009D5665">
        <w:rPr>
          <w:rFonts w:eastAsia="Calibri"/>
        </w:rPr>
        <w:t>Consumer Contracts (Information, Cancella</w:t>
      </w:r>
      <w:r w:rsidR="00DE28A6" w:rsidRPr="009367AB">
        <w:rPr>
          <w:rFonts w:eastAsia="Calibri"/>
        </w:rPr>
        <w:t>tion and Additional Charges) Regulations 2013</w:t>
      </w:r>
      <w:r w:rsidRPr="00B94A32">
        <w:rPr>
          <w:rFonts w:eastAsia="Calibri"/>
        </w:rPr>
        <w:t xml:space="preserve"> implement </w:t>
      </w:r>
      <w:r w:rsidR="00E349A2" w:rsidRPr="00B94A32">
        <w:rPr>
          <w:rFonts w:eastAsia="Calibri"/>
        </w:rPr>
        <w:t xml:space="preserve">part of </w:t>
      </w:r>
      <w:r w:rsidRPr="00B94A32">
        <w:rPr>
          <w:rFonts w:eastAsia="Calibri"/>
        </w:rPr>
        <w:t>the Consumer Rights Directive</w:t>
      </w:r>
      <w:r w:rsidR="00094508">
        <w:rPr>
          <w:rFonts w:eastAsia="Calibri"/>
        </w:rPr>
        <w:t xml:space="preserve"> </w:t>
      </w:r>
      <w:r w:rsidR="007C0781" w:rsidRPr="00B94A32">
        <w:rPr>
          <w:rFonts w:eastAsia="Calibri"/>
        </w:rPr>
        <w:t xml:space="preserve">which aims </w:t>
      </w:r>
      <w:r w:rsidRPr="00B94A32">
        <w:rPr>
          <w:rFonts w:eastAsia="Calibri"/>
        </w:rPr>
        <w:t>to encourage growth and</w:t>
      </w:r>
      <w:r w:rsidR="007C0781" w:rsidRPr="00B94A32">
        <w:rPr>
          <w:rFonts w:eastAsia="Calibri"/>
        </w:rPr>
        <w:t xml:space="preserve"> </w:t>
      </w:r>
      <w:r w:rsidRPr="00B94A32">
        <w:rPr>
          <w:rFonts w:eastAsia="Calibri"/>
        </w:rPr>
        <w:t>consumer confidence through the harmonisation of rules in a limited number of</w:t>
      </w:r>
      <w:r w:rsidR="00B94A32">
        <w:rPr>
          <w:rFonts w:eastAsia="Calibri"/>
        </w:rPr>
        <w:t xml:space="preserve"> </w:t>
      </w:r>
      <w:r w:rsidRPr="00B94A32">
        <w:rPr>
          <w:rFonts w:eastAsia="Calibri"/>
        </w:rPr>
        <w:t xml:space="preserve">areas so that traders and consumers face only one set of </w:t>
      </w:r>
      <w:r w:rsidR="00094508">
        <w:rPr>
          <w:rFonts w:eastAsia="Calibri"/>
        </w:rPr>
        <w:t>r</w:t>
      </w:r>
      <w:r w:rsidRPr="00B94A32">
        <w:rPr>
          <w:rFonts w:eastAsia="Calibri"/>
        </w:rPr>
        <w:t>equirements wherever they</w:t>
      </w:r>
      <w:r w:rsidR="00094508">
        <w:rPr>
          <w:rFonts w:eastAsia="Calibri"/>
        </w:rPr>
        <w:t xml:space="preserve"> </w:t>
      </w:r>
      <w:r w:rsidRPr="00B94A32">
        <w:rPr>
          <w:rFonts w:eastAsia="Calibri"/>
        </w:rPr>
        <w:t xml:space="preserve">sell or buy in the EU. </w:t>
      </w:r>
      <w:r w:rsidR="00483A86" w:rsidRPr="00B94A32">
        <w:t>The Regulations regulate pre-contractual information for in</w:t>
      </w:r>
      <w:r w:rsidR="00483A86" w:rsidRPr="00B94A32">
        <w:rPr>
          <w:strike/>
        </w:rPr>
        <w:t>-</w:t>
      </w:r>
      <w:r w:rsidR="00483A86" w:rsidRPr="00B94A32">
        <w:t xml:space="preserve">store, distance, and off-premises contracts for goods and services, setting out what information must be provided and when. </w:t>
      </w:r>
      <w:r w:rsidR="240E728D" w:rsidRPr="00B94A32">
        <w:t>They</w:t>
      </w:r>
      <w:r w:rsidR="00483A86" w:rsidRPr="00B94A32">
        <w:t xml:space="preserve"> also provide rules governing delivery </w:t>
      </w:r>
      <w:r w:rsidR="000B5342" w:rsidRPr="00B94A32">
        <w:t xml:space="preserve">and in distance contracts </w:t>
      </w:r>
      <w:r w:rsidR="00483A86" w:rsidRPr="00B94A32">
        <w:t>a right to reject within 14 days</w:t>
      </w:r>
      <w:r w:rsidR="000B5342" w:rsidRPr="00B94A32">
        <w:t>.</w:t>
      </w:r>
    </w:p>
    <w:p w14:paraId="5C712688" w14:textId="2B76B942" w:rsidR="004F2069" w:rsidRPr="005F754B" w:rsidRDefault="00045209" w:rsidP="00BD3826">
      <w:pPr>
        <w:pStyle w:val="EMLevel2Paragraph"/>
        <w:numPr>
          <w:ilvl w:val="0"/>
          <w:numId w:val="0"/>
        </w:numPr>
        <w:ind w:left="720"/>
        <w:rPr>
          <w:rFonts w:eastAsia="Calibri"/>
        </w:rPr>
      </w:pPr>
      <w:r>
        <w:rPr>
          <w:rFonts w:eastAsia="Calibri"/>
        </w:rPr>
        <w:t xml:space="preserve">The relevant sections define which contracts are excluded from these provisions and </w:t>
      </w:r>
      <w:r w:rsidR="00EA3313">
        <w:rPr>
          <w:rFonts w:eastAsia="Calibri"/>
        </w:rPr>
        <w:t xml:space="preserve">set out the currency in euros </w:t>
      </w:r>
      <w:r>
        <w:rPr>
          <w:rFonts w:eastAsia="Calibri"/>
        </w:rPr>
        <w:t>in the model instructions for cancellation.</w:t>
      </w:r>
    </w:p>
    <w:p w14:paraId="7BE00CC3" w14:textId="77777777" w:rsidR="003A515B" w:rsidRPr="005348FF" w:rsidRDefault="003A515B" w:rsidP="00BD3826">
      <w:pPr>
        <w:pStyle w:val="EMSub-sub-sectiontitle"/>
        <w:rPr>
          <w:rFonts w:eastAsia="Calibri"/>
          <w:b/>
        </w:rPr>
      </w:pPr>
      <w:r w:rsidRPr="009D5665">
        <w:rPr>
          <w:rFonts w:eastAsia="Calibri"/>
        </w:rPr>
        <w:t>Why is it being changed?</w:t>
      </w:r>
    </w:p>
    <w:p w14:paraId="5D56A17B" w14:textId="04ADF285" w:rsidR="003A515B" w:rsidRPr="003A515B" w:rsidRDefault="000B5342" w:rsidP="004F3638">
      <w:pPr>
        <w:pStyle w:val="EMLevel2Paragraph"/>
        <w:numPr>
          <w:ilvl w:val="0"/>
          <w:numId w:val="0"/>
        </w:numPr>
        <w:ind w:left="720"/>
        <w:rPr>
          <w:rFonts w:eastAsia="Calibri"/>
        </w:rPr>
      </w:pPr>
      <w:r w:rsidRPr="000940AA">
        <w:rPr>
          <w:rFonts w:eastAsia="Calibri"/>
        </w:rPr>
        <w:t xml:space="preserve">The legislation is being changed </w:t>
      </w:r>
      <w:r w:rsidR="1D45ABD5" w:rsidRPr="009D5665">
        <w:t xml:space="preserve">so that </w:t>
      </w:r>
      <w:r w:rsidR="00D80C7C">
        <w:t xml:space="preserve">it will operate effectively </w:t>
      </w:r>
      <w:r w:rsidR="000514A8" w:rsidRPr="009367AB">
        <w:t>after exit</w:t>
      </w:r>
      <w:r w:rsidR="004C08E6" w:rsidRPr="009367AB">
        <w:t xml:space="preserve"> </w:t>
      </w:r>
      <w:r w:rsidR="004C08E6" w:rsidRPr="00974B47">
        <w:t xml:space="preserve">and </w:t>
      </w:r>
      <w:r w:rsidR="0C280CDA" w:rsidRPr="00917CD6">
        <w:t>to</w:t>
      </w:r>
      <w:r w:rsidR="004C08E6" w:rsidRPr="00917CD6">
        <w:t xml:space="preserve"> remove an inappropriate reference to euros</w:t>
      </w:r>
      <w:r w:rsidR="000514A8" w:rsidRPr="006372C0">
        <w:t xml:space="preserve">. </w:t>
      </w:r>
    </w:p>
    <w:p w14:paraId="5F7DC346" w14:textId="77777777" w:rsidR="003A515B" w:rsidRPr="005348FF" w:rsidRDefault="003A515B" w:rsidP="00BD3826">
      <w:pPr>
        <w:pStyle w:val="EMSub-sub-sectiontitle"/>
        <w:rPr>
          <w:rFonts w:eastAsia="Calibri"/>
          <w:b/>
        </w:rPr>
      </w:pPr>
      <w:r w:rsidRPr="005348FF">
        <w:rPr>
          <w:rFonts w:eastAsia="Calibri"/>
        </w:rPr>
        <w:t>What will it now do?</w:t>
      </w:r>
    </w:p>
    <w:p w14:paraId="3B22285E" w14:textId="7481D868" w:rsidR="00784259" w:rsidRDefault="000E1B69" w:rsidP="00BD3826">
      <w:pPr>
        <w:pStyle w:val="EMLevel2Paragraph"/>
        <w:numPr>
          <w:ilvl w:val="0"/>
          <w:numId w:val="0"/>
        </w:numPr>
        <w:ind w:left="720"/>
        <w:rPr>
          <w:rFonts w:eastAsia="Calibri"/>
        </w:rPr>
      </w:pPr>
      <w:r>
        <w:rPr>
          <w:rFonts w:eastAsia="Calibri"/>
        </w:rPr>
        <w:t>It will</w:t>
      </w:r>
      <w:r w:rsidR="00045209">
        <w:rPr>
          <w:rFonts w:eastAsia="Calibri"/>
        </w:rPr>
        <w:t xml:space="preserve"> define excluded contracts by cross referencing to UK statutory instruments. </w:t>
      </w:r>
      <w:r w:rsidR="000514A8">
        <w:rPr>
          <w:rFonts w:eastAsia="Calibri"/>
        </w:rPr>
        <w:t xml:space="preserve"> </w:t>
      </w:r>
      <w:r w:rsidR="00045209">
        <w:rPr>
          <w:rFonts w:eastAsia="Calibri"/>
        </w:rPr>
        <w:t xml:space="preserve">In </w:t>
      </w:r>
      <w:r w:rsidR="00EB4B12">
        <w:rPr>
          <w:rFonts w:eastAsia="Calibri"/>
        </w:rPr>
        <w:t>addition,</w:t>
      </w:r>
      <w:r w:rsidR="00045209">
        <w:rPr>
          <w:rFonts w:eastAsia="Calibri"/>
        </w:rPr>
        <w:t xml:space="preserve"> </w:t>
      </w:r>
      <w:r w:rsidR="003A515B" w:rsidRPr="003A515B">
        <w:rPr>
          <w:rFonts w:eastAsia="Calibri"/>
        </w:rPr>
        <w:t>references in the model instructions for cancellation will be in pound</w:t>
      </w:r>
      <w:r w:rsidR="002607EA">
        <w:rPr>
          <w:rFonts w:eastAsia="Calibri"/>
        </w:rPr>
        <w:t>s</w:t>
      </w:r>
      <w:r w:rsidR="003A515B" w:rsidRPr="003A515B">
        <w:rPr>
          <w:rFonts w:eastAsia="Calibri"/>
        </w:rPr>
        <w:t xml:space="preserve"> </w:t>
      </w:r>
      <w:r w:rsidR="00515348">
        <w:rPr>
          <w:rFonts w:eastAsia="Calibri"/>
        </w:rPr>
        <w:t xml:space="preserve">and </w:t>
      </w:r>
      <w:r w:rsidR="003A515B" w:rsidRPr="003A515B">
        <w:rPr>
          <w:rFonts w:eastAsia="Calibri"/>
        </w:rPr>
        <w:t>no</w:t>
      </w:r>
      <w:r w:rsidR="00515348">
        <w:rPr>
          <w:rFonts w:eastAsia="Calibri"/>
        </w:rPr>
        <w:t xml:space="preserve"> longer</w:t>
      </w:r>
      <w:r w:rsidR="003A515B" w:rsidRPr="003A515B">
        <w:rPr>
          <w:rFonts w:eastAsia="Calibri"/>
        </w:rPr>
        <w:t xml:space="preserve"> Euros.</w:t>
      </w:r>
    </w:p>
    <w:p w14:paraId="6D651DE5" w14:textId="1F64E3DC" w:rsidR="004D7B06" w:rsidRDefault="00BE7A03" w:rsidP="00BD3826">
      <w:pPr>
        <w:pStyle w:val="EMLevel1Paragraph"/>
        <w:rPr>
          <w:rFonts w:eastAsia="Calibri"/>
        </w:rPr>
      </w:pPr>
      <w:r w:rsidRPr="009D5665">
        <w:t>Crystal Glass (Descriptions) Regulations 1973</w:t>
      </w:r>
    </w:p>
    <w:p w14:paraId="2D13FDFA" w14:textId="4485CAD3" w:rsidR="004D7B06" w:rsidRDefault="00233C08" w:rsidP="00BD3826">
      <w:pPr>
        <w:pStyle w:val="EMSub-sub-sectiontitle"/>
        <w:rPr>
          <w:rFonts w:eastAsia="Calibri"/>
        </w:rPr>
      </w:pPr>
      <w:r w:rsidRPr="00BD3826">
        <w:rPr>
          <w:rFonts w:eastAsia="Calibri"/>
        </w:rPr>
        <w:t>What did any relevant EU law do before exit day?</w:t>
      </w:r>
    </w:p>
    <w:p w14:paraId="5C2CCC8F" w14:textId="5BC2E1AF" w:rsidR="009351D9" w:rsidRPr="000940AA" w:rsidRDefault="00233C08" w:rsidP="00BD3826">
      <w:pPr>
        <w:pStyle w:val="EMLevel2Paragraph"/>
        <w:numPr>
          <w:ilvl w:val="0"/>
          <w:numId w:val="0"/>
        </w:numPr>
        <w:ind w:left="720"/>
        <w:rPr>
          <w:rFonts w:eastAsia="Calibri"/>
        </w:rPr>
      </w:pPr>
      <w:r w:rsidRPr="00C15CAC">
        <w:rPr>
          <w:rFonts w:eastAsia="Calibri"/>
        </w:rPr>
        <w:t xml:space="preserve">The Crystal Glass (Descriptions) Regulations 1973 </w:t>
      </w:r>
      <w:r w:rsidR="00F91D11" w:rsidRPr="00C15CAC">
        <w:t xml:space="preserve">implement </w:t>
      </w:r>
      <w:r w:rsidR="00F75495" w:rsidRPr="00C15CAC">
        <w:t xml:space="preserve">in the </w:t>
      </w:r>
      <w:r w:rsidR="002F320F" w:rsidRPr="00C15CAC">
        <w:rPr>
          <w:rFonts w:eastAsia="Calibri"/>
        </w:rPr>
        <w:t>UK the provisions of the Council Directive 69/493/EEC</w:t>
      </w:r>
      <w:r w:rsidR="00D51334" w:rsidRPr="00C15CAC">
        <w:rPr>
          <w:rFonts w:eastAsia="Calibri"/>
        </w:rPr>
        <w:t xml:space="preserve"> on the approximation of the laws of the Member States relating to crystal glass</w:t>
      </w:r>
      <w:r w:rsidR="3214E975" w:rsidRPr="00C15CAC">
        <w:rPr>
          <w:rFonts w:eastAsia="Calibri"/>
        </w:rPr>
        <w:t>.</w:t>
      </w:r>
    </w:p>
    <w:p w14:paraId="34F676C7" w14:textId="5E58D907" w:rsidR="00045209" w:rsidRPr="005149C4" w:rsidRDefault="00703919" w:rsidP="00BD3826">
      <w:pPr>
        <w:pStyle w:val="EMLevel2Paragraph"/>
        <w:numPr>
          <w:ilvl w:val="0"/>
          <w:numId w:val="0"/>
        </w:numPr>
        <w:ind w:left="720"/>
        <w:rPr>
          <w:rFonts w:ascii="Calibri" w:hAnsi="Calibri"/>
        </w:rPr>
      </w:pPr>
      <w:r w:rsidRPr="00C15CAC">
        <w:t xml:space="preserve">The Regulations prohibit the supply or offer to supply </w:t>
      </w:r>
      <w:r w:rsidR="00F75495" w:rsidRPr="00C15CAC">
        <w:t xml:space="preserve">of </w:t>
      </w:r>
      <w:r w:rsidRPr="00C15CAC">
        <w:t xml:space="preserve">crystal glass where that glass does not meet the relevant standard or grade as set down in the relevant British Standard. </w:t>
      </w:r>
    </w:p>
    <w:p w14:paraId="6E377CCB" w14:textId="77777777" w:rsidR="00233C08" w:rsidRPr="00C15CAC" w:rsidRDefault="00045209" w:rsidP="00E87610">
      <w:pPr>
        <w:pStyle w:val="EMLevel2Paragraph"/>
        <w:numPr>
          <w:ilvl w:val="0"/>
          <w:numId w:val="0"/>
        </w:numPr>
        <w:ind w:left="720"/>
        <w:rPr>
          <w:rFonts w:eastAsia="Calibri"/>
        </w:rPr>
      </w:pPr>
      <w:r w:rsidRPr="00513F61">
        <w:t xml:space="preserve">The relevant provisions specify that the </w:t>
      </w:r>
      <w:r w:rsidR="004C4915" w:rsidRPr="00513F61">
        <w:t>glass descriptions</w:t>
      </w:r>
      <w:r w:rsidRPr="00513F61">
        <w:t xml:space="preserve"> do not apply to glass intended for export to the EU</w:t>
      </w:r>
      <w:r w:rsidR="004C4915" w:rsidRPr="00513F61">
        <w:t xml:space="preserve"> if the description is in the language of that EU state, and </w:t>
      </w:r>
      <w:r w:rsidR="7E32155D" w:rsidRPr="00513F61">
        <w:t xml:space="preserve">that </w:t>
      </w:r>
      <w:r w:rsidR="004C4915" w:rsidRPr="00513F61">
        <w:t xml:space="preserve">the </w:t>
      </w:r>
      <w:r w:rsidR="7E32155D" w:rsidRPr="00513F61">
        <w:t>R</w:t>
      </w:r>
      <w:r w:rsidR="004C4915" w:rsidRPr="00513F61">
        <w:t xml:space="preserve">egulations </w:t>
      </w:r>
      <w:r w:rsidR="7E32155D" w:rsidRPr="00513F61">
        <w:t>do not</w:t>
      </w:r>
      <w:r w:rsidR="004C4915" w:rsidRPr="00513F61">
        <w:t xml:space="preserve"> apply to glass intended for export to a country other than an EU </w:t>
      </w:r>
      <w:r w:rsidR="7E32155D" w:rsidRPr="00513F61">
        <w:t xml:space="preserve">member </w:t>
      </w:r>
      <w:r w:rsidR="004C4915" w:rsidRPr="00513F61">
        <w:t>state.</w:t>
      </w:r>
    </w:p>
    <w:p w14:paraId="61BB630B" w14:textId="77777777" w:rsidR="00EE0910" w:rsidRPr="00C15CAC" w:rsidRDefault="00EE0910" w:rsidP="00BD3826">
      <w:pPr>
        <w:pStyle w:val="EMSub-sub-sectiontitle"/>
        <w:rPr>
          <w:rFonts w:eastAsia="Calibri"/>
          <w:b/>
        </w:rPr>
      </w:pPr>
      <w:r w:rsidRPr="00C15CAC">
        <w:rPr>
          <w:rFonts w:eastAsia="Calibri"/>
        </w:rPr>
        <w:t>Why is it being changed?</w:t>
      </w:r>
    </w:p>
    <w:p w14:paraId="0823BA2D" w14:textId="118AD54F" w:rsidR="00670995" w:rsidRPr="00C15CAC" w:rsidRDefault="00EB41D2" w:rsidP="00BD3826">
      <w:pPr>
        <w:pStyle w:val="EMLevel2Paragraph"/>
        <w:numPr>
          <w:ilvl w:val="0"/>
          <w:numId w:val="0"/>
        </w:numPr>
        <w:ind w:left="720"/>
      </w:pPr>
      <w:r>
        <w:t>I</w:t>
      </w:r>
      <w:r w:rsidR="004C4915">
        <w:t>t will no longer be appropriate to differentiate between glass intended for export to the EU and glass intended for export to another third country</w:t>
      </w:r>
      <w:r w:rsidR="005A1990" w:rsidRPr="00C15CAC">
        <w:t xml:space="preserve"> when the UK is no longer a member of the EU.</w:t>
      </w:r>
    </w:p>
    <w:p w14:paraId="5DAA02EC" w14:textId="77777777" w:rsidR="00EE0910" w:rsidRPr="00C15CAC" w:rsidRDefault="00EE0910" w:rsidP="00BD3826">
      <w:pPr>
        <w:pStyle w:val="EMSub-sub-sectiontitle"/>
        <w:rPr>
          <w:rFonts w:eastAsia="Calibri"/>
          <w:b/>
        </w:rPr>
      </w:pPr>
      <w:r w:rsidRPr="000940AA">
        <w:rPr>
          <w:rFonts w:eastAsia="Calibri"/>
        </w:rPr>
        <w:t>What will it now do?</w:t>
      </w:r>
    </w:p>
    <w:p w14:paraId="33445DDB" w14:textId="16260388" w:rsidR="000F6726" w:rsidRDefault="005A1990">
      <w:pPr>
        <w:pStyle w:val="EMLevel1Paragraph"/>
        <w:numPr>
          <w:ilvl w:val="0"/>
          <w:numId w:val="0"/>
        </w:numPr>
        <w:ind w:left="720"/>
      </w:pPr>
      <w:r w:rsidRPr="00C15CAC">
        <w:t>The effect of the amendment is that glass intended for export to the EU will be exempt from the requirements under UK law</w:t>
      </w:r>
      <w:r w:rsidR="00533B41" w:rsidRPr="00C15CAC">
        <w:t xml:space="preserve"> in </w:t>
      </w:r>
      <w:r w:rsidR="00F75495" w:rsidRPr="00C15CAC">
        <w:t xml:space="preserve">the same way as </w:t>
      </w:r>
      <w:r w:rsidR="00533B41" w:rsidRPr="00C15CAC">
        <w:t>glass intended for export to</w:t>
      </w:r>
      <w:r w:rsidR="00084A0A" w:rsidRPr="00C15CAC">
        <w:t xml:space="preserve"> the rest of the world.</w:t>
      </w:r>
      <w:r w:rsidRPr="00C15CAC">
        <w:t xml:space="preserve">  </w:t>
      </w:r>
    </w:p>
    <w:p w14:paraId="60D16449" w14:textId="77777777" w:rsidR="000F6726" w:rsidRPr="00C15CAC" w:rsidRDefault="000F6726" w:rsidP="00BD3826">
      <w:pPr>
        <w:pStyle w:val="EMLevel1Paragraph"/>
        <w:numPr>
          <w:ilvl w:val="0"/>
          <w:numId w:val="0"/>
        </w:numPr>
        <w:ind w:left="720"/>
      </w:pPr>
    </w:p>
    <w:p w14:paraId="5C013A88" w14:textId="4B6224FD" w:rsidR="00F63E82" w:rsidRDefault="00F63E82" w:rsidP="00BD3826">
      <w:pPr>
        <w:pStyle w:val="EMLevel1Paragraph"/>
        <w:numPr>
          <w:ilvl w:val="0"/>
          <w:numId w:val="0"/>
        </w:numPr>
        <w:ind w:left="720"/>
        <w:rPr>
          <w:rFonts w:eastAsia="Calibri"/>
        </w:rPr>
      </w:pPr>
    </w:p>
    <w:p w14:paraId="362F5078" w14:textId="1539D45D" w:rsidR="00C2346F" w:rsidRPr="00220EEA" w:rsidRDefault="00FC232B" w:rsidP="00BD3826">
      <w:pPr>
        <w:pStyle w:val="EMLevel1Paragraph"/>
      </w:pPr>
      <w:r w:rsidRPr="00220EEA">
        <w:lastRenderedPageBreak/>
        <w:t>Footwear (Indication of Composition) Labelling Regulations 1995</w:t>
      </w:r>
    </w:p>
    <w:p w14:paraId="2FD47FA3" w14:textId="705481D6" w:rsidR="0073127E" w:rsidRPr="004C3276" w:rsidRDefault="00C2346F" w:rsidP="00BD3826">
      <w:pPr>
        <w:pStyle w:val="EMSub-sub-sectiontitle"/>
        <w:rPr>
          <w:rFonts w:eastAsia="Calibri"/>
        </w:rPr>
      </w:pPr>
      <w:r w:rsidRPr="00BD3826">
        <w:rPr>
          <w:rFonts w:eastAsia="Calibri"/>
        </w:rPr>
        <w:t>What did any relevant EU law do before exit day?</w:t>
      </w:r>
    </w:p>
    <w:p w14:paraId="6CDFF94E" w14:textId="7DE66017" w:rsidR="004C4915" w:rsidRDefault="00C2346F" w:rsidP="00BD3826">
      <w:pPr>
        <w:pStyle w:val="EMLevel1Paragraph"/>
        <w:numPr>
          <w:ilvl w:val="0"/>
          <w:numId w:val="0"/>
        </w:numPr>
        <w:ind w:left="720"/>
      </w:pPr>
      <w:r w:rsidRPr="0073127E">
        <w:t xml:space="preserve">The Footwear (Indication of Composition) Labelling Regulations 1995 </w:t>
      </w:r>
      <w:r w:rsidR="001E19E2" w:rsidRPr="0073127E">
        <w:t>implemented Directive</w:t>
      </w:r>
      <w:r w:rsidR="000F2B87" w:rsidRPr="0073127E">
        <w:t xml:space="preserve"> 94/11/EC</w:t>
      </w:r>
      <w:r w:rsidR="007855B8" w:rsidRPr="0073127E">
        <w:t xml:space="preserve"> which mandated</w:t>
      </w:r>
      <w:r w:rsidR="001E19E2" w:rsidRPr="0073127E">
        <w:t xml:space="preserve"> a common labelling system for footwear applying across the EU. </w:t>
      </w:r>
      <w:r w:rsidR="00F75495" w:rsidRPr="0073127E">
        <w:t xml:space="preserve">This </w:t>
      </w:r>
      <w:r w:rsidR="001E19E2" w:rsidRPr="0073127E">
        <w:t>inform</w:t>
      </w:r>
      <w:r w:rsidR="005E1CDD" w:rsidRPr="0073127E">
        <w:t>s</w:t>
      </w:r>
      <w:r w:rsidR="001E19E2" w:rsidRPr="0073127E">
        <w:t xml:space="preserve"> consumers of the main materials used in the </w:t>
      </w:r>
      <w:r w:rsidR="00C46324" w:rsidRPr="0073127E">
        <w:t>composition</w:t>
      </w:r>
      <w:r w:rsidR="001E19E2" w:rsidRPr="0073127E">
        <w:t xml:space="preserve"> of footwear. The Regulations also set out categories of footwear which are exempt from these requirements. </w:t>
      </w:r>
    </w:p>
    <w:p w14:paraId="36CA0045" w14:textId="0A01581B" w:rsidR="001E19E2" w:rsidRPr="001657EC" w:rsidRDefault="004C4915" w:rsidP="00BD3826">
      <w:pPr>
        <w:pStyle w:val="EMLevel1Paragraph"/>
        <w:numPr>
          <w:ilvl w:val="0"/>
          <w:numId w:val="0"/>
        </w:numPr>
        <w:ind w:left="720"/>
        <w:rPr>
          <w:lang w:eastAsia="en-GB"/>
        </w:rPr>
      </w:pPr>
      <w:r>
        <w:t xml:space="preserve">The relevant provisions define </w:t>
      </w:r>
      <w:r w:rsidR="0244C397">
        <w:t>the</w:t>
      </w:r>
      <w:r>
        <w:t xml:space="preserve"> ‘responsible person’ who has responsibilities in respect of labelling under these regulations as the manufacturer, their agent in the EU or the person who first places footwear on the market in the EU</w:t>
      </w:r>
      <w:r w:rsidR="0244C397">
        <w:t>.</w:t>
      </w:r>
    </w:p>
    <w:p w14:paraId="7E791A59" w14:textId="77777777" w:rsidR="00C2346F" w:rsidRPr="00BD3826" w:rsidRDefault="00C2346F" w:rsidP="00BD3826">
      <w:pPr>
        <w:pStyle w:val="EMSub-sub-sectiontitle"/>
        <w:rPr>
          <w:rFonts w:eastAsia="Calibri"/>
        </w:rPr>
      </w:pPr>
      <w:r w:rsidRPr="004E399C">
        <w:rPr>
          <w:rFonts w:eastAsia="Calibri"/>
        </w:rPr>
        <w:t>Why is it being changed?</w:t>
      </w:r>
    </w:p>
    <w:p w14:paraId="06F4CCE2" w14:textId="77777777" w:rsidR="005B6DA7" w:rsidRDefault="008B5BBD" w:rsidP="00BD3826">
      <w:pPr>
        <w:pStyle w:val="EMLevel1Paragraph"/>
        <w:numPr>
          <w:ilvl w:val="0"/>
          <w:numId w:val="0"/>
        </w:numPr>
        <w:ind w:left="720"/>
      </w:pPr>
      <w:r w:rsidRPr="0073127E">
        <w:rPr>
          <w:rFonts w:eastAsia="Calibri"/>
        </w:rPr>
        <w:t xml:space="preserve">The legislation is being changed </w:t>
      </w:r>
      <w:r w:rsidR="3A136602" w:rsidRPr="0073127E">
        <w:rPr>
          <w:rFonts w:eastAsia="Calibri"/>
        </w:rPr>
        <w:t xml:space="preserve">because </w:t>
      </w:r>
      <w:r w:rsidR="1BBADCE9" w:rsidRPr="0073127E">
        <w:rPr>
          <w:rFonts w:eastAsia="Calibri"/>
        </w:rPr>
        <w:t xml:space="preserve">after the UK exists the EU it will </w:t>
      </w:r>
      <w:r w:rsidR="3A136602" w:rsidRPr="0073127E">
        <w:rPr>
          <w:rFonts w:eastAsia="Calibri"/>
        </w:rPr>
        <w:t xml:space="preserve">no longer </w:t>
      </w:r>
      <w:r w:rsidR="1BBADCE9" w:rsidRPr="0073127E">
        <w:rPr>
          <w:rFonts w:eastAsia="Calibri"/>
        </w:rPr>
        <w:t xml:space="preserve">be </w:t>
      </w:r>
      <w:r w:rsidR="3A136602" w:rsidRPr="0073127E">
        <w:rPr>
          <w:rFonts w:eastAsia="Calibri"/>
        </w:rPr>
        <w:t>appropriate for</w:t>
      </w:r>
      <w:r w:rsidR="1BBADCE9" w:rsidRPr="0073127E">
        <w:rPr>
          <w:rFonts w:eastAsia="Calibri"/>
        </w:rPr>
        <w:t xml:space="preserve"> an agent in the EU</w:t>
      </w:r>
      <w:r w:rsidR="36C3B644" w:rsidRPr="0073348E">
        <w:rPr>
          <w:rFonts w:eastAsia="Calibri"/>
        </w:rPr>
        <w:t>, or an importer into the EU, to have responsibilities under UK law.</w:t>
      </w:r>
      <w:r w:rsidR="004C4915">
        <w:rPr>
          <w:rFonts w:eastAsia="Calibri"/>
        </w:rPr>
        <w:t xml:space="preserve"> </w:t>
      </w:r>
    </w:p>
    <w:p w14:paraId="7864BA03" w14:textId="77777777" w:rsidR="00C2346F" w:rsidRPr="00BD3826" w:rsidRDefault="003D1F6E" w:rsidP="00BD3826">
      <w:pPr>
        <w:pStyle w:val="EMSub-sub-sectiontitle"/>
        <w:rPr>
          <w:rFonts w:eastAsia="Calibri"/>
        </w:rPr>
      </w:pPr>
      <w:r w:rsidRPr="004E399C">
        <w:rPr>
          <w:rFonts w:eastAsia="Calibri"/>
        </w:rPr>
        <w:t>W</w:t>
      </w:r>
      <w:r w:rsidR="00C2346F" w:rsidRPr="00BD3826">
        <w:rPr>
          <w:rFonts w:eastAsia="Calibri"/>
        </w:rPr>
        <w:t>hat will it now do?</w:t>
      </w:r>
    </w:p>
    <w:p w14:paraId="181BC3EE" w14:textId="42CAD007" w:rsidR="007801F8" w:rsidRPr="0073127E" w:rsidRDefault="4F4F0968" w:rsidP="00BD3826">
      <w:pPr>
        <w:pStyle w:val="EMLevel1Paragraph"/>
        <w:numPr>
          <w:ilvl w:val="0"/>
          <w:numId w:val="0"/>
        </w:numPr>
        <w:ind w:left="720"/>
        <w:rPr>
          <w:rFonts w:eastAsia="Calibri"/>
        </w:rPr>
      </w:pPr>
      <w:r>
        <w:t>T</w:t>
      </w:r>
      <w:r w:rsidR="004C4915">
        <w:t>he responsibilities for labelling that are imposed on the ‘responsible person’ will now be imposed on the manufacturer</w:t>
      </w:r>
      <w:r w:rsidR="00B02DE7">
        <w:t>, their</w:t>
      </w:r>
      <w:r w:rsidR="004C4915">
        <w:t xml:space="preserve"> agent in the UK or the person who first places footwear on the market in the UK.</w:t>
      </w:r>
    </w:p>
    <w:p w14:paraId="152837C8" w14:textId="05A33911" w:rsidR="00BE0221" w:rsidRPr="005149C4" w:rsidRDefault="00365380" w:rsidP="004F3638">
      <w:pPr>
        <w:pStyle w:val="EMLevel1Paragraph"/>
        <w:rPr>
          <w:rFonts w:eastAsia="Calibri"/>
          <w:b/>
        </w:rPr>
      </w:pPr>
      <w:r w:rsidRPr="000940AA">
        <w:rPr>
          <w:rFonts w:eastAsia="Calibri"/>
        </w:rPr>
        <w:t>Alternative Dispute Resolution for Consumer Disputes (Competent Authorities</w:t>
      </w:r>
      <w:r w:rsidR="00625A17" w:rsidRPr="00BD3826">
        <w:rPr>
          <w:rFonts w:eastAsia="Calibri"/>
        </w:rPr>
        <w:t xml:space="preserve"> </w:t>
      </w:r>
      <w:r w:rsidRPr="00BD3826">
        <w:rPr>
          <w:rFonts w:eastAsia="Calibri"/>
        </w:rPr>
        <w:t>and</w:t>
      </w:r>
      <w:r w:rsidR="00BE0221" w:rsidRPr="00BD3826">
        <w:rPr>
          <w:rFonts w:eastAsia="Calibri"/>
        </w:rPr>
        <w:t xml:space="preserve"> </w:t>
      </w:r>
      <w:r w:rsidRPr="00BD3826">
        <w:rPr>
          <w:rFonts w:eastAsia="Calibri"/>
        </w:rPr>
        <w:t>Information) Regulations 2015</w:t>
      </w:r>
      <w:r w:rsidR="003311FE">
        <w:rPr>
          <w:rFonts w:eastAsia="Calibri"/>
        </w:rPr>
        <w:t xml:space="preserve"> </w:t>
      </w:r>
      <w:r w:rsidR="00CC3696">
        <w:rPr>
          <w:rFonts w:eastAsia="Calibri"/>
        </w:rPr>
        <w:t>&amp; Regulation (EU) 524/2013 – Online Dispute Resolution</w:t>
      </w:r>
    </w:p>
    <w:p w14:paraId="42F0B991" w14:textId="77777777" w:rsidR="00365380" w:rsidRPr="00BD3826" w:rsidRDefault="00365380" w:rsidP="00BD3826">
      <w:pPr>
        <w:pStyle w:val="EMSub-sub-sectiontitle"/>
        <w:rPr>
          <w:rFonts w:eastAsia="Calibri"/>
        </w:rPr>
      </w:pPr>
      <w:r w:rsidRPr="004E399C">
        <w:rPr>
          <w:rFonts w:eastAsia="Calibri"/>
        </w:rPr>
        <w:t xml:space="preserve">What </w:t>
      </w:r>
      <w:r w:rsidRPr="00BD3826">
        <w:rPr>
          <w:rFonts w:eastAsia="Calibri"/>
        </w:rPr>
        <w:t>did any relevant EU law do before exit day?</w:t>
      </w:r>
    </w:p>
    <w:p w14:paraId="6433A1AC" w14:textId="282C9D81" w:rsidR="00C46324" w:rsidRPr="0073127E" w:rsidRDefault="00BD3F72" w:rsidP="00BD3826">
      <w:pPr>
        <w:pStyle w:val="EMLevel1Paragraph"/>
        <w:numPr>
          <w:ilvl w:val="0"/>
          <w:numId w:val="0"/>
        </w:numPr>
        <w:ind w:left="720"/>
        <w:rPr>
          <w:rFonts w:eastAsia="Calibri"/>
        </w:rPr>
      </w:pPr>
      <w:r w:rsidRPr="00320B90">
        <w:t xml:space="preserve">The Alternative Dispute Resolution for </w:t>
      </w:r>
      <w:r w:rsidR="006B42CD" w:rsidRPr="009D5665">
        <w:t>C</w:t>
      </w:r>
      <w:r w:rsidRPr="009D5665">
        <w:t xml:space="preserve">onsumer </w:t>
      </w:r>
      <w:r w:rsidR="006B42CD" w:rsidRPr="009D5665">
        <w:t>D</w:t>
      </w:r>
      <w:r w:rsidRPr="009367AB">
        <w:t xml:space="preserve">isputes (Competent Authorities and Information) Regulations 2015 (“the 2015 Regulations”) </w:t>
      </w:r>
      <w:r w:rsidR="00C46324" w:rsidRPr="00EF24E6">
        <w:t xml:space="preserve">implement in the </w:t>
      </w:r>
      <w:r w:rsidR="00C46324" w:rsidRPr="00974B47">
        <w:rPr>
          <w:rFonts w:eastAsia="Calibri"/>
        </w:rPr>
        <w:t xml:space="preserve">UK the provisions of the EU Directive 2013/11/EU on alternative dispute resolution. </w:t>
      </w:r>
      <w:r w:rsidR="00C46324" w:rsidRPr="00917CD6">
        <w:t xml:space="preserve">Alternative Dispute Resolution (ADR) enables disputes between a </w:t>
      </w:r>
      <w:r w:rsidR="00C46324" w:rsidRPr="006372C0">
        <w:t xml:space="preserve">consumer and business to be settled more quickly and cheaply than using the courts. </w:t>
      </w:r>
    </w:p>
    <w:p w14:paraId="1DDA643B" w14:textId="52A335FA" w:rsidR="004C4915" w:rsidRDefault="00C46324" w:rsidP="00BD3826">
      <w:pPr>
        <w:pStyle w:val="EMLevel1Paragraph"/>
        <w:numPr>
          <w:ilvl w:val="0"/>
          <w:numId w:val="0"/>
        </w:numPr>
        <w:ind w:left="720"/>
      </w:pPr>
      <w:r w:rsidRPr="0073127E">
        <w:rPr>
          <w:rFonts w:eastAsia="Calibri"/>
        </w:rPr>
        <w:t>Th</w:t>
      </w:r>
      <w:r w:rsidR="5B08EFFF" w:rsidRPr="0073127E">
        <w:rPr>
          <w:rFonts w:eastAsia="Calibri"/>
        </w:rPr>
        <w:t>e 2015 Regulations</w:t>
      </w:r>
      <w:r w:rsidRPr="0073127E">
        <w:rPr>
          <w:rFonts w:eastAsia="Calibri"/>
        </w:rPr>
        <w:t xml:space="preserve"> </w:t>
      </w:r>
      <w:r w:rsidR="00BD3F72" w:rsidRPr="0073127E">
        <w:t xml:space="preserve">designate the </w:t>
      </w:r>
      <w:r w:rsidRPr="0073127E">
        <w:t>c</w:t>
      </w:r>
      <w:r w:rsidR="00BD3F72" w:rsidRPr="0073127E">
        <w:t xml:space="preserve">ompetent </w:t>
      </w:r>
      <w:r w:rsidRPr="0073127E">
        <w:t>a</w:t>
      </w:r>
      <w:r w:rsidR="00BD3F72" w:rsidRPr="0073127E">
        <w:t xml:space="preserve">uthorities that </w:t>
      </w:r>
      <w:r w:rsidR="00F75495" w:rsidRPr="0073127E">
        <w:t xml:space="preserve">are </w:t>
      </w:r>
      <w:r w:rsidR="00BD3F72" w:rsidRPr="0073127E">
        <w:t xml:space="preserve">responsible for </w:t>
      </w:r>
      <w:r w:rsidR="00F75495" w:rsidRPr="0073127E">
        <w:t xml:space="preserve">approving </w:t>
      </w:r>
      <w:r w:rsidR="00BD3F72" w:rsidRPr="0073127E">
        <w:t>and monitoring certain entities (“ADR entities”) which provide ADR services</w:t>
      </w:r>
      <w:r w:rsidR="41C91957" w:rsidRPr="0073127E">
        <w:t>.</w:t>
      </w:r>
      <w:r w:rsidR="00BD3F72" w:rsidRPr="0073127E">
        <w:t xml:space="preserve"> The instrument also places obligations on </w:t>
      </w:r>
      <w:r w:rsidR="00F75495" w:rsidRPr="0073127E">
        <w:t xml:space="preserve">competent authorities to send a list of ADR entities to the single point of contact and publish the list of ADR entities published by the European Commission. The </w:t>
      </w:r>
      <w:r w:rsidR="2E7BF7D6" w:rsidRPr="0073127E">
        <w:t>2015 Regulations</w:t>
      </w:r>
      <w:r w:rsidR="00F75495" w:rsidRPr="0073127E">
        <w:t xml:space="preserve"> oblige the single point of contact to send the list of ADR entities and a report</w:t>
      </w:r>
      <w:r w:rsidRPr="0073127E">
        <w:t xml:space="preserve"> on detailing their best practices and shortcomings to the European Commission</w:t>
      </w:r>
      <w:r w:rsidR="00A40609">
        <w:t>.</w:t>
      </w:r>
    </w:p>
    <w:p w14:paraId="5E43F277" w14:textId="77777777" w:rsidR="00A40609" w:rsidRPr="0073127E" w:rsidRDefault="004C4915" w:rsidP="004F3638">
      <w:pPr>
        <w:pStyle w:val="EMLevel1Paragraph"/>
        <w:numPr>
          <w:ilvl w:val="0"/>
          <w:numId w:val="0"/>
        </w:numPr>
        <w:ind w:left="720"/>
      </w:pPr>
      <w:r w:rsidRPr="00320B90">
        <w:t xml:space="preserve">The relevant provisions concern cross-border </w:t>
      </w:r>
      <w:r w:rsidR="006C02C6" w:rsidRPr="009D5665">
        <w:t>disputes</w:t>
      </w:r>
      <w:r w:rsidR="52C23577" w:rsidRPr="009D5665">
        <w:t xml:space="preserve"> (disputes between a</w:t>
      </w:r>
      <w:r w:rsidR="1CA45B3C" w:rsidRPr="009D5665">
        <w:t xml:space="preserve"> </w:t>
      </w:r>
      <w:r w:rsidR="77FF576E" w:rsidRPr="009367AB">
        <w:t xml:space="preserve">trader </w:t>
      </w:r>
      <w:r w:rsidR="77FF576E" w:rsidRPr="00340522">
        <w:t xml:space="preserve">established in the UK and a consumer resident in </w:t>
      </w:r>
      <w:r w:rsidR="77FF576E" w:rsidRPr="00EF24E6">
        <w:t>another member state)</w:t>
      </w:r>
      <w:r w:rsidR="006C02C6" w:rsidRPr="00974B47">
        <w:t xml:space="preserve">, the </w:t>
      </w:r>
      <w:r w:rsidR="00543640" w:rsidRPr="00917CD6">
        <w:t xml:space="preserve">online dispute </w:t>
      </w:r>
      <w:r w:rsidR="725617A3" w:rsidRPr="00917CD6">
        <w:t>r</w:t>
      </w:r>
      <w:r w:rsidR="00543640" w:rsidRPr="006372C0">
        <w:t>esolution (</w:t>
      </w:r>
      <w:r w:rsidR="006C02C6" w:rsidRPr="00B57F4B">
        <w:t>ODR</w:t>
      </w:r>
      <w:r w:rsidR="00543640" w:rsidRPr="00B57F4B">
        <w:t>)</w:t>
      </w:r>
      <w:r w:rsidR="006C02C6" w:rsidRPr="00B57F4B">
        <w:t xml:space="preserve"> platform </w:t>
      </w:r>
      <w:r w:rsidR="00543640" w:rsidRPr="00B57F4B">
        <w:t xml:space="preserve">and </w:t>
      </w:r>
      <w:r w:rsidR="006C02C6" w:rsidRPr="00C95E14">
        <w:t xml:space="preserve">the single point of contact. </w:t>
      </w:r>
    </w:p>
    <w:p w14:paraId="3F518C47" w14:textId="5A5AA909" w:rsidR="00284376" w:rsidRDefault="00BA63C3" w:rsidP="00BD3826">
      <w:pPr>
        <w:pStyle w:val="EMLevel1Paragraph"/>
        <w:numPr>
          <w:ilvl w:val="0"/>
          <w:numId w:val="0"/>
        </w:numPr>
        <w:ind w:left="720"/>
        <w:rPr>
          <w:rFonts w:eastAsia="Calibri"/>
        </w:rPr>
      </w:pPr>
      <w:r w:rsidRPr="0073127E">
        <w:t>The EU Regulation on online dispute resolution for consumer disputes (</w:t>
      </w:r>
      <w:r w:rsidR="68D3AAA9" w:rsidRPr="0073127E">
        <w:t xml:space="preserve">Regulation (EU) </w:t>
      </w:r>
      <w:r w:rsidRPr="0073127E">
        <w:t>524/2013)</w:t>
      </w:r>
      <w:r w:rsidR="009A6BF7" w:rsidRPr="0073127E">
        <w:t xml:space="preserve"> </w:t>
      </w:r>
      <w:r w:rsidR="58CB1992" w:rsidRPr="0073127E">
        <w:t>establishes</w:t>
      </w:r>
      <w:r w:rsidR="009A6BF7" w:rsidRPr="0073127E">
        <w:t xml:space="preserve"> an online tool that allows consumers to make a complaint against a trader where goods or services have been bought online. </w:t>
      </w:r>
      <w:r w:rsidR="002976B1" w:rsidRPr="0073127E">
        <w:t>This was set up and is maintained by the European Commission.</w:t>
      </w:r>
    </w:p>
    <w:p w14:paraId="367F6339" w14:textId="77777777" w:rsidR="00365380" w:rsidRPr="00B41445" w:rsidRDefault="00365380" w:rsidP="00BD3826">
      <w:pPr>
        <w:pStyle w:val="EMSub-sub-sectiontitle"/>
        <w:rPr>
          <w:rFonts w:eastAsia="Calibri"/>
          <w:b/>
        </w:rPr>
      </w:pPr>
      <w:r w:rsidRPr="00B41445">
        <w:rPr>
          <w:rFonts w:eastAsia="Calibri"/>
        </w:rPr>
        <w:lastRenderedPageBreak/>
        <w:t>Why is it being changed?</w:t>
      </w:r>
    </w:p>
    <w:p w14:paraId="52117913" w14:textId="6313A9B7" w:rsidR="00B10834" w:rsidRDefault="006C02C6" w:rsidP="002040A4">
      <w:pPr>
        <w:pStyle w:val="EMLevel1Paragraph"/>
        <w:numPr>
          <w:ilvl w:val="0"/>
          <w:numId w:val="0"/>
        </w:numPr>
        <w:ind w:left="720"/>
      </w:pPr>
      <w:r>
        <w:t>UK consumers will no longer have access to the ODR platform which is operated by the European Commission</w:t>
      </w:r>
      <w:r w:rsidR="00D34B19">
        <w:t xml:space="preserve"> after the UK leaves the EU. In addition</w:t>
      </w:r>
      <w:r w:rsidR="007A097F">
        <w:t>,</w:t>
      </w:r>
      <w:r>
        <w:t xml:space="preserve"> </w:t>
      </w:r>
      <w:r w:rsidR="00FD6BB3">
        <w:t xml:space="preserve">it </w:t>
      </w:r>
      <w:r>
        <w:t xml:space="preserve">will no longer be appropriate </w:t>
      </w:r>
      <w:r w:rsidR="00FD6BB3">
        <w:t>for ADR entities to be required to resolve cross-border disputes</w:t>
      </w:r>
      <w:r w:rsidR="00A365BE">
        <w:t xml:space="preserve"> involving residents of other </w:t>
      </w:r>
      <w:r w:rsidR="00BD6C13">
        <w:t>member states</w:t>
      </w:r>
      <w:r w:rsidR="00FD6BB3">
        <w:t xml:space="preserve">, </w:t>
      </w:r>
      <w:r w:rsidR="00873DA9">
        <w:t xml:space="preserve">or </w:t>
      </w:r>
      <w:r w:rsidR="00D34B19">
        <w:t xml:space="preserve">for competent authorities to make available lists of ADR entities published by the European Commission, </w:t>
      </w:r>
      <w:r w:rsidR="00FD6BB3">
        <w:t xml:space="preserve">or for the Secretary of State to be required to send </w:t>
      </w:r>
      <w:r w:rsidR="00873DA9">
        <w:t xml:space="preserve">reports and lists of ADR entities to the European Commission </w:t>
      </w:r>
      <w:r>
        <w:t xml:space="preserve">when the UK is not a member of the EU. </w:t>
      </w:r>
    </w:p>
    <w:p w14:paraId="035EA5B9" w14:textId="77777777" w:rsidR="00CB55D6" w:rsidRPr="00BD3826" w:rsidRDefault="00CB55D6" w:rsidP="00BD3826">
      <w:pPr>
        <w:pStyle w:val="EMSub-sub-sectiontitle"/>
        <w:rPr>
          <w:rFonts w:eastAsia="Calibri"/>
        </w:rPr>
      </w:pPr>
      <w:r w:rsidRPr="004E399C">
        <w:rPr>
          <w:rFonts w:eastAsia="Calibri"/>
        </w:rPr>
        <w:t>W</w:t>
      </w:r>
      <w:r w:rsidRPr="00BD3826">
        <w:rPr>
          <w:rFonts w:eastAsia="Calibri"/>
        </w:rPr>
        <w:t>hat will it now do?</w:t>
      </w:r>
    </w:p>
    <w:p w14:paraId="6108592F" w14:textId="77777777" w:rsidR="00F32322" w:rsidRDefault="006C02C6" w:rsidP="008541EC">
      <w:pPr>
        <w:pStyle w:val="EMLevel1Paragraph"/>
        <w:numPr>
          <w:ilvl w:val="0"/>
          <w:numId w:val="0"/>
        </w:numPr>
        <w:ind w:left="720"/>
      </w:pPr>
      <w:r>
        <w:rPr>
          <w:lang w:eastAsia="en-GB"/>
        </w:rPr>
        <w:t xml:space="preserve">The </w:t>
      </w:r>
      <w:r w:rsidRPr="00170816">
        <w:rPr>
          <w:lang w:eastAsia="en-GB"/>
        </w:rPr>
        <w:t xml:space="preserve">requirement for competent authorities to make available the list of ADR entities published by the European Commission </w:t>
      </w:r>
      <w:r w:rsidR="00B770C2">
        <w:rPr>
          <w:lang w:eastAsia="en-GB"/>
        </w:rPr>
        <w:t>is</w:t>
      </w:r>
      <w:r w:rsidRPr="00170816">
        <w:rPr>
          <w:lang w:eastAsia="en-GB"/>
        </w:rPr>
        <w:t xml:space="preserve"> replace</w:t>
      </w:r>
      <w:r w:rsidR="00B770C2">
        <w:rPr>
          <w:lang w:eastAsia="en-GB"/>
        </w:rPr>
        <w:t>d</w:t>
      </w:r>
      <w:r w:rsidRPr="00170816">
        <w:rPr>
          <w:lang w:eastAsia="en-GB"/>
        </w:rPr>
        <w:t xml:space="preserve"> with a requirement to make available a list published by the Secretary of State.  </w:t>
      </w:r>
      <w:r w:rsidR="00165BDA">
        <w:rPr>
          <w:lang w:eastAsia="en-GB"/>
        </w:rPr>
        <w:t>T</w:t>
      </w:r>
      <w:r w:rsidR="00170816" w:rsidRPr="00170816">
        <w:rPr>
          <w:lang w:eastAsia="en-GB"/>
        </w:rPr>
        <w:t xml:space="preserve">he requirement for the Secretary of State to send a consolidated list of ADR entities and report on their functioning to the European Commission </w:t>
      </w:r>
      <w:r w:rsidR="00165BDA">
        <w:rPr>
          <w:lang w:eastAsia="en-GB"/>
        </w:rPr>
        <w:t xml:space="preserve">is removed </w:t>
      </w:r>
      <w:r w:rsidR="00170816" w:rsidRPr="00170816">
        <w:rPr>
          <w:lang w:eastAsia="en-GB"/>
        </w:rPr>
        <w:t xml:space="preserve">and instead the Secretary of State </w:t>
      </w:r>
      <w:r w:rsidR="00165BDA">
        <w:rPr>
          <w:lang w:eastAsia="en-GB"/>
        </w:rPr>
        <w:t xml:space="preserve">is required to </w:t>
      </w:r>
      <w:r w:rsidR="00170816" w:rsidRPr="00170816">
        <w:rPr>
          <w:lang w:eastAsia="en-GB"/>
        </w:rPr>
        <w:t xml:space="preserve">publish the list of ADR entities. </w:t>
      </w:r>
      <w:r w:rsidR="00892341">
        <w:rPr>
          <w:lang w:eastAsia="en-GB"/>
        </w:rPr>
        <w:t>T</w:t>
      </w:r>
      <w:r w:rsidR="00170816" w:rsidRPr="00170816">
        <w:rPr>
          <w:lang w:eastAsia="en-GB"/>
        </w:rPr>
        <w:t>he requirement for ADR entities to offer cross border dispute</w:t>
      </w:r>
      <w:r w:rsidR="00892341">
        <w:rPr>
          <w:lang w:eastAsia="en-GB"/>
        </w:rPr>
        <w:t xml:space="preserve"> resolution </w:t>
      </w:r>
      <w:r w:rsidR="00736E69">
        <w:rPr>
          <w:lang w:eastAsia="en-GB"/>
        </w:rPr>
        <w:t>is removed</w:t>
      </w:r>
      <w:r w:rsidR="00170816" w:rsidRPr="00170816">
        <w:rPr>
          <w:lang w:eastAsia="en-GB"/>
        </w:rPr>
        <w:t>.</w:t>
      </w:r>
    </w:p>
    <w:p w14:paraId="2AA07CD7" w14:textId="0462BD75" w:rsidR="004F2069" w:rsidRDefault="00640599" w:rsidP="002040A4">
      <w:pPr>
        <w:pStyle w:val="EMLevel1Paragraph"/>
        <w:numPr>
          <w:ilvl w:val="0"/>
          <w:numId w:val="0"/>
        </w:numPr>
        <w:ind w:left="720"/>
      </w:pPr>
      <w:r w:rsidRPr="00320B90">
        <w:t>The EU Regulation on Online Dispute Resolution is revoked.</w:t>
      </w:r>
    </w:p>
    <w:p w14:paraId="69E1FBDA" w14:textId="5B0ADB2A" w:rsidR="005E7B5C" w:rsidRPr="00365380" w:rsidRDefault="00365380" w:rsidP="00BD3826">
      <w:pPr>
        <w:pStyle w:val="EMSectionTitle"/>
        <w:rPr>
          <w:highlight w:val="white"/>
        </w:rPr>
      </w:pPr>
      <w:r w:rsidRPr="001657EC">
        <w:t xml:space="preserve">Matters of special interest </w:t>
      </w:r>
      <w:r w:rsidRPr="001657EC">
        <w:rPr>
          <w:color w:val="000000"/>
        </w:rPr>
        <w:t>to Parliament</w:t>
      </w:r>
    </w:p>
    <w:p w14:paraId="7AE185A0" w14:textId="4A86B3CC" w:rsidR="0022278B" w:rsidRPr="0022278B" w:rsidRDefault="00365380" w:rsidP="00BD3826">
      <w:pPr>
        <w:pStyle w:val="EMSub-sectiontitle"/>
      </w:pPr>
      <w:r w:rsidRPr="009D5665">
        <w:t>Matters of special interest to the Sifting Committees</w:t>
      </w:r>
    </w:p>
    <w:p w14:paraId="2B5C5674" w14:textId="7AF6115A" w:rsidR="0022278B" w:rsidRPr="0022278B" w:rsidRDefault="0022278B" w:rsidP="00BD3826">
      <w:pPr>
        <w:pStyle w:val="EMLevel1Paragraph"/>
        <w:numPr>
          <w:ilvl w:val="1"/>
          <w:numId w:val="1"/>
        </w:numPr>
        <w:ind w:left="720" w:hanging="720"/>
      </w:pPr>
      <w:r w:rsidRPr="0022278B">
        <w:t xml:space="preserve">This instrument is being laid for the Sifting Committee under the EU </w:t>
      </w:r>
      <w:r w:rsidR="00C05013">
        <w:t>(</w:t>
      </w:r>
      <w:r w:rsidR="00320B90" w:rsidRPr="0022278B">
        <w:t>Withdrawal</w:t>
      </w:r>
      <w:r w:rsidR="00320B90">
        <w:t>) Act 2018.</w:t>
      </w:r>
      <w:r w:rsidR="00320B90" w:rsidRPr="0022278B">
        <w:t xml:space="preserve">  </w:t>
      </w:r>
      <w:r w:rsidRPr="0022278B">
        <w:t xml:space="preserve">                                                                          </w:t>
      </w:r>
    </w:p>
    <w:p w14:paraId="4E5B787E" w14:textId="4D049B70" w:rsidR="00F56614" w:rsidRPr="00F56614" w:rsidRDefault="005E7B5C" w:rsidP="00BD3826">
      <w:pPr>
        <w:pStyle w:val="EMSub-sectiontitle"/>
      </w:pPr>
      <w:r w:rsidRPr="00226A13">
        <w:t>Matters relevant</w:t>
      </w:r>
      <w:r w:rsidRPr="009D5665">
        <w:t xml:space="preserve"> to Standing Orders Nos. 83P and 83T of the Standing Orders of the House of Commons relating to Public Business</w:t>
      </w:r>
      <w:r w:rsidRPr="00226A13">
        <w:t xml:space="preserve"> (</w:t>
      </w:r>
      <w:r w:rsidR="00812201" w:rsidRPr="00226A13">
        <w:t>English Votes for English Laws)</w:t>
      </w:r>
    </w:p>
    <w:p w14:paraId="3F2A32FA" w14:textId="5D76AB4D" w:rsidR="0022278B" w:rsidRPr="0022278B" w:rsidRDefault="00DA155A" w:rsidP="00BD3826">
      <w:pPr>
        <w:pStyle w:val="EMLevel1Paragraph"/>
        <w:numPr>
          <w:ilvl w:val="1"/>
          <w:numId w:val="1"/>
        </w:numPr>
        <w:ind w:left="720" w:hanging="720"/>
      </w:pPr>
      <w:r w:rsidRPr="00DA155A">
        <w:t>As the instrument is subject to negative resolution procedure there are no matters      relevant to Standing Orders Nos. 83P and 83T of the Standing Orders of the House of Commons relating to Public Business at this stage.</w:t>
      </w:r>
    </w:p>
    <w:p w14:paraId="50F27A6F" w14:textId="2894CFAA" w:rsidR="005E7B5C" w:rsidRDefault="005E7B5C" w:rsidP="00BD3826">
      <w:pPr>
        <w:pStyle w:val="EMSectionTitle"/>
        <w:numPr>
          <w:ilvl w:val="0"/>
          <w:numId w:val="14"/>
        </w:numPr>
        <w:tabs>
          <w:tab w:val="clear" w:pos="432"/>
          <w:tab w:val="num" w:pos="709"/>
        </w:tabs>
      </w:pPr>
      <w:r>
        <w:t>Extent and Territorial Application</w:t>
      </w:r>
    </w:p>
    <w:p w14:paraId="014FD775" w14:textId="6FEF64BA" w:rsidR="0009718A" w:rsidRDefault="0009718A" w:rsidP="00BD3826">
      <w:pPr>
        <w:pStyle w:val="EMLevel1Paragraph"/>
      </w:pPr>
      <w:r w:rsidRPr="00300FEC">
        <w:t>The territorial extent of this instrument is the whole of the United Kingdom.</w:t>
      </w:r>
    </w:p>
    <w:p w14:paraId="3361F72E" w14:textId="706588AD" w:rsidR="00320B90" w:rsidRPr="009367AB" w:rsidRDefault="0009718A" w:rsidP="00BD3826">
      <w:pPr>
        <w:pStyle w:val="EMLevel1Paragraph"/>
      </w:pPr>
      <w:r w:rsidRPr="009D5665">
        <w:rPr>
          <w:rFonts w:eastAsia="Calibri"/>
        </w:rPr>
        <w:t>The territorial application of this instrument is the whole of the United Kingdom</w:t>
      </w:r>
      <w:r w:rsidR="003163C7" w:rsidRPr="009367AB">
        <w:rPr>
          <w:rFonts w:eastAsia="Calibri"/>
        </w:rPr>
        <w:t>.</w:t>
      </w:r>
    </w:p>
    <w:p w14:paraId="5533ECED" w14:textId="6BFC6B6B" w:rsidR="00886E61" w:rsidRDefault="005E7B5C" w:rsidP="00BD3826">
      <w:pPr>
        <w:pStyle w:val="EMSectionTitle"/>
      </w:pPr>
      <w:r w:rsidRPr="009D5665">
        <w:t>European Convention on Human Rights</w:t>
      </w:r>
    </w:p>
    <w:p w14:paraId="44153583" w14:textId="4DB1C5FC" w:rsidR="00162D0A" w:rsidRDefault="00162D0A" w:rsidP="00BD3826">
      <w:pPr>
        <w:pStyle w:val="EMLevel1Paragraph"/>
      </w:pPr>
      <w:r w:rsidRPr="00016D21">
        <w:t xml:space="preserve">The Minister for Small Business, Consumers and Corporate Responsibility, Kelly   </w:t>
      </w:r>
      <w:r w:rsidR="00016D21">
        <w:t xml:space="preserve">     T</w:t>
      </w:r>
      <w:r w:rsidRPr="00016D21">
        <w:t>olhurst, has made the following statement regarding Human Rights:</w:t>
      </w:r>
    </w:p>
    <w:p w14:paraId="055D87FC" w14:textId="3805247F" w:rsidR="001378E5" w:rsidRPr="005149C4" w:rsidRDefault="001378E5" w:rsidP="00BD3826">
      <w:pPr>
        <w:pStyle w:val="EMLevel1Paragraph"/>
        <w:numPr>
          <w:ilvl w:val="0"/>
          <w:numId w:val="0"/>
        </w:numPr>
        <w:ind w:left="720"/>
        <w:rPr>
          <w:rFonts w:eastAsia="Calibri"/>
          <w:color w:val="FF0000"/>
        </w:rPr>
      </w:pPr>
      <w:r w:rsidRPr="006235CC">
        <w:rPr>
          <w:rFonts w:eastAsia="Calibri"/>
        </w:rPr>
        <w:t xml:space="preserve">“In my view the provisions of The Consumer Protection (Amendment etc.) (EU </w:t>
      </w:r>
      <w:r w:rsidR="00D74B47" w:rsidRPr="009D5665">
        <w:rPr>
          <w:rFonts w:eastAsia="Calibri"/>
        </w:rPr>
        <w:t>Exit) Regulations</w:t>
      </w:r>
      <w:r w:rsidRPr="009D5665">
        <w:rPr>
          <w:rFonts w:eastAsia="Calibri"/>
        </w:rPr>
        <w:t xml:space="preserve"> 2018 are compatible with the Convention rights.”</w:t>
      </w:r>
    </w:p>
    <w:p w14:paraId="7036835E" w14:textId="3855EEB5" w:rsidR="005E7B5C" w:rsidRDefault="005E7B5C" w:rsidP="00BD3826">
      <w:pPr>
        <w:pStyle w:val="EMSectionTitle"/>
        <w:numPr>
          <w:ilvl w:val="0"/>
          <w:numId w:val="14"/>
        </w:numPr>
        <w:tabs>
          <w:tab w:val="clear" w:pos="432"/>
          <w:tab w:val="num" w:pos="709"/>
        </w:tabs>
      </w:pPr>
      <w:r>
        <w:t>Legislative Context</w:t>
      </w:r>
    </w:p>
    <w:p w14:paraId="4B221971" w14:textId="4D29F5D0" w:rsidR="00B7509C" w:rsidRDefault="003F79A2" w:rsidP="00BD3826">
      <w:pPr>
        <w:pStyle w:val="EMLevel1Paragraph"/>
        <w:numPr>
          <w:ilvl w:val="1"/>
          <w:numId w:val="1"/>
        </w:numPr>
        <w:ind w:left="720" w:hanging="720"/>
      </w:pPr>
      <w:r>
        <w:t>T</w:t>
      </w:r>
      <w:r w:rsidR="00A17789" w:rsidRPr="00BD3826">
        <w:rPr>
          <w:rStyle w:val="normaltextrun"/>
        </w:rPr>
        <w:t xml:space="preserve">his instrument amends </w:t>
      </w:r>
      <w:r w:rsidR="0091389C" w:rsidRPr="00BD3826">
        <w:rPr>
          <w:rStyle w:val="normaltextrun"/>
        </w:rPr>
        <w:t>primary and subordinate legislation and revokes an EU Regulation</w:t>
      </w:r>
      <w:r w:rsidR="00A17789" w:rsidRPr="00BD3826">
        <w:rPr>
          <w:rStyle w:val="normaltextrun"/>
        </w:rPr>
        <w:t xml:space="preserve"> to address deficiencies and ensure that the</w:t>
      </w:r>
      <w:r w:rsidR="0091389C" w:rsidRPr="00BD3826">
        <w:rPr>
          <w:rStyle w:val="normaltextrun"/>
        </w:rPr>
        <w:t>y</w:t>
      </w:r>
      <w:r w:rsidR="00A17789" w:rsidRPr="00BD3826">
        <w:rPr>
          <w:rStyle w:val="normaltextrun"/>
        </w:rPr>
        <w:t xml:space="preserve"> will operate effectively after the withdrawal of the United Kingdom from the European Union. </w:t>
      </w:r>
    </w:p>
    <w:p w14:paraId="7636E41B" w14:textId="5DC81B01" w:rsidR="009723C6" w:rsidRPr="003B1AF5" w:rsidRDefault="00B7509C" w:rsidP="004E399C">
      <w:pPr>
        <w:pStyle w:val="EMLevel1Paragraph"/>
        <w:numPr>
          <w:ilvl w:val="1"/>
          <w:numId w:val="0"/>
        </w:numPr>
        <w:spacing w:before="0" w:after="0"/>
        <w:ind w:left="720" w:hanging="720"/>
      </w:pPr>
      <w:r>
        <w:t>6.2</w:t>
      </w:r>
      <w:r w:rsidRPr="00B7509C">
        <w:rPr>
          <w:color w:val="FF0000"/>
        </w:rPr>
        <w:tab/>
      </w:r>
      <w:r w:rsidRPr="003B1AF5">
        <w:t xml:space="preserve">This instrument relies on the </w:t>
      </w:r>
      <w:r w:rsidR="00E926DB" w:rsidRPr="003B1AF5">
        <w:t>European Union (</w:t>
      </w:r>
      <w:r w:rsidRPr="003B1AF5">
        <w:t>Withdrawal</w:t>
      </w:r>
      <w:r w:rsidR="00E926DB" w:rsidRPr="003B1AF5">
        <w:t>)</w:t>
      </w:r>
      <w:r w:rsidRPr="003B1AF5">
        <w:t xml:space="preserve"> Act</w:t>
      </w:r>
      <w:r w:rsidR="00FE7E43" w:rsidRPr="003B1AF5">
        <w:t xml:space="preserve"> 2018</w:t>
      </w:r>
      <w:r w:rsidRPr="003B1AF5">
        <w:t xml:space="preserve"> to amend legislation to ensure that EU retained law will operate effectively after exit and </w:t>
      </w:r>
      <w:r w:rsidRPr="003B1AF5">
        <w:lastRenderedPageBreak/>
        <w:t xml:space="preserve">section 2(2) European Communities Act 1972 to correct obsolete cross references in legislation that were in place before the decision to leave the EU </w:t>
      </w:r>
      <w:r w:rsidR="008E2020">
        <w:t>to ensure they function correctly after exit day</w:t>
      </w:r>
      <w:r w:rsidRPr="003B1AF5">
        <w:t xml:space="preserve">. </w:t>
      </w:r>
    </w:p>
    <w:p w14:paraId="6AAA6DE3" w14:textId="5B1965A1" w:rsidR="00B621C9" w:rsidRDefault="005E7B5C" w:rsidP="00BD3826">
      <w:pPr>
        <w:pStyle w:val="EMSectionTitle"/>
        <w:numPr>
          <w:ilvl w:val="0"/>
          <w:numId w:val="14"/>
        </w:numPr>
        <w:tabs>
          <w:tab w:val="clear" w:pos="432"/>
          <w:tab w:val="num" w:pos="709"/>
        </w:tabs>
      </w:pPr>
      <w:r w:rsidRPr="009D5665">
        <w:t>Policy background</w:t>
      </w:r>
    </w:p>
    <w:p w14:paraId="59526F5B" w14:textId="19AC1E95" w:rsidR="00B621C9" w:rsidRPr="00B621C9" w:rsidRDefault="005E7B5C" w:rsidP="00BD3826">
      <w:pPr>
        <w:pStyle w:val="EMSub-sectiontitle"/>
      </w:pPr>
      <w:r w:rsidRPr="003C4203">
        <w:rPr>
          <w:szCs w:val="22"/>
        </w:rPr>
        <w:t>What is being done and why?</w:t>
      </w:r>
    </w:p>
    <w:p w14:paraId="0F6510A3" w14:textId="1B1A5189" w:rsidR="000149F9" w:rsidRDefault="008B2DC8" w:rsidP="00BD3826">
      <w:pPr>
        <w:pStyle w:val="EMLevel1Paragraph"/>
        <w:numPr>
          <w:ilvl w:val="0"/>
          <w:numId w:val="0"/>
        </w:numPr>
        <w:ind w:left="720"/>
      </w:pPr>
      <w:r>
        <w:t>Al</w:t>
      </w:r>
      <w:r w:rsidR="000149F9">
        <w:t>l the amendments proposed in this Statutory Instrument (“SI”) are intended to</w:t>
      </w:r>
      <w:r w:rsidR="00381A7D">
        <w:t xml:space="preserve"> </w:t>
      </w:r>
      <w:r w:rsidR="000149F9">
        <w:t xml:space="preserve">ensure the continued effective </w:t>
      </w:r>
      <w:r w:rsidR="00F107A1">
        <w:t xml:space="preserve">and appropriate </w:t>
      </w:r>
      <w:r w:rsidR="000149F9">
        <w:t>operation of the existing consumer protection regime</w:t>
      </w:r>
      <w:r w:rsidR="00381A7D">
        <w:t xml:space="preserve"> </w:t>
      </w:r>
      <w:r w:rsidR="000149F9">
        <w:t xml:space="preserve">following EU Exit. </w:t>
      </w:r>
    </w:p>
    <w:p w14:paraId="77267AA8" w14:textId="61588C72" w:rsidR="00FA6141" w:rsidRPr="00FA6141" w:rsidRDefault="00793C00" w:rsidP="00BD3826">
      <w:pPr>
        <w:pStyle w:val="EMLevel1Paragraph"/>
        <w:rPr>
          <w:rFonts w:eastAsia="Calibri"/>
        </w:rPr>
      </w:pPr>
      <w:r>
        <w:t>T</w:t>
      </w:r>
      <w:r w:rsidR="00FA6141" w:rsidRPr="00FA6141">
        <w:rPr>
          <w:rFonts w:eastAsia="Calibri"/>
        </w:rPr>
        <w:t xml:space="preserve">he changes reflect EU exit by: </w:t>
      </w:r>
    </w:p>
    <w:p w14:paraId="1A3C7B1D" w14:textId="77777777" w:rsidR="00FA6141" w:rsidRPr="00FA6141" w:rsidRDefault="00FA6141" w:rsidP="00BD3826">
      <w:pPr>
        <w:pStyle w:val="EMLevel1Bullet"/>
        <w:rPr>
          <w:rFonts w:eastAsia="Calibri"/>
        </w:rPr>
      </w:pPr>
      <w:r w:rsidRPr="00FA6141">
        <w:rPr>
          <w:rFonts w:eastAsia="Calibri"/>
        </w:rPr>
        <w:t xml:space="preserve">moving responsibilities from importers to the EEA on to importers to the UK; </w:t>
      </w:r>
    </w:p>
    <w:p w14:paraId="1D4BD996" w14:textId="77777777" w:rsidR="00FA6141" w:rsidRPr="00FA6141" w:rsidRDefault="00FA6141" w:rsidP="00BD3826">
      <w:pPr>
        <w:pStyle w:val="EMLevel1Bullet"/>
        <w:rPr>
          <w:rFonts w:eastAsia="Calibri"/>
        </w:rPr>
      </w:pPr>
      <w:r w:rsidRPr="00FA6141">
        <w:rPr>
          <w:rFonts w:eastAsia="Calibri"/>
        </w:rPr>
        <w:t xml:space="preserve">placing contracts choosing EEA state law onto the same footing as contracts choosing the law of other third countries; </w:t>
      </w:r>
    </w:p>
    <w:p w14:paraId="01E6FF00" w14:textId="77777777" w:rsidR="00FA6141" w:rsidRPr="00FA6141" w:rsidRDefault="00FA6141" w:rsidP="00BD3826">
      <w:pPr>
        <w:pStyle w:val="EMLevel1Bullet"/>
        <w:rPr>
          <w:rFonts w:eastAsia="Calibri"/>
        </w:rPr>
      </w:pPr>
      <w:r w:rsidRPr="00FA6141">
        <w:rPr>
          <w:rFonts w:eastAsia="Calibri"/>
        </w:rPr>
        <w:t xml:space="preserve">placing users of EEA-based payment service providers in the same position as users of payment service providers in other third countries; </w:t>
      </w:r>
    </w:p>
    <w:p w14:paraId="15D15C9F" w14:textId="77777777" w:rsidR="00FA6141" w:rsidRPr="00FA6141" w:rsidRDefault="00FA6141" w:rsidP="00BD3826">
      <w:pPr>
        <w:pStyle w:val="EMLevel1Bullet"/>
        <w:rPr>
          <w:rFonts w:eastAsia="Calibri"/>
        </w:rPr>
      </w:pPr>
      <w:r w:rsidRPr="00FA6141">
        <w:rPr>
          <w:rFonts w:eastAsia="Calibri"/>
        </w:rPr>
        <w:t>placing crystal glass intended for export to the EEA in the same position as crystal glass intended for export to other third countries</w:t>
      </w:r>
    </w:p>
    <w:p w14:paraId="251231EC" w14:textId="7F05E113" w:rsidR="009D435A" w:rsidRPr="007801F8" w:rsidRDefault="00FA6141" w:rsidP="00BD3826">
      <w:pPr>
        <w:pStyle w:val="EMLevel1Bullet"/>
        <w:rPr>
          <w:rFonts w:eastAsia="Calibri"/>
        </w:rPr>
      </w:pPr>
      <w:r w:rsidRPr="00FA6141">
        <w:rPr>
          <w:rFonts w:eastAsia="Calibri"/>
        </w:rPr>
        <w:t>removing obligations on UK ADR providers to deal with disputes involving consumers resident in EU member states</w:t>
      </w:r>
    </w:p>
    <w:p w14:paraId="381C9FDF" w14:textId="77777777" w:rsidR="009D435A" w:rsidRPr="009367AB" w:rsidRDefault="009D435A" w:rsidP="00BD3826">
      <w:pPr>
        <w:pStyle w:val="EMLevel1Paragraph"/>
        <w:rPr>
          <w:rFonts w:eastAsia="Calibri"/>
        </w:rPr>
      </w:pPr>
      <w:r w:rsidRPr="009367AB">
        <w:rPr>
          <w:rFonts w:eastAsia="Calibri"/>
        </w:rPr>
        <w:t>Regulation (EU) 524/2013 – Online Dispute Resolution</w:t>
      </w:r>
    </w:p>
    <w:p w14:paraId="0241A5C5" w14:textId="1464B7D1" w:rsidR="00091165" w:rsidRPr="00E74D42" w:rsidRDefault="00F6341A" w:rsidP="00BD3826">
      <w:pPr>
        <w:pStyle w:val="EMLevel1Paragraph"/>
        <w:numPr>
          <w:ilvl w:val="0"/>
          <w:numId w:val="0"/>
        </w:numPr>
        <w:ind w:left="720"/>
      </w:pPr>
      <w:r w:rsidRPr="007F7499">
        <w:t xml:space="preserve">The ODR platform is a </w:t>
      </w:r>
      <w:r w:rsidR="00617176" w:rsidRPr="00B85CCF">
        <w:t xml:space="preserve">website </w:t>
      </w:r>
      <w:r w:rsidR="006D238A" w:rsidRPr="00B85CCF">
        <w:t xml:space="preserve">maintained by the European Commission </w:t>
      </w:r>
      <w:r w:rsidR="00DA2DD3" w:rsidRPr="00B85CCF">
        <w:t>which</w:t>
      </w:r>
      <w:r w:rsidR="00617176" w:rsidRPr="00B85CCF">
        <w:t xml:space="preserve"> </w:t>
      </w:r>
      <w:r w:rsidRPr="007F7499">
        <w:t xml:space="preserve">consumers and traders </w:t>
      </w:r>
      <w:r w:rsidR="00DA2DD3" w:rsidRPr="00B85CCF">
        <w:t>can use to seek</w:t>
      </w:r>
      <w:r w:rsidR="00DA2DD3" w:rsidRPr="007F7499">
        <w:t xml:space="preserve"> </w:t>
      </w:r>
      <w:r w:rsidRPr="007F7499">
        <w:t>out-of-court resolution of disputes</w:t>
      </w:r>
      <w:r w:rsidR="00E67074">
        <w:t>.</w:t>
      </w:r>
      <w:r w:rsidRPr="007F7499">
        <w:t xml:space="preserve"> </w:t>
      </w:r>
      <w:r w:rsidR="00DA2DD3" w:rsidRPr="00B85CCF">
        <w:t>C</w:t>
      </w:r>
      <w:r w:rsidRPr="00B85CCF">
        <w:t>ompetent authorities and UK traders selling goods or services online must carry a link to the ODR platform</w:t>
      </w:r>
      <w:r w:rsidR="006D238A" w:rsidRPr="00B85CCF">
        <w:t>, but</w:t>
      </w:r>
      <w:r w:rsidRPr="007F7499">
        <w:t xml:space="preserve"> </w:t>
      </w:r>
      <w:r w:rsidR="006D238A" w:rsidRPr="007F7499">
        <w:t>f</w:t>
      </w:r>
      <w:r w:rsidRPr="007F7499">
        <w:t xml:space="preserve">ollowing the UK’s </w:t>
      </w:r>
      <w:r w:rsidR="00CF69A0" w:rsidRPr="007F7499">
        <w:t>departure,</w:t>
      </w:r>
      <w:r w:rsidRPr="00B85CCF">
        <w:t xml:space="preserve"> the ODR platform will no longer be available</w:t>
      </w:r>
      <w:r w:rsidR="00E67074">
        <w:t xml:space="preserve">, </w:t>
      </w:r>
      <w:r w:rsidR="006D238A" w:rsidRPr="00B85CCF">
        <w:t xml:space="preserve">so </w:t>
      </w:r>
      <w:r w:rsidRPr="007F7499">
        <w:t xml:space="preserve">traders in the UK who sell goods and services online will no longer be required to carry this link on their website. </w:t>
      </w:r>
    </w:p>
    <w:p w14:paraId="167B8B0F" w14:textId="76EC9408" w:rsidR="00C6287C" w:rsidRPr="00C6287C" w:rsidRDefault="005E7B5C" w:rsidP="00BD3826">
      <w:pPr>
        <w:pStyle w:val="EMSectionTitle"/>
        <w:numPr>
          <w:ilvl w:val="0"/>
          <w:numId w:val="14"/>
        </w:numPr>
        <w:tabs>
          <w:tab w:val="clear" w:pos="432"/>
          <w:tab w:val="num" w:pos="709"/>
        </w:tabs>
      </w:pPr>
      <w:r w:rsidRPr="009D5665">
        <w:t>E</w:t>
      </w:r>
      <w:r w:rsidR="0009226B" w:rsidRPr="009D5665">
        <w:t>uropean Union (Withdrawal) Act/</w:t>
      </w:r>
      <w:r w:rsidRPr="009D5665">
        <w:t>Withdrawal of the United Kingdom from the European Union</w:t>
      </w:r>
    </w:p>
    <w:p w14:paraId="1C928329" w14:textId="7C3AC818" w:rsidR="002E49A5" w:rsidRDefault="003F599D" w:rsidP="00BD3826">
      <w:pPr>
        <w:pStyle w:val="EMLevel1Paragraph"/>
      </w:pPr>
      <w:bookmarkStart w:id="1" w:name="_3znysh7" w:colFirst="0" w:colLast="0"/>
      <w:bookmarkEnd w:id="1"/>
      <w:r w:rsidRPr="008158B6">
        <w:t>T</w:t>
      </w:r>
      <w:r w:rsidR="005E7B5C" w:rsidRPr="008158B6">
        <w:t xml:space="preserve">his instrument is being made using the power in section 8 </w:t>
      </w:r>
      <w:r w:rsidR="00325AD0" w:rsidRPr="008158B6">
        <w:t xml:space="preserve">of </w:t>
      </w:r>
      <w:r w:rsidR="005E7B5C" w:rsidRPr="008158B6">
        <w:t>the European Union</w:t>
      </w:r>
    </w:p>
    <w:p w14:paraId="3BBE8506" w14:textId="77777777" w:rsidR="002E49A5" w:rsidRDefault="002E49A5" w:rsidP="00D702B9">
      <w:pPr>
        <w:pStyle w:val="EMLevel1Paragraph"/>
        <w:numPr>
          <w:ilvl w:val="0"/>
          <w:numId w:val="0"/>
        </w:numPr>
        <w:spacing w:before="0" w:after="0"/>
        <w:ind w:left="360" w:hanging="360"/>
      </w:pPr>
      <w:r>
        <w:t xml:space="preserve">         </w:t>
      </w:r>
      <w:r w:rsidR="00D702B9">
        <w:t xml:space="preserve"> </w:t>
      </w:r>
      <w:r>
        <w:t xml:space="preserve">  </w:t>
      </w:r>
      <w:r w:rsidR="005E7B5C" w:rsidRPr="008158B6">
        <w:t xml:space="preserve">(Withdrawal) Act 2018 </w:t>
      </w:r>
      <w:r w:rsidR="00CF69A0" w:rsidRPr="008158B6">
        <w:t>to</w:t>
      </w:r>
      <w:r w:rsidR="005E7B5C" w:rsidRPr="008158B6">
        <w:t xml:space="preserve"> address failures of retained EU law to operate effectively or</w:t>
      </w:r>
    </w:p>
    <w:p w14:paraId="17021BD0" w14:textId="77777777" w:rsidR="002E49A5" w:rsidRDefault="002E49A5" w:rsidP="00D702B9">
      <w:pPr>
        <w:pStyle w:val="EMLevel1Paragraph"/>
        <w:numPr>
          <w:ilvl w:val="0"/>
          <w:numId w:val="0"/>
        </w:numPr>
        <w:spacing w:before="0" w:after="0"/>
        <w:ind w:left="360" w:hanging="360"/>
      </w:pPr>
      <w:r>
        <w:t xml:space="preserve">            </w:t>
      </w:r>
      <w:r w:rsidR="005E7B5C" w:rsidRPr="008158B6">
        <w:t xml:space="preserve"> other deficiencies arising from the withdrawal of the United Kingdom from the </w:t>
      </w:r>
    </w:p>
    <w:p w14:paraId="46F1ABDD" w14:textId="77777777" w:rsidR="002E49A5" w:rsidRDefault="002E49A5" w:rsidP="00D702B9">
      <w:pPr>
        <w:pStyle w:val="EMLevel1Paragraph"/>
        <w:numPr>
          <w:ilvl w:val="0"/>
          <w:numId w:val="0"/>
        </w:numPr>
        <w:spacing w:before="0" w:after="0"/>
        <w:ind w:left="360" w:hanging="360"/>
      </w:pPr>
      <w:r>
        <w:t xml:space="preserve">             </w:t>
      </w:r>
      <w:r w:rsidR="005E7B5C" w:rsidRPr="008158B6">
        <w:t xml:space="preserve">European Union. In accordance with the requirements of that Act the Minister has </w:t>
      </w:r>
    </w:p>
    <w:p w14:paraId="405B2B0E" w14:textId="77777777" w:rsidR="002E49A5" w:rsidRDefault="002E49A5" w:rsidP="00D702B9">
      <w:pPr>
        <w:pStyle w:val="EMLevel1Paragraph"/>
        <w:numPr>
          <w:ilvl w:val="0"/>
          <w:numId w:val="0"/>
        </w:numPr>
        <w:spacing w:before="0" w:after="0"/>
        <w:ind w:left="360" w:hanging="360"/>
      </w:pPr>
      <w:r>
        <w:t xml:space="preserve">             </w:t>
      </w:r>
      <w:r w:rsidR="005E7B5C" w:rsidRPr="008158B6">
        <w:t xml:space="preserve">made the relevant statements as detailed in Part 2 of </w:t>
      </w:r>
      <w:r w:rsidR="00D953EF" w:rsidRPr="008158B6">
        <w:t>the Annex</w:t>
      </w:r>
      <w:r w:rsidR="006F4DF0" w:rsidRPr="008158B6">
        <w:t xml:space="preserve"> to </w:t>
      </w:r>
      <w:r w:rsidR="005E7B5C" w:rsidRPr="008158B6">
        <w:t>this Explanatory</w:t>
      </w:r>
    </w:p>
    <w:p w14:paraId="13765BEB" w14:textId="761B4ACF" w:rsidR="001F460B" w:rsidRDefault="002E49A5" w:rsidP="00D702B9">
      <w:pPr>
        <w:pStyle w:val="EMLevel1Paragraph"/>
        <w:numPr>
          <w:ilvl w:val="0"/>
          <w:numId w:val="0"/>
        </w:numPr>
        <w:spacing w:before="0" w:after="0"/>
        <w:ind w:left="360" w:hanging="360"/>
      </w:pPr>
      <w:r>
        <w:t xml:space="preserve">            </w:t>
      </w:r>
      <w:r w:rsidR="005E7B5C" w:rsidRPr="008158B6">
        <w:t xml:space="preserve"> Memorandum</w:t>
      </w:r>
      <w:r w:rsidR="006F4DF0" w:rsidRPr="008158B6">
        <w:t>.</w:t>
      </w:r>
    </w:p>
    <w:p w14:paraId="3EB10529" w14:textId="13B50A2C" w:rsidR="00C6287C" w:rsidRPr="003B1AF5" w:rsidRDefault="00BC5E5E" w:rsidP="003F6D1E">
      <w:pPr>
        <w:pStyle w:val="EMLevel1Paragraph"/>
        <w:numPr>
          <w:ilvl w:val="1"/>
          <w:numId w:val="1"/>
        </w:numPr>
        <w:ind w:left="720" w:hanging="720"/>
      </w:pPr>
      <w:r w:rsidRPr="003B1AF5">
        <w:t xml:space="preserve">In </w:t>
      </w:r>
      <w:r w:rsidR="00EB4B12" w:rsidRPr="003B1AF5">
        <w:t>addition,</w:t>
      </w:r>
      <w:r w:rsidRPr="003B1AF5">
        <w:t xml:space="preserve"> the instrument is also being made under section 2(2) of the European </w:t>
      </w:r>
      <w:r w:rsidR="002546A9" w:rsidRPr="003B1AF5">
        <w:t xml:space="preserve">        </w:t>
      </w:r>
      <w:r w:rsidRPr="003B1AF5">
        <w:t>Communities Act 1972 and these powers are being used to correct ou</w:t>
      </w:r>
      <w:r w:rsidR="002546A9" w:rsidRPr="003B1AF5">
        <w:t>t-</w:t>
      </w:r>
      <w:r w:rsidRPr="003B1AF5">
        <w:t>dated cross-</w:t>
      </w:r>
      <w:r w:rsidR="002546A9" w:rsidRPr="003B1AF5">
        <w:t>references</w:t>
      </w:r>
      <w:r w:rsidRPr="003B1AF5">
        <w:t xml:space="preserve"> to</w:t>
      </w:r>
      <w:r w:rsidR="002546A9" w:rsidRPr="003B1AF5">
        <w:t xml:space="preserve"> EU legislation that ha</w:t>
      </w:r>
      <w:r w:rsidR="00894F36">
        <w:t>s</w:t>
      </w:r>
      <w:r w:rsidR="002546A9" w:rsidRPr="003B1AF5">
        <w:t xml:space="preserve"> already been re</w:t>
      </w:r>
      <w:r w:rsidR="178A55C1" w:rsidRPr="003B1AF5">
        <w:t>pealed</w:t>
      </w:r>
      <w:r w:rsidR="002546A9" w:rsidRPr="003B1AF5">
        <w:t xml:space="preserve">. </w:t>
      </w:r>
    </w:p>
    <w:p w14:paraId="281FD7FA" w14:textId="235406B7" w:rsidR="005E7B5C" w:rsidRDefault="005E7B5C" w:rsidP="00BD3826">
      <w:pPr>
        <w:pStyle w:val="EMSectionTitle"/>
        <w:numPr>
          <w:ilvl w:val="0"/>
          <w:numId w:val="14"/>
        </w:numPr>
        <w:tabs>
          <w:tab w:val="clear" w:pos="432"/>
          <w:tab w:val="num" w:pos="709"/>
        </w:tabs>
      </w:pPr>
      <w:r>
        <w:t>Consolidation</w:t>
      </w:r>
    </w:p>
    <w:p w14:paraId="5EB1F374" w14:textId="6FDF2962" w:rsidR="005E7B5C" w:rsidRPr="009222E5" w:rsidRDefault="00590C32" w:rsidP="00BD3826">
      <w:pPr>
        <w:pStyle w:val="EMLevel1Paragraph"/>
        <w:numPr>
          <w:ilvl w:val="1"/>
          <w:numId w:val="1"/>
        </w:numPr>
        <w:ind w:left="720" w:hanging="720"/>
        <w:rPr>
          <w:color w:val="000000"/>
        </w:rPr>
      </w:pPr>
      <w:r w:rsidRPr="0050015A">
        <w:t xml:space="preserve">There are no current plans to consolidate the legislation amended by </w:t>
      </w:r>
      <w:r w:rsidR="008F57A0" w:rsidRPr="0050015A">
        <w:t xml:space="preserve">this </w:t>
      </w:r>
      <w:r w:rsidR="008F57A0">
        <w:t>instrument</w:t>
      </w:r>
      <w:r w:rsidRPr="0050015A">
        <w:t xml:space="preserve">. </w:t>
      </w:r>
    </w:p>
    <w:p w14:paraId="6BD5A093" w14:textId="77777777" w:rsidR="005E7B5C" w:rsidRPr="00BD3826" w:rsidRDefault="005E7B5C" w:rsidP="00BD3826">
      <w:pPr>
        <w:pStyle w:val="EMSectionTitle"/>
        <w:tabs>
          <w:tab w:val="clear" w:pos="709"/>
          <w:tab w:val="num" w:pos="432"/>
        </w:tabs>
      </w:pPr>
      <w:r w:rsidRPr="00BD3826">
        <w:t>Consultation outcome</w:t>
      </w:r>
    </w:p>
    <w:p w14:paraId="1EACD322" w14:textId="5F4386B7" w:rsidR="00DF181C" w:rsidRPr="005149C4" w:rsidRDefault="00DF181C" w:rsidP="00BD3826">
      <w:pPr>
        <w:pStyle w:val="EMLevel1Paragraph"/>
        <w:rPr>
          <w:strike/>
        </w:rPr>
      </w:pPr>
      <w:r w:rsidRPr="00B85CCF">
        <w:t xml:space="preserve">No consultation was required as the instrument makes only minor changes and does not represent a policy change. </w:t>
      </w:r>
    </w:p>
    <w:p w14:paraId="672C8183" w14:textId="77777777" w:rsidR="005E7B5C" w:rsidRDefault="00B93361" w:rsidP="00BD3826">
      <w:pPr>
        <w:pStyle w:val="EMSectionTitle"/>
        <w:numPr>
          <w:ilvl w:val="0"/>
          <w:numId w:val="14"/>
        </w:numPr>
        <w:tabs>
          <w:tab w:val="clear" w:pos="432"/>
          <w:tab w:val="num" w:pos="709"/>
        </w:tabs>
      </w:pPr>
      <w:r w:rsidRPr="007F7499">
        <w:lastRenderedPageBreak/>
        <w:t>G</w:t>
      </w:r>
      <w:r w:rsidR="005E7B5C" w:rsidRPr="00B85CCF">
        <w:t>uidance</w:t>
      </w:r>
    </w:p>
    <w:p w14:paraId="31716757" w14:textId="4EC59765" w:rsidR="00332CE1" w:rsidRPr="00F71CE8" w:rsidRDefault="00332CE1" w:rsidP="003F6D1E">
      <w:pPr>
        <w:pStyle w:val="EMLevel1Paragraph"/>
      </w:pPr>
      <w:r w:rsidRPr="00F71CE8">
        <w:t>Footwear (Indication of Composition) Labelling Regulations 1995</w:t>
      </w:r>
    </w:p>
    <w:p w14:paraId="2EEA817C" w14:textId="0D4DD3B6" w:rsidR="00332CE1" w:rsidRDefault="00332CE1" w:rsidP="00BD3826">
      <w:pPr>
        <w:pStyle w:val="EMLevel1Paragraph"/>
        <w:numPr>
          <w:ilvl w:val="1"/>
          <w:numId w:val="1"/>
        </w:numPr>
        <w:tabs>
          <w:tab w:val="clear" w:pos="717"/>
        </w:tabs>
        <w:ind w:left="720" w:hanging="720"/>
      </w:pPr>
      <w:r>
        <w:t>Existing guidance for businesses will be updated to explain the changes that this instrument makes. This instrument will have no impact on the enforcement provisions including sanctions available for the enforcement of the t</w:t>
      </w:r>
      <w:r w:rsidRPr="003E67B5">
        <w:rPr>
          <w:rFonts w:cs="Times New Roman"/>
          <w:kern w:val="36"/>
          <w:lang w:val="en" w:eastAsia="en-GB"/>
        </w:rPr>
        <w:t>he Footwear (Indication of Composition) Labelling Regulations 1995</w:t>
      </w:r>
      <w:r>
        <w:t>. Consequently, there is no need to produce specific guidance for enforcement agencies.</w:t>
      </w:r>
    </w:p>
    <w:p w14:paraId="54392CEF" w14:textId="3E83163B" w:rsidR="002A3E8F" w:rsidRPr="002A3E8F" w:rsidRDefault="00413788" w:rsidP="00BD3826">
      <w:pPr>
        <w:pStyle w:val="EMLevel1Paragraph"/>
      </w:pPr>
      <w:r>
        <w:t xml:space="preserve">No guidance has been produced for the rest of the measures in this instrument. </w:t>
      </w:r>
    </w:p>
    <w:p w14:paraId="2FFD73C7" w14:textId="4F51DD77" w:rsidR="001E359C" w:rsidRPr="00BD3826" w:rsidRDefault="005E7B5C" w:rsidP="00BD3826">
      <w:pPr>
        <w:pStyle w:val="EMSectionTitle"/>
        <w:rPr>
          <w:b w:val="0"/>
        </w:rPr>
      </w:pPr>
      <w:r w:rsidRPr="00B928ED">
        <w:t>Impact</w:t>
      </w:r>
    </w:p>
    <w:p w14:paraId="294F73BC" w14:textId="77777777" w:rsidR="00757813" w:rsidRPr="00522078" w:rsidRDefault="00757813" w:rsidP="00BD3826">
      <w:pPr>
        <w:pStyle w:val="EMLevel1Paragraph"/>
      </w:pPr>
      <w:r w:rsidRPr="00522078">
        <w:t>Amendment of the Consumer Rights Act 2015</w:t>
      </w:r>
    </w:p>
    <w:p w14:paraId="6817AFFD" w14:textId="77777777" w:rsidR="0016023F" w:rsidRDefault="00E9518C">
      <w:pPr>
        <w:pStyle w:val="EMLevel1Bullet"/>
      </w:pPr>
      <w:r>
        <w:t>There is no significant impact on business, charities or voluntary bodies.</w:t>
      </w:r>
    </w:p>
    <w:p w14:paraId="6FC75BB1" w14:textId="77777777" w:rsidR="00E9518C" w:rsidRDefault="00E9518C" w:rsidP="0072544B">
      <w:pPr>
        <w:pStyle w:val="EMLevel1Bullet"/>
      </w:pPr>
      <w:r>
        <w:t>There is no, or no significant impact on the public sector.</w:t>
      </w:r>
    </w:p>
    <w:p w14:paraId="4E158CE3" w14:textId="77777777" w:rsidR="00E9518C" w:rsidRPr="007222F5" w:rsidRDefault="00E9518C" w:rsidP="0072544B">
      <w:pPr>
        <w:pStyle w:val="EMLevel1Bullet"/>
      </w:pPr>
      <w:r>
        <w:t>An Impact Assessment h</w:t>
      </w:r>
      <w:r w:rsidR="007532AC">
        <w:t>as not been prepared for the am</w:t>
      </w:r>
      <w:r>
        <w:t xml:space="preserve">endments to this legislation as these amendments do not represent a policy change. </w:t>
      </w:r>
      <w:r w:rsidR="007532AC">
        <w:t xml:space="preserve">As these aspects of the instrument have a net direct impact on business of less than £5 million annually, they qualify for the </w:t>
      </w:r>
      <w:r w:rsidR="007532AC">
        <w:rPr>
          <w:i/>
        </w:rPr>
        <w:t>de minimis</w:t>
      </w:r>
      <w:r w:rsidR="007532AC">
        <w:t xml:space="preserve"> threshold and a full regulatory Impact Assessment is not required.</w:t>
      </w:r>
    </w:p>
    <w:p w14:paraId="2BCAB669" w14:textId="77777777" w:rsidR="00757813" w:rsidRPr="00522078" w:rsidRDefault="00757813" w:rsidP="0072544B">
      <w:pPr>
        <w:pStyle w:val="EMLevel1Paragraph"/>
      </w:pPr>
      <w:r w:rsidRPr="00522078">
        <w:t>Amendment of the Consumer Protection from Unfair Trading Regulations</w:t>
      </w:r>
      <w:r w:rsidR="5DB9A905" w:rsidRPr="00522078">
        <w:t xml:space="preserve"> </w:t>
      </w:r>
      <w:r w:rsidRPr="00522078">
        <w:t xml:space="preserve">2008 </w:t>
      </w:r>
    </w:p>
    <w:p w14:paraId="1AC49ABC" w14:textId="77777777" w:rsidR="007532AC" w:rsidRDefault="007532AC" w:rsidP="007532AC">
      <w:pPr>
        <w:pStyle w:val="EMLevel1Bullet"/>
      </w:pPr>
      <w:r>
        <w:t>There is no significant impact on business, charities or voluntary bodies.</w:t>
      </w:r>
    </w:p>
    <w:p w14:paraId="0370E7CE" w14:textId="77777777" w:rsidR="007532AC" w:rsidRDefault="007532AC" w:rsidP="007532AC">
      <w:pPr>
        <w:pStyle w:val="EMLevel1Bullet"/>
      </w:pPr>
      <w:r>
        <w:t>There is no, or no significant impact on the public sector.</w:t>
      </w:r>
    </w:p>
    <w:p w14:paraId="1D798495" w14:textId="77777777" w:rsidR="007532AC" w:rsidRPr="007222F5" w:rsidRDefault="007532AC" w:rsidP="007532AC">
      <w:pPr>
        <w:pStyle w:val="EMLevel1Bullet"/>
      </w:pPr>
      <w:r>
        <w:t xml:space="preserve">An Impact Assessment has not been prepared for the amendments to this legislation as these amendments do not represent a policy change. As these aspects of the instrument have a net direct impact on business of less than £5 million annually, they qualify for the </w:t>
      </w:r>
      <w:r>
        <w:rPr>
          <w:i/>
        </w:rPr>
        <w:t>de minimis</w:t>
      </w:r>
      <w:r>
        <w:t xml:space="preserve"> threshold and a full regulatory Impact Assessment is not required.</w:t>
      </w:r>
    </w:p>
    <w:p w14:paraId="031A2016" w14:textId="77777777" w:rsidR="00757813" w:rsidRPr="00522078" w:rsidRDefault="00757813" w:rsidP="00BD3826">
      <w:pPr>
        <w:pStyle w:val="EMLevel1Paragraph"/>
      </w:pPr>
      <w:r w:rsidRPr="00522078">
        <w:t>Amendment of the Consumer Rights (Payment Surcharges) Regulations 2012</w:t>
      </w:r>
    </w:p>
    <w:p w14:paraId="1C4D91D5" w14:textId="77777777" w:rsidR="007532AC" w:rsidRDefault="007532AC" w:rsidP="007532AC">
      <w:pPr>
        <w:pStyle w:val="EMLevel1Bullet"/>
      </w:pPr>
      <w:r>
        <w:t>There is no significant impact on business, charities or voluntary bodies.</w:t>
      </w:r>
    </w:p>
    <w:p w14:paraId="66E067CE" w14:textId="77777777" w:rsidR="007532AC" w:rsidRDefault="007532AC" w:rsidP="007532AC">
      <w:pPr>
        <w:pStyle w:val="EMLevel1Bullet"/>
      </w:pPr>
      <w:r>
        <w:t>There is no, or no significant impact on the public sector.</w:t>
      </w:r>
    </w:p>
    <w:p w14:paraId="49FB28FF" w14:textId="77777777" w:rsidR="007532AC" w:rsidRPr="007222F5" w:rsidRDefault="007532AC" w:rsidP="007532AC">
      <w:pPr>
        <w:pStyle w:val="EMLevel1Bullet"/>
      </w:pPr>
      <w:r>
        <w:t xml:space="preserve">An Impact Assessment has not been prepared for the amendments to this legislation as these amendments do not represent a policy change. As these aspects of the instrument have a net direct impact on business of less than £5 million annually, they qualify for the </w:t>
      </w:r>
      <w:r>
        <w:rPr>
          <w:i/>
        </w:rPr>
        <w:t>de minimis</w:t>
      </w:r>
      <w:r>
        <w:t xml:space="preserve"> threshold and a full regulatory Impact Assessment is not required.</w:t>
      </w:r>
    </w:p>
    <w:p w14:paraId="69F4A6F1" w14:textId="77777777" w:rsidR="00757813" w:rsidRPr="00522078" w:rsidRDefault="00757813" w:rsidP="00BD3826">
      <w:pPr>
        <w:pStyle w:val="EMLevel1Paragraph"/>
      </w:pPr>
      <w:r w:rsidRPr="00522078">
        <w:t xml:space="preserve">Amendment of the Consumer Contracts (Information, </w:t>
      </w:r>
      <w:r w:rsidR="74B5DE92" w:rsidRPr="00522078">
        <w:t>C</w:t>
      </w:r>
      <w:r w:rsidRPr="00522078">
        <w:t>ancellation and</w:t>
      </w:r>
      <w:r w:rsidR="74B5DE92" w:rsidRPr="00522078">
        <w:t xml:space="preserve"> </w:t>
      </w:r>
      <w:r w:rsidRPr="00522078">
        <w:t>Additional Charges) Regulations 2013</w:t>
      </w:r>
    </w:p>
    <w:p w14:paraId="69B55460" w14:textId="77777777" w:rsidR="007532AC" w:rsidRDefault="007532AC" w:rsidP="007532AC">
      <w:pPr>
        <w:pStyle w:val="EMLevel1Bullet"/>
      </w:pPr>
      <w:r>
        <w:t>There is no significant impact on business, charities or voluntary bodies.</w:t>
      </w:r>
    </w:p>
    <w:p w14:paraId="6C72C522" w14:textId="77777777" w:rsidR="007532AC" w:rsidRDefault="007532AC" w:rsidP="007532AC">
      <w:pPr>
        <w:pStyle w:val="EMLevel1Bullet"/>
      </w:pPr>
      <w:r>
        <w:t>There is no, or no significant impact on the public sector.</w:t>
      </w:r>
    </w:p>
    <w:p w14:paraId="0A019687" w14:textId="77777777" w:rsidR="007532AC" w:rsidRPr="007222F5" w:rsidRDefault="007532AC" w:rsidP="007532AC">
      <w:pPr>
        <w:pStyle w:val="EMLevel1Bullet"/>
      </w:pPr>
      <w:r>
        <w:t xml:space="preserve">An Impact Assessment has not been prepared for the amendments to this legislation as these amendments do not represent a policy change. As these aspects of the instrument have a net direct impact on business of less than £5 million annually, they qualify for the </w:t>
      </w:r>
      <w:r>
        <w:rPr>
          <w:i/>
        </w:rPr>
        <w:t>de minimis</w:t>
      </w:r>
      <w:r>
        <w:t xml:space="preserve"> threshold and a full regulatory Impact Assessment is not required.</w:t>
      </w:r>
    </w:p>
    <w:p w14:paraId="48685302" w14:textId="77777777" w:rsidR="00757813" w:rsidRPr="00522078" w:rsidRDefault="00757813" w:rsidP="00BD3826">
      <w:pPr>
        <w:pStyle w:val="EMLevel1Paragraph"/>
      </w:pPr>
      <w:r w:rsidRPr="00522078">
        <w:lastRenderedPageBreak/>
        <w:t xml:space="preserve">Crystal Glass (Descriptions) Regulations 1973  </w:t>
      </w:r>
    </w:p>
    <w:p w14:paraId="654551C2" w14:textId="77777777" w:rsidR="007532AC" w:rsidRDefault="007532AC" w:rsidP="007532AC">
      <w:pPr>
        <w:pStyle w:val="EMLevel1Bullet"/>
      </w:pPr>
      <w:r>
        <w:t>There is no significant impact on business, charities or voluntary bodies.</w:t>
      </w:r>
    </w:p>
    <w:p w14:paraId="2F5E7E1B" w14:textId="77777777" w:rsidR="007532AC" w:rsidRDefault="007532AC" w:rsidP="007532AC">
      <w:pPr>
        <w:pStyle w:val="EMLevel1Bullet"/>
      </w:pPr>
      <w:r>
        <w:t>There is no, or no significant impact on the public sector.</w:t>
      </w:r>
    </w:p>
    <w:p w14:paraId="77071698" w14:textId="60564D43" w:rsidR="00467DF7" w:rsidRDefault="007532AC" w:rsidP="00BD3826">
      <w:pPr>
        <w:pStyle w:val="EMLevel1Bullet"/>
      </w:pPr>
      <w:r>
        <w:t xml:space="preserve">An Impact Assessment has not been prepared for the amendments to this legislation as these amendments do not represent a policy change. As these aspects of the instrument have a net direct impact on business of less than £5 million annually, they qualify for the </w:t>
      </w:r>
      <w:r>
        <w:rPr>
          <w:i/>
        </w:rPr>
        <w:t>de minimis</w:t>
      </w:r>
      <w:r>
        <w:t xml:space="preserve"> threshold and a full regulatory Impact Assessment is not required.</w:t>
      </w:r>
    </w:p>
    <w:p w14:paraId="65FACFD6" w14:textId="54A7938A" w:rsidR="001B016D" w:rsidRPr="00522078" w:rsidRDefault="001B016D" w:rsidP="00BD3826">
      <w:pPr>
        <w:pStyle w:val="EMLevel1Paragraph"/>
      </w:pPr>
      <w:r w:rsidRPr="00522078">
        <w:t>Footwear (Indication of Composition) Labelling Regulations 1995</w:t>
      </w:r>
    </w:p>
    <w:p w14:paraId="62042014" w14:textId="77777777" w:rsidR="001B016D" w:rsidRPr="00332CE1" w:rsidRDefault="001B016D" w:rsidP="00FE7AC2">
      <w:pPr>
        <w:pStyle w:val="EMLevel1Paragraph"/>
        <w:numPr>
          <w:ilvl w:val="1"/>
          <w:numId w:val="0"/>
        </w:numPr>
        <w:ind w:left="720"/>
        <w:rPr>
          <w:rFonts w:cs="Times New Roman"/>
          <w:color w:val="000000"/>
        </w:rPr>
      </w:pPr>
      <w:r w:rsidRPr="001B016D">
        <w:rPr>
          <w:color w:val="000000"/>
        </w:rPr>
        <w:t xml:space="preserve">The impact on businesses </w:t>
      </w:r>
      <w:r w:rsidR="009603DF">
        <w:rPr>
          <w:color w:val="000000"/>
        </w:rPr>
        <w:t>of the amendments to this legislation</w:t>
      </w:r>
      <w:r w:rsidRPr="001B016D">
        <w:rPr>
          <w:color w:val="000000"/>
        </w:rPr>
        <w:t xml:space="preserve"> is that their responsibilities under the regulation may change.  Specifically, a</w:t>
      </w:r>
      <w:r w:rsidR="00400A21">
        <w:rPr>
          <w:color w:val="000000"/>
        </w:rPr>
        <w:t xml:space="preserve">n importer to the UK </w:t>
      </w:r>
      <w:r w:rsidR="001B2CDA">
        <w:rPr>
          <w:color w:val="000000"/>
        </w:rPr>
        <w:t>from the EEA (</w:t>
      </w:r>
      <w:r w:rsidR="00400A21">
        <w:rPr>
          <w:color w:val="000000"/>
        </w:rPr>
        <w:t>who may be a</w:t>
      </w:r>
      <w:r w:rsidRPr="001B016D">
        <w:rPr>
          <w:color w:val="000000"/>
        </w:rPr>
        <w:t xml:space="preserve"> retailer</w:t>
      </w:r>
      <w:r w:rsidR="001B2CDA">
        <w:rPr>
          <w:color w:val="000000"/>
        </w:rPr>
        <w:t>)</w:t>
      </w:r>
      <w:r w:rsidRPr="001B016D">
        <w:rPr>
          <w:color w:val="000000"/>
        </w:rPr>
        <w:t xml:space="preserve"> may become a ‘responsible person’ under the regulation</w:t>
      </w:r>
      <w:r w:rsidR="00B11443">
        <w:rPr>
          <w:color w:val="000000"/>
        </w:rPr>
        <w:t>.</w:t>
      </w:r>
      <w:r w:rsidRPr="001B016D">
        <w:rPr>
          <w:color w:val="000000"/>
        </w:rPr>
        <w:t xml:space="preserve"> </w:t>
      </w:r>
      <w:r w:rsidRPr="00FA0C73">
        <w:rPr>
          <w:rFonts w:cs="Times New Roman"/>
          <w:color w:val="000000"/>
        </w:rPr>
        <w:t xml:space="preserve">The practical impact of </w:t>
      </w:r>
      <w:r w:rsidR="001E0085">
        <w:rPr>
          <w:rFonts w:cs="Times New Roman"/>
          <w:color w:val="000000"/>
        </w:rPr>
        <w:t>such a business</w:t>
      </w:r>
      <w:r w:rsidRPr="00FA0C73">
        <w:rPr>
          <w:rFonts w:cs="Times New Roman"/>
          <w:color w:val="000000"/>
        </w:rPr>
        <w:t xml:space="preserve"> becoming a responsible person is that they would become responsible for the accuracy of the footwear label and for </w:t>
      </w:r>
      <w:r w:rsidRPr="00332CE1">
        <w:rPr>
          <w:rFonts w:cs="Times New Roman"/>
          <w:color w:val="000000"/>
          <w:lang w:val="en"/>
        </w:rPr>
        <w:t>supplying the labelling to be conveyed upon the footwear</w:t>
      </w:r>
      <w:r w:rsidRPr="00332CE1">
        <w:rPr>
          <w:rFonts w:cs="Times New Roman"/>
          <w:color w:val="000000"/>
        </w:rPr>
        <w:t xml:space="preserve">, rather than having to ensure </w:t>
      </w:r>
      <w:r w:rsidRPr="00332CE1">
        <w:rPr>
          <w:rFonts w:cs="Times New Roman"/>
          <w:color w:val="000000"/>
          <w:lang w:val="en"/>
        </w:rPr>
        <w:t>the footwear is labelled in accordance with the requirements of the Regulations when it is offered to sale for consumers</w:t>
      </w:r>
      <w:r w:rsidRPr="00332CE1">
        <w:rPr>
          <w:rFonts w:cs="Times New Roman"/>
          <w:color w:val="000000"/>
        </w:rPr>
        <w:t xml:space="preserve">.  </w:t>
      </w:r>
    </w:p>
    <w:p w14:paraId="2D4FD6AD" w14:textId="3BD3F976" w:rsidR="006D1B03" w:rsidRDefault="001B016D" w:rsidP="001B016D">
      <w:pPr>
        <w:spacing w:before="120" w:after="60"/>
        <w:ind w:left="720"/>
        <w:outlineLvl w:val="1"/>
        <w:rPr>
          <w:rFonts w:cs="Arial"/>
          <w:color w:val="000000"/>
          <w:szCs w:val="28"/>
        </w:rPr>
      </w:pPr>
      <w:r w:rsidRPr="001B016D">
        <w:rPr>
          <w:color w:val="000000"/>
        </w:rPr>
        <w:t>There is no impact on charities or voluntary bodies unless they are ‘</w:t>
      </w:r>
      <w:r w:rsidR="007B6E02">
        <w:rPr>
          <w:color w:val="000000"/>
        </w:rPr>
        <w:t>importers</w:t>
      </w:r>
      <w:r w:rsidRPr="001B016D">
        <w:rPr>
          <w:color w:val="000000"/>
        </w:rPr>
        <w:t xml:space="preserve">’ of footwear; in which case they </w:t>
      </w:r>
      <w:r w:rsidRPr="001B016D">
        <w:rPr>
          <w:rFonts w:cs="Arial"/>
          <w:color w:val="000000"/>
          <w:szCs w:val="28"/>
        </w:rPr>
        <w:t>may become a ‘responsible person’ under the regulation. The impact of this is described above.</w:t>
      </w:r>
      <w:r w:rsidRPr="001B016D">
        <w:rPr>
          <w:color w:val="000000"/>
        </w:rPr>
        <w:t xml:space="preserve"> </w:t>
      </w:r>
      <w:r w:rsidRPr="001B016D">
        <w:rPr>
          <w:rFonts w:cs="Arial"/>
          <w:color w:val="000000"/>
          <w:szCs w:val="28"/>
        </w:rPr>
        <w:t>There is no impact on the public sector.</w:t>
      </w:r>
    </w:p>
    <w:p w14:paraId="541DF7C1" w14:textId="5ECE273A" w:rsidR="00AF58F1" w:rsidRDefault="00987C53" w:rsidP="00BD3826">
      <w:pPr>
        <w:pStyle w:val="EMLevel1Paragraph"/>
      </w:pPr>
      <w:r w:rsidRPr="00522078">
        <w:t>Alternative Dispute Resolution for Consumer Disputes (Competent Authorities</w:t>
      </w:r>
      <w:r w:rsidR="00C20A26" w:rsidRPr="00522078">
        <w:t xml:space="preserve"> and Information) Regulations 2015 &amp; Regulation (EU) 524/2013 – Online Dispute Resolution</w:t>
      </w:r>
    </w:p>
    <w:p w14:paraId="1CB696FC" w14:textId="77777777" w:rsidR="00AF58F1" w:rsidRPr="001657EC" w:rsidRDefault="00AF58F1" w:rsidP="00BD3826">
      <w:pPr>
        <w:pStyle w:val="EMLevel1Paragraph"/>
        <w:numPr>
          <w:ilvl w:val="0"/>
          <w:numId w:val="0"/>
        </w:numPr>
        <w:ind w:left="720"/>
        <w:rPr>
          <w:rFonts w:eastAsia="Arial"/>
        </w:rPr>
      </w:pPr>
      <w:r w:rsidRPr="003C4ADF">
        <w:t xml:space="preserve">An Impact Assessment is required as businesses will experience a direct cost to </w:t>
      </w:r>
      <w:r>
        <w:t xml:space="preserve">  </w:t>
      </w:r>
      <w:r w:rsidRPr="003C4ADF">
        <w:t xml:space="preserve">comply with the changes introduced by this </w:t>
      </w:r>
      <w:r w:rsidR="45A9E349" w:rsidRPr="003C4ADF">
        <w:t>i</w:t>
      </w:r>
      <w:r w:rsidR="005147BA">
        <w:t>nstrument</w:t>
      </w:r>
      <w:r w:rsidR="00995130">
        <w:t>.</w:t>
      </w:r>
      <w:r w:rsidRPr="003C4ADF">
        <w:t xml:space="preserve"> </w:t>
      </w:r>
    </w:p>
    <w:p w14:paraId="7D3C7BFA" w14:textId="650BC4EE" w:rsidR="00C25356" w:rsidRPr="004D078C" w:rsidRDefault="00987C53" w:rsidP="00BD3826">
      <w:pPr>
        <w:pStyle w:val="EMLevel1Paragraph"/>
        <w:numPr>
          <w:ilvl w:val="0"/>
          <w:numId w:val="0"/>
        </w:numPr>
        <w:ind w:left="720"/>
      </w:pPr>
      <w:r w:rsidRPr="004D078C">
        <w:t xml:space="preserve">In terms of online dispute resolution (ODR), businesses will no longer be required to post a link to </w:t>
      </w:r>
      <w:r w:rsidR="45A9E349" w:rsidRPr="004D078C">
        <w:t>t</w:t>
      </w:r>
      <w:r w:rsidRPr="004D078C">
        <w:t xml:space="preserve">he European Commission on the website. </w:t>
      </w:r>
      <w:r w:rsidR="003A496C" w:rsidRPr="003C4ADF">
        <w:t>For ODR</w:t>
      </w:r>
      <w:r w:rsidR="63CDC095" w:rsidRPr="5D29E7E6">
        <w:t>,</w:t>
      </w:r>
      <w:r w:rsidR="003A496C" w:rsidRPr="003C4ADF">
        <w:t xml:space="preserve"> businesses who sell goods and/or services online will need to remove the link to the ODR platform from their website which will come at a one-off cost</w:t>
      </w:r>
      <w:r w:rsidR="003A496C" w:rsidRPr="003C4ADF">
        <w:rPr>
          <w:rFonts w:eastAsia="Arial"/>
        </w:rPr>
        <w:t xml:space="preserve">. </w:t>
      </w:r>
      <w:r w:rsidR="003A496C" w:rsidRPr="003C4ADF">
        <w:t xml:space="preserve">We anticipate that businesses in scope of </w:t>
      </w:r>
      <w:r w:rsidR="006636F0">
        <w:t xml:space="preserve">the ADR </w:t>
      </w:r>
      <w:r w:rsidR="005735F8">
        <w:t>R</w:t>
      </w:r>
      <w:r w:rsidR="006636F0">
        <w:t>egulations</w:t>
      </w:r>
      <w:r w:rsidR="005735F8">
        <w:t xml:space="preserve"> </w:t>
      </w:r>
      <w:r w:rsidR="003A496C" w:rsidRPr="003C4ADF">
        <w:t xml:space="preserve">amendment may incur some small familiarisation and training cost. </w:t>
      </w:r>
    </w:p>
    <w:p w14:paraId="146D1863" w14:textId="0F8EBE26" w:rsidR="005E7B5C" w:rsidRPr="002A06F0" w:rsidRDefault="005E7B5C" w:rsidP="00BD3826">
      <w:pPr>
        <w:pStyle w:val="EMSectionTitle"/>
      </w:pPr>
      <w:r w:rsidRPr="002A06F0">
        <w:t>Regulating small business</w:t>
      </w:r>
    </w:p>
    <w:p w14:paraId="0B076D5C" w14:textId="06DB5DCE" w:rsidR="00401EBF" w:rsidRDefault="005E7B5C" w:rsidP="00BD3826">
      <w:pPr>
        <w:pStyle w:val="EMLevel1Paragraph"/>
      </w:pPr>
      <w:r>
        <w:t xml:space="preserve">The legislation applies to activities that are undertaken by small businesses. </w:t>
      </w:r>
    </w:p>
    <w:p w14:paraId="36FB0EB5" w14:textId="2D243F37" w:rsidR="00895E7D" w:rsidRDefault="001930A8" w:rsidP="00BD3826">
      <w:pPr>
        <w:pStyle w:val="EMLevel1Paragraph"/>
      </w:pPr>
      <w:r w:rsidRPr="00895E7D">
        <w:t xml:space="preserve">No steps </w:t>
      </w:r>
      <w:r w:rsidR="00435F52" w:rsidRPr="00895E7D">
        <w:t>have been taken to minimise the impact of the requirements on small</w:t>
      </w:r>
    </w:p>
    <w:p w14:paraId="586FF6A4" w14:textId="77777777" w:rsidR="005E7B5C" w:rsidRPr="00895E7D" w:rsidRDefault="00435F52" w:rsidP="00401EBF">
      <w:pPr>
        <w:ind w:left="709"/>
      </w:pPr>
      <w:r w:rsidRPr="00895E7D">
        <w:t>businesses</w:t>
      </w:r>
      <w:r w:rsidR="005E7B5C" w:rsidRPr="00895E7D">
        <w:t xml:space="preserve"> (employing up to 50 people</w:t>
      </w:r>
      <w:r w:rsidR="000E444B">
        <w:t>.</w:t>
      </w:r>
      <w:r w:rsidR="00F015C2" w:rsidRPr="00895E7D">
        <w:t xml:space="preserve"> </w:t>
      </w:r>
      <w:r w:rsidR="005147BA" w:rsidRPr="00895E7D">
        <w:t xml:space="preserve">The </w:t>
      </w:r>
      <w:r w:rsidR="005147BA">
        <w:t>purpose</w:t>
      </w:r>
      <w:r w:rsidR="00F015C2" w:rsidRPr="00895E7D">
        <w:t xml:space="preserve"> of </w:t>
      </w:r>
      <w:r w:rsidR="00173146" w:rsidRPr="00895E7D">
        <w:t xml:space="preserve">the instrument is simply to retain existing requirements where possible to ensure they are </w:t>
      </w:r>
      <w:r w:rsidR="00EB5B6D" w:rsidRPr="00895E7D">
        <w:t>operable after EU exit.</w:t>
      </w:r>
    </w:p>
    <w:p w14:paraId="5A55D6F4" w14:textId="77777777" w:rsidR="005E7B5C" w:rsidRDefault="005E7B5C" w:rsidP="00BD3826">
      <w:pPr>
        <w:pStyle w:val="EMSectionTitle"/>
        <w:numPr>
          <w:ilvl w:val="0"/>
          <w:numId w:val="14"/>
        </w:numPr>
        <w:tabs>
          <w:tab w:val="clear" w:pos="432"/>
          <w:tab w:val="num" w:pos="709"/>
        </w:tabs>
      </w:pPr>
      <w:r>
        <w:t>Monitoring &amp; review</w:t>
      </w:r>
    </w:p>
    <w:p w14:paraId="4C8FF60C" w14:textId="6299ECE2" w:rsidR="00C20A26" w:rsidRPr="007C7220" w:rsidRDefault="00D864F3" w:rsidP="00BD3826">
      <w:pPr>
        <w:pStyle w:val="EMLevel1Paragraph"/>
      </w:pPr>
      <w:r w:rsidRPr="00B85CCF">
        <w:rPr>
          <w:rStyle w:val="normaltextrun"/>
          <w:bdr w:val="none" w:sz="0" w:space="0" w:color="auto" w:frame="1"/>
        </w:rPr>
        <w:t>Since the instrument merely amends other Regulations it does not contain a review provision</w:t>
      </w:r>
      <w:r w:rsidR="005E7B5C" w:rsidRPr="007C7220">
        <w:t xml:space="preserve"> </w:t>
      </w:r>
    </w:p>
    <w:p w14:paraId="49DF0BEA" w14:textId="77777777" w:rsidR="005E7B5C" w:rsidRDefault="005E7B5C" w:rsidP="00BD3826">
      <w:pPr>
        <w:pStyle w:val="EMSectionTitle"/>
        <w:numPr>
          <w:ilvl w:val="0"/>
          <w:numId w:val="14"/>
        </w:numPr>
        <w:tabs>
          <w:tab w:val="clear" w:pos="432"/>
          <w:tab w:val="num" w:pos="709"/>
        </w:tabs>
      </w:pPr>
      <w:r>
        <w:lastRenderedPageBreak/>
        <w:t>Contact</w:t>
      </w:r>
    </w:p>
    <w:p w14:paraId="0CD8FCE2" w14:textId="77777777" w:rsidR="005E7B5C" w:rsidRDefault="00036E2D" w:rsidP="00BD3826">
      <w:pPr>
        <w:pStyle w:val="EMLevel1Paragraph"/>
      </w:pPr>
      <w:r>
        <w:t>Sandra McNeish</w:t>
      </w:r>
      <w:r w:rsidR="005E7B5C">
        <w:t xml:space="preserve"> at the </w:t>
      </w:r>
      <w:r>
        <w:t xml:space="preserve">Department for Business Energy and </w:t>
      </w:r>
      <w:r w:rsidR="005147BA">
        <w:t>Industrial</w:t>
      </w:r>
      <w:r>
        <w:t xml:space="preserve"> Strategy</w:t>
      </w:r>
      <w:r w:rsidR="005E7B5C">
        <w:t xml:space="preserve"> Telephone: </w:t>
      </w:r>
      <w:r w:rsidR="00A74F63">
        <w:t>020 7215 6439</w:t>
      </w:r>
      <w:r w:rsidR="005E7B5C">
        <w:t xml:space="preserve"> or email: </w:t>
      </w:r>
      <w:hyperlink r:id="rId12" w:history="1">
        <w:r w:rsidR="006E2B4B" w:rsidRPr="001C0D60">
          <w:rPr>
            <w:rStyle w:val="Hyperlink"/>
          </w:rPr>
          <w:t>Sandra.mcneish@beis.gov.uk</w:t>
        </w:r>
      </w:hyperlink>
      <w:r w:rsidR="006E2B4B">
        <w:t xml:space="preserve"> </w:t>
      </w:r>
      <w:r w:rsidR="005E7B5C">
        <w:t xml:space="preserve"> can be contacted with any queries regarding the instrument.</w:t>
      </w:r>
    </w:p>
    <w:p w14:paraId="7B6A1AA7" w14:textId="77777777" w:rsidR="005E7B5C" w:rsidRDefault="006D224F" w:rsidP="00BD3826">
      <w:pPr>
        <w:pStyle w:val="EMLevel1Paragraph"/>
      </w:pPr>
      <w:r>
        <w:t xml:space="preserve">Sarah Mackintosh, Deputy Director for European Policy at the Department </w:t>
      </w:r>
      <w:r w:rsidR="00CC0420">
        <w:t>for Business, Energy Industrial Strategy can</w:t>
      </w:r>
      <w:r w:rsidR="005E7B5C">
        <w:t xml:space="preserve"> confirm that this Explanatory Memorandum meets the required standard.</w:t>
      </w:r>
    </w:p>
    <w:p w14:paraId="308D6D7C" w14:textId="77777777" w:rsidR="005E7B5C" w:rsidRDefault="00113BEE" w:rsidP="00BD3826">
      <w:pPr>
        <w:pStyle w:val="EMLevel1Paragraph"/>
        <w:rPr>
          <w:color w:val="000000"/>
        </w:rPr>
      </w:pPr>
      <w:r>
        <w:t>Kelly Tolhurst, Minister for Small Business, Consumers and Corporate</w:t>
      </w:r>
      <w:r w:rsidR="004D7788">
        <w:t xml:space="preserve"> Responsibil</w:t>
      </w:r>
      <w:r w:rsidR="00FF13C2">
        <w:t>i</w:t>
      </w:r>
      <w:r w:rsidR="004D7788">
        <w:t>ty, at the Department for Business, Energy and Industrial</w:t>
      </w:r>
      <w:r w:rsidR="0052122F">
        <w:t xml:space="preserve"> Strategy can confirm that this Explanatory Memorandum meets the required standard. </w:t>
      </w:r>
      <w:r w:rsidR="005E7B5C">
        <w:br w:type="page"/>
      </w:r>
    </w:p>
    <w:p w14:paraId="3CADE86B" w14:textId="77777777" w:rsidR="005E7B5C" w:rsidRDefault="00621F47" w:rsidP="00FC0AA9">
      <w:pPr>
        <w:pStyle w:val="AnnexMainHeading"/>
      </w:pPr>
      <w:r>
        <w:lastRenderedPageBreak/>
        <w:t>Annex</w:t>
      </w:r>
    </w:p>
    <w:p w14:paraId="76BA1773" w14:textId="77777777" w:rsidR="005E7B5C" w:rsidRDefault="005E7B5C" w:rsidP="00FC0AA9">
      <w:pPr>
        <w:pStyle w:val="AnnexMainTitle"/>
      </w:pPr>
      <w:r>
        <w:t>Statements under the European Union (Withdrawal) Act 2018</w:t>
      </w:r>
    </w:p>
    <w:p w14:paraId="5C229B06" w14:textId="77777777" w:rsidR="005E7B5C" w:rsidRPr="00FC0AA9" w:rsidRDefault="005E7B5C" w:rsidP="00FC0AA9">
      <w:pPr>
        <w:pStyle w:val="AnnexPartHeading"/>
      </w:pPr>
      <w:r w:rsidRPr="00FC0AA9">
        <w:t xml:space="preserve">Part 1 </w:t>
      </w:r>
    </w:p>
    <w:p w14:paraId="36A225F3" w14:textId="77777777" w:rsidR="005E7B5C" w:rsidRDefault="005E7B5C" w:rsidP="000C7B96">
      <w:pPr>
        <w:pStyle w:val="AnnexPartTitle"/>
      </w:pPr>
      <w:r>
        <w:t>Table of Statements under the 2018 Act</w:t>
      </w:r>
    </w:p>
    <w:p w14:paraId="05969CEB" w14:textId="77777777" w:rsidR="005E7B5C" w:rsidRPr="000C7B96" w:rsidRDefault="005E7B5C" w:rsidP="003D51B8">
      <w:pPr>
        <w:pStyle w:val="EMParagraphContinuationUnnumbered"/>
      </w:pPr>
      <w:r w:rsidRPr="000C7B96">
        <w:t xml:space="preserve">This table sets out the statements that </w:t>
      </w:r>
      <w:r w:rsidRPr="000C7B96">
        <w:rPr>
          <w:u w:val="single"/>
        </w:rPr>
        <w:t>may</w:t>
      </w:r>
      <w:r w:rsidRPr="000C7B96">
        <w:t xml:space="preserve"> be required under the 2018 Act.</w:t>
      </w:r>
    </w:p>
    <w:tbl>
      <w:tblPr>
        <w:tblW w:w="10348"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2551"/>
        <w:gridCol w:w="2694"/>
        <w:gridCol w:w="3685"/>
      </w:tblGrid>
      <w:tr w:rsidR="005E7B5C" w14:paraId="72CE12C7" w14:textId="77777777" w:rsidTr="00152590">
        <w:tc>
          <w:tcPr>
            <w:tcW w:w="1418" w:type="dxa"/>
            <w:shd w:val="clear" w:color="auto" w:fill="auto"/>
            <w:tcMar>
              <w:top w:w="100" w:type="dxa"/>
              <w:left w:w="100" w:type="dxa"/>
              <w:bottom w:w="100" w:type="dxa"/>
              <w:right w:w="100" w:type="dxa"/>
            </w:tcMar>
          </w:tcPr>
          <w:p w14:paraId="7E0E9B57" w14:textId="77777777" w:rsidR="005E7B5C" w:rsidRDefault="005E7B5C" w:rsidP="003D51B8">
            <w:pPr>
              <w:pStyle w:val="AnnexTableHeadings"/>
            </w:pPr>
            <w:r>
              <w:t>Statement</w:t>
            </w:r>
          </w:p>
        </w:tc>
        <w:tc>
          <w:tcPr>
            <w:tcW w:w="2551" w:type="dxa"/>
            <w:shd w:val="clear" w:color="auto" w:fill="auto"/>
            <w:tcMar>
              <w:top w:w="100" w:type="dxa"/>
              <w:left w:w="100" w:type="dxa"/>
              <w:bottom w:w="100" w:type="dxa"/>
              <w:right w:w="100" w:type="dxa"/>
            </w:tcMar>
          </w:tcPr>
          <w:p w14:paraId="116A4CBF" w14:textId="77777777" w:rsidR="005E7B5C" w:rsidRDefault="005E7B5C" w:rsidP="003D51B8">
            <w:pPr>
              <w:pStyle w:val="AnnexTableHeadings"/>
            </w:pPr>
            <w:r>
              <w:t>Where the requirement sits</w:t>
            </w:r>
          </w:p>
        </w:tc>
        <w:tc>
          <w:tcPr>
            <w:tcW w:w="2694" w:type="dxa"/>
            <w:shd w:val="clear" w:color="auto" w:fill="auto"/>
            <w:tcMar>
              <w:top w:w="100" w:type="dxa"/>
              <w:left w:w="100" w:type="dxa"/>
              <w:bottom w:w="100" w:type="dxa"/>
              <w:right w:w="100" w:type="dxa"/>
            </w:tcMar>
          </w:tcPr>
          <w:p w14:paraId="360F03D8" w14:textId="77777777" w:rsidR="005E7B5C" w:rsidRDefault="005E7B5C" w:rsidP="003D51B8">
            <w:pPr>
              <w:pStyle w:val="AnnexTableHeadings"/>
            </w:pPr>
            <w:r>
              <w:t>To whom it applies</w:t>
            </w:r>
          </w:p>
        </w:tc>
        <w:tc>
          <w:tcPr>
            <w:tcW w:w="3685" w:type="dxa"/>
            <w:shd w:val="clear" w:color="auto" w:fill="auto"/>
            <w:tcMar>
              <w:top w:w="100" w:type="dxa"/>
              <w:left w:w="100" w:type="dxa"/>
              <w:bottom w:w="100" w:type="dxa"/>
              <w:right w:w="100" w:type="dxa"/>
            </w:tcMar>
          </w:tcPr>
          <w:p w14:paraId="791341BE" w14:textId="77777777" w:rsidR="005E7B5C" w:rsidRDefault="005E7B5C" w:rsidP="003D51B8">
            <w:pPr>
              <w:pStyle w:val="AnnexTableHeadings"/>
            </w:pPr>
            <w:r>
              <w:t>What it requires</w:t>
            </w:r>
          </w:p>
        </w:tc>
      </w:tr>
      <w:tr w:rsidR="005E7B5C" w14:paraId="5B7242A6" w14:textId="77777777" w:rsidTr="00152590">
        <w:tc>
          <w:tcPr>
            <w:tcW w:w="1418" w:type="dxa"/>
            <w:tcBorders>
              <w:left w:val="single" w:sz="6" w:space="0" w:color="000000"/>
            </w:tcBorders>
            <w:shd w:val="clear" w:color="auto" w:fill="auto"/>
            <w:tcMar>
              <w:top w:w="100" w:type="dxa"/>
              <w:left w:w="100" w:type="dxa"/>
              <w:bottom w:w="100" w:type="dxa"/>
              <w:right w:w="100" w:type="dxa"/>
            </w:tcMar>
          </w:tcPr>
          <w:p w14:paraId="66B346C4" w14:textId="77777777" w:rsidR="005E7B5C" w:rsidRDefault="005E7B5C" w:rsidP="003D51B8">
            <w:pPr>
              <w:pStyle w:val="AnnexTableText"/>
            </w:pPr>
            <w:r>
              <w:t>Sifting</w:t>
            </w:r>
          </w:p>
        </w:tc>
        <w:tc>
          <w:tcPr>
            <w:tcW w:w="2551" w:type="dxa"/>
            <w:shd w:val="clear" w:color="auto" w:fill="auto"/>
            <w:tcMar>
              <w:top w:w="100" w:type="dxa"/>
              <w:left w:w="100" w:type="dxa"/>
              <w:bottom w:w="100" w:type="dxa"/>
              <w:right w:w="100" w:type="dxa"/>
            </w:tcMar>
          </w:tcPr>
          <w:p w14:paraId="06AEAB64" w14:textId="77777777" w:rsidR="005E7B5C" w:rsidRDefault="005E7B5C" w:rsidP="003D51B8">
            <w:pPr>
              <w:pStyle w:val="AnnexTableText"/>
            </w:pPr>
            <w:r>
              <w:t xml:space="preserve">Paragraphs 3(3), 3(7) and 17(3) and 17(7) of </w:t>
            </w:r>
            <w:proofErr w:type="gramStart"/>
            <w:r>
              <w:t>Schedule  7</w:t>
            </w:r>
            <w:proofErr w:type="gramEnd"/>
          </w:p>
        </w:tc>
        <w:tc>
          <w:tcPr>
            <w:tcW w:w="2694" w:type="dxa"/>
            <w:shd w:val="clear" w:color="auto" w:fill="auto"/>
            <w:tcMar>
              <w:top w:w="100" w:type="dxa"/>
              <w:left w:w="100" w:type="dxa"/>
              <w:bottom w:w="100" w:type="dxa"/>
              <w:right w:w="100" w:type="dxa"/>
            </w:tcMar>
          </w:tcPr>
          <w:p w14:paraId="75F1DB2A" w14:textId="77777777" w:rsidR="005E7B5C" w:rsidRDefault="005E7B5C" w:rsidP="003A62B8">
            <w:pPr>
              <w:pStyle w:val="AnnexTableText"/>
            </w:pPr>
            <w:r>
              <w:t xml:space="preserve">Ministers of the Crown exercising </w:t>
            </w:r>
            <w:r w:rsidR="003A62B8">
              <w:t>sections</w:t>
            </w:r>
            <w:r>
              <w:t xml:space="preserve"> 8(1), 9 and 23(1) to make a Negative SI</w:t>
            </w:r>
          </w:p>
        </w:tc>
        <w:tc>
          <w:tcPr>
            <w:tcW w:w="3685" w:type="dxa"/>
            <w:shd w:val="clear" w:color="auto" w:fill="auto"/>
            <w:tcMar>
              <w:top w:w="100" w:type="dxa"/>
              <w:left w:w="100" w:type="dxa"/>
              <w:bottom w:w="100" w:type="dxa"/>
              <w:right w:w="100" w:type="dxa"/>
            </w:tcMar>
          </w:tcPr>
          <w:p w14:paraId="5A71D12B" w14:textId="77777777" w:rsidR="005E7B5C" w:rsidRDefault="005E7B5C" w:rsidP="003D7744">
            <w:pPr>
              <w:pStyle w:val="AnnexTableText"/>
            </w:pPr>
            <w:r>
              <w:t>Explain why the instrument should be subject to the negative procedure and, if applicable, why they disagree with the recommendation(s) of the SLSC/</w:t>
            </w:r>
            <w:r w:rsidR="003D7744">
              <w:t>Sifting Committees</w:t>
            </w:r>
          </w:p>
        </w:tc>
      </w:tr>
      <w:tr w:rsidR="005E7B5C" w14:paraId="282E80C7" w14:textId="77777777" w:rsidTr="00152590">
        <w:tc>
          <w:tcPr>
            <w:tcW w:w="1418" w:type="dxa"/>
            <w:shd w:val="clear" w:color="auto" w:fill="auto"/>
            <w:tcMar>
              <w:top w:w="100" w:type="dxa"/>
              <w:left w:w="100" w:type="dxa"/>
              <w:bottom w:w="100" w:type="dxa"/>
              <w:right w:w="100" w:type="dxa"/>
            </w:tcMar>
          </w:tcPr>
          <w:p w14:paraId="4973C6F3" w14:textId="77777777" w:rsidR="005E7B5C" w:rsidRDefault="005E7B5C" w:rsidP="003D51B8">
            <w:pPr>
              <w:pStyle w:val="AnnexTableText"/>
            </w:pPr>
            <w:r>
              <w:t>Appropriate-</w:t>
            </w:r>
          </w:p>
          <w:p w14:paraId="79A440A6" w14:textId="77777777" w:rsidR="005E7B5C" w:rsidRDefault="005E7B5C" w:rsidP="003D51B8">
            <w:pPr>
              <w:pStyle w:val="AnnexTableText"/>
            </w:pPr>
            <w:r>
              <w:t>ness</w:t>
            </w:r>
          </w:p>
        </w:tc>
        <w:tc>
          <w:tcPr>
            <w:tcW w:w="2551" w:type="dxa"/>
            <w:shd w:val="clear" w:color="auto" w:fill="auto"/>
            <w:tcMar>
              <w:top w:w="100" w:type="dxa"/>
              <w:left w:w="100" w:type="dxa"/>
              <w:bottom w:w="100" w:type="dxa"/>
              <w:right w:w="100" w:type="dxa"/>
            </w:tcMar>
          </w:tcPr>
          <w:p w14:paraId="2D51217C" w14:textId="77777777" w:rsidR="005E7B5C" w:rsidRDefault="005E7B5C" w:rsidP="003D51B8">
            <w:pPr>
              <w:pStyle w:val="AnnexTableText"/>
            </w:pPr>
            <w:r>
              <w:t>Sub-paragraph (2) of paragraph 28, Schedule 7</w:t>
            </w:r>
          </w:p>
        </w:tc>
        <w:tc>
          <w:tcPr>
            <w:tcW w:w="2694" w:type="dxa"/>
            <w:shd w:val="clear" w:color="auto" w:fill="auto"/>
            <w:tcMar>
              <w:top w:w="100" w:type="dxa"/>
              <w:left w:w="100" w:type="dxa"/>
              <w:bottom w:w="100" w:type="dxa"/>
              <w:right w:w="100" w:type="dxa"/>
            </w:tcMar>
          </w:tcPr>
          <w:p w14:paraId="1C7E4B38" w14:textId="77777777" w:rsidR="005E7B5C" w:rsidRDefault="005E7B5C" w:rsidP="003D51B8">
            <w:pPr>
              <w:pStyle w:val="AnnexTableText"/>
            </w:pPr>
            <w:r>
              <w:t xml:space="preserve">Ministers of the Crown exercising </w:t>
            </w:r>
            <w:r w:rsidR="003A62B8" w:rsidRPr="003A62B8">
              <w:t xml:space="preserve">sections </w:t>
            </w:r>
            <w:r>
              <w:t xml:space="preserve">8(1), </w:t>
            </w:r>
            <w:proofErr w:type="gramStart"/>
            <w:r>
              <w:t>9  and</w:t>
            </w:r>
            <w:proofErr w:type="gramEnd"/>
            <w:r>
              <w:t xml:space="preserve"> 23(1) or jointly exercising powers in Schedule 2</w:t>
            </w:r>
          </w:p>
        </w:tc>
        <w:tc>
          <w:tcPr>
            <w:tcW w:w="3685" w:type="dxa"/>
            <w:shd w:val="clear" w:color="auto" w:fill="auto"/>
            <w:tcMar>
              <w:top w:w="100" w:type="dxa"/>
              <w:left w:w="100" w:type="dxa"/>
              <w:bottom w:w="100" w:type="dxa"/>
              <w:right w:w="100" w:type="dxa"/>
            </w:tcMar>
          </w:tcPr>
          <w:p w14:paraId="34186D86" w14:textId="77777777" w:rsidR="005E7B5C" w:rsidRDefault="005E7B5C" w:rsidP="003D51B8">
            <w:pPr>
              <w:pStyle w:val="AnnexTableText"/>
            </w:pPr>
            <w:r>
              <w:t>A statement that the SI does no more than is appropriate.</w:t>
            </w:r>
          </w:p>
        </w:tc>
      </w:tr>
      <w:tr w:rsidR="005E7B5C" w14:paraId="2967918E" w14:textId="77777777" w:rsidTr="00152590">
        <w:tc>
          <w:tcPr>
            <w:tcW w:w="1418" w:type="dxa"/>
            <w:shd w:val="clear" w:color="auto" w:fill="auto"/>
            <w:tcMar>
              <w:top w:w="100" w:type="dxa"/>
              <w:left w:w="100" w:type="dxa"/>
              <w:bottom w:w="100" w:type="dxa"/>
              <w:right w:w="100" w:type="dxa"/>
            </w:tcMar>
          </w:tcPr>
          <w:p w14:paraId="1B0F16A1" w14:textId="77777777" w:rsidR="005E7B5C" w:rsidRDefault="005E7B5C" w:rsidP="003D51B8">
            <w:pPr>
              <w:pStyle w:val="AnnexTableText"/>
            </w:pPr>
            <w:r>
              <w:t xml:space="preserve">Good Reasons </w:t>
            </w:r>
          </w:p>
        </w:tc>
        <w:tc>
          <w:tcPr>
            <w:tcW w:w="2551" w:type="dxa"/>
            <w:shd w:val="clear" w:color="auto" w:fill="auto"/>
            <w:tcMar>
              <w:top w:w="100" w:type="dxa"/>
              <w:left w:w="100" w:type="dxa"/>
              <w:bottom w:w="100" w:type="dxa"/>
              <w:right w:w="100" w:type="dxa"/>
            </w:tcMar>
          </w:tcPr>
          <w:p w14:paraId="2CE3EB24" w14:textId="77777777" w:rsidR="005E7B5C" w:rsidRDefault="005E7B5C" w:rsidP="003D51B8">
            <w:pPr>
              <w:pStyle w:val="AnnexTableText"/>
            </w:pPr>
            <w:r>
              <w:t>Sub-paragraph (3) of paragraph 28, Schedule 7</w:t>
            </w:r>
          </w:p>
        </w:tc>
        <w:tc>
          <w:tcPr>
            <w:tcW w:w="2694" w:type="dxa"/>
            <w:shd w:val="clear" w:color="auto" w:fill="auto"/>
            <w:tcMar>
              <w:top w:w="100" w:type="dxa"/>
              <w:left w:w="100" w:type="dxa"/>
              <w:bottom w:w="100" w:type="dxa"/>
              <w:right w:w="100" w:type="dxa"/>
            </w:tcMar>
          </w:tcPr>
          <w:p w14:paraId="3EC096F3"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tc>
        <w:tc>
          <w:tcPr>
            <w:tcW w:w="3685" w:type="dxa"/>
            <w:shd w:val="clear" w:color="auto" w:fill="auto"/>
            <w:tcMar>
              <w:top w:w="100" w:type="dxa"/>
              <w:left w:w="100" w:type="dxa"/>
              <w:bottom w:w="100" w:type="dxa"/>
              <w:right w:w="100" w:type="dxa"/>
            </w:tcMar>
          </w:tcPr>
          <w:p w14:paraId="7D6BBE11" w14:textId="77777777" w:rsidR="005E7B5C" w:rsidRDefault="005E7B5C" w:rsidP="003D51B8">
            <w:pPr>
              <w:pStyle w:val="AnnexTableText"/>
            </w:pPr>
            <w:r>
              <w:t>Explain the good reasons for making the instrument and that what is being done is a reasonable course of action.</w:t>
            </w:r>
          </w:p>
        </w:tc>
      </w:tr>
      <w:tr w:rsidR="005E7B5C" w14:paraId="356EB036" w14:textId="77777777" w:rsidTr="00152590">
        <w:tc>
          <w:tcPr>
            <w:tcW w:w="1418" w:type="dxa"/>
            <w:shd w:val="clear" w:color="auto" w:fill="auto"/>
            <w:tcMar>
              <w:top w:w="100" w:type="dxa"/>
              <w:left w:w="100" w:type="dxa"/>
              <w:bottom w:w="100" w:type="dxa"/>
              <w:right w:w="100" w:type="dxa"/>
            </w:tcMar>
          </w:tcPr>
          <w:p w14:paraId="0547C656" w14:textId="77777777" w:rsidR="005E7B5C" w:rsidRDefault="005E7B5C" w:rsidP="003D51B8">
            <w:pPr>
              <w:pStyle w:val="AnnexTableText"/>
            </w:pPr>
            <w:r>
              <w:t>Equalities</w:t>
            </w:r>
          </w:p>
        </w:tc>
        <w:tc>
          <w:tcPr>
            <w:tcW w:w="2551" w:type="dxa"/>
            <w:shd w:val="clear" w:color="auto" w:fill="auto"/>
            <w:tcMar>
              <w:top w:w="100" w:type="dxa"/>
              <w:left w:w="100" w:type="dxa"/>
              <w:bottom w:w="100" w:type="dxa"/>
              <w:right w:w="100" w:type="dxa"/>
            </w:tcMar>
          </w:tcPr>
          <w:p w14:paraId="2D908B3D" w14:textId="77777777" w:rsidR="005E7B5C" w:rsidRDefault="005E7B5C" w:rsidP="003D51B8">
            <w:pPr>
              <w:pStyle w:val="AnnexTableText"/>
            </w:pPr>
            <w:r>
              <w:t>Sub-paragraphs (4) and (5) of paragraph 28, Schedule 7</w:t>
            </w:r>
          </w:p>
        </w:tc>
        <w:tc>
          <w:tcPr>
            <w:tcW w:w="2694" w:type="dxa"/>
            <w:shd w:val="clear" w:color="auto" w:fill="auto"/>
            <w:tcMar>
              <w:top w:w="100" w:type="dxa"/>
              <w:left w:w="100" w:type="dxa"/>
              <w:bottom w:w="100" w:type="dxa"/>
              <w:right w:w="100" w:type="dxa"/>
            </w:tcMar>
          </w:tcPr>
          <w:p w14:paraId="1D3A6D44" w14:textId="77777777" w:rsidR="005E7B5C" w:rsidRDefault="005E7B5C" w:rsidP="003D51B8">
            <w:pPr>
              <w:pStyle w:val="AnnexTableText"/>
            </w:pPr>
            <w:r>
              <w:t xml:space="preserve">Ministers of the Crown exercising </w:t>
            </w:r>
            <w:r w:rsidR="003A62B8" w:rsidRPr="003A62B8">
              <w:t xml:space="preserve">sections </w:t>
            </w:r>
            <w:r>
              <w:t xml:space="preserve">8(1), </w:t>
            </w:r>
            <w:proofErr w:type="gramStart"/>
            <w:r>
              <w:t>9  and</w:t>
            </w:r>
            <w:proofErr w:type="gramEnd"/>
            <w:r>
              <w:t xml:space="preserve"> 23(1) or jointly exercising powers in Schedule 2</w:t>
            </w:r>
          </w:p>
        </w:tc>
        <w:tc>
          <w:tcPr>
            <w:tcW w:w="3685" w:type="dxa"/>
            <w:shd w:val="clear" w:color="auto" w:fill="auto"/>
            <w:tcMar>
              <w:top w:w="100" w:type="dxa"/>
              <w:left w:w="100" w:type="dxa"/>
              <w:bottom w:w="100" w:type="dxa"/>
              <w:right w:w="100" w:type="dxa"/>
            </w:tcMar>
          </w:tcPr>
          <w:p w14:paraId="657E95D4" w14:textId="77777777" w:rsidR="005E7B5C" w:rsidRDefault="005E7B5C" w:rsidP="003D51B8">
            <w:pPr>
              <w:pStyle w:val="AnnexTableText"/>
            </w:pPr>
            <w:r>
              <w:t xml:space="preserve">Explain what, if any, amendment, repeals or revocations are being made to the Equalities Acts 2006 and 2010 and legislation made under them. </w:t>
            </w:r>
          </w:p>
          <w:p w14:paraId="4446D4D6" w14:textId="77777777" w:rsidR="005E7B5C" w:rsidRDefault="005E7B5C" w:rsidP="003D51B8">
            <w:pPr>
              <w:pStyle w:val="AnnexTableText"/>
            </w:pPr>
          </w:p>
          <w:p w14:paraId="6C5FE204" w14:textId="77777777" w:rsidR="005E7B5C" w:rsidRDefault="005E7B5C" w:rsidP="003D51B8">
            <w:pPr>
              <w:pStyle w:val="AnnexTableText"/>
            </w:pPr>
            <w:r>
              <w:t>State that the Minister has had due regard to the need to eliminate discrimination and other conduct prohibited under the Equality Act 2010.</w:t>
            </w:r>
          </w:p>
        </w:tc>
      </w:tr>
      <w:tr w:rsidR="005E7B5C" w14:paraId="368ECF74" w14:textId="77777777" w:rsidTr="00152590">
        <w:tc>
          <w:tcPr>
            <w:tcW w:w="1418" w:type="dxa"/>
            <w:shd w:val="clear" w:color="auto" w:fill="auto"/>
            <w:tcMar>
              <w:top w:w="100" w:type="dxa"/>
              <w:left w:w="100" w:type="dxa"/>
              <w:bottom w:w="100" w:type="dxa"/>
              <w:right w:w="100" w:type="dxa"/>
            </w:tcMar>
          </w:tcPr>
          <w:p w14:paraId="726ACBB9" w14:textId="77777777" w:rsidR="005E7B5C" w:rsidRDefault="005E7B5C" w:rsidP="003D51B8">
            <w:pPr>
              <w:pStyle w:val="AnnexTableText"/>
            </w:pPr>
            <w:r>
              <w:t>Explanations</w:t>
            </w:r>
          </w:p>
        </w:tc>
        <w:tc>
          <w:tcPr>
            <w:tcW w:w="2551" w:type="dxa"/>
            <w:shd w:val="clear" w:color="auto" w:fill="auto"/>
            <w:tcMar>
              <w:top w:w="100" w:type="dxa"/>
              <w:left w:w="100" w:type="dxa"/>
              <w:bottom w:w="100" w:type="dxa"/>
              <w:right w:w="100" w:type="dxa"/>
            </w:tcMar>
          </w:tcPr>
          <w:p w14:paraId="06167CAF" w14:textId="77777777" w:rsidR="005E7B5C" w:rsidRDefault="005E7B5C" w:rsidP="003D51B8">
            <w:pPr>
              <w:pStyle w:val="AnnexTableText"/>
            </w:pPr>
            <w:r>
              <w:t>Sub-paragraph</w:t>
            </w:r>
            <w:r w:rsidR="00621F47">
              <w:t xml:space="preserve"> (6) of paragraph 28, Schedule </w:t>
            </w:r>
            <w:r>
              <w:t>7</w:t>
            </w:r>
          </w:p>
        </w:tc>
        <w:tc>
          <w:tcPr>
            <w:tcW w:w="2694" w:type="dxa"/>
            <w:shd w:val="clear" w:color="auto" w:fill="auto"/>
            <w:tcMar>
              <w:top w:w="100" w:type="dxa"/>
              <w:left w:w="100" w:type="dxa"/>
              <w:bottom w:w="100" w:type="dxa"/>
              <w:right w:w="100" w:type="dxa"/>
            </w:tcMar>
          </w:tcPr>
          <w:p w14:paraId="27B9FE72"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p w14:paraId="25633016" w14:textId="77777777" w:rsidR="00073874" w:rsidRDefault="00073874" w:rsidP="003D51B8">
            <w:pPr>
              <w:pStyle w:val="AnnexTableText"/>
            </w:pPr>
            <w:r>
              <w:t>In addition to the statutory obligation the Government has made a political commitment to include these statements alongside all EUWA SIs</w:t>
            </w:r>
          </w:p>
        </w:tc>
        <w:tc>
          <w:tcPr>
            <w:tcW w:w="3685" w:type="dxa"/>
            <w:shd w:val="clear" w:color="auto" w:fill="auto"/>
            <w:tcMar>
              <w:top w:w="100" w:type="dxa"/>
              <w:left w:w="100" w:type="dxa"/>
              <w:bottom w:w="100" w:type="dxa"/>
              <w:right w:w="100" w:type="dxa"/>
            </w:tcMar>
          </w:tcPr>
          <w:p w14:paraId="69387935" w14:textId="77777777" w:rsidR="005E7B5C" w:rsidRDefault="005E7B5C" w:rsidP="003D51B8">
            <w:pPr>
              <w:pStyle w:val="AnnexTableText"/>
            </w:pPr>
            <w:r>
              <w:t xml:space="preserve">Explain the instrument, identify the relevant law before exit day, explain the instrument’s effect on retained EU </w:t>
            </w:r>
            <w:r w:rsidR="005B2719">
              <w:t xml:space="preserve">law and give information about </w:t>
            </w:r>
            <w:r>
              <w:t xml:space="preserve">the purpose of the instrument, </w:t>
            </w:r>
            <w:r w:rsidR="00FC0AA9">
              <w:t>e.g.</w:t>
            </w:r>
            <w:r>
              <w:t>, whether minor or technical changes only are intended to the EU retained law.</w:t>
            </w:r>
          </w:p>
        </w:tc>
      </w:tr>
      <w:tr w:rsidR="005E7B5C" w14:paraId="56C8FF0B" w14:textId="77777777" w:rsidTr="00152590">
        <w:tc>
          <w:tcPr>
            <w:tcW w:w="1418" w:type="dxa"/>
            <w:shd w:val="clear" w:color="auto" w:fill="auto"/>
            <w:tcMar>
              <w:top w:w="100" w:type="dxa"/>
              <w:left w:w="100" w:type="dxa"/>
              <w:bottom w:w="100" w:type="dxa"/>
              <w:right w:w="100" w:type="dxa"/>
            </w:tcMar>
          </w:tcPr>
          <w:p w14:paraId="1FB96FE2" w14:textId="77777777" w:rsidR="005E7B5C" w:rsidRDefault="005E7B5C" w:rsidP="003D51B8">
            <w:pPr>
              <w:pStyle w:val="AnnexTableText"/>
            </w:pPr>
            <w:r>
              <w:t>Criminal offences</w:t>
            </w:r>
          </w:p>
        </w:tc>
        <w:tc>
          <w:tcPr>
            <w:tcW w:w="2551" w:type="dxa"/>
            <w:shd w:val="clear" w:color="auto" w:fill="auto"/>
            <w:tcMar>
              <w:top w:w="100" w:type="dxa"/>
              <w:left w:w="100" w:type="dxa"/>
              <w:bottom w:w="100" w:type="dxa"/>
              <w:right w:w="100" w:type="dxa"/>
            </w:tcMar>
          </w:tcPr>
          <w:p w14:paraId="2805E34E" w14:textId="77777777" w:rsidR="005E7B5C" w:rsidRDefault="005E7B5C" w:rsidP="003D51B8">
            <w:pPr>
              <w:pStyle w:val="AnnexTableText"/>
            </w:pPr>
            <w:r>
              <w:t>Sub-paragraphs (3) and (7) of paragraph 28, Schedule 7</w:t>
            </w:r>
          </w:p>
        </w:tc>
        <w:tc>
          <w:tcPr>
            <w:tcW w:w="2694" w:type="dxa"/>
            <w:shd w:val="clear" w:color="auto" w:fill="auto"/>
            <w:tcMar>
              <w:top w:w="100" w:type="dxa"/>
              <w:left w:w="100" w:type="dxa"/>
              <w:bottom w:w="100" w:type="dxa"/>
              <w:right w:w="100" w:type="dxa"/>
            </w:tcMar>
          </w:tcPr>
          <w:p w14:paraId="04EDF5A4" w14:textId="77777777" w:rsidR="005E7B5C" w:rsidRDefault="005E7B5C" w:rsidP="003D51B8">
            <w:pPr>
              <w:pStyle w:val="AnnexTableText"/>
            </w:pPr>
            <w:r>
              <w:t xml:space="preserve">Ministers of the Crown exercising </w:t>
            </w:r>
            <w:r w:rsidR="003A62B8" w:rsidRPr="003A62B8">
              <w:t xml:space="preserve">sections </w:t>
            </w:r>
            <w:r>
              <w:t xml:space="preserve">8(1), 9, and </w:t>
            </w:r>
            <w:r>
              <w:lastRenderedPageBreak/>
              <w:t>23(1) or jointly exercising powers in Schedule 2 to create a criminal offence</w:t>
            </w:r>
          </w:p>
        </w:tc>
        <w:tc>
          <w:tcPr>
            <w:tcW w:w="3685" w:type="dxa"/>
            <w:shd w:val="clear" w:color="auto" w:fill="auto"/>
            <w:tcMar>
              <w:top w:w="100" w:type="dxa"/>
              <w:left w:w="100" w:type="dxa"/>
              <w:bottom w:w="100" w:type="dxa"/>
              <w:right w:w="100" w:type="dxa"/>
            </w:tcMar>
          </w:tcPr>
          <w:p w14:paraId="37F540F0" w14:textId="77777777" w:rsidR="005E7B5C" w:rsidRDefault="005E7B5C" w:rsidP="003D51B8">
            <w:pPr>
              <w:pStyle w:val="AnnexTableText"/>
            </w:pPr>
            <w:r>
              <w:lastRenderedPageBreak/>
              <w:t xml:space="preserve">Set </w:t>
            </w:r>
            <w:r w:rsidR="00BE61FA">
              <w:t>out the</w:t>
            </w:r>
            <w:r>
              <w:t xml:space="preserve"> ‘good reasons’ for creating a criminal offence, and the penalty attached.</w:t>
            </w:r>
          </w:p>
        </w:tc>
      </w:tr>
      <w:tr w:rsidR="005E7B5C" w14:paraId="0FC68D24" w14:textId="77777777" w:rsidTr="00152590">
        <w:tc>
          <w:tcPr>
            <w:tcW w:w="1418" w:type="dxa"/>
            <w:shd w:val="clear" w:color="auto" w:fill="auto"/>
            <w:tcMar>
              <w:top w:w="100" w:type="dxa"/>
              <w:left w:w="100" w:type="dxa"/>
              <w:bottom w:w="100" w:type="dxa"/>
              <w:right w:w="100" w:type="dxa"/>
            </w:tcMar>
          </w:tcPr>
          <w:p w14:paraId="77ED2A40" w14:textId="77777777" w:rsidR="005E7B5C" w:rsidRDefault="005E7B5C" w:rsidP="003D51B8">
            <w:pPr>
              <w:pStyle w:val="AnnexTableText"/>
            </w:pPr>
            <w:r>
              <w:t>Sub-</w:t>
            </w:r>
          </w:p>
          <w:p w14:paraId="607AD09C" w14:textId="77777777" w:rsidR="005E7B5C" w:rsidRDefault="005E7B5C" w:rsidP="003D51B8">
            <w:pPr>
              <w:pStyle w:val="AnnexTableText"/>
            </w:pPr>
            <w:r>
              <w:t>delegation</w:t>
            </w:r>
          </w:p>
        </w:tc>
        <w:tc>
          <w:tcPr>
            <w:tcW w:w="2551" w:type="dxa"/>
            <w:shd w:val="clear" w:color="auto" w:fill="auto"/>
            <w:tcMar>
              <w:top w:w="100" w:type="dxa"/>
              <w:left w:w="100" w:type="dxa"/>
              <w:bottom w:w="100" w:type="dxa"/>
              <w:right w:w="100" w:type="dxa"/>
            </w:tcMar>
          </w:tcPr>
          <w:p w14:paraId="62A1D825" w14:textId="77777777" w:rsidR="005E7B5C" w:rsidRDefault="005E7B5C" w:rsidP="003D51B8">
            <w:pPr>
              <w:pStyle w:val="AnnexTableText"/>
            </w:pPr>
            <w:r>
              <w:t>Paragraph 30, Schedule 7</w:t>
            </w:r>
          </w:p>
        </w:tc>
        <w:tc>
          <w:tcPr>
            <w:tcW w:w="2694" w:type="dxa"/>
            <w:shd w:val="clear" w:color="auto" w:fill="auto"/>
            <w:tcMar>
              <w:top w:w="100" w:type="dxa"/>
              <w:left w:w="100" w:type="dxa"/>
              <w:bottom w:w="100" w:type="dxa"/>
              <w:right w:w="100" w:type="dxa"/>
            </w:tcMar>
          </w:tcPr>
          <w:p w14:paraId="75EDFDB9" w14:textId="77777777" w:rsidR="005E7B5C" w:rsidRDefault="005E7B5C" w:rsidP="003D51B8">
            <w:pPr>
              <w:pStyle w:val="AnnexTableText"/>
            </w:pPr>
            <w:r>
              <w:t xml:space="preserve">Ministers of the Crown exercising </w:t>
            </w:r>
            <w:r w:rsidR="003A62B8" w:rsidRPr="003A62B8">
              <w:t xml:space="preserve">sections </w:t>
            </w:r>
            <w:r>
              <w:t>10(1), 12 and part 1 of Schedule 4 to create a legislative power exercisable not by a Minister of the Crown or a Devolved Authority by Statutory Instrument.</w:t>
            </w:r>
          </w:p>
        </w:tc>
        <w:tc>
          <w:tcPr>
            <w:tcW w:w="3685" w:type="dxa"/>
            <w:shd w:val="clear" w:color="auto" w:fill="auto"/>
            <w:tcMar>
              <w:top w:w="100" w:type="dxa"/>
              <w:left w:w="100" w:type="dxa"/>
              <w:bottom w:w="100" w:type="dxa"/>
              <w:right w:w="100" w:type="dxa"/>
            </w:tcMar>
          </w:tcPr>
          <w:p w14:paraId="462B8CD4" w14:textId="77777777" w:rsidR="005E7B5C" w:rsidRDefault="005E7B5C" w:rsidP="00DB0CAB">
            <w:pPr>
              <w:pStyle w:val="AnnexTableText"/>
            </w:pPr>
            <w:r>
              <w:t>State why it is appropriate to create such a sub-delegated power.</w:t>
            </w:r>
          </w:p>
        </w:tc>
      </w:tr>
      <w:tr w:rsidR="005E7B5C" w14:paraId="57A64AEC" w14:textId="77777777" w:rsidTr="00152590">
        <w:tc>
          <w:tcPr>
            <w:tcW w:w="1418" w:type="dxa"/>
            <w:shd w:val="clear" w:color="auto" w:fill="auto"/>
            <w:tcMar>
              <w:top w:w="100" w:type="dxa"/>
              <w:left w:w="100" w:type="dxa"/>
              <w:bottom w:w="100" w:type="dxa"/>
              <w:right w:w="100" w:type="dxa"/>
            </w:tcMar>
          </w:tcPr>
          <w:p w14:paraId="4F2155AD" w14:textId="77777777" w:rsidR="005E7B5C" w:rsidRDefault="005E7B5C" w:rsidP="003D51B8">
            <w:pPr>
              <w:pStyle w:val="AnnexTableText"/>
            </w:pPr>
            <w:r>
              <w:t>Urgency</w:t>
            </w:r>
          </w:p>
        </w:tc>
        <w:tc>
          <w:tcPr>
            <w:tcW w:w="2551" w:type="dxa"/>
            <w:shd w:val="clear" w:color="auto" w:fill="auto"/>
            <w:tcMar>
              <w:top w:w="100" w:type="dxa"/>
              <w:left w:w="100" w:type="dxa"/>
              <w:bottom w:w="100" w:type="dxa"/>
              <w:right w:w="100" w:type="dxa"/>
            </w:tcMar>
          </w:tcPr>
          <w:p w14:paraId="4CE09F25" w14:textId="77777777" w:rsidR="005E7B5C" w:rsidRDefault="005E7B5C" w:rsidP="003D51B8">
            <w:pPr>
              <w:pStyle w:val="AnnexTableText"/>
            </w:pPr>
            <w:r>
              <w:t>Paragraph 34, Schedule 7</w:t>
            </w:r>
          </w:p>
        </w:tc>
        <w:tc>
          <w:tcPr>
            <w:tcW w:w="2694" w:type="dxa"/>
            <w:shd w:val="clear" w:color="auto" w:fill="auto"/>
            <w:tcMar>
              <w:top w:w="100" w:type="dxa"/>
              <w:left w:w="100" w:type="dxa"/>
              <w:bottom w:w="100" w:type="dxa"/>
              <w:right w:w="100" w:type="dxa"/>
            </w:tcMar>
          </w:tcPr>
          <w:p w14:paraId="60462B5A" w14:textId="77777777" w:rsidR="005E7B5C" w:rsidRDefault="005E7B5C" w:rsidP="003D51B8">
            <w:pPr>
              <w:pStyle w:val="AnnexTableText"/>
            </w:pPr>
            <w:r>
              <w:t>Ministers of the Crown using the urgent procedure in para</w:t>
            </w:r>
            <w:r w:rsidR="008676E5">
              <w:t>graphs</w:t>
            </w:r>
            <w:r>
              <w:t xml:space="preserve"> 4 or 14</w:t>
            </w:r>
            <w:r w:rsidR="005B2719">
              <w:t>,</w:t>
            </w:r>
            <w:r>
              <w:t xml:space="preserve"> Sch</w:t>
            </w:r>
            <w:r w:rsidR="000A7F37">
              <w:t>edule</w:t>
            </w:r>
            <w:r>
              <w:t xml:space="preserve"> 7.</w:t>
            </w:r>
          </w:p>
        </w:tc>
        <w:tc>
          <w:tcPr>
            <w:tcW w:w="3685" w:type="dxa"/>
            <w:shd w:val="clear" w:color="auto" w:fill="auto"/>
            <w:tcMar>
              <w:top w:w="100" w:type="dxa"/>
              <w:left w:w="100" w:type="dxa"/>
              <w:bottom w:w="100" w:type="dxa"/>
              <w:right w:w="100" w:type="dxa"/>
            </w:tcMar>
          </w:tcPr>
          <w:p w14:paraId="7EF9FE86" w14:textId="77777777" w:rsidR="005E7B5C" w:rsidRDefault="005E7B5C" w:rsidP="003D51B8">
            <w:pPr>
              <w:pStyle w:val="AnnexTableText"/>
            </w:pPr>
            <w:r>
              <w:t>Statement of the reasons for the Minister’s opinion that the SI is urgent.</w:t>
            </w:r>
          </w:p>
        </w:tc>
      </w:tr>
      <w:tr w:rsidR="005E7B5C" w14:paraId="24E6F3C5" w14:textId="77777777" w:rsidTr="00152590">
        <w:tc>
          <w:tcPr>
            <w:tcW w:w="1418" w:type="dxa"/>
            <w:shd w:val="clear" w:color="auto" w:fill="auto"/>
            <w:tcMar>
              <w:top w:w="100" w:type="dxa"/>
              <w:left w:w="100" w:type="dxa"/>
              <w:bottom w:w="100" w:type="dxa"/>
              <w:right w:w="100" w:type="dxa"/>
            </w:tcMar>
          </w:tcPr>
          <w:p w14:paraId="21951D79" w14:textId="77777777" w:rsidR="005E7B5C" w:rsidRDefault="005E7B5C" w:rsidP="003D51B8">
            <w:pPr>
              <w:pStyle w:val="AnnexTableText"/>
            </w:pPr>
            <w:r>
              <w:t>Explanations wh</w:t>
            </w:r>
            <w:r w:rsidR="005B2719">
              <w:t xml:space="preserve">ere amending regulations under </w:t>
            </w:r>
            <w:r>
              <w:t>2(2) ECA 1972</w:t>
            </w:r>
          </w:p>
        </w:tc>
        <w:tc>
          <w:tcPr>
            <w:tcW w:w="2551" w:type="dxa"/>
            <w:shd w:val="clear" w:color="auto" w:fill="auto"/>
            <w:tcMar>
              <w:top w:w="100" w:type="dxa"/>
              <w:left w:w="100" w:type="dxa"/>
              <w:bottom w:w="100" w:type="dxa"/>
              <w:right w:w="100" w:type="dxa"/>
            </w:tcMar>
          </w:tcPr>
          <w:p w14:paraId="70986759" w14:textId="77777777" w:rsidR="005E7B5C" w:rsidRDefault="005E7B5C" w:rsidP="003D51B8">
            <w:pPr>
              <w:pStyle w:val="AnnexTableText"/>
            </w:pPr>
            <w:r>
              <w:t>Paragraph 13, Schedule 8</w:t>
            </w:r>
          </w:p>
        </w:tc>
        <w:tc>
          <w:tcPr>
            <w:tcW w:w="2694" w:type="dxa"/>
            <w:shd w:val="clear" w:color="auto" w:fill="auto"/>
            <w:tcMar>
              <w:top w:w="100" w:type="dxa"/>
              <w:left w:w="100" w:type="dxa"/>
              <w:bottom w:w="100" w:type="dxa"/>
              <w:right w:w="100" w:type="dxa"/>
            </w:tcMar>
          </w:tcPr>
          <w:p w14:paraId="21C1AA9C" w14:textId="77777777" w:rsidR="005E7B5C" w:rsidRDefault="005E7B5C" w:rsidP="003D51B8">
            <w:pPr>
              <w:pStyle w:val="AnnexTableText"/>
            </w:pPr>
            <w:r>
              <w:t>Anybody making an SI after exit day under powers outside the European Union (Withdrawal) Act 2018 which modifies subor</w:t>
            </w:r>
            <w:r w:rsidR="000A7F37">
              <w:t>dinate legislation made under s</w:t>
            </w:r>
            <w:r w:rsidR="00BE61FA">
              <w:t>.</w:t>
            </w:r>
            <w:r w:rsidR="000A7F37">
              <w:t xml:space="preserve"> </w:t>
            </w:r>
            <w:r>
              <w:t>2(2) ECA</w:t>
            </w:r>
          </w:p>
        </w:tc>
        <w:tc>
          <w:tcPr>
            <w:tcW w:w="3685" w:type="dxa"/>
            <w:shd w:val="clear" w:color="auto" w:fill="auto"/>
            <w:tcMar>
              <w:top w:w="100" w:type="dxa"/>
              <w:left w:w="100" w:type="dxa"/>
              <w:bottom w:w="100" w:type="dxa"/>
              <w:right w:w="100" w:type="dxa"/>
            </w:tcMar>
          </w:tcPr>
          <w:p w14:paraId="1DBADE18" w14:textId="77777777" w:rsidR="005E7B5C" w:rsidRDefault="005E7B5C" w:rsidP="003D51B8">
            <w:pPr>
              <w:pStyle w:val="AnnexTableText"/>
            </w:pPr>
            <w:r>
              <w:t>Statement explaining the good reasons for modifying the instrument made under s.</w:t>
            </w:r>
            <w:r w:rsidR="00BE61FA">
              <w:t xml:space="preserve"> </w:t>
            </w:r>
            <w:r>
              <w:t>2(2) ECA, identifying the relevant law before exit day, and explaining the instrument’s effect on retained EU law.</w:t>
            </w:r>
          </w:p>
        </w:tc>
      </w:tr>
      <w:tr w:rsidR="005E7B5C" w14:paraId="7A286478" w14:textId="77777777" w:rsidTr="00152590">
        <w:tc>
          <w:tcPr>
            <w:tcW w:w="1418" w:type="dxa"/>
            <w:shd w:val="clear" w:color="auto" w:fill="auto"/>
            <w:tcMar>
              <w:top w:w="100" w:type="dxa"/>
              <w:left w:w="100" w:type="dxa"/>
              <w:bottom w:w="100" w:type="dxa"/>
              <w:right w:w="100" w:type="dxa"/>
            </w:tcMar>
          </w:tcPr>
          <w:p w14:paraId="4B22971F" w14:textId="77777777" w:rsidR="005E7B5C" w:rsidRDefault="005E7B5C" w:rsidP="003D51B8">
            <w:pPr>
              <w:pStyle w:val="AnnexTableText"/>
            </w:pPr>
            <w:r>
              <w:t>Scrutiny statement where amending regulations u</w:t>
            </w:r>
            <w:r w:rsidR="005B2719">
              <w:t xml:space="preserve">nder </w:t>
            </w:r>
            <w:r>
              <w:t>2(2) ECA 1972</w:t>
            </w:r>
          </w:p>
        </w:tc>
        <w:tc>
          <w:tcPr>
            <w:tcW w:w="2551" w:type="dxa"/>
            <w:shd w:val="clear" w:color="auto" w:fill="auto"/>
            <w:tcMar>
              <w:top w:w="100" w:type="dxa"/>
              <w:left w:w="100" w:type="dxa"/>
              <w:bottom w:w="100" w:type="dxa"/>
              <w:right w:w="100" w:type="dxa"/>
            </w:tcMar>
          </w:tcPr>
          <w:p w14:paraId="090C4FD7" w14:textId="77777777" w:rsidR="005E7B5C" w:rsidRDefault="005E7B5C" w:rsidP="003D51B8">
            <w:pPr>
              <w:pStyle w:val="AnnexTableText"/>
            </w:pPr>
            <w:r>
              <w:t>Paragraph 16, Schedule 8</w:t>
            </w:r>
          </w:p>
        </w:tc>
        <w:tc>
          <w:tcPr>
            <w:tcW w:w="2694" w:type="dxa"/>
            <w:shd w:val="clear" w:color="auto" w:fill="auto"/>
            <w:tcMar>
              <w:top w:w="100" w:type="dxa"/>
              <w:left w:w="100" w:type="dxa"/>
              <w:bottom w:w="100" w:type="dxa"/>
              <w:right w:w="100" w:type="dxa"/>
            </w:tcMar>
          </w:tcPr>
          <w:p w14:paraId="385F9AD6" w14:textId="77777777" w:rsidR="005E7B5C" w:rsidRDefault="005E7B5C" w:rsidP="003D51B8">
            <w:pPr>
              <w:pStyle w:val="AnnexTableText"/>
            </w:pPr>
            <w:r>
              <w:t>Anybody making an SI after exit day under powers outside the European Union (Withdrawal) Act 2018 which modifies subordinate legislation made under s.</w:t>
            </w:r>
            <w:r w:rsidR="003A5FFB">
              <w:t xml:space="preserve"> </w:t>
            </w:r>
            <w:r>
              <w:t>2(2) ECA</w:t>
            </w:r>
          </w:p>
        </w:tc>
        <w:tc>
          <w:tcPr>
            <w:tcW w:w="3685" w:type="dxa"/>
            <w:shd w:val="clear" w:color="auto" w:fill="auto"/>
            <w:tcMar>
              <w:top w:w="100" w:type="dxa"/>
              <w:left w:w="100" w:type="dxa"/>
              <w:bottom w:w="100" w:type="dxa"/>
              <w:right w:w="100" w:type="dxa"/>
            </w:tcMar>
          </w:tcPr>
          <w:p w14:paraId="46C3D244" w14:textId="77777777" w:rsidR="005E7B5C" w:rsidRDefault="005E7B5C" w:rsidP="003D51B8">
            <w:pPr>
              <w:pStyle w:val="AnnexTableText"/>
            </w:pPr>
            <w:r>
              <w:t>Statement setting out:</w:t>
            </w:r>
          </w:p>
          <w:p w14:paraId="61666254" w14:textId="77777777" w:rsidR="005E7B5C" w:rsidRDefault="005E7B5C" w:rsidP="003D51B8">
            <w:pPr>
              <w:pStyle w:val="AnnexTableText"/>
            </w:pPr>
            <w:r>
              <w:t xml:space="preserve">a) the steps which the relevant authority has taken to make the draft instrument published in accordance with paragraph 16(2), Schedule 8 available to each House of Parliament, </w:t>
            </w:r>
          </w:p>
          <w:p w14:paraId="2FD71260" w14:textId="77777777" w:rsidR="005E7B5C" w:rsidRDefault="005E7B5C" w:rsidP="003D51B8">
            <w:pPr>
              <w:pStyle w:val="AnnexTableText"/>
            </w:pPr>
            <w:r>
              <w:t xml:space="preserve">b) containing information about the relevant authority’s response to— </w:t>
            </w:r>
          </w:p>
          <w:p w14:paraId="68E8A8E4" w14:textId="77777777" w:rsidR="005E7B5C" w:rsidRDefault="005E7B5C" w:rsidP="003D51B8">
            <w:pPr>
              <w:pStyle w:val="AnnexTableText"/>
            </w:pPr>
            <w:r>
              <w:t xml:space="preserve">(i) any recommendations made by a committee of either House of Parliament about the published draft instrument, and </w:t>
            </w:r>
          </w:p>
          <w:p w14:paraId="40A41FA0" w14:textId="77777777" w:rsidR="005E7B5C" w:rsidRDefault="005E7B5C" w:rsidP="003D51B8">
            <w:pPr>
              <w:pStyle w:val="AnnexTableText"/>
            </w:pPr>
            <w:r>
              <w:t>(ii) any other representations made to the relevant authority about the published draft instrument, and,</w:t>
            </w:r>
          </w:p>
          <w:p w14:paraId="735E0D12" w14:textId="77777777" w:rsidR="005E7B5C" w:rsidRDefault="005E7B5C" w:rsidP="003D51B8">
            <w:pPr>
              <w:pStyle w:val="AnnexTableText"/>
            </w:pPr>
            <w:r>
              <w:t>c) containing any other information that the relevant authority considers appropriate in relation to the scrutiny of the instrument or draft instrument which is to be laid.</w:t>
            </w:r>
          </w:p>
        </w:tc>
      </w:tr>
    </w:tbl>
    <w:p w14:paraId="7AA35663" w14:textId="77777777" w:rsidR="005E7B5C" w:rsidRDefault="003D51B8" w:rsidP="003D51B8">
      <w:pPr>
        <w:pStyle w:val="AnnexPartHeading"/>
      </w:pPr>
      <w:r>
        <w:br w:type="page"/>
      </w:r>
      <w:r w:rsidR="005E7B5C">
        <w:lastRenderedPageBreak/>
        <w:t>Part 2</w:t>
      </w:r>
    </w:p>
    <w:p w14:paraId="67360B79" w14:textId="77777777" w:rsidR="005E7B5C" w:rsidRDefault="005E7B5C" w:rsidP="003D51B8">
      <w:pPr>
        <w:pStyle w:val="AnnexPartTitle"/>
      </w:pPr>
      <w:r>
        <w:t>Statements required when using enabling powers</w:t>
      </w:r>
    </w:p>
    <w:p w14:paraId="1F63165F" w14:textId="77777777" w:rsidR="005E7B5C" w:rsidRDefault="005E7B5C" w:rsidP="003D51B8">
      <w:pPr>
        <w:pStyle w:val="AnnexPartTitle"/>
      </w:pPr>
      <w:r>
        <w:t xml:space="preserve"> under the European Union (Withdrawal) 2018 Act</w:t>
      </w:r>
    </w:p>
    <w:p w14:paraId="375E0631" w14:textId="77777777" w:rsidR="008F73C2" w:rsidRDefault="005E7B5C" w:rsidP="005C3B4D">
      <w:pPr>
        <w:pStyle w:val="EMSectionTitle"/>
        <w:numPr>
          <w:ilvl w:val="0"/>
          <w:numId w:val="30"/>
        </w:numPr>
      </w:pPr>
      <w:bookmarkStart w:id="2" w:name="_GoBack"/>
      <w:bookmarkEnd w:id="2"/>
      <w:r w:rsidRPr="003D51B8">
        <w:t xml:space="preserve">Sifting </w:t>
      </w:r>
      <w:r w:rsidRPr="00CD4FDB">
        <w:t>statement</w:t>
      </w:r>
      <w:r w:rsidRPr="003D51B8">
        <w:t>(s)</w:t>
      </w:r>
    </w:p>
    <w:p w14:paraId="2D204AD0" w14:textId="77777777" w:rsidR="005E7B5C" w:rsidRPr="008F73C2" w:rsidRDefault="005E7B5C" w:rsidP="00CA3A31">
      <w:pPr>
        <w:pStyle w:val="EMLevel1Paragraph"/>
      </w:pPr>
      <w:r w:rsidRPr="008F73C2">
        <w:t xml:space="preserve">The </w:t>
      </w:r>
      <w:r w:rsidR="001B0CFA" w:rsidRPr="008F73C2">
        <w:t xml:space="preserve">Minister </w:t>
      </w:r>
      <w:r w:rsidR="00720FE4" w:rsidRPr="008F73C2">
        <w:t>for Small Business, Consumers and Corporate Responsibility, Kelly Tolhurst,</w:t>
      </w:r>
      <w:r w:rsidRPr="008F73C2">
        <w:t xml:space="preserve"> has made the following statement regarding use of legislative powers in the European Union (Withdrawal) Act 2018:</w:t>
      </w:r>
    </w:p>
    <w:p w14:paraId="4AE2CC34" w14:textId="77777777" w:rsidR="00621F47" w:rsidRDefault="00D45931" w:rsidP="00F11BAE">
      <w:pPr>
        <w:pStyle w:val="EMParagraphContinuationUnnumbered"/>
      </w:pPr>
      <w:r>
        <w:t xml:space="preserve"> </w:t>
      </w:r>
      <w:r w:rsidR="005E7B5C">
        <w:t xml:space="preserve">“In my view the </w:t>
      </w:r>
      <w:r>
        <w:t>Consumer Protection</w:t>
      </w:r>
      <w:r w:rsidR="00E93F43">
        <w:t xml:space="preserve"> (Amendment etc.) (EU exit)</w:t>
      </w:r>
      <w:r w:rsidR="007A771A">
        <w:t xml:space="preserve"> Regulations 2018 </w:t>
      </w:r>
      <w:r w:rsidR="005E7B5C">
        <w:t xml:space="preserve">should be subject to annulment in pursuance of a resolution of either House of Parliament (i.e. the negative procedure)”. </w:t>
      </w:r>
    </w:p>
    <w:p w14:paraId="79C0BB08" w14:textId="77777777" w:rsidR="00B9721C" w:rsidRDefault="008421D1" w:rsidP="00CA3A31">
      <w:pPr>
        <w:pStyle w:val="EMLevel1Paragraph"/>
        <w:numPr>
          <w:ilvl w:val="1"/>
          <w:numId w:val="0"/>
        </w:numPr>
        <w:ind w:left="709" w:hanging="709"/>
      </w:pPr>
      <w:r w:rsidRPr="00A3284C">
        <w:t xml:space="preserve">1.2 </w:t>
      </w:r>
      <w:r>
        <w:tab/>
      </w:r>
      <w:r w:rsidR="005E7B5C" w:rsidRPr="00A3284C">
        <w:t>This is the case because</w:t>
      </w:r>
      <w:r w:rsidR="007A771A" w:rsidRPr="00A3284C">
        <w:t xml:space="preserve"> this instrument </w:t>
      </w:r>
      <w:r w:rsidR="00A66125">
        <w:t>mainly seeks to ensure legislation continues to be effective and does</w:t>
      </w:r>
      <w:r w:rsidR="00067D82">
        <w:t xml:space="preserve"> not </w:t>
      </w:r>
      <w:r w:rsidR="00D10FB0">
        <w:t>amount to a substantive</w:t>
      </w:r>
      <w:r w:rsidR="007538E1" w:rsidRPr="00A3284C">
        <w:t xml:space="preserve"> policy change in relation </w:t>
      </w:r>
      <w:r w:rsidR="00731586" w:rsidRPr="00A3284C">
        <w:t xml:space="preserve">to </w:t>
      </w:r>
      <w:r w:rsidR="5D29E7E6" w:rsidRPr="00A3284C">
        <w:t>c</w:t>
      </w:r>
      <w:r w:rsidR="00731586" w:rsidRPr="00A3284C">
        <w:t>onsumer protection</w:t>
      </w:r>
      <w:r w:rsidR="00C24772">
        <w:t>.</w:t>
      </w:r>
      <w:r w:rsidR="00731586" w:rsidRPr="00A3284C">
        <w:t xml:space="preserve"> </w:t>
      </w:r>
      <w:r w:rsidR="008E4510">
        <w:t xml:space="preserve"> It amends </w:t>
      </w:r>
      <w:r w:rsidR="004773B8" w:rsidRPr="00977E03">
        <w:t xml:space="preserve">consumer protection legislation </w:t>
      </w:r>
      <w:r w:rsidR="008E4510">
        <w:t xml:space="preserve">as </w:t>
      </w:r>
      <w:r w:rsidR="009B2BDD">
        <w:t xml:space="preserve">necessary to retain effective </w:t>
      </w:r>
      <w:r w:rsidR="008E4510">
        <w:t xml:space="preserve">and appropriate </w:t>
      </w:r>
      <w:r w:rsidR="009B2BDD">
        <w:t xml:space="preserve">operation </w:t>
      </w:r>
      <w:r w:rsidR="00C33126">
        <w:t xml:space="preserve">after exit day </w:t>
      </w:r>
      <w:r w:rsidR="008E4510">
        <w:t xml:space="preserve">and </w:t>
      </w:r>
      <w:r w:rsidR="004773B8" w:rsidRPr="00977E03">
        <w:t>revoke</w:t>
      </w:r>
      <w:r w:rsidR="00C33126">
        <w:t>s</w:t>
      </w:r>
      <w:r w:rsidR="004773B8" w:rsidRPr="00977E03">
        <w:t xml:space="preserve"> the EU Regulation on Online Dispute</w:t>
      </w:r>
      <w:r w:rsidR="004773B8" w:rsidRPr="00DA2EC8">
        <w:t xml:space="preserve"> Resolution (ODR)</w:t>
      </w:r>
      <w:r w:rsidR="00E65325">
        <w:t xml:space="preserve"> </w:t>
      </w:r>
      <w:r w:rsidR="00C33126">
        <w:t xml:space="preserve">to </w:t>
      </w:r>
      <w:r w:rsidR="00E65325">
        <w:t xml:space="preserve">which </w:t>
      </w:r>
      <w:r w:rsidR="008E4510">
        <w:t xml:space="preserve">UK </w:t>
      </w:r>
      <w:r w:rsidR="00C33126">
        <w:t xml:space="preserve">consumers </w:t>
      </w:r>
      <w:r w:rsidR="004D4896">
        <w:t xml:space="preserve">will </w:t>
      </w:r>
      <w:r w:rsidR="00E65325">
        <w:t xml:space="preserve">no longer </w:t>
      </w:r>
      <w:r w:rsidR="004D4896">
        <w:t>have access</w:t>
      </w:r>
      <w:r w:rsidR="004773B8" w:rsidRPr="00DA2EC8">
        <w:t>.</w:t>
      </w:r>
      <w:r w:rsidR="004773B8">
        <w:t xml:space="preserve"> </w:t>
      </w:r>
      <w:r w:rsidR="00E45CBD">
        <w:t>It</w:t>
      </w:r>
      <w:r w:rsidR="004773B8">
        <w:t xml:space="preserve"> also </w:t>
      </w:r>
      <w:r w:rsidR="004773B8" w:rsidRPr="0017452C">
        <w:t>make</w:t>
      </w:r>
      <w:r w:rsidR="00E45CBD">
        <w:t>s</w:t>
      </w:r>
      <w:r w:rsidR="004773B8" w:rsidRPr="0017452C">
        <w:t xml:space="preserve"> consequential amendments to EU derived consumer protection legislation to omit or replace references to </w:t>
      </w:r>
      <w:r w:rsidR="004D4896">
        <w:t xml:space="preserve">the </w:t>
      </w:r>
      <w:r w:rsidR="007743F6">
        <w:t xml:space="preserve">European Commission, the </w:t>
      </w:r>
      <w:r w:rsidR="004D4896">
        <w:t xml:space="preserve">EEA, </w:t>
      </w:r>
      <w:r w:rsidR="004773B8" w:rsidRPr="0017452C">
        <w:t>EU currency</w:t>
      </w:r>
      <w:r w:rsidR="003D42C3">
        <w:t xml:space="preserve"> and </w:t>
      </w:r>
      <w:r w:rsidR="004773B8">
        <w:t>M</w:t>
      </w:r>
      <w:r w:rsidR="004773B8" w:rsidRPr="0017452C">
        <w:t xml:space="preserve">ember </w:t>
      </w:r>
      <w:r w:rsidR="004773B8">
        <w:t>S</w:t>
      </w:r>
      <w:r w:rsidR="004773B8" w:rsidRPr="0017452C">
        <w:t xml:space="preserve">tates, where the references are no longer relevant post </w:t>
      </w:r>
      <w:r w:rsidR="004773B8">
        <w:t>EU E</w:t>
      </w:r>
      <w:r w:rsidR="004773B8" w:rsidRPr="0017452C">
        <w:t>xit.</w:t>
      </w:r>
      <w:r w:rsidR="00311894">
        <w:t xml:space="preserve"> </w:t>
      </w:r>
    </w:p>
    <w:p w14:paraId="71D4216E" w14:textId="77777777" w:rsidR="00B9721C" w:rsidRPr="00CA3A31" w:rsidRDefault="00B9721C" w:rsidP="00B9721C">
      <w:pPr>
        <w:pStyle w:val="EMSectionTitle"/>
      </w:pPr>
      <w:r w:rsidRPr="00CA3A31">
        <w:t>Appropriateness statement</w:t>
      </w:r>
    </w:p>
    <w:p w14:paraId="72137F28" w14:textId="77777777" w:rsidR="005E7B5C" w:rsidRPr="002C0067" w:rsidRDefault="002C0067" w:rsidP="006E3F19">
      <w:pPr>
        <w:pStyle w:val="EMLevel1Paragraph"/>
        <w:numPr>
          <w:ilvl w:val="1"/>
          <w:numId w:val="1"/>
        </w:numPr>
        <w:ind w:left="720" w:hanging="720"/>
      </w:pPr>
      <w:bookmarkStart w:id="3" w:name="_Hlk522701200"/>
      <w:r w:rsidRPr="002C0067">
        <w:t>T</w:t>
      </w:r>
      <w:r w:rsidR="005E7B5C" w:rsidRPr="002C0067">
        <w:t xml:space="preserve">he </w:t>
      </w:r>
      <w:r w:rsidR="00C33613" w:rsidRPr="002C0067">
        <w:t xml:space="preserve">Minister for </w:t>
      </w:r>
      <w:r w:rsidR="00185DCD" w:rsidRPr="002C0067">
        <w:t>Small Business, Consumers and Corporate Responsibil</w:t>
      </w:r>
      <w:r w:rsidR="007F13AC" w:rsidRPr="002C0067">
        <w:t>i</w:t>
      </w:r>
      <w:r w:rsidR="00185DCD" w:rsidRPr="002C0067">
        <w:t>ty, Kelly</w:t>
      </w:r>
      <w:r w:rsidR="006E3F19">
        <w:t xml:space="preserve"> </w:t>
      </w:r>
      <w:r w:rsidR="00185DCD" w:rsidRPr="002C0067">
        <w:t>Tolhurst</w:t>
      </w:r>
      <w:bookmarkEnd w:id="3"/>
      <w:r w:rsidR="00185DCD" w:rsidRPr="002C0067">
        <w:t xml:space="preserve">, </w:t>
      </w:r>
      <w:r w:rsidR="005E7B5C" w:rsidRPr="002C0067">
        <w:t>has made the following statement regarding use of legislative powers in the</w:t>
      </w:r>
      <w:r w:rsidR="006E3F19">
        <w:t xml:space="preserve"> </w:t>
      </w:r>
      <w:r w:rsidR="005E7B5C" w:rsidRPr="002C0067">
        <w:t>European Union (Withdrawal) Act 2018:</w:t>
      </w:r>
    </w:p>
    <w:p w14:paraId="710207A8" w14:textId="77777777" w:rsidR="00D73525" w:rsidRPr="00D73525" w:rsidRDefault="005E7B5C" w:rsidP="006E3F19">
      <w:pPr>
        <w:pStyle w:val="EMLevel1Paragraph"/>
        <w:numPr>
          <w:ilvl w:val="0"/>
          <w:numId w:val="0"/>
        </w:numPr>
        <w:ind w:left="720"/>
      </w:pPr>
      <w:r>
        <w:t>“In my</w:t>
      </w:r>
      <w:r w:rsidR="004B3477">
        <w:t xml:space="preserve"> </w:t>
      </w:r>
      <w:r>
        <w:t xml:space="preserve">view the </w:t>
      </w:r>
      <w:r w:rsidR="007F13AC">
        <w:t xml:space="preserve">Consumer </w:t>
      </w:r>
      <w:r w:rsidR="00F74E64">
        <w:t>Protection (Amendment etc.) (EU Exit) Regulations</w:t>
      </w:r>
      <w:r w:rsidR="00E472A7">
        <w:t xml:space="preserve"> 2018 </w:t>
      </w:r>
      <w:r>
        <w:t xml:space="preserve">does no more than is appropriate”. </w:t>
      </w:r>
    </w:p>
    <w:p w14:paraId="75ECA80C" w14:textId="77777777" w:rsidR="009C6B73" w:rsidRDefault="005E7B5C" w:rsidP="003E5D32">
      <w:pPr>
        <w:pStyle w:val="EMLevel1Paragraph"/>
      </w:pPr>
      <w:r w:rsidRPr="003E5D32">
        <w:t>This is the case because</w:t>
      </w:r>
      <w:r w:rsidR="004B3477" w:rsidRPr="003E5D32">
        <w:t xml:space="preserve"> the changes made by this instrument ar</w:t>
      </w:r>
      <w:r w:rsidR="008275FC" w:rsidRPr="003E5D32">
        <w:t xml:space="preserve">e </w:t>
      </w:r>
      <w:r w:rsidR="007656FC" w:rsidRPr="003E5D32">
        <w:t>limited to change</w:t>
      </w:r>
      <w:r w:rsidR="003E5D32">
        <w:t>s</w:t>
      </w:r>
      <w:r w:rsidR="006E3F19">
        <w:t xml:space="preserve"> </w:t>
      </w:r>
      <w:r w:rsidR="007656FC" w:rsidRPr="003E5D32">
        <w:t>considered appropriate to deal with deficiencies</w:t>
      </w:r>
      <w:r w:rsidR="00264532" w:rsidRPr="003E5D32">
        <w:t xml:space="preserve"> outlined in paragraph 1.2 and do not</w:t>
      </w:r>
      <w:r w:rsidR="006E3F19">
        <w:t xml:space="preserve"> </w:t>
      </w:r>
      <w:r w:rsidR="00264532" w:rsidRPr="003E5D32">
        <w:t>bring about a wider policy change</w:t>
      </w:r>
      <w:r w:rsidR="008424BF" w:rsidRPr="003E5D32">
        <w:t xml:space="preserve"> or impose any </w:t>
      </w:r>
      <w:r w:rsidR="001A3D98">
        <w:t xml:space="preserve">significant </w:t>
      </w:r>
      <w:r w:rsidR="008424BF" w:rsidRPr="003E5D32">
        <w:t xml:space="preserve">new liabilities </w:t>
      </w:r>
      <w:r w:rsidR="008421D1" w:rsidRPr="003E5D32">
        <w:t>or obligations</w:t>
      </w:r>
      <w:r w:rsidR="00595E58" w:rsidRPr="003E5D32">
        <w:t xml:space="preserve"> on any relevant persons.</w:t>
      </w:r>
    </w:p>
    <w:p w14:paraId="12F7C37B" w14:textId="77777777" w:rsidR="009C6B73" w:rsidRPr="003E5D32" w:rsidRDefault="009C6B73" w:rsidP="006E3F19">
      <w:pPr>
        <w:pStyle w:val="EMSectionTitle"/>
      </w:pPr>
      <w:r w:rsidRPr="009C6B73">
        <w:t>Good reasons</w:t>
      </w:r>
      <w:r>
        <w:tab/>
      </w:r>
    </w:p>
    <w:p w14:paraId="4613078C" w14:textId="77777777" w:rsidR="005E7B5C" w:rsidRDefault="005E7B5C" w:rsidP="006E3F19">
      <w:pPr>
        <w:pStyle w:val="EMLevel1Paragraph"/>
      </w:pPr>
      <w:r>
        <w:t>The</w:t>
      </w:r>
      <w:r w:rsidR="00346E68">
        <w:t xml:space="preserve"> Minister for Small Business, Consumers and Corporate </w:t>
      </w:r>
      <w:r w:rsidR="00642022">
        <w:t xml:space="preserve">Responsibility, Kelly Tolhurst, has made </w:t>
      </w:r>
      <w:r w:rsidR="00E72AF1">
        <w:t xml:space="preserve">the </w:t>
      </w:r>
      <w:r>
        <w:t>following statement regarding use of legislative powers in the European Union (Withdrawal) Act 2018:</w:t>
      </w:r>
    </w:p>
    <w:p w14:paraId="631552BC" w14:textId="77777777" w:rsidR="00D73525" w:rsidRDefault="005E7B5C" w:rsidP="00A2594F">
      <w:pPr>
        <w:pStyle w:val="EMParagraphContinuationUnnumbered"/>
      </w:pPr>
      <w:r>
        <w:t>“In my view there are good reasons for the provisions in this instrument, and I have</w:t>
      </w:r>
      <w:r w:rsidR="00154CF9">
        <w:t xml:space="preserve"> </w:t>
      </w:r>
      <w:r>
        <w:t xml:space="preserve"> </w:t>
      </w:r>
      <w:r w:rsidR="00154CF9">
        <w:t xml:space="preserve">      </w:t>
      </w:r>
      <w:r>
        <w:t xml:space="preserve">concluded they are a reasonable course of action”. </w:t>
      </w:r>
    </w:p>
    <w:p w14:paraId="4413DE13" w14:textId="46217404" w:rsidR="00622173" w:rsidRDefault="005E7B5C" w:rsidP="006E3F19">
      <w:pPr>
        <w:pStyle w:val="EMLevel1Paragraph"/>
      </w:pPr>
      <w:r>
        <w:t>The</w:t>
      </w:r>
      <w:r w:rsidR="007A46D4">
        <w:t xml:space="preserve"> reasons are the instrument addresses failures of retained EU law</w:t>
      </w:r>
      <w:r w:rsidR="00FE42DF">
        <w:t xml:space="preserve"> to operate </w:t>
      </w:r>
      <w:r w:rsidR="00EF5E17">
        <w:t xml:space="preserve">effectively and other deficiencies arising from the withdrawal of the UK from the </w:t>
      </w:r>
      <w:r w:rsidR="006D6088">
        <w:t>EU outlined</w:t>
      </w:r>
      <w:r w:rsidR="00A84D77">
        <w:t xml:space="preserve"> in paragraph 1.2</w:t>
      </w:r>
      <w:r w:rsidR="00953D09">
        <w:t xml:space="preserve">. The changes made by this instrument </w:t>
      </w:r>
      <w:r w:rsidR="00336EB4">
        <w:t>are considered appropriate as explained in paragraph 2.2</w:t>
      </w:r>
      <w:r w:rsidR="00BE418A">
        <w:t xml:space="preserve"> </w:t>
      </w:r>
      <w:r w:rsidR="00581FE2">
        <w:t>to 2.</w:t>
      </w:r>
      <w:r w:rsidR="006079F4">
        <w:t>11</w:t>
      </w:r>
      <w:r w:rsidR="00F11BEC">
        <w:t xml:space="preserve"> of the Explanatory </w:t>
      </w:r>
      <w:r w:rsidR="00DF303E">
        <w:t xml:space="preserve">Memorandum. The Department has therefore concluded that the making </w:t>
      </w:r>
      <w:r w:rsidR="00FF766A">
        <w:t>of this instrument constitutes a reasonable course of action.</w:t>
      </w:r>
      <w:r w:rsidR="00BE418A">
        <w:t xml:space="preserve"> </w:t>
      </w:r>
    </w:p>
    <w:p w14:paraId="493B4855" w14:textId="77777777" w:rsidR="00F01307" w:rsidRDefault="00F01307" w:rsidP="00F01307">
      <w:pPr>
        <w:pStyle w:val="EMLevel1Paragraph"/>
        <w:numPr>
          <w:ilvl w:val="0"/>
          <w:numId w:val="0"/>
        </w:numPr>
        <w:ind w:left="720" w:hanging="720"/>
      </w:pPr>
    </w:p>
    <w:p w14:paraId="0252BF06" w14:textId="77777777" w:rsidR="00C35083" w:rsidRPr="006E3F19" w:rsidRDefault="005460B8" w:rsidP="00DB4D76">
      <w:pPr>
        <w:pStyle w:val="EMSectionTitle"/>
      </w:pPr>
      <w:r w:rsidRPr="00622173">
        <w:t>Equalities</w:t>
      </w:r>
    </w:p>
    <w:p w14:paraId="3B76EA00" w14:textId="77777777" w:rsidR="00CF14CA" w:rsidRPr="009244C9" w:rsidRDefault="005E7B5C" w:rsidP="006E3F19">
      <w:pPr>
        <w:pStyle w:val="EMLevel1Paragraph"/>
      </w:pPr>
      <w:r w:rsidRPr="009244C9">
        <w:t xml:space="preserve">The </w:t>
      </w:r>
      <w:r w:rsidR="00E41844" w:rsidRPr="009244C9">
        <w:t>Minister for Small</w:t>
      </w:r>
      <w:r w:rsidR="00A716D9" w:rsidRPr="009244C9">
        <w:t xml:space="preserve"> Business, Consumers and Corporate Responsibility, Kelly</w:t>
      </w:r>
      <w:r w:rsidR="006E3F19">
        <w:t xml:space="preserve"> </w:t>
      </w:r>
      <w:r w:rsidR="00CF14CA">
        <w:t>T</w:t>
      </w:r>
      <w:r w:rsidR="00A716D9" w:rsidRPr="009244C9">
        <w:t xml:space="preserve">olhurst, has made the following </w:t>
      </w:r>
      <w:r w:rsidRPr="009244C9">
        <w:t>statement(s)</w:t>
      </w:r>
      <w:r w:rsidR="00701AA4" w:rsidRPr="009244C9">
        <w:t>:</w:t>
      </w:r>
    </w:p>
    <w:p w14:paraId="5BFBCAE8" w14:textId="77777777" w:rsidR="00CF14CA" w:rsidRPr="009244C9" w:rsidRDefault="005E7B5C" w:rsidP="006E3F19">
      <w:pPr>
        <w:pStyle w:val="EMLevel1Paragraph"/>
        <w:numPr>
          <w:ilvl w:val="0"/>
          <w:numId w:val="0"/>
        </w:numPr>
        <w:ind w:left="720"/>
      </w:pPr>
      <w:r w:rsidRPr="009244C9">
        <w:t xml:space="preserve">“The draft instrument does </w:t>
      </w:r>
      <w:r w:rsidR="007A31B5" w:rsidRPr="009244C9">
        <w:t xml:space="preserve">not </w:t>
      </w:r>
      <w:r w:rsidRPr="009244C9">
        <w:t>amend, repeal or revoke a provision or provisions in the</w:t>
      </w:r>
      <w:r w:rsidR="006E3F19">
        <w:t xml:space="preserve"> </w:t>
      </w:r>
      <w:r w:rsidRPr="009244C9">
        <w:t>Equality Act 2006 or the Equality Act 2010 or subordinate legislation made under those Acts</w:t>
      </w:r>
      <w:r w:rsidR="00CF14CA">
        <w:t>”</w:t>
      </w:r>
      <w:r w:rsidRPr="009244C9">
        <w:t xml:space="preserve">. </w:t>
      </w:r>
    </w:p>
    <w:p w14:paraId="65A40D02" w14:textId="77777777" w:rsidR="005E7B5C" w:rsidRPr="00DB4D76" w:rsidRDefault="008F573D" w:rsidP="00DB4D76">
      <w:pPr>
        <w:pStyle w:val="EMLevel1Paragraph"/>
      </w:pPr>
      <w:r w:rsidRPr="009244C9">
        <w:t>The Minister for Small Business, Consumers and Corporate Responsibility, Kelly</w:t>
      </w:r>
      <w:r w:rsidR="006E3F19">
        <w:t xml:space="preserve"> </w:t>
      </w:r>
      <w:r w:rsidRPr="00DB4D76">
        <w:t xml:space="preserve">Tolhurst, </w:t>
      </w:r>
      <w:r w:rsidR="005E7B5C" w:rsidRPr="00DB4D76">
        <w:t>has made the following statement regarding use of legislative powers in the</w:t>
      </w:r>
      <w:r w:rsidR="006E3F19">
        <w:t xml:space="preserve"> </w:t>
      </w:r>
      <w:r w:rsidR="005E7B5C" w:rsidRPr="00DB4D76">
        <w:t>European Union (Withdrawal) Act 2018:</w:t>
      </w:r>
    </w:p>
    <w:p w14:paraId="6193E0B0" w14:textId="77777777" w:rsidR="005E7B5C" w:rsidRPr="00E87610" w:rsidRDefault="005E7B5C" w:rsidP="00E87610">
      <w:pPr>
        <w:pStyle w:val="EMLevel1Paragraph"/>
        <w:numPr>
          <w:ilvl w:val="0"/>
          <w:numId w:val="0"/>
        </w:numPr>
        <w:ind w:left="720"/>
      </w:pPr>
      <w:r w:rsidRPr="00DB4D76">
        <w:t>“In relation to the draft</w:t>
      </w:r>
      <w:r w:rsidR="001F4D3A" w:rsidRPr="00DB4D76">
        <w:t xml:space="preserve"> </w:t>
      </w:r>
      <w:r w:rsidRPr="00DB4D76">
        <w:t xml:space="preserve">instrument, I, </w:t>
      </w:r>
      <w:r w:rsidR="00FD759C" w:rsidRPr="00DB4D76">
        <w:t>The</w:t>
      </w:r>
      <w:r w:rsidRPr="00DB4D76">
        <w:t xml:space="preserve"> Minister</w:t>
      </w:r>
      <w:r w:rsidR="00FD759C" w:rsidRPr="00DB4D76">
        <w:t xml:space="preserve"> for Small Business, Consumers </w:t>
      </w:r>
      <w:r w:rsidR="006D6088" w:rsidRPr="00DB4D76">
        <w:t>a</w:t>
      </w:r>
      <w:r w:rsidR="00FD759C" w:rsidRPr="00DB4D76">
        <w:t>nd</w:t>
      </w:r>
      <w:r w:rsidR="00E87610">
        <w:t xml:space="preserve"> </w:t>
      </w:r>
      <w:r w:rsidR="00FD759C" w:rsidRPr="00DB4D76">
        <w:t xml:space="preserve">Corporate Responsibility, Kelly </w:t>
      </w:r>
      <w:r w:rsidR="00C6403F" w:rsidRPr="00DB4D76">
        <w:t>Tolhurst, have</w:t>
      </w:r>
      <w:r w:rsidRPr="00DB4D76">
        <w:t xml:space="preserve"> had due regard to the need to eliminate discrimination, harassment, victimisation and any other conduct that is prohibited by o</w:t>
      </w:r>
      <w:r w:rsidR="008676E5" w:rsidRPr="00DB4D76">
        <w:t>r under the Equality Act 2010.”</w:t>
      </w:r>
    </w:p>
    <w:p w14:paraId="011FAD69" w14:textId="77777777" w:rsidR="002D6D3A" w:rsidRPr="002D6D3A" w:rsidRDefault="005E7B5C" w:rsidP="00E87610">
      <w:pPr>
        <w:pStyle w:val="EMSectionTitle"/>
        <w:numPr>
          <w:ilvl w:val="0"/>
          <w:numId w:val="1"/>
        </w:numPr>
        <w:tabs>
          <w:tab w:val="clear" w:pos="432"/>
          <w:tab w:val="num" w:pos="709"/>
        </w:tabs>
        <w:ind w:left="709" w:hanging="709"/>
      </w:pPr>
      <w:r w:rsidRPr="009244C9">
        <w:t>Explanations</w:t>
      </w:r>
    </w:p>
    <w:p w14:paraId="374C5715" w14:textId="77777777" w:rsidR="005E7B5C" w:rsidRPr="002D6D3A" w:rsidRDefault="005E7B5C" w:rsidP="00E87610">
      <w:pPr>
        <w:pStyle w:val="EMLevel1Paragraph"/>
      </w:pPr>
      <w:r w:rsidRPr="002D6D3A">
        <w:t>The</w:t>
      </w:r>
      <w:r w:rsidR="00073874" w:rsidRPr="002D6D3A">
        <w:t xml:space="preserve"> explanations s</w:t>
      </w:r>
      <w:r w:rsidRPr="002D6D3A">
        <w:t xml:space="preserve">tatement has been made in </w:t>
      </w:r>
      <w:r w:rsidR="00E25C95" w:rsidRPr="002D6D3A">
        <w:t>paragraph</w:t>
      </w:r>
      <w:r w:rsidR="008676E5" w:rsidRPr="002D6D3A">
        <w:t xml:space="preserve"> 2</w:t>
      </w:r>
      <w:r w:rsidRPr="002D6D3A">
        <w:t xml:space="preserve"> of the main body of this explanatory memorandum.</w:t>
      </w:r>
    </w:p>
    <w:sectPr w:rsidR="005E7B5C" w:rsidRPr="002D6D3A" w:rsidSect="001657EC">
      <w:headerReference w:type="default" r:id="rId13"/>
      <w:footerReference w:type="even" r:id="rId14"/>
      <w:footerReference w:type="default" r:id="rId1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0328" w14:textId="77777777" w:rsidR="00B7159D" w:rsidRDefault="00B7159D">
      <w:r>
        <w:separator/>
      </w:r>
    </w:p>
  </w:endnote>
  <w:endnote w:type="continuationSeparator" w:id="0">
    <w:p w14:paraId="254DEEA3" w14:textId="77777777" w:rsidR="00B7159D" w:rsidRDefault="00B7159D">
      <w:r>
        <w:continuationSeparator/>
      </w:r>
    </w:p>
  </w:endnote>
  <w:endnote w:type="continuationNotice" w:id="1">
    <w:p w14:paraId="60358B5E" w14:textId="77777777" w:rsidR="00B7159D" w:rsidRDefault="00B71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2616" w14:textId="77777777" w:rsidR="00045209" w:rsidRDefault="00045209" w:rsidP="00EF4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A1EB0" w14:textId="77777777" w:rsidR="00045209" w:rsidRDefault="00045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B985" w14:textId="77777777" w:rsidR="00045209" w:rsidRPr="009D4049" w:rsidRDefault="00045209" w:rsidP="00EF4806">
    <w:pPr>
      <w:pStyle w:val="Footer"/>
      <w:framePr w:wrap="around" w:vAnchor="text" w:hAnchor="margin" w:xAlign="center" w:y="1"/>
      <w:rPr>
        <w:rStyle w:val="PageNumber"/>
        <w:sz w:val="22"/>
        <w:szCs w:val="22"/>
      </w:rPr>
    </w:pPr>
    <w:r w:rsidRPr="009D4049">
      <w:rPr>
        <w:rStyle w:val="PageNumber"/>
        <w:sz w:val="22"/>
        <w:szCs w:val="22"/>
      </w:rPr>
      <w:fldChar w:fldCharType="begin"/>
    </w:r>
    <w:r w:rsidRPr="009D4049">
      <w:rPr>
        <w:rStyle w:val="PageNumber"/>
        <w:sz w:val="22"/>
        <w:szCs w:val="22"/>
      </w:rPr>
      <w:instrText xml:space="preserve">PAGE  </w:instrText>
    </w:r>
    <w:r w:rsidRPr="009D4049">
      <w:rPr>
        <w:rStyle w:val="PageNumber"/>
        <w:sz w:val="22"/>
        <w:szCs w:val="22"/>
      </w:rPr>
      <w:fldChar w:fldCharType="separate"/>
    </w:r>
    <w:r>
      <w:rPr>
        <w:rStyle w:val="PageNumber"/>
        <w:noProof/>
        <w:sz w:val="22"/>
        <w:szCs w:val="22"/>
      </w:rPr>
      <w:t>2</w:t>
    </w:r>
    <w:r w:rsidRPr="009D4049">
      <w:rPr>
        <w:rStyle w:val="PageNumber"/>
        <w:sz w:val="22"/>
        <w:szCs w:val="22"/>
      </w:rPr>
      <w:fldChar w:fldCharType="end"/>
    </w:r>
  </w:p>
  <w:p w14:paraId="5438E481" w14:textId="77777777" w:rsidR="00045209" w:rsidRDefault="00045209" w:rsidP="00BC2AB1">
    <w:pPr>
      <w:pStyle w:val="Footer"/>
      <w:jc w:val="center"/>
      <w:rPr>
        <w:sz w:val="16"/>
        <w:szCs w:val="16"/>
      </w:rPr>
    </w:pPr>
  </w:p>
  <w:p w14:paraId="25A303C1" w14:textId="77777777" w:rsidR="00045209" w:rsidRPr="004673B7" w:rsidRDefault="00045209" w:rsidP="00BC2AB1">
    <w:pPr>
      <w:rPr>
        <w:rFonts w:ascii="Arial" w:hAnsi="Arial" w:cs="Arial"/>
        <w:sz w:val="14"/>
        <w:szCs w:val="14"/>
      </w:rPr>
    </w:pPr>
    <w:r>
      <w:rPr>
        <w:rFonts w:ascii="Arial" w:hAnsi="Arial" w:cs="Arial"/>
        <w:sz w:val="14"/>
        <w:szCs w:val="14"/>
      </w:rPr>
      <w:t>DExEU/EM/7-2018.2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06BDD" w14:textId="77777777" w:rsidR="00B7159D" w:rsidRDefault="00B7159D">
      <w:r>
        <w:separator/>
      </w:r>
    </w:p>
  </w:footnote>
  <w:footnote w:type="continuationSeparator" w:id="0">
    <w:p w14:paraId="397617A7" w14:textId="77777777" w:rsidR="00B7159D" w:rsidRDefault="00B7159D">
      <w:r>
        <w:continuationSeparator/>
      </w:r>
    </w:p>
  </w:footnote>
  <w:footnote w:type="continuationNotice" w:id="1">
    <w:p w14:paraId="09AE003E" w14:textId="77777777" w:rsidR="00B7159D" w:rsidRDefault="00B71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ED4C" w14:textId="77777777" w:rsidR="00045209" w:rsidRDefault="00045209" w:rsidP="00E64B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9F91D4"/>
    <w:multiLevelType w:val="hybridMultilevel"/>
    <w:tmpl w:val="8E380E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17ABC"/>
    <w:multiLevelType w:val="hybridMultilevel"/>
    <w:tmpl w:val="A37A0134"/>
    <w:lvl w:ilvl="0" w:tplc="04090001">
      <w:start w:val="1"/>
      <w:numFmt w:val="bullet"/>
      <w:lvlText w:val=""/>
      <w:lvlJc w:val="left"/>
      <w:pPr>
        <w:tabs>
          <w:tab w:val="num" w:pos="720"/>
        </w:tabs>
        <w:ind w:left="720" w:hanging="360"/>
      </w:pPr>
      <w:rPr>
        <w:rFonts w:ascii="Symbol" w:hAnsi="Symbol" w:hint="default"/>
      </w:rPr>
    </w:lvl>
    <w:lvl w:ilvl="1" w:tplc="A9F6D84E">
      <w:start w:val="1"/>
      <w:numFmt w:val="bullet"/>
      <w:pStyle w:val="EMLevel2Bullet"/>
      <w:lvlText w:val="o"/>
      <w:lvlJc w:val="left"/>
      <w:pPr>
        <w:tabs>
          <w:tab w:val="num" w:pos="1440"/>
        </w:tabs>
        <w:ind w:left="1440" w:hanging="216"/>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E4405"/>
    <w:multiLevelType w:val="hybridMultilevel"/>
    <w:tmpl w:val="86D4FF48"/>
    <w:lvl w:ilvl="0" w:tplc="0EB20EEA">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0D145AEA"/>
    <w:multiLevelType w:val="hybridMultilevel"/>
    <w:tmpl w:val="FD4CF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50F20"/>
    <w:multiLevelType w:val="hybridMultilevel"/>
    <w:tmpl w:val="2C1EDE00"/>
    <w:lvl w:ilvl="0" w:tplc="37F639B0">
      <w:start w:val="1"/>
      <w:numFmt w:val="bullet"/>
      <w:pStyle w:val="EMLevel1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551EB"/>
    <w:multiLevelType w:val="hybridMultilevel"/>
    <w:tmpl w:val="F2E84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DC4F19"/>
    <w:multiLevelType w:val="hybridMultilevel"/>
    <w:tmpl w:val="CAE2C61A"/>
    <w:lvl w:ilvl="0" w:tplc="54245CFC">
      <w:start w:val="1"/>
      <w:numFmt w:val="lowerLetter"/>
      <w:lvlText w:val="(%1)"/>
      <w:lvlJc w:val="left"/>
      <w:pPr>
        <w:ind w:left="1068" w:hanging="708"/>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D0DB5"/>
    <w:multiLevelType w:val="hybridMultilevel"/>
    <w:tmpl w:val="7CBA7D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35682"/>
    <w:multiLevelType w:val="multilevel"/>
    <w:tmpl w:val="F6EEB61A"/>
    <w:lvl w:ilvl="0">
      <w:start w:val="4"/>
      <w:numFmt w:val="decimal"/>
      <w:lvlText w:val="%1"/>
      <w:lvlJc w:val="left"/>
      <w:pPr>
        <w:ind w:left="360" w:hanging="360"/>
      </w:pPr>
      <w:rPr>
        <w:rFonts w:hint="default"/>
        <w:b/>
      </w:rPr>
    </w:lvl>
    <w:lvl w:ilvl="1">
      <w:start w:val="1"/>
      <w:numFmt w:val="decimal"/>
      <w:lvlText w:val="%1.%2"/>
      <w:lvlJc w:val="left"/>
      <w:pPr>
        <w:ind w:left="360" w:hanging="360"/>
      </w:pPr>
      <w:rPr>
        <w:b w:val="0"/>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9" w15:restartNumberingAfterBreak="0">
    <w:nsid w:val="1C78686B"/>
    <w:multiLevelType w:val="multilevel"/>
    <w:tmpl w:val="22347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145603"/>
    <w:multiLevelType w:val="hybridMultilevel"/>
    <w:tmpl w:val="1B3C301A"/>
    <w:lvl w:ilvl="0" w:tplc="39B4FC5C">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15:restartNumberingAfterBreak="0">
    <w:nsid w:val="27621B42"/>
    <w:multiLevelType w:val="multilevel"/>
    <w:tmpl w:val="B43CF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5F7BBD"/>
    <w:multiLevelType w:val="multilevel"/>
    <w:tmpl w:val="C1881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7390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AA705A"/>
    <w:multiLevelType w:val="hybridMultilevel"/>
    <w:tmpl w:val="25DAA6F4"/>
    <w:lvl w:ilvl="0" w:tplc="2DCC570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E43AD6"/>
    <w:multiLevelType w:val="hybridMultilevel"/>
    <w:tmpl w:val="3542880A"/>
    <w:lvl w:ilvl="0" w:tplc="7A8A6CA4">
      <w:start w:val="1"/>
      <w:numFmt w:val="lowerLetter"/>
      <w:lvlText w:val="%1)"/>
      <w:lvlJc w:val="left"/>
      <w:pPr>
        <w:ind w:left="1260" w:hanging="360"/>
      </w:pPr>
      <w:rPr>
        <w:rFonts w:hint="default"/>
        <w:b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15:restartNumberingAfterBreak="0">
    <w:nsid w:val="2C0E48AB"/>
    <w:multiLevelType w:val="hybridMultilevel"/>
    <w:tmpl w:val="1FD6D4E6"/>
    <w:lvl w:ilvl="0" w:tplc="DA685A68">
      <w:numFmt w:val="bullet"/>
      <w:lvlText w:val=""/>
      <w:lvlJc w:val="left"/>
      <w:pPr>
        <w:ind w:left="1080" w:hanging="360"/>
      </w:pPr>
      <w:rPr>
        <w:rFonts w:ascii="Symbol" w:eastAsia="Calibri" w:hAnsi="Symbol" w:cs="Courier"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4964DF"/>
    <w:multiLevelType w:val="hybridMultilevel"/>
    <w:tmpl w:val="1D1E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04447"/>
    <w:multiLevelType w:val="hybridMultilevel"/>
    <w:tmpl w:val="A6B27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82262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ED73F5"/>
    <w:multiLevelType w:val="hybridMultilevel"/>
    <w:tmpl w:val="BF7EF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462304"/>
    <w:multiLevelType w:val="multilevel"/>
    <w:tmpl w:val="8CA40314"/>
    <w:lvl w:ilvl="0">
      <w:start w:val="1"/>
      <w:numFmt w:val="decimal"/>
      <w:pStyle w:val="EMSectionTitle"/>
      <w:lvlText w:val="%1."/>
      <w:lvlJc w:val="left"/>
      <w:pPr>
        <w:tabs>
          <w:tab w:val="num" w:pos="432"/>
        </w:tabs>
        <w:ind w:left="432" w:hanging="432"/>
      </w:pPr>
      <w:rPr>
        <w:rFonts w:hint="default"/>
        <w:b/>
        <w:i w:val="0"/>
      </w:rPr>
    </w:lvl>
    <w:lvl w:ilvl="1">
      <w:start w:val="1"/>
      <w:numFmt w:val="decimal"/>
      <w:pStyle w:val="Heading2"/>
      <w:lvlText w:val="%1.%2"/>
      <w:lvlJc w:val="left"/>
      <w:pPr>
        <w:tabs>
          <w:tab w:val="num" w:pos="717"/>
        </w:tabs>
        <w:ind w:left="717"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3A557F15"/>
    <w:multiLevelType w:val="hybridMultilevel"/>
    <w:tmpl w:val="5A76F72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3DF10DD5"/>
    <w:multiLevelType w:val="hybridMultilevel"/>
    <w:tmpl w:val="9EC0C0B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D38AEE2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D71A84"/>
    <w:multiLevelType w:val="hybridMultilevel"/>
    <w:tmpl w:val="5A96AF60"/>
    <w:lvl w:ilvl="0" w:tplc="1328278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6F1AD8"/>
    <w:multiLevelType w:val="multilevel"/>
    <w:tmpl w:val="3294CA46"/>
    <w:lvl w:ilvl="0">
      <w:start w:val="1"/>
      <w:numFmt w:val="lowerLetter"/>
      <w:lvlText w:val="%1)"/>
      <w:lvlJc w:val="left"/>
      <w:pPr>
        <w:ind w:left="1069" w:hanging="360"/>
      </w:pPr>
      <w:rPr>
        <w:rFonts w:hint="default"/>
        <w:b w:val="0"/>
      </w:rPr>
    </w:lvl>
    <w:lvl w:ilvl="1">
      <w:start w:val="1"/>
      <w:numFmt w:val="decimal"/>
      <w:isLgl/>
      <w:lvlText w:val="%1.%2"/>
      <w:lvlJc w:val="left"/>
      <w:pPr>
        <w:ind w:left="1069" w:hanging="36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26" w15:restartNumberingAfterBreak="0">
    <w:nsid w:val="6BD647CE"/>
    <w:multiLevelType w:val="hybridMultilevel"/>
    <w:tmpl w:val="E21A88A2"/>
    <w:lvl w:ilvl="0" w:tplc="1592CC8E">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7" w15:restartNumberingAfterBreak="0">
    <w:nsid w:val="76753F68"/>
    <w:multiLevelType w:val="hybridMultilevel"/>
    <w:tmpl w:val="FF749E8C"/>
    <w:lvl w:ilvl="0" w:tplc="1E808FDA">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21"/>
  </w:num>
  <w:num w:numId="2">
    <w:abstractNumId w:val="4"/>
  </w:num>
  <w:num w:numId="3">
    <w:abstractNumId w:val="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6"/>
  </w:num>
  <w:num w:numId="8">
    <w:abstractNumId w:val="18"/>
  </w:num>
  <w:num w:numId="9">
    <w:abstractNumId w:val="7"/>
  </w:num>
  <w:num w:numId="10">
    <w:abstractNumId w:val="25"/>
  </w:num>
  <w:num w:numId="11">
    <w:abstractNumId w:val="17"/>
  </w:num>
  <w:num w:numId="12">
    <w:abstractNumId w:val="14"/>
  </w:num>
  <w:num w:numId="13">
    <w:abstractNumId w:val="24"/>
  </w:num>
  <w:num w:numId="14">
    <w:abstractNumId w:val="21"/>
    <w:lvlOverride w:ilvl="0">
      <w:startOverride w:val="5"/>
    </w:lvlOverride>
    <w:lvlOverride w:ilvl="1">
      <w:startOverride w:val="1"/>
    </w:lvlOverride>
  </w:num>
  <w:num w:numId="15">
    <w:abstractNumId w:val="12"/>
  </w:num>
  <w:num w:numId="16">
    <w:abstractNumId w:val="9"/>
  </w:num>
  <w:num w:numId="17">
    <w:abstractNumId w:val="11"/>
  </w:num>
  <w:num w:numId="18">
    <w:abstractNumId w:val="23"/>
  </w:num>
  <w:num w:numId="19">
    <w:abstractNumId w:val="22"/>
  </w:num>
  <w:num w:numId="20">
    <w:abstractNumId w:val="5"/>
  </w:num>
  <w:num w:numId="21">
    <w:abstractNumId w:val="20"/>
  </w:num>
  <w:num w:numId="22">
    <w:abstractNumId w:val="3"/>
  </w:num>
  <w:num w:numId="23">
    <w:abstractNumId w:val="15"/>
  </w:num>
  <w:num w:numId="24">
    <w:abstractNumId w:val="2"/>
  </w:num>
  <w:num w:numId="25">
    <w:abstractNumId w:val="27"/>
  </w:num>
  <w:num w:numId="26">
    <w:abstractNumId w:val="0"/>
  </w:num>
  <w:num w:numId="27">
    <w:abstractNumId w:val="10"/>
  </w:num>
  <w:num w:numId="28">
    <w:abstractNumId w:val="2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DB"/>
    <w:rsid w:val="000004F7"/>
    <w:rsid w:val="00001B86"/>
    <w:rsid w:val="00004964"/>
    <w:rsid w:val="0000513E"/>
    <w:rsid w:val="00005348"/>
    <w:rsid w:val="00005C18"/>
    <w:rsid w:val="0000612B"/>
    <w:rsid w:val="000127E6"/>
    <w:rsid w:val="00012BC3"/>
    <w:rsid w:val="00013BC7"/>
    <w:rsid w:val="00013D4B"/>
    <w:rsid w:val="00014967"/>
    <w:rsid w:val="000149F9"/>
    <w:rsid w:val="000156B4"/>
    <w:rsid w:val="00015A54"/>
    <w:rsid w:val="00016486"/>
    <w:rsid w:val="000168BF"/>
    <w:rsid w:val="00016D21"/>
    <w:rsid w:val="00017885"/>
    <w:rsid w:val="000228DC"/>
    <w:rsid w:val="00023EFC"/>
    <w:rsid w:val="0002400D"/>
    <w:rsid w:val="000262DE"/>
    <w:rsid w:val="00026A8C"/>
    <w:rsid w:val="00026B7D"/>
    <w:rsid w:val="00027AB2"/>
    <w:rsid w:val="00030AB2"/>
    <w:rsid w:val="00032D82"/>
    <w:rsid w:val="00035A55"/>
    <w:rsid w:val="00036E2D"/>
    <w:rsid w:val="00040F77"/>
    <w:rsid w:val="000418A9"/>
    <w:rsid w:val="0004258C"/>
    <w:rsid w:val="00042F4D"/>
    <w:rsid w:val="000432C9"/>
    <w:rsid w:val="000441D4"/>
    <w:rsid w:val="00045209"/>
    <w:rsid w:val="0004728B"/>
    <w:rsid w:val="000506F5"/>
    <w:rsid w:val="00050E74"/>
    <w:rsid w:val="00051492"/>
    <w:rsid w:val="000514A8"/>
    <w:rsid w:val="0005200E"/>
    <w:rsid w:val="000527A0"/>
    <w:rsid w:val="000536E5"/>
    <w:rsid w:val="000537DD"/>
    <w:rsid w:val="00053E1B"/>
    <w:rsid w:val="00054776"/>
    <w:rsid w:val="000551DA"/>
    <w:rsid w:val="00057FA8"/>
    <w:rsid w:val="00060104"/>
    <w:rsid w:val="0006047A"/>
    <w:rsid w:val="00060764"/>
    <w:rsid w:val="00061866"/>
    <w:rsid w:val="00061BD8"/>
    <w:rsid w:val="00062C23"/>
    <w:rsid w:val="00065D23"/>
    <w:rsid w:val="00066EA5"/>
    <w:rsid w:val="00066EFD"/>
    <w:rsid w:val="00067850"/>
    <w:rsid w:val="00067D82"/>
    <w:rsid w:val="00067F53"/>
    <w:rsid w:val="00071404"/>
    <w:rsid w:val="00071DF2"/>
    <w:rsid w:val="00072082"/>
    <w:rsid w:val="0007262D"/>
    <w:rsid w:val="000729D5"/>
    <w:rsid w:val="000735CD"/>
    <w:rsid w:val="00073874"/>
    <w:rsid w:val="00076263"/>
    <w:rsid w:val="000767F2"/>
    <w:rsid w:val="00076E4D"/>
    <w:rsid w:val="000777D8"/>
    <w:rsid w:val="000808C5"/>
    <w:rsid w:val="00083143"/>
    <w:rsid w:val="000833EB"/>
    <w:rsid w:val="00083A48"/>
    <w:rsid w:val="00084A0A"/>
    <w:rsid w:val="0008653A"/>
    <w:rsid w:val="00090EE5"/>
    <w:rsid w:val="00091165"/>
    <w:rsid w:val="00091FCF"/>
    <w:rsid w:val="0009226B"/>
    <w:rsid w:val="0009269E"/>
    <w:rsid w:val="00092C71"/>
    <w:rsid w:val="00093655"/>
    <w:rsid w:val="000936A1"/>
    <w:rsid w:val="000940AA"/>
    <w:rsid w:val="00094332"/>
    <w:rsid w:val="00094508"/>
    <w:rsid w:val="00096949"/>
    <w:rsid w:val="00096CE3"/>
    <w:rsid w:val="0009718A"/>
    <w:rsid w:val="000976C3"/>
    <w:rsid w:val="000A0E16"/>
    <w:rsid w:val="000A3F8E"/>
    <w:rsid w:val="000A428A"/>
    <w:rsid w:val="000A7F37"/>
    <w:rsid w:val="000B1018"/>
    <w:rsid w:val="000B1D55"/>
    <w:rsid w:val="000B22EB"/>
    <w:rsid w:val="000B366E"/>
    <w:rsid w:val="000B434B"/>
    <w:rsid w:val="000B5342"/>
    <w:rsid w:val="000B5635"/>
    <w:rsid w:val="000B6049"/>
    <w:rsid w:val="000B7797"/>
    <w:rsid w:val="000C044B"/>
    <w:rsid w:val="000C1048"/>
    <w:rsid w:val="000C1402"/>
    <w:rsid w:val="000C2402"/>
    <w:rsid w:val="000C3EF0"/>
    <w:rsid w:val="000C424E"/>
    <w:rsid w:val="000C5D6E"/>
    <w:rsid w:val="000C7B96"/>
    <w:rsid w:val="000D048E"/>
    <w:rsid w:val="000D0AD9"/>
    <w:rsid w:val="000D1D02"/>
    <w:rsid w:val="000D2D29"/>
    <w:rsid w:val="000D2E19"/>
    <w:rsid w:val="000D38CD"/>
    <w:rsid w:val="000D3CFD"/>
    <w:rsid w:val="000D596D"/>
    <w:rsid w:val="000D665E"/>
    <w:rsid w:val="000D7B0F"/>
    <w:rsid w:val="000E0774"/>
    <w:rsid w:val="000E18DC"/>
    <w:rsid w:val="000E1B69"/>
    <w:rsid w:val="000E1DD2"/>
    <w:rsid w:val="000E3294"/>
    <w:rsid w:val="000E3F8B"/>
    <w:rsid w:val="000E444B"/>
    <w:rsid w:val="000E5B76"/>
    <w:rsid w:val="000E68B4"/>
    <w:rsid w:val="000F02AE"/>
    <w:rsid w:val="000F09B3"/>
    <w:rsid w:val="000F1D69"/>
    <w:rsid w:val="000F2660"/>
    <w:rsid w:val="000F2B87"/>
    <w:rsid w:val="000F311A"/>
    <w:rsid w:val="000F3901"/>
    <w:rsid w:val="000F3C3C"/>
    <w:rsid w:val="000F3CD0"/>
    <w:rsid w:val="000F6726"/>
    <w:rsid w:val="00100688"/>
    <w:rsid w:val="00101328"/>
    <w:rsid w:val="001037D7"/>
    <w:rsid w:val="00104A0F"/>
    <w:rsid w:val="00104EF9"/>
    <w:rsid w:val="00106810"/>
    <w:rsid w:val="0010727A"/>
    <w:rsid w:val="001123E9"/>
    <w:rsid w:val="00113BEE"/>
    <w:rsid w:val="00114B04"/>
    <w:rsid w:val="00115C73"/>
    <w:rsid w:val="00124F66"/>
    <w:rsid w:val="001251BC"/>
    <w:rsid w:val="00125770"/>
    <w:rsid w:val="00125932"/>
    <w:rsid w:val="0012614A"/>
    <w:rsid w:val="0012723C"/>
    <w:rsid w:val="00127E43"/>
    <w:rsid w:val="00130EC4"/>
    <w:rsid w:val="001313F3"/>
    <w:rsid w:val="00131403"/>
    <w:rsid w:val="00132E74"/>
    <w:rsid w:val="001330BD"/>
    <w:rsid w:val="00133538"/>
    <w:rsid w:val="001336E9"/>
    <w:rsid w:val="00134875"/>
    <w:rsid w:val="00134B87"/>
    <w:rsid w:val="00134D57"/>
    <w:rsid w:val="00136A99"/>
    <w:rsid w:val="001378E5"/>
    <w:rsid w:val="00141EDF"/>
    <w:rsid w:val="001426FF"/>
    <w:rsid w:val="00142AC5"/>
    <w:rsid w:val="00142CBB"/>
    <w:rsid w:val="00146DD2"/>
    <w:rsid w:val="00150C54"/>
    <w:rsid w:val="00150F7B"/>
    <w:rsid w:val="00152590"/>
    <w:rsid w:val="00152BC2"/>
    <w:rsid w:val="00154CF9"/>
    <w:rsid w:val="001551A7"/>
    <w:rsid w:val="0015713F"/>
    <w:rsid w:val="0016023F"/>
    <w:rsid w:val="00160D27"/>
    <w:rsid w:val="0016140A"/>
    <w:rsid w:val="00162D0A"/>
    <w:rsid w:val="00162E9A"/>
    <w:rsid w:val="00163F00"/>
    <w:rsid w:val="00164461"/>
    <w:rsid w:val="00164D8B"/>
    <w:rsid w:val="001657EC"/>
    <w:rsid w:val="00165BDA"/>
    <w:rsid w:val="001660D8"/>
    <w:rsid w:val="00166223"/>
    <w:rsid w:val="00166BCD"/>
    <w:rsid w:val="0016748B"/>
    <w:rsid w:val="00167B95"/>
    <w:rsid w:val="00170816"/>
    <w:rsid w:val="001719C4"/>
    <w:rsid w:val="00173146"/>
    <w:rsid w:val="00173BE8"/>
    <w:rsid w:val="001769A9"/>
    <w:rsid w:val="001821D7"/>
    <w:rsid w:val="00183B64"/>
    <w:rsid w:val="00183F55"/>
    <w:rsid w:val="00184BAF"/>
    <w:rsid w:val="001856C0"/>
    <w:rsid w:val="00185DCD"/>
    <w:rsid w:val="00186895"/>
    <w:rsid w:val="00186AFA"/>
    <w:rsid w:val="00187D68"/>
    <w:rsid w:val="00187DFD"/>
    <w:rsid w:val="00191FDE"/>
    <w:rsid w:val="001930A8"/>
    <w:rsid w:val="001935DF"/>
    <w:rsid w:val="001936B1"/>
    <w:rsid w:val="001A10BD"/>
    <w:rsid w:val="001A182E"/>
    <w:rsid w:val="001A2E5E"/>
    <w:rsid w:val="001A3129"/>
    <w:rsid w:val="001A3948"/>
    <w:rsid w:val="001A3D98"/>
    <w:rsid w:val="001A5A92"/>
    <w:rsid w:val="001A6210"/>
    <w:rsid w:val="001A70D2"/>
    <w:rsid w:val="001A7F46"/>
    <w:rsid w:val="001AA2F4"/>
    <w:rsid w:val="001B016D"/>
    <w:rsid w:val="001B02D0"/>
    <w:rsid w:val="001B0BC2"/>
    <w:rsid w:val="001B0CFA"/>
    <w:rsid w:val="001B1ADA"/>
    <w:rsid w:val="001B2CDA"/>
    <w:rsid w:val="001B2EEE"/>
    <w:rsid w:val="001B36ED"/>
    <w:rsid w:val="001B4943"/>
    <w:rsid w:val="001B5D83"/>
    <w:rsid w:val="001B653C"/>
    <w:rsid w:val="001B7941"/>
    <w:rsid w:val="001B7959"/>
    <w:rsid w:val="001B79B0"/>
    <w:rsid w:val="001B7EBD"/>
    <w:rsid w:val="001B7F24"/>
    <w:rsid w:val="001C0315"/>
    <w:rsid w:val="001C1BFF"/>
    <w:rsid w:val="001C2D3E"/>
    <w:rsid w:val="001C2FAE"/>
    <w:rsid w:val="001C3368"/>
    <w:rsid w:val="001C39A4"/>
    <w:rsid w:val="001C7E92"/>
    <w:rsid w:val="001D1EE3"/>
    <w:rsid w:val="001D2336"/>
    <w:rsid w:val="001D2D0F"/>
    <w:rsid w:val="001D3229"/>
    <w:rsid w:val="001D37C7"/>
    <w:rsid w:val="001D3B70"/>
    <w:rsid w:val="001D4690"/>
    <w:rsid w:val="001D4E11"/>
    <w:rsid w:val="001D5254"/>
    <w:rsid w:val="001D5D7C"/>
    <w:rsid w:val="001D7EE0"/>
    <w:rsid w:val="001E0085"/>
    <w:rsid w:val="001E19E2"/>
    <w:rsid w:val="001E2D4A"/>
    <w:rsid w:val="001E3455"/>
    <w:rsid w:val="001E359C"/>
    <w:rsid w:val="001E5163"/>
    <w:rsid w:val="001E56F5"/>
    <w:rsid w:val="001E5F67"/>
    <w:rsid w:val="001E6620"/>
    <w:rsid w:val="001E7823"/>
    <w:rsid w:val="001F0892"/>
    <w:rsid w:val="001F092A"/>
    <w:rsid w:val="001F0DF4"/>
    <w:rsid w:val="001F10CD"/>
    <w:rsid w:val="001F11F2"/>
    <w:rsid w:val="001F35B1"/>
    <w:rsid w:val="001F460B"/>
    <w:rsid w:val="001F4D3A"/>
    <w:rsid w:val="001F4DD7"/>
    <w:rsid w:val="001F67D7"/>
    <w:rsid w:val="001F7152"/>
    <w:rsid w:val="001F7977"/>
    <w:rsid w:val="001F7CC2"/>
    <w:rsid w:val="0020108B"/>
    <w:rsid w:val="002040A4"/>
    <w:rsid w:val="0020417C"/>
    <w:rsid w:val="0020436A"/>
    <w:rsid w:val="0020468A"/>
    <w:rsid w:val="00204DF7"/>
    <w:rsid w:val="00204E76"/>
    <w:rsid w:val="0020517B"/>
    <w:rsid w:val="00207C74"/>
    <w:rsid w:val="00210616"/>
    <w:rsid w:val="00211461"/>
    <w:rsid w:val="00211881"/>
    <w:rsid w:val="00213DAE"/>
    <w:rsid w:val="00215346"/>
    <w:rsid w:val="00216754"/>
    <w:rsid w:val="002174F7"/>
    <w:rsid w:val="00220107"/>
    <w:rsid w:val="00220EEA"/>
    <w:rsid w:val="00221AD8"/>
    <w:rsid w:val="00221B9A"/>
    <w:rsid w:val="0022205D"/>
    <w:rsid w:val="0022278B"/>
    <w:rsid w:val="0022373D"/>
    <w:rsid w:val="002246AF"/>
    <w:rsid w:val="00226A13"/>
    <w:rsid w:val="00226DB6"/>
    <w:rsid w:val="00227097"/>
    <w:rsid w:val="00232364"/>
    <w:rsid w:val="00232BFA"/>
    <w:rsid w:val="00232F1D"/>
    <w:rsid w:val="00233281"/>
    <w:rsid w:val="00233C08"/>
    <w:rsid w:val="002345D0"/>
    <w:rsid w:val="00234E87"/>
    <w:rsid w:val="00235636"/>
    <w:rsid w:val="00235756"/>
    <w:rsid w:val="00240DDE"/>
    <w:rsid w:val="00240F17"/>
    <w:rsid w:val="002416BA"/>
    <w:rsid w:val="00242B0A"/>
    <w:rsid w:val="002438AC"/>
    <w:rsid w:val="00245B79"/>
    <w:rsid w:val="00245D98"/>
    <w:rsid w:val="0024695C"/>
    <w:rsid w:val="00246DCE"/>
    <w:rsid w:val="002508E4"/>
    <w:rsid w:val="002513E5"/>
    <w:rsid w:val="00251AE2"/>
    <w:rsid w:val="00251C07"/>
    <w:rsid w:val="00252967"/>
    <w:rsid w:val="00253C3E"/>
    <w:rsid w:val="002546A9"/>
    <w:rsid w:val="002562EA"/>
    <w:rsid w:val="002576CE"/>
    <w:rsid w:val="0025788D"/>
    <w:rsid w:val="002607EA"/>
    <w:rsid w:val="00261361"/>
    <w:rsid w:val="00263ACA"/>
    <w:rsid w:val="00264532"/>
    <w:rsid w:val="002645AB"/>
    <w:rsid w:val="00264A51"/>
    <w:rsid w:val="002666ED"/>
    <w:rsid w:val="00266FE9"/>
    <w:rsid w:val="0026762C"/>
    <w:rsid w:val="00267B9D"/>
    <w:rsid w:val="002700EB"/>
    <w:rsid w:val="00272772"/>
    <w:rsid w:val="00273C18"/>
    <w:rsid w:val="00274857"/>
    <w:rsid w:val="00276BCF"/>
    <w:rsid w:val="00277600"/>
    <w:rsid w:val="00280360"/>
    <w:rsid w:val="00281F69"/>
    <w:rsid w:val="00282664"/>
    <w:rsid w:val="00284376"/>
    <w:rsid w:val="00284B92"/>
    <w:rsid w:val="00286F64"/>
    <w:rsid w:val="0029425D"/>
    <w:rsid w:val="0029475E"/>
    <w:rsid w:val="002953DF"/>
    <w:rsid w:val="002963B0"/>
    <w:rsid w:val="002976B1"/>
    <w:rsid w:val="002A06F0"/>
    <w:rsid w:val="002A14F2"/>
    <w:rsid w:val="002A3E8F"/>
    <w:rsid w:val="002A4D9A"/>
    <w:rsid w:val="002A565B"/>
    <w:rsid w:val="002A726F"/>
    <w:rsid w:val="002B2634"/>
    <w:rsid w:val="002B4EFB"/>
    <w:rsid w:val="002B7D4A"/>
    <w:rsid w:val="002B7FA3"/>
    <w:rsid w:val="002C0067"/>
    <w:rsid w:val="002C088B"/>
    <w:rsid w:val="002C4E84"/>
    <w:rsid w:val="002C5B0A"/>
    <w:rsid w:val="002C6207"/>
    <w:rsid w:val="002C6F38"/>
    <w:rsid w:val="002C78E0"/>
    <w:rsid w:val="002D0335"/>
    <w:rsid w:val="002D0514"/>
    <w:rsid w:val="002D52BF"/>
    <w:rsid w:val="002D6D3A"/>
    <w:rsid w:val="002D7306"/>
    <w:rsid w:val="002D74CB"/>
    <w:rsid w:val="002E0D9F"/>
    <w:rsid w:val="002E1C18"/>
    <w:rsid w:val="002E265A"/>
    <w:rsid w:val="002E2DCB"/>
    <w:rsid w:val="002E2F79"/>
    <w:rsid w:val="002E4562"/>
    <w:rsid w:val="002E49A5"/>
    <w:rsid w:val="002E6EE0"/>
    <w:rsid w:val="002E74EB"/>
    <w:rsid w:val="002F0705"/>
    <w:rsid w:val="002F16BE"/>
    <w:rsid w:val="002F320F"/>
    <w:rsid w:val="002F3837"/>
    <w:rsid w:val="002F3845"/>
    <w:rsid w:val="002F3F03"/>
    <w:rsid w:val="002F53F5"/>
    <w:rsid w:val="002F59C2"/>
    <w:rsid w:val="002F59C5"/>
    <w:rsid w:val="002F6B43"/>
    <w:rsid w:val="00300E89"/>
    <w:rsid w:val="00300FEC"/>
    <w:rsid w:val="00304486"/>
    <w:rsid w:val="003065EE"/>
    <w:rsid w:val="00306B92"/>
    <w:rsid w:val="00306FE0"/>
    <w:rsid w:val="00311894"/>
    <w:rsid w:val="00312AA6"/>
    <w:rsid w:val="00315320"/>
    <w:rsid w:val="00315F59"/>
    <w:rsid w:val="003163C7"/>
    <w:rsid w:val="00316489"/>
    <w:rsid w:val="0031682D"/>
    <w:rsid w:val="003168DD"/>
    <w:rsid w:val="00320B90"/>
    <w:rsid w:val="00321B50"/>
    <w:rsid w:val="00321EB1"/>
    <w:rsid w:val="00322D98"/>
    <w:rsid w:val="003234A6"/>
    <w:rsid w:val="003239FA"/>
    <w:rsid w:val="0032471E"/>
    <w:rsid w:val="00325808"/>
    <w:rsid w:val="00325AD0"/>
    <w:rsid w:val="003273B0"/>
    <w:rsid w:val="00330877"/>
    <w:rsid w:val="003311FE"/>
    <w:rsid w:val="00331E1F"/>
    <w:rsid w:val="00332CE1"/>
    <w:rsid w:val="00333B1C"/>
    <w:rsid w:val="00334C6A"/>
    <w:rsid w:val="003354F6"/>
    <w:rsid w:val="00336EB4"/>
    <w:rsid w:val="00337878"/>
    <w:rsid w:val="003401A4"/>
    <w:rsid w:val="00340522"/>
    <w:rsid w:val="00343370"/>
    <w:rsid w:val="00343A0E"/>
    <w:rsid w:val="003452F0"/>
    <w:rsid w:val="00345934"/>
    <w:rsid w:val="00345A8E"/>
    <w:rsid w:val="00346E68"/>
    <w:rsid w:val="0034762B"/>
    <w:rsid w:val="003510E2"/>
    <w:rsid w:val="00351F58"/>
    <w:rsid w:val="00354B53"/>
    <w:rsid w:val="00354B5A"/>
    <w:rsid w:val="00354EB4"/>
    <w:rsid w:val="0035552D"/>
    <w:rsid w:val="00355657"/>
    <w:rsid w:val="00355FFC"/>
    <w:rsid w:val="00356714"/>
    <w:rsid w:val="0035683F"/>
    <w:rsid w:val="00356E33"/>
    <w:rsid w:val="003575C3"/>
    <w:rsid w:val="00362F0D"/>
    <w:rsid w:val="00362F28"/>
    <w:rsid w:val="00363CC4"/>
    <w:rsid w:val="00364142"/>
    <w:rsid w:val="003645AB"/>
    <w:rsid w:val="00364F91"/>
    <w:rsid w:val="00365380"/>
    <w:rsid w:val="003703CF"/>
    <w:rsid w:val="0037107E"/>
    <w:rsid w:val="0037116F"/>
    <w:rsid w:val="003713E3"/>
    <w:rsid w:val="00372806"/>
    <w:rsid w:val="00373642"/>
    <w:rsid w:val="00373B11"/>
    <w:rsid w:val="00373FB9"/>
    <w:rsid w:val="00374544"/>
    <w:rsid w:val="00375BD7"/>
    <w:rsid w:val="003764B5"/>
    <w:rsid w:val="00377C6A"/>
    <w:rsid w:val="003816FB"/>
    <w:rsid w:val="00381A7D"/>
    <w:rsid w:val="00381E21"/>
    <w:rsid w:val="00382642"/>
    <w:rsid w:val="00383345"/>
    <w:rsid w:val="00383DB4"/>
    <w:rsid w:val="00384685"/>
    <w:rsid w:val="0038473A"/>
    <w:rsid w:val="0038505A"/>
    <w:rsid w:val="00385393"/>
    <w:rsid w:val="003855E8"/>
    <w:rsid w:val="00385A29"/>
    <w:rsid w:val="0038752C"/>
    <w:rsid w:val="00387CBD"/>
    <w:rsid w:val="00390D57"/>
    <w:rsid w:val="00394E51"/>
    <w:rsid w:val="00397B93"/>
    <w:rsid w:val="003A09A5"/>
    <w:rsid w:val="003A268C"/>
    <w:rsid w:val="003A3328"/>
    <w:rsid w:val="003A496C"/>
    <w:rsid w:val="003A515B"/>
    <w:rsid w:val="003A5BF9"/>
    <w:rsid w:val="003A5FFB"/>
    <w:rsid w:val="003A62B8"/>
    <w:rsid w:val="003A6579"/>
    <w:rsid w:val="003A7E45"/>
    <w:rsid w:val="003A7F1C"/>
    <w:rsid w:val="003B1AF5"/>
    <w:rsid w:val="003B2DDB"/>
    <w:rsid w:val="003B2EBC"/>
    <w:rsid w:val="003B32E0"/>
    <w:rsid w:val="003B39FA"/>
    <w:rsid w:val="003B446F"/>
    <w:rsid w:val="003B5D3E"/>
    <w:rsid w:val="003C02DF"/>
    <w:rsid w:val="003C2C14"/>
    <w:rsid w:val="003C4203"/>
    <w:rsid w:val="003C43F6"/>
    <w:rsid w:val="003C45D1"/>
    <w:rsid w:val="003C69A1"/>
    <w:rsid w:val="003C6FD2"/>
    <w:rsid w:val="003C7C9C"/>
    <w:rsid w:val="003D01DC"/>
    <w:rsid w:val="003D110A"/>
    <w:rsid w:val="003D1F08"/>
    <w:rsid w:val="003D1F6E"/>
    <w:rsid w:val="003D22FA"/>
    <w:rsid w:val="003D3570"/>
    <w:rsid w:val="003D35A8"/>
    <w:rsid w:val="003D42C3"/>
    <w:rsid w:val="003D51B8"/>
    <w:rsid w:val="003D6234"/>
    <w:rsid w:val="003D6D51"/>
    <w:rsid w:val="003D7744"/>
    <w:rsid w:val="003E0217"/>
    <w:rsid w:val="003E0F0E"/>
    <w:rsid w:val="003E5188"/>
    <w:rsid w:val="003E5D32"/>
    <w:rsid w:val="003E67B5"/>
    <w:rsid w:val="003E68A1"/>
    <w:rsid w:val="003E6D54"/>
    <w:rsid w:val="003F0D43"/>
    <w:rsid w:val="003F22C2"/>
    <w:rsid w:val="003F242C"/>
    <w:rsid w:val="003F2E03"/>
    <w:rsid w:val="003F55A9"/>
    <w:rsid w:val="003F599D"/>
    <w:rsid w:val="003F5A40"/>
    <w:rsid w:val="003F6D1E"/>
    <w:rsid w:val="003F743E"/>
    <w:rsid w:val="003F77BE"/>
    <w:rsid w:val="003F79A2"/>
    <w:rsid w:val="0040065E"/>
    <w:rsid w:val="00400A21"/>
    <w:rsid w:val="00401EBF"/>
    <w:rsid w:val="00401EEA"/>
    <w:rsid w:val="004024D0"/>
    <w:rsid w:val="004029AA"/>
    <w:rsid w:val="004036BC"/>
    <w:rsid w:val="00403C5B"/>
    <w:rsid w:val="0040409A"/>
    <w:rsid w:val="00407299"/>
    <w:rsid w:val="0040779F"/>
    <w:rsid w:val="00410890"/>
    <w:rsid w:val="00410A3B"/>
    <w:rsid w:val="00410DA4"/>
    <w:rsid w:val="00413788"/>
    <w:rsid w:val="004144B9"/>
    <w:rsid w:val="00415BE6"/>
    <w:rsid w:val="004160CD"/>
    <w:rsid w:val="004170A7"/>
    <w:rsid w:val="00417771"/>
    <w:rsid w:val="00417B30"/>
    <w:rsid w:val="00417E67"/>
    <w:rsid w:val="00422AF3"/>
    <w:rsid w:val="00423347"/>
    <w:rsid w:val="00424F93"/>
    <w:rsid w:val="004253E2"/>
    <w:rsid w:val="00425474"/>
    <w:rsid w:val="00425602"/>
    <w:rsid w:val="00425AC5"/>
    <w:rsid w:val="00427435"/>
    <w:rsid w:val="0043141F"/>
    <w:rsid w:val="00432032"/>
    <w:rsid w:val="004345EF"/>
    <w:rsid w:val="004347C9"/>
    <w:rsid w:val="00435F52"/>
    <w:rsid w:val="004368EE"/>
    <w:rsid w:val="004402BA"/>
    <w:rsid w:val="00440FF9"/>
    <w:rsid w:val="004427B3"/>
    <w:rsid w:val="00443A24"/>
    <w:rsid w:val="0044430F"/>
    <w:rsid w:val="004450D9"/>
    <w:rsid w:val="004455F0"/>
    <w:rsid w:val="004459A5"/>
    <w:rsid w:val="00445C55"/>
    <w:rsid w:val="00445F1A"/>
    <w:rsid w:val="004465AD"/>
    <w:rsid w:val="004501E6"/>
    <w:rsid w:val="00450AEC"/>
    <w:rsid w:val="00450D0F"/>
    <w:rsid w:val="00451EF8"/>
    <w:rsid w:val="00452040"/>
    <w:rsid w:val="0045319D"/>
    <w:rsid w:val="004535D8"/>
    <w:rsid w:val="004553D6"/>
    <w:rsid w:val="00456048"/>
    <w:rsid w:val="00457D77"/>
    <w:rsid w:val="004602DA"/>
    <w:rsid w:val="0046052E"/>
    <w:rsid w:val="004605AB"/>
    <w:rsid w:val="00460BD0"/>
    <w:rsid w:val="00461CC7"/>
    <w:rsid w:val="004631F0"/>
    <w:rsid w:val="00463351"/>
    <w:rsid w:val="004637C1"/>
    <w:rsid w:val="00464B12"/>
    <w:rsid w:val="0046529B"/>
    <w:rsid w:val="00465788"/>
    <w:rsid w:val="004673B7"/>
    <w:rsid w:val="00467DF7"/>
    <w:rsid w:val="00470D34"/>
    <w:rsid w:val="00472708"/>
    <w:rsid w:val="00473047"/>
    <w:rsid w:val="004731EB"/>
    <w:rsid w:val="00473E4F"/>
    <w:rsid w:val="00474B42"/>
    <w:rsid w:val="00475CB2"/>
    <w:rsid w:val="004773B8"/>
    <w:rsid w:val="0048122C"/>
    <w:rsid w:val="004823F0"/>
    <w:rsid w:val="00482A20"/>
    <w:rsid w:val="00482EA4"/>
    <w:rsid w:val="00483099"/>
    <w:rsid w:val="00483194"/>
    <w:rsid w:val="004831E6"/>
    <w:rsid w:val="00483A86"/>
    <w:rsid w:val="00485D1A"/>
    <w:rsid w:val="00486D55"/>
    <w:rsid w:val="00491453"/>
    <w:rsid w:val="004937F1"/>
    <w:rsid w:val="004937F7"/>
    <w:rsid w:val="00494C1A"/>
    <w:rsid w:val="00494F95"/>
    <w:rsid w:val="00494FDD"/>
    <w:rsid w:val="004955CF"/>
    <w:rsid w:val="00496CED"/>
    <w:rsid w:val="00497E27"/>
    <w:rsid w:val="004A0003"/>
    <w:rsid w:val="004A0367"/>
    <w:rsid w:val="004A05D3"/>
    <w:rsid w:val="004A1E90"/>
    <w:rsid w:val="004A2BC7"/>
    <w:rsid w:val="004A2ECB"/>
    <w:rsid w:val="004A37F5"/>
    <w:rsid w:val="004A3BC2"/>
    <w:rsid w:val="004A7BDE"/>
    <w:rsid w:val="004B043D"/>
    <w:rsid w:val="004B06E4"/>
    <w:rsid w:val="004B0BFE"/>
    <w:rsid w:val="004B1D7C"/>
    <w:rsid w:val="004B3007"/>
    <w:rsid w:val="004B3477"/>
    <w:rsid w:val="004B4BBD"/>
    <w:rsid w:val="004B505B"/>
    <w:rsid w:val="004B50CF"/>
    <w:rsid w:val="004B6EA8"/>
    <w:rsid w:val="004C08E6"/>
    <w:rsid w:val="004C0A4C"/>
    <w:rsid w:val="004C1215"/>
    <w:rsid w:val="004C1BC7"/>
    <w:rsid w:val="004C31D5"/>
    <w:rsid w:val="004C3276"/>
    <w:rsid w:val="004C445D"/>
    <w:rsid w:val="004C4915"/>
    <w:rsid w:val="004C6977"/>
    <w:rsid w:val="004C784B"/>
    <w:rsid w:val="004D01C5"/>
    <w:rsid w:val="004D0321"/>
    <w:rsid w:val="004D06F4"/>
    <w:rsid w:val="004D111C"/>
    <w:rsid w:val="004D4896"/>
    <w:rsid w:val="004D7217"/>
    <w:rsid w:val="004D7788"/>
    <w:rsid w:val="004D7B06"/>
    <w:rsid w:val="004E0C09"/>
    <w:rsid w:val="004E367F"/>
    <w:rsid w:val="004E399C"/>
    <w:rsid w:val="004E5126"/>
    <w:rsid w:val="004E5DF9"/>
    <w:rsid w:val="004E6684"/>
    <w:rsid w:val="004F1084"/>
    <w:rsid w:val="004F17F8"/>
    <w:rsid w:val="004F2069"/>
    <w:rsid w:val="004F2C07"/>
    <w:rsid w:val="004F3638"/>
    <w:rsid w:val="004F3E5E"/>
    <w:rsid w:val="004F473C"/>
    <w:rsid w:val="004F584A"/>
    <w:rsid w:val="004F688E"/>
    <w:rsid w:val="004F782C"/>
    <w:rsid w:val="0050158D"/>
    <w:rsid w:val="00501D19"/>
    <w:rsid w:val="00501F72"/>
    <w:rsid w:val="00502AF8"/>
    <w:rsid w:val="00502BAB"/>
    <w:rsid w:val="005036B6"/>
    <w:rsid w:val="00503A4F"/>
    <w:rsid w:val="00503A97"/>
    <w:rsid w:val="00503E6C"/>
    <w:rsid w:val="00505673"/>
    <w:rsid w:val="00507956"/>
    <w:rsid w:val="00510483"/>
    <w:rsid w:val="005105EF"/>
    <w:rsid w:val="005106DF"/>
    <w:rsid w:val="00510988"/>
    <w:rsid w:val="0051160A"/>
    <w:rsid w:val="00512EA9"/>
    <w:rsid w:val="005137C5"/>
    <w:rsid w:val="00513CA1"/>
    <w:rsid w:val="00513F61"/>
    <w:rsid w:val="005147BA"/>
    <w:rsid w:val="005149C4"/>
    <w:rsid w:val="00515149"/>
    <w:rsid w:val="00515348"/>
    <w:rsid w:val="00516AA6"/>
    <w:rsid w:val="00520081"/>
    <w:rsid w:val="00520F51"/>
    <w:rsid w:val="0052122F"/>
    <w:rsid w:val="00522078"/>
    <w:rsid w:val="00525A62"/>
    <w:rsid w:val="00526161"/>
    <w:rsid w:val="00526526"/>
    <w:rsid w:val="0052775F"/>
    <w:rsid w:val="00530276"/>
    <w:rsid w:val="005315A9"/>
    <w:rsid w:val="00533B41"/>
    <w:rsid w:val="00533EC0"/>
    <w:rsid w:val="005348FF"/>
    <w:rsid w:val="0053587F"/>
    <w:rsid w:val="00535F4E"/>
    <w:rsid w:val="0053716B"/>
    <w:rsid w:val="00537246"/>
    <w:rsid w:val="00537343"/>
    <w:rsid w:val="00540A2E"/>
    <w:rsid w:val="005422A5"/>
    <w:rsid w:val="00543565"/>
    <w:rsid w:val="00543640"/>
    <w:rsid w:val="00543E60"/>
    <w:rsid w:val="005453EC"/>
    <w:rsid w:val="005460B8"/>
    <w:rsid w:val="005465FF"/>
    <w:rsid w:val="0054689A"/>
    <w:rsid w:val="00546C63"/>
    <w:rsid w:val="00547C2F"/>
    <w:rsid w:val="005524CE"/>
    <w:rsid w:val="005534BA"/>
    <w:rsid w:val="00554417"/>
    <w:rsid w:val="0055466B"/>
    <w:rsid w:val="0055476C"/>
    <w:rsid w:val="00557588"/>
    <w:rsid w:val="005576AE"/>
    <w:rsid w:val="00557787"/>
    <w:rsid w:val="00560DAB"/>
    <w:rsid w:val="00560F32"/>
    <w:rsid w:val="00561ACB"/>
    <w:rsid w:val="00561AD3"/>
    <w:rsid w:val="00562BB8"/>
    <w:rsid w:val="00562E83"/>
    <w:rsid w:val="00567E14"/>
    <w:rsid w:val="0057007E"/>
    <w:rsid w:val="00570A76"/>
    <w:rsid w:val="005712AF"/>
    <w:rsid w:val="00571D69"/>
    <w:rsid w:val="005735F8"/>
    <w:rsid w:val="00573CEE"/>
    <w:rsid w:val="0057592B"/>
    <w:rsid w:val="00575A38"/>
    <w:rsid w:val="00576A8A"/>
    <w:rsid w:val="00577700"/>
    <w:rsid w:val="005778C1"/>
    <w:rsid w:val="0058013E"/>
    <w:rsid w:val="0058025D"/>
    <w:rsid w:val="00581EB4"/>
    <w:rsid w:val="00581FE2"/>
    <w:rsid w:val="005820A3"/>
    <w:rsid w:val="0058259E"/>
    <w:rsid w:val="00582677"/>
    <w:rsid w:val="005835D7"/>
    <w:rsid w:val="00590C32"/>
    <w:rsid w:val="00592AA9"/>
    <w:rsid w:val="00592AD9"/>
    <w:rsid w:val="005931BB"/>
    <w:rsid w:val="005945B0"/>
    <w:rsid w:val="00594665"/>
    <w:rsid w:val="00595E58"/>
    <w:rsid w:val="00596C77"/>
    <w:rsid w:val="0059700A"/>
    <w:rsid w:val="005A07AF"/>
    <w:rsid w:val="005A0BFB"/>
    <w:rsid w:val="005A1990"/>
    <w:rsid w:val="005A27D6"/>
    <w:rsid w:val="005A349A"/>
    <w:rsid w:val="005A41D4"/>
    <w:rsid w:val="005A4EEB"/>
    <w:rsid w:val="005A580F"/>
    <w:rsid w:val="005A5CCC"/>
    <w:rsid w:val="005B02D0"/>
    <w:rsid w:val="005B124B"/>
    <w:rsid w:val="005B21F5"/>
    <w:rsid w:val="005B221A"/>
    <w:rsid w:val="005B2719"/>
    <w:rsid w:val="005B2A9B"/>
    <w:rsid w:val="005B3086"/>
    <w:rsid w:val="005B45B2"/>
    <w:rsid w:val="005B6DA7"/>
    <w:rsid w:val="005B6FD1"/>
    <w:rsid w:val="005B72A4"/>
    <w:rsid w:val="005B749D"/>
    <w:rsid w:val="005B74A7"/>
    <w:rsid w:val="005C3B4D"/>
    <w:rsid w:val="005C4B66"/>
    <w:rsid w:val="005C570B"/>
    <w:rsid w:val="005C5F98"/>
    <w:rsid w:val="005C6ABD"/>
    <w:rsid w:val="005C6B51"/>
    <w:rsid w:val="005C7CB6"/>
    <w:rsid w:val="005D07F0"/>
    <w:rsid w:val="005D1433"/>
    <w:rsid w:val="005D174C"/>
    <w:rsid w:val="005D280F"/>
    <w:rsid w:val="005D4461"/>
    <w:rsid w:val="005D7743"/>
    <w:rsid w:val="005D7AF3"/>
    <w:rsid w:val="005E1316"/>
    <w:rsid w:val="005E18DB"/>
    <w:rsid w:val="005E1CDD"/>
    <w:rsid w:val="005E1DE8"/>
    <w:rsid w:val="005E1FE0"/>
    <w:rsid w:val="005E280F"/>
    <w:rsid w:val="005E35BE"/>
    <w:rsid w:val="005E45A4"/>
    <w:rsid w:val="005E6389"/>
    <w:rsid w:val="005E6C3F"/>
    <w:rsid w:val="005E7B5C"/>
    <w:rsid w:val="005F070E"/>
    <w:rsid w:val="005F0A95"/>
    <w:rsid w:val="005F2BA6"/>
    <w:rsid w:val="005F3326"/>
    <w:rsid w:val="005F4B49"/>
    <w:rsid w:val="005F4D13"/>
    <w:rsid w:val="005F53B8"/>
    <w:rsid w:val="005F5BE9"/>
    <w:rsid w:val="005F754B"/>
    <w:rsid w:val="005F7E80"/>
    <w:rsid w:val="00600B1B"/>
    <w:rsid w:val="006025D6"/>
    <w:rsid w:val="0060365C"/>
    <w:rsid w:val="00603B74"/>
    <w:rsid w:val="00605674"/>
    <w:rsid w:val="00606A18"/>
    <w:rsid w:val="00607319"/>
    <w:rsid w:val="006079F4"/>
    <w:rsid w:val="00610D87"/>
    <w:rsid w:val="00611888"/>
    <w:rsid w:val="0061286E"/>
    <w:rsid w:val="00612CD5"/>
    <w:rsid w:val="00613D93"/>
    <w:rsid w:val="00614755"/>
    <w:rsid w:val="00615C60"/>
    <w:rsid w:val="00617176"/>
    <w:rsid w:val="0062070D"/>
    <w:rsid w:val="0062113D"/>
    <w:rsid w:val="006213E8"/>
    <w:rsid w:val="00621C91"/>
    <w:rsid w:val="00621F47"/>
    <w:rsid w:val="00622173"/>
    <w:rsid w:val="006235CC"/>
    <w:rsid w:val="00623BB9"/>
    <w:rsid w:val="006257ED"/>
    <w:rsid w:val="00625A17"/>
    <w:rsid w:val="00627488"/>
    <w:rsid w:val="00633298"/>
    <w:rsid w:val="00636BC0"/>
    <w:rsid w:val="006372C0"/>
    <w:rsid w:val="00640599"/>
    <w:rsid w:val="00640683"/>
    <w:rsid w:val="00640DC8"/>
    <w:rsid w:val="00641DBD"/>
    <w:rsid w:val="00642022"/>
    <w:rsid w:val="00642BDB"/>
    <w:rsid w:val="00642EE6"/>
    <w:rsid w:val="0064527C"/>
    <w:rsid w:val="00646CF5"/>
    <w:rsid w:val="006471EA"/>
    <w:rsid w:val="006513F1"/>
    <w:rsid w:val="00652AC3"/>
    <w:rsid w:val="0065350B"/>
    <w:rsid w:val="00653FBB"/>
    <w:rsid w:val="0065413D"/>
    <w:rsid w:val="00655C9B"/>
    <w:rsid w:val="00657828"/>
    <w:rsid w:val="00661F08"/>
    <w:rsid w:val="006630E9"/>
    <w:rsid w:val="006636F0"/>
    <w:rsid w:val="00666CE9"/>
    <w:rsid w:val="00667582"/>
    <w:rsid w:val="006678EE"/>
    <w:rsid w:val="00667A49"/>
    <w:rsid w:val="00667F67"/>
    <w:rsid w:val="00670995"/>
    <w:rsid w:val="006713EE"/>
    <w:rsid w:val="00671B54"/>
    <w:rsid w:val="00671D35"/>
    <w:rsid w:val="00672DA2"/>
    <w:rsid w:val="0067313D"/>
    <w:rsid w:val="0067589B"/>
    <w:rsid w:val="006764EE"/>
    <w:rsid w:val="00676D82"/>
    <w:rsid w:val="00677C60"/>
    <w:rsid w:val="00682AD7"/>
    <w:rsid w:val="006831D9"/>
    <w:rsid w:val="006833AC"/>
    <w:rsid w:val="00683A62"/>
    <w:rsid w:val="00684538"/>
    <w:rsid w:val="00684B25"/>
    <w:rsid w:val="00685CFF"/>
    <w:rsid w:val="00686F8C"/>
    <w:rsid w:val="006870D8"/>
    <w:rsid w:val="006904EC"/>
    <w:rsid w:val="006917B6"/>
    <w:rsid w:val="00691E61"/>
    <w:rsid w:val="00692B75"/>
    <w:rsid w:val="0069503D"/>
    <w:rsid w:val="00695041"/>
    <w:rsid w:val="00695DB3"/>
    <w:rsid w:val="00696767"/>
    <w:rsid w:val="00697DE5"/>
    <w:rsid w:val="006A0AB1"/>
    <w:rsid w:val="006A0BB0"/>
    <w:rsid w:val="006A3DD1"/>
    <w:rsid w:val="006A43F7"/>
    <w:rsid w:val="006A527B"/>
    <w:rsid w:val="006A724B"/>
    <w:rsid w:val="006B0111"/>
    <w:rsid w:val="006B04B7"/>
    <w:rsid w:val="006B0DC5"/>
    <w:rsid w:val="006B1D38"/>
    <w:rsid w:val="006B2E4F"/>
    <w:rsid w:val="006B31D3"/>
    <w:rsid w:val="006B42CD"/>
    <w:rsid w:val="006B4891"/>
    <w:rsid w:val="006B6685"/>
    <w:rsid w:val="006B7808"/>
    <w:rsid w:val="006B79DF"/>
    <w:rsid w:val="006C02C6"/>
    <w:rsid w:val="006C1CC7"/>
    <w:rsid w:val="006C20BA"/>
    <w:rsid w:val="006C2712"/>
    <w:rsid w:val="006C35FB"/>
    <w:rsid w:val="006C5800"/>
    <w:rsid w:val="006C599B"/>
    <w:rsid w:val="006C660E"/>
    <w:rsid w:val="006C6685"/>
    <w:rsid w:val="006D0313"/>
    <w:rsid w:val="006D0737"/>
    <w:rsid w:val="006D112C"/>
    <w:rsid w:val="006D1B03"/>
    <w:rsid w:val="006D20E8"/>
    <w:rsid w:val="006D224F"/>
    <w:rsid w:val="006D238A"/>
    <w:rsid w:val="006D2D4D"/>
    <w:rsid w:val="006D4284"/>
    <w:rsid w:val="006D457B"/>
    <w:rsid w:val="006D4DA9"/>
    <w:rsid w:val="006D5E47"/>
    <w:rsid w:val="006D5E65"/>
    <w:rsid w:val="006D6088"/>
    <w:rsid w:val="006D6C51"/>
    <w:rsid w:val="006D7EC3"/>
    <w:rsid w:val="006E0BF9"/>
    <w:rsid w:val="006E1DAF"/>
    <w:rsid w:val="006E20BD"/>
    <w:rsid w:val="006E20EB"/>
    <w:rsid w:val="006E24E7"/>
    <w:rsid w:val="006E2B4B"/>
    <w:rsid w:val="006E33E8"/>
    <w:rsid w:val="006E3ABA"/>
    <w:rsid w:val="006E3F19"/>
    <w:rsid w:val="006E65AF"/>
    <w:rsid w:val="006E6B83"/>
    <w:rsid w:val="006E7519"/>
    <w:rsid w:val="006E7CA1"/>
    <w:rsid w:val="006F40C3"/>
    <w:rsid w:val="006F4AC8"/>
    <w:rsid w:val="006F4DF0"/>
    <w:rsid w:val="006F56CD"/>
    <w:rsid w:val="006F57A2"/>
    <w:rsid w:val="006F59F1"/>
    <w:rsid w:val="006F76E7"/>
    <w:rsid w:val="006F7948"/>
    <w:rsid w:val="00701AA4"/>
    <w:rsid w:val="00703919"/>
    <w:rsid w:val="007041BA"/>
    <w:rsid w:val="00704350"/>
    <w:rsid w:val="0070505C"/>
    <w:rsid w:val="00705C3D"/>
    <w:rsid w:val="007068D0"/>
    <w:rsid w:val="00710033"/>
    <w:rsid w:val="00711394"/>
    <w:rsid w:val="00712AEA"/>
    <w:rsid w:val="00712E19"/>
    <w:rsid w:val="00716CC8"/>
    <w:rsid w:val="00716DD2"/>
    <w:rsid w:val="007201D9"/>
    <w:rsid w:val="0072078E"/>
    <w:rsid w:val="00720FE4"/>
    <w:rsid w:val="007218A9"/>
    <w:rsid w:val="00722011"/>
    <w:rsid w:val="007222F5"/>
    <w:rsid w:val="00723E98"/>
    <w:rsid w:val="0072516B"/>
    <w:rsid w:val="0072544B"/>
    <w:rsid w:val="00725523"/>
    <w:rsid w:val="007304ED"/>
    <w:rsid w:val="0073127E"/>
    <w:rsid w:val="00731586"/>
    <w:rsid w:val="0073348E"/>
    <w:rsid w:val="00736E69"/>
    <w:rsid w:val="007376FF"/>
    <w:rsid w:val="00740DD5"/>
    <w:rsid w:val="00740F3F"/>
    <w:rsid w:val="00741251"/>
    <w:rsid w:val="00742474"/>
    <w:rsid w:val="00743BA7"/>
    <w:rsid w:val="0074576B"/>
    <w:rsid w:val="00745C82"/>
    <w:rsid w:val="00746111"/>
    <w:rsid w:val="00746325"/>
    <w:rsid w:val="007500B6"/>
    <w:rsid w:val="007532AC"/>
    <w:rsid w:val="007535AF"/>
    <w:rsid w:val="0075368E"/>
    <w:rsid w:val="007538E1"/>
    <w:rsid w:val="00753C91"/>
    <w:rsid w:val="007540D9"/>
    <w:rsid w:val="00754FAF"/>
    <w:rsid w:val="007553FB"/>
    <w:rsid w:val="00757052"/>
    <w:rsid w:val="00757813"/>
    <w:rsid w:val="0076039F"/>
    <w:rsid w:val="00761A85"/>
    <w:rsid w:val="00762F9B"/>
    <w:rsid w:val="0076497F"/>
    <w:rsid w:val="00764F0F"/>
    <w:rsid w:val="0076508A"/>
    <w:rsid w:val="007656FC"/>
    <w:rsid w:val="00767215"/>
    <w:rsid w:val="00767AB5"/>
    <w:rsid w:val="00770BF5"/>
    <w:rsid w:val="00773C0A"/>
    <w:rsid w:val="007743F6"/>
    <w:rsid w:val="00774D18"/>
    <w:rsid w:val="00774DF0"/>
    <w:rsid w:val="00774F53"/>
    <w:rsid w:val="00775455"/>
    <w:rsid w:val="00775B82"/>
    <w:rsid w:val="00776B69"/>
    <w:rsid w:val="00776C58"/>
    <w:rsid w:val="0077749B"/>
    <w:rsid w:val="007801F8"/>
    <w:rsid w:val="00780C60"/>
    <w:rsid w:val="007822C0"/>
    <w:rsid w:val="00783F98"/>
    <w:rsid w:val="00784259"/>
    <w:rsid w:val="00784EE8"/>
    <w:rsid w:val="007855B8"/>
    <w:rsid w:val="00785879"/>
    <w:rsid w:val="00785E1C"/>
    <w:rsid w:val="00787E30"/>
    <w:rsid w:val="00787EF3"/>
    <w:rsid w:val="00791351"/>
    <w:rsid w:val="007917DF"/>
    <w:rsid w:val="00791BF0"/>
    <w:rsid w:val="00792470"/>
    <w:rsid w:val="00792A90"/>
    <w:rsid w:val="00793102"/>
    <w:rsid w:val="00793920"/>
    <w:rsid w:val="00793C00"/>
    <w:rsid w:val="00795310"/>
    <w:rsid w:val="00796803"/>
    <w:rsid w:val="00796AAB"/>
    <w:rsid w:val="007979B6"/>
    <w:rsid w:val="007A097F"/>
    <w:rsid w:val="007A20BD"/>
    <w:rsid w:val="007A2358"/>
    <w:rsid w:val="007A2417"/>
    <w:rsid w:val="007A31B5"/>
    <w:rsid w:val="007A46D4"/>
    <w:rsid w:val="007A771A"/>
    <w:rsid w:val="007B0022"/>
    <w:rsid w:val="007B0ECD"/>
    <w:rsid w:val="007B325B"/>
    <w:rsid w:val="007B4276"/>
    <w:rsid w:val="007B4391"/>
    <w:rsid w:val="007B63BB"/>
    <w:rsid w:val="007B6560"/>
    <w:rsid w:val="007B6E02"/>
    <w:rsid w:val="007B6E69"/>
    <w:rsid w:val="007B74E4"/>
    <w:rsid w:val="007B7B6E"/>
    <w:rsid w:val="007B7C4F"/>
    <w:rsid w:val="007C0781"/>
    <w:rsid w:val="007C122A"/>
    <w:rsid w:val="007C2415"/>
    <w:rsid w:val="007C2AAE"/>
    <w:rsid w:val="007C35B4"/>
    <w:rsid w:val="007C35B5"/>
    <w:rsid w:val="007C44B9"/>
    <w:rsid w:val="007C53DC"/>
    <w:rsid w:val="007C5BB6"/>
    <w:rsid w:val="007C7220"/>
    <w:rsid w:val="007D060A"/>
    <w:rsid w:val="007D3D72"/>
    <w:rsid w:val="007D3F68"/>
    <w:rsid w:val="007D6B2B"/>
    <w:rsid w:val="007D71ED"/>
    <w:rsid w:val="007E452C"/>
    <w:rsid w:val="007E4AB7"/>
    <w:rsid w:val="007E5173"/>
    <w:rsid w:val="007E6A62"/>
    <w:rsid w:val="007E732D"/>
    <w:rsid w:val="007E735C"/>
    <w:rsid w:val="007E7EB6"/>
    <w:rsid w:val="007E7ED8"/>
    <w:rsid w:val="007F0502"/>
    <w:rsid w:val="007F13AC"/>
    <w:rsid w:val="007F1B04"/>
    <w:rsid w:val="007F4F11"/>
    <w:rsid w:val="007F6282"/>
    <w:rsid w:val="007F7499"/>
    <w:rsid w:val="007F7EF2"/>
    <w:rsid w:val="008051B3"/>
    <w:rsid w:val="008060DC"/>
    <w:rsid w:val="008064EF"/>
    <w:rsid w:val="00806563"/>
    <w:rsid w:val="008106D8"/>
    <w:rsid w:val="0081100C"/>
    <w:rsid w:val="00812201"/>
    <w:rsid w:val="00812BB9"/>
    <w:rsid w:val="00812EB1"/>
    <w:rsid w:val="00813D79"/>
    <w:rsid w:val="008158B6"/>
    <w:rsid w:val="008159FD"/>
    <w:rsid w:val="00816A9F"/>
    <w:rsid w:val="00816DFA"/>
    <w:rsid w:val="008203CA"/>
    <w:rsid w:val="00821D14"/>
    <w:rsid w:val="00821DEE"/>
    <w:rsid w:val="00822172"/>
    <w:rsid w:val="00822A4E"/>
    <w:rsid w:val="00826F9F"/>
    <w:rsid w:val="008275FC"/>
    <w:rsid w:val="00830B18"/>
    <w:rsid w:val="00831F1D"/>
    <w:rsid w:val="0083212D"/>
    <w:rsid w:val="008327F8"/>
    <w:rsid w:val="00834893"/>
    <w:rsid w:val="00835011"/>
    <w:rsid w:val="00836302"/>
    <w:rsid w:val="0083798E"/>
    <w:rsid w:val="00840284"/>
    <w:rsid w:val="00841FEE"/>
    <w:rsid w:val="00842032"/>
    <w:rsid w:val="008421D1"/>
    <w:rsid w:val="0084234E"/>
    <w:rsid w:val="008424BF"/>
    <w:rsid w:val="0084311A"/>
    <w:rsid w:val="008444D3"/>
    <w:rsid w:val="00844CAF"/>
    <w:rsid w:val="00844DAF"/>
    <w:rsid w:val="008454FF"/>
    <w:rsid w:val="0084591E"/>
    <w:rsid w:val="00845D86"/>
    <w:rsid w:val="0084609B"/>
    <w:rsid w:val="00846401"/>
    <w:rsid w:val="0084760C"/>
    <w:rsid w:val="00851486"/>
    <w:rsid w:val="008522D4"/>
    <w:rsid w:val="0085363D"/>
    <w:rsid w:val="008541EC"/>
    <w:rsid w:val="00854933"/>
    <w:rsid w:val="00854F25"/>
    <w:rsid w:val="008554D2"/>
    <w:rsid w:val="00856183"/>
    <w:rsid w:val="0085686D"/>
    <w:rsid w:val="00856CA8"/>
    <w:rsid w:val="00857F1F"/>
    <w:rsid w:val="00860AAB"/>
    <w:rsid w:val="00860B6E"/>
    <w:rsid w:val="00862F9C"/>
    <w:rsid w:val="008630AA"/>
    <w:rsid w:val="00865DA8"/>
    <w:rsid w:val="008660C9"/>
    <w:rsid w:val="008676E5"/>
    <w:rsid w:val="00867A28"/>
    <w:rsid w:val="00867EF7"/>
    <w:rsid w:val="00872406"/>
    <w:rsid w:val="00872E93"/>
    <w:rsid w:val="008737C8"/>
    <w:rsid w:val="00873B05"/>
    <w:rsid w:val="00873DA9"/>
    <w:rsid w:val="00873DAB"/>
    <w:rsid w:val="008752E0"/>
    <w:rsid w:val="008766EE"/>
    <w:rsid w:val="00876AE0"/>
    <w:rsid w:val="008771D1"/>
    <w:rsid w:val="008836E1"/>
    <w:rsid w:val="00886E5D"/>
    <w:rsid w:val="00886E61"/>
    <w:rsid w:val="00887F71"/>
    <w:rsid w:val="0089046A"/>
    <w:rsid w:val="00890481"/>
    <w:rsid w:val="00890783"/>
    <w:rsid w:val="00892341"/>
    <w:rsid w:val="00892AF6"/>
    <w:rsid w:val="00893834"/>
    <w:rsid w:val="0089414A"/>
    <w:rsid w:val="00894890"/>
    <w:rsid w:val="00894960"/>
    <w:rsid w:val="00894F36"/>
    <w:rsid w:val="00895E7D"/>
    <w:rsid w:val="00897C18"/>
    <w:rsid w:val="008A1C59"/>
    <w:rsid w:val="008A3353"/>
    <w:rsid w:val="008A362B"/>
    <w:rsid w:val="008A5C49"/>
    <w:rsid w:val="008A7BAD"/>
    <w:rsid w:val="008B0D42"/>
    <w:rsid w:val="008B10B4"/>
    <w:rsid w:val="008B2DC8"/>
    <w:rsid w:val="008B4F20"/>
    <w:rsid w:val="008B5296"/>
    <w:rsid w:val="008B5315"/>
    <w:rsid w:val="008B5BBD"/>
    <w:rsid w:val="008C00BE"/>
    <w:rsid w:val="008C1CD1"/>
    <w:rsid w:val="008C5280"/>
    <w:rsid w:val="008C60C6"/>
    <w:rsid w:val="008C72C4"/>
    <w:rsid w:val="008C7F9B"/>
    <w:rsid w:val="008D0484"/>
    <w:rsid w:val="008D1D39"/>
    <w:rsid w:val="008D3347"/>
    <w:rsid w:val="008D3383"/>
    <w:rsid w:val="008D4A0E"/>
    <w:rsid w:val="008D6F8D"/>
    <w:rsid w:val="008E0EF2"/>
    <w:rsid w:val="008E2020"/>
    <w:rsid w:val="008E4510"/>
    <w:rsid w:val="008E45EB"/>
    <w:rsid w:val="008E47B5"/>
    <w:rsid w:val="008E4AC7"/>
    <w:rsid w:val="008E525E"/>
    <w:rsid w:val="008E6B91"/>
    <w:rsid w:val="008E700A"/>
    <w:rsid w:val="008F0D4D"/>
    <w:rsid w:val="008F1811"/>
    <w:rsid w:val="008F29E1"/>
    <w:rsid w:val="008F573D"/>
    <w:rsid w:val="008F57A0"/>
    <w:rsid w:val="008F6364"/>
    <w:rsid w:val="008F73C2"/>
    <w:rsid w:val="0090161B"/>
    <w:rsid w:val="00902179"/>
    <w:rsid w:val="0090399B"/>
    <w:rsid w:val="00904A5A"/>
    <w:rsid w:val="00904CA5"/>
    <w:rsid w:val="00904EDD"/>
    <w:rsid w:val="0090541E"/>
    <w:rsid w:val="00905837"/>
    <w:rsid w:val="0091389C"/>
    <w:rsid w:val="00915076"/>
    <w:rsid w:val="00915982"/>
    <w:rsid w:val="00915C13"/>
    <w:rsid w:val="00916F35"/>
    <w:rsid w:val="00917B95"/>
    <w:rsid w:val="00917CD6"/>
    <w:rsid w:val="00917CDA"/>
    <w:rsid w:val="0092135B"/>
    <w:rsid w:val="009221F3"/>
    <w:rsid w:val="009222E5"/>
    <w:rsid w:val="009234A0"/>
    <w:rsid w:val="00923C70"/>
    <w:rsid w:val="009244C9"/>
    <w:rsid w:val="00924D04"/>
    <w:rsid w:val="0092528C"/>
    <w:rsid w:val="00926924"/>
    <w:rsid w:val="009306A7"/>
    <w:rsid w:val="00931544"/>
    <w:rsid w:val="00931FBF"/>
    <w:rsid w:val="00932F5B"/>
    <w:rsid w:val="00933228"/>
    <w:rsid w:val="009351D9"/>
    <w:rsid w:val="00935213"/>
    <w:rsid w:val="009367AB"/>
    <w:rsid w:val="00936C58"/>
    <w:rsid w:val="00936D55"/>
    <w:rsid w:val="00937321"/>
    <w:rsid w:val="009401E7"/>
    <w:rsid w:val="00942D3B"/>
    <w:rsid w:val="0094392B"/>
    <w:rsid w:val="00946018"/>
    <w:rsid w:val="0094624A"/>
    <w:rsid w:val="0094663D"/>
    <w:rsid w:val="00947292"/>
    <w:rsid w:val="009503BE"/>
    <w:rsid w:val="00951E0C"/>
    <w:rsid w:val="00952AD7"/>
    <w:rsid w:val="00953907"/>
    <w:rsid w:val="00953D09"/>
    <w:rsid w:val="0095699B"/>
    <w:rsid w:val="009575A4"/>
    <w:rsid w:val="00957EB9"/>
    <w:rsid w:val="009603DF"/>
    <w:rsid w:val="00960797"/>
    <w:rsid w:val="00960F29"/>
    <w:rsid w:val="009615B1"/>
    <w:rsid w:val="009626E0"/>
    <w:rsid w:val="00962E39"/>
    <w:rsid w:val="0096314D"/>
    <w:rsid w:val="00963DC7"/>
    <w:rsid w:val="0096574D"/>
    <w:rsid w:val="009660AB"/>
    <w:rsid w:val="009706DE"/>
    <w:rsid w:val="00970B4C"/>
    <w:rsid w:val="00971CB7"/>
    <w:rsid w:val="00971E3D"/>
    <w:rsid w:val="009723C6"/>
    <w:rsid w:val="00974B47"/>
    <w:rsid w:val="009750A5"/>
    <w:rsid w:val="00976BAF"/>
    <w:rsid w:val="00976FC7"/>
    <w:rsid w:val="0098009F"/>
    <w:rsid w:val="00982528"/>
    <w:rsid w:val="009837C8"/>
    <w:rsid w:val="00985596"/>
    <w:rsid w:val="0098576D"/>
    <w:rsid w:val="00986136"/>
    <w:rsid w:val="00987C53"/>
    <w:rsid w:val="0099179C"/>
    <w:rsid w:val="00991D04"/>
    <w:rsid w:val="009922C7"/>
    <w:rsid w:val="009946DE"/>
    <w:rsid w:val="00995130"/>
    <w:rsid w:val="00995467"/>
    <w:rsid w:val="009969BF"/>
    <w:rsid w:val="009975AB"/>
    <w:rsid w:val="0099798B"/>
    <w:rsid w:val="00997E6B"/>
    <w:rsid w:val="009A3D96"/>
    <w:rsid w:val="009A3F07"/>
    <w:rsid w:val="009A4AD9"/>
    <w:rsid w:val="009A6BF7"/>
    <w:rsid w:val="009B0E6F"/>
    <w:rsid w:val="009B19DB"/>
    <w:rsid w:val="009B2288"/>
    <w:rsid w:val="009B2BDD"/>
    <w:rsid w:val="009B4287"/>
    <w:rsid w:val="009B514A"/>
    <w:rsid w:val="009B5186"/>
    <w:rsid w:val="009B6D01"/>
    <w:rsid w:val="009B7511"/>
    <w:rsid w:val="009B7BC3"/>
    <w:rsid w:val="009C1E65"/>
    <w:rsid w:val="009C5BDF"/>
    <w:rsid w:val="009C67F7"/>
    <w:rsid w:val="009C6B73"/>
    <w:rsid w:val="009C6E53"/>
    <w:rsid w:val="009C7942"/>
    <w:rsid w:val="009C7B0F"/>
    <w:rsid w:val="009D270E"/>
    <w:rsid w:val="009D2B51"/>
    <w:rsid w:val="009D2BB2"/>
    <w:rsid w:val="009D4049"/>
    <w:rsid w:val="009D435A"/>
    <w:rsid w:val="009D5665"/>
    <w:rsid w:val="009D5C11"/>
    <w:rsid w:val="009D6FF3"/>
    <w:rsid w:val="009E16D2"/>
    <w:rsid w:val="009E1A64"/>
    <w:rsid w:val="009E2173"/>
    <w:rsid w:val="009E4B0F"/>
    <w:rsid w:val="009E4F95"/>
    <w:rsid w:val="009E5808"/>
    <w:rsid w:val="009E5BFA"/>
    <w:rsid w:val="009E646F"/>
    <w:rsid w:val="009E64F9"/>
    <w:rsid w:val="009E6549"/>
    <w:rsid w:val="009E7D0F"/>
    <w:rsid w:val="009F0E7C"/>
    <w:rsid w:val="009F0F9D"/>
    <w:rsid w:val="009F1721"/>
    <w:rsid w:val="009F6373"/>
    <w:rsid w:val="009F78CF"/>
    <w:rsid w:val="00A00888"/>
    <w:rsid w:val="00A00A19"/>
    <w:rsid w:val="00A00C9C"/>
    <w:rsid w:val="00A00ED7"/>
    <w:rsid w:val="00A01469"/>
    <w:rsid w:val="00A02B5C"/>
    <w:rsid w:val="00A02F12"/>
    <w:rsid w:val="00A04559"/>
    <w:rsid w:val="00A0663F"/>
    <w:rsid w:val="00A12C79"/>
    <w:rsid w:val="00A1630F"/>
    <w:rsid w:val="00A16451"/>
    <w:rsid w:val="00A16815"/>
    <w:rsid w:val="00A16BD6"/>
    <w:rsid w:val="00A17789"/>
    <w:rsid w:val="00A1784C"/>
    <w:rsid w:val="00A20911"/>
    <w:rsid w:val="00A21A8D"/>
    <w:rsid w:val="00A21CA6"/>
    <w:rsid w:val="00A223F8"/>
    <w:rsid w:val="00A23EDF"/>
    <w:rsid w:val="00A2594F"/>
    <w:rsid w:val="00A2658B"/>
    <w:rsid w:val="00A265A3"/>
    <w:rsid w:val="00A269DF"/>
    <w:rsid w:val="00A27E9B"/>
    <w:rsid w:val="00A30B5E"/>
    <w:rsid w:val="00A31256"/>
    <w:rsid w:val="00A315EF"/>
    <w:rsid w:val="00A3160E"/>
    <w:rsid w:val="00A31740"/>
    <w:rsid w:val="00A31E85"/>
    <w:rsid w:val="00A3284C"/>
    <w:rsid w:val="00A33F17"/>
    <w:rsid w:val="00A3472A"/>
    <w:rsid w:val="00A359E4"/>
    <w:rsid w:val="00A365BE"/>
    <w:rsid w:val="00A3704E"/>
    <w:rsid w:val="00A377D9"/>
    <w:rsid w:val="00A37B73"/>
    <w:rsid w:val="00A40609"/>
    <w:rsid w:val="00A4112C"/>
    <w:rsid w:val="00A41FCF"/>
    <w:rsid w:val="00A429AC"/>
    <w:rsid w:val="00A45087"/>
    <w:rsid w:val="00A45EE7"/>
    <w:rsid w:val="00A51578"/>
    <w:rsid w:val="00A52EB9"/>
    <w:rsid w:val="00A534D5"/>
    <w:rsid w:val="00A54CE8"/>
    <w:rsid w:val="00A57AEB"/>
    <w:rsid w:val="00A57F14"/>
    <w:rsid w:val="00A610AF"/>
    <w:rsid w:val="00A63343"/>
    <w:rsid w:val="00A65A38"/>
    <w:rsid w:val="00A66125"/>
    <w:rsid w:val="00A664D6"/>
    <w:rsid w:val="00A66A5F"/>
    <w:rsid w:val="00A675EF"/>
    <w:rsid w:val="00A6762E"/>
    <w:rsid w:val="00A67AB6"/>
    <w:rsid w:val="00A7027C"/>
    <w:rsid w:val="00A716D9"/>
    <w:rsid w:val="00A71EE0"/>
    <w:rsid w:val="00A72DC3"/>
    <w:rsid w:val="00A72EB0"/>
    <w:rsid w:val="00A74F63"/>
    <w:rsid w:val="00A74FCB"/>
    <w:rsid w:val="00A75243"/>
    <w:rsid w:val="00A7531E"/>
    <w:rsid w:val="00A76FF8"/>
    <w:rsid w:val="00A77EEC"/>
    <w:rsid w:val="00A81EB2"/>
    <w:rsid w:val="00A835E8"/>
    <w:rsid w:val="00A8389F"/>
    <w:rsid w:val="00A84D77"/>
    <w:rsid w:val="00A870B5"/>
    <w:rsid w:val="00A90206"/>
    <w:rsid w:val="00A9036E"/>
    <w:rsid w:val="00A904CC"/>
    <w:rsid w:val="00A91132"/>
    <w:rsid w:val="00A92ECB"/>
    <w:rsid w:val="00A95783"/>
    <w:rsid w:val="00A96B4E"/>
    <w:rsid w:val="00AA019A"/>
    <w:rsid w:val="00AA5D57"/>
    <w:rsid w:val="00AB0BBE"/>
    <w:rsid w:val="00AB28DB"/>
    <w:rsid w:val="00AB299D"/>
    <w:rsid w:val="00AB30A8"/>
    <w:rsid w:val="00AB5623"/>
    <w:rsid w:val="00AB699D"/>
    <w:rsid w:val="00AB75B1"/>
    <w:rsid w:val="00AC2217"/>
    <w:rsid w:val="00AC26E9"/>
    <w:rsid w:val="00AC2E7F"/>
    <w:rsid w:val="00AC6DFA"/>
    <w:rsid w:val="00AD0267"/>
    <w:rsid w:val="00AD1515"/>
    <w:rsid w:val="00AD692D"/>
    <w:rsid w:val="00AD7FCF"/>
    <w:rsid w:val="00AE0EF9"/>
    <w:rsid w:val="00AE2D3B"/>
    <w:rsid w:val="00AE425E"/>
    <w:rsid w:val="00AE6001"/>
    <w:rsid w:val="00AE60BC"/>
    <w:rsid w:val="00AE62E2"/>
    <w:rsid w:val="00AE7F81"/>
    <w:rsid w:val="00AF0FD3"/>
    <w:rsid w:val="00AF1BC3"/>
    <w:rsid w:val="00AF2B2D"/>
    <w:rsid w:val="00AF399C"/>
    <w:rsid w:val="00AF4B22"/>
    <w:rsid w:val="00AF58F1"/>
    <w:rsid w:val="00AF6647"/>
    <w:rsid w:val="00AF6ADE"/>
    <w:rsid w:val="00AF6CC7"/>
    <w:rsid w:val="00B007B6"/>
    <w:rsid w:val="00B02558"/>
    <w:rsid w:val="00B02DE7"/>
    <w:rsid w:val="00B02F61"/>
    <w:rsid w:val="00B0383C"/>
    <w:rsid w:val="00B03BDE"/>
    <w:rsid w:val="00B03DF1"/>
    <w:rsid w:val="00B03EF4"/>
    <w:rsid w:val="00B06D69"/>
    <w:rsid w:val="00B075DC"/>
    <w:rsid w:val="00B10834"/>
    <w:rsid w:val="00B11161"/>
    <w:rsid w:val="00B11443"/>
    <w:rsid w:val="00B132C5"/>
    <w:rsid w:val="00B1622D"/>
    <w:rsid w:val="00B23F14"/>
    <w:rsid w:val="00B24755"/>
    <w:rsid w:val="00B24E0B"/>
    <w:rsid w:val="00B25469"/>
    <w:rsid w:val="00B27F97"/>
    <w:rsid w:val="00B3029A"/>
    <w:rsid w:val="00B30427"/>
    <w:rsid w:val="00B319EA"/>
    <w:rsid w:val="00B3381C"/>
    <w:rsid w:val="00B358AE"/>
    <w:rsid w:val="00B36568"/>
    <w:rsid w:val="00B368F4"/>
    <w:rsid w:val="00B40C0A"/>
    <w:rsid w:val="00B41323"/>
    <w:rsid w:val="00B41445"/>
    <w:rsid w:val="00B4463B"/>
    <w:rsid w:val="00B44967"/>
    <w:rsid w:val="00B45BCC"/>
    <w:rsid w:val="00B4699B"/>
    <w:rsid w:val="00B50EDB"/>
    <w:rsid w:val="00B51873"/>
    <w:rsid w:val="00B520E0"/>
    <w:rsid w:val="00B5272A"/>
    <w:rsid w:val="00B573CD"/>
    <w:rsid w:val="00B57F4B"/>
    <w:rsid w:val="00B606AD"/>
    <w:rsid w:val="00B60879"/>
    <w:rsid w:val="00B60B21"/>
    <w:rsid w:val="00B612EC"/>
    <w:rsid w:val="00B6148E"/>
    <w:rsid w:val="00B61A0D"/>
    <w:rsid w:val="00B61F2E"/>
    <w:rsid w:val="00B621C9"/>
    <w:rsid w:val="00B64083"/>
    <w:rsid w:val="00B64ED6"/>
    <w:rsid w:val="00B6599F"/>
    <w:rsid w:val="00B65BC7"/>
    <w:rsid w:val="00B66ED9"/>
    <w:rsid w:val="00B70547"/>
    <w:rsid w:val="00B70AF6"/>
    <w:rsid w:val="00B7159D"/>
    <w:rsid w:val="00B71A91"/>
    <w:rsid w:val="00B71C97"/>
    <w:rsid w:val="00B74A29"/>
    <w:rsid w:val="00B7509C"/>
    <w:rsid w:val="00B76C3F"/>
    <w:rsid w:val="00B770C2"/>
    <w:rsid w:val="00B7776C"/>
    <w:rsid w:val="00B80514"/>
    <w:rsid w:val="00B81A8C"/>
    <w:rsid w:val="00B82A19"/>
    <w:rsid w:val="00B8343C"/>
    <w:rsid w:val="00B85564"/>
    <w:rsid w:val="00B85CCF"/>
    <w:rsid w:val="00B85EF5"/>
    <w:rsid w:val="00B86796"/>
    <w:rsid w:val="00B8754A"/>
    <w:rsid w:val="00B90EA3"/>
    <w:rsid w:val="00B913B6"/>
    <w:rsid w:val="00B918E4"/>
    <w:rsid w:val="00B928ED"/>
    <w:rsid w:val="00B93361"/>
    <w:rsid w:val="00B946E9"/>
    <w:rsid w:val="00B94734"/>
    <w:rsid w:val="00B94A32"/>
    <w:rsid w:val="00B94DAC"/>
    <w:rsid w:val="00B9553C"/>
    <w:rsid w:val="00B95E5F"/>
    <w:rsid w:val="00B9651B"/>
    <w:rsid w:val="00B9721C"/>
    <w:rsid w:val="00B97B53"/>
    <w:rsid w:val="00BA1BDC"/>
    <w:rsid w:val="00BA2756"/>
    <w:rsid w:val="00BA34AD"/>
    <w:rsid w:val="00BA4406"/>
    <w:rsid w:val="00BA4AC7"/>
    <w:rsid w:val="00BA4C03"/>
    <w:rsid w:val="00BA63C3"/>
    <w:rsid w:val="00BA69DF"/>
    <w:rsid w:val="00BA7B91"/>
    <w:rsid w:val="00BB087B"/>
    <w:rsid w:val="00BB3BD1"/>
    <w:rsid w:val="00BB5BA1"/>
    <w:rsid w:val="00BB61C8"/>
    <w:rsid w:val="00BB79F1"/>
    <w:rsid w:val="00BB7FD0"/>
    <w:rsid w:val="00BC03D0"/>
    <w:rsid w:val="00BC0E97"/>
    <w:rsid w:val="00BC29F0"/>
    <w:rsid w:val="00BC2AB1"/>
    <w:rsid w:val="00BC3CA5"/>
    <w:rsid w:val="00BC501C"/>
    <w:rsid w:val="00BC58FF"/>
    <w:rsid w:val="00BC5E5E"/>
    <w:rsid w:val="00BC5E8E"/>
    <w:rsid w:val="00BD180A"/>
    <w:rsid w:val="00BD30B8"/>
    <w:rsid w:val="00BD33C4"/>
    <w:rsid w:val="00BD3826"/>
    <w:rsid w:val="00BD3F72"/>
    <w:rsid w:val="00BD4CFE"/>
    <w:rsid w:val="00BD6B92"/>
    <w:rsid w:val="00BD6C13"/>
    <w:rsid w:val="00BD6D6A"/>
    <w:rsid w:val="00BD76F9"/>
    <w:rsid w:val="00BE0221"/>
    <w:rsid w:val="00BE175A"/>
    <w:rsid w:val="00BE1E75"/>
    <w:rsid w:val="00BE2396"/>
    <w:rsid w:val="00BE2467"/>
    <w:rsid w:val="00BE418A"/>
    <w:rsid w:val="00BE4A82"/>
    <w:rsid w:val="00BE5615"/>
    <w:rsid w:val="00BE5633"/>
    <w:rsid w:val="00BE61FA"/>
    <w:rsid w:val="00BE687E"/>
    <w:rsid w:val="00BE6CAE"/>
    <w:rsid w:val="00BE74AC"/>
    <w:rsid w:val="00BE79F5"/>
    <w:rsid w:val="00BE7A03"/>
    <w:rsid w:val="00BF013C"/>
    <w:rsid w:val="00BF03E2"/>
    <w:rsid w:val="00BF1497"/>
    <w:rsid w:val="00BF15C2"/>
    <w:rsid w:val="00BF3A9D"/>
    <w:rsid w:val="00BF4653"/>
    <w:rsid w:val="00BF5812"/>
    <w:rsid w:val="00BF7950"/>
    <w:rsid w:val="00BF7B99"/>
    <w:rsid w:val="00BF7F04"/>
    <w:rsid w:val="00C012E2"/>
    <w:rsid w:val="00C02E4F"/>
    <w:rsid w:val="00C05013"/>
    <w:rsid w:val="00C05E3B"/>
    <w:rsid w:val="00C069E1"/>
    <w:rsid w:val="00C075CE"/>
    <w:rsid w:val="00C07D28"/>
    <w:rsid w:val="00C101EF"/>
    <w:rsid w:val="00C1064A"/>
    <w:rsid w:val="00C11501"/>
    <w:rsid w:val="00C11E6B"/>
    <w:rsid w:val="00C11FBA"/>
    <w:rsid w:val="00C15566"/>
    <w:rsid w:val="00C156AB"/>
    <w:rsid w:val="00C15CAC"/>
    <w:rsid w:val="00C1609B"/>
    <w:rsid w:val="00C17F50"/>
    <w:rsid w:val="00C20A26"/>
    <w:rsid w:val="00C21B8E"/>
    <w:rsid w:val="00C22215"/>
    <w:rsid w:val="00C222E1"/>
    <w:rsid w:val="00C22AA6"/>
    <w:rsid w:val="00C2346F"/>
    <w:rsid w:val="00C241F9"/>
    <w:rsid w:val="00C24772"/>
    <w:rsid w:val="00C25356"/>
    <w:rsid w:val="00C270B2"/>
    <w:rsid w:val="00C320D1"/>
    <w:rsid w:val="00C33126"/>
    <w:rsid w:val="00C33613"/>
    <w:rsid w:val="00C33A08"/>
    <w:rsid w:val="00C35083"/>
    <w:rsid w:val="00C3573E"/>
    <w:rsid w:val="00C35F10"/>
    <w:rsid w:val="00C3681E"/>
    <w:rsid w:val="00C36903"/>
    <w:rsid w:val="00C37D14"/>
    <w:rsid w:val="00C41C8C"/>
    <w:rsid w:val="00C41D8C"/>
    <w:rsid w:val="00C41FFA"/>
    <w:rsid w:val="00C43386"/>
    <w:rsid w:val="00C433DE"/>
    <w:rsid w:val="00C438A6"/>
    <w:rsid w:val="00C443A6"/>
    <w:rsid w:val="00C45C89"/>
    <w:rsid w:val="00C4627C"/>
    <w:rsid w:val="00C46324"/>
    <w:rsid w:val="00C46865"/>
    <w:rsid w:val="00C47D27"/>
    <w:rsid w:val="00C507CC"/>
    <w:rsid w:val="00C527DB"/>
    <w:rsid w:val="00C52EA1"/>
    <w:rsid w:val="00C534EE"/>
    <w:rsid w:val="00C54793"/>
    <w:rsid w:val="00C573F5"/>
    <w:rsid w:val="00C578C2"/>
    <w:rsid w:val="00C61CA7"/>
    <w:rsid w:val="00C6287C"/>
    <w:rsid w:val="00C63D32"/>
    <w:rsid w:val="00C6403F"/>
    <w:rsid w:val="00C66B30"/>
    <w:rsid w:val="00C73855"/>
    <w:rsid w:val="00C754ED"/>
    <w:rsid w:val="00C77DA9"/>
    <w:rsid w:val="00C813FF"/>
    <w:rsid w:val="00C8183E"/>
    <w:rsid w:val="00C827B1"/>
    <w:rsid w:val="00C8400F"/>
    <w:rsid w:val="00C840EE"/>
    <w:rsid w:val="00C84C43"/>
    <w:rsid w:val="00C8563D"/>
    <w:rsid w:val="00C865FC"/>
    <w:rsid w:val="00C90B08"/>
    <w:rsid w:val="00C90DCE"/>
    <w:rsid w:val="00C91798"/>
    <w:rsid w:val="00C925A8"/>
    <w:rsid w:val="00C92DAD"/>
    <w:rsid w:val="00C933AC"/>
    <w:rsid w:val="00C95465"/>
    <w:rsid w:val="00C95E14"/>
    <w:rsid w:val="00C96B29"/>
    <w:rsid w:val="00C96C06"/>
    <w:rsid w:val="00CA0DCE"/>
    <w:rsid w:val="00CA116E"/>
    <w:rsid w:val="00CA3A29"/>
    <w:rsid w:val="00CA3A31"/>
    <w:rsid w:val="00CA3E63"/>
    <w:rsid w:val="00CA5608"/>
    <w:rsid w:val="00CA5656"/>
    <w:rsid w:val="00CA5FE7"/>
    <w:rsid w:val="00CA60F6"/>
    <w:rsid w:val="00CB13BF"/>
    <w:rsid w:val="00CB2EBA"/>
    <w:rsid w:val="00CB55D6"/>
    <w:rsid w:val="00CB64DE"/>
    <w:rsid w:val="00CC0420"/>
    <w:rsid w:val="00CC0C4F"/>
    <w:rsid w:val="00CC2A73"/>
    <w:rsid w:val="00CC3696"/>
    <w:rsid w:val="00CC36FF"/>
    <w:rsid w:val="00CC3A94"/>
    <w:rsid w:val="00CC4CB3"/>
    <w:rsid w:val="00CC6D69"/>
    <w:rsid w:val="00CC7DAA"/>
    <w:rsid w:val="00CD0729"/>
    <w:rsid w:val="00CD0C10"/>
    <w:rsid w:val="00CD10D7"/>
    <w:rsid w:val="00CD328E"/>
    <w:rsid w:val="00CD36E0"/>
    <w:rsid w:val="00CD378E"/>
    <w:rsid w:val="00CD4162"/>
    <w:rsid w:val="00CD4284"/>
    <w:rsid w:val="00CD4F9E"/>
    <w:rsid w:val="00CD4FDB"/>
    <w:rsid w:val="00CD7B39"/>
    <w:rsid w:val="00CE0F4A"/>
    <w:rsid w:val="00CE2897"/>
    <w:rsid w:val="00CE496A"/>
    <w:rsid w:val="00CE51E1"/>
    <w:rsid w:val="00CE6191"/>
    <w:rsid w:val="00CE670B"/>
    <w:rsid w:val="00CE6CDE"/>
    <w:rsid w:val="00CE7823"/>
    <w:rsid w:val="00CE7B01"/>
    <w:rsid w:val="00CF08C1"/>
    <w:rsid w:val="00CF099B"/>
    <w:rsid w:val="00CF0A54"/>
    <w:rsid w:val="00CF0B86"/>
    <w:rsid w:val="00CF0FF2"/>
    <w:rsid w:val="00CF149F"/>
    <w:rsid w:val="00CF14CA"/>
    <w:rsid w:val="00CF27A0"/>
    <w:rsid w:val="00CF4B42"/>
    <w:rsid w:val="00CF67C5"/>
    <w:rsid w:val="00CF69A0"/>
    <w:rsid w:val="00CF704B"/>
    <w:rsid w:val="00CF74E0"/>
    <w:rsid w:val="00CF7E74"/>
    <w:rsid w:val="00CF7FBE"/>
    <w:rsid w:val="00D00EF7"/>
    <w:rsid w:val="00D00F01"/>
    <w:rsid w:val="00D03AE8"/>
    <w:rsid w:val="00D0598F"/>
    <w:rsid w:val="00D0707F"/>
    <w:rsid w:val="00D07178"/>
    <w:rsid w:val="00D10FB0"/>
    <w:rsid w:val="00D11DC7"/>
    <w:rsid w:val="00D12BAB"/>
    <w:rsid w:val="00D12CDB"/>
    <w:rsid w:val="00D14FB9"/>
    <w:rsid w:val="00D1561C"/>
    <w:rsid w:val="00D1587B"/>
    <w:rsid w:val="00D16C45"/>
    <w:rsid w:val="00D206BB"/>
    <w:rsid w:val="00D21FC5"/>
    <w:rsid w:val="00D222BA"/>
    <w:rsid w:val="00D24349"/>
    <w:rsid w:val="00D25299"/>
    <w:rsid w:val="00D256A6"/>
    <w:rsid w:val="00D30617"/>
    <w:rsid w:val="00D3061A"/>
    <w:rsid w:val="00D307F2"/>
    <w:rsid w:val="00D327D6"/>
    <w:rsid w:val="00D34B19"/>
    <w:rsid w:val="00D35787"/>
    <w:rsid w:val="00D36A77"/>
    <w:rsid w:val="00D37003"/>
    <w:rsid w:val="00D41F3B"/>
    <w:rsid w:val="00D438CC"/>
    <w:rsid w:val="00D44B06"/>
    <w:rsid w:val="00D45931"/>
    <w:rsid w:val="00D45A14"/>
    <w:rsid w:val="00D500ED"/>
    <w:rsid w:val="00D51334"/>
    <w:rsid w:val="00D53013"/>
    <w:rsid w:val="00D54437"/>
    <w:rsid w:val="00D56F30"/>
    <w:rsid w:val="00D60163"/>
    <w:rsid w:val="00D643C7"/>
    <w:rsid w:val="00D6675D"/>
    <w:rsid w:val="00D67A8C"/>
    <w:rsid w:val="00D701D4"/>
    <w:rsid w:val="00D702B9"/>
    <w:rsid w:val="00D73060"/>
    <w:rsid w:val="00D7315B"/>
    <w:rsid w:val="00D732BF"/>
    <w:rsid w:val="00D73525"/>
    <w:rsid w:val="00D74B47"/>
    <w:rsid w:val="00D80C7C"/>
    <w:rsid w:val="00D81874"/>
    <w:rsid w:val="00D8203B"/>
    <w:rsid w:val="00D83A0D"/>
    <w:rsid w:val="00D8582A"/>
    <w:rsid w:val="00D864F3"/>
    <w:rsid w:val="00D86A44"/>
    <w:rsid w:val="00D873E7"/>
    <w:rsid w:val="00D905F2"/>
    <w:rsid w:val="00D928C4"/>
    <w:rsid w:val="00D9383E"/>
    <w:rsid w:val="00D94196"/>
    <w:rsid w:val="00D95220"/>
    <w:rsid w:val="00D953EF"/>
    <w:rsid w:val="00D955CB"/>
    <w:rsid w:val="00D95A7A"/>
    <w:rsid w:val="00D96249"/>
    <w:rsid w:val="00D971AC"/>
    <w:rsid w:val="00DA0941"/>
    <w:rsid w:val="00DA10B9"/>
    <w:rsid w:val="00DA155A"/>
    <w:rsid w:val="00DA236F"/>
    <w:rsid w:val="00DA2DD3"/>
    <w:rsid w:val="00DA3148"/>
    <w:rsid w:val="00DA373F"/>
    <w:rsid w:val="00DA6222"/>
    <w:rsid w:val="00DA6379"/>
    <w:rsid w:val="00DA63AA"/>
    <w:rsid w:val="00DA687D"/>
    <w:rsid w:val="00DA7758"/>
    <w:rsid w:val="00DB0CAB"/>
    <w:rsid w:val="00DB1270"/>
    <w:rsid w:val="00DB1F6D"/>
    <w:rsid w:val="00DB23C2"/>
    <w:rsid w:val="00DB2B7B"/>
    <w:rsid w:val="00DB4107"/>
    <w:rsid w:val="00DB4310"/>
    <w:rsid w:val="00DB4D76"/>
    <w:rsid w:val="00DB578D"/>
    <w:rsid w:val="00DB5BB7"/>
    <w:rsid w:val="00DC089D"/>
    <w:rsid w:val="00DC10C8"/>
    <w:rsid w:val="00DC1BD7"/>
    <w:rsid w:val="00DC1DCE"/>
    <w:rsid w:val="00DC29E9"/>
    <w:rsid w:val="00DD0DEF"/>
    <w:rsid w:val="00DD108B"/>
    <w:rsid w:val="00DD12B5"/>
    <w:rsid w:val="00DD1390"/>
    <w:rsid w:val="00DD234C"/>
    <w:rsid w:val="00DD2760"/>
    <w:rsid w:val="00DD40F3"/>
    <w:rsid w:val="00DD4D5E"/>
    <w:rsid w:val="00DD64B3"/>
    <w:rsid w:val="00DD6E0D"/>
    <w:rsid w:val="00DD74B0"/>
    <w:rsid w:val="00DE28A6"/>
    <w:rsid w:val="00DE297F"/>
    <w:rsid w:val="00DE373F"/>
    <w:rsid w:val="00DE3F29"/>
    <w:rsid w:val="00DE42DD"/>
    <w:rsid w:val="00DE462D"/>
    <w:rsid w:val="00DE4BAE"/>
    <w:rsid w:val="00DE51A6"/>
    <w:rsid w:val="00DE5B5C"/>
    <w:rsid w:val="00DE6084"/>
    <w:rsid w:val="00DE724B"/>
    <w:rsid w:val="00DE77EB"/>
    <w:rsid w:val="00DE7D32"/>
    <w:rsid w:val="00DF006A"/>
    <w:rsid w:val="00DF181C"/>
    <w:rsid w:val="00DF2E1C"/>
    <w:rsid w:val="00DF303E"/>
    <w:rsid w:val="00DF36D1"/>
    <w:rsid w:val="00E015A1"/>
    <w:rsid w:val="00E04C38"/>
    <w:rsid w:val="00E05C3D"/>
    <w:rsid w:val="00E07854"/>
    <w:rsid w:val="00E103AA"/>
    <w:rsid w:val="00E103FC"/>
    <w:rsid w:val="00E11715"/>
    <w:rsid w:val="00E12174"/>
    <w:rsid w:val="00E14116"/>
    <w:rsid w:val="00E1435D"/>
    <w:rsid w:val="00E147E1"/>
    <w:rsid w:val="00E15869"/>
    <w:rsid w:val="00E177F7"/>
    <w:rsid w:val="00E17C67"/>
    <w:rsid w:val="00E20449"/>
    <w:rsid w:val="00E2094D"/>
    <w:rsid w:val="00E23F23"/>
    <w:rsid w:val="00E24453"/>
    <w:rsid w:val="00E246B2"/>
    <w:rsid w:val="00E25294"/>
    <w:rsid w:val="00E25C95"/>
    <w:rsid w:val="00E25D69"/>
    <w:rsid w:val="00E25F78"/>
    <w:rsid w:val="00E3027B"/>
    <w:rsid w:val="00E31DA3"/>
    <w:rsid w:val="00E321B2"/>
    <w:rsid w:val="00E32CCF"/>
    <w:rsid w:val="00E3399F"/>
    <w:rsid w:val="00E33A53"/>
    <w:rsid w:val="00E34635"/>
    <w:rsid w:val="00E3473F"/>
    <w:rsid w:val="00E349A2"/>
    <w:rsid w:val="00E35072"/>
    <w:rsid w:val="00E35879"/>
    <w:rsid w:val="00E3668D"/>
    <w:rsid w:val="00E37142"/>
    <w:rsid w:val="00E37E92"/>
    <w:rsid w:val="00E409D1"/>
    <w:rsid w:val="00E40EEC"/>
    <w:rsid w:val="00E41844"/>
    <w:rsid w:val="00E41BC8"/>
    <w:rsid w:val="00E41D8A"/>
    <w:rsid w:val="00E42511"/>
    <w:rsid w:val="00E43F63"/>
    <w:rsid w:val="00E4422B"/>
    <w:rsid w:val="00E4444C"/>
    <w:rsid w:val="00E44F4D"/>
    <w:rsid w:val="00E455A8"/>
    <w:rsid w:val="00E45912"/>
    <w:rsid w:val="00E45CBD"/>
    <w:rsid w:val="00E45EF4"/>
    <w:rsid w:val="00E47142"/>
    <w:rsid w:val="00E472A7"/>
    <w:rsid w:val="00E474AF"/>
    <w:rsid w:val="00E51CF2"/>
    <w:rsid w:val="00E522A8"/>
    <w:rsid w:val="00E5382B"/>
    <w:rsid w:val="00E53861"/>
    <w:rsid w:val="00E543B7"/>
    <w:rsid w:val="00E549FA"/>
    <w:rsid w:val="00E574F9"/>
    <w:rsid w:val="00E57937"/>
    <w:rsid w:val="00E57F8B"/>
    <w:rsid w:val="00E600A0"/>
    <w:rsid w:val="00E6097E"/>
    <w:rsid w:val="00E60E43"/>
    <w:rsid w:val="00E61CEC"/>
    <w:rsid w:val="00E61F0C"/>
    <w:rsid w:val="00E624AF"/>
    <w:rsid w:val="00E63586"/>
    <w:rsid w:val="00E6436E"/>
    <w:rsid w:val="00E64773"/>
    <w:rsid w:val="00E64BCB"/>
    <w:rsid w:val="00E65325"/>
    <w:rsid w:val="00E668A5"/>
    <w:rsid w:val="00E67074"/>
    <w:rsid w:val="00E7033E"/>
    <w:rsid w:val="00E70463"/>
    <w:rsid w:val="00E70C6F"/>
    <w:rsid w:val="00E71174"/>
    <w:rsid w:val="00E72AF1"/>
    <w:rsid w:val="00E73953"/>
    <w:rsid w:val="00E7396F"/>
    <w:rsid w:val="00E75B0B"/>
    <w:rsid w:val="00E76DAF"/>
    <w:rsid w:val="00E77048"/>
    <w:rsid w:val="00E777A2"/>
    <w:rsid w:val="00E812E3"/>
    <w:rsid w:val="00E83986"/>
    <w:rsid w:val="00E83F89"/>
    <w:rsid w:val="00E855C0"/>
    <w:rsid w:val="00E87474"/>
    <w:rsid w:val="00E87610"/>
    <w:rsid w:val="00E91A3E"/>
    <w:rsid w:val="00E926DB"/>
    <w:rsid w:val="00E927C0"/>
    <w:rsid w:val="00E927F4"/>
    <w:rsid w:val="00E92805"/>
    <w:rsid w:val="00E93B87"/>
    <w:rsid w:val="00E93C38"/>
    <w:rsid w:val="00E93F43"/>
    <w:rsid w:val="00E94E3C"/>
    <w:rsid w:val="00E9518C"/>
    <w:rsid w:val="00E95547"/>
    <w:rsid w:val="00E96AF3"/>
    <w:rsid w:val="00E97656"/>
    <w:rsid w:val="00E978C9"/>
    <w:rsid w:val="00EA0787"/>
    <w:rsid w:val="00EA2B5D"/>
    <w:rsid w:val="00EA2B80"/>
    <w:rsid w:val="00EA2E39"/>
    <w:rsid w:val="00EA3313"/>
    <w:rsid w:val="00EA496A"/>
    <w:rsid w:val="00EA4C7C"/>
    <w:rsid w:val="00EA5077"/>
    <w:rsid w:val="00EA5386"/>
    <w:rsid w:val="00EA772A"/>
    <w:rsid w:val="00EA7956"/>
    <w:rsid w:val="00EB103E"/>
    <w:rsid w:val="00EB15D8"/>
    <w:rsid w:val="00EB21A5"/>
    <w:rsid w:val="00EB25C4"/>
    <w:rsid w:val="00EB2D52"/>
    <w:rsid w:val="00EB3404"/>
    <w:rsid w:val="00EB3481"/>
    <w:rsid w:val="00EB36D4"/>
    <w:rsid w:val="00EB41D2"/>
    <w:rsid w:val="00EB4B12"/>
    <w:rsid w:val="00EB5B6D"/>
    <w:rsid w:val="00EB6EA3"/>
    <w:rsid w:val="00EC3688"/>
    <w:rsid w:val="00EC40D3"/>
    <w:rsid w:val="00EC42BA"/>
    <w:rsid w:val="00EC6B36"/>
    <w:rsid w:val="00EC7966"/>
    <w:rsid w:val="00ED0C4D"/>
    <w:rsid w:val="00ED1651"/>
    <w:rsid w:val="00ED1683"/>
    <w:rsid w:val="00ED3769"/>
    <w:rsid w:val="00ED37D1"/>
    <w:rsid w:val="00ED4CF4"/>
    <w:rsid w:val="00ED4FE1"/>
    <w:rsid w:val="00ED5285"/>
    <w:rsid w:val="00ED5F99"/>
    <w:rsid w:val="00ED6FC5"/>
    <w:rsid w:val="00ED72E6"/>
    <w:rsid w:val="00ED73BC"/>
    <w:rsid w:val="00EE0910"/>
    <w:rsid w:val="00EE0C96"/>
    <w:rsid w:val="00EE1911"/>
    <w:rsid w:val="00EE20D1"/>
    <w:rsid w:val="00EE3851"/>
    <w:rsid w:val="00EE3EB8"/>
    <w:rsid w:val="00EE5553"/>
    <w:rsid w:val="00EE6E02"/>
    <w:rsid w:val="00EE74F2"/>
    <w:rsid w:val="00EF046A"/>
    <w:rsid w:val="00EF1539"/>
    <w:rsid w:val="00EF24E6"/>
    <w:rsid w:val="00EF4806"/>
    <w:rsid w:val="00EF5225"/>
    <w:rsid w:val="00EF5440"/>
    <w:rsid w:val="00EF5E17"/>
    <w:rsid w:val="00EF7CA6"/>
    <w:rsid w:val="00F00963"/>
    <w:rsid w:val="00F01307"/>
    <w:rsid w:val="00F015C2"/>
    <w:rsid w:val="00F02315"/>
    <w:rsid w:val="00F036BA"/>
    <w:rsid w:val="00F04158"/>
    <w:rsid w:val="00F0452A"/>
    <w:rsid w:val="00F04E3C"/>
    <w:rsid w:val="00F079D4"/>
    <w:rsid w:val="00F107A1"/>
    <w:rsid w:val="00F109AE"/>
    <w:rsid w:val="00F112A4"/>
    <w:rsid w:val="00F117A1"/>
    <w:rsid w:val="00F11BAE"/>
    <w:rsid w:val="00F11BEC"/>
    <w:rsid w:val="00F14241"/>
    <w:rsid w:val="00F147C9"/>
    <w:rsid w:val="00F15391"/>
    <w:rsid w:val="00F15B24"/>
    <w:rsid w:val="00F16460"/>
    <w:rsid w:val="00F17AFB"/>
    <w:rsid w:val="00F21ED4"/>
    <w:rsid w:val="00F21EF4"/>
    <w:rsid w:val="00F23C0C"/>
    <w:rsid w:val="00F24907"/>
    <w:rsid w:val="00F24DE4"/>
    <w:rsid w:val="00F26367"/>
    <w:rsid w:val="00F263BB"/>
    <w:rsid w:val="00F3044B"/>
    <w:rsid w:val="00F312CA"/>
    <w:rsid w:val="00F3209D"/>
    <w:rsid w:val="00F32322"/>
    <w:rsid w:val="00F330EB"/>
    <w:rsid w:val="00F34ACF"/>
    <w:rsid w:val="00F35E15"/>
    <w:rsid w:val="00F360D7"/>
    <w:rsid w:val="00F3784A"/>
    <w:rsid w:val="00F40218"/>
    <w:rsid w:val="00F413B7"/>
    <w:rsid w:val="00F41833"/>
    <w:rsid w:val="00F42F61"/>
    <w:rsid w:val="00F44CC2"/>
    <w:rsid w:val="00F4676E"/>
    <w:rsid w:val="00F47400"/>
    <w:rsid w:val="00F47E5E"/>
    <w:rsid w:val="00F511BB"/>
    <w:rsid w:val="00F51416"/>
    <w:rsid w:val="00F52EE4"/>
    <w:rsid w:val="00F53763"/>
    <w:rsid w:val="00F53A62"/>
    <w:rsid w:val="00F540C9"/>
    <w:rsid w:val="00F54E59"/>
    <w:rsid w:val="00F55DEF"/>
    <w:rsid w:val="00F56614"/>
    <w:rsid w:val="00F56DBC"/>
    <w:rsid w:val="00F5771A"/>
    <w:rsid w:val="00F57AC2"/>
    <w:rsid w:val="00F60FEE"/>
    <w:rsid w:val="00F61B36"/>
    <w:rsid w:val="00F6333C"/>
    <w:rsid w:val="00F6341A"/>
    <w:rsid w:val="00F63E82"/>
    <w:rsid w:val="00F64D3F"/>
    <w:rsid w:val="00F65D6A"/>
    <w:rsid w:val="00F6656A"/>
    <w:rsid w:val="00F672DA"/>
    <w:rsid w:val="00F67D67"/>
    <w:rsid w:val="00F7044F"/>
    <w:rsid w:val="00F71961"/>
    <w:rsid w:val="00F71CE8"/>
    <w:rsid w:val="00F74E64"/>
    <w:rsid w:val="00F75495"/>
    <w:rsid w:val="00F76182"/>
    <w:rsid w:val="00F76592"/>
    <w:rsid w:val="00F81A30"/>
    <w:rsid w:val="00F837F9"/>
    <w:rsid w:val="00F8464E"/>
    <w:rsid w:val="00F84B64"/>
    <w:rsid w:val="00F867BF"/>
    <w:rsid w:val="00F90E9F"/>
    <w:rsid w:val="00F91D11"/>
    <w:rsid w:val="00F93337"/>
    <w:rsid w:val="00F93478"/>
    <w:rsid w:val="00F941FC"/>
    <w:rsid w:val="00F949DE"/>
    <w:rsid w:val="00F965FF"/>
    <w:rsid w:val="00F972CC"/>
    <w:rsid w:val="00F97428"/>
    <w:rsid w:val="00F97DD6"/>
    <w:rsid w:val="00FA0C73"/>
    <w:rsid w:val="00FA2475"/>
    <w:rsid w:val="00FA37A4"/>
    <w:rsid w:val="00FA3E1C"/>
    <w:rsid w:val="00FA47DC"/>
    <w:rsid w:val="00FA4FC0"/>
    <w:rsid w:val="00FA5BDB"/>
    <w:rsid w:val="00FA6141"/>
    <w:rsid w:val="00FA6166"/>
    <w:rsid w:val="00FA71FC"/>
    <w:rsid w:val="00FB0082"/>
    <w:rsid w:val="00FB06F2"/>
    <w:rsid w:val="00FB08DF"/>
    <w:rsid w:val="00FB08E9"/>
    <w:rsid w:val="00FB1C63"/>
    <w:rsid w:val="00FB2375"/>
    <w:rsid w:val="00FB3903"/>
    <w:rsid w:val="00FB4768"/>
    <w:rsid w:val="00FB58CE"/>
    <w:rsid w:val="00FB682D"/>
    <w:rsid w:val="00FC0842"/>
    <w:rsid w:val="00FC0AA9"/>
    <w:rsid w:val="00FC1727"/>
    <w:rsid w:val="00FC20E5"/>
    <w:rsid w:val="00FC232B"/>
    <w:rsid w:val="00FC3F41"/>
    <w:rsid w:val="00FC4556"/>
    <w:rsid w:val="00FC4C4A"/>
    <w:rsid w:val="00FC657F"/>
    <w:rsid w:val="00FC6904"/>
    <w:rsid w:val="00FC6F2E"/>
    <w:rsid w:val="00FC744F"/>
    <w:rsid w:val="00FC7BB1"/>
    <w:rsid w:val="00FD0C90"/>
    <w:rsid w:val="00FD219E"/>
    <w:rsid w:val="00FD22DF"/>
    <w:rsid w:val="00FD253A"/>
    <w:rsid w:val="00FD25C1"/>
    <w:rsid w:val="00FD266B"/>
    <w:rsid w:val="00FD276E"/>
    <w:rsid w:val="00FD5283"/>
    <w:rsid w:val="00FD5D56"/>
    <w:rsid w:val="00FD655B"/>
    <w:rsid w:val="00FD66AF"/>
    <w:rsid w:val="00FD68CA"/>
    <w:rsid w:val="00FD6BB3"/>
    <w:rsid w:val="00FD6C7F"/>
    <w:rsid w:val="00FD7302"/>
    <w:rsid w:val="00FD759C"/>
    <w:rsid w:val="00FD7E40"/>
    <w:rsid w:val="00FE0759"/>
    <w:rsid w:val="00FE08F2"/>
    <w:rsid w:val="00FE22CF"/>
    <w:rsid w:val="00FE2866"/>
    <w:rsid w:val="00FE28D0"/>
    <w:rsid w:val="00FE2CBA"/>
    <w:rsid w:val="00FE368B"/>
    <w:rsid w:val="00FE3A0D"/>
    <w:rsid w:val="00FE3C78"/>
    <w:rsid w:val="00FE42DF"/>
    <w:rsid w:val="00FE561A"/>
    <w:rsid w:val="00FE5FFA"/>
    <w:rsid w:val="00FE72A5"/>
    <w:rsid w:val="00FE75CB"/>
    <w:rsid w:val="00FE7AC2"/>
    <w:rsid w:val="00FE7E43"/>
    <w:rsid w:val="00FF111F"/>
    <w:rsid w:val="00FF13C2"/>
    <w:rsid w:val="00FF21C7"/>
    <w:rsid w:val="00FF42E1"/>
    <w:rsid w:val="00FF433E"/>
    <w:rsid w:val="00FF4B54"/>
    <w:rsid w:val="00FF542A"/>
    <w:rsid w:val="00FF632F"/>
    <w:rsid w:val="00FF6475"/>
    <w:rsid w:val="00FF7626"/>
    <w:rsid w:val="00FF766A"/>
    <w:rsid w:val="00FF7B99"/>
    <w:rsid w:val="0244C397"/>
    <w:rsid w:val="067452D3"/>
    <w:rsid w:val="09663A83"/>
    <w:rsid w:val="0A0EC1CA"/>
    <w:rsid w:val="0C280CDA"/>
    <w:rsid w:val="10AE1169"/>
    <w:rsid w:val="1309F637"/>
    <w:rsid w:val="152623C5"/>
    <w:rsid w:val="15C64C75"/>
    <w:rsid w:val="162682A7"/>
    <w:rsid w:val="178A55C1"/>
    <w:rsid w:val="18CAA159"/>
    <w:rsid w:val="1BBADCE9"/>
    <w:rsid w:val="1CA45B3C"/>
    <w:rsid w:val="1D45ABD5"/>
    <w:rsid w:val="1E825D34"/>
    <w:rsid w:val="1F215B70"/>
    <w:rsid w:val="2093EB44"/>
    <w:rsid w:val="21D79C98"/>
    <w:rsid w:val="240E728D"/>
    <w:rsid w:val="25E37405"/>
    <w:rsid w:val="2E7BF7D6"/>
    <w:rsid w:val="3214E975"/>
    <w:rsid w:val="34666BAE"/>
    <w:rsid w:val="36C3B644"/>
    <w:rsid w:val="3A136602"/>
    <w:rsid w:val="3ABE1D6E"/>
    <w:rsid w:val="3CE1DDA7"/>
    <w:rsid w:val="404DD2BF"/>
    <w:rsid w:val="40A4D685"/>
    <w:rsid w:val="41C91957"/>
    <w:rsid w:val="42E87B64"/>
    <w:rsid w:val="44D418A8"/>
    <w:rsid w:val="45A9E349"/>
    <w:rsid w:val="468027C1"/>
    <w:rsid w:val="49666809"/>
    <w:rsid w:val="4AA4C248"/>
    <w:rsid w:val="4D499FB0"/>
    <w:rsid w:val="4F4F0968"/>
    <w:rsid w:val="52688056"/>
    <w:rsid w:val="52C23577"/>
    <w:rsid w:val="583B45C5"/>
    <w:rsid w:val="58B9C0D9"/>
    <w:rsid w:val="58CB1992"/>
    <w:rsid w:val="59D18EA9"/>
    <w:rsid w:val="5B08EFFF"/>
    <w:rsid w:val="5BB2539B"/>
    <w:rsid w:val="5BD83970"/>
    <w:rsid w:val="5C4F15AF"/>
    <w:rsid w:val="5D29E7E6"/>
    <w:rsid w:val="5DB9A905"/>
    <w:rsid w:val="617FA53E"/>
    <w:rsid w:val="63CDC095"/>
    <w:rsid w:val="643C66E3"/>
    <w:rsid w:val="66CC072D"/>
    <w:rsid w:val="67093721"/>
    <w:rsid w:val="68D3AAA9"/>
    <w:rsid w:val="6AB4EAD7"/>
    <w:rsid w:val="6F39813B"/>
    <w:rsid w:val="712A6422"/>
    <w:rsid w:val="725617A3"/>
    <w:rsid w:val="74B5DE92"/>
    <w:rsid w:val="74B84142"/>
    <w:rsid w:val="7564D79F"/>
    <w:rsid w:val="76AD9757"/>
    <w:rsid w:val="77FF576E"/>
    <w:rsid w:val="7E32155D"/>
    <w:rsid w:val="7E36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CE96B0"/>
  <w15:docId w15:val="{0E7172BF-645D-4D39-BCFF-B5CAA9AD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276"/>
    <w:rPr>
      <w:sz w:val="24"/>
      <w:szCs w:val="24"/>
      <w:lang w:eastAsia="en-US"/>
    </w:rPr>
  </w:style>
  <w:style w:type="paragraph" w:styleId="Heading1">
    <w:name w:val="heading 1"/>
    <w:basedOn w:val="Normal"/>
    <w:next w:val="Normal"/>
    <w:rsid w:val="008350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5011"/>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qFormat/>
    <w:rsid w:val="00835011"/>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835011"/>
    <w:pPr>
      <w:keepNext/>
      <w:numPr>
        <w:ilvl w:val="3"/>
        <w:numId w:val="4"/>
      </w:numPr>
      <w:spacing w:before="240" w:after="60"/>
      <w:outlineLvl w:val="3"/>
    </w:pPr>
    <w:rPr>
      <w:b/>
      <w:bCs/>
      <w:sz w:val="28"/>
      <w:szCs w:val="28"/>
    </w:rPr>
  </w:style>
  <w:style w:type="paragraph" w:styleId="Heading5">
    <w:name w:val="heading 5"/>
    <w:basedOn w:val="Normal"/>
    <w:next w:val="Normal"/>
    <w:qFormat/>
    <w:rsid w:val="00835011"/>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835011"/>
    <w:pPr>
      <w:numPr>
        <w:ilvl w:val="5"/>
        <w:numId w:val="4"/>
      </w:numPr>
      <w:spacing w:before="240" w:after="60"/>
      <w:outlineLvl w:val="5"/>
    </w:pPr>
    <w:rPr>
      <w:b/>
      <w:bCs/>
      <w:sz w:val="22"/>
      <w:szCs w:val="22"/>
    </w:rPr>
  </w:style>
  <w:style w:type="paragraph" w:styleId="Heading7">
    <w:name w:val="heading 7"/>
    <w:basedOn w:val="Normal"/>
    <w:next w:val="Normal"/>
    <w:qFormat/>
    <w:rsid w:val="00835011"/>
    <w:pPr>
      <w:numPr>
        <w:ilvl w:val="6"/>
        <w:numId w:val="4"/>
      </w:numPr>
      <w:spacing w:before="240" w:after="60"/>
      <w:outlineLvl w:val="6"/>
    </w:pPr>
  </w:style>
  <w:style w:type="paragraph" w:styleId="Heading8">
    <w:name w:val="heading 8"/>
    <w:basedOn w:val="Normal"/>
    <w:next w:val="Normal"/>
    <w:link w:val="Heading8Char"/>
    <w:qFormat/>
    <w:rsid w:val="00835011"/>
    <w:pPr>
      <w:numPr>
        <w:ilvl w:val="7"/>
        <w:numId w:val="4"/>
      </w:numPr>
      <w:spacing w:before="240" w:after="60"/>
      <w:outlineLvl w:val="7"/>
    </w:pPr>
    <w:rPr>
      <w:i/>
      <w:iCs/>
    </w:rPr>
  </w:style>
  <w:style w:type="paragraph" w:styleId="Heading9">
    <w:name w:val="heading 9"/>
    <w:basedOn w:val="Normal"/>
    <w:next w:val="Normal"/>
    <w:qFormat/>
    <w:rsid w:val="00835011"/>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70B5"/>
    <w:pPr>
      <w:tabs>
        <w:tab w:val="center" w:pos="4320"/>
        <w:tab w:val="right" w:pos="8640"/>
      </w:tabs>
    </w:pPr>
  </w:style>
  <w:style w:type="paragraph" w:styleId="Footer">
    <w:name w:val="footer"/>
    <w:basedOn w:val="Normal"/>
    <w:rsid w:val="00A870B5"/>
    <w:pPr>
      <w:tabs>
        <w:tab w:val="center" w:pos="4320"/>
        <w:tab w:val="right" w:pos="8640"/>
      </w:tabs>
    </w:pPr>
  </w:style>
  <w:style w:type="paragraph" w:customStyle="1" w:styleId="EMBanner">
    <w:name w:val="EM Banner"/>
    <w:basedOn w:val="Normal"/>
    <w:next w:val="EMSITitle"/>
    <w:rsid w:val="00072082"/>
    <w:pPr>
      <w:keepNext/>
      <w:spacing w:after="360"/>
      <w:jc w:val="center"/>
    </w:pPr>
    <w:rPr>
      <w:b/>
      <w:bCs/>
      <w:caps/>
      <w:szCs w:val="20"/>
    </w:rPr>
  </w:style>
  <w:style w:type="paragraph" w:customStyle="1" w:styleId="EMSITitle">
    <w:name w:val="EM SI Title"/>
    <w:basedOn w:val="Normal"/>
    <w:next w:val="EMSINumber"/>
    <w:rsid w:val="00072082"/>
    <w:pPr>
      <w:keepNext/>
      <w:spacing w:after="240"/>
      <w:jc w:val="center"/>
    </w:pPr>
    <w:rPr>
      <w:b/>
      <w:bCs/>
      <w:caps/>
      <w:szCs w:val="20"/>
    </w:rPr>
  </w:style>
  <w:style w:type="paragraph" w:customStyle="1" w:styleId="EMSINumber">
    <w:name w:val="EM SI Number"/>
    <w:basedOn w:val="Normal"/>
    <w:next w:val="EMSITitle"/>
    <w:rsid w:val="00072082"/>
    <w:pPr>
      <w:keepNext/>
      <w:spacing w:after="360"/>
      <w:jc w:val="center"/>
    </w:pPr>
    <w:rPr>
      <w:b/>
      <w:bCs/>
      <w:szCs w:val="20"/>
    </w:rPr>
  </w:style>
  <w:style w:type="paragraph" w:customStyle="1" w:styleId="EMSectionTitle">
    <w:name w:val="EM Section Title"/>
    <w:basedOn w:val="Heading1"/>
    <w:next w:val="EMLevel1Paragraph"/>
    <w:rsid w:val="00CD4FDB"/>
    <w:pPr>
      <w:numPr>
        <w:numId w:val="4"/>
      </w:numPr>
      <w:tabs>
        <w:tab w:val="clear" w:pos="432"/>
        <w:tab w:val="num" w:pos="709"/>
      </w:tabs>
      <w:spacing w:after="0"/>
    </w:pPr>
    <w:rPr>
      <w:rFonts w:ascii="Times New Roman" w:hAnsi="Times New Roman"/>
      <w:sz w:val="24"/>
    </w:rPr>
  </w:style>
  <w:style w:type="paragraph" w:customStyle="1" w:styleId="EMLevel1Paragraph">
    <w:name w:val="EM Level 1 Paragraph"/>
    <w:basedOn w:val="Heading2"/>
    <w:qFormat/>
    <w:rsid w:val="00C92DAD"/>
    <w:pPr>
      <w:keepNext w:val="0"/>
      <w:spacing w:before="120"/>
      <w:ind w:left="720" w:hanging="720"/>
    </w:pPr>
    <w:rPr>
      <w:rFonts w:ascii="Times New Roman" w:hAnsi="Times New Roman"/>
      <w:b w:val="0"/>
      <w:bCs w:val="0"/>
      <w:i w:val="0"/>
      <w:iCs w:val="0"/>
      <w:sz w:val="24"/>
    </w:rPr>
  </w:style>
  <w:style w:type="paragraph" w:customStyle="1" w:styleId="EMLevel2Paragraph">
    <w:name w:val="EM Level 2 Paragraph"/>
    <w:basedOn w:val="Heading3"/>
    <w:rsid w:val="00C92DAD"/>
    <w:pPr>
      <w:keepNext w:val="0"/>
      <w:spacing w:before="120"/>
    </w:pPr>
    <w:rPr>
      <w:rFonts w:ascii="Times New Roman" w:hAnsi="Times New Roman"/>
      <w:b w:val="0"/>
      <w:bCs w:val="0"/>
      <w:sz w:val="24"/>
    </w:rPr>
  </w:style>
  <w:style w:type="paragraph" w:customStyle="1" w:styleId="EMLevel1Bullet">
    <w:name w:val="EM Level 1 Bullet"/>
    <w:basedOn w:val="Normal"/>
    <w:rsid w:val="00F97428"/>
    <w:pPr>
      <w:numPr>
        <w:numId w:val="2"/>
      </w:numPr>
      <w:spacing w:before="60" w:after="60"/>
      <w:ind w:left="1440" w:hanging="533"/>
    </w:pPr>
  </w:style>
  <w:style w:type="paragraph" w:customStyle="1" w:styleId="EMLevel2Bullet">
    <w:name w:val="EM Level 2 Bullet"/>
    <w:basedOn w:val="Normal"/>
    <w:rsid w:val="00F97428"/>
    <w:pPr>
      <w:numPr>
        <w:ilvl w:val="1"/>
        <w:numId w:val="3"/>
      </w:numPr>
      <w:tabs>
        <w:tab w:val="clear" w:pos="1440"/>
      </w:tabs>
      <w:spacing w:before="60" w:after="60"/>
      <w:ind w:left="2160" w:hanging="540"/>
    </w:pPr>
  </w:style>
  <w:style w:type="paragraph" w:customStyle="1" w:styleId="EMSub-sectiontitle">
    <w:name w:val="EM Sub-section title"/>
    <w:basedOn w:val="Normal"/>
    <w:next w:val="EMLevel1Paragraph"/>
    <w:rsid w:val="00072082"/>
    <w:pPr>
      <w:keepNext/>
      <w:spacing w:before="240"/>
      <w:ind w:left="720"/>
    </w:pPr>
    <w:rPr>
      <w:b/>
      <w:bCs/>
      <w:i/>
      <w:iCs/>
      <w:sz w:val="22"/>
      <w:szCs w:val="20"/>
    </w:rPr>
  </w:style>
  <w:style w:type="character" w:styleId="PageNumber">
    <w:name w:val="page number"/>
    <w:basedOn w:val="DefaultParagraphFont"/>
    <w:rsid w:val="009D4049"/>
  </w:style>
  <w:style w:type="paragraph" w:customStyle="1" w:styleId="EMParagraphContinuationUnnumbered">
    <w:name w:val="EM Paragraph Continuation (Unnumbered)"/>
    <w:basedOn w:val="Normal"/>
    <w:next w:val="EMLevel1Paragraph"/>
    <w:link w:val="EMParagraphContinuationUnnumberedChar"/>
    <w:qFormat/>
    <w:rsid w:val="004F473C"/>
    <w:pPr>
      <w:tabs>
        <w:tab w:val="left" w:pos="1440"/>
        <w:tab w:val="left" w:pos="2160"/>
      </w:tabs>
      <w:spacing w:before="120" w:after="60"/>
      <w:ind w:left="720"/>
    </w:pPr>
  </w:style>
  <w:style w:type="paragraph" w:customStyle="1" w:styleId="EMLevel1ListManualNumbering">
    <w:name w:val="EM Level 1 List (Manual Numbering)"/>
    <w:basedOn w:val="Normal"/>
    <w:link w:val="EMLevel1ListManualNumberingChar"/>
    <w:rsid w:val="004B1D7C"/>
    <w:pPr>
      <w:tabs>
        <w:tab w:val="left" w:pos="1440"/>
      </w:tabs>
      <w:spacing w:before="60" w:after="60"/>
      <w:ind w:left="1440" w:hanging="540"/>
    </w:pPr>
    <w:rPr>
      <w:color w:val="000000"/>
    </w:rPr>
  </w:style>
  <w:style w:type="character" w:customStyle="1" w:styleId="EMParagraphContinuationUnnumberedChar">
    <w:name w:val="EM Paragraph Continuation (Unnumbered) Char"/>
    <w:link w:val="EMParagraphContinuationUnnumbered"/>
    <w:rsid w:val="004F473C"/>
    <w:rPr>
      <w:sz w:val="24"/>
      <w:szCs w:val="24"/>
      <w:lang w:eastAsia="en-US"/>
    </w:rPr>
  </w:style>
  <w:style w:type="paragraph" w:customStyle="1" w:styleId="EMLevel1BulletContinuation">
    <w:name w:val="EM Level 1 Bullet Continuation"/>
    <w:basedOn w:val="Normal"/>
    <w:qFormat/>
    <w:rsid w:val="00EC3688"/>
    <w:pPr>
      <w:spacing w:before="60" w:after="60"/>
      <w:ind w:left="1440"/>
    </w:pPr>
  </w:style>
  <w:style w:type="paragraph" w:customStyle="1" w:styleId="EMLevel2BulletContinuation">
    <w:name w:val="EM Level 2 Bullet Continuation"/>
    <w:basedOn w:val="Normal"/>
    <w:qFormat/>
    <w:rsid w:val="00EC3688"/>
    <w:pPr>
      <w:spacing w:before="60" w:after="60"/>
      <w:ind w:left="2160"/>
    </w:pPr>
  </w:style>
  <w:style w:type="paragraph" w:customStyle="1" w:styleId="EMLevel2ListManualNumbering">
    <w:name w:val="EM Level 2 List (Manual Numbering)"/>
    <w:basedOn w:val="Normal"/>
    <w:link w:val="EMLevel2ListManualNumberingChar"/>
    <w:rsid w:val="004B1D7C"/>
    <w:pPr>
      <w:tabs>
        <w:tab w:val="left" w:pos="2160"/>
      </w:tabs>
      <w:spacing w:before="60" w:after="60"/>
      <w:ind w:left="2160" w:hanging="540"/>
    </w:pPr>
    <w:rPr>
      <w:color w:val="000000"/>
    </w:rPr>
  </w:style>
  <w:style w:type="character" w:customStyle="1" w:styleId="EMLevel1ListManualNumberingChar">
    <w:name w:val="EM Level 1 List (Manual Numbering) Char"/>
    <w:link w:val="EMLevel1ListManualNumbering"/>
    <w:rsid w:val="00014967"/>
    <w:rPr>
      <w:color w:val="000000"/>
      <w:sz w:val="24"/>
      <w:szCs w:val="24"/>
      <w:lang w:eastAsia="en-US"/>
    </w:rPr>
  </w:style>
  <w:style w:type="paragraph" w:customStyle="1" w:styleId="AnnexMainHeading">
    <w:name w:val="Annex Main Heading"/>
    <w:basedOn w:val="Normal"/>
    <w:qFormat/>
    <w:rsid w:val="004B1D7C"/>
    <w:pPr>
      <w:pBdr>
        <w:top w:val="nil"/>
        <w:left w:val="nil"/>
        <w:bottom w:val="nil"/>
        <w:right w:val="nil"/>
        <w:between w:val="nil"/>
      </w:pBdr>
      <w:spacing w:line="276" w:lineRule="auto"/>
      <w:jc w:val="center"/>
    </w:pPr>
    <w:rPr>
      <w:b/>
      <w:color w:val="000000"/>
      <w:sz w:val="48"/>
      <w:szCs w:val="48"/>
    </w:rPr>
  </w:style>
  <w:style w:type="character" w:customStyle="1" w:styleId="EMLevel2ListManualNumberingChar">
    <w:name w:val="EM Level 2 List (Manual Numbering) Char"/>
    <w:link w:val="EMLevel2ListManualNumbering"/>
    <w:rsid w:val="00014967"/>
    <w:rPr>
      <w:color w:val="000000"/>
      <w:sz w:val="24"/>
      <w:szCs w:val="24"/>
      <w:lang w:eastAsia="en-US"/>
    </w:rPr>
  </w:style>
  <w:style w:type="paragraph" w:customStyle="1" w:styleId="AnnexMainTitle">
    <w:name w:val="Annex Main Title"/>
    <w:basedOn w:val="Normal"/>
    <w:qFormat/>
    <w:rsid w:val="004B1D7C"/>
    <w:pPr>
      <w:pBdr>
        <w:top w:val="nil"/>
        <w:left w:val="nil"/>
        <w:bottom w:val="nil"/>
        <w:right w:val="nil"/>
        <w:between w:val="nil"/>
      </w:pBdr>
      <w:spacing w:line="276" w:lineRule="auto"/>
      <w:jc w:val="center"/>
    </w:pPr>
    <w:rPr>
      <w:b/>
      <w:color w:val="000000"/>
      <w:sz w:val="36"/>
      <w:szCs w:val="36"/>
    </w:rPr>
  </w:style>
  <w:style w:type="paragraph" w:customStyle="1" w:styleId="AnnexPartHeading">
    <w:name w:val="Annex Part Heading"/>
    <w:basedOn w:val="Normal"/>
    <w:qFormat/>
    <w:rsid w:val="004B1D7C"/>
    <w:pPr>
      <w:pBdr>
        <w:top w:val="nil"/>
        <w:left w:val="nil"/>
        <w:bottom w:val="nil"/>
        <w:right w:val="nil"/>
        <w:between w:val="nil"/>
      </w:pBdr>
      <w:spacing w:before="360" w:line="276" w:lineRule="auto"/>
      <w:jc w:val="center"/>
    </w:pPr>
    <w:rPr>
      <w:b/>
      <w:color w:val="000000"/>
      <w:sz w:val="36"/>
      <w:szCs w:val="36"/>
    </w:rPr>
  </w:style>
  <w:style w:type="paragraph" w:customStyle="1" w:styleId="AnnexPartTitle">
    <w:name w:val="Annex Part Title"/>
    <w:basedOn w:val="Normal"/>
    <w:qFormat/>
    <w:rsid w:val="004B1D7C"/>
    <w:pPr>
      <w:pBdr>
        <w:top w:val="nil"/>
        <w:left w:val="nil"/>
        <w:bottom w:val="nil"/>
        <w:right w:val="nil"/>
        <w:between w:val="nil"/>
      </w:pBdr>
      <w:spacing w:line="276" w:lineRule="auto"/>
      <w:jc w:val="center"/>
    </w:pPr>
    <w:rPr>
      <w:color w:val="000000"/>
      <w:sz w:val="36"/>
      <w:szCs w:val="36"/>
    </w:rPr>
  </w:style>
  <w:style w:type="paragraph" w:customStyle="1" w:styleId="AnnexTableHeadings">
    <w:name w:val="Annex Table Headings"/>
    <w:basedOn w:val="Normal"/>
    <w:qFormat/>
    <w:rsid w:val="004B1D7C"/>
    <w:pPr>
      <w:widowControl w:val="0"/>
      <w:pBdr>
        <w:top w:val="nil"/>
        <w:left w:val="nil"/>
        <w:bottom w:val="nil"/>
        <w:right w:val="nil"/>
        <w:between w:val="nil"/>
      </w:pBdr>
      <w:spacing w:line="276" w:lineRule="auto"/>
      <w:jc w:val="center"/>
    </w:pPr>
    <w:rPr>
      <w:b/>
      <w:color w:val="000000"/>
      <w:sz w:val="20"/>
      <w:szCs w:val="20"/>
    </w:rPr>
  </w:style>
  <w:style w:type="paragraph" w:customStyle="1" w:styleId="AnnexTableText">
    <w:name w:val="Annex Table Text"/>
    <w:basedOn w:val="Normal"/>
    <w:qFormat/>
    <w:rsid w:val="004B1D7C"/>
    <w:pPr>
      <w:widowControl w:val="0"/>
      <w:pBdr>
        <w:top w:val="nil"/>
        <w:left w:val="nil"/>
        <w:bottom w:val="nil"/>
        <w:right w:val="nil"/>
        <w:between w:val="nil"/>
      </w:pBdr>
      <w:spacing w:line="276" w:lineRule="auto"/>
    </w:pPr>
    <w:rPr>
      <w:color w:val="000000"/>
      <w:sz w:val="20"/>
      <w:szCs w:val="20"/>
    </w:rPr>
  </w:style>
  <w:style w:type="paragraph" w:styleId="BalloonText">
    <w:name w:val="Balloon Text"/>
    <w:basedOn w:val="Normal"/>
    <w:link w:val="BalloonTextChar"/>
    <w:semiHidden/>
    <w:unhideWhenUsed/>
    <w:rsid w:val="008064EF"/>
    <w:rPr>
      <w:rFonts w:ascii="Segoe UI" w:hAnsi="Segoe UI" w:cs="Segoe UI"/>
      <w:sz w:val="18"/>
      <w:szCs w:val="18"/>
    </w:rPr>
  </w:style>
  <w:style w:type="paragraph" w:customStyle="1" w:styleId="EMSub-sub-sectiontitle">
    <w:name w:val="EM Sub-sub-section title"/>
    <w:basedOn w:val="EMSub-sectiontitle"/>
    <w:qFormat/>
    <w:rsid w:val="007B4276"/>
    <w:rPr>
      <w:b w:val="0"/>
      <w:u w:val="single"/>
    </w:rPr>
  </w:style>
  <w:style w:type="character" w:customStyle="1" w:styleId="BalloonTextChar">
    <w:name w:val="Balloon Text Char"/>
    <w:link w:val="BalloonText"/>
    <w:semiHidden/>
    <w:rsid w:val="008064EF"/>
    <w:rPr>
      <w:rFonts w:ascii="Segoe UI" w:hAnsi="Segoe UI" w:cs="Segoe UI"/>
      <w:sz w:val="18"/>
      <w:szCs w:val="18"/>
      <w:lang w:eastAsia="en-US"/>
    </w:rPr>
  </w:style>
  <w:style w:type="character" w:customStyle="1" w:styleId="Heading8Char">
    <w:name w:val="Heading 8 Char"/>
    <w:link w:val="Heading8"/>
    <w:rsid w:val="00537343"/>
    <w:rPr>
      <w:i/>
      <w:iCs/>
      <w:sz w:val="24"/>
      <w:szCs w:val="24"/>
      <w:lang w:eastAsia="en-US"/>
    </w:rPr>
  </w:style>
  <w:style w:type="character" w:styleId="CommentReference">
    <w:name w:val="annotation reference"/>
    <w:uiPriority w:val="99"/>
    <w:unhideWhenUsed/>
    <w:rsid w:val="00ED1651"/>
    <w:rPr>
      <w:sz w:val="16"/>
      <w:szCs w:val="16"/>
    </w:rPr>
  </w:style>
  <w:style w:type="character" w:styleId="Hyperlink">
    <w:name w:val="Hyperlink"/>
    <w:rsid w:val="00C2346F"/>
    <w:rPr>
      <w:color w:val="0563C1"/>
      <w:u w:val="single"/>
    </w:rPr>
  </w:style>
  <w:style w:type="paragraph" w:styleId="CommentText">
    <w:name w:val="annotation text"/>
    <w:basedOn w:val="Normal"/>
    <w:link w:val="CommentTextChar"/>
    <w:uiPriority w:val="99"/>
    <w:unhideWhenUsed/>
    <w:rsid w:val="001C2FAE"/>
    <w:pPr>
      <w:spacing w:after="200"/>
    </w:pPr>
    <w:rPr>
      <w:rFonts w:ascii="Calibri" w:eastAsia="Calibri" w:hAnsi="Calibri"/>
      <w:sz w:val="20"/>
      <w:szCs w:val="20"/>
    </w:rPr>
  </w:style>
  <w:style w:type="character" w:customStyle="1" w:styleId="CommentTextChar">
    <w:name w:val="Comment Text Char"/>
    <w:link w:val="CommentText"/>
    <w:uiPriority w:val="99"/>
    <w:rsid w:val="001C2FAE"/>
    <w:rPr>
      <w:rFonts w:ascii="Calibri" w:eastAsia="Calibri" w:hAnsi="Calibri"/>
      <w:lang w:eastAsia="en-US"/>
    </w:rPr>
  </w:style>
  <w:style w:type="character" w:customStyle="1" w:styleId="Heading6Char">
    <w:name w:val="Heading 6 Char"/>
    <w:link w:val="Heading6"/>
    <w:rsid w:val="004A2ECB"/>
    <w:rPr>
      <w:b/>
      <w:bCs/>
      <w:sz w:val="22"/>
      <w:szCs w:val="22"/>
      <w:lang w:eastAsia="en-US"/>
    </w:rPr>
  </w:style>
  <w:style w:type="character" w:styleId="UnresolvedMention">
    <w:name w:val="Unresolved Mention"/>
    <w:uiPriority w:val="99"/>
    <w:semiHidden/>
    <w:unhideWhenUsed/>
    <w:rsid w:val="006E2B4B"/>
    <w:rPr>
      <w:color w:val="605E5C"/>
      <w:shd w:val="clear" w:color="auto" w:fill="E1DFDD"/>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364142"/>
    <w:pPr>
      <w:ind w:left="720"/>
      <w:contextualSpacing/>
    </w:pPr>
    <w:rPr>
      <w:rFonts w:ascii="Arial" w:eastAsia="MS Mincho" w:hAnsi="Arial"/>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364142"/>
    <w:rPr>
      <w:rFonts w:ascii="Arial" w:eastAsia="MS Mincho" w:hAnsi="Arial"/>
      <w:sz w:val="24"/>
      <w:szCs w:val="24"/>
      <w:lang w:eastAsia="en-US"/>
    </w:rPr>
  </w:style>
  <w:style w:type="character" w:customStyle="1" w:styleId="normaltextrun">
    <w:name w:val="normaltextrun"/>
    <w:rsid w:val="00A17789"/>
  </w:style>
  <w:style w:type="paragraph" w:styleId="CommentSubject">
    <w:name w:val="annotation subject"/>
    <w:basedOn w:val="CommentText"/>
    <w:next w:val="CommentText"/>
    <w:link w:val="CommentSubjectChar"/>
    <w:semiHidden/>
    <w:unhideWhenUsed/>
    <w:rsid w:val="00FC4556"/>
    <w:pPr>
      <w:spacing w:after="0"/>
    </w:pPr>
    <w:rPr>
      <w:rFonts w:ascii="Times New Roman" w:eastAsia="Times New Roman" w:hAnsi="Times New Roman"/>
      <w:b/>
      <w:bCs/>
    </w:rPr>
  </w:style>
  <w:style w:type="character" w:customStyle="1" w:styleId="CommentSubjectChar">
    <w:name w:val="Comment Subject Char"/>
    <w:link w:val="CommentSubject"/>
    <w:semiHidden/>
    <w:rsid w:val="00FC4556"/>
    <w:rPr>
      <w:rFonts w:ascii="Calibri" w:eastAsia="Calibri" w:hAnsi="Calibri"/>
      <w:b/>
      <w:bCs/>
      <w:lang w:eastAsia="en-US"/>
    </w:rPr>
  </w:style>
  <w:style w:type="character" w:customStyle="1" w:styleId="eop">
    <w:name w:val="eop"/>
    <w:rsid w:val="005D174C"/>
  </w:style>
  <w:style w:type="paragraph" w:customStyle="1" w:styleId="paragraph">
    <w:name w:val="paragraph"/>
    <w:basedOn w:val="Normal"/>
    <w:rsid w:val="00354EB4"/>
    <w:pPr>
      <w:spacing w:before="100" w:beforeAutospacing="1" w:after="100" w:afterAutospacing="1"/>
    </w:pPr>
    <w:rPr>
      <w:lang w:eastAsia="en-GB"/>
    </w:rPr>
  </w:style>
  <w:style w:type="paragraph" w:customStyle="1" w:styleId="Default">
    <w:name w:val="Default"/>
    <w:rsid w:val="00381A7D"/>
    <w:pPr>
      <w:autoSpaceDE w:val="0"/>
      <w:autoSpaceDN w:val="0"/>
      <w:adjustRightInd w:val="0"/>
    </w:pPr>
    <w:rPr>
      <w:rFonts w:ascii="Arial" w:hAnsi="Arial" w:cs="Arial"/>
      <w:color w:val="000000"/>
      <w:sz w:val="24"/>
      <w:szCs w:val="24"/>
    </w:rPr>
  </w:style>
  <w:style w:type="paragraph" w:styleId="Revision">
    <w:name w:val="Revision"/>
    <w:hidden/>
    <w:uiPriority w:val="71"/>
    <w:semiHidden/>
    <w:rsid w:val="00CD42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6077">
      <w:bodyDiv w:val="1"/>
      <w:marLeft w:val="0"/>
      <w:marRight w:val="0"/>
      <w:marTop w:val="0"/>
      <w:marBottom w:val="0"/>
      <w:divBdr>
        <w:top w:val="none" w:sz="0" w:space="0" w:color="auto"/>
        <w:left w:val="none" w:sz="0" w:space="0" w:color="auto"/>
        <w:bottom w:val="none" w:sz="0" w:space="0" w:color="auto"/>
        <w:right w:val="none" w:sz="0" w:space="0" w:color="auto"/>
      </w:divBdr>
    </w:div>
    <w:div w:id="681471586">
      <w:bodyDiv w:val="1"/>
      <w:marLeft w:val="0"/>
      <w:marRight w:val="0"/>
      <w:marTop w:val="0"/>
      <w:marBottom w:val="0"/>
      <w:divBdr>
        <w:top w:val="none" w:sz="0" w:space="0" w:color="auto"/>
        <w:left w:val="none" w:sz="0" w:space="0" w:color="auto"/>
        <w:bottom w:val="none" w:sz="0" w:space="0" w:color="auto"/>
        <w:right w:val="none" w:sz="0" w:space="0" w:color="auto"/>
      </w:divBdr>
    </w:div>
    <w:div w:id="857700453">
      <w:bodyDiv w:val="1"/>
      <w:marLeft w:val="0"/>
      <w:marRight w:val="0"/>
      <w:marTop w:val="0"/>
      <w:marBottom w:val="0"/>
      <w:divBdr>
        <w:top w:val="none" w:sz="0" w:space="0" w:color="auto"/>
        <w:left w:val="none" w:sz="0" w:space="0" w:color="auto"/>
        <w:bottom w:val="none" w:sz="0" w:space="0" w:color="auto"/>
        <w:right w:val="none" w:sz="0" w:space="0" w:color="auto"/>
      </w:divBdr>
    </w:div>
    <w:div w:id="898980416">
      <w:bodyDiv w:val="1"/>
      <w:marLeft w:val="0"/>
      <w:marRight w:val="0"/>
      <w:marTop w:val="0"/>
      <w:marBottom w:val="0"/>
      <w:divBdr>
        <w:top w:val="none" w:sz="0" w:space="0" w:color="auto"/>
        <w:left w:val="none" w:sz="0" w:space="0" w:color="auto"/>
        <w:bottom w:val="none" w:sz="0" w:space="0" w:color="auto"/>
        <w:right w:val="none" w:sz="0" w:space="0" w:color="auto"/>
      </w:divBdr>
      <w:divsChild>
        <w:div w:id="1996184710">
          <w:marLeft w:val="0"/>
          <w:marRight w:val="0"/>
          <w:marTop w:val="0"/>
          <w:marBottom w:val="0"/>
          <w:divBdr>
            <w:top w:val="none" w:sz="0" w:space="0" w:color="auto"/>
            <w:left w:val="none" w:sz="0" w:space="0" w:color="auto"/>
            <w:bottom w:val="none" w:sz="0" w:space="0" w:color="auto"/>
            <w:right w:val="none" w:sz="0" w:space="0" w:color="auto"/>
          </w:divBdr>
        </w:div>
      </w:divsChild>
    </w:div>
    <w:div w:id="1194269950">
      <w:bodyDiv w:val="1"/>
      <w:marLeft w:val="0"/>
      <w:marRight w:val="0"/>
      <w:marTop w:val="0"/>
      <w:marBottom w:val="0"/>
      <w:divBdr>
        <w:top w:val="none" w:sz="0" w:space="0" w:color="auto"/>
        <w:left w:val="none" w:sz="0" w:space="0" w:color="auto"/>
        <w:bottom w:val="none" w:sz="0" w:space="0" w:color="auto"/>
        <w:right w:val="none" w:sz="0" w:space="0" w:color="auto"/>
      </w:divBdr>
    </w:div>
    <w:div w:id="1567767415">
      <w:bodyDiv w:val="1"/>
      <w:marLeft w:val="0"/>
      <w:marRight w:val="0"/>
      <w:marTop w:val="0"/>
      <w:marBottom w:val="0"/>
      <w:divBdr>
        <w:top w:val="none" w:sz="0" w:space="0" w:color="auto"/>
        <w:left w:val="none" w:sz="0" w:space="0" w:color="auto"/>
        <w:bottom w:val="none" w:sz="0" w:space="0" w:color="auto"/>
        <w:right w:val="none" w:sz="0" w:space="0" w:color="auto"/>
      </w:divBdr>
    </w:div>
    <w:div w:id="1586645682">
      <w:bodyDiv w:val="1"/>
      <w:marLeft w:val="0"/>
      <w:marRight w:val="0"/>
      <w:marTop w:val="0"/>
      <w:marBottom w:val="0"/>
      <w:divBdr>
        <w:top w:val="none" w:sz="0" w:space="0" w:color="auto"/>
        <w:left w:val="none" w:sz="0" w:space="0" w:color="auto"/>
        <w:bottom w:val="none" w:sz="0" w:space="0" w:color="auto"/>
        <w:right w:val="none" w:sz="0" w:space="0" w:color="auto"/>
      </w:divBdr>
      <w:divsChild>
        <w:div w:id="1955090989">
          <w:marLeft w:val="0"/>
          <w:marRight w:val="0"/>
          <w:marTop w:val="0"/>
          <w:marBottom w:val="0"/>
          <w:divBdr>
            <w:top w:val="none" w:sz="0" w:space="0" w:color="auto"/>
            <w:left w:val="none" w:sz="0" w:space="0" w:color="auto"/>
            <w:bottom w:val="none" w:sz="0" w:space="0" w:color="auto"/>
            <w:right w:val="none" w:sz="0" w:space="0" w:color="auto"/>
          </w:divBdr>
        </w:div>
        <w:div w:id="592979056">
          <w:marLeft w:val="0"/>
          <w:marRight w:val="0"/>
          <w:marTop w:val="0"/>
          <w:marBottom w:val="0"/>
          <w:divBdr>
            <w:top w:val="none" w:sz="0" w:space="0" w:color="auto"/>
            <w:left w:val="none" w:sz="0" w:space="0" w:color="auto"/>
            <w:bottom w:val="none" w:sz="0" w:space="0" w:color="auto"/>
            <w:right w:val="none" w:sz="0" w:space="0" w:color="auto"/>
          </w:divBdr>
        </w:div>
        <w:div w:id="1673071182">
          <w:marLeft w:val="0"/>
          <w:marRight w:val="0"/>
          <w:marTop w:val="0"/>
          <w:marBottom w:val="0"/>
          <w:divBdr>
            <w:top w:val="none" w:sz="0" w:space="0" w:color="auto"/>
            <w:left w:val="none" w:sz="0" w:space="0" w:color="auto"/>
            <w:bottom w:val="none" w:sz="0" w:space="0" w:color="auto"/>
            <w:right w:val="none" w:sz="0" w:space="0" w:color="auto"/>
          </w:divBdr>
        </w:div>
        <w:div w:id="1691252359">
          <w:marLeft w:val="0"/>
          <w:marRight w:val="0"/>
          <w:marTop w:val="0"/>
          <w:marBottom w:val="0"/>
          <w:divBdr>
            <w:top w:val="none" w:sz="0" w:space="0" w:color="auto"/>
            <w:left w:val="none" w:sz="0" w:space="0" w:color="auto"/>
            <w:bottom w:val="none" w:sz="0" w:space="0" w:color="auto"/>
            <w:right w:val="none" w:sz="0" w:space="0" w:color="auto"/>
          </w:divBdr>
        </w:div>
        <w:div w:id="1225407999">
          <w:marLeft w:val="0"/>
          <w:marRight w:val="0"/>
          <w:marTop w:val="0"/>
          <w:marBottom w:val="0"/>
          <w:divBdr>
            <w:top w:val="none" w:sz="0" w:space="0" w:color="auto"/>
            <w:left w:val="none" w:sz="0" w:space="0" w:color="auto"/>
            <w:bottom w:val="none" w:sz="0" w:space="0" w:color="auto"/>
            <w:right w:val="none" w:sz="0" w:space="0" w:color="auto"/>
          </w:divBdr>
        </w:div>
        <w:div w:id="2034181513">
          <w:marLeft w:val="0"/>
          <w:marRight w:val="0"/>
          <w:marTop w:val="0"/>
          <w:marBottom w:val="0"/>
          <w:divBdr>
            <w:top w:val="none" w:sz="0" w:space="0" w:color="auto"/>
            <w:left w:val="none" w:sz="0" w:space="0" w:color="auto"/>
            <w:bottom w:val="none" w:sz="0" w:space="0" w:color="auto"/>
            <w:right w:val="none" w:sz="0" w:space="0" w:color="auto"/>
          </w:divBdr>
        </w:div>
        <w:div w:id="204198">
          <w:marLeft w:val="0"/>
          <w:marRight w:val="0"/>
          <w:marTop w:val="0"/>
          <w:marBottom w:val="0"/>
          <w:divBdr>
            <w:top w:val="none" w:sz="0" w:space="0" w:color="auto"/>
            <w:left w:val="none" w:sz="0" w:space="0" w:color="auto"/>
            <w:bottom w:val="none" w:sz="0" w:space="0" w:color="auto"/>
            <w:right w:val="none" w:sz="0" w:space="0" w:color="auto"/>
          </w:divBdr>
        </w:div>
        <w:div w:id="2019312261">
          <w:marLeft w:val="0"/>
          <w:marRight w:val="0"/>
          <w:marTop w:val="0"/>
          <w:marBottom w:val="0"/>
          <w:divBdr>
            <w:top w:val="none" w:sz="0" w:space="0" w:color="auto"/>
            <w:left w:val="none" w:sz="0" w:space="0" w:color="auto"/>
            <w:bottom w:val="none" w:sz="0" w:space="0" w:color="auto"/>
            <w:right w:val="none" w:sz="0" w:space="0" w:color="auto"/>
          </w:divBdr>
        </w:div>
        <w:div w:id="86771155">
          <w:marLeft w:val="0"/>
          <w:marRight w:val="0"/>
          <w:marTop w:val="0"/>
          <w:marBottom w:val="0"/>
          <w:divBdr>
            <w:top w:val="none" w:sz="0" w:space="0" w:color="auto"/>
            <w:left w:val="none" w:sz="0" w:space="0" w:color="auto"/>
            <w:bottom w:val="none" w:sz="0" w:space="0" w:color="auto"/>
            <w:right w:val="none" w:sz="0" w:space="0" w:color="auto"/>
          </w:divBdr>
        </w:div>
        <w:div w:id="97530507">
          <w:marLeft w:val="0"/>
          <w:marRight w:val="0"/>
          <w:marTop w:val="0"/>
          <w:marBottom w:val="0"/>
          <w:divBdr>
            <w:top w:val="none" w:sz="0" w:space="0" w:color="auto"/>
            <w:left w:val="none" w:sz="0" w:space="0" w:color="auto"/>
            <w:bottom w:val="none" w:sz="0" w:space="0" w:color="auto"/>
            <w:right w:val="none" w:sz="0" w:space="0" w:color="auto"/>
          </w:divBdr>
        </w:div>
        <w:div w:id="330378832">
          <w:marLeft w:val="0"/>
          <w:marRight w:val="0"/>
          <w:marTop w:val="0"/>
          <w:marBottom w:val="0"/>
          <w:divBdr>
            <w:top w:val="none" w:sz="0" w:space="0" w:color="auto"/>
            <w:left w:val="none" w:sz="0" w:space="0" w:color="auto"/>
            <w:bottom w:val="none" w:sz="0" w:space="0" w:color="auto"/>
            <w:right w:val="none" w:sz="0" w:space="0" w:color="auto"/>
          </w:divBdr>
        </w:div>
        <w:div w:id="938491312">
          <w:marLeft w:val="0"/>
          <w:marRight w:val="0"/>
          <w:marTop w:val="0"/>
          <w:marBottom w:val="0"/>
          <w:divBdr>
            <w:top w:val="none" w:sz="0" w:space="0" w:color="auto"/>
            <w:left w:val="none" w:sz="0" w:space="0" w:color="auto"/>
            <w:bottom w:val="none" w:sz="0" w:space="0" w:color="auto"/>
            <w:right w:val="none" w:sz="0" w:space="0" w:color="auto"/>
          </w:divBdr>
        </w:div>
        <w:div w:id="544875769">
          <w:marLeft w:val="0"/>
          <w:marRight w:val="0"/>
          <w:marTop w:val="0"/>
          <w:marBottom w:val="0"/>
          <w:divBdr>
            <w:top w:val="none" w:sz="0" w:space="0" w:color="auto"/>
            <w:left w:val="none" w:sz="0" w:space="0" w:color="auto"/>
            <w:bottom w:val="none" w:sz="0" w:space="0" w:color="auto"/>
            <w:right w:val="none" w:sz="0" w:space="0" w:color="auto"/>
          </w:divBdr>
        </w:div>
        <w:div w:id="1830831319">
          <w:marLeft w:val="0"/>
          <w:marRight w:val="0"/>
          <w:marTop w:val="0"/>
          <w:marBottom w:val="0"/>
          <w:divBdr>
            <w:top w:val="none" w:sz="0" w:space="0" w:color="auto"/>
            <w:left w:val="none" w:sz="0" w:space="0" w:color="auto"/>
            <w:bottom w:val="none" w:sz="0" w:space="0" w:color="auto"/>
            <w:right w:val="none" w:sz="0" w:space="0" w:color="auto"/>
          </w:divBdr>
        </w:div>
        <w:div w:id="464390754">
          <w:marLeft w:val="0"/>
          <w:marRight w:val="0"/>
          <w:marTop w:val="0"/>
          <w:marBottom w:val="0"/>
          <w:divBdr>
            <w:top w:val="none" w:sz="0" w:space="0" w:color="auto"/>
            <w:left w:val="none" w:sz="0" w:space="0" w:color="auto"/>
            <w:bottom w:val="none" w:sz="0" w:space="0" w:color="auto"/>
            <w:right w:val="none" w:sz="0" w:space="0" w:color="auto"/>
          </w:divBdr>
        </w:div>
        <w:div w:id="1593200080">
          <w:marLeft w:val="0"/>
          <w:marRight w:val="0"/>
          <w:marTop w:val="0"/>
          <w:marBottom w:val="0"/>
          <w:divBdr>
            <w:top w:val="none" w:sz="0" w:space="0" w:color="auto"/>
            <w:left w:val="none" w:sz="0" w:space="0" w:color="auto"/>
            <w:bottom w:val="none" w:sz="0" w:space="0" w:color="auto"/>
            <w:right w:val="none" w:sz="0" w:space="0" w:color="auto"/>
          </w:divBdr>
        </w:div>
        <w:div w:id="966931428">
          <w:marLeft w:val="0"/>
          <w:marRight w:val="0"/>
          <w:marTop w:val="0"/>
          <w:marBottom w:val="0"/>
          <w:divBdr>
            <w:top w:val="none" w:sz="0" w:space="0" w:color="auto"/>
            <w:left w:val="none" w:sz="0" w:space="0" w:color="auto"/>
            <w:bottom w:val="none" w:sz="0" w:space="0" w:color="auto"/>
            <w:right w:val="none" w:sz="0" w:space="0" w:color="auto"/>
          </w:divBdr>
        </w:div>
        <w:div w:id="1487630438">
          <w:marLeft w:val="0"/>
          <w:marRight w:val="0"/>
          <w:marTop w:val="0"/>
          <w:marBottom w:val="0"/>
          <w:divBdr>
            <w:top w:val="none" w:sz="0" w:space="0" w:color="auto"/>
            <w:left w:val="none" w:sz="0" w:space="0" w:color="auto"/>
            <w:bottom w:val="none" w:sz="0" w:space="0" w:color="auto"/>
            <w:right w:val="none" w:sz="0" w:space="0" w:color="auto"/>
          </w:divBdr>
        </w:div>
        <w:div w:id="372274778">
          <w:marLeft w:val="0"/>
          <w:marRight w:val="0"/>
          <w:marTop w:val="0"/>
          <w:marBottom w:val="0"/>
          <w:divBdr>
            <w:top w:val="none" w:sz="0" w:space="0" w:color="auto"/>
            <w:left w:val="none" w:sz="0" w:space="0" w:color="auto"/>
            <w:bottom w:val="none" w:sz="0" w:space="0" w:color="auto"/>
            <w:right w:val="none" w:sz="0" w:space="0" w:color="auto"/>
          </w:divBdr>
        </w:div>
        <w:div w:id="268243967">
          <w:marLeft w:val="0"/>
          <w:marRight w:val="0"/>
          <w:marTop w:val="0"/>
          <w:marBottom w:val="0"/>
          <w:divBdr>
            <w:top w:val="none" w:sz="0" w:space="0" w:color="auto"/>
            <w:left w:val="none" w:sz="0" w:space="0" w:color="auto"/>
            <w:bottom w:val="none" w:sz="0" w:space="0" w:color="auto"/>
            <w:right w:val="none" w:sz="0" w:space="0" w:color="auto"/>
          </w:divBdr>
        </w:div>
        <w:div w:id="462383476">
          <w:marLeft w:val="0"/>
          <w:marRight w:val="0"/>
          <w:marTop w:val="0"/>
          <w:marBottom w:val="0"/>
          <w:divBdr>
            <w:top w:val="none" w:sz="0" w:space="0" w:color="auto"/>
            <w:left w:val="none" w:sz="0" w:space="0" w:color="auto"/>
            <w:bottom w:val="none" w:sz="0" w:space="0" w:color="auto"/>
            <w:right w:val="none" w:sz="0" w:space="0" w:color="auto"/>
          </w:divBdr>
        </w:div>
        <w:div w:id="702100902">
          <w:marLeft w:val="0"/>
          <w:marRight w:val="0"/>
          <w:marTop w:val="0"/>
          <w:marBottom w:val="0"/>
          <w:divBdr>
            <w:top w:val="none" w:sz="0" w:space="0" w:color="auto"/>
            <w:left w:val="none" w:sz="0" w:space="0" w:color="auto"/>
            <w:bottom w:val="none" w:sz="0" w:space="0" w:color="auto"/>
            <w:right w:val="none" w:sz="0" w:space="0" w:color="auto"/>
          </w:divBdr>
        </w:div>
        <w:div w:id="911548039">
          <w:marLeft w:val="0"/>
          <w:marRight w:val="0"/>
          <w:marTop w:val="0"/>
          <w:marBottom w:val="0"/>
          <w:divBdr>
            <w:top w:val="none" w:sz="0" w:space="0" w:color="auto"/>
            <w:left w:val="none" w:sz="0" w:space="0" w:color="auto"/>
            <w:bottom w:val="none" w:sz="0" w:space="0" w:color="auto"/>
            <w:right w:val="none" w:sz="0" w:space="0" w:color="auto"/>
          </w:divBdr>
        </w:div>
        <w:div w:id="619606501">
          <w:marLeft w:val="0"/>
          <w:marRight w:val="0"/>
          <w:marTop w:val="0"/>
          <w:marBottom w:val="0"/>
          <w:divBdr>
            <w:top w:val="none" w:sz="0" w:space="0" w:color="auto"/>
            <w:left w:val="none" w:sz="0" w:space="0" w:color="auto"/>
            <w:bottom w:val="none" w:sz="0" w:space="0" w:color="auto"/>
            <w:right w:val="none" w:sz="0" w:space="0" w:color="auto"/>
          </w:divBdr>
        </w:div>
        <w:div w:id="236063347">
          <w:marLeft w:val="0"/>
          <w:marRight w:val="0"/>
          <w:marTop w:val="0"/>
          <w:marBottom w:val="0"/>
          <w:divBdr>
            <w:top w:val="none" w:sz="0" w:space="0" w:color="auto"/>
            <w:left w:val="none" w:sz="0" w:space="0" w:color="auto"/>
            <w:bottom w:val="none" w:sz="0" w:space="0" w:color="auto"/>
            <w:right w:val="none" w:sz="0" w:space="0" w:color="auto"/>
          </w:divBdr>
        </w:div>
        <w:div w:id="1694526175">
          <w:marLeft w:val="0"/>
          <w:marRight w:val="0"/>
          <w:marTop w:val="0"/>
          <w:marBottom w:val="0"/>
          <w:divBdr>
            <w:top w:val="none" w:sz="0" w:space="0" w:color="auto"/>
            <w:left w:val="none" w:sz="0" w:space="0" w:color="auto"/>
            <w:bottom w:val="none" w:sz="0" w:space="0" w:color="auto"/>
            <w:right w:val="none" w:sz="0" w:space="0" w:color="auto"/>
          </w:divBdr>
        </w:div>
        <w:div w:id="459229374">
          <w:marLeft w:val="0"/>
          <w:marRight w:val="0"/>
          <w:marTop w:val="0"/>
          <w:marBottom w:val="0"/>
          <w:divBdr>
            <w:top w:val="none" w:sz="0" w:space="0" w:color="auto"/>
            <w:left w:val="none" w:sz="0" w:space="0" w:color="auto"/>
            <w:bottom w:val="none" w:sz="0" w:space="0" w:color="auto"/>
            <w:right w:val="none" w:sz="0" w:space="0" w:color="auto"/>
          </w:divBdr>
        </w:div>
        <w:div w:id="1236404179">
          <w:marLeft w:val="0"/>
          <w:marRight w:val="0"/>
          <w:marTop w:val="0"/>
          <w:marBottom w:val="0"/>
          <w:divBdr>
            <w:top w:val="none" w:sz="0" w:space="0" w:color="auto"/>
            <w:left w:val="none" w:sz="0" w:space="0" w:color="auto"/>
            <w:bottom w:val="none" w:sz="0" w:space="0" w:color="auto"/>
            <w:right w:val="none" w:sz="0" w:space="0" w:color="auto"/>
          </w:divBdr>
        </w:div>
        <w:div w:id="1173691989">
          <w:marLeft w:val="0"/>
          <w:marRight w:val="0"/>
          <w:marTop w:val="0"/>
          <w:marBottom w:val="0"/>
          <w:divBdr>
            <w:top w:val="none" w:sz="0" w:space="0" w:color="auto"/>
            <w:left w:val="none" w:sz="0" w:space="0" w:color="auto"/>
            <w:bottom w:val="none" w:sz="0" w:space="0" w:color="auto"/>
            <w:right w:val="none" w:sz="0" w:space="0" w:color="auto"/>
          </w:divBdr>
        </w:div>
        <w:div w:id="573391379">
          <w:marLeft w:val="0"/>
          <w:marRight w:val="0"/>
          <w:marTop w:val="0"/>
          <w:marBottom w:val="0"/>
          <w:divBdr>
            <w:top w:val="none" w:sz="0" w:space="0" w:color="auto"/>
            <w:left w:val="none" w:sz="0" w:space="0" w:color="auto"/>
            <w:bottom w:val="none" w:sz="0" w:space="0" w:color="auto"/>
            <w:right w:val="none" w:sz="0" w:space="0" w:color="auto"/>
          </w:divBdr>
        </w:div>
        <w:div w:id="2021160105">
          <w:marLeft w:val="0"/>
          <w:marRight w:val="0"/>
          <w:marTop w:val="0"/>
          <w:marBottom w:val="0"/>
          <w:divBdr>
            <w:top w:val="none" w:sz="0" w:space="0" w:color="auto"/>
            <w:left w:val="none" w:sz="0" w:space="0" w:color="auto"/>
            <w:bottom w:val="none" w:sz="0" w:space="0" w:color="auto"/>
            <w:right w:val="none" w:sz="0" w:space="0" w:color="auto"/>
          </w:divBdr>
        </w:div>
        <w:div w:id="282661922">
          <w:marLeft w:val="0"/>
          <w:marRight w:val="0"/>
          <w:marTop w:val="0"/>
          <w:marBottom w:val="0"/>
          <w:divBdr>
            <w:top w:val="none" w:sz="0" w:space="0" w:color="auto"/>
            <w:left w:val="none" w:sz="0" w:space="0" w:color="auto"/>
            <w:bottom w:val="none" w:sz="0" w:space="0" w:color="auto"/>
            <w:right w:val="none" w:sz="0" w:space="0" w:color="auto"/>
          </w:divBdr>
        </w:div>
        <w:div w:id="1626276118">
          <w:marLeft w:val="0"/>
          <w:marRight w:val="0"/>
          <w:marTop w:val="0"/>
          <w:marBottom w:val="0"/>
          <w:divBdr>
            <w:top w:val="none" w:sz="0" w:space="0" w:color="auto"/>
            <w:left w:val="none" w:sz="0" w:space="0" w:color="auto"/>
            <w:bottom w:val="none" w:sz="0" w:space="0" w:color="auto"/>
            <w:right w:val="none" w:sz="0" w:space="0" w:color="auto"/>
          </w:divBdr>
        </w:div>
        <w:div w:id="992835707">
          <w:marLeft w:val="0"/>
          <w:marRight w:val="0"/>
          <w:marTop w:val="0"/>
          <w:marBottom w:val="0"/>
          <w:divBdr>
            <w:top w:val="none" w:sz="0" w:space="0" w:color="auto"/>
            <w:left w:val="none" w:sz="0" w:space="0" w:color="auto"/>
            <w:bottom w:val="none" w:sz="0" w:space="0" w:color="auto"/>
            <w:right w:val="none" w:sz="0" w:space="0" w:color="auto"/>
          </w:divBdr>
        </w:div>
        <w:div w:id="1102578232">
          <w:marLeft w:val="0"/>
          <w:marRight w:val="0"/>
          <w:marTop w:val="0"/>
          <w:marBottom w:val="0"/>
          <w:divBdr>
            <w:top w:val="none" w:sz="0" w:space="0" w:color="auto"/>
            <w:left w:val="none" w:sz="0" w:space="0" w:color="auto"/>
            <w:bottom w:val="none" w:sz="0" w:space="0" w:color="auto"/>
            <w:right w:val="none" w:sz="0" w:space="0" w:color="auto"/>
          </w:divBdr>
        </w:div>
        <w:div w:id="753429195">
          <w:marLeft w:val="0"/>
          <w:marRight w:val="0"/>
          <w:marTop w:val="0"/>
          <w:marBottom w:val="0"/>
          <w:divBdr>
            <w:top w:val="none" w:sz="0" w:space="0" w:color="auto"/>
            <w:left w:val="none" w:sz="0" w:space="0" w:color="auto"/>
            <w:bottom w:val="none" w:sz="0" w:space="0" w:color="auto"/>
            <w:right w:val="none" w:sz="0" w:space="0" w:color="auto"/>
          </w:divBdr>
        </w:div>
        <w:div w:id="179317631">
          <w:marLeft w:val="0"/>
          <w:marRight w:val="0"/>
          <w:marTop w:val="0"/>
          <w:marBottom w:val="0"/>
          <w:divBdr>
            <w:top w:val="none" w:sz="0" w:space="0" w:color="auto"/>
            <w:left w:val="none" w:sz="0" w:space="0" w:color="auto"/>
            <w:bottom w:val="none" w:sz="0" w:space="0" w:color="auto"/>
            <w:right w:val="none" w:sz="0" w:space="0" w:color="auto"/>
          </w:divBdr>
        </w:div>
        <w:div w:id="1161044559">
          <w:marLeft w:val="0"/>
          <w:marRight w:val="0"/>
          <w:marTop w:val="0"/>
          <w:marBottom w:val="0"/>
          <w:divBdr>
            <w:top w:val="none" w:sz="0" w:space="0" w:color="auto"/>
            <w:left w:val="none" w:sz="0" w:space="0" w:color="auto"/>
            <w:bottom w:val="none" w:sz="0" w:space="0" w:color="auto"/>
            <w:right w:val="none" w:sz="0" w:space="0" w:color="auto"/>
          </w:divBdr>
        </w:div>
        <w:div w:id="1153982887">
          <w:marLeft w:val="0"/>
          <w:marRight w:val="0"/>
          <w:marTop w:val="0"/>
          <w:marBottom w:val="0"/>
          <w:divBdr>
            <w:top w:val="none" w:sz="0" w:space="0" w:color="auto"/>
            <w:left w:val="none" w:sz="0" w:space="0" w:color="auto"/>
            <w:bottom w:val="none" w:sz="0" w:space="0" w:color="auto"/>
            <w:right w:val="none" w:sz="0" w:space="0" w:color="auto"/>
          </w:divBdr>
        </w:div>
      </w:divsChild>
    </w:div>
    <w:div w:id="1781025233">
      <w:bodyDiv w:val="1"/>
      <w:marLeft w:val="0"/>
      <w:marRight w:val="0"/>
      <w:marTop w:val="0"/>
      <w:marBottom w:val="0"/>
      <w:divBdr>
        <w:top w:val="none" w:sz="0" w:space="0" w:color="auto"/>
        <w:left w:val="none" w:sz="0" w:space="0" w:color="auto"/>
        <w:bottom w:val="none" w:sz="0" w:space="0" w:color="auto"/>
        <w:right w:val="none" w:sz="0" w:space="0" w:color="auto"/>
      </w:divBdr>
    </w:div>
    <w:div w:id="2028601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ndra.mcneish@bei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a\Downloads\EM%20Template%2007.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4A96BF5EFC14FABB1D711204D165A" ma:contentTypeVersion="16431" ma:contentTypeDescription="Create a new document." ma:contentTypeScope="" ma:versionID="a532097d2a2078c156c2953db0bcd49d">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cdcfd8a6-47a5-4d8a-bd73-40590ce6d7de" targetNamespace="http://schemas.microsoft.com/office/2006/metadata/properties" ma:root="true" ma:fieldsID="0f1468d2611700d90b9e25f88788b8f7"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cdcfd8a6-47a5-4d8a-bd73-40590ce6d7de"/>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4:_dlc_BarcodeValue" minOccurs="0"/>
                <xsd:element ref="ns4:_dlc_BarcodePreview" minOccurs="0"/>
                <xsd:element ref="ns8:CIRRUSPreviousRetentionPolicy" minOccurs="0"/>
                <xsd:element ref="ns8: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element name="_dlc_BarcodeValue" ma:index="69" nillable="true" ma:displayName="Barcode Value" ma:description="The value of the barcode assigned to this item." ma:internalName="_dlc_BarcodeValue" ma:readOnly="true">
      <xsd:simpleType>
        <xsd:restriction base="dms:Text"/>
      </xsd:simpleType>
    </xsd:element>
    <xsd:element name="_dlc_BarcodePreview" ma:index="70"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cfd8a6-47a5-4d8a-bd73-40590ce6d7de"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71" nillable="true" ma:displayName="Previous Retention Policy" ma:internalName="CIRRUSPreviousRetentionPolicy">
      <xsd:simpleType>
        <xsd:restriction base="dms:Note">
          <xsd:maxLength value="255"/>
        </xsd:restriction>
      </xsd:simpleType>
    </xsd:element>
    <xsd:element name="LegacyCaseReferenceNumber" ma:index="72" nillable="true" ma:displayName="Legacy Case Reference Number" ma:internalName="LegacyCaseReferenceNumber">
      <xsd:simpleType>
        <xsd:restriction base="dms:Note">
          <xsd:maxLength value="255"/>
        </xsd:restriction>
      </xsd:simpleType>
    </xsd:element>
    <xsd:element name="MediaServiceEventHashCode" ma:index="73" nillable="true" ma:displayName="MediaServiceEventHashCode" ma:hidden="true" ma:internalName="MediaServiceEventHashCode" ma:readOnly="true">
      <xsd:simpleType>
        <xsd:restriction base="dms:Text"/>
      </xsd:simpleType>
    </xsd:element>
    <xsd:element name="MediaServiceGenerationTime" ma:index="7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2018-09-06T13:57:56+00:00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LegacyCaseReferenceNumber xmlns="cdcfd8a6-47a5-4d8a-bd73-40590ce6d7de"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80a76710-6118-49d3-a1dc-1ccb18cc1ad9</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268</Value>
    </TaxCatchAll>
    <CIRRUSPreviousRetentionPolicy xmlns="cdcfd8a6-47a5-4d8a-bd73-40590ce6d7de" xsi:nil="true"/>
    <LegacyNumericClass xmlns="b67a7830-db79-4a49-bf27-2aff92a2201a" xsi:nil="true"/>
    <LegacyCurrentLocation xmlns="b67a7830-db79-4a49-bf27-2aff92a2201a" xsi:nil="true"/>
    <_dlc_DocId xmlns="0063f72e-ace3-48fb-9c1f-5b513408b31f">2QFN7KK647Q6-657651870-18134</_dlc_DocId>
    <_dlc_DocIdUrl xmlns="0063f72e-ace3-48fb-9c1f-5b513408b31f">
      <Url>https://beisgov.sharepoint.com/sites/beis/419/_layouts/15/DocIdRedir.aspx?ID=2QFN7KK647Q6-657651870-18134</Url>
      <Description>2QFN7KK647Q6-657651870-18134</Description>
    </_dlc_DocIdUrl>
    <SharedWithUsers xmlns="0063f72e-ace3-48fb-9c1f-5b513408b31f">
      <UserInfo>
        <DisplayName>Mcneish, Sandra (Consumer &amp; Competition)</DisplayName>
        <AccountId>5562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A1A4-DFD0-4323-83A6-661CA54F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cdcfd8a6-47a5-4d8a-bd73-40590ce6d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0D42D-EDA9-4398-A3D1-F031B51586BA}">
  <ds:schemaRefs>
    <ds:schemaRef ds:uri="a172083e-e40c-4314-b43a-827352a1ed2c"/>
    <ds:schemaRef ds:uri="b413c3fd-5a3b-4239-b985-69032e371c04"/>
    <ds:schemaRef ds:uri="http://purl.org/dc/terms/"/>
    <ds:schemaRef ds:uri="b67a7830-db79-4a49-bf27-2aff92a2201a"/>
    <ds:schemaRef ds:uri="a8f60570-4bd3-4f2b-950b-a996de8ab151"/>
    <ds:schemaRef ds:uri="http://schemas.microsoft.com/office/2006/documentManagement/types"/>
    <ds:schemaRef ds:uri="http://schemas.microsoft.com/office/2006/metadata/properties"/>
    <ds:schemaRef ds:uri="cdcfd8a6-47a5-4d8a-bd73-40590ce6d7de"/>
    <ds:schemaRef ds:uri="http://purl.org/dc/elements/1.1/"/>
    <ds:schemaRef ds:uri="http://schemas.microsoft.com/office/infopath/2007/PartnerControls"/>
    <ds:schemaRef ds:uri="0063f72e-ace3-48fb-9c1f-5b513408b31f"/>
    <ds:schemaRef ds:uri="http://schemas.openxmlformats.org/package/2006/metadata/core-properties"/>
    <ds:schemaRef ds:uri="c963a4c1-1bb4-49f2-a011-9c776a7eed2a"/>
    <ds:schemaRef ds:uri="http://www.w3.org/XML/1998/namespace"/>
    <ds:schemaRef ds:uri="http://purl.org/dc/dcmitype/"/>
  </ds:schemaRefs>
</ds:datastoreItem>
</file>

<file path=customXml/itemProps3.xml><?xml version="1.0" encoding="utf-8"?>
<ds:datastoreItem xmlns:ds="http://schemas.openxmlformats.org/officeDocument/2006/customXml" ds:itemID="{8A6256C7-B8D7-418E-B96A-C7550355CE16}">
  <ds:schemaRefs>
    <ds:schemaRef ds:uri="http://schemas.microsoft.com/sharepoint/v3/contenttype/forms"/>
  </ds:schemaRefs>
</ds:datastoreItem>
</file>

<file path=customXml/itemProps4.xml><?xml version="1.0" encoding="utf-8"?>
<ds:datastoreItem xmlns:ds="http://schemas.openxmlformats.org/officeDocument/2006/customXml" ds:itemID="{1AB61C9F-FE50-4EE8-A077-AA437A2B421E}">
  <ds:schemaRefs>
    <ds:schemaRef ds:uri="http://schemas.microsoft.com/sharepoint/events"/>
  </ds:schemaRefs>
</ds:datastoreItem>
</file>

<file path=customXml/itemProps5.xml><?xml version="1.0" encoding="utf-8"?>
<ds:datastoreItem xmlns:ds="http://schemas.openxmlformats.org/officeDocument/2006/customXml" ds:itemID="{1B22202E-20AB-4428-8132-AB2F7C43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 Template 07.2018</Template>
  <TotalTime>2</TotalTime>
  <Pages>14</Pages>
  <Words>5008</Words>
  <Characters>26725</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EXPLANATORY MEMORANDUM TO</vt:lpstr>
    </vt:vector>
  </TitlesOfParts>
  <Company>The National Archives</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TO</dc:title>
  <dc:subject/>
  <dc:creator>Philip, Asha (BEIS)</dc:creator>
  <cp:keywords/>
  <cp:lastModifiedBy>Brewster, Jason (BEIS)</cp:lastModifiedBy>
  <cp:revision>4</cp:revision>
  <cp:lastPrinted>2018-10-25T14:53:00Z</cp:lastPrinted>
  <dcterms:created xsi:type="dcterms:W3CDTF">2018-10-26T16:10:00Z</dcterms:created>
  <dcterms:modified xsi:type="dcterms:W3CDTF">2018-10-29T13:15:00Z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0x010100FE34A96BF5EFC14FABB1D711204D165A</vt:lpwstr>
  </property>
  <property fmtid="{D5CDD505-2E9C-101B-9397-08002B2CF9AE}" pid="3" name="Business Unit">
    <vt:lpwstr>268;#Legal|80a76710-6118-49d3-a1dc-1ccb18cc1ad9</vt:lpwstr>
  </property>
  <property fmtid="{D5CDD505-2E9C-101B-9397-08002B2CF9AE}" pid="4" name="_dlc_DocIdItemGuid">
    <vt:lpwstr>3b50a3ea-eeaa-410e-9799-a5d724001dd9</vt:lpwstr>
  </property>
</Properties>
</file>