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3198F596" w:rsidR="002C34D4" w:rsidRDefault="00ED5A22" w:rsidP="002C34D4">
      <w:pPr>
        <w:pStyle w:val="Logos"/>
        <w:tabs>
          <w:tab w:val="right" w:pos="9498"/>
        </w:tabs>
      </w:pPr>
      <w:r>
        <w:drawing>
          <wp:inline distT="0" distB="0" distL="0" distR="0" wp14:anchorId="69C3FB34" wp14:editId="41E3E256">
            <wp:extent cx="1778000" cy="1079500"/>
            <wp:effectExtent l="0" t="0" r="0" b="6350"/>
            <wp:docPr id="5" name="Picture 5" descr="Education and Skills Funding Agency" title="Logo"/>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r w:rsidR="002C34D4">
        <w:tab/>
      </w:r>
    </w:p>
    <w:p w14:paraId="31619CF6" w14:textId="3C598F6C" w:rsidR="005C0B41" w:rsidRPr="002B6D93" w:rsidRDefault="00915568" w:rsidP="0017793A">
      <w:pPr>
        <w:pStyle w:val="Heading1"/>
      </w:pPr>
      <w:r w:rsidRPr="00915568">
        <w:t xml:space="preserve">Local authority planned expenditure benchmarking tables </w:t>
      </w:r>
      <w:r w:rsidR="009E53E8" w:rsidRPr="00915568">
        <w:t>201</w:t>
      </w:r>
      <w:r w:rsidR="009E53E8">
        <w:t>8</w:t>
      </w:r>
      <w:r w:rsidR="009E53E8" w:rsidRPr="00915568">
        <w:t xml:space="preserve"> </w:t>
      </w:r>
      <w:r w:rsidRPr="00915568">
        <w:t xml:space="preserve">to </w:t>
      </w:r>
      <w:r w:rsidR="009E53E8" w:rsidRPr="00915568">
        <w:t>201</w:t>
      </w:r>
      <w:r w:rsidR="009E53E8">
        <w:t>9</w:t>
      </w:r>
      <w:r w:rsidR="008A5923">
        <w:t>:</w:t>
      </w:r>
      <w:r w:rsidRPr="00915568">
        <w:t xml:space="preserve"> additional information</w:t>
      </w:r>
    </w:p>
    <w:p w14:paraId="5B2D013E" w14:textId="53EEFFA0" w:rsidR="005360B7" w:rsidRPr="002B6D93" w:rsidRDefault="00915568" w:rsidP="0017793A">
      <w:pPr>
        <w:pStyle w:val="Heading2"/>
      </w:pPr>
      <w:r w:rsidRPr="00915568">
        <w:t>Introduction</w:t>
      </w:r>
    </w:p>
    <w:p w14:paraId="05C0F482" w14:textId="6D4C34B6" w:rsidR="00A85EBD" w:rsidRPr="00A85EBD" w:rsidRDefault="00915568" w:rsidP="00A85EBD">
      <w:r w:rsidRPr="00915568">
        <w:t xml:space="preserve">This document provides local authorities with additional information that can be used to understand how to use the planned expenditure benchmarking tables. These tables allow </w:t>
      </w:r>
      <w:r w:rsidR="008A5923">
        <w:t>local authoritie</w:t>
      </w:r>
      <w:r w:rsidRPr="00915568">
        <w:t xml:space="preserve">s to compare their planned expenditure from the Department for Education </w:t>
      </w:r>
      <w:r w:rsidR="00891A76">
        <w:t>f</w:t>
      </w:r>
      <w:r w:rsidRPr="00915568">
        <w:t xml:space="preserve">inancial </w:t>
      </w:r>
      <w:proofErr w:type="gramStart"/>
      <w:r w:rsidR="00891A76">
        <w:t>d</w:t>
      </w:r>
      <w:r w:rsidRPr="00915568">
        <w:t xml:space="preserve">ata </w:t>
      </w:r>
      <w:r w:rsidR="00891A76">
        <w:t>c</w:t>
      </w:r>
      <w:r w:rsidRPr="00915568">
        <w:t>ollection budget statements</w:t>
      </w:r>
      <w:proofErr w:type="gramEnd"/>
      <w:r w:rsidRPr="00915568">
        <w:t xml:space="preserve"> (also known as section 251 budget statements) for </w:t>
      </w:r>
      <w:r w:rsidR="00B57D52">
        <w:t xml:space="preserve">the </w:t>
      </w:r>
      <w:r w:rsidR="009E53E8" w:rsidRPr="00915568">
        <w:t>201</w:t>
      </w:r>
      <w:r w:rsidR="009E53E8">
        <w:t>8</w:t>
      </w:r>
      <w:r w:rsidR="009E53E8" w:rsidRPr="00915568">
        <w:t xml:space="preserve"> </w:t>
      </w:r>
      <w:r w:rsidRPr="00915568">
        <w:t xml:space="preserve">to </w:t>
      </w:r>
      <w:r w:rsidR="009E53E8" w:rsidRPr="00915568">
        <w:t>201</w:t>
      </w:r>
      <w:r w:rsidR="009E53E8">
        <w:t>9</w:t>
      </w:r>
      <w:r w:rsidR="009E53E8" w:rsidRPr="00915568">
        <w:t xml:space="preserve"> </w:t>
      </w:r>
      <w:r w:rsidRPr="00915568">
        <w:t>financial year against the national averages and their statistical neighbours.</w:t>
      </w:r>
    </w:p>
    <w:p w14:paraId="0F720F60" w14:textId="6890B2FF" w:rsidR="002B6D93" w:rsidRDefault="00915568" w:rsidP="00F10F72">
      <w:pPr>
        <w:pStyle w:val="Heading2"/>
      </w:pPr>
      <w:r w:rsidRPr="00915568">
        <w:t xml:space="preserve">How to view information on </w:t>
      </w:r>
      <w:r w:rsidR="00A1633A">
        <w:t>local authoritie</w:t>
      </w:r>
      <w:r w:rsidRPr="00915568">
        <w:t>s with similar characteristics</w:t>
      </w:r>
    </w:p>
    <w:p w14:paraId="2CAC40BA" w14:textId="77625337" w:rsidR="00FC2B3C" w:rsidRDefault="00915568" w:rsidP="00FC2B3C">
      <w:r w:rsidRPr="00915568">
        <w:t>For all benchmarking tables, you can choose to view:</w:t>
      </w:r>
    </w:p>
    <w:p w14:paraId="0E9F98DE" w14:textId="4E73E6EC" w:rsidR="00915568" w:rsidRDefault="00915568" w:rsidP="00915568">
      <w:pPr>
        <w:pStyle w:val="ListParagraph"/>
        <w:numPr>
          <w:ilvl w:val="0"/>
          <w:numId w:val="16"/>
        </w:numPr>
      </w:pPr>
      <w:r>
        <w:t xml:space="preserve">all </w:t>
      </w:r>
      <w:r w:rsidR="00A1633A">
        <w:t>local authoritie</w:t>
      </w:r>
      <w:r>
        <w:t>s</w:t>
      </w:r>
    </w:p>
    <w:p w14:paraId="1BB83CB7" w14:textId="4C163B58" w:rsidR="00915568" w:rsidRDefault="00984B31" w:rsidP="00915568">
      <w:pPr>
        <w:pStyle w:val="ListParagraph"/>
        <w:numPr>
          <w:ilvl w:val="0"/>
          <w:numId w:val="16"/>
        </w:numPr>
      </w:pPr>
      <w:r>
        <w:t xml:space="preserve">local </w:t>
      </w:r>
      <w:r w:rsidR="00A1633A">
        <w:t>authoritie</w:t>
      </w:r>
      <w:r w:rsidR="00915568">
        <w:t>s in a particular region or type of authority</w:t>
      </w:r>
      <w:r w:rsidR="008A5923">
        <w:t xml:space="preserve">, such as </w:t>
      </w:r>
      <w:r w:rsidR="00915568">
        <w:t>metropolitan, unitary, London or upper tier (counties)</w:t>
      </w:r>
    </w:p>
    <w:p w14:paraId="05FDF793" w14:textId="3A9A69B4" w:rsidR="00915568" w:rsidRDefault="00915568" w:rsidP="00915568">
      <w:pPr>
        <w:pStyle w:val="ListParagraph"/>
        <w:numPr>
          <w:ilvl w:val="0"/>
          <w:numId w:val="16"/>
        </w:numPr>
      </w:pPr>
      <w:r>
        <w:t xml:space="preserve">your own </w:t>
      </w:r>
      <w:r w:rsidR="00A1633A">
        <w:t>local authority</w:t>
      </w:r>
      <w:r>
        <w:t xml:space="preserve"> along with its statistical neighbours</w:t>
      </w:r>
    </w:p>
    <w:p w14:paraId="121F55FA" w14:textId="35BFAF83" w:rsidR="00915568" w:rsidRDefault="00915568" w:rsidP="00915568">
      <w:pPr>
        <w:pStyle w:val="ListParagraph"/>
        <w:numPr>
          <w:ilvl w:val="0"/>
          <w:numId w:val="16"/>
        </w:numPr>
      </w:pPr>
      <w:r>
        <w:t xml:space="preserve">your own </w:t>
      </w:r>
      <w:r w:rsidR="00A1633A">
        <w:t>local authority</w:t>
      </w:r>
      <w:r>
        <w:t xml:space="preserve"> with a manual choice of up to ten others</w:t>
      </w:r>
    </w:p>
    <w:p w14:paraId="455CE5A2" w14:textId="71EC1D49" w:rsidR="00915568" w:rsidRDefault="00915568" w:rsidP="00915568">
      <w:r w:rsidRPr="00915568">
        <w:t>For the purposes of these benchmarking tables, City of London and Isles of Scilly have not been included due to their small size.</w:t>
      </w:r>
    </w:p>
    <w:p w14:paraId="0A2C65A5" w14:textId="5F5E718B" w:rsidR="00915568" w:rsidRDefault="00915568" w:rsidP="00915568">
      <w:pPr>
        <w:pStyle w:val="Heading2"/>
      </w:pPr>
      <w:r w:rsidRPr="00915568">
        <w:t>Statistical neighbours</w:t>
      </w:r>
    </w:p>
    <w:p w14:paraId="33CEC662" w14:textId="27A7FD6E" w:rsidR="00915568" w:rsidRPr="00915568" w:rsidRDefault="00915568" w:rsidP="00915568">
      <w:pPr>
        <w:pStyle w:val="EndBox"/>
      </w:pPr>
      <w:r w:rsidRPr="00915568">
        <w:t xml:space="preserve">Statistical neighbours are calculated to enable comparison across ‘similar’ </w:t>
      </w:r>
      <w:r w:rsidR="008A5923">
        <w:t>local authoritie</w:t>
      </w:r>
      <w:r w:rsidR="008A5923" w:rsidRPr="00915568">
        <w:t>s</w:t>
      </w:r>
      <w:r w:rsidRPr="00915568">
        <w:t xml:space="preserve">. Further information on these </w:t>
      </w:r>
      <w:hyperlink r:id="rId14" w:history="1">
        <w:r w:rsidRPr="00915568">
          <w:rPr>
            <w:rStyle w:val="Hyperlink"/>
            <w:sz w:val="22"/>
          </w:rPr>
          <w:t>statistical neighbours</w:t>
        </w:r>
      </w:hyperlink>
      <w:r w:rsidRPr="00915568">
        <w:t xml:space="preserve"> is available.</w:t>
      </w:r>
    </w:p>
    <w:p w14:paraId="5CE1D345" w14:textId="0AE7FFBE" w:rsidR="00FC2B3C" w:rsidRDefault="00915568" w:rsidP="00915568">
      <w:pPr>
        <w:pStyle w:val="EndBox"/>
      </w:pPr>
      <w:r w:rsidRPr="00915568">
        <w:t xml:space="preserve">When you view your statistical neighbours within a benchmarking table, they are ordered according to their ‘closeness’ (such as degree of similarity), with </w:t>
      </w:r>
      <w:r w:rsidR="00B57D52">
        <w:t xml:space="preserve">the </w:t>
      </w:r>
      <w:r w:rsidRPr="00915568">
        <w:t>closest at the top of the list.</w:t>
      </w:r>
    </w:p>
    <w:p w14:paraId="778AAFCC" w14:textId="4A783072" w:rsidR="00915568" w:rsidRDefault="00915568" w:rsidP="00915568">
      <w:pPr>
        <w:pStyle w:val="Heading2"/>
      </w:pPr>
      <w:r w:rsidRPr="00915568">
        <w:t>Why there may be differences in funding across statistical neighbours</w:t>
      </w:r>
    </w:p>
    <w:p w14:paraId="7FE759C8" w14:textId="0BEF719E" w:rsidR="00915568" w:rsidRDefault="00915568" w:rsidP="00915568">
      <w:r w:rsidRPr="00915568">
        <w:t xml:space="preserve">Statistical neighbours provide a basis </w:t>
      </w:r>
      <w:proofErr w:type="gramStart"/>
      <w:r w:rsidRPr="00915568">
        <w:t xml:space="preserve">for comparison between </w:t>
      </w:r>
      <w:r w:rsidR="008A5923">
        <w:t>local authoritie</w:t>
      </w:r>
      <w:r w:rsidR="008A5923" w:rsidRPr="00915568">
        <w:t xml:space="preserve">s </w:t>
      </w:r>
      <w:r w:rsidRPr="00915568">
        <w:t>with similarities over a broad range of educationally relevant characteristics</w:t>
      </w:r>
      <w:proofErr w:type="gramEnd"/>
      <w:r w:rsidRPr="00915568">
        <w:t xml:space="preserve"> and are calculated according to a number of criteria relating to the effectiveness of </w:t>
      </w:r>
      <w:r w:rsidR="008A5923">
        <w:t>local authorities</w:t>
      </w:r>
      <w:r w:rsidR="008A5923" w:rsidRPr="00915568">
        <w:t xml:space="preserve"> </w:t>
      </w:r>
      <w:r w:rsidRPr="00915568">
        <w:t xml:space="preserve">and educational outcomes. These criteria are not necessarily all relevant for evaluating how similar </w:t>
      </w:r>
      <w:r w:rsidR="008A5923">
        <w:t>local authorities</w:t>
      </w:r>
      <w:r w:rsidR="008A5923" w:rsidRPr="00915568">
        <w:t xml:space="preserve"> </w:t>
      </w:r>
      <w:r w:rsidRPr="00915568">
        <w:t xml:space="preserve">are to each other in terms of </w:t>
      </w:r>
      <w:r w:rsidR="00984B31" w:rsidRPr="00915568">
        <w:t>characteristics that</w:t>
      </w:r>
      <w:r w:rsidRPr="00915568">
        <w:t xml:space="preserve"> are relevant to funding.</w:t>
      </w:r>
    </w:p>
    <w:p w14:paraId="461A2D5D" w14:textId="53700F8E" w:rsidR="00915568" w:rsidRDefault="00915568" w:rsidP="00915568">
      <w:pPr>
        <w:pStyle w:val="Heading2"/>
      </w:pPr>
      <w:r w:rsidRPr="00915568">
        <w:lastRenderedPageBreak/>
        <w:t xml:space="preserve">Variation across </w:t>
      </w:r>
      <w:r w:rsidR="008A5923">
        <w:t>local authorities</w:t>
      </w:r>
      <w:r w:rsidR="008A5923" w:rsidRPr="00915568">
        <w:t xml:space="preserve"> </w:t>
      </w:r>
      <w:r w:rsidRPr="00915568">
        <w:t>in the expenditure per capita figures</w:t>
      </w:r>
    </w:p>
    <w:p w14:paraId="7BEA417B" w14:textId="7BE67B48" w:rsidR="00915568" w:rsidRDefault="00915568" w:rsidP="00915568">
      <w:r>
        <w:t xml:space="preserve">Differences in the structure of education services between individual </w:t>
      </w:r>
      <w:r w:rsidR="008A5923">
        <w:t xml:space="preserve">local authorities </w:t>
      </w:r>
      <w:r>
        <w:t xml:space="preserve">will result in variations in certain budget lines. For example, some </w:t>
      </w:r>
      <w:r w:rsidR="008A5923">
        <w:t xml:space="preserve">local authorities </w:t>
      </w:r>
      <w:r>
        <w:t xml:space="preserve">maintain no sixth forms and this </w:t>
      </w:r>
      <w:proofErr w:type="gramStart"/>
      <w:r>
        <w:t>will be reflected</w:t>
      </w:r>
      <w:proofErr w:type="gramEnd"/>
      <w:r>
        <w:t xml:space="preserve"> in the related budget lines. Similarly, there are differences in the structure of SEN provision and the relative use of maintained special schools, other </w:t>
      </w:r>
      <w:r w:rsidR="00984B31">
        <w:t xml:space="preserve">authorities’ </w:t>
      </w:r>
      <w:r>
        <w:t xml:space="preserve">provision, non-maintained and independent schools.  </w:t>
      </w:r>
    </w:p>
    <w:p w14:paraId="29B70A69" w14:textId="0A815E81" w:rsidR="00915568" w:rsidRDefault="00915568" w:rsidP="00915568">
      <w:r>
        <w:t xml:space="preserve">All figures </w:t>
      </w:r>
      <w:proofErr w:type="gramStart"/>
      <w:r>
        <w:t>are rounded</w:t>
      </w:r>
      <w:proofErr w:type="gramEnd"/>
      <w:r>
        <w:t xml:space="preserve"> to the nearest pound so components may not sum exactly to totals. For categories where there is a very small amount of planned expenditure, the per capita figure may be less than £0.50 and hence rounded to zero. A zero per capita figure does not necessarily imply that nothing has been spent by the </w:t>
      </w:r>
      <w:r w:rsidR="008A5923">
        <w:t xml:space="preserve">local authority </w:t>
      </w:r>
      <w:r>
        <w:t>in that category.</w:t>
      </w:r>
    </w:p>
    <w:p w14:paraId="51614790" w14:textId="42DFE8A5" w:rsidR="00915568" w:rsidRDefault="00915568" w:rsidP="00915568">
      <w:pPr>
        <w:pStyle w:val="Heading2"/>
      </w:pPr>
      <w:r w:rsidRPr="00915568">
        <w:t>Why you might see a large percentage change year-on-year</w:t>
      </w:r>
    </w:p>
    <w:p w14:paraId="4FF8461A" w14:textId="0E0932C2" w:rsidR="00915568" w:rsidRDefault="00915568" w:rsidP="00915568">
      <w:proofErr w:type="gramStart"/>
      <w:r>
        <w:t>There are a number of reasons why there might be a large percentage change in year-on-year spending.</w:t>
      </w:r>
      <w:proofErr w:type="gramEnd"/>
      <w:r>
        <w:t xml:space="preserve"> If the underlying cash amounts are very small, a relatively small cash increase or decrease between years could result in a large percentage change. The averages, minima and maxima noted at the top of each column, together with the values on the per</w:t>
      </w:r>
      <w:r w:rsidR="008A5923">
        <w:t xml:space="preserve"> </w:t>
      </w:r>
      <w:r>
        <w:t xml:space="preserve">pupil table, will give a general indication of the relative size of expenditure on these budget items in </w:t>
      </w:r>
      <w:r w:rsidR="009E53E8">
        <w:t xml:space="preserve">2018 </w:t>
      </w:r>
      <w:r>
        <w:t xml:space="preserve">to </w:t>
      </w:r>
      <w:r w:rsidR="009E53E8">
        <w:t>2019</w:t>
      </w:r>
      <w:r>
        <w:t xml:space="preserve">. </w:t>
      </w:r>
      <w:r w:rsidR="00717A1F">
        <w:t>T</w:t>
      </w:r>
      <w:r w:rsidR="00717A1F" w:rsidRPr="00717A1F">
        <w:t xml:space="preserve">he raw budget data for 2018 to 2019 </w:t>
      </w:r>
      <w:proofErr w:type="gramStart"/>
      <w:r w:rsidR="00717A1F" w:rsidRPr="00717A1F">
        <w:t>will be published</w:t>
      </w:r>
      <w:proofErr w:type="gramEnd"/>
      <w:r w:rsidR="00717A1F" w:rsidRPr="00717A1F">
        <w:t xml:space="preserve"> in </w:t>
      </w:r>
      <w:r w:rsidR="00717A1F">
        <w:t>September</w:t>
      </w:r>
      <w:r w:rsidR="00717A1F" w:rsidRPr="00717A1F">
        <w:t>.</w:t>
      </w:r>
    </w:p>
    <w:p w14:paraId="22ECD87C" w14:textId="1AE59148" w:rsidR="00915568" w:rsidRDefault="00915568" w:rsidP="00915568">
      <w:r>
        <w:t>Large year-on-year changes could also be a result of accounting changes, or could also be a result of a</w:t>
      </w:r>
      <w:r w:rsidR="005E6213">
        <w:t xml:space="preserve"> local authority</w:t>
      </w:r>
      <w:r>
        <w:t xml:space="preserve"> delegating increased levels of expenditure to its schools.</w:t>
      </w:r>
    </w:p>
    <w:p w14:paraId="5550F0D8" w14:textId="06718118" w:rsidR="00915568" w:rsidRDefault="00915568" w:rsidP="00915568">
      <w:pPr>
        <w:pStyle w:val="Heading2"/>
      </w:pPr>
      <w:r w:rsidRPr="00915568">
        <w:t>Why there can be a significant difference between the mean and the median and what this means</w:t>
      </w:r>
    </w:p>
    <w:p w14:paraId="4B721B8F" w14:textId="788EE7F5" w:rsidR="00915568" w:rsidRDefault="00F00E9A" w:rsidP="00915568">
      <w:r w:rsidRPr="00F00E9A">
        <w:t xml:space="preserve">Throughout the benchmarking tables, both the mean and median are given for each line. The median is less sensitive to extreme values than the mean, and </w:t>
      </w:r>
      <w:proofErr w:type="gramStart"/>
      <w:r w:rsidRPr="00F00E9A">
        <w:t>is therefore often used</w:t>
      </w:r>
      <w:proofErr w:type="gramEnd"/>
      <w:r w:rsidRPr="00F00E9A">
        <w:t xml:space="preserve"> for benchmarking.</w:t>
      </w:r>
    </w:p>
    <w:p w14:paraId="1D65AA73" w14:textId="541484E6" w:rsidR="00F00E9A" w:rsidRDefault="00F00E9A" w:rsidP="00915568">
      <w:r w:rsidRPr="00F00E9A">
        <w:t xml:space="preserve">To show this, we consider an example of eight </w:t>
      </w:r>
      <w:r w:rsidR="005E6213">
        <w:t>local authorities</w:t>
      </w:r>
      <w:r w:rsidR="005E6213" w:rsidRPr="00F00E9A">
        <w:t xml:space="preserve"> </w:t>
      </w:r>
      <w:r w:rsidRPr="00F00E9A">
        <w:t xml:space="preserve">with the following expenditure on </w:t>
      </w:r>
      <w:r w:rsidR="00984B31">
        <w:t>three</w:t>
      </w:r>
      <w:r w:rsidR="00984B31" w:rsidRPr="00F00E9A">
        <w:t xml:space="preserve"> </w:t>
      </w:r>
      <w:r w:rsidRPr="00F00E9A">
        <w:t>different lines:</w:t>
      </w:r>
    </w:p>
    <w:tbl>
      <w:tblPr>
        <w:tblW w:w="3597" w:type="pct"/>
        <w:jc w:val="center"/>
        <w:tblCellMar>
          <w:left w:w="10" w:type="dxa"/>
          <w:right w:w="10" w:type="dxa"/>
        </w:tblCellMar>
        <w:tblLook w:val="0000" w:firstRow="0" w:lastRow="0" w:firstColumn="0" w:lastColumn="0" w:noHBand="0" w:noVBand="0"/>
        <w:tblCaption w:val="Table 1"/>
        <w:tblDescription w:val="Example calculation of mean and median"/>
      </w:tblPr>
      <w:tblGrid>
        <w:gridCol w:w="1713"/>
        <w:gridCol w:w="1765"/>
        <w:gridCol w:w="1765"/>
        <w:gridCol w:w="1765"/>
      </w:tblGrid>
      <w:tr w:rsidR="00F00E9A" w:rsidRPr="00F00E9A" w14:paraId="71B0FB99" w14:textId="77777777" w:rsidTr="00AB31A0">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85" w:type="dxa"/>
            </w:tcMar>
            <w:vAlign w:val="center"/>
          </w:tcPr>
          <w:p w14:paraId="5FFBA093" w14:textId="38761B4D" w:rsidR="00F00E9A" w:rsidRPr="00F00E9A" w:rsidRDefault="005E6213" w:rsidP="00F00E9A">
            <w:pPr>
              <w:suppressAutoHyphens/>
              <w:autoSpaceDN w:val="0"/>
              <w:spacing w:after="0"/>
              <w:jc w:val="both"/>
              <w:textAlignment w:val="baseline"/>
              <w:rPr>
                <w:b/>
                <w:sz w:val="24"/>
              </w:rPr>
            </w:pPr>
            <w:r>
              <w:rPr>
                <w:b/>
                <w:sz w:val="24"/>
              </w:rPr>
              <w:lastRenderedPageBreak/>
              <w:t>Local Authority</w:t>
            </w:r>
            <w:r w:rsidRPr="00F00E9A">
              <w:rPr>
                <w:b/>
                <w:sz w:val="24"/>
              </w:rPr>
              <w:t xml:space="preserve"> </w:t>
            </w:r>
            <w:r w:rsidR="00F00E9A" w:rsidRPr="00F00E9A">
              <w:rPr>
                <w:b/>
                <w:sz w:val="24"/>
              </w:rPr>
              <w:t>name</w:t>
            </w:r>
          </w:p>
        </w:tc>
        <w:tc>
          <w:tcPr>
            <w:tcW w:w="1765"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85" w:type="dxa"/>
            </w:tcMar>
            <w:vAlign w:val="center"/>
          </w:tcPr>
          <w:p w14:paraId="534C1698" w14:textId="77777777" w:rsidR="00F00E9A" w:rsidRPr="00F00E9A" w:rsidRDefault="00F00E9A" w:rsidP="00AB31A0">
            <w:pPr>
              <w:suppressAutoHyphens/>
              <w:autoSpaceDN w:val="0"/>
              <w:spacing w:after="0"/>
              <w:textAlignment w:val="baseline"/>
              <w:rPr>
                <w:b/>
                <w:bCs/>
                <w:sz w:val="24"/>
              </w:rPr>
            </w:pPr>
            <w:r w:rsidRPr="00F00E9A">
              <w:rPr>
                <w:b/>
                <w:bCs/>
                <w:sz w:val="24"/>
              </w:rPr>
              <w:t>Line 1</w:t>
            </w:r>
          </w:p>
        </w:tc>
        <w:tc>
          <w:tcPr>
            <w:tcW w:w="1765"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85" w:type="dxa"/>
            </w:tcMar>
            <w:vAlign w:val="center"/>
          </w:tcPr>
          <w:p w14:paraId="290BB457" w14:textId="77777777" w:rsidR="00F00E9A" w:rsidRPr="00F00E9A" w:rsidRDefault="00F00E9A" w:rsidP="00AB31A0">
            <w:pPr>
              <w:suppressAutoHyphens/>
              <w:autoSpaceDN w:val="0"/>
              <w:spacing w:after="0"/>
              <w:textAlignment w:val="baseline"/>
              <w:rPr>
                <w:b/>
                <w:bCs/>
                <w:sz w:val="24"/>
              </w:rPr>
            </w:pPr>
            <w:r w:rsidRPr="00F00E9A">
              <w:rPr>
                <w:b/>
                <w:bCs/>
                <w:sz w:val="24"/>
              </w:rPr>
              <w:t>Line 2</w:t>
            </w:r>
          </w:p>
        </w:tc>
        <w:tc>
          <w:tcPr>
            <w:tcW w:w="1765"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85" w:type="dxa"/>
            </w:tcMar>
            <w:vAlign w:val="center"/>
          </w:tcPr>
          <w:p w14:paraId="41122F65" w14:textId="77777777" w:rsidR="00F00E9A" w:rsidRPr="00F00E9A" w:rsidRDefault="00F00E9A" w:rsidP="00AB31A0">
            <w:pPr>
              <w:suppressAutoHyphens/>
              <w:autoSpaceDN w:val="0"/>
              <w:spacing w:after="0"/>
              <w:textAlignment w:val="baseline"/>
              <w:rPr>
                <w:b/>
                <w:bCs/>
                <w:sz w:val="24"/>
              </w:rPr>
            </w:pPr>
            <w:r w:rsidRPr="00F00E9A">
              <w:rPr>
                <w:b/>
                <w:bCs/>
                <w:sz w:val="24"/>
              </w:rPr>
              <w:t>Line 3</w:t>
            </w:r>
          </w:p>
        </w:tc>
      </w:tr>
      <w:tr w:rsidR="00F00E9A" w:rsidRPr="00F00E9A" w14:paraId="01E3708B"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2DB1087B" w14:textId="454456E2"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7B9F1FBC"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10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22917353"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4101ECBA"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7A00C2CC"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D61373A" w14:textId="3CDA1ED0"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65905E6C"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20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6E834879"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D8031BC"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28E226CE"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A3E1395" w14:textId="5865E50A"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A81FE31"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20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8016715"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28DC5CD5"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2F7251DB"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6F774FF" w14:textId="563A1B2A"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5E500B0A"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FC46582"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6C771520"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55212652"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4FBB0152" w14:textId="6C6204D2"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542E7A8F"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16209CA3"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7C25E723"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00937735"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73C7F453" w14:textId="75D1713D"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58F4FA81"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40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493B057F"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70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784EC2C8"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28C358D6"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450EC2B" w14:textId="0FD498AE"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1F810524"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40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3AEFB0D"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80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5AE1F00F"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r w:rsidR="00F00E9A" w:rsidRPr="00F00E9A" w14:paraId="5078CD48"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6933E2C1" w14:textId="5026330F" w:rsidR="00F00E9A" w:rsidRPr="00F00E9A" w:rsidRDefault="00111DBA" w:rsidP="00F00E9A">
            <w:pPr>
              <w:suppressAutoHyphens/>
              <w:autoSpaceDN w:val="0"/>
              <w:spacing w:after="0" w:line="240" w:lineRule="auto"/>
              <w:jc w:val="both"/>
              <w:textAlignment w:val="baseline"/>
              <w:rPr>
                <w:sz w:val="24"/>
              </w:rPr>
            </w:pPr>
            <w:r>
              <w:rPr>
                <w:sz w:val="24"/>
              </w:rPr>
              <w:t>Example</w:t>
            </w:r>
            <w:r w:rsidR="00F00E9A" w:rsidRPr="00F00E9A">
              <w:rPr>
                <w:sz w:val="24"/>
              </w:rPr>
              <w:t xml:space="preserve"> 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68EFE3A"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50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6BBB111"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90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5984A347"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270</w:t>
            </w:r>
          </w:p>
        </w:tc>
      </w:tr>
      <w:tr w:rsidR="00F00E9A" w:rsidRPr="00F00E9A" w14:paraId="754A2333" w14:textId="77777777" w:rsidTr="00F00E9A">
        <w:trPr>
          <w:trHeight w:val="122"/>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000000"/>
            <w:tcMar>
              <w:top w:w="57" w:type="dxa"/>
              <w:left w:w="57" w:type="dxa"/>
              <w:bottom w:w="57" w:type="dxa"/>
              <w:right w:w="85" w:type="dxa"/>
            </w:tcMar>
          </w:tcPr>
          <w:p w14:paraId="456831FA" w14:textId="77777777" w:rsidR="00F00E9A" w:rsidRPr="00F00E9A" w:rsidRDefault="00F00E9A" w:rsidP="00F00E9A">
            <w:pPr>
              <w:suppressAutoHyphens/>
              <w:autoSpaceDN w:val="0"/>
              <w:spacing w:after="0" w:line="240" w:lineRule="auto"/>
              <w:jc w:val="both"/>
              <w:textAlignment w:val="baseline"/>
              <w:rPr>
                <w:sz w:val="6"/>
              </w:rPr>
            </w:pPr>
          </w:p>
        </w:tc>
        <w:tc>
          <w:tcPr>
            <w:tcW w:w="1765" w:type="dxa"/>
            <w:tcBorders>
              <w:top w:val="single" w:sz="4" w:space="0" w:color="000000"/>
              <w:left w:val="single" w:sz="4" w:space="0" w:color="000000"/>
              <w:bottom w:val="single" w:sz="4" w:space="0" w:color="000000"/>
              <w:right w:val="single" w:sz="4" w:space="0" w:color="000000"/>
            </w:tcBorders>
            <w:shd w:val="clear" w:color="auto" w:fill="000000"/>
            <w:tcMar>
              <w:top w:w="57" w:type="dxa"/>
              <w:left w:w="57" w:type="dxa"/>
              <w:bottom w:w="57" w:type="dxa"/>
              <w:right w:w="85" w:type="dxa"/>
            </w:tcMar>
          </w:tcPr>
          <w:p w14:paraId="49521019" w14:textId="77777777" w:rsidR="00F00E9A" w:rsidRPr="00F00E9A" w:rsidRDefault="00F00E9A" w:rsidP="00F00E9A">
            <w:pPr>
              <w:suppressAutoHyphens/>
              <w:autoSpaceDN w:val="0"/>
              <w:spacing w:after="0" w:line="240" w:lineRule="auto"/>
              <w:jc w:val="both"/>
              <w:textAlignment w:val="baseline"/>
              <w:rPr>
                <w:sz w:val="12"/>
              </w:rPr>
            </w:pPr>
          </w:p>
        </w:tc>
        <w:tc>
          <w:tcPr>
            <w:tcW w:w="1765" w:type="dxa"/>
            <w:tcBorders>
              <w:top w:val="single" w:sz="4" w:space="0" w:color="000000"/>
              <w:left w:val="single" w:sz="4" w:space="0" w:color="000000"/>
              <w:bottom w:val="single" w:sz="4" w:space="0" w:color="000000"/>
              <w:right w:val="single" w:sz="4" w:space="0" w:color="000000"/>
            </w:tcBorders>
            <w:shd w:val="clear" w:color="auto" w:fill="000000"/>
            <w:tcMar>
              <w:top w:w="57" w:type="dxa"/>
              <w:left w:w="57" w:type="dxa"/>
              <w:bottom w:w="57" w:type="dxa"/>
              <w:right w:w="85" w:type="dxa"/>
            </w:tcMar>
          </w:tcPr>
          <w:p w14:paraId="6C406579" w14:textId="77777777" w:rsidR="00F00E9A" w:rsidRPr="00F00E9A" w:rsidRDefault="00F00E9A" w:rsidP="00F00E9A">
            <w:pPr>
              <w:suppressAutoHyphens/>
              <w:autoSpaceDN w:val="0"/>
              <w:spacing w:after="0" w:line="240" w:lineRule="auto"/>
              <w:jc w:val="both"/>
              <w:textAlignment w:val="baseline"/>
              <w:rPr>
                <w:sz w:val="12"/>
              </w:rPr>
            </w:pPr>
          </w:p>
        </w:tc>
        <w:tc>
          <w:tcPr>
            <w:tcW w:w="1765" w:type="dxa"/>
            <w:tcBorders>
              <w:top w:val="single" w:sz="4" w:space="0" w:color="000000"/>
              <w:left w:val="single" w:sz="4" w:space="0" w:color="000000"/>
              <w:bottom w:val="single" w:sz="4" w:space="0" w:color="000000"/>
              <w:right w:val="single" w:sz="4" w:space="0" w:color="000000"/>
            </w:tcBorders>
            <w:shd w:val="clear" w:color="auto" w:fill="000000"/>
            <w:tcMar>
              <w:top w:w="57" w:type="dxa"/>
              <w:left w:w="57" w:type="dxa"/>
              <w:bottom w:w="57" w:type="dxa"/>
              <w:right w:w="85" w:type="dxa"/>
            </w:tcMar>
          </w:tcPr>
          <w:p w14:paraId="7D81BD5A" w14:textId="77777777" w:rsidR="00F00E9A" w:rsidRPr="00F00E9A" w:rsidRDefault="00F00E9A" w:rsidP="00F00E9A">
            <w:pPr>
              <w:suppressAutoHyphens/>
              <w:autoSpaceDN w:val="0"/>
              <w:spacing w:after="0" w:line="240" w:lineRule="auto"/>
              <w:jc w:val="both"/>
              <w:textAlignment w:val="baseline"/>
              <w:rPr>
                <w:sz w:val="12"/>
              </w:rPr>
            </w:pPr>
          </w:p>
        </w:tc>
      </w:tr>
      <w:tr w:rsidR="00F00E9A" w:rsidRPr="00F00E9A" w14:paraId="6ABB719D"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8353EF5"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Mean</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6DBD1857"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A5BAB8F"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79D13A6D"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60</w:t>
            </w:r>
          </w:p>
        </w:tc>
      </w:tr>
      <w:tr w:rsidR="00F00E9A" w:rsidRPr="00F00E9A" w14:paraId="01018547" w14:textId="77777777" w:rsidTr="00F00E9A">
        <w:trPr>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3402845B"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Median</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5F9C553F"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0B7F48F4"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85" w:type="dxa"/>
            </w:tcMar>
          </w:tcPr>
          <w:p w14:paraId="2D1E5DCE" w14:textId="77777777" w:rsidR="00F00E9A" w:rsidRPr="00F00E9A" w:rsidRDefault="00F00E9A" w:rsidP="00F00E9A">
            <w:pPr>
              <w:suppressAutoHyphens/>
              <w:autoSpaceDN w:val="0"/>
              <w:spacing w:after="0" w:line="240" w:lineRule="auto"/>
              <w:jc w:val="both"/>
              <w:textAlignment w:val="baseline"/>
              <w:rPr>
                <w:sz w:val="24"/>
              </w:rPr>
            </w:pPr>
            <w:r w:rsidRPr="00F00E9A">
              <w:rPr>
                <w:sz w:val="24"/>
              </w:rPr>
              <w:t>30</w:t>
            </w:r>
          </w:p>
        </w:tc>
      </w:tr>
    </w:tbl>
    <w:p w14:paraId="539D1AAF" w14:textId="2B07D60A" w:rsidR="00F00E9A" w:rsidRDefault="00F00E9A" w:rsidP="00F00E9A">
      <w:pPr>
        <w:pStyle w:val="Caption"/>
      </w:pPr>
      <w:r w:rsidRPr="00F00E9A">
        <w:t>Table 1: Example calculation of mean and median</w:t>
      </w:r>
    </w:p>
    <w:p w14:paraId="5378A9F8" w14:textId="323B3C41" w:rsidR="00F00E9A" w:rsidRDefault="00F00E9A" w:rsidP="00F00E9A">
      <w:r>
        <w:t xml:space="preserve">The mean </w:t>
      </w:r>
      <w:proofErr w:type="gramStart"/>
      <w:r>
        <w:t>is calculated</w:t>
      </w:r>
      <w:proofErr w:type="gramEnd"/>
      <w:r>
        <w:t xml:space="preserve"> by adding all of the entries in each line up and then dividing by the number of entries there are (in this case </w:t>
      </w:r>
      <w:r w:rsidR="00984B31">
        <w:t>eight</w:t>
      </w:r>
      <w:r>
        <w:t>).</w:t>
      </w:r>
    </w:p>
    <w:p w14:paraId="571D6FD3" w14:textId="4A0BD1D2" w:rsidR="00F00E9A" w:rsidRDefault="00F00E9A" w:rsidP="00F00E9A">
      <w:r>
        <w:t>The median is calculated by putting the entries in order and then finding the “middle” entry</w:t>
      </w:r>
      <w:r w:rsidR="00984B31">
        <w:t>.</w:t>
      </w:r>
      <w:r>
        <w:t xml:space="preserve"> In this case</w:t>
      </w:r>
      <w:r w:rsidR="00984B31">
        <w:t>,</w:t>
      </w:r>
      <w:r>
        <w:t xml:space="preserve"> since there are </w:t>
      </w:r>
      <w:r w:rsidR="00984B31">
        <w:t xml:space="preserve">eight </w:t>
      </w:r>
      <w:r w:rsidR="005E6213">
        <w:t>local authorities</w:t>
      </w:r>
      <w:r>
        <w:t xml:space="preserve">, the “middle” is halfway between </w:t>
      </w:r>
      <w:r w:rsidR="00F41858">
        <w:t>e</w:t>
      </w:r>
      <w:r w:rsidR="00111DBA">
        <w:t>xample</w:t>
      </w:r>
      <w:r>
        <w:t xml:space="preserve"> 4 and </w:t>
      </w:r>
      <w:r w:rsidR="00F41858">
        <w:t>e</w:t>
      </w:r>
      <w:r w:rsidR="00111DBA">
        <w:t>xample</w:t>
      </w:r>
      <w:r>
        <w:t xml:space="preserve"> 5, so the median is halfway between the value of the </w:t>
      </w:r>
      <w:proofErr w:type="gramStart"/>
      <w:r>
        <w:t>4th</w:t>
      </w:r>
      <w:proofErr w:type="gramEnd"/>
      <w:r>
        <w:t xml:space="preserve"> largest and 5th largest entries.</w:t>
      </w:r>
    </w:p>
    <w:p w14:paraId="1F57DE9A" w14:textId="77777777" w:rsidR="00F00E9A" w:rsidRDefault="00F00E9A" w:rsidP="00F00E9A">
      <w:r>
        <w:t xml:space="preserve">The mean is the same in line 1 and line 2, even though the data looks very different. The median is the same in line 1 and line 3, even though again these two sets of data are very different. The mean is equal to the median in line 1, but they are quite different in lines 2 and 3. Giving both the mean and median tells us more about the distribution of the data than just giving one of these on its own. </w:t>
      </w:r>
    </w:p>
    <w:p w14:paraId="66AB0569" w14:textId="58FC9D28" w:rsidR="00F00E9A" w:rsidRPr="00F00E9A" w:rsidRDefault="00F00E9A" w:rsidP="00F00E9A">
      <w:r>
        <w:t xml:space="preserve">As in line 2 of the example above, for some columns the median will be zero despite a large number of </w:t>
      </w:r>
      <w:r w:rsidR="005E6213">
        <w:t xml:space="preserve">local authorities </w:t>
      </w:r>
      <w:r>
        <w:t xml:space="preserve">actually having significant expenditure. This is mathematically correct: if more than half the </w:t>
      </w:r>
      <w:r w:rsidR="005E6213">
        <w:t xml:space="preserve">local authorities </w:t>
      </w:r>
      <w:r>
        <w:t>have no expenditure in the category, then the middle value of expenditure when values are arranged in ascending order will be zero.</w:t>
      </w:r>
      <w:bookmarkStart w:id="0" w:name="_GoBack"/>
    </w:p>
    <w:bookmarkEnd w:id="0"/>
    <w:p w14:paraId="188D8484" w14:textId="77777777" w:rsidR="00F41858" w:rsidRDefault="00F41858" w:rsidP="005D3B59"/>
    <w:p w14:paraId="07912B8E" w14:textId="77777777" w:rsidR="00F41858" w:rsidRDefault="00F41858" w:rsidP="005D3B59"/>
    <w:p w14:paraId="372369CD" w14:textId="77777777" w:rsidR="00F41858" w:rsidRDefault="00F41858" w:rsidP="005D3B59"/>
    <w:p w14:paraId="36057F97" w14:textId="77777777" w:rsidR="00F41858" w:rsidRDefault="00F41858" w:rsidP="005D3B59"/>
    <w:p w14:paraId="760C5DE4" w14:textId="77777777" w:rsidR="00F41858" w:rsidRDefault="00F41858" w:rsidP="005D3B59"/>
    <w:p w14:paraId="2FC83F08" w14:textId="77777777" w:rsidR="00F41858" w:rsidRDefault="00F41858" w:rsidP="005D3B59"/>
    <w:p w14:paraId="5CBA92BE" w14:textId="77777777" w:rsidR="00F41858" w:rsidRDefault="00F41858" w:rsidP="005D3B59"/>
    <w:p w14:paraId="1A0D0922" w14:textId="77777777" w:rsidR="00F41858" w:rsidRDefault="00F41858" w:rsidP="005D3B59"/>
    <w:p w14:paraId="5944612C" w14:textId="01242E81" w:rsidR="005D3B59" w:rsidRPr="00531385" w:rsidRDefault="00C2496D" w:rsidP="005D3B59">
      <w:r w:rsidRPr="00995398">
        <w:t>©</w:t>
      </w:r>
      <w:r w:rsidR="005D3B59" w:rsidRPr="005D3B59">
        <w:t xml:space="preserve"> </w:t>
      </w:r>
      <w:r w:rsidR="005D3B59">
        <w:t xml:space="preserve">Crown copyright </w:t>
      </w:r>
      <w:r w:rsidR="00FB0FED">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55BD9" w16cid:durableId="1F27C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E28B" w14:textId="77777777" w:rsidR="002E6A00" w:rsidRDefault="002E6A00" w:rsidP="002B6D93">
      <w:r>
        <w:separator/>
      </w:r>
    </w:p>
    <w:p w14:paraId="0AB4AC9D" w14:textId="77777777" w:rsidR="002E6A00" w:rsidRDefault="002E6A00"/>
  </w:endnote>
  <w:endnote w:type="continuationSeparator" w:id="0">
    <w:p w14:paraId="7A124AD9" w14:textId="77777777" w:rsidR="002E6A00" w:rsidRDefault="002E6A00" w:rsidP="002B6D93">
      <w:r>
        <w:continuationSeparator/>
      </w:r>
    </w:p>
    <w:p w14:paraId="2ACE6A42" w14:textId="77777777" w:rsidR="002E6A00" w:rsidRDefault="002E6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4942095F"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2653F">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AA45BD2" w:rsidR="00DA0AD5" w:rsidRPr="006E6ADB" w:rsidRDefault="00DA0AD5"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4E52" w14:textId="77777777" w:rsidR="002E6A00" w:rsidRDefault="002E6A00" w:rsidP="002B6D93">
      <w:r>
        <w:separator/>
      </w:r>
    </w:p>
    <w:p w14:paraId="17EA73A3" w14:textId="77777777" w:rsidR="002E6A00" w:rsidRDefault="002E6A00"/>
  </w:footnote>
  <w:footnote w:type="continuationSeparator" w:id="0">
    <w:p w14:paraId="26D7D208" w14:textId="77777777" w:rsidR="002E6A00" w:rsidRDefault="002E6A00" w:rsidP="002B6D93">
      <w:r>
        <w:continuationSeparator/>
      </w:r>
    </w:p>
    <w:p w14:paraId="40A15386" w14:textId="77777777" w:rsidR="002E6A00" w:rsidRDefault="002E6A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B15DB9"/>
    <w:multiLevelType w:val="hybridMultilevel"/>
    <w:tmpl w:val="B0A0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8"/>
  </w:num>
  <w:num w:numId="5">
    <w:abstractNumId w:val="7"/>
  </w:num>
  <w:num w:numId="6">
    <w:abstractNumId w:val="9"/>
  </w:num>
  <w:num w:numId="7">
    <w:abstractNumId w:val="3"/>
  </w:num>
  <w:num w:numId="8">
    <w:abstractNumId w:val="1"/>
  </w:num>
  <w:num w:numId="9">
    <w:abstractNumId w:val="0"/>
  </w:num>
  <w:num w:numId="10">
    <w:abstractNumId w:val="10"/>
  </w:num>
  <w:num w:numId="11">
    <w:abstractNumId w:val="9"/>
  </w:num>
  <w:num w:numId="12">
    <w:abstractNumId w:val="1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6921"/>
    <w:rsid w:val="00031F36"/>
    <w:rsid w:val="000442BD"/>
    <w:rsid w:val="0005676C"/>
    <w:rsid w:val="00057100"/>
    <w:rsid w:val="00065E86"/>
    <w:rsid w:val="00066B1C"/>
    <w:rsid w:val="00072E6B"/>
    <w:rsid w:val="00083A73"/>
    <w:rsid w:val="000A10F4"/>
    <w:rsid w:val="000B273C"/>
    <w:rsid w:val="000B3DE0"/>
    <w:rsid w:val="000D1D30"/>
    <w:rsid w:val="000D4433"/>
    <w:rsid w:val="000E3350"/>
    <w:rsid w:val="000F73F3"/>
    <w:rsid w:val="00103E77"/>
    <w:rsid w:val="00111DBA"/>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2A1F"/>
    <w:rsid w:val="002A3153"/>
    <w:rsid w:val="002B6D93"/>
    <w:rsid w:val="002C34D4"/>
    <w:rsid w:val="002C3AA4"/>
    <w:rsid w:val="002D3AE2"/>
    <w:rsid w:val="002E463F"/>
    <w:rsid w:val="002E4E9A"/>
    <w:rsid w:val="002E508B"/>
    <w:rsid w:val="002E5F9F"/>
    <w:rsid w:val="002E6A00"/>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96863"/>
    <w:rsid w:val="004A3626"/>
    <w:rsid w:val="004A3E98"/>
    <w:rsid w:val="004B08AC"/>
    <w:rsid w:val="004C5600"/>
    <w:rsid w:val="004D13A3"/>
    <w:rsid w:val="004D73C6"/>
    <w:rsid w:val="004E5405"/>
    <w:rsid w:val="004E6CD9"/>
    <w:rsid w:val="004F20E3"/>
    <w:rsid w:val="004F211A"/>
    <w:rsid w:val="004F3159"/>
    <w:rsid w:val="004F4AEF"/>
    <w:rsid w:val="00511F41"/>
    <w:rsid w:val="005247AD"/>
    <w:rsid w:val="0052653F"/>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E6213"/>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A7E83"/>
    <w:rsid w:val="006B1F9F"/>
    <w:rsid w:val="006C382D"/>
    <w:rsid w:val="006D1162"/>
    <w:rsid w:val="006E6ADB"/>
    <w:rsid w:val="006E7F39"/>
    <w:rsid w:val="006F1F96"/>
    <w:rsid w:val="00700B01"/>
    <w:rsid w:val="00702EBF"/>
    <w:rsid w:val="00713414"/>
    <w:rsid w:val="00717A1F"/>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91A76"/>
    <w:rsid w:val="008A460D"/>
    <w:rsid w:val="008A4CD5"/>
    <w:rsid w:val="008A588F"/>
    <w:rsid w:val="008A5923"/>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568"/>
    <w:rsid w:val="00917E9C"/>
    <w:rsid w:val="00926A3C"/>
    <w:rsid w:val="0093027C"/>
    <w:rsid w:val="0094189B"/>
    <w:rsid w:val="00951C56"/>
    <w:rsid w:val="0095599F"/>
    <w:rsid w:val="0096424B"/>
    <w:rsid w:val="009701C8"/>
    <w:rsid w:val="00972EFD"/>
    <w:rsid w:val="00984B31"/>
    <w:rsid w:val="00986616"/>
    <w:rsid w:val="00995398"/>
    <w:rsid w:val="009B32FA"/>
    <w:rsid w:val="009C2C02"/>
    <w:rsid w:val="009C73CF"/>
    <w:rsid w:val="009E00AE"/>
    <w:rsid w:val="009E09D3"/>
    <w:rsid w:val="009E53E8"/>
    <w:rsid w:val="009E6E74"/>
    <w:rsid w:val="009E7EE1"/>
    <w:rsid w:val="009E7F32"/>
    <w:rsid w:val="00A1633A"/>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31A0"/>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D52"/>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A7716"/>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D5A22"/>
    <w:rsid w:val="00EE64AE"/>
    <w:rsid w:val="00F00E9A"/>
    <w:rsid w:val="00F06445"/>
    <w:rsid w:val="00F07114"/>
    <w:rsid w:val="00F10F72"/>
    <w:rsid w:val="00F206A7"/>
    <w:rsid w:val="00F3105E"/>
    <w:rsid w:val="00F41591"/>
    <w:rsid w:val="00F41858"/>
    <w:rsid w:val="00F41A63"/>
    <w:rsid w:val="00F45BEB"/>
    <w:rsid w:val="00F54523"/>
    <w:rsid w:val="00F54B50"/>
    <w:rsid w:val="00F84544"/>
    <w:rsid w:val="00F85AA7"/>
    <w:rsid w:val="00F954FA"/>
    <w:rsid w:val="00F95B1F"/>
    <w:rsid w:val="00FA05B2"/>
    <w:rsid w:val="00FA68A7"/>
    <w:rsid w:val="00FB0FED"/>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55902DA0-AB0B-49C3-A206-50AF5D7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984B3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local-authority-interactive-tool-l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6e3edf1fa49481ba268d185cd027270 xmlns="30736584-ed75-4244-b8d0-4e74112990e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a6e3edf1fa49481ba268d185cd027270>
    <TaxCatchAll xmlns="30736584-ed75-4244-b8d0-4e74112990e4">
      <Value>3</Value>
      <Value>2</Value>
      <Value>1</Value>
    </TaxCatchAll>
    <h44e24723ea64655b0d14420d374ca58 xmlns="30736584-ed75-4244-b8d0-4e74112990e4">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44e24723ea64655b0d14420d374ca58>
    <ed94ac249cb840f19bbd4406a4f55e32 xmlns="30736584-ed75-4244-b8d0-4e74112990e4">
      <Terms xmlns="http://schemas.microsoft.com/office/infopath/2007/PartnerControls"/>
    </ed94ac249cb840f19bbd4406a4f55e32>
    <ia4a91b1d01d4be887f36d2f14e1f66e xmlns="30736584-ed75-4244-b8d0-4e74112990e4">
      <Terms xmlns="http://schemas.microsoft.com/office/infopath/2007/PartnerControls"/>
    </ia4a91b1d01d4be887f36d2f14e1f66e>
    <h5181134883947a99a38d116ffff0006 xmlns="dc4d73b2-4efe-4ff0-92c8-23409c58653b">
      <Terms xmlns="http://schemas.microsoft.com/office/infopath/2007/PartnerControls"/>
    </h5181134883947a99a38d116ffff0006>
    <_dlc_DocIdUrl xmlns="30736584-ed75-4244-b8d0-4e74112990e4">
      <Url>https://educationgovuk.sharepoint.com/sites/amsgf/_layouts/15/DocIdRedir.aspx?ID=M4HJC27EKFKM-4-26650</Url>
      <Description>M4HJC27EKFKM-4-26650</Description>
    </_dlc_DocIdUrl>
    <fcb6584d4a38422ca26ee68434c56da0 xmlns="30736584-ed75-4244-b8d0-4e74112990e4">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fcb6584d4a38422ca26ee68434c56da0>
    <_dlc_DocId xmlns="30736584-ed75-4244-b8d0-4e74112990e4">M4HJC27EKFKM-4-26650</_dlc_DocId>
    <Comments xmlns="http://schemas.microsoft.com/sharepoint/v3" xsi:nil="true"/>
    <IWPContributor xmlns="83fda704-c237-4500-b251-16056c5ca5ab">
      <UserInfo>
        <DisplayName/>
        <AccountId xsi:nil="true"/>
        <AccountType/>
      </UserInfo>
    </IWPContribu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7D57433EB72284092117883D60835DA0A005E824A61DA5105458F1F9907DC9A76B2" ma:contentTypeVersion="43" ma:contentTypeDescription="For programme or project documents. Records retained for 10 years." ma:contentTypeScope="" ma:versionID="e7828ba0e9af6ceff98b329282ae3d74">
  <xsd:schema xmlns:xsd="http://www.w3.org/2001/XMLSchema" xmlns:xs="http://www.w3.org/2001/XMLSchema" xmlns:p="http://schemas.microsoft.com/office/2006/metadata/properties" xmlns:ns1="http://schemas.microsoft.com/sharepoint/v3" xmlns:ns2="30736584-ed75-4244-b8d0-4e74112990e4" xmlns:ns3="83fda704-c237-4500-b251-16056c5ca5ab" xmlns:ns4="dc4d73b2-4efe-4ff0-92c8-23409c58653b" targetNamespace="http://schemas.microsoft.com/office/2006/metadata/properties" ma:root="true" ma:fieldsID="82757a3d4f91a040d2fac9caa70cdc59" ns1:_="" ns2:_="" ns3:_="" ns4:_="">
    <xsd:import namespace="http://schemas.microsoft.com/sharepoint/v3"/>
    <xsd:import namespace="30736584-ed75-4244-b8d0-4e74112990e4"/>
    <xsd:import namespace="83fda704-c237-4500-b251-16056c5ca5ab"/>
    <xsd:import namespace="dc4d73b2-4efe-4ff0-92c8-23409c5865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94ac249cb840f19bbd4406a4f55e32" minOccurs="0"/>
                <xsd:element ref="ns2:h44e24723ea64655b0d14420d374ca58" minOccurs="0"/>
                <xsd:element ref="ns2:a6e3edf1fa49481ba268d185cd027270" minOccurs="0"/>
                <xsd:element ref="ns2:ia4a91b1d01d4be887f36d2f14e1f66e" minOccurs="0"/>
                <xsd:element ref="ns2:fcb6584d4a38422ca26ee68434c56da0"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36584-ed75-4244-b8d0-4e74112990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113c29f-d5c3-4df3-84fa-5bdcf0e68694}" ma:internalName="TaxCatchAll" ma:readOnly="false" ma:showField="CatchAllData"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9113c29f-d5c3-4df3-84fa-5bdcf0e68694}" ma:internalName="TaxCatchAllLabel" ma:readOnly="true" ma:showField="CatchAllDataLabel"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ed94ac249cb840f19bbd4406a4f55e32" ma:index="23" nillable="true" ma:taxonomy="true" ma:internalName="ed94ac249cb840f19bbd4406a4f55e32" ma:taxonomyFieldName="IWPFunction" ma:displayName="Function" ma:readOnly="false" ma:fieldId="{ed94ac24-9cb8-40f1-9bbd-4406a4f55e3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h44e24723ea64655b0d14420d374ca58" ma:index="24" ma:taxonomy="true" ma:internalName="h44e24723ea64655b0d14420d374ca58" ma:taxonomyFieldName="IWPOwner" ma:displayName="Owner" ma:readOnly="false" ma:default="3;#EFA|4a323c2c-9aef-47e8-b09b-131faf9bac1c" ma:fieldId="{144e2472-3ea6-4655-b0d1-4420d374ca5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a6e3edf1fa49481ba268d185cd027270" ma:index="25" ma:taxonomy="true" ma:internalName="a6e3edf1fa49481ba268d185cd027270" ma:taxonomyFieldName="IWPRightsProtectiveMarking" ma:displayName="Rights: Protective Marking" ma:readOnly="false" ma:default="1;#Official|0884c477-2e62-47ea-b19c-5af6e91124c5" ma:fieldId="{a6e3edf1-fa49-481b-a268-d185cd02727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a4a91b1d01d4be887f36d2f14e1f66e" ma:index="26" nillable="true" ma:taxonomy="true" ma:internalName="ia4a91b1d01d4be887f36d2f14e1f66e" ma:taxonomyFieldName="IWPSiteType" ma:displayName="Site Type" ma:readOnly="false" ma:fieldId="{2a4a91b1-d01d-4be8-87f3-6d2f14e1f66e}"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cb6584d4a38422ca26ee68434c56da0" ma:index="27" ma:taxonomy="true" ma:internalName="fcb6584d4a38422ca26ee68434c56da0" ma:taxonomyFieldName="IWPOrganisationalUnit" ma:displayName="Organisational Unit" ma:readOnly="false" ma:default="2;#EFA|f55057f6-e680-4dd8-a168-9494a8b9b0ae" ma:fieldId="{fcb6584d-4a38-422c-a26e-e68434c56da0}"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da704-c237-4500-b251-16056c5ca5ab"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d73b2-4efe-4ff0-92c8-23409c5865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30736584-ed75-4244-b8d0-4e74112990e4"/>
    <ds:schemaRef ds:uri="dc4d73b2-4efe-4ff0-92c8-23409c58653b"/>
    <ds:schemaRef ds:uri="http://schemas.microsoft.com/sharepoint/v3"/>
    <ds:schemaRef ds:uri="83fda704-c237-4500-b251-16056c5ca5ab"/>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F0CB377-DBC2-4AA4-A9F7-6A0DF6E49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36584-ed75-4244-b8d0-4e74112990e4"/>
    <ds:schemaRef ds:uri="83fda704-c237-4500-b251-16056c5ca5ab"/>
    <ds:schemaRef ds:uri="dc4d73b2-4efe-4ff0-92c8-23409c58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59B8843-CF4E-4C12-BE0E-FCA44FE636C7}">
  <ds:schemaRefs>
    <ds:schemaRef ds:uri="http://schemas.microsoft.com/sharepoint/events"/>
  </ds:schemaRefs>
</ds:datastoreItem>
</file>

<file path=customXml/itemProps6.xml><?xml version="1.0" encoding="utf-8"?>
<ds:datastoreItem xmlns:ds="http://schemas.openxmlformats.org/officeDocument/2006/customXml" ds:itemID="{37C16AF5-69D6-4700-9D35-4E5C698F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Additional Information (Provisional) 2017-18</vt:lpstr>
    </vt:vector>
  </TitlesOfParts>
  <Company>Department for Education</Company>
  <LinksUpToDate>false</LinksUpToDate>
  <CharactersWithSpaces>5668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(Provisional) 2017-18</dc:title>
  <dc:creator>Publishing.TEAM@education.gsi.gov.uk</dc:creator>
  <dc:description>DfE-SD-V1.4</dc:description>
  <cp:lastModifiedBy>SEAL, Andrew</cp:lastModifiedBy>
  <cp:revision>2</cp:revision>
  <cp:lastPrinted>2013-07-11T10:35:00Z</cp:lastPrinted>
  <dcterms:created xsi:type="dcterms:W3CDTF">2018-10-09T14:43:00Z</dcterms:created>
  <dcterms:modified xsi:type="dcterms:W3CDTF">2018-10-09T14:43:00Z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0x01010077D57433EB72284092117883D60835DA0A005E824A61DA5105458F1F9907DC9A76B2</vt:lpwstr>
  </property>
  <property fmtid="{D5CDD505-2E9C-101B-9397-08002B2CF9AE}" pid="4" name="_dlc_DocIdItemGuid">
    <vt:lpwstr>9bed0e7d-c400-48ce-b1e3-258e91d592f9</vt:lpwstr>
  </property>
  <property fmtid="{D5CDD505-2E9C-101B-9397-08002B2CF9AE}" pid="5" name="IWPOrganisationalUnit">
    <vt:lpwstr>2;#EFA|f55057f6-e680-4dd8-a168-9494a8b9b0ae</vt:lpwstr>
  </property>
  <property fmtid="{D5CDD505-2E9C-101B-9397-08002B2CF9AE}" pid="6" name="IWPOwner">
    <vt:lpwstr>3;#ESFA|4a323c2c-9aef-47e8-b09b-131faf9bac1c</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ies>
</file>