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0C" w:rsidRDefault="0064100C" w:rsidP="00B95B23">
      <w:pPr>
        <w:pStyle w:val="Default"/>
        <w:jc w:val="right"/>
        <w:rPr>
          <w:sz w:val="20"/>
          <w:szCs w:val="20"/>
        </w:rPr>
      </w:pPr>
      <w:r>
        <w:rPr>
          <w:b/>
          <w:bCs/>
          <w:sz w:val="20"/>
          <w:szCs w:val="20"/>
        </w:rPr>
        <w:t xml:space="preserve"> No: </w:t>
      </w:r>
      <w:r>
        <w:rPr>
          <w:sz w:val="20"/>
          <w:szCs w:val="20"/>
        </w:rPr>
        <w:t xml:space="preserve">.............  </w:t>
      </w:r>
    </w:p>
    <w:p w:rsidR="0064100C" w:rsidRDefault="0064100C">
      <w:pPr>
        <w:pStyle w:val="Default"/>
        <w:rPr>
          <w:sz w:val="20"/>
          <w:szCs w:val="20"/>
        </w:rPr>
      </w:pPr>
    </w:p>
    <w:p w:rsidR="0064100C" w:rsidRDefault="0064100C">
      <w:pPr>
        <w:pStyle w:val="CM5"/>
        <w:framePr w:w="8878" w:wrap="auto" w:vAnchor="page" w:hAnchor="page" w:x="1440" w:y="1823"/>
        <w:spacing w:line="223" w:lineRule="atLeast"/>
        <w:rPr>
          <w:color w:val="000000"/>
          <w:sz w:val="20"/>
          <w:szCs w:val="20"/>
        </w:rPr>
      </w:pPr>
      <w:r>
        <w:rPr>
          <w:b/>
          <w:bCs/>
          <w:color w:val="000000"/>
          <w:sz w:val="20"/>
          <w:szCs w:val="20"/>
        </w:rPr>
        <w:t>EXPORT OF LABORATORY ANIMALS (MICE AND RATS), THEIR EMBRYONIC FORMS, SPERM</w:t>
      </w:r>
      <w:r w:rsidR="00B95B23">
        <w:rPr>
          <w:b/>
          <w:bCs/>
          <w:color w:val="000000"/>
          <w:sz w:val="20"/>
          <w:szCs w:val="20"/>
        </w:rPr>
        <w:t xml:space="preserve"> </w:t>
      </w:r>
      <w:r>
        <w:rPr>
          <w:b/>
          <w:bCs/>
          <w:color w:val="000000"/>
          <w:sz w:val="20"/>
          <w:szCs w:val="20"/>
        </w:rPr>
        <w:t xml:space="preserve">AND CELL CULTURES FROM GREAT BRITAIN TO THE RUSSIAN FEDERATION </w:t>
      </w:r>
    </w:p>
    <w:p w:rsidR="0064100C" w:rsidRDefault="0064100C">
      <w:pPr>
        <w:pStyle w:val="CM5"/>
        <w:framePr w:w="7318" w:wrap="auto" w:vAnchor="page" w:hAnchor="page" w:x="1440" w:y="2511"/>
        <w:spacing w:line="231" w:lineRule="atLeast"/>
        <w:rPr>
          <w:color w:val="000000"/>
          <w:sz w:val="20"/>
          <w:szCs w:val="20"/>
        </w:rPr>
      </w:pPr>
      <w:r>
        <w:rPr>
          <w:b/>
          <w:bCs/>
          <w:color w:val="000000"/>
          <w:sz w:val="20"/>
          <w:szCs w:val="20"/>
        </w:rPr>
        <w:t xml:space="preserve">NOTES FOR GUIDANCE OF THE OFFICIAL VETERINARIAN AND EXPORTER </w:t>
      </w:r>
    </w:p>
    <w:p w:rsidR="0064100C" w:rsidRDefault="0064100C">
      <w:pPr>
        <w:pStyle w:val="CM2"/>
        <w:framePr w:w="1199" w:wrap="auto" w:vAnchor="page" w:hAnchor="page" w:x="1440" w:y="2969"/>
        <w:rPr>
          <w:color w:val="000000"/>
          <w:sz w:val="20"/>
          <w:szCs w:val="20"/>
        </w:rPr>
      </w:pPr>
      <w:r>
        <w:rPr>
          <w:b/>
          <w:bCs/>
          <w:color w:val="000000"/>
          <w:sz w:val="20"/>
          <w:szCs w:val="20"/>
          <w:u w:val="single"/>
        </w:rPr>
        <w:t xml:space="preserve">IMPORTANT </w:t>
      </w:r>
    </w:p>
    <w:p w:rsidR="0064100C" w:rsidRDefault="0064100C">
      <w:pPr>
        <w:pStyle w:val="CM6"/>
        <w:framePr w:w="8878" w:wrap="auto" w:vAnchor="page" w:hAnchor="page" w:x="1440" w:y="3229"/>
        <w:spacing w:line="223" w:lineRule="atLeast"/>
        <w:rPr>
          <w:color w:val="000000"/>
          <w:sz w:val="20"/>
          <w:szCs w:val="20"/>
        </w:rPr>
      </w:pPr>
      <w:r>
        <w:rPr>
          <w:color w:val="000000"/>
          <w:sz w:val="20"/>
          <w:szCs w:val="20"/>
        </w:rPr>
        <w:t>These notes provide guidance to Official Veterinarians (OV) and exporters.</w:t>
      </w:r>
      <w:r w:rsidR="00B95B23">
        <w:rPr>
          <w:color w:val="000000"/>
          <w:sz w:val="20"/>
          <w:szCs w:val="20"/>
        </w:rPr>
        <w:t xml:space="preserve"> </w:t>
      </w:r>
      <w:r>
        <w:rPr>
          <w:color w:val="000000"/>
          <w:sz w:val="20"/>
          <w:szCs w:val="20"/>
        </w:rPr>
        <w:t>The NFG should have been issued to you together with export certificate</w:t>
      </w:r>
      <w:r w:rsidR="00B95B23">
        <w:rPr>
          <w:color w:val="000000"/>
          <w:sz w:val="20"/>
          <w:szCs w:val="20"/>
        </w:rPr>
        <w:t xml:space="preserve"> </w:t>
      </w:r>
      <w:r>
        <w:rPr>
          <w:color w:val="000000"/>
          <w:sz w:val="20"/>
          <w:szCs w:val="20"/>
        </w:rPr>
        <w:t xml:space="preserve">7293EHC. The NFG should not be read as a standalone document but </w:t>
      </w:r>
      <w:proofErr w:type="gramStart"/>
      <w:r>
        <w:rPr>
          <w:color w:val="000000"/>
          <w:sz w:val="20"/>
          <w:szCs w:val="20"/>
        </w:rPr>
        <w:t xml:space="preserve">in </w:t>
      </w:r>
      <w:r w:rsidR="00B95B23">
        <w:rPr>
          <w:color w:val="000000"/>
          <w:sz w:val="20"/>
          <w:szCs w:val="20"/>
        </w:rPr>
        <w:t xml:space="preserve"> </w:t>
      </w:r>
      <w:r>
        <w:rPr>
          <w:color w:val="000000"/>
          <w:sz w:val="20"/>
          <w:szCs w:val="20"/>
        </w:rPr>
        <w:t>conjunction</w:t>
      </w:r>
      <w:proofErr w:type="gramEnd"/>
      <w:r>
        <w:rPr>
          <w:color w:val="000000"/>
          <w:sz w:val="20"/>
          <w:szCs w:val="20"/>
        </w:rPr>
        <w:t xml:space="preserve"> with certificate 7293EHC. We strongly suggest that exporters</w:t>
      </w:r>
      <w:r w:rsidR="00B95B23">
        <w:rPr>
          <w:color w:val="000000"/>
          <w:sz w:val="20"/>
          <w:szCs w:val="20"/>
        </w:rPr>
        <w:t xml:space="preserve"> </w:t>
      </w:r>
      <w:r>
        <w:rPr>
          <w:color w:val="000000"/>
          <w:sz w:val="20"/>
          <w:szCs w:val="20"/>
        </w:rPr>
        <w:t>obtain full details of the importing country’s requirements from the</w:t>
      </w:r>
      <w:r w:rsidR="00B95B23">
        <w:rPr>
          <w:color w:val="000000"/>
          <w:sz w:val="20"/>
          <w:szCs w:val="20"/>
        </w:rPr>
        <w:t xml:space="preserve"> </w:t>
      </w:r>
      <w:r>
        <w:rPr>
          <w:color w:val="000000"/>
          <w:sz w:val="20"/>
          <w:szCs w:val="20"/>
        </w:rPr>
        <w:t>veterinary authorities in the country concerned, or their representatives</w:t>
      </w:r>
      <w:r w:rsidR="00B95B23">
        <w:rPr>
          <w:color w:val="000000"/>
          <w:sz w:val="20"/>
          <w:szCs w:val="20"/>
        </w:rPr>
        <w:t xml:space="preserve">   </w:t>
      </w:r>
      <w:r>
        <w:rPr>
          <w:color w:val="000000"/>
          <w:sz w:val="20"/>
          <w:szCs w:val="20"/>
        </w:rPr>
        <w:t xml:space="preserve">in the UK, in advance of each consignment. </w:t>
      </w:r>
    </w:p>
    <w:p w:rsidR="00B95B23" w:rsidRPr="00B95B23" w:rsidRDefault="0064100C">
      <w:pPr>
        <w:pStyle w:val="Default"/>
        <w:framePr w:w="8987" w:wrap="auto" w:vAnchor="page" w:hAnchor="page" w:x="1440" w:y="5132"/>
        <w:numPr>
          <w:ilvl w:val="0"/>
          <w:numId w:val="1"/>
        </w:numPr>
        <w:rPr>
          <w:sz w:val="20"/>
          <w:szCs w:val="20"/>
        </w:rPr>
      </w:pPr>
      <w:r>
        <w:rPr>
          <w:b/>
          <w:bCs/>
          <w:sz w:val="20"/>
          <w:szCs w:val="20"/>
          <w:u w:val="single"/>
        </w:rPr>
        <w:t xml:space="preserve">SCOPE OF THE CERTIFICATE </w:t>
      </w:r>
    </w:p>
    <w:p w:rsidR="00B95B23" w:rsidRDefault="0064100C" w:rsidP="00B95B23">
      <w:pPr>
        <w:pStyle w:val="Default"/>
        <w:framePr w:w="8987" w:wrap="auto" w:vAnchor="page" w:hAnchor="page" w:x="1440" w:y="5132"/>
        <w:ind w:left="720"/>
        <w:rPr>
          <w:sz w:val="20"/>
          <w:szCs w:val="20"/>
        </w:rPr>
      </w:pPr>
      <w:r>
        <w:rPr>
          <w:sz w:val="20"/>
          <w:szCs w:val="20"/>
        </w:rPr>
        <w:t>Export health certificate 7293EHC may be used</w:t>
      </w:r>
      <w:r w:rsidR="00B95B23">
        <w:rPr>
          <w:sz w:val="20"/>
          <w:szCs w:val="20"/>
        </w:rPr>
        <w:t xml:space="preserve"> </w:t>
      </w:r>
      <w:r>
        <w:rPr>
          <w:sz w:val="20"/>
          <w:szCs w:val="20"/>
        </w:rPr>
        <w:t xml:space="preserve">for the export </w:t>
      </w:r>
      <w:proofErr w:type="gramStart"/>
      <w:r>
        <w:rPr>
          <w:sz w:val="20"/>
          <w:szCs w:val="20"/>
        </w:rPr>
        <w:t>of</w:t>
      </w:r>
      <w:r w:rsidR="00B95B23">
        <w:rPr>
          <w:sz w:val="20"/>
          <w:szCs w:val="20"/>
        </w:rPr>
        <w:t xml:space="preserve">  </w:t>
      </w:r>
      <w:r>
        <w:rPr>
          <w:sz w:val="20"/>
          <w:szCs w:val="20"/>
        </w:rPr>
        <w:t>laboratory</w:t>
      </w:r>
      <w:proofErr w:type="gramEnd"/>
      <w:r>
        <w:rPr>
          <w:sz w:val="20"/>
          <w:szCs w:val="20"/>
        </w:rPr>
        <w:t xml:space="preserve"> animals (mice and rats), their embryonic forms, sperm and</w:t>
      </w:r>
      <w:r w:rsidR="00B95B23">
        <w:rPr>
          <w:sz w:val="20"/>
          <w:szCs w:val="20"/>
        </w:rPr>
        <w:t xml:space="preserve">  </w:t>
      </w:r>
      <w:r>
        <w:rPr>
          <w:sz w:val="20"/>
          <w:szCs w:val="20"/>
        </w:rPr>
        <w:t>cell cultures from Great Britain to the Russian Federation.</w:t>
      </w:r>
    </w:p>
    <w:p w:rsidR="0064100C" w:rsidRDefault="0064100C" w:rsidP="00B95B23">
      <w:pPr>
        <w:pStyle w:val="Default"/>
        <w:framePr w:w="8987" w:wrap="auto" w:vAnchor="page" w:hAnchor="page" w:x="1440" w:y="5132"/>
        <w:rPr>
          <w:sz w:val="20"/>
          <w:szCs w:val="20"/>
        </w:rPr>
      </w:pPr>
      <w:r>
        <w:rPr>
          <w:sz w:val="20"/>
          <w:szCs w:val="20"/>
        </w:rPr>
        <w:t xml:space="preserve"> </w:t>
      </w:r>
    </w:p>
    <w:p w:rsidR="00B95B23" w:rsidRPr="00B95B23" w:rsidRDefault="0064100C">
      <w:pPr>
        <w:pStyle w:val="Default"/>
        <w:framePr w:w="8987" w:wrap="auto" w:vAnchor="page" w:hAnchor="page" w:x="1440" w:y="5132"/>
        <w:numPr>
          <w:ilvl w:val="0"/>
          <w:numId w:val="1"/>
        </w:numPr>
        <w:rPr>
          <w:sz w:val="20"/>
          <w:szCs w:val="20"/>
        </w:rPr>
      </w:pPr>
      <w:r>
        <w:rPr>
          <w:b/>
          <w:bCs/>
          <w:sz w:val="20"/>
          <w:szCs w:val="20"/>
        </w:rPr>
        <w:t>CERTIFICATION BY AN OFFICIAL VETERINARIAN (OV)</w:t>
      </w:r>
    </w:p>
    <w:p w:rsidR="0064100C" w:rsidRDefault="0064100C" w:rsidP="00B95B23">
      <w:pPr>
        <w:pStyle w:val="Default"/>
        <w:framePr w:w="8987" w:wrap="auto" w:vAnchor="page" w:hAnchor="page" w:x="1440" w:y="5132"/>
        <w:ind w:left="720"/>
        <w:rPr>
          <w:sz w:val="20"/>
          <w:szCs w:val="20"/>
        </w:rPr>
      </w:pPr>
      <w:r>
        <w:rPr>
          <w:sz w:val="20"/>
          <w:szCs w:val="20"/>
        </w:rPr>
        <w:t>This certificate may be signed by a Local Veterinary Inspector</w:t>
      </w:r>
      <w:r w:rsidR="00B95B23">
        <w:rPr>
          <w:sz w:val="20"/>
          <w:szCs w:val="20"/>
        </w:rPr>
        <w:t xml:space="preserve">   </w:t>
      </w:r>
      <w:r>
        <w:rPr>
          <w:sz w:val="20"/>
          <w:szCs w:val="20"/>
        </w:rPr>
        <w:t>appointed by the Department for Environment,</w:t>
      </w:r>
      <w:r w:rsidR="00B95B23">
        <w:rPr>
          <w:sz w:val="20"/>
          <w:szCs w:val="20"/>
        </w:rPr>
        <w:t xml:space="preserve"> Food and Rural </w:t>
      </w:r>
      <w:r>
        <w:rPr>
          <w:sz w:val="20"/>
          <w:szCs w:val="20"/>
        </w:rPr>
        <w:t>Affairs</w:t>
      </w:r>
      <w:r w:rsidR="00B95B23">
        <w:rPr>
          <w:sz w:val="20"/>
          <w:szCs w:val="20"/>
        </w:rPr>
        <w:t xml:space="preserve"> </w:t>
      </w:r>
      <w:r>
        <w:rPr>
          <w:sz w:val="20"/>
          <w:szCs w:val="20"/>
        </w:rPr>
        <w:t>(</w:t>
      </w:r>
      <w:proofErr w:type="spellStart"/>
      <w:r>
        <w:rPr>
          <w:sz w:val="20"/>
          <w:szCs w:val="20"/>
        </w:rPr>
        <w:t>Defra</w:t>
      </w:r>
      <w:proofErr w:type="spellEnd"/>
      <w:r>
        <w:rPr>
          <w:sz w:val="20"/>
          <w:szCs w:val="20"/>
        </w:rPr>
        <w:t>), Scottish Government – Rural Directorate, or Welsh Government</w:t>
      </w:r>
    </w:p>
    <w:p w:rsidR="0064100C" w:rsidRDefault="0064100C">
      <w:pPr>
        <w:pStyle w:val="Default"/>
        <w:rPr>
          <w:sz w:val="20"/>
          <w:szCs w:val="20"/>
        </w:rPr>
      </w:pPr>
    </w:p>
    <w:p w:rsidR="0064100C" w:rsidRDefault="0064100C">
      <w:pPr>
        <w:pStyle w:val="CM5"/>
        <w:framePr w:w="8158" w:wrap="auto" w:vAnchor="page" w:hAnchor="page" w:x="2150" w:y="7125"/>
        <w:spacing w:line="223" w:lineRule="atLeast"/>
        <w:rPr>
          <w:color w:val="000000"/>
          <w:sz w:val="20"/>
          <w:szCs w:val="20"/>
        </w:rPr>
      </w:pPr>
      <w:r>
        <w:rPr>
          <w:color w:val="000000"/>
          <w:sz w:val="20"/>
          <w:szCs w:val="20"/>
        </w:rPr>
        <w:t>-Department for Rural Affairs, who is an Official Veterinarian (OV)</w:t>
      </w:r>
      <w:r w:rsidR="00B95B23">
        <w:rPr>
          <w:color w:val="000000"/>
          <w:sz w:val="20"/>
          <w:szCs w:val="20"/>
        </w:rPr>
        <w:t xml:space="preserve">    </w:t>
      </w:r>
      <w:r>
        <w:rPr>
          <w:color w:val="000000"/>
          <w:sz w:val="20"/>
          <w:szCs w:val="20"/>
        </w:rPr>
        <w:t>on the appropriate panel for export purposes. OVs should sign and</w:t>
      </w:r>
      <w:r w:rsidR="00B95B23">
        <w:rPr>
          <w:color w:val="000000"/>
          <w:sz w:val="20"/>
          <w:szCs w:val="20"/>
        </w:rPr>
        <w:t xml:space="preserve">   </w:t>
      </w:r>
      <w:r>
        <w:rPr>
          <w:color w:val="000000"/>
          <w:sz w:val="20"/>
          <w:szCs w:val="20"/>
        </w:rPr>
        <w:t xml:space="preserve">stamp the health certificate with the OV stamp in any colour </w:t>
      </w:r>
      <w:r>
        <w:rPr>
          <w:b/>
          <w:bCs/>
          <w:color w:val="000000"/>
          <w:sz w:val="20"/>
          <w:szCs w:val="20"/>
        </w:rPr>
        <w:t xml:space="preserve">OTHER </w:t>
      </w:r>
      <w:r w:rsidR="00B95B23">
        <w:rPr>
          <w:b/>
          <w:bCs/>
          <w:color w:val="000000"/>
          <w:sz w:val="20"/>
          <w:szCs w:val="20"/>
        </w:rPr>
        <w:t xml:space="preserve">   </w:t>
      </w:r>
      <w:r>
        <w:rPr>
          <w:b/>
          <w:bCs/>
          <w:color w:val="000000"/>
          <w:sz w:val="20"/>
          <w:szCs w:val="20"/>
        </w:rPr>
        <w:t xml:space="preserve">THAN BLACK. </w:t>
      </w:r>
    </w:p>
    <w:p w:rsidR="0064100C" w:rsidRDefault="0064100C">
      <w:pPr>
        <w:pStyle w:val="CM5"/>
        <w:framePr w:w="8038" w:wrap="auto" w:vAnchor="page" w:hAnchor="page" w:x="2150" w:y="8228"/>
        <w:spacing w:line="216" w:lineRule="atLeast"/>
        <w:rPr>
          <w:color w:val="000000"/>
          <w:sz w:val="20"/>
          <w:szCs w:val="20"/>
        </w:rPr>
      </w:pPr>
      <w:r>
        <w:rPr>
          <w:color w:val="000000"/>
          <w:sz w:val="20"/>
          <w:szCs w:val="20"/>
        </w:rPr>
        <w:t>A certified copy of the completed certificate must be sent to</w:t>
      </w:r>
      <w:r w:rsidR="00B95B23">
        <w:rPr>
          <w:color w:val="000000"/>
          <w:sz w:val="20"/>
          <w:szCs w:val="20"/>
        </w:rPr>
        <w:t xml:space="preserve">      </w:t>
      </w:r>
      <w:r>
        <w:rPr>
          <w:color w:val="000000"/>
          <w:sz w:val="20"/>
          <w:szCs w:val="20"/>
        </w:rPr>
        <w:t>AHVLA Specialist Service Centre – Exports in Carlisle, within seven</w:t>
      </w:r>
      <w:r w:rsidR="00B95B23">
        <w:rPr>
          <w:color w:val="000000"/>
          <w:sz w:val="20"/>
          <w:szCs w:val="20"/>
        </w:rPr>
        <w:t xml:space="preserve"> </w:t>
      </w:r>
      <w:r>
        <w:rPr>
          <w:color w:val="000000"/>
          <w:sz w:val="20"/>
          <w:szCs w:val="20"/>
        </w:rPr>
        <w:t xml:space="preserve">days of issue. </w:t>
      </w:r>
    </w:p>
    <w:p w:rsidR="0064100C" w:rsidRDefault="0064100C">
      <w:pPr>
        <w:pStyle w:val="CM5"/>
        <w:framePr w:w="6598" w:wrap="auto" w:vAnchor="page" w:hAnchor="page" w:x="2150" w:y="9087"/>
        <w:spacing w:line="216" w:lineRule="atLeast"/>
        <w:rPr>
          <w:color w:val="000000"/>
          <w:sz w:val="20"/>
          <w:szCs w:val="20"/>
        </w:rPr>
      </w:pPr>
      <w:r>
        <w:rPr>
          <w:color w:val="000000"/>
          <w:sz w:val="20"/>
          <w:szCs w:val="20"/>
        </w:rPr>
        <w:t xml:space="preserve">The OV/AVI should keep a copy for his/her own records. </w:t>
      </w:r>
    </w:p>
    <w:p w:rsidR="0064100C" w:rsidRDefault="0064100C">
      <w:pPr>
        <w:pStyle w:val="Default"/>
        <w:framePr w:w="8878" w:wrap="auto" w:vAnchor="page" w:hAnchor="page" w:x="1440" w:y="9500"/>
        <w:rPr>
          <w:sz w:val="20"/>
          <w:szCs w:val="20"/>
        </w:rPr>
      </w:pPr>
    </w:p>
    <w:p w:rsidR="00B95B23" w:rsidRDefault="0064100C">
      <w:pPr>
        <w:pStyle w:val="Default"/>
        <w:framePr w:w="8878" w:wrap="auto" w:vAnchor="page" w:hAnchor="page" w:x="1440" w:y="9500"/>
        <w:rPr>
          <w:b/>
          <w:bCs/>
          <w:sz w:val="20"/>
          <w:szCs w:val="20"/>
          <w:u w:val="single"/>
        </w:rPr>
      </w:pPr>
      <w:r>
        <w:rPr>
          <w:sz w:val="20"/>
          <w:szCs w:val="20"/>
        </w:rPr>
        <w:t xml:space="preserve">3. </w:t>
      </w:r>
      <w:r>
        <w:rPr>
          <w:sz w:val="20"/>
          <w:szCs w:val="20"/>
        </w:rPr>
        <w:tab/>
      </w:r>
      <w:r>
        <w:rPr>
          <w:b/>
          <w:bCs/>
          <w:sz w:val="20"/>
          <w:szCs w:val="20"/>
          <w:u w:val="single"/>
        </w:rPr>
        <w:t xml:space="preserve">NOTIFIABLE DISEASE CLEARANCE </w:t>
      </w:r>
    </w:p>
    <w:p w:rsidR="00B95B23" w:rsidRDefault="0064100C" w:rsidP="00B95B23">
      <w:pPr>
        <w:pStyle w:val="Default"/>
        <w:framePr w:w="8878" w:wrap="auto" w:vAnchor="page" w:hAnchor="page" w:x="1440" w:y="9500"/>
        <w:ind w:left="720"/>
        <w:rPr>
          <w:sz w:val="20"/>
          <w:szCs w:val="20"/>
        </w:rPr>
      </w:pPr>
      <w:proofErr w:type="gramStart"/>
      <w:r>
        <w:rPr>
          <w:sz w:val="20"/>
          <w:szCs w:val="20"/>
        </w:rPr>
        <w:t>Paragraph 2.1.</w:t>
      </w:r>
      <w:proofErr w:type="gramEnd"/>
      <w:r>
        <w:rPr>
          <w:sz w:val="20"/>
          <w:szCs w:val="20"/>
        </w:rPr>
        <w:t xml:space="preserve"> </w:t>
      </w:r>
      <w:proofErr w:type="gramStart"/>
      <w:r>
        <w:rPr>
          <w:sz w:val="20"/>
          <w:szCs w:val="20"/>
        </w:rPr>
        <w:t>refers</w:t>
      </w:r>
      <w:proofErr w:type="gramEnd"/>
      <w:r>
        <w:rPr>
          <w:sz w:val="20"/>
          <w:szCs w:val="20"/>
        </w:rPr>
        <w:t xml:space="preserve">. Rabbit fever is also known as </w:t>
      </w:r>
      <w:proofErr w:type="spellStart"/>
      <w:r>
        <w:rPr>
          <w:sz w:val="20"/>
          <w:szCs w:val="20"/>
        </w:rPr>
        <w:t>tularemia</w:t>
      </w:r>
      <w:proofErr w:type="spellEnd"/>
      <w:r>
        <w:rPr>
          <w:sz w:val="20"/>
          <w:szCs w:val="20"/>
        </w:rPr>
        <w:t>. This</w:t>
      </w:r>
      <w:r w:rsidR="00B95B23">
        <w:rPr>
          <w:sz w:val="20"/>
          <w:szCs w:val="20"/>
        </w:rPr>
        <w:t xml:space="preserve"> </w:t>
      </w:r>
      <w:r>
        <w:rPr>
          <w:sz w:val="20"/>
          <w:szCs w:val="20"/>
        </w:rPr>
        <w:t>bullet point together with that for Rift Valley fever may be</w:t>
      </w:r>
      <w:r w:rsidR="00B95B23">
        <w:rPr>
          <w:sz w:val="20"/>
          <w:szCs w:val="20"/>
        </w:rPr>
        <w:t xml:space="preserve">    </w:t>
      </w:r>
      <w:r>
        <w:rPr>
          <w:sz w:val="20"/>
          <w:szCs w:val="20"/>
        </w:rPr>
        <w:t>certified by the OV on behalf of the Department provided written</w:t>
      </w:r>
      <w:r w:rsidR="00B95B23">
        <w:rPr>
          <w:sz w:val="20"/>
          <w:szCs w:val="20"/>
        </w:rPr>
        <w:t xml:space="preserve"> </w:t>
      </w:r>
      <w:r>
        <w:rPr>
          <w:sz w:val="20"/>
          <w:szCs w:val="20"/>
        </w:rPr>
        <w:t xml:space="preserve">authority to do so </w:t>
      </w:r>
      <w:proofErr w:type="gramStart"/>
      <w:r>
        <w:rPr>
          <w:sz w:val="20"/>
          <w:szCs w:val="20"/>
        </w:rPr>
        <w:t>has</w:t>
      </w:r>
      <w:proofErr w:type="gramEnd"/>
      <w:r>
        <w:rPr>
          <w:sz w:val="20"/>
          <w:szCs w:val="20"/>
        </w:rPr>
        <w:t xml:space="preserve"> been obtained from the Animal Health,</w:t>
      </w:r>
      <w:r w:rsidR="00B95B23">
        <w:rPr>
          <w:sz w:val="20"/>
          <w:szCs w:val="20"/>
        </w:rPr>
        <w:t xml:space="preserve">   </w:t>
      </w:r>
      <w:r>
        <w:rPr>
          <w:sz w:val="20"/>
          <w:szCs w:val="20"/>
        </w:rPr>
        <w:t>Specialist Service Centre - Exports, Carlisle on form 618NDC.</w:t>
      </w:r>
    </w:p>
    <w:p w:rsidR="0064100C" w:rsidRDefault="0064100C" w:rsidP="00B95B23">
      <w:pPr>
        <w:pStyle w:val="Default"/>
        <w:framePr w:w="8878" w:wrap="auto" w:vAnchor="page" w:hAnchor="page" w:x="1440" w:y="9500"/>
        <w:rPr>
          <w:sz w:val="20"/>
          <w:szCs w:val="20"/>
        </w:rPr>
      </w:pPr>
      <w:r>
        <w:rPr>
          <w:sz w:val="20"/>
          <w:szCs w:val="20"/>
        </w:rPr>
        <w:t xml:space="preserve"> </w:t>
      </w:r>
    </w:p>
    <w:p w:rsidR="0064100C" w:rsidRDefault="0064100C">
      <w:pPr>
        <w:pStyle w:val="Default"/>
        <w:framePr w:w="8878" w:wrap="auto" w:vAnchor="page" w:hAnchor="page" w:x="1440" w:y="9500"/>
        <w:rPr>
          <w:sz w:val="20"/>
          <w:szCs w:val="20"/>
        </w:rPr>
      </w:pPr>
    </w:p>
    <w:p w:rsidR="00B95B23" w:rsidRDefault="00B95B23">
      <w:pPr>
        <w:pStyle w:val="Default"/>
        <w:framePr w:w="8747" w:wrap="auto" w:vAnchor="page" w:hAnchor="page" w:x="1440" w:y="11018"/>
        <w:rPr>
          <w:sz w:val="20"/>
          <w:szCs w:val="20"/>
        </w:rPr>
      </w:pPr>
    </w:p>
    <w:p w:rsidR="00B95B23" w:rsidRDefault="0064100C">
      <w:pPr>
        <w:pStyle w:val="Default"/>
        <w:framePr w:w="8747" w:wrap="auto" w:vAnchor="page" w:hAnchor="page" w:x="1440" w:y="11018"/>
        <w:rPr>
          <w:b/>
          <w:bCs/>
          <w:sz w:val="20"/>
          <w:szCs w:val="20"/>
          <w:u w:val="single"/>
        </w:rPr>
      </w:pPr>
      <w:r>
        <w:rPr>
          <w:sz w:val="20"/>
          <w:szCs w:val="20"/>
        </w:rPr>
        <w:t xml:space="preserve">4. </w:t>
      </w:r>
      <w:r>
        <w:rPr>
          <w:sz w:val="20"/>
          <w:szCs w:val="20"/>
        </w:rPr>
        <w:tab/>
      </w:r>
      <w:r>
        <w:rPr>
          <w:b/>
          <w:bCs/>
          <w:sz w:val="20"/>
          <w:szCs w:val="20"/>
          <w:u w:val="single"/>
        </w:rPr>
        <w:t xml:space="preserve">PREMISES DISEASE CLEARANCE </w:t>
      </w:r>
    </w:p>
    <w:p w:rsidR="00B95B23" w:rsidRDefault="0064100C" w:rsidP="00B95B23">
      <w:pPr>
        <w:pStyle w:val="Default"/>
        <w:framePr w:w="8747" w:wrap="auto" w:vAnchor="page" w:hAnchor="page" w:x="1440" w:y="11018"/>
        <w:ind w:left="720"/>
        <w:rPr>
          <w:sz w:val="20"/>
          <w:szCs w:val="20"/>
        </w:rPr>
      </w:pPr>
      <w:proofErr w:type="gramStart"/>
      <w:r>
        <w:rPr>
          <w:sz w:val="20"/>
          <w:szCs w:val="20"/>
        </w:rPr>
        <w:t>Paragraph 2.1.</w:t>
      </w:r>
      <w:proofErr w:type="gramEnd"/>
      <w:r>
        <w:rPr>
          <w:sz w:val="20"/>
          <w:szCs w:val="20"/>
        </w:rPr>
        <w:t xml:space="preserve"> </w:t>
      </w:r>
      <w:proofErr w:type="gramStart"/>
      <w:r>
        <w:rPr>
          <w:sz w:val="20"/>
          <w:szCs w:val="20"/>
        </w:rPr>
        <w:t>refers</w:t>
      </w:r>
      <w:proofErr w:type="gramEnd"/>
      <w:r>
        <w:rPr>
          <w:sz w:val="20"/>
          <w:szCs w:val="20"/>
        </w:rPr>
        <w:t xml:space="preserve"> – covering from the 5th to the 20th bullet</w:t>
      </w:r>
      <w:r w:rsidR="00B95B23">
        <w:rPr>
          <w:sz w:val="20"/>
          <w:szCs w:val="20"/>
        </w:rPr>
        <w:t xml:space="preserve">   </w:t>
      </w:r>
      <w:r>
        <w:rPr>
          <w:sz w:val="20"/>
          <w:szCs w:val="20"/>
        </w:rPr>
        <w:t xml:space="preserve">point. Clearance for anthrax, rabies, and </w:t>
      </w:r>
      <w:proofErr w:type="spellStart"/>
      <w:r>
        <w:rPr>
          <w:sz w:val="20"/>
          <w:szCs w:val="20"/>
        </w:rPr>
        <w:t>Aujeszky’s</w:t>
      </w:r>
      <w:proofErr w:type="spellEnd"/>
      <w:r>
        <w:rPr>
          <w:sz w:val="20"/>
          <w:szCs w:val="20"/>
        </w:rPr>
        <w:t xml:space="preserve"> disease can be</w:t>
      </w:r>
      <w:r w:rsidR="00B95B23">
        <w:rPr>
          <w:sz w:val="20"/>
          <w:szCs w:val="20"/>
        </w:rPr>
        <w:t xml:space="preserve"> </w:t>
      </w:r>
      <w:r>
        <w:rPr>
          <w:sz w:val="20"/>
          <w:szCs w:val="20"/>
        </w:rPr>
        <w:t xml:space="preserve">given by the SSC – Exports, in Carlisle on form 618NDC. </w:t>
      </w:r>
      <w:proofErr w:type="gramStart"/>
      <w:r>
        <w:rPr>
          <w:sz w:val="20"/>
          <w:szCs w:val="20"/>
        </w:rPr>
        <w:t>The</w:t>
      </w:r>
      <w:r w:rsidR="00B95B23">
        <w:rPr>
          <w:sz w:val="20"/>
          <w:szCs w:val="20"/>
        </w:rPr>
        <w:t xml:space="preserve">  </w:t>
      </w:r>
      <w:r>
        <w:rPr>
          <w:sz w:val="20"/>
          <w:szCs w:val="20"/>
        </w:rPr>
        <w:t>OV</w:t>
      </w:r>
      <w:proofErr w:type="gramEnd"/>
      <w:r>
        <w:rPr>
          <w:sz w:val="20"/>
          <w:szCs w:val="20"/>
        </w:rPr>
        <w:t>/exporters should give sufficient time for enquiries to be made.</w:t>
      </w:r>
    </w:p>
    <w:p w:rsidR="0064100C" w:rsidRDefault="0064100C" w:rsidP="00B95B23">
      <w:pPr>
        <w:pStyle w:val="Default"/>
        <w:framePr w:w="8747" w:wrap="auto" w:vAnchor="page" w:hAnchor="page" w:x="1440" w:y="11018"/>
        <w:rPr>
          <w:sz w:val="20"/>
          <w:szCs w:val="20"/>
        </w:rPr>
      </w:pPr>
      <w:r>
        <w:rPr>
          <w:sz w:val="20"/>
          <w:szCs w:val="20"/>
        </w:rPr>
        <w:t xml:space="preserve"> </w:t>
      </w:r>
    </w:p>
    <w:p w:rsidR="0064100C" w:rsidRDefault="0064100C">
      <w:pPr>
        <w:pStyle w:val="Default"/>
        <w:framePr w:w="8747" w:wrap="auto" w:vAnchor="page" w:hAnchor="page" w:x="1440" w:y="11018"/>
        <w:rPr>
          <w:sz w:val="20"/>
          <w:szCs w:val="20"/>
        </w:rPr>
      </w:pPr>
    </w:p>
    <w:p w:rsidR="00B95B23" w:rsidRDefault="00B95B23">
      <w:pPr>
        <w:pStyle w:val="Default"/>
        <w:framePr w:w="8038" w:wrap="auto" w:vAnchor="page" w:hAnchor="page" w:x="2150" w:y="12352"/>
        <w:rPr>
          <w:sz w:val="20"/>
          <w:szCs w:val="20"/>
        </w:rPr>
      </w:pPr>
    </w:p>
    <w:p w:rsidR="0064100C" w:rsidRDefault="0064100C">
      <w:pPr>
        <w:pStyle w:val="Default"/>
        <w:framePr w:w="8038" w:wrap="auto" w:vAnchor="page" w:hAnchor="page" w:x="2150" w:y="12352"/>
        <w:rPr>
          <w:sz w:val="20"/>
          <w:szCs w:val="20"/>
        </w:rPr>
      </w:pPr>
      <w:r>
        <w:rPr>
          <w:sz w:val="20"/>
          <w:szCs w:val="20"/>
        </w:rPr>
        <w:t xml:space="preserve">Clearance for the other diseases mentioned in Paragraph 2.1. </w:t>
      </w:r>
      <w:proofErr w:type="gramStart"/>
      <w:r>
        <w:rPr>
          <w:sz w:val="20"/>
          <w:szCs w:val="20"/>
        </w:rPr>
        <w:t>can</w:t>
      </w:r>
      <w:proofErr w:type="gramEnd"/>
      <w:r>
        <w:rPr>
          <w:sz w:val="20"/>
          <w:szCs w:val="20"/>
        </w:rPr>
        <w:t xml:space="preserve"> be</w:t>
      </w:r>
      <w:r w:rsidR="00B95B23">
        <w:rPr>
          <w:sz w:val="20"/>
          <w:szCs w:val="20"/>
        </w:rPr>
        <w:t xml:space="preserve"> </w:t>
      </w:r>
      <w:r>
        <w:rPr>
          <w:sz w:val="20"/>
          <w:szCs w:val="20"/>
        </w:rPr>
        <w:t>made on the basis of personal knowledge and/or reference to records</w:t>
      </w:r>
      <w:r w:rsidR="00B95B23">
        <w:rPr>
          <w:sz w:val="20"/>
          <w:szCs w:val="20"/>
        </w:rPr>
        <w:t xml:space="preserve"> </w:t>
      </w:r>
      <w:r>
        <w:rPr>
          <w:sz w:val="20"/>
          <w:szCs w:val="20"/>
        </w:rPr>
        <w:t>from the premises, or on the basis of certification from another</w:t>
      </w:r>
      <w:r w:rsidR="00B95B23">
        <w:rPr>
          <w:sz w:val="20"/>
          <w:szCs w:val="20"/>
        </w:rPr>
        <w:t xml:space="preserve"> </w:t>
      </w:r>
      <w:r>
        <w:rPr>
          <w:sz w:val="20"/>
          <w:szCs w:val="20"/>
        </w:rPr>
        <w:t xml:space="preserve">veterinarian. </w:t>
      </w:r>
    </w:p>
    <w:p w:rsidR="0064100C" w:rsidRDefault="0064100C">
      <w:pPr>
        <w:pStyle w:val="Default"/>
        <w:framePr w:w="8038" w:wrap="auto" w:vAnchor="page" w:hAnchor="page" w:x="2150" w:y="12352"/>
        <w:rPr>
          <w:sz w:val="20"/>
          <w:szCs w:val="20"/>
        </w:rPr>
      </w:pPr>
    </w:p>
    <w:p w:rsidR="00B95B23" w:rsidRDefault="00B95B23">
      <w:pPr>
        <w:pStyle w:val="Default"/>
        <w:framePr w:w="8758" w:wrap="auto" w:vAnchor="page" w:hAnchor="page" w:x="1440" w:y="13396"/>
        <w:rPr>
          <w:sz w:val="20"/>
          <w:szCs w:val="20"/>
        </w:rPr>
      </w:pPr>
    </w:p>
    <w:p w:rsidR="00B95B23" w:rsidRDefault="0064100C">
      <w:pPr>
        <w:pStyle w:val="Default"/>
        <w:framePr w:w="8758" w:wrap="auto" w:vAnchor="page" w:hAnchor="page" w:x="1440" w:y="13396"/>
        <w:rPr>
          <w:b/>
          <w:bCs/>
          <w:sz w:val="20"/>
          <w:szCs w:val="20"/>
        </w:rPr>
      </w:pPr>
      <w:r>
        <w:rPr>
          <w:sz w:val="20"/>
          <w:szCs w:val="20"/>
        </w:rPr>
        <w:t xml:space="preserve">5. </w:t>
      </w:r>
      <w:r>
        <w:rPr>
          <w:sz w:val="20"/>
          <w:szCs w:val="20"/>
        </w:rPr>
        <w:tab/>
      </w:r>
      <w:r>
        <w:rPr>
          <w:b/>
          <w:bCs/>
          <w:sz w:val="20"/>
          <w:szCs w:val="20"/>
        </w:rPr>
        <w:t>QUARATINE/ISOLATION</w:t>
      </w:r>
    </w:p>
    <w:p w:rsidR="0064100C" w:rsidRDefault="0064100C" w:rsidP="00B95B23">
      <w:pPr>
        <w:pStyle w:val="Default"/>
        <w:framePr w:w="8758" w:wrap="auto" w:vAnchor="page" w:hAnchor="page" w:x="1440" w:y="13396"/>
        <w:ind w:left="720"/>
        <w:rPr>
          <w:sz w:val="20"/>
          <w:szCs w:val="20"/>
        </w:rPr>
      </w:pPr>
      <w:proofErr w:type="gramStart"/>
      <w:r>
        <w:rPr>
          <w:sz w:val="20"/>
          <w:szCs w:val="20"/>
        </w:rPr>
        <w:t>Paragraph 2.2.</w:t>
      </w:r>
      <w:proofErr w:type="gramEnd"/>
      <w:r>
        <w:rPr>
          <w:sz w:val="20"/>
          <w:szCs w:val="20"/>
        </w:rPr>
        <w:t xml:space="preserve"> </w:t>
      </w:r>
      <w:proofErr w:type="gramStart"/>
      <w:r>
        <w:rPr>
          <w:sz w:val="20"/>
          <w:szCs w:val="20"/>
        </w:rPr>
        <w:t>refers</w:t>
      </w:r>
      <w:proofErr w:type="gramEnd"/>
      <w:r>
        <w:rPr>
          <w:sz w:val="20"/>
          <w:szCs w:val="20"/>
        </w:rPr>
        <w:t>. It can be assumed that the quarantine period</w:t>
      </w:r>
      <w:r w:rsidR="00B95B23">
        <w:rPr>
          <w:sz w:val="20"/>
          <w:szCs w:val="20"/>
        </w:rPr>
        <w:t xml:space="preserve"> </w:t>
      </w:r>
      <w:r>
        <w:rPr>
          <w:sz w:val="20"/>
          <w:szCs w:val="20"/>
        </w:rPr>
        <w:t xml:space="preserve">of not less than 21 days takes place immediately prior to export. </w:t>
      </w:r>
    </w:p>
    <w:p w:rsidR="0064100C" w:rsidRDefault="0064100C">
      <w:pPr>
        <w:pStyle w:val="Default"/>
        <w:rPr>
          <w:sz w:val="20"/>
          <w:szCs w:val="20"/>
        </w:rPr>
      </w:pPr>
    </w:p>
    <w:p w:rsidR="0064100C" w:rsidRDefault="0064100C">
      <w:pPr>
        <w:pStyle w:val="Default"/>
        <w:framePr w:w="4679" w:wrap="auto" w:vAnchor="page" w:hAnchor="page" w:x="1440" w:y="15855"/>
        <w:jc w:val="center"/>
        <w:rPr>
          <w:sz w:val="20"/>
          <w:szCs w:val="20"/>
        </w:rPr>
      </w:pPr>
      <w:r>
        <w:rPr>
          <w:sz w:val="20"/>
          <w:szCs w:val="20"/>
        </w:rPr>
        <w:t xml:space="preserve">7293NFG (18/05/2011) </w:t>
      </w:r>
      <w:r>
        <w:rPr>
          <w:sz w:val="20"/>
          <w:szCs w:val="20"/>
        </w:rPr>
        <w:tab/>
        <w:t xml:space="preserve">1 </w:t>
      </w:r>
    </w:p>
    <w:p w:rsidR="0064100C" w:rsidRDefault="0064100C">
      <w:pPr>
        <w:pStyle w:val="Default"/>
        <w:pageBreakBefore/>
        <w:rPr>
          <w:sz w:val="20"/>
          <w:szCs w:val="20"/>
        </w:rPr>
      </w:pPr>
    </w:p>
    <w:p w:rsidR="0064100C" w:rsidRDefault="0064100C">
      <w:pPr>
        <w:pStyle w:val="Default"/>
        <w:framePr w:w="8998" w:wrap="auto" w:vAnchor="page" w:hAnchor="page" w:x="1441" w:y="1580"/>
        <w:rPr>
          <w:sz w:val="20"/>
          <w:szCs w:val="20"/>
        </w:rPr>
      </w:pPr>
    </w:p>
    <w:p w:rsidR="00B95B23" w:rsidRDefault="0064100C">
      <w:pPr>
        <w:pStyle w:val="Default"/>
        <w:framePr w:w="8998" w:wrap="auto" w:vAnchor="page" w:hAnchor="page" w:x="1441" w:y="1580"/>
        <w:rPr>
          <w:b/>
          <w:bCs/>
          <w:sz w:val="20"/>
          <w:szCs w:val="20"/>
        </w:rPr>
      </w:pPr>
      <w:r>
        <w:rPr>
          <w:sz w:val="20"/>
          <w:szCs w:val="20"/>
        </w:rPr>
        <w:t xml:space="preserve">6. </w:t>
      </w:r>
      <w:r>
        <w:rPr>
          <w:sz w:val="20"/>
          <w:szCs w:val="20"/>
        </w:rPr>
        <w:tab/>
      </w:r>
      <w:r>
        <w:rPr>
          <w:b/>
          <w:bCs/>
          <w:sz w:val="20"/>
          <w:szCs w:val="20"/>
        </w:rPr>
        <w:t>TRANSPORTATION/CAGES</w:t>
      </w:r>
    </w:p>
    <w:p w:rsidR="0064100C" w:rsidRDefault="0064100C" w:rsidP="00B95B23">
      <w:pPr>
        <w:pStyle w:val="Default"/>
        <w:framePr w:w="8998" w:wrap="auto" w:vAnchor="page" w:hAnchor="page" w:x="1441" w:y="1580"/>
        <w:ind w:left="720"/>
        <w:rPr>
          <w:sz w:val="20"/>
          <w:szCs w:val="20"/>
        </w:rPr>
      </w:pPr>
      <w:proofErr w:type="gramStart"/>
      <w:r>
        <w:rPr>
          <w:sz w:val="20"/>
          <w:szCs w:val="20"/>
        </w:rPr>
        <w:t>Paragraph 2.3.</w:t>
      </w:r>
      <w:proofErr w:type="gramEnd"/>
      <w:r>
        <w:rPr>
          <w:sz w:val="20"/>
          <w:szCs w:val="20"/>
        </w:rPr>
        <w:t xml:space="preserve"> </w:t>
      </w:r>
      <w:proofErr w:type="gramStart"/>
      <w:r>
        <w:rPr>
          <w:sz w:val="20"/>
          <w:szCs w:val="20"/>
        </w:rPr>
        <w:t>refers</w:t>
      </w:r>
      <w:proofErr w:type="gramEnd"/>
      <w:r>
        <w:rPr>
          <w:sz w:val="20"/>
          <w:szCs w:val="20"/>
        </w:rPr>
        <w:t xml:space="preserve">. The International Air Transport Association (IATA) provides written guidelines for transport conditions including cage design specifications. The owner/exporter is responsible for ensuring that the conditions of transport meet the standards laid     down by IATA. He/she should ask the transporting airline to </w:t>
      </w:r>
      <w:proofErr w:type="gramStart"/>
      <w:r>
        <w:rPr>
          <w:sz w:val="20"/>
          <w:szCs w:val="20"/>
        </w:rPr>
        <w:t>confirm  this</w:t>
      </w:r>
      <w:proofErr w:type="gramEnd"/>
      <w:r>
        <w:rPr>
          <w:sz w:val="20"/>
          <w:szCs w:val="20"/>
        </w:rPr>
        <w:t xml:space="preserve">, and if necessary provide a copy of the relevant conditions. </w:t>
      </w:r>
    </w:p>
    <w:p w:rsidR="0064100C" w:rsidRDefault="0064100C">
      <w:pPr>
        <w:pStyle w:val="Default"/>
        <w:framePr w:w="8998" w:wrap="auto" w:vAnchor="page" w:hAnchor="page" w:x="1441" w:y="1580"/>
        <w:rPr>
          <w:sz w:val="20"/>
          <w:szCs w:val="20"/>
        </w:rPr>
      </w:pPr>
    </w:p>
    <w:p w:rsidR="00B95B23" w:rsidRDefault="00B95B23">
      <w:pPr>
        <w:pStyle w:val="Default"/>
        <w:framePr w:w="8278" w:wrap="auto" w:vAnchor="page" w:hAnchor="page" w:x="2161" w:y="3343"/>
        <w:rPr>
          <w:sz w:val="20"/>
          <w:szCs w:val="20"/>
        </w:rPr>
      </w:pPr>
    </w:p>
    <w:p w:rsidR="0064100C" w:rsidRDefault="0064100C">
      <w:pPr>
        <w:pStyle w:val="Default"/>
        <w:framePr w:w="8278" w:wrap="auto" w:vAnchor="page" w:hAnchor="page" w:x="2161" w:y="3343"/>
        <w:rPr>
          <w:sz w:val="20"/>
          <w:szCs w:val="20"/>
        </w:rPr>
      </w:pPr>
      <w:r>
        <w:rPr>
          <w:sz w:val="20"/>
          <w:szCs w:val="20"/>
        </w:rPr>
        <w:t xml:space="preserve">A DEFRA approved disinfectant should be used. Disinfectants </w:t>
      </w:r>
      <w:proofErr w:type="gramStart"/>
      <w:r>
        <w:rPr>
          <w:sz w:val="20"/>
          <w:szCs w:val="20"/>
        </w:rPr>
        <w:t>are  approved</w:t>
      </w:r>
      <w:proofErr w:type="gramEnd"/>
      <w:r>
        <w:rPr>
          <w:sz w:val="20"/>
          <w:szCs w:val="20"/>
        </w:rPr>
        <w:t xml:space="preserve"> under the Diseases of Animals (Approved Disinfectants) Order 1978 (as amended). The list contains over 200 brands of disinfectant approved on the basis of their efficacy against certain notifiable disease viruses. DEFRA approved disinfectants carry a statement </w:t>
      </w:r>
      <w:proofErr w:type="gramStart"/>
      <w:r>
        <w:rPr>
          <w:sz w:val="20"/>
          <w:szCs w:val="20"/>
        </w:rPr>
        <w:t>on    the container,</w:t>
      </w:r>
      <w:proofErr w:type="gramEnd"/>
      <w:r>
        <w:rPr>
          <w:sz w:val="20"/>
          <w:szCs w:val="20"/>
        </w:rPr>
        <w:t xml:space="preserve"> and other references to their approval may be found in their data sheets or label instructions. </w:t>
      </w:r>
    </w:p>
    <w:p w:rsidR="0064100C" w:rsidRDefault="0064100C">
      <w:pPr>
        <w:pStyle w:val="Default"/>
        <w:framePr w:w="8278" w:wrap="auto" w:vAnchor="page" w:hAnchor="page" w:x="2161" w:y="3343"/>
        <w:rPr>
          <w:sz w:val="20"/>
          <w:szCs w:val="20"/>
        </w:rPr>
      </w:pPr>
    </w:p>
    <w:p w:rsidR="00B95B23" w:rsidRDefault="00B95B23">
      <w:pPr>
        <w:pStyle w:val="Default"/>
        <w:framePr w:w="8987" w:wrap="auto" w:vAnchor="page" w:hAnchor="page" w:x="1441" w:y="5032"/>
        <w:rPr>
          <w:sz w:val="20"/>
          <w:szCs w:val="20"/>
        </w:rPr>
      </w:pPr>
    </w:p>
    <w:p w:rsidR="00B95B23" w:rsidRDefault="0064100C">
      <w:pPr>
        <w:pStyle w:val="Default"/>
        <w:framePr w:w="8987" w:wrap="auto" w:vAnchor="page" w:hAnchor="page" w:x="1441" w:y="5032"/>
        <w:rPr>
          <w:b/>
          <w:bCs/>
          <w:sz w:val="20"/>
          <w:szCs w:val="20"/>
          <w:u w:val="single"/>
        </w:rPr>
      </w:pPr>
      <w:r>
        <w:rPr>
          <w:sz w:val="20"/>
          <w:szCs w:val="20"/>
        </w:rPr>
        <w:t xml:space="preserve">7. </w:t>
      </w:r>
      <w:r>
        <w:rPr>
          <w:sz w:val="20"/>
          <w:szCs w:val="20"/>
        </w:rPr>
        <w:tab/>
      </w:r>
      <w:r>
        <w:rPr>
          <w:b/>
          <w:bCs/>
          <w:sz w:val="20"/>
          <w:szCs w:val="20"/>
          <w:u w:val="single"/>
        </w:rPr>
        <w:t xml:space="preserve">WELFARE </w:t>
      </w:r>
    </w:p>
    <w:p w:rsidR="0064100C" w:rsidRDefault="0064100C" w:rsidP="00B95B23">
      <w:pPr>
        <w:pStyle w:val="Default"/>
        <w:framePr w:w="8987" w:wrap="auto" w:vAnchor="page" w:hAnchor="page" w:x="1441" w:y="5032"/>
        <w:ind w:left="720"/>
        <w:rPr>
          <w:sz w:val="20"/>
          <w:szCs w:val="20"/>
        </w:rPr>
      </w:pPr>
      <w:r>
        <w:rPr>
          <w:sz w:val="20"/>
          <w:szCs w:val="20"/>
        </w:rPr>
        <w:t xml:space="preserve">Welfare conditions during transport are laid down by Council    Regulation EC 1/2005, implemented in England by The Welfare of     Animals (Transport) (England) Order 2006, and parallel legislation in Scotland, Wales and Northern Ireland. </w:t>
      </w:r>
    </w:p>
    <w:p w:rsidR="00B95B23" w:rsidRDefault="00B95B23">
      <w:pPr>
        <w:pStyle w:val="Default"/>
        <w:rPr>
          <w:sz w:val="20"/>
          <w:szCs w:val="20"/>
        </w:rPr>
      </w:pPr>
    </w:p>
    <w:p w:rsidR="00B95B23" w:rsidRDefault="00B95B23">
      <w:pPr>
        <w:pStyle w:val="CM5"/>
        <w:framePr w:w="8038" w:wrap="auto" w:vAnchor="page" w:hAnchor="page" w:x="2150" w:y="6365"/>
        <w:spacing w:line="216" w:lineRule="atLeast"/>
        <w:rPr>
          <w:color w:val="000000"/>
          <w:sz w:val="20"/>
          <w:szCs w:val="20"/>
        </w:rPr>
      </w:pPr>
    </w:p>
    <w:p w:rsidR="0064100C" w:rsidRDefault="0064100C">
      <w:pPr>
        <w:pStyle w:val="CM5"/>
        <w:framePr w:w="8038" w:wrap="auto" w:vAnchor="page" w:hAnchor="page" w:x="2150" w:y="6365"/>
        <w:spacing w:line="216" w:lineRule="atLeast"/>
        <w:rPr>
          <w:color w:val="000000"/>
          <w:sz w:val="20"/>
          <w:szCs w:val="20"/>
        </w:rPr>
      </w:pPr>
      <w:r>
        <w:rPr>
          <w:color w:val="000000"/>
          <w:sz w:val="20"/>
          <w:szCs w:val="20"/>
        </w:rPr>
        <w:t xml:space="preserve">Exporters must comply with the British welfare laws relating to the export of animals. If transported by air, animals should </w:t>
      </w:r>
      <w:proofErr w:type="gramStart"/>
      <w:r>
        <w:rPr>
          <w:color w:val="000000"/>
          <w:sz w:val="20"/>
          <w:szCs w:val="20"/>
        </w:rPr>
        <w:t>be  transported</w:t>
      </w:r>
      <w:proofErr w:type="gramEnd"/>
      <w:r>
        <w:rPr>
          <w:color w:val="000000"/>
          <w:sz w:val="20"/>
          <w:szCs w:val="20"/>
        </w:rPr>
        <w:t xml:space="preserve"> in accordance with International Air Transport  Association (IATA) standards. Information about the necessary requirements may be obtained from the Animal Welfare Team at any of the offices mentioned below: </w:t>
      </w:r>
    </w:p>
    <w:p w:rsidR="00B95B23" w:rsidRDefault="00B95B23">
      <w:pPr>
        <w:pStyle w:val="CM5"/>
        <w:framePr w:w="7842" w:wrap="auto" w:vAnchor="page" w:hAnchor="page" w:x="2150" w:y="7839"/>
        <w:spacing w:line="218" w:lineRule="atLeast"/>
        <w:rPr>
          <w:b/>
          <w:bCs/>
          <w:color w:val="000000"/>
          <w:sz w:val="20"/>
          <w:szCs w:val="20"/>
          <w:u w:val="single"/>
        </w:rPr>
      </w:pPr>
    </w:p>
    <w:p w:rsidR="0064100C" w:rsidRDefault="0064100C" w:rsidP="00B95B23">
      <w:pPr>
        <w:pStyle w:val="CM5"/>
        <w:framePr w:w="7842" w:wrap="auto" w:vAnchor="page" w:hAnchor="page" w:x="2150" w:y="7839"/>
        <w:spacing w:line="218" w:lineRule="atLeast"/>
        <w:ind w:left="1440" w:hanging="1440"/>
        <w:rPr>
          <w:b/>
          <w:bCs/>
          <w:color w:val="000000"/>
          <w:sz w:val="20"/>
          <w:szCs w:val="20"/>
          <w:u w:val="single"/>
        </w:rPr>
      </w:pPr>
    </w:p>
    <w:p w:rsidR="0064100C" w:rsidRDefault="0064100C" w:rsidP="00B95B23">
      <w:pPr>
        <w:pStyle w:val="CM5"/>
        <w:framePr w:w="7842" w:wrap="auto" w:vAnchor="page" w:hAnchor="page" w:x="2150" w:y="7839"/>
        <w:spacing w:line="218" w:lineRule="atLeast"/>
        <w:ind w:left="1440" w:hanging="1440"/>
        <w:rPr>
          <w:color w:val="000000"/>
          <w:sz w:val="20"/>
          <w:szCs w:val="20"/>
        </w:rPr>
      </w:pPr>
      <w:r>
        <w:rPr>
          <w:b/>
          <w:bCs/>
          <w:color w:val="000000"/>
          <w:sz w:val="20"/>
          <w:szCs w:val="20"/>
          <w:u w:val="single"/>
        </w:rPr>
        <w:t>ENGLAND</w:t>
      </w:r>
      <w:r w:rsidRPr="00B95B23">
        <w:rPr>
          <w:b/>
          <w:bCs/>
          <w:color w:val="000000"/>
          <w:sz w:val="20"/>
          <w:szCs w:val="20"/>
        </w:rPr>
        <w:t xml:space="preserve"> </w:t>
      </w:r>
      <w:r w:rsidRPr="00B95B23">
        <w:rPr>
          <w:b/>
          <w:bCs/>
          <w:color w:val="000000"/>
          <w:sz w:val="20"/>
          <w:szCs w:val="20"/>
        </w:rPr>
        <w:tab/>
      </w:r>
      <w:r>
        <w:rPr>
          <w:color w:val="000000"/>
          <w:sz w:val="20"/>
          <w:szCs w:val="20"/>
        </w:rPr>
        <w:t xml:space="preserve">Department for Environment, Food and Rural Affairs      9 </w:t>
      </w:r>
      <w:proofErr w:type="spellStart"/>
      <w:r>
        <w:rPr>
          <w:color w:val="000000"/>
          <w:sz w:val="20"/>
          <w:szCs w:val="20"/>
        </w:rPr>
        <w:t>Millbank</w:t>
      </w:r>
      <w:proofErr w:type="spellEnd"/>
      <w:r>
        <w:rPr>
          <w:color w:val="000000"/>
          <w:sz w:val="20"/>
          <w:szCs w:val="20"/>
        </w:rPr>
        <w:t xml:space="preserve">, c/o 17 Smith Square, London, SW1P 3JR     Tel: 0845 603 8395 </w:t>
      </w:r>
    </w:p>
    <w:p w:rsidR="0064100C" w:rsidRDefault="0064100C" w:rsidP="00B95B23">
      <w:pPr>
        <w:pStyle w:val="CM5"/>
        <w:framePr w:w="7482" w:wrap="auto" w:vAnchor="page" w:hAnchor="page" w:x="2150" w:y="8712"/>
        <w:spacing w:line="218" w:lineRule="atLeast"/>
        <w:ind w:left="1440" w:hanging="1440"/>
        <w:rPr>
          <w:b/>
          <w:bCs/>
          <w:color w:val="000000"/>
          <w:sz w:val="20"/>
          <w:szCs w:val="20"/>
          <w:u w:val="single"/>
        </w:rPr>
      </w:pPr>
    </w:p>
    <w:p w:rsidR="0064100C" w:rsidRDefault="0064100C" w:rsidP="00B95B23">
      <w:pPr>
        <w:pStyle w:val="CM5"/>
        <w:framePr w:w="7482" w:wrap="auto" w:vAnchor="page" w:hAnchor="page" w:x="2150" w:y="8712"/>
        <w:spacing w:line="218" w:lineRule="atLeast"/>
        <w:ind w:left="1440" w:hanging="1440"/>
        <w:rPr>
          <w:b/>
          <w:bCs/>
          <w:color w:val="000000"/>
          <w:sz w:val="20"/>
          <w:szCs w:val="20"/>
          <w:u w:val="single"/>
        </w:rPr>
      </w:pPr>
    </w:p>
    <w:p w:rsidR="0064100C" w:rsidRDefault="0064100C" w:rsidP="00B95B23">
      <w:pPr>
        <w:pStyle w:val="CM5"/>
        <w:framePr w:w="7482" w:wrap="auto" w:vAnchor="page" w:hAnchor="page" w:x="2150" w:y="8712"/>
        <w:spacing w:line="218" w:lineRule="atLeast"/>
        <w:ind w:left="1440" w:hanging="1440"/>
        <w:rPr>
          <w:color w:val="000000"/>
          <w:sz w:val="20"/>
          <w:szCs w:val="20"/>
        </w:rPr>
      </w:pPr>
      <w:r>
        <w:rPr>
          <w:b/>
          <w:bCs/>
          <w:color w:val="000000"/>
          <w:sz w:val="20"/>
          <w:szCs w:val="20"/>
          <w:u w:val="single"/>
        </w:rPr>
        <w:t>SCOTLAND</w:t>
      </w:r>
      <w:r w:rsidRPr="00B95B23">
        <w:rPr>
          <w:b/>
          <w:bCs/>
          <w:color w:val="000000"/>
          <w:sz w:val="20"/>
          <w:szCs w:val="20"/>
        </w:rPr>
        <w:t xml:space="preserve"> </w:t>
      </w:r>
      <w:r w:rsidRPr="00B95B23">
        <w:rPr>
          <w:b/>
          <w:bCs/>
          <w:color w:val="000000"/>
          <w:sz w:val="20"/>
          <w:szCs w:val="20"/>
        </w:rPr>
        <w:tab/>
      </w:r>
      <w:r>
        <w:rPr>
          <w:color w:val="000000"/>
          <w:sz w:val="20"/>
          <w:szCs w:val="20"/>
        </w:rPr>
        <w:t xml:space="preserve">Scottish Government – Rural and Environment Directorate, Spur P, </w:t>
      </w:r>
      <w:proofErr w:type="spellStart"/>
      <w:r>
        <w:rPr>
          <w:color w:val="000000"/>
          <w:sz w:val="20"/>
          <w:szCs w:val="20"/>
        </w:rPr>
        <w:t>Saughton</w:t>
      </w:r>
      <w:proofErr w:type="spellEnd"/>
      <w:r>
        <w:rPr>
          <w:color w:val="000000"/>
          <w:sz w:val="20"/>
          <w:szCs w:val="20"/>
        </w:rPr>
        <w:t xml:space="preserve"> House, </w:t>
      </w:r>
      <w:proofErr w:type="spellStart"/>
      <w:r>
        <w:rPr>
          <w:color w:val="000000"/>
          <w:sz w:val="20"/>
          <w:szCs w:val="20"/>
        </w:rPr>
        <w:t>Broomhouse</w:t>
      </w:r>
      <w:proofErr w:type="spellEnd"/>
      <w:r w:rsidR="00B95B23">
        <w:rPr>
          <w:color w:val="000000"/>
          <w:sz w:val="20"/>
          <w:szCs w:val="20"/>
        </w:rPr>
        <w:t xml:space="preserve"> </w:t>
      </w:r>
      <w:r>
        <w:rPr>
          <w:color w:val="000000"/>
          <w:sz w:val="20"/>
          <w:szCs w:val="20"/>
        </w:rPr>
        <w:t xml:space="preserve">Drive, Edinburgh, EH11 3XD                      Tel: 0300 244 9243 / Fax: 0300 244 9797 </w:t>
      </w:r>
    </w:p>
    <w:p w:rsidR="0064100C" w:rsidRDefault="0064100C" w:rsidP="00B95B23">
      <w:pPr>
        <w:pStyle w:val="CM6"/>
        <w:framePr w:w="7722" w:wrap="auto" w:vAnchor="page" w:hAnchor="page" w:x="2150" w:y="9801"/>
        <w:spacing w:line="218" w:lineRule="atLeast"/>
        <w:ind w:left="1440" w:hanging="1440"/>
        <w:rPr>
          <w:b/>
          <w:bCs/>
          <w:color w:val="000000"/>
          <w:sz w:val="20"/>
          <w:szCs w:val="20"/>
          <w:u w:val="single"/>
        </w:rPr>
      </w:pPr>
    </w:p>
    <w:p w:rsidR="0064100C" w:rsidRDefault="0064100C" w:rsidP="00B95B23">
      <w:pPr>
        <w:pStyle w:val="CM6"/>
        <w:framePr w:w="7722" w:wrap="auto" w:vAnchor="page" w:hAnchor="page" w:x="2150" w:y="9801"/>
        <w:spacing w:line="218" w:lineRule="atLeast"/>
        <w:ind w:left="1440" w:hanging="1440"/>
        <w:rPr>
          <w:b/>
          <w:bCs/>
          <w:color w:val="000000"/>
          <w:sz w:val="20"/>
          <w:szCs w:val="20"/>
          <w:u w:val="single"/>
        </w:rPr>
      </w:pPr>
    </w:p>
    <w:p w:rsidR="0064100C" w:rsidRDefault="0064100C" w:rsidP="00B95B23">
      <w:pPr>
        <w:pStyle w:val="CM6"/>
        <w:framePr w:w="7722" w:wrap="auto" w:vAnchor="page" w:hAnchor="page" w:x="2150" w:y="9801"/>
        <w:spacing w:line="218" w:lineRule="atLeast"/>
        <w:ind w:left="1440" w:hanging="1440"/>
        <w:rPr>
          <w:color w:val="000000"/>
          <w:sz w:val="20"/>
          <w:szCs w:val="20"/>
        </w:rPr>
      </w:pPr>
      <w:r>
        <w:rPr>
          <w:b/>
          <w:bCs/>
          <w:color w:val="000000"/>
          <w:sz w:val="20"/>
          <w:szCs w:val="20"/>
          <w:u w:val="single"/>
        </w:rPr>
        <w:t>WALES</w:t>
      </w:r>
      <w:r w:rsidRPr="00B95B23">
        <w:rPr>
          <w:b/>
          <w:bCs/>
          <w:color w:val="000000"/>
          <w:sz w:val="20"/>
          <w:szCs w:val="20"/>
        </w:rPr>
        <w:t xml:space="preserve"> </w:t>
      </w:r>
      <w:r w:rsidRPr="00B95B23">
        <w:rPr>
          <w:b/>
          <w:bCs/>
          <w:color w:val="000000"/>
          <w:sz w:val="20"/>
          <w:szCs w:val="20"/>
        </w:rPr>
        <w:tab/>
      </w:r>
      <w:r>
        <w:rPr>
          <w:color w:val="000000"/>
          <w:sz w:val="20"/>
          <w:szCs w:val="20"/>
        </w:rPr>
        <w:t xml:space="preserve">Welsh Government – Department for Rural Affairs,   Crown Buildings, </w:t>
      </w:r>
      <w:proofErr w:type="spellStart"/>
      <w:r>
        <w:rPr>
          <w:color w:val="000000"/>
          <w:sz w:val="20"/>
          <w:szCs w:val="20"/>
        </w:rPr>
        <w:t>Cathays</w:t>
      </w:r>
      <w:proofErr w:type="spellEnd"/>
      <w:r>
        <w:rPr>
          <w:color w:val="000000"/>
          <w:sz w:val="20"/>
          <w:szCs w:val="20"/>
        </w:rPr>
        <w:t xml:space="preserve"> Park, Cardiff, CF1 3NQ     Tel: 02920 823593 / Fax: 02920 823352 </w:t>
      </w:r>
    </w:p>
    <w:p w:rsidR="0064100C" w:rsidRDefault="0064100C">
      <w:pPr>
        <w:pStyle w:val="CM5"/>
        <w:framePr w:w="9107" w:wrap="auto" w:vAnchor="page" w:hAnchor="page" w:x="1441" w:y="10889"/>
        <w:spacing w:line="216" w:lineRule="atLeast"/>
        <w:rPr>
          <w:color w:val="000000"/>
          <w:sz w:val="20"/>
          <w:szCs w:val="20"/>
        </w:rPr>
      </w:pPr>
    </w:p>
    <w:p w:rsidR="0064100C" w:rsidRDefault="0064100C">
      <w:pPr>
        <w:pStyle w:val="CM5"/>
        <w:framePr w:w="9107" w:wrap="auto" w:vAnchor="page" w:hAnchor="page" w:x="1441" w:y="10889"/>
        <w:spacing w:line="216" w:lineRule="atLeast"/>
        <w:rPr>
          <w:b/>
          <w:bCs/>
          <w:color w:val="000000"/>
          <w:sz w:val="20"/>
          <w:szCs w:val="20"/>
          <w:u w:val="single"/>
        </w:rPr>
      </w:pPr>
      <w:r>
        <w:rPr>
          <w:color w:val="000000"/>
          <w:sz w:val="20"/>
          <w:szCs w:val="20"/>
        </w:rPr>
        <w:t xml:space="preserve">8. </w:t>
      </w:r>
      <w:r>
        <w:rPr>
          <w:color w:val="000000"/>
          <w:sz w:val="20"/>
          <w:szCs w:val="20"/>
        </w:rPr>
        <w:tab/>
      </w:r>
      <w:r>
        <w:rPr>
          <w:b/>
          <w:bCs/>
          <w:color w:val="000000"/>
          <w:sz w:val="20"/>
          <w:szCs w:val="20"/>
          <w:u w:val="single"/>
        </w:rPr>
        <w:t xml:space="preserve">DISCLAIMER </w:t>
      </w:r>
    </w:p>
    <w:p w:rsidR="0064100C" w:rsidRDefault="0064100C" w:rsidP="0064100C">
      <w:pPr>
        <w:pStyle w:val="CM5"/>
        <w:framePr w:w="9107" w:wrap="auto" w:vAnchor="page" w:hAnchor="page" w:x="1441" w:y="10889"/>
        <w:spacing w:line="216" w:lineRule="atLeast"/>
        <w:ind w:left="720"/>
        <w:rPr>
          <w:color w:val="000000"/>
          <w:sz w:val="20"/>
          <w:szCs w:val="20"/>
        </w:rPr>
      </w:pPr>
      <w:r>
        <w:rPr>
          <w:color w:val="000000"/>
          <w:sz w:val="20"/>
          <w:szCs w:val="20"/>
        </w:rPr>
        <w:t xml:space="preserve">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 </w:t>
      </w:r>
    </w:p>
    <w:p w:rsidR="0064100C" w:rsidRDefault="0064100C">
      <w:pPr>
        <w:pStyle w:val="Default"/>
        <w:framePr w:w="8158" w:wrap="auto" w:vAnchor="page" w:hAnchor="page" w:x="2150" w:y="12868"/>
        <w:spacing w:line="216" w:lineRule="atLeast"/>
        <w:jc w:val="center"/>
        <w:rPr>
          <w:color w:val="0000FF"/>
          <w:sz w:val="20"/>
          <w:szCs w:val="20"/>
        </w:rPr>
      </w:pPr>
    </w:p>
    <w:p w:rsidR="0064100C" w:rsidRDefault="0064100C">
      <w:pPr>
        <w:pStyle w:val="Default"/>
        <w:framePr w:w="8158" w:wrap="auto" w:vAnchor="page" w:hAnchor="page" w:x="2150" w:y="12868"/>
        <w:spacing w:line="216" w:lineRule="atLeast"/>
        <w:jc w:val="center"/>
        <w:rPr>
          <w:color w:val="0000FF"/>
          <w:sz w:val="20"/>
          <w:szCs w:val="20"/>
        </w:rPr>
      </w:pPr>
    </w:p>
    <w:p w:rsidR="0064100C" w:rsidRDefault="0064100C">
      <w:pPr>
        <w:pStyle w:val="Default"/>
        <w:framePr w:w="8158" w:wrap="auto" w:vAnchor="page" w:hAnchor="page" w:x="2150" w:y="12868"/>
        <w:spacing w:line="216" w:lineRule="atLeast"/>
        <w:jc w:val="center"/>
        <w:rPr>
          <w:color w:val="0000FF"/>
          <w:sz w:val="20"/>
          <w:szCs w:val="20"/>
        </w:rPr>
      </w:pPr>
      <w:r>
        <w:rPr>
          <w:color w:val="0000FF"/>
          <w:sz w:val="20"/>
          <w:szCs w:val="20"/>
        </w:rPr>
        <w:t xml:space="preserve">http://animalhealth.defra.gov.uk/about/contact-us/tradeexports.html </w:t>
      </w:r>
    </w:p>
    <w:p w:rsidR="0064100C" w:rsidRDefault="0064100C" w:rsidP="00B95B23">
      <w:pPr>
        <w:pStyle w:val="Default"/>
        <w:framePr w:w="4679" w:wrap="auto" w:vAnchor="page" w:hAnchor="page" w:x="1441" w:y="15856"/>
      </w:pPr>
      <w:r>
        <w:rPr>
          <w:sz w:val="20"/>
          <w:szCs w:val="20"/>
        </w:rPr>
        <w:t xml:space="preserve">7293NFG (18/05/2011) </w:t>
      </w:r>
      <w:r>
        <w:rPr>
          <w:sz w:val="20"/>
          <w:szCs w:val="20"/>
        </w:rPr>
        <w:tab/>
        <w:t xml:space="preserve">2 </w:t>
      </w:r>
    </w:p>
    <w:sectPr w:rsidR="0064100C" w:rsidSect="00F403CE">
      <w:pgSz w:w="11904" w:h="17340"/>
      <w:pgMar w:top="1306" w:right="1449" w:bottom="593" w:left="137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39B482"/>
    <w:multiLevelType w:val="hybridMultilevel"/>
    <w:tmpl w:val="276E2B41"/>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D8A86B7"/>
    <w:multiLevelType w:val="hybridMultilevel"/>
    <w:tmpl w:val="D3985F4F"/>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F8C7134"/>
    <w:multiLevelType w:val="hybridMultilevel"/>
    <w:tmpl w:val="45AE709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671D79F6"/>
    <w:multiLevelType w:val="hybridMultilevel"/>
    <w:tmpl w:val="063548F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proofState w:spelling="clean" w:grammar="clean"/>
  <w:documentProtection w:edit="readOnly" w:enforcement="1" w:cryptProviderType="rsaFull" w:cryptAlgorithmClass="hash" w:cryptAlgorithmType="typeAny" w:cryptAlgorithmSid="4" w:cryptSpinCount="50000" w:hash="8WN0hW7YiSAGD6QkoRxVbobGJ+k=" w:salt="b+yfyWBJYJS90JIDEGICW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95B23"/>
    <w:rsid w:val="0064100C"/>
    <w:rsid w:val="00686ADB"/>
    <w:rsid w:val="00B95B23"/>
    <w:rsid w:val="00E17B6A"/>
    <w:rsid w:val="00F40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C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3CE"/>
    <w:pPr>
      <w:widowControl w:val="0"/>
      <w:autoSpaceDE w:val="0"/>
      <w:autoSpaceDN w:val="0"/>
      <w:adjustRightInd w:val="0"/>
      <w:spacing w:after="0" w:line="240" w:lineRule="auto"/>
    </w:pPr>
    <w:rPr>
      <w:rFonts w:ascii="Courier New" w:hAnsi="Courier New" w:cs="Courier New"/>
      <w:color w:val="000000"/>
      <w:sz w:val="24"/>
      <w:szCs w:val="24"/>
    </w:rPr>
  </w:style>
  <w:style w:type="paragraph" w:customStyle="1" w:styleId="CM5">
    <w:name w:val="CM5"/>
    <w:basedOn w:val="Default"/>
    <w:next w:val="Default"/>
    <w:uiPriority w:val="99"/>
    <w:rsid w:val="00F403CE"/>
    <w:rPr>
      <w:color w:val="auto"/>
    </w:rPr>
  </w:style>
  <w:style w:type="paragraph" w:customStyle="1" w:styleId="CM1">
    <w:name w:val="CM1"/>
    <w:basedOn w:val="Default"/>
    <w:next w:val="Default"/>
    <w:uiPriority w:val="99"/>
    <w:rsid w:val="00F403CE"/>
    <w:pPr>
      <w:spacing w:line="223" w:lineRule="atLeast"/>
    </w:pPr>
    <w:rPr>
      <w:color w:val="auto"/>
    </w:rPr>
  </w:style>
  <w:style w:type="paragraph" w:customStyle="1" w:styleId="CM2">
    <w:name w:val="CM2"/>
    <w:basedOn w:val="Default"/>
    <w:next w:val="Default"/>
    <w:uiPriority w:val="99"/>
    <w:rsid w:val="00F403CE"/>
    <w:pPr>
      <w:spacing w:line="231" w:lineRule="atLeast"/>
    </w:pPr>
    <w:rPr>
      <w:color w:val="auto"/>
    </w:rPr>
  </w:style>
  <w:style w:type="paragraph" w:customStyle="1" w:styleId="CM6">
    <w:name w:val="CM6"/>
    <w:basedOn w:val="Default"/>
    <w:next w:val="Default"/>
    <w:uiPriority w:val="99"/>
    <w:rsid w:val="00F403CE"/>
    <w:rPr>
      <w:color w:val="auto"/>
    </w:rPr>
  </w:style>
  <w:style w:type="paragraph" w:customStyle="1" w:styleId="CM4">
    <w:name w:val="CM4"/>
    <w:basedOn w:val="Default"/>
    <w:next w:val="Default"/>
    <w:uiPriority w:val="99"/>
    <w:rsid w:val="00F403CE"/>
    <w:pPr>
      <w:spacing w:line="216" w:lineRule="atLeast"/>
    </w:pPr>
    <w:rPr>
      <w:color w:val="auto"/>
    </w:rPr>
  </w:style>
  <w:style w:type="paragraph" w:customStyle="1" w:styleId="CM3">
    <w:name w:val="CM3"/>
    <w:basedOn w:val="Default"/>
    <w:next w:val="Default"/>
    <w:uiPriority w:val="99"/>
    <w:rsid w:val="00F403CE"/>
    <w:pPr>
      <w:spacing w:line="216"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4505</Characters>
  <Application>Microsoft Office Word</Application>
  <DocSecurity>8</DocSecurity>
  <Lines>37</Lines>
  <Paragraphs>10</Paragraphs>
  <ScaleCrop>false</ScaleCrop>
  <Company>Defra</Company>
  <LinksUpToDate>false</LinksUpToDate>
  <CharactersWithSpaces>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Kieran</cp:lastModifiedBy>
  <cp:revision>3</cp:revision>
  <dcterms:created xsi:type="dcterms:W3CDTF">2014-07-07T13:15:00Z</dcterms:created>
  <dcterms:modified xsi:type="dcterms:W3CDTF">2014-07-07T13:16:00Z</dcterms:modified>
</cp:coreProperties>
</file>