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0" w:type="dxa"/>
          <w:right w:w="0" w:type="dxa"/>
        </w:tblCellMar>
        <w:tblLook w:val="01E0" w:firstRow="1" w:lastRow="1" w:firstColumn="1" w:lastColumn="1" w:noHBand="0" w:noVBand="0"/>
      </w:tblPr>
      <w:tblGrid>
        <w:gridCol w:w="6237"/>
        <w:gridCol w:w="3119"/>
      </w:tblGrid>
      <w:tr w:rsidR="00DD0733" w:rsidRPr="0077293F" w14:paraId="2464610C" w14:textId="77777777" w:rsidTr="00D46C15">
        <w:trPr>
          <w:trHeight w:val="2965"/>
        </w:trPr>
        <w:tc>
          <w:tcPr>
            <w:tcW w:w="6237" w:type="dxa"/>
          </w:tcPr>
          <w:p w14:paraId="224622E4" w14:textId="396CF8F4" w:rsidR="00DD0733" w:rsidRPr="0077293F" w:rsidRDefault="00BA44AD" w:rsidP="002C5025">
            <w:pPr>
              <w:pStyle w:val="MOJaddress"/>
              <w:rPr>
                <w:rFonts w:cs="Arial"/>
                <w:sz w:val="22"/>
                <w:szCs w:val="22"/>
              </w:rPr>
            </w:pPr>
            <w:r w:rsidRPr="0077293F">
              <w:rPr>
                <w:rFonts w:cs="Arial"/>
                <w:noProof/>
                <w:sz w:val="22"/>
                <w:szCs w:val="22"/>
              </w:rPr>
              <w:drawing>
                <wp:inline distT="0" distB="0" distL="0" distR="0" wp14:anchorId="1F263DD5" wp14:editId="73EF2BB7">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77B55C1E" w14:textId="77777777" w:rsidR="00DD0733" w:rsidRPr="0077293F" w:rsidRDefault="00DD0733" w:rsidP="002C5025">
            <w:pPr>
              <w:pStyle w:val="MOJaddress"/>
              <w:rPr>
                <w:rFonts w:cs="Arial"/>
                <w:sz w:val="22"/>
                <w:szCs w:val="22"/>
              </w:rPr>
            </w:pPr>
          </w:p>
          <w:p w14:paraId="039BDC32" w14:textId="77777777" w:rsidR="00DD0733" w:rsidRPr="0077293F" w:rsidRDefault="00DD0733" w:rsidP="002C5025">
            <w:pPr>
              <w:pStyle w:val="MOJaddress"/>
              <w:rPr>
                <w:rFonts w:cs="Arial"/>
                <w:sz w:val="22"/>
                <w:szCs w:val="22"/>
              </w:rPr>
            </w:pPr>
          </w:p>
          <w:p w14:paraId="0D5B0FDB" w14:textId="77777777" w:rsidR="00B50D01" w:rsidRPr="0077293F" w:rsidRDefault="00B50D01" w:rsidP="002C5025">
            <w:pPr>
              <w:pStyle w:val="MOJaddress"/>
              <w:rPr>
                <w:rFonts w:cs="Arial"/>
                <w:sz w:val="22"/>
                <w:szCs w:val="22"/>
                <w:lang w:val="en-US"/>
              </w:rPr>
            </w:pPr>
          </w:p>
          <w:p w14:paraId="797C060B" w14:textId="77777777" w:rsidR="007F41AB" w:rsidRPr="0077293F" w:rsidRDefault="007F41AB" w:rsidP="002C5025">
            <w:pPr>
              <w:pStyle w:val="MOJaddress"/>
              <w:rPr>
                <w:rFonts w:cs="Arial"/>
                <w:sz w:val="22"/>
                <w:szCs w:val="22"/>
              </w:rPr>
            </w:pPr>
          </w:p>
          <w:p w14:paraId="2600CAC2" w14:textId="77777777" w:rsidR="00F13062" w:rsidRPr="0077293F" w:rsidRDefault="00F13062" w:rsidP="002C5025">
            <w:pPr>
              <w:pStyle w:val="MOJaddress"/>
              <w:rPr>
                <w:rFonts w:cs="Arial"/>
                <w:sz w:val="22"/>
                <w:szCs w:val="22"/>
              </w:rPr>
            </w:pPr>
          </w:p>
          <w:p w14:paraId="076F4A93" w14:textId="77777777" w:rsidR="00DD0733" w:rsidRPr="0077293F" w:rsidRDefault="00DD0733" w:rsidP="00F13062">
            <w:pPr>
              <w:pStyle w:val="MOJaddress"/>
              <w:rPr>
                <w:rFonts w:cs="Arial"/>
                <w:sz w:val="22"/>
                <w:szCs w:val="22"/>
              </w:rPr>
            </w:pPr>
          </w:p>
        </w:tc>
        <w:tc>
          <w:tcPr>
            <w:tcW w:w="3119" w:type="dxa"/>
          </w:tcPr>
          <w:p w14:paraId="538C9190" w14:textId="77777777" w:rsidR="00DD0733" w:rsidRPr="0077293F" w:rsidRDefault="00DD0733" w:rsidP="00DD0733">
            <w:pPr>
              <w:pStyle w:val="MOJaddress"/>
              <w:spacing w:line="240" w:lineRule="auto"/>
              <w:rPr>
                <w:rFonts w:cs="Arial"/>
                <w:sz w:val="22"/>
                <w:szCs w:val="22"/>
              </w:rPr>
            </w:pPr>
          </w:p>
          <w:p w14:paraId="52B928F0" w14:textId="77777777" w:rsidR="00DD0733" w:rsidRPr="0077293F" w:rsidRDefault="008111F1" w:rsidP="00CB678D">
            <w:pPr>
              <w:pStyle w:val="MOJaddress"/>
              <w:rPr>
                <w:rFonts w:cs="Arial"/>
                <w:sz w:val="22"/>
                <w:szCs w:val="22"/>
              </w:rPr>
            </w:pPr>
            <w:r>
              <w:rPr>
                <w:rFonts w:cs="Arial"/>
                <w:sz w:val="22"/>
                <w:szCs w:val="22"/>
              </w:rPr>
              <w:t>October</w:t>
            </w:r>
            <w:r w:rsidR="0076461F" w:rsidRPr="0077293F">
              <w:rPr>
                <w:rFonts w:cs="Arial"/>
                <w:sz w:val="22"/>
                <w:szCs w:val="22"/>
              </w:rPr>
              <w:t xml:space="preserve"> 2017</w:t>
            </w:r>
          </w:p>
        </w:tc>
      </w:tr>
    </w:tbl>
    <w:p w14:paraId="39EBC561" w14:textId="77777777" w:rsidR="00884DB6" w:rsidRPr="0077293F" w:rsidRDefault="00884DB6" w:rsidP="007A3DF8">
      <w:pPr>
        <w:rPr>
          <w:rFonts w:cs="Arial"/>
          <w:szCs w:val="22"/>
        </w:rPr>
      </w:pPr>
    </w:p>
    <w:p w14:paraId="24FFE0AC" w14:textId="77777777" w:rsidR="00F60FA6" w:rsidRPr="0077293F" w:rsidRDefault="00F60FA6" w:rsidP="007A3DF8">
      <w:pPr>
        <w:rPr>
          <w:rFonts w:cs="Arial"/>
          <w:szCs w:val="22"/>
        </w:rPr>
      </w:pPr>
    </w:p>
    <w:p w14:paraId="075AF670" w14:textId="77777777" w:rsidR="009853E8" w:rsidRPr="0077293F" w:rsidRDefault="007A3DF8" w:rsidP="009853E8">
      <w:pPr>
        <w:rPr>
          <w:rFonts w:cs="Arial"/>
          <w:b/>
          <w:szCs w:val="22"/>
        </w:rPr>
      </w:pPr>
      <w:r w:rsidRPr="0077293F">
        <w:rPr>
          <w:rFonts w:cs="Arial"/>
          <w:b/>
          <w:szCs w:val="22"/>
        </w:rPr>
        <w:t xml:space="preserve">Freedom of Information Act (FOIA) Request – </w:t>
      </w:r>
      <w:r w:rsidR="0076461F" w:rsidRPr="0077293F">
        <w:rPr>
          <w:rFonts w:cs="Arial"/>
          <w:b/>
          <w:szCs w:val="22"/>
        </w:rPr>
        <w:t>1</w:t>
      </w:r>
      <w:r w:rsidR="00CB678D" w:rsidRPr="0077293F">
        <w:rPr>
          <w:rFonts w:cs="Arial"/>
          <w:b/>
          <w:szCs w:val="22"/>
        </w:rPr>
        <w:t>70918003</w:t>
      </w:r>
    </w:p>
    <w:p w14:paraId="47ACD2E5" w14:textId="77777777" w:rsidR="009853E8" w:rsidRPr="0077293F" w:rsidRDefault="009853E8" w:rsidP="009853E8">
      <w:pPr>
        <w:rPr>
          <w:rFonts w:cs="Arial"/>
          <w:b/>
          <w:szCs w:val="22"/>
        </w:rPr>
      </w:pPr>
    </w:p>
    <w:p w14:paraId="4C237B79" w14:textId="77777777" w:rsidR="00A23CBC" w:rsidRPr="0077293F" w:rsidRDefault="00BA44AD" w:rsidP="009853E8">
      <w:pPr>
        <w:rPr>
          <w:rFonts w:cs="Arial"/>
          <w:szCs w:val="22"/>
        </w:rPr>
      </w:pPr>
      <w:r>
        <w:rPr>
          <w:rFonts w:cs="Arial"/>
          <w:szCs w:val="22"/>
        </w:rPr>
        <w:t>Y</w:t>
      </w:r>
      <w:r w:rsidR="009527AE" w:rsidRPr="0077293F">
        <w:rPr>
          <w:rFonts w:cs="Arial"/>
          <w:szCs w:val="22"/>
        </w:rPr>
        <w:t xml:space="preserve">ou </w:t>
      </w:r>
      <w:r w:rsidR="0038642F" w:rsidRPr="0077293F">
        <w:rPr>
          <w:rFonts w:cs="Arial"/>
          <w:szCs w:val="22"/>
        </w:rPr>
        <w:t>asked for the following information</w:t>
      </w:r>
      <w:r w:rsidR="0067585E" w:rsidRPr="0077293F">
        <w:rPr>
          <w:rFonts w:cs="Arial"/>
          <w:szCs w:val="22"/>
        </w:rPr>
        <w:t xml:space="preserve"> from the Ministry of Justice (MoJ)</w:t>
      </w:r>
      <w:r w:rsidR="0038642F" w:rsidRPr="0077293F">
        <w:rPr>
          <w:rFonts w:cs="Arial"/>
          <w:szCs w:val="22"/>
        </w:rPr>
        <w:t>:</w:t>
      </w:r>
    </w:p>
    <w:p w14:paraId="0844BA76" w14:textId="77777777" w:rsidR="00B26574" w:rsidRPr="0077293F" w:rsidRDefault="00B26574" w:rsidP="009853E8">
      <w:pPr>
        <w:rPr>
          <w:rFonts w:cs="Arial"/>
          <w:szCs w:val="22"/>
        </w:rPr>
      </w:pPr>
    </w:p>
    <w:p w14:paraId="4FB1EAC0" w14:textId="77777777" w:rsidR="003322DE" w:rsidRPr="0077293F" w:rsidRDefault="003322DE" w:rsidP="003322DE">
      <w:pPr>
        <w:rPr>
          <w:rFonts w:cs="Arial"/>
          <w:szCs w:val="22"/>
        </w:rPr>
      </w:pPr>
      <w:r w:rsidRPr="0077293F">
        <w:rPr>
          <w:rFonts w:cs="Arial"/>
          <w:szCs w:val="22"/>
        </w:rPr>
        <w:t>Your request has been handled under the FOIA.</w:t>
      </w:r>
    </w:p>
    <w:p w14:paraId="7787B631" w14:textId="77777777" w:rsidR="003322DE" w:rsidRPr="0077293F" w:rsidRDefault="003322DE" w:rsidP="009853E8">
      <w:pPr>
        <w:rPr>
          <w:rFonts w:cs="Arial"/>
          <w:szCs w:val="22"/>
        </w:rPr>
      </w:pPr>
    </w:p>
    <w:p w14:paraId="2C656BF7" w14:textId="77777777" w:rsidR="00F60FA6" w:rsidRPr="0077293F" w:rsidRDefault="00F60FA6" w:rsidP="009853E8">
      <w:pPr>
        <w:rPr>
          <w:rFonts w:cs="Arial"/>
          <w:b/>
          <w:szCs w:val="22"/>
        </w:rPr>
      </w:pPr>
    </w:p>
    <w:p w14:paraId="49EBA770" w14:textId="77777777" w:rsidR="00917E62" w:rsidRPr="0077293F" w:rsidRDefault="00FD16EA" w:rsidP="009853E8">
      <w:pPr>
        <w:rPr>
          <w:rFonts w:cs="Arial"/>
          <w:b/>
          <w:szCs w:val="22"/>
        </w:rPr>
      </w:pPr>
      <w:r w:rsidRPr="0077293F">
        <w:rPr>
          <w:rFonts w:cs="Arial"/>
          <w:b/>
          <w:szCs w:val="22"/>
        </w:rPr>
        <w:t xml:space="preserve">1. </w:t>
      </w:r>
      <w:r w:rsidR="00917E62" w:rsidRPr="0077293F">
        <w:rPr>
          <w:rFonts w:cs="Arial"/>
          <w:b/>
          <w:szCs w:val="22"/>
        </w:rPr>
        <w:t xml:space="preserve"> T</w:t>
      </w:r>
      <w:r w:rsidR="00104F06" w:rsidRPr="0077293F">
        <w:rPr>
          <w:rFonts w:cs="Arial"/>
          <w:b/>
          <w:szCs w:val="22"/>
        </w:rPr>
        <w:t>he amount of people prosecuted for FGM or crimes related to FGM in each year since 2003, broken down by individuals and the crimes they were prosecuted for</w:t>
      </w:r>
    </w:p>
    <w:p w14:paraId="7083632E" w14:textId="77777777" w:rsidR="00917E62" w:rsidRPr="0077293F" w:rsidRDefault="00917E62" w:rsidP="009853E8">
      <w:pPr>
        <w:rPr>
          <w:rFonts w:cs="Arial"/>
          <w:b/>
          <w:szCs w:val="22"/>
        </w:rPr>
      </w:pPr>
    </w:p>
    <w:p w14:paraId="7B80C056" w14:textId="77777777" w:rsidR="00917E62" w:rsidRPr="0077293F" w:rsidRDefault="00FD16EA" w:rsidP="009853E8">
      <w:pPr>
        <w:rPr>
          <w:rFonts w:cs="Arial"/>
          <w:b/>
          <w:szCs w:val="22"/>
        </w:rPr>
      </w:pPr>
      <w:r w:rsidRPr="0077293F">
        <w:rPr>
          <w:rFonts w:cs="Arial"/>
          <w:b/>
          <w:szCs w:val="22"/>
        </w:rPr>
        <w:t>2.</w:t>
      </w:r>
      <w:r w:rsidR="00104F06" w:rsidRPr="0077293F">
        <w:rPr>
          <w:rFonts w:cs="Arial"/>
          <w:b/>
          <w:szCs w:val="22"/>
        </w:rPr>
        <w:t xml:space="preserve"> The amount of people intercepted at airports on suspicion of taking girls / women abroad for FGM, in each year since 2003</w:t>
      </w:r>
    </w:p>
    <w:p w14:paraId="155FA159" w14:textId="77777777" w:rsidR="00917E62" w:rsidRPr="0077293F" w:rsidRDefault="00917E62" w:rsidP="009853E8">
      <w:pPr>
        <w:rPr>
          <w:rFonts w:cs="Arial"/>
          <w:b/>
          <w:szCs w:val="22"/>
        </w:rPr>
      </w:pPr>
    </w:p>
    <w:p w14:paraId="10BDA1C9" w14:textId="77777777" w:rsidR="00917E62" w:rsidRPr="0077293F" w:rsidRDefault="00FD16EA" w:rsidP="009853E8">
      <w:pPr>
        <w:rPr>
          <w:rFonts w:cs="Arial"/>
          <w:b/>
          <w:szCs w:val="22"/>
        </w:rPr>
      </w:pPr>
      <w:r w:rsidRPr="0077293F">
        <w:rPr>
          <w:rFonts w:cs="Arial"/>
          <w:b/>
          <w:szCs w:val="22"/>
        </w:rPr>
        <w:t>3.</w:t>
      </w:r>
      <w:r w:rsidR="00104F06" w:rsidRPr="0077293F">
        <w:rPr>
          <w:rFonts w:cs="Arial"/>
          <w:b/>
          <w:szCs w:val="22"/>
        </w:rPr>
        <w:t xml:space="preserve"> The amount of convictions for FGM or crimes related to FGM in each of the years since 2003, broken down by individuals and the crimes th</w:t>
      </w:r>
      <w:bookmarkStart w:id="0" w:name="_GoBack"/>
      <w:bookmarkEnd w:id="0"/>
      <w:r w:rsidR="00104F06" w:rsidRPr="0077293F">
        <w:rPr>
          <w:rFonts w:cs="Arial"/>
          <w:b/>
          <w:szCs w:val="22"/>
        </w:rPr>
        <w:t>ey were prosecuted for</w:t>
      </w:r>
    </w:p>
    <w:p w14:paraId="55F45650" w14:textId="77777777" w:rsidR="00917E62" w:rsidRPr="0077293F" w:rsidRDefault="00917E62" w:rsidP="009853E8">
      <w:pPr>
        <w:rPr>
          <w:rFonts w:cs="Arial"/>
          <w:b/>
          <w:szCs w:val="22"/>
        </w:rPr>
      </w:pPr>
    </w:p>
    <w:p w14:paraId="19A0210B" w14:textId="77777777" w:rsidR="00B26574" w:rsidRPr="0077293F" w:rsidRDefault="00FD16EA" w:rsidP="009853E8">
      <w:pPr>
        <w:rPr>
          <w:rFonts w:cs="Arial"/>
          <w:b/>
          <w:szCs w:val="22"/>
        </w:rPr>
      </w:pPr>
      <w:r w:rsidRPr="0077293F">
        <w:rPr>
          <w:rFonts w:cs="Arial"/>
          <w:b/>
          <w:szCs w:val="22"/>
        </w:rPr>
        <w:t>4.</w:t>
      </w:r>
      <w:r w:rsidR="00104F06" w:rsidRPr="0077293F">
        <w:rPr>
          <w:rFonts w:cs="Arial"/>
          <w:b/>
          <w:szCs w:val="22"/>
        </w:rPr>
        <w:t xml:space="preserve"> The amount of FGM protection orders issued in each year since 2015</w:t>
      </w:r>
    </w:p>
    <w:p w14:paraId="2F205EA4" w14:textId="77777777" w:rsidR="003D40C5" w:rsidRPr="0077293F" w:rsidRDefault="003D40C5" w:rsidP="009853E8">
      <w:pPr>
        <w:rPr>
          <w:rFonts w:cs="Arial"/>
          <w:b/>
          <w:szCs w:val="22"/>
        </w:rPr>
      </w:pPr>
    </w:p>
    <w:p w14:paraId="07DB8389" w14:textId="77777777" w:rsidR="002C792B" w:rsidRPr="0077293F" w:rsidRDefault="002C792B" w:rsidP="002C792B">
      <w:pPr>
        <w:rPr>
          <w:rFonts w:cs="Arial"/>
          <w:szCs w:val="22"/>
        </w:rPr>
      </w:pPr>
    </w:p>
    <w:p w14:paraId="0B51DCF7" w14:textId="77777777" w:rsidR="003322DE" w:rsidRPr="0077293F" w:rsidRDefault="003322DE" w:rsidP="002C792B">
      <w:pPr>
        <w:rPr>
          <w:rFonts w:cs="Arial"/>
          <w:b/>
          <w:szCs w:val="22"/>
          <w:u w:val="single"/>
        </w:rPr>
      </w:pPr>
      <w:r w:rsidRPr="0077293F">
        <w:rPr>
          <w:rFonts w:cs="Arial"/>
          <w:b/>
          <w:szCs w:val="22"/>
          <w:u w:val="single"/>
        </w:rPr>
        <w:t>Question 1 &amp; 3</w:t>
      </w:r>
    </w:p>
    <w:p w14:paraId="5E969A10" w14:textId="77777777" w:rsidR="003322DE" w:rsidRPr="0077293F" w:rsidRDefault="003322DE" w:rsidP="002C792B">
      <w:pPr>
        <w:rPr>
          <w:rFonts w:cs="Arial"/>
          <w:b/>
          <w:szCs w:val="22"/>
        </w:rPr>
      </w:pPr>
    </w:p>
    <w:p w14:paraId="52A149B4" w14:textId="77777777" w:rsidR="00101E92" w:rsidRPr="0077293F" w:rsidRDefault="003322DE" w:rsidP="002C792B">
      <w:pPr>
        <w:rPr>
          <w:rFonts w:cs="Arial"/>
          <w:szCs w:val="22"/>
        </w:rPr>
      </w:pPr>
      <w:r w:rsidRPr="0077293F">
        <w:rPr>
          <w:rFonts w:cs="Arial"/>
          <w:szCs w:val="22"/>
        </w:rPr>
        <w:t xml:space="preserve">I </w:t>
      </w:r>
      <w:r w:rsidR="00101E92" w:rsidRPr="0077293F">
        <w:rPr>
          <w:rFonts w:cs="Arial"/>
          <w:szCs w:val="22"/>
        </w:rPr>
        <w:t xml:space="preserve">can confirm that the department holds </w:t>
      </w:r>
      <w:r w:rsidRPr="0077293F">
        <w:rPr>
          <w:rFonts w:cs="Arial"/>
          <w:szCs w:val="22"/>
        </w:rPr>
        <w:t xml:space="preserve">some of </w:t>
      </w:r>
      <w:r w:rsidR="00101E92" w:rsidRPr="0077293F">
        <w:rPr>
          <w:rFonts w:cs="Arial"/>
          <w:szCs w:val="22"/>
        </w:rPr>
        <w:t xml:space="preserve">the information that you have asked for </w:t>
      </w:r>
      <w:r w:rsidR="00D47DB7" w:rsidRPr="0077293F">
        <w:rPr>
          <w:rFonts w:cs="Arial"/>
          <w:szCs w:val="22"/>
        </w:rPr>
        <w:t>which</w:t>
      </w:r>
      <w:r w:rsidR="00101E92" w:rsidRPr="0077293F">
        <w:rPr>
          <w:rFonts w:cs="Arial"/>
          <w:szCs w:val="22"/>
        </w:rPr>
        <w:t xml:space="preserve"> can be viewed in the attached annex.</w:t>
      </w:r>
      <w:r w:rsidR="00B27874">
        <w:rPr>
          <w:rFonts w:cs="Arial"/>
          <w:szCs w:val="22"/>
        </w:rPr>
        <w:t xml:space="preserve"> We have interpreted your request for ‘</w:t>
      </w:r>
      <w:r w:rsidR="00B27874" w:rsidRPr="00B27874">
        <w:rPr>
          <w:rFonts w:cs="Arial"/>
          <w:szCs w:val="22"/>
        </w:rPr>
        <w:t>FGM or crimes related to FGM</w:t>
      </w:r>
      <w:r w:rsidR="00B27874">
        <w:rPr>
          <w:rFonts w:cs="Arial"/>
          <w:szCs w:val="22"/>
        </w:rPr>
        <w:t xml:space="preserve">’ as referring to offences </w:t>
      </w:r>
      <w:r w:rsidR="00B27874" w:rsidRPr="00B27874">
        <w:rPr>
          <w:rFonts w:cs="Arial"/>
          <w:szCs w:val="22"/>
        </w:rPr>
        <w:t>under the Female Genital Mutilation Act 2003</w:t>
      </w:r>
      <w:r w:rsidR="00B27874">
        <w:rPr>
          <w:rFonts w:cs="Arial"/>
          <w:szCs w:val="22"/>
        </w:rPr>
        <w:t>.</w:t>
      </w:r>
    </w:p>
    <w:p w14:paraId="10955BD4" w14:textId="77777777" w:rsidR="00F20132" w:rsidRPr="0077293F" w:rsidRDefault="00F20132" w:rsidP="002C792B">
      <w:pPr>
        <w:rPr>
          <w:rFonts w:cs="Arial"/>
          <w:szCs w:val="22"/>
        </w:rPr>
      </w:pPr>
    </w:p>
    <w:p w14:paraId="4CF09AE6" w14:textId="77777777" w:rsidR="00F20132" w:rsidRPr="0077293F" w:rsidRDefault="00F20132" w:rsidP="002C792B">
      <w:pPr>
        <w:rPr>
          <w:rFonts w:cs="Arial"/>
          <w:b/>
          <w:szCs w:val="22"/>
          <w:u w:val="single"/>
        </w:rPr>
      </w:pPr>
      <w:r w:rsidRPr="0077293F">
        <w:rPr>
          <w:rFonts w:cs="Arial"/>
          <w:b/>
          <w:szCs w:val="22"/>
          <w:u w:val="single"/>
        </w:rPr>
        <w:t>Question 2</w:t>
      </w:r>
    </w:p>
    <w:p w14:paraId="45733CF3" w14:textId="77777777" w:rsidR="001A4514" w:rsidRPr="0077293F" w:rsidRDefault="001A4514" w:rsidP="002C792B">
      <w:pPr>
        <w:rPr>
          <w:rFonts w:cs="Arial"/>
          <w:b/>
          <w:szCs w:val="22"/>
        </w:rPr>
      </w:pPr>
    </w:p>
    <w:p w14:paraId="70F6167C" w14:textId="77777777" w:rsidR="006B12CB" w:rsidRDefault="001A4514" w:rsidP="001A4514">
      <w:pPr>
        <w:spacing w:line="240" w:lineRule="auto"/>
        <w:rPr>
          <w:rFonts w:cs="Arial"/>
          <w:szCs w:val="22"/>
        </w:rPr>
      </w:pPr>
      <w:r w:rsidRPr="0077293F">
        <w:rPr>
          <w:rFonts w:cs="Arial"/>
          <w:szCs w:val="22"/>
        </w:rPr>
        <w:t>The MoJ does not hold any information in the scope of your request. This is because we are not the appropriate authority to contact on this subject.</w:t>
      </w:r>
      <w:r w:rsidR="00301B0C" w:rsidRPr="0077293F">
        <w:rPr>
          <w:rFonts w:cs="Arial"/>
          <w:szCs w:val="22"/>
        </w:rPr>
        <w:t xml:space="preserve"> If such information were to be available, then it is most likely held by individual police and/or border forces</w:t>
      </w:r>
      <w:r w:rsidR="00B27874">
        <w:rPr>
          <w:rFonts w:cs="Arial"/>
          <w:szCs w:val="22"/>
        </w:rPr>
        <w:t>.</w:t>
      </w:r>
    </w:p>
    <w:p w14:paraId="2BC97594" w14:textId="77777777" w:rsidR="00B27874" w:rsidRPr="0077293F" w:rsidRDefault="00B27874" w:rsidP="001A4514">
      <w:pPr>
        <w:spacing w:line="240" w:lineRule="auto"/>
        <w:rPr>
          <w:rFonts w:cs="Arial"/>
          <w:szCs w:val="22"/>
        </w:rPr>
      </w:pPr>
    </w:p>
    <w:p w14:paraId="6AB08335" w14:textId="77777777" w:rsidR="00B27874" w:rsidRDefault="006B12CB" w:rsidP="001A4514">
      <w:pPr>
        <w:spacing w:line="240" w:lineRule="auto"/>
        <w:rPr>
          <w:rFonts w:cs="Arial"/>
          <w:szCs w:val="22"/>
        </w:rPr>
      </w:pPr>
      <w:r w:rsidRPr="0077293F">
        <w:rPr>
          <w:rFonts w:cs="Arial"/>
          <w:szCs w:val="22"/>
        </w:rPr>
        <w:t>If you would like to make a Freedom of Information request to these organisations, please contact them who have their own FOI procedure in place.</w:t>
      </w:r>
    </w:p>
    <w:p w14:paraId="10A67D4C" w14:textId="77777777" w:rsidR="00B27874" w:rsidRPr="008B6358" w:rsidRDefault="00B27874" w:rsidP="001A4514">
      <w:pPr>
        <w:spacing w:line="240" w:lineRule="auto"/>
        <w:rPr>
          <w:rFonts w:cs="Arial"/>
          <w:szCs w:val="22"/>
        </w:rPr>
      </w:pPr>
    </w:p>
    <w:p w14:paraId="5E217572" w14:textId="77777777" w:rsidR="001A4514" w:rsidRPr="0077293F" w:rsidRDefault="00746D85" w:rsidP="002C792B">
      <w:pPr>
        <w:rPr>
          <w:rFonts w:cs="Arial"/>
          <w:szCs w:val="22"/>
        </w:rPr>
      </w:pPr>
      <w:r w:rsidRPr="0077293F">
        <w:rPr>
          <w:rFonts w:cs="Arial"/>
          <w:szCs w:val="22"/>
        </w:rPr>
        <w:t>The FOIA does not oblige a public authority to create information to answer a request if the requested information is not held. The duty is to only provide the recorded information held.</w:t>
      </w:r>
    </w:p>
    <w:p w14:paraId="44A37007" w14:textId="77777777" w:rsidR="00F60FA6" w:rsidRPr="0077293F" w:rsidRDefault="00F60FA6" w:rsidP="002C792B">
      <w:pPr>
        <w:rPr>
          <w:rFonts w:cs="Arial"/>
          <w:b/>
          <w:szCs w:val="22"/>
          <w:u w:val="single"/>
        </w:rPr>
      </w:pPr>
    </w:p>
    <w:p w14:paraId="4D0D9FAC" w14:textId="77777777" w:rsidR="00101E92" w:rsidRPr="0077293F" w:rsidRDefault="00982429" w:rsidP="002C792B">
      <w:pPr>
        <w:rPr>
          <w:rFonts w:cs="Arial"/>
          <w:b/>
          <w:szCs w:val="22"/>
          <w:u w:val="single"/>
        </w:rPr>
      </w:pPr>
      <w:r w:rsidRPr="0077293F">
        <w:rPr>
          <w:rFonts w:cs="Arial"/>
          <w:b/>
          <w:szCs w:val="22"/>
          <w:u w:val="single"/>
        </w:rPr>
        <w:t>Question 4</w:t>
      </w:r>
    </w:p>
    <w:p w14:paraId="1EB36F3D" w14:textId="77777777" w:rsidR="00982429" w:rsidRPr="0077293F" w:rsidRDefault="00982429" w:rsidP="002C792B">
      <w:pPr>
        <w:rPr>
          <w:rFonts w:cs="Arial"/>
          <w:b/>
          <w:szCs w:val="22"/>
        </w:rPr>
      </w:pPr>
    </w:p>
    <w:p w14:paraId="64BF4442" w14:textId="77777777" w:rsidR="00982429" w:rsidRPr="0077293F" w:rsidRDefault="00982429" w:rsidP="002C792B">
      <w:pPr>
        <w:rPr>
          <w:rFonts w:cs="Arial"/>
          <w:color w:val="000000"/>
          <w:szCs w:val="22"/>
        </w:rPr>
      </w:pPr>
      <w:r w:rsidRPr="0077293F">
        <w:rPr>
          <w:rFonts w:cs="Arial"/>
          <w:color w:val="000000"/>
          <w:szCs w:val="22"/>
        </w:rPr>
        <w:t>This information is exempt from disclosure under section 21 of the FOIA, because it is reasonably accessible to you. The information held can be accessed via the following link</w:t>
      </w:r>
      <w:r w:rsidR="005A15D1" w:rsidRPr="0077293F">
        <w:rPr>
          <w:rFonts w:cs="Arial"/>
          <w:color w:val="000000"/>
          <w:szCs w:val="22"/>
        </w:rPr>
        <w:t xml:space="preserve">. </w:t>
      </w:r>
      <w:r w:rsidR="00447C37" w:rsidRPr="0077293F">
        <w:rPr>
          <w:rFonts w:cs="Arial"/>
          <w:color w:val="000000"/>
          <w:szCs w:val="22"/>
        </w:rPr>
        <w:t xml:space="preserve">From </w:t>
      </w:r>
      <w:r w:rsidR="00B27874">
        <w:rPr>
          <w:rFonts w:cs="Arial"/>
          <w:color w:val="000000"/>
          <w:szCs w:val="22"/>
        </w:rPr>
        <w:t>this link</w:t>
      </w:r>
      <w:r w:rsidR="00447C37" w:rsidRPr="0077293F">
        <w:rPr>
          <w:rFonts w:cs="Arial"/>
          <w:color w:val="000000"/>
          <w:szCs w:val="22"/>
        </w:rPr>
        <w:t xml:space="preserve"> select</w:t>
      </w:r>
      <w:r w:rsidRPr="0077293F">
        <w:rPr>
          <w:rFonts w:cs="Arial"/>
          <w:color w:val="000000"/>
          <w:szCs w:val="22"/>
        </w:rPr>
        <w:t xml:space="preserve"> </w:t>
      </w:r>
      <w:r w:rsidR="005E2DEC" w:rsidRPr="0077293F">
        <w:rPr>
          <w:rFonts w:cs="Arial"/>
          <w:b/>
          <w:color w:val="000000"/>
          <w:szCs w:val="22"/>
        </w:rPr>
        <w:t>Family court</w:t>
      </w:r>
      <w:r w:rsidRPr="0077293F">
        <w:rPr>
          <w:rFonts w:cs="Arial"/>
          <w:b/>
          <w:color w:val="000000"/>
          <w:szCs w:val="22"/>
        </w:rPr>
        <w:t xml:space="preserve"> </w:t>
      </w:r>
      <w:r w:rsidR="008960E9" w:rsidRPr="0077293F">
        <w:rPr>
          <w:rFonts w:cs="Arial"/>
          <w:b/>
          <w:color w:val="000000"/>
          <w:szCs w:val="22"/>
        </w:rPr>
        <w:t xml:space="preserve">tables </w:t>
      </w:r>
      <w:r w:rsidR="00D67139" w:rsidRPr="0077293F">
        <w:rPr>
          <w:rFonts w:cs="Arial"/>
          <w:b/>
          <w:color w:val="000000"/>
          <w:szCs w:val="22"/>
        </w:rPr>
        <w:t>January to March 2017</w:t>
      </w:r>
      <w:r w:rsidR="00D67139" w:rsidRPr="0077293F">
        <w:rPr>
          <w:rFonts w:cs="Arial"/>
          <w:color w:val="000000"/>
          <w:szCs w:val="22"/>
        </w:rPr>
        <w:t xml:space="preserve"> </w:t>
      </w:r>
      <w:r w:rsidR="006710F9" w:rsidRPr="0077293F">
        <w:rPr>
          <w:rFonts w:cs="Arial"/>
          <w:color w:val="000000"/>
          <w:szCs w:val="22"/>
        </w:rPr>
        <w:t>and select Table 17.</w:t>
      </w:r>
    </w:p>
    <w:p w14:paraId="18AA94A9" w14:textId="77777777" w:rsidR="005E2DEC" w:rsidRPr="0077293F" w:rsidRDefault="005E2DEC" w:rsidP="002C792B">
      <w:pPr>
        <w:rPr>
          <w:rFonts w:cs="Arial"/>
          <w:color w:val="000000"/>
          <w:szCs w:val="22"/>
        </w:rPr>
      </w:pPr>
    </w:p>
    <w:p w14:paraId="6315D476" w14:textId="77777777" w:rsidR="005A15D1" w:rsidRPr="0077293F" w:rsidRDefault="005A15D1" w:rsidP="002C792B">
      <w:pPr>
        <w:rPr>
          <w:rFonts w:cs="Arial"/>
          <w:color w:val="000000"/>
          <w:szCs w:val="22"/>
          <w:u w:val="single"/>
        </w:rPr>
      </w:pPr>
      <w:hyperlink r:id="rId9" w:history="1">
        <w:r w:rsidRPr="0077293F">
          <w:rPr>
            <w:rStyle w:val="Hyperlink"/>
            <w:rFonts w:cs="Arial"/>
            <w:szCs w:val="22"/>
            <w:u w:val="single"/>
          </w:rPr>
          <w:t>https://www.gov.uk/government/statistics/family-court-statistics-quarterly-january-to-march-2017</w:t>
        </w:r>
      </w:hyperlink>
    </w:p>
    <w:p w14:paraId="57848E21" w14:textId="77777777" w:rsidR="005A15D1" w:rsidRPr="0077293F" w:rsidRDefault="005A15D1" w:rsidP="002C792B">
      <w:pPr>
        <w:rPr>
          <w:rFonts w:cs="Arial"/>
          <w:color w:val="000000"/>
          <w:szCs w:val="22"/>
        </w:rPr>
      </w:pPr>
    </w:p>
    <w:p w14:paraId="134D6AF9" w14:textId="77777777" w:rsidR="002C792B" w:rsidRPr="0077293F" w:rsidRDefault="002C792B" w:rsidP="002C792B">
      <w:pPr>
        <w:rPr>
          <w:rFonts w:cs="Arial"/>
          <w:szCs w:val="22"/>
        </w:rPr>
      </w:pPr>
      <w:r w:rsidRPr="0077293F">
        <w:rPr>
          <w:rFonts w:cs="Arial"/>
          <w:szCs w:val="22"/>
        </w:rPr>
        <w:t>Some of the information, which covers 201</w:t>
      </w:r>
      <w:r w:rsidR="00BB3AC5" w:rsidRPr="0077293F">
        <w:rPr>
          <w:rFonts w:cs="Arial"/>
          <w:szCs w:val="22"/>
        </w:rPr>
        <w:t>7</w:t>
      </w:r>
      <w:r w:rsidRPr="0077293F">
        <w:rPr>
          <w:rFonts w:cs="Arial"/>
          <w:szCs w:val="22"/>
        </w:rPr>
        <w:t>, is exempt from disclosure under section 44(1)</w:t>
      </w:r>
      <w:r w:rsidR="00C265DA" w:rsidRPr="0077293F">
        <w:rPr>
          <w:rFonts w:cs="Arial"/>
          <w:szCs w:val="22"/>
        </w:rPr>
        <w:t xml:space="preserve"> </w:t>
      </w:r>
      <w:r w:rsidRPr="0077293F">
        <w:rPr>
          <w:rFonts w:cs="Arial"/>
          <w:szCs w:val="22"/>
        </w:rPr>
        <w:t xml:space="preserve">(a) of the FOIA, which refers to prohibitions on disclosure ‘by or under any enactment’ of the FOIA.  In this case, the information you are seeking is prohibited by the Statistics and Registration Services (SRS) Act 2007 and the Pre-release Access to Official Statistics Order 2008. </w:t>
      </w:r>
    </w:p>
    <w:p w14:paraId="1C0D83EA" w14:textId="77777777" w:rsidR="002C792B" w:rsidRPr="0077293F" w:rsidRDefault="002C792B" w:rsidP="002C792B">
      <w:pPr>
        <w:rPr>
          <w:rFonts w:cs="Arial"/>
          <w:szCs w:val="22"/>
        </w:rPr>
      </w:pPr>
    </w:p>
    <w:p w14:paraId="4D8A56FD" w14:textId="77777777" w:rsidR="002C792B" w:rsidRPr="0077293F" w:rsidRDefault="002C792B" w:rsidP="002C792B">
      <w:pPr>
        <w:rPr>
          <w:rFonts w:cs="Arial"/>
          <w:szCs w:val="22"/>
        </w:rPr>
      </w:pPr>
      <w:r w:rsidRPr="0077293F">
        <w:rPr>
          <w:rFonts w:cs="Arial"/>
          <w:szCs w:val="22"/>
        </w:rPr>
        <w:t>The information you have requested is a subset of the Criminal Justice Statistics data held in its final form which we routinely publish. It is intended for publication in May 201</w:t>
      </w:r>
      <w:r w:rsidR="008200AA" w:rsidRPr="0077293F">
        <w:rPr>
          <w:rFonts w:cs="Arial"/>
          <w:szCs w:val="22"/>
        </w:rPr>
        <w:t>8</w:t>
      </w:r>
      <w:r w:rsidRPr="0077293F">
        <w:rPr>
          <w:rFonts w:cs="Arial"/>
          <w:szCs w:val="22"/>
        </w:rPr>
        <w:t xml:space="preserve">. As such we are required to consider your request in a manner compliant with the Pre-release Access to Official Statistics Order 2008 further to sections 11 and 13 of the (SRS Act 2007. </w:t>
      </w:r>
    </w:p>
    <w:p w14:paraId="4F37FD7A" w14:textId="77777777" w:rsidR="002C792B" w:rsidRPr="0077293F" w:rsidRDefault="002C792B" w:rsidP="002C792B">
      <w:pPr>
        <w:rPr>
          <w:rFonts w:cs="Arial"/>
          <w:szCs w:val="22"/>
        </w:rPr>
      </w:pPr>
    </w:p>
    <w:p w14:paraId="32041BCB" w14:textId="77777777" w:rsidR="002C792B" w:rsidRPr="0077293F" w:rsidRDefault="002C792B" w:rsidP="002C792B">
      <w:pPr>
        <w:rPr>
          <w:rFonts w:cs="Arial"/>
          <w:szCs w:val="22"/>
        </w:rPr>
      </w:pPr>
      <w:r w:rsidRPr="0077293F">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w:t>
      </w:r>
      <w:r w:rsidR="00EA0B72" w:rsidRPr="0077293F">
        <w:rPr>
          <w:rFonts w:cs="Arial"/>
          <w:szCs w:val="22"/>
        </w:rPr>
        <w:t>and convictions</w:t>
      </w:r>
      <w:r w:rsidRPr="0077293F">
        <w:rPr>
          <w:rFonts w:cs="Arial"/>
          <w:szCs w:val="22"/>
        </w:rPr>
        <w:t xml:space="preserve"> for 201</w:t>
      </w:r>
      <w:r w:rsidR="0055492F" w:rsidRPr="0077293F">
        <w:rPr>
          <w:rFonts w:cs="Arial"/>
          <w:szCs w:val="22"/>
        </w:rPr>
        <w:t>7</w:t>
      </w:r>
      <w:r w:rsidRPr="0077293F">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14:paraId="62AB18DB" w14:textId="77777777" w:rsidR="002C792B" w:rsidRPr="0077293F" w:rsidRDefault="002C792B" w:rsidP="002C792B">
      <w:pPr>
        <w:rPr>
          <w:rFonts w:cs="Arial"/>
          <w:szCs w:val="22"/>
        </w:rPr>
      </w:pPr>
    </w:p>
    <w:p w14:paraId="58E568CB" w14:textId="77777777" w:rsidR="002C792B" w:rsidRPr="0077293F" w:rsidRDefault="002C792B" w:rsidP="002C792B">
      <w:pPr>
        <w:rPr>
          <w:rFonts w:cs="Arial"/>
          <w:szCs w:val="22"/>
        </w:rPr>
      </w:pPr>
      <w:r w:rsidRPr="0077293F">
        <w:rPr>
          <w:rFonts w:cs="Arial"/>
          <w:szCs w:val="22"/>
        </w:rPr>
        <w:t>Please also be aware that Section 44 is an absolute exemption and does not require a public interest test.</w:t>
      </w:r>
    </w:p>
    <w:p w14:paraId="73F2086A" w14:textId="77777777" w:rsidR="002C792B" w:rsidRPr="0077293F" w:rsidRDefault="002C792B" w:rsidP="002C792B">
      <w:pPr>
        <w:rPr>
          <w:rFonts w:cs="Arial"/>
          <w:szCs w:val="22"/>
        </w:rPr>
      </w:pPr>
    </w:p>
    <w:p w14:paraId="2739AE17" w14:textId="77777777" w:rsidR="002C792B" w:rsidRPr="0077293F" w:rsidRDefault="002C792B" w:rsidP="002C792B">
      <w:pPr>
        <w:rPr>
          <w:rFonts w:cs="Arial"/>
          <w:szCs w:val="22"/>
        </w:rPr>
      </w:pPr>
      <w:r w:rsidRPr="0077293F">
        <w:rPr>
          <w:rFonts w:cs="Arial"/>
          <w:szCs w:val="22"/>
        </w:rPr>
        <w:t>The information for 201</w:t>
      </w:r>
      <w:r w:rsidR="00BB3AC5" w:rsidRPr="0077293F">
        <w:rPr>
          <w:rFonts w:cs="Arial"/>
          <w:szCs w:val="22"/>
        </w:rPr>
        <w:t>7</w:t>
      </w:r>
      <w:r w:rsidRPr="0077293F">
        <w:rPr>
          <w:rFonts w:cs="Arial"/>
          <w:szCs w:val="22"/>
        </w:rPr>
        <w:t xml:space="preserve"> is also exempt from disclosure under section 22(1) of the FOIA, because it is intended for future publication. Please note that whilst quarterly court proceedings and convictions headline data are published and are currently available up to end </w:t>
      </w:r>
      <w:r w:rsidR="00BB3AC5" w:rsidRPr="0077293F">
        <w:rPr>
          <w:rFonts w:cs="Arial"/>
          <w:szCs w:val="22"/>
        </w:rPr>
        <w:t>March 2017</w:t>
      </w:r>
      <w:r w:rsidRPr="0077293F">
        <w:rPr>
          <w:rFonts w:cs="Arial"/>
          <w:szCs w:val="22"/>
        </w:rPr>
        <w:t>, these data are subject to revision as later quarters are published, and are finalised only when the annual publication is made publicly available. To ensure consistency of data released to users, further breakdowns (in this case by specific offences under certain legislation) of 201</w:t>
      </w:r>
      <w:r w:rsidR="00BB3AC5" w:rsidRPr="0077293F">
        <w:rPr>
          <w:rFonts w:cs="Arial"/>
          <w:szCs w:val="22"/>
        </w:rPr>
        <w:t>7</w:t>
      </w:r>
      <w:r w:rsidRPr="0077293F">
        <w:rPr>
          <w:rFonts w:cs="Arial"/>
          <w:szCs w:val="22"/>
        </w:rPr>
        <w:t xml:space="preserve"> Quarters 1 (January to </w:t>
      </w:r>
      <w:r w:rsidR="00BB3AC5" w:rsidRPr="0077293F">
        <w:rPr>
          <w:rFonts w:cs="Arial"/>
          <w:szCs w:val="22"/>
        </w:rPr>
        <w:t>March</w:t>
      </w:r>
      <w:r w:rsidRPr="0077293F">
        <w:rPr>
          <w:rFonts w:cs="Arial"/>
          <w:szCs w:val="22"/>
        </w:rPr>
        <w:t>) data are not available until the annual criminal statistics publication is published in May 201</w:t>
      </w:r>
      <w:r w:rsidR="00BB3AC5" w:rsidRPr="0077293F">
        <w:rPr>
          <w:rFonts w:cs="Arial"/>
          <w:szCs w:val="22"/>
        </w:rPr>
        <w:t>8</w:t>
      </w:r>
      <w:r w:rsidRPr="0077293F">
        <w:rPr>
          <w:rFonts w:cs="Arial"/>
          <w:szCs w:val="22"/>
        </w:rPr>
        <w:t>.</w:t>
      </w:r>
    </w:p>
    <w:p w14:paraId="6AD86B44" w14:textId="77777777" w:rsidR="002C792B" w:rsidRPr="0077293F" w:rsidRDefault="002C792B" w:rsidP="002C792B">
      <w:pPr>
        <w:rPr>
          <w:rFonts w:cs="Arial"/>
          <w:szCs w:val="22"/>
        </w:rPr>
      </w:pPr>
    </w:p>
    <w:p w14:paraId="0B97F16A" w14:textId="77777777" w:rsidR="002C792B" w:rsidRPr="0077293F" w:rsidRDefault="002C792B" w:rsidP="002C792B">
      <w:pPr>
        <w:rPr>
          <w:rFonts w:cs="Arial"/>
          <w:szCs w:val="22"/>
        </w:rPr>
      </w:pPr>
      <w:r w:rsidRPr="0077293F">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5F151D96" w14:textId="77777777" w:rsidR="002C792B" w:rsidRPr="0077293F" w:rsidRDefault="002C792B" w:rsidP="002C792B">
      <w:pPr>
        <w:rPr>
          <w:rFonts w:cs="Arial"/>
          <w:szCs w:val="22"/>
        </w:rPr>
      </w:pPr>
    </w:p>
    <w:p w14:paraId="481CF888" w14:textId="77777777" w:rsidR="002C792B" w:rsidRPr="0077293F" w:rsidRDefault="002C792B" w:rsidP="002C792B">
      <w:pPr>
        <w:rPr>
          <w:rFonts w:cs="Arial"/>
          <w:b/>
          <w:szCs w:val="22"/>
        </w:rPr>
      </w:pPr>
      <w:r w:rsidRPr="0077293F">
        <w:rPr>
          <w:rFonts w:cs="Arial"/>
          <w:b/>
          <w:szCs w:val="22"/>
        </w:rPr>
        <w:t>Public interest considerations favouring disclosure</w:t>
      </w:r>
    </w:p>
    <w:p w14:paraId="1A77489C" w14:textId="77777777" w:rsidR="002C792B" w:rsidRPr="0077293F" w:rsidRDefault="002C792B" w:rsidP="002C792B">
      <w:pPr>
        <w:rPr>
          <w:rFonts w:cs="Arial"/>
          <w:szCs w:val="22"/>
        </w:rPr>
      </w:pPr>
    </w:p>
    <w:p w14:paraId="6D293BEC" w14:textId="77777777" w:rsidR="002C792B" w:rsidRPr="0077293F" w:rsidRDefault="002C792B" w:rsidP="002C792B">
      <w:pPr>
        <w:numPr>
          <w:ilvl w:val="0"/>
          <w:numId w:val="3"/>
        </w:numPr>
        <w:rPr>
          <w:rFonts w:cs="Arial"/>
          <w:szCs w:val="22"/>
        </w:rPr>
      </w:pPr>
      <w:r w:rsidRPr="0077293F">
        <w:rPr>
          <w:rFonts w:cs="Arial"/>
          <w:szCs w:val="22"/>
        </w:rPr>
        <w:t>Disclosure would improve transparency in the operations of Government, and of the justice system in particular.</w:t>
      </w:r>
    </w:p>
    <w:p w14:paraId="61ECAFDD" w14:textId="77777777" w:rsidR="002C792B" w:rsidRPr="0077293F" w:rsidRDefault="002C792B" w:rsidP="002C792B">
      <w:pPr>
        <w:rPr>
          <w:rFonts w:cs="Arial"/>
          <w:szCs w:val="22"/>
        </w:rPr>
      </w:pPr>
    </w:p>
    <w:p w14:paraId="5023971D" w14:textId="77777777" w:rsidR="002C792B" w:rsidRPr="0077293F" w:rsidRDefault="002C792B" w:rsidP="002C792B">
      <w:pPr>
        <w:rPr>
          <w:rFonts w:cs="Arial"/>
          <w:b/>
          <w:szCs w:val="22"/>
        </w:rPr>
      </w:pPr>
      <w:r w:rsidRPr="0077293F">
        <w:rPr>
          <w:rFonts w:cs="Arial"/>
          <w:b/>
          <w:szCs w:val="22"/>
        </w:rPr>
        <w:t>Public interest considerations favouring withholding the information</w:t>
      </w:r>
    </w:p>
    <w:p w14:paraId="0069079C" w14:textId="77777777" w:rsidR="002C792B" w:rsidRPr="0077293F" w:rsidRDefault="002C792B" w:rsidP="002C792B">
      <w:pPr>
        <w:rPr>
          <w:rFonts w:cs="Arial"/>
          <w:szCs w:val="22"/>
        </w:rPr>
      </w:pPr>
    </w:p>
    <w:p w14:paraId="58559781" w14:textId="77777777" w:rsidR="002C792B" w:rsidRPr="0077293F" w:rsidRDefault="002C792B" w:rsidP="002C792B">
      <w:pPr>
        <w:numPr>
          <w:ilvl w:val="0"/>
          <w:numId w:val="3"/>
        </w:numPr>
        <w:rPr>
          <w:rFonts w:cs="Arial"/>
          <w:szCs w:val="22"/>
        </w:rPr>
      </w:pPr>
      <w:r w:rsidRPr="0077293F">
        <w:rPr>
          <w:rFonts w:cs="Arial"/>
          <w:szCs w:val="22"/>
        </w:rPr>
        <w:t>It is in the public interest to adhere to the existing publication process for official statistics, which includes time for the data to be collated and properly verified.</w:t>
      </w:r>
    </w:p>
    <w:p w14:paraId="66A213AB" w14:textId="77777777" w:rsidR="002C792B" w:rsidRPr="0077293F" w:rsidRDefault="002C792B" w:rsidP="002C792B">
      <w:pPr>
        <w:rPr>
          <w:rFonts w:cs="Arial"/>
          <w:szCs w:val="22"/>
        </w:rPr>
      </w:pPr>
    </w:p>
    <w:p w14:paraId="72D96D3F" w14:textId="77777777" w:rsidR="002C792B" w:rsidRPr="0077293F" w:rsidRDefault="002C792B" w:rsidP="002C792B">
      <w:pPr>
        <w:numPr>
          <w:ilvl w:val="0"/>
          <w:numId w:val="3"/>
        </w:numPr>
        <w:rPr>
          <w:rFonts w:cs="Arial"/>
          <w:szCs w:val="22"/>
        </w:rPr>
      </w:pPr>
      <w:r w:rsidRPr="0077293F">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14:paraId="1A40F9D5" w14:textId="77777777" w:rsidR="002C792B" w:rsidRPr="0077293F" w:rsidRDefault="002C792B" w:rsidP="002C792B">
      <w:pPr>
        <w:rPr>
          <w:rFonts w:cs="Arial"/>
          <w:szCs w:val="22"/>
        </w:rPr>
      </w:pPr>
    </w:p>
    <w:p w14:paraId="49BD223E" w14:textId="77777777" w:rsidR="002C792B" w:rsidRPr="0077293F" w:rsidRDefault="002C792B" w:rsidP="002C792B">
      <w:pPr>
        <w:rPr>
          <w:rFonts w:cs="Arial"/>
          <w:szCs w:val="22"/>
        </w:rPr>
      </w:pPr>
      <w:r w:rsidRPr="0077293F">
        <w:rPr>
          <w:rFonts w:cs="Arial"/>
          <w:szCs w:val="22"/>
        </w:rPr>
        <w:t>We reached the view that, on balance, the public interest is better served by withholding this information under section 22 of the FOIA at this time.</w:t>
      </w:r>
    </w:p>
    <w:p w14:paraId="77D77166" w14:textId="77777777" w:rsidR="002C792B" w:rsidRPr="0077293F" w:rsidRDefault="002C792B" w:rsidP="002C792B">
      <w:pPr>
        <w:rPr>
          <w:rFonts w:cs="Arial"/>
          <w:szCs w:val="22"/>
        </w:rPr>
      </w:pPr>
    </w:p>
    <w:sectPr w:rsidR="002C792B" w:rsidRPr="0077293F"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0F58" w14:textId="77777777" w:rsidR="005F23A6" w:rsidRDefault="005F23A6">
      <w:r>
        <w:separator/>
      </w:r>
    </w:p>
  </w:endnote>
  <w:endnote w:type="continuationSeparator" w:id="0">
    <w:p w14:paraId="51660B38" w14:textId="77777777" w:rsidR="005F23A6" w:rsidRDefault="005F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A462"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A44A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14F59" w14:textId="77777777" w:rsidR="005F23A6" w:rsidRDefault="005F23A6">
      <w:r>
        <w:separator/>
      </w:r>
    </w:p>
  </w:footnote>
  <w:footnote w:type="continuationSeparator" w:id="0">
    <w:p w14:paraId="6596FBBE" w14:textId="77777777" w:rsidR="005F23A6" w:rsidRDefault="005F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01479"/>
    <w:rsid w:val="0001318B"/>
    <w:rsid w:val="00017054"/>
    <w:rsid w:val="000222E7"/>
    <w:rsid w:val="000222F6"/>
    <w:rsid w:val="00026D9A"/>
    <w:rsid w:val="00032200"/>
    <w:rsid w:val="00037330"/>
    <w:rsid w:val="00050C24"/>
    <w:rsid w:val="0007380F"/>
    <w:rsid w:val="00074005"/>
    <w:rsid w:val="000744C3"/>
    <w:rsid w:val="00075624"/>
    <w:rsid w:val="000840F1"/>
    <w:rsid w:val="0008457A"/>
    <w:rsid w:val="0009138F"/>
    <w:rsid w:val="0009754B"/>
    <w:rsid w:val="000A3195"/>
    <w:rsid w:val="000A62FB"/>
    <w:rsid w:val="000B1172"/>
    <w:rsid w:val="000F704E"/>
    <w:rsid w:val="00101896"/>
    <w:rsid w:val="00101E92"/>
    <w:rsid w:val="00104F06"/>
    <w:rsid w:val="0010647C"/>
    <w:rsid w:val="00106DEE"/>
    <w:rsid w:val="00111E13"/>
    <w:rsid w:val="00134A2E"/>
    <w:rsid w:val="00146154"/>
    <w:rsid w:val="00152F0C"/>
    <w:rsid w:val="00153E76"/>
    <w:rsid w:val="00154D2E"/>
    <w:rsid w:val="0017541D"/>
    <w:rsid w:val="00193D71"/>
    <w:rsid w:val="001A3A7E"/>
    <w:rsid w:val="001A4514"/>
    <w:rsid w:val="001A47E5"/>
    <w:rsid w:val="001A4EE1"/>
    <w:rsid w:val="001B6FB2"/>
    <w:rsid w:val="001C54E1"/>
    <w:rsid w:val="001C779E"/>
    <w:rsid w:val="001E0568"/>
    <w:rsid w:val="001E1665"/>
    <w:rsid w:val="001F33F4"/>
    <w:rsid w:val="00203DBB"/>
    <w:rsid w:val="00244B1E"/>
    <w:rsid w:val="002456EA"/>
    <w:rsid w:val="00255FC6"/>
    <w:rsid w:val="00273E23"/>
    <w:rsid w:val="00285A9C"/>
    <w:rsid w:val="002B0ECE"/>
    <w:rsid w:val="002B6AFE"/>
    <w:rsid w:val="002C5025"/>
    <w:rsid w:val="002C5C22"/>
    <w:rsid w:val="002C792B"/>
    <w:rsid w:val="002D3C87"/>
    <w:rsid w:val="002D5314"/>
    <w:rsid w:val="002E39E4"/>
    <w:rsid w:val="002F24C7"/>
    <w:rsid w:val="002F50F6"/>
    <w:rsid w:val="002F6553"/>
    <w:rsid w:val="003011BD"/>
    <w:rsid w:val="00301B0C"/>
    <w:rsid w:val="00303661"/>
    <w:rsid w:val="0030433E"/>
    <w:rsid w:val="0031213B"/>
    <w:rsid w:val="00323067"/>
    <w:rsid w:val="003322DE"/>
    <w:rsid w:val="003366B3"/>
    <w:rsid w:val="00342D7E"/>
    <w:rsid w:val="00372783"/>
    <w:rsid w:val="00375DDC"/>
    <w:rsid w:val="00376A97"/>
    <w:rsid w:val="00377D6F"/>
    <w:rsid w:val="0038642F"/>
    <w:rsid w:val="003A633E"/>
    <w:rsid w:val="003B13CA"/>
    <w:rsid w:val="003B18AB"/>
    <w:rsid w:val="003D40C5"/>
    <w:rsid w:val="003D790A"/>
    <w:rsid w:val="003E3E27"/>
    <w:rsid w:val="00401CAB"/>
    <w:rsid w:val="00402606"/>
    <w:rsid w:val="004269FC"/>
    <w:rsid w:val="00435D53"/>
    <w:rsid w:val="0044169F"/>
    <w:rsid w:val="00444869"/>
    <w:rsid w:val="00445AB5"/>
    <w:rsid w:val="00447C37"/>
    <w:rsid w:val="00453104"/>
    <w:rsid w:val="00457840"/>
    <w:rsid w:val="00466CAD"/>
    <w:rsid w:val="00471E48"/>
    <w:rsid w:val="00475F56"/>
    <w:rsid w:val="0048558F"/>
    <w:rsid w:val="00485C6F"/>
    <w:rsid w:val="00496E7B"/>
    <w:rsid w:val="004C4606"/>
    <w:rsid w:val="004D58C1"/>
    <w:rsid w:val="004E03C7"/>
    <w:rsid w:val="004E5205"/>
    <w:rsid w:val="004E5CF9"/>
    <w:rsid w:val="004F3A38"/>
    <w:rsid w:val="004F5467"/>
    <w:rsid w:val="0050006A"/>
    <w:rsid w:val="00535B60"/>
    <w:rsid w:val="005361B4"/>
    <w:rsid w:val="0055492F"/>
    <w:rsid w:val="00561341"/>
    <w:rsid w:val="0056296A"/>
    <w:rsid w:val="00566964"/>
    <w:rsid w:val="0056711F"/>
    <w:rsid w:val="005765D4"/>
    <w:rsid w:val="005774F0"/>
    <w:rsid w:val="0059501B"/>
    <w:rsid w:val="005A15D1"/>
    <w:rsid w:val="005A196C"/>
    <w:rsid w:val="005A1FB5"/>
    <w:rsid w:val="005B1E5F"/>
    <w:rsid w:val="005B28FC"/>
    <w:rsid w:val="005C1749"/>
    <w:rsid w:val="005C6D5B"/>
    <w:rsid w:val="005D21E1"/>
    <w:rsid w:val="005D6746"/>
    <w:rsid w:val="005E17C7"/>
    <w:rsid w:val="005E2DEC"/>
    <w:rsid w:val="005E7011"/>
    <w:rsid w:val="005F23A6"/>
    <w:rsid w:val="006045AB"/>
    <w:rsid w:val="00614AA2"/>
    <w:rsid w:val="00644B57"/>
    <w:rsid w:val="00652228"/>
    <w:rsid w:val="00655D8F"/>
    <w:rsid w:val="00656778"/>
    <w:rsid w:val="006647E4"/>
    <w:rsid w:val="006710F9"/>
    <w:rsid w:val="006723C8"/>
    <w:rsid w:val="00673F9E"/>
    <w:rsid w:val="00674BC9"/>
    <w:rsid w:val="0067514B"/>
    <w:rsid w:val="0067585E"/>
    <w:rsid w:val="00680B3A"/>
    <w:rsid w:val="00684760"/>
    <w:rsid w:val="00687093"/>
    <w:rsid w:val="00687276"/>
    <w:rsid w:val="006878E8"/>
    <w:rsid w:val="00696E6F"/>
    <w:rsid w:val="006B12CB"/>
    <w:rsid w:val="006C72DE"/>
    <w:rsid w:val="006E32CA"/>
    <w:rsid w:val="006F32D9"/>
    <w:rsid w:val="006F41B2"/>
    <w:rsid w:val="0074259E"/>
    <w:rsid w:val="00746D85"/>
    <w:rsid w:val="0075513B"/>
    <w:rsid w:val="0076461F"/>
    <w:rsid w:val="0077293F"/>
    <w:rsid w:val="00786ED8"/>
    <w:rsid w:val="007952E4"/>
    <w:rsid w:val="007A217F"/>
    <w:rsid w:val="007A3DF8"/>
    <w:rsid w:val="007B7C57"/>
    <w:rsid w:val="007C771A"/>
    <w:rsid w:val="007D4371"/>
    <w:rsid w:val="007D4761"/>
    <w:rsid w:val="007D5ED2"/>
    <w:rsid w:val="007E42DC"/>
    <w:rsid w:val="007E4BF8"/>
    <w:rsid w:val="007F41AB"/>
    <w:rsid w:val="007F4AEE"/>
    <w:rsid w:val="00801B78"/>
    <w:rsid w:val="00802B47"/>
    <w:rsid w:val="00805323"/>
    <w:rsid w:val="00805AD1"/>
    <w:rsid w:val="008111F1"/>
    <w:rsid w:val="008200AA"/>
    <w:rsid w:val="00820392"/>
    <w:rsid w:val="00831B94"/>
    <w:rsid w:val="00832C18"/>
    <w:rsid w:val="00835D4F"/>
    <w:rsid w:val="008379B7"/>
    <w:rsid w:val="00837E19"/>
    <w:rsid w:val="00844B67"/>
    <w:rsid w:val="00844D94"/>
    <w:rsid w:val="00852285"/>
    <w:rsid w:val="008565E0"/>
    <w:rsid w:val="008645C3"/>
    <w:rsid w:val="00874EDF"/>
    <w:rsid w:val="00880411"/>
    <w:rsid w:val="00882334"/>
    <w:rsid w:val="00884DB6"/>
    <w:rsid w:val="00892055"/>
    <w:rsid w:val="008960E9"/>
    <w:rsid w:val="008970E9"/>
    <w:rsid w:val="008B21BB"/>
    <w:rsid w:val="008B36D2"/>
    <w:rsid w:val="008B6358"/>
    <w:rsid w:val="008D45DA"/>
    <w:rsid w:val="008D564C"/>
    <w:rsid w:val="009053EA"/>
    <w:rsid w:val="00917E62"/>
    <w:rsid w:val="00917EC7"/>
    <w:rsid w:val="009527AE"/>
    <w:rsid w:val="00982429"/>
    <w:rsid w:val="009827DD"/>
    <w:rsid w:val="009853E8"/>
    <w:rsid w:val="00990F1F"/>
    <w:rsid w:val="009C138B"/>
    <w:rsid w:val="009C4B46"/>
    <w:rsid w:val="009D5879"/>
    <w:rsid w:val="009D7874"/>
    <w:rsid w:val="009E3F91"/>
    <w:rsid w:val="009E69FE"/>
    <w:rsid w:val="00A00287"/>
    <w:rsid w:val="00A16194"/>
    <w:rsid w:val="00A173AB"/>
    <w:rsid w:val="00A20BCD"/>
    <w:rsid w:val="00A23CBC"/>
    <w:rsid w:val="00A349B1"/>
    <w:rsid w:val="00A40D87"/>
    <w:rsid w:val="00A459D4"/>
    <w:rsid w:val="00A4792D"/>
    <w:rsid w:val="00A479FB"/>
    <w:rsid w:val="00A66C6D"/>
    <w:rsid w:val="00A76AFC"/>
    <w:rsid w:val="00A809DF"/>
    <w:rsid w:val="00AB4343"/>
    <w:rsid w:val="00AD7505"/>
    <w:rsid w:val="00AE3606"/>
    <w:rsid w:val="00AE7402"/>
    <w:rsid w:val="00AF2FD9"/>
    <w:rsid w:val="00B01B28"/>
    <w:rsid w:val="00B22CDC"/>
    <w:rsid w:val="00B26574"/>
    <w:rsid w:val="00B27874"/>
    <w:rsid w:val="00B47082"/>
    <w:rsid w:val="00B50D01"/>
    <w:rsid w:val="00B531E1"/>
    <w:rsid w:val="00B65AA8"/>
    <w:rsid w:val="00B8050D"/>
    <w:rsid w:val="00B81EF9"/>
    <w:rsid w:val="00B9009F"/>
    <w:rsid w:val="00B95043"/>
    <w:rsid w:val="00BA1694"/>
    <w:rsid w:val="00BA44AD"/>
    <w:rsid w:val="00BB3AC5"/>
    <w:rsid w:val="00BB4B4B"/>
    <w:rsid w:val="00C116BF"/>
    <w:rsid w:val="00C265DA"/>
    <w:rsid w:val="00C56E27"/>
    <w:rsid w:val="00C61A17"/>
    <w:rsid w:val="00C66BE0"/>
    <w:rsid w:val="00C72245"/>
    <w:rsid w:val="00CB54AB"/>
    <w:rsid w:val="00CB65BF"/>
    <w:rsid w:val="00CB678D"/>
    <w:rsid w:val="00CC0B65"/>
    <w:rsid w:val="00CC54F9"/>
    <w:rsid w:val="00CE1BFE"/>
    <w:rsid w:val="00CE2FEA"/>
    <w:rsid w:val="00CF03AD"/>
    <w:rsid w:val="00CF0E52"/>
    <w:rsid w:val="00CF5F3E"/>
    <w:rsid w:val="00CF677E"/>
    <w:rsid w:val="00D010B0"/>
    <w:rsid w:val="00D035BA"/>
    <w:rsid w:val="00D04F64"/>
    <w:rsid w:val="00D11B61"/>
    <w:rsid w:val="00D14BA9"/>
    <w:rsid w:val="00D17E97"/>
    <w:rsid w:val="00D2356F"/>
    <w:rsid w:val="00D24934"/>
    <w:rsid w:val="00D25431"/>
    <w:rsid w:val="00D34F07"/>
    <w:rsid w:val="00D354B2"/>
    <w:rsid w:val="00D46C15"/>
    <w:rsid w:val="00D47DB7"/>
    <w:rsid w:val="00D62050"/>
    <w:rsid w:val="00D64C3E"/>
    <w:rsid w:val="00D66074"/>
    <w:rsid w:val="00D67139"/>
    <w:rsid w:val="00D81526"/>
    <w:rsid w:val="00D908A9"/>
    <w:rsid w:val="00DA2D32"/>
    <w:rsid w:val="00DC0023"/>
    <w:rsid w:val="00DC0CC5"/>
    <w:rsid w:val="00DD0733"/>
    <w:rsid w:val="00DD4695"/>
    <w:rsid w:val="00DD5704"/>
    <w:rsid w:val="00DE65A5"/>
    <w:rsid w:val="00DE71AB"/>
    <w:rsid w:val="00DF1BB3"/>
    <w:rsid w:val="00E07BB4"/>
    <w:rsid w:val="00E22909"/>
    <w:rsid w:val="00E4639C"/>
    <w:rsid w:val="00E51801"/>
    <w:rsid w:val="00E52D0A"/>
    <w:rsid w:val="00E53522"/>
    <w:rsid w:val="00E86F37"/>
    <w:rsid w:val="00E910E7"/>
    <w:rsid w:val="00E92C99"/>
    <w:rsid w:val="00EA0B72"/>
    <w:rsid w:val="00EA1E9A"/>
    <w:rsid w:val="00EB050F"/>
    <w:rsid w:val="00EB72DE"/>
    <w:rsid w:val="00EC0C2D"/>
    <w:rsid w:val="00ED3B30"/>
    <w:rsid w:val="00ED782D"/>
    <w:rsid w:val="00EE2AA6"/>
    <w:rsid w:val="00F012C4"/>
    <w:rsid w:val="00F13062"/>
    <w:rsid w:val="00F20132"/>
    <w:rsid w:val="00F24423"/>
    <w:rsid w:val="00F60FA6"/>
    <w:rsid w:val="00F6102B"/>
    <w:rsid w:val="00F61AFC"/>
    <w:rsid w:val="00F66382"/>
    <w:rsid w:val="00F74765"/>
    <w:rsid w:val="00F779B2"/>
    <w:rsid w:val="00F81AD5"/>
    <w:rsid w:val="00F82DB8"/>
    <w:rsid w:val="00F92115"/>
    <w:rsid w:val="00FB0124"/>
    <w:rsid w:val="00FB2D55"/>
    <w:rsid w:val="00FB3ED1"/>
    <w:rsid w:val="00FC5E0E"/>
    <w:rsid w:val="00FD16EA"/>
    <w:rsid w:val="00FD3240"/>
    <w:rsid w:val="00FD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998B61"/>
  <w15:chartTrackingRefBased/>
  <w15:docId w15:val="{F1DCC4E7-72D5-4721-A32C-E89EF1A3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5C3"/>
    <w:rPr>
      <w:sz w:val="16"/>
      <w:szCs w:val="16"/>
    </w:rPr>
  </w:style>
  <w:style w:type="paragraph" w:styleId="CommentSubject">
    <w:name w:val="annotation subject"/>
    <w:basedOn w:val="CommentText"/>
    <w:next w:val="CommentText"/>
    <w:link w:val="CommentSubjectChar"/>
    <w:rsid w:val="008645C3"/>
    <w:rPr>
      <w:b/>
      <w:bCs/>
      <w:sz w:val="20"/>
    </w:rPr>
  </w:style>
  <w:style w:type="character" w:customStyle="1" w:styleId="CommentTextChar">
    <w:name w:val="Comment Text Char"/>
    <w:link w:val="CommentText"/>
    <w:semiHidden/>
    <w:rsid w:val="008645C3"/>
    <w:rPr>
      <w:rFonts w:ascii="Arial" w:hAnsi="Arial"/>
      <w:sz w:val="22"/>
    </w:rPr>
  </w:style>
  <w:style w:type="character" w:customStyle="1" w:styleId="CommentSubjectChar">
    <w:name w:val="Comment Subject Char"/>
    <w:link w:val="CommentSubject"/>
    <w:rsid w:val="008645C3"/>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statistics/family-court-statistics-quarterly-january-to-march-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4BA9-56C6-4C82-AA88-D174F7BB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FOI 170918003 Female Genital Mutilation Prosecutions</vt:lpstr>
    </vt:vector>
  </TitlesOfParts>
  <Manager/>
  <Company>Ministry of Justice</Company>
  <LinksUpToDate>false</LinksUpToDate>
  <CharactersWithSpaces>6061</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5570588</vt:i4>
      </vt:variant>
      <vt:variant>
        <vt:i4>3</vt:i4>
      </vt:variant>
      <vt:variant>
        <vt:i4>0</vt:i4>
      </vt:variant>
      <vt:variant>
        <vt:i4>5</vt:i4>
      </vt:variant>
      <vt:variant>
        <vt:lpwstr>https://www.gov.uk/government/statistics/family-court-statistics-quarterly-january-to-march-2017</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170918003 Female Genital Mutilation Prosecutions</dc:title>
  <dc:subject>FOI Release</dc:subject>
  <dc:creator>MoJ</dc:creator>
  <cp:keywords/>
  <dc:description/>
  <cp:lastModifiedBy>Cox, Allan</cp:lastModifiedBy>
  <cp:revision>2</cp:revision>
  <cp:lastPrinted>2015-07-06T10:35:00Z</cp:lastPrinted>
  <dcterms:created xsi:type="dcterms:W3CDTF">2018-03-27T11:18:00Z</dcterms:created>
  <dcterms:modified xsi:type="dcterms:W3CDTF">2018-03-27T11:18:00Z</dcterms:modified>
  <cp:category/>
</cp:coreProperties>
</file>