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7475BA9" w14:textId="77777777" w:rsidR="00810AB4" w:rsidRPr="00CB0983" w:rsidRDefault="007F1B4E" w:rsidP="00B974BE">
      <w:pPr>
        <w:jc w:val="left"/>
        <w:rPr>
          <w:bCs/>
          <w:color w:val="FF0000"/>
        </w:rPr>
      </w:pPr>
      <w:r w:rsidRPr="00CB0983">
        <w:rPr>
          <w:bCs/>
          <w:noProof/>
          <w:color w:val="FF0000"/>
        </w:rPr>
        <mc:AlternateContent>
          <mc:Choice Requires="wps">
            <w:drawing>
              <wp:inline distT="0" distB="0" distL="0" distR="0" wp14:anchorId="3DC12609" wp14:editId="35DD0887">
                <wp:extent cx="5720715" cy="1501140"/>
                <wp:effectExtent l="9525" t="6350" r="13335" b="6985"/>
                <wp:docPr id="3"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1501140"/>
                        </a:xfrm>
                        <a:prstGeom prst="rect">
                          <a:avLst/>
                        </a:prstGeom>
                        <a:solidFill>
                          <a:srgbClr val="FFFFFF"/>
                        </a:solidFill>
                        <a:ln w="12700">
                          <a:solidFill>
                            <a:srgbClr val="000000"/>
                          </a:solidFill>
                          <a:miter lim="800000"/>
                          <a:headEnd/>
                          <a:tailEnd/>
                        </a:ln>
                      </wps:spPr>
                      <wps:txbx>
                        <w:txbxContent>
                          <w:p w14:paraId="4D64D2F2" w14:textId="40CF611A" w:rsidR="00423261" w:rsidRPr="00690C9D" w:rsidRDefault="00423261" w:rsidP="00B326E5">
                            <w:pPr>
                              <w:pStyle w:val="NormalWeb"/>
                              <w:rPr>
                                <w:rFonts w:ascii="Calibri" w:hAnsi="Calibri"/>
                                <w:b/>
                                <w:bCs/>
                                <w:color w:val="000000"/>
                                <w:sz w:val="40"/>
                                <w:szCs w:val="28"/>
                              </w:rPr>
                            </w:pPr>
                            <w:r>
                              <w:rPr>
                                <w:b/>
                                <w:bCs/>
                                <w:color w:val="000000"/>
                                <w:sz w:val="40"/>
                                <w:szCs w:val="28"/>
                              </w:rPr>
                              <w:t>Fostering in England, 2016–17</w:t>
                            </w:r>
                          </w:p>
                          <w:p w14:paraId="2FFD5B77" w14:textId="77777777" w:rsidR="00423261" w:rsidRPr="00D04363" w:rsidRDefault="00423261" w:rsidP="00771A3A">
                            <w:pPr>
                              <w:pStyle w:val="NormalWeb"/>
                              <w:jc w:val="left"/>
                              <w:rPr>
                                <w:sz w:val="4"/>
                                <w:szCs w:val="4"/>
                              </w:rPr>
                            </w:pPr>
                          </w:p>
                          <w:p w14:paraId="25AABDFF" w14:textId="77777777" w:rsidR="00423261" w:rsidRPr="004520FF" w:rsidRDefault="00423261" w:rsidP="00771A3A">
                            <w:pPr>
                              <w:jc w:val="left"/>
                              <w:rPr>
                                <w:rFonts w:ascii="Times New Roman" w:hAnsi="Times New Roman"/>
                                <w:sz w:val="22"/>
                                <w:szCs w:val="22"/>
                              </w:rPr>
                            </w:pPr>
                            <w:r w:rsidRPr="004520FF">
                              <w:rPr>
                                <w:color w:val="000000"/>
                                <w:sz w:val="22"/>
                                <w:szCs w:val="22"/>
                              </w:rPr>
                              <w:t>This release covers:</w:t>
                            </w:r>
                          </w:p>
                          <w:p w14:paraId="2247AA58" w14:textId="77777777" w:rsidR="00423261" w:rsidRPr="004520FF" w:rsidRDefault="00423261" w:rsidP="00FA3ABF">
                            <w:pPr>
                              <w:numPr>
                                <w:ilvl w:val="0"/>
                                <w:numId w:val="3"/>
                              </w:numPr>
                              <w:ind w:left="709" w:hanging="283"/>
                              <w:contextualSpacing/>
                              <w:jc w:val="left"/>
                              <w:rPr>
                                <w:rFonts w:cs="Tahoma"/>
                                <w:sz w:val="22"/>
                                <w:szCs w:val="22"/>
                              </w:rPr>
                            </w:pPr>
                            <w:r w:rsidRPr="004520FF">
                              <w:rPr>
                                <w:rFonts w:eastAsia="Tahoma"/>
                                <w:color w:val="000000"/>
                                <w:sz w:val="22"/>
                                <w:szCs w:val="22"/>
                              </w:rPr>
                              <w:t xml:space="preserve">The numbers and profile of foster carers and foster places and placements, in both local </w:t>
                            </w:r>
                            <w:r w:rsidRPr="004520FF">
                              <w:rPr>
                                <w:rFonts w:eastAsia="Tahoma" w:cs="Tahoma"/>
                                <w:color w:val="000000"/>
                                <w:sz w:val="22"/>
                                <w:szCs w:val="22"/>
                              </w:rPr>
                              <w:t>authority (LA) and independent fostering agencies (IFA)</w:t>
                            </w:r>
                          </w:p>
                          <w:p w14:paraId="325EA91E" w14:textId="6A40A6C4" w:rsidR="00423261" w:rsidRPr="004520FF" w:rsidRDefault="00423261" w:rsidP="00FA3ABF">
                            <w:pPr>
                              <w:numPr>
                                <w:ilvl w:val="0"/>
                                <w:numId w:val="3"/>
                              </w:numPr>
                              <w:ind w:left="709" w:hanging="283"/>
                              <w:contextualSpacing/>
                              <w:jc w:val="left"/>
                              <w:rPr>
                                <w:rFonts w:cs="Tahoma"/>
                                <w:sz w:val="22"/>
                                <w:szCs w:val="22"/>
                              </w:rPr>
                            </w:pPr>
                            <w:r w:rsidRPr="004520FF">
                              <w:rPr>
                                <w:rFonts w:cs="Tahoma"/>
                                <w:sz w:val="22"/>
                                <w:szCs w:val="22"/>
                              </w:rPr>
                              <w:t>Data relating to types of foster care, registrations, de-registrations</w:t>
                            </w:r>
                            <w:r>
                              <w:rPr>
                                <w:rFonts w:cs="Tahoma"/>
                                <w:sz w:val="22"/>
                                <w:szCs w:val="22"/>
                              </w:rPr>
                              <w:t xml:space="preserve">, to fostered children, </w:t>
                            </w:r>
                            <w:r w:rsidRPr="004520FF">
                              <w:rPr>
                                <w:rFonts w:cs="Tahoma"/>
                                <w:sz w:val="22"/>
                                <w:szCs w:val="22"/>
                              </w:rPr>
                              <w:t>and a range of other subjects</w:t>
                            </w:r>
                            <w:r w:rsidRPr="004520FF">
                              <w:rPr>
                                <w:rFonts w:eastAsia="Tahoma" w:cs="Tahoma"/>
                                <w:color w:val="000000"/>
                                <w:sz w:val="22"/>
                                <w:szCs w:val="22"/>
                              </w:rPr>
                              <w:t xml:space="preserve"> </w:t>
                            </w:r>
                          </w:p>
                          <w:p w14:paraId="748AB1BF" w14:textId="5966EB16" w:rsidR="00423261" w:rsidRPr="004520FF" w:rsidRDefault="00423261" w:rsidP="00FA3ABF">
                            <w:pPr>
                              <w:numPr>
                                <w:ilvl w:val="0"/>
                                <w:numId w:val="3"/>
                              </w:numPr>
                              <w:ind w:left="709" w:hanging="283"/>
                              <w:contextualSpacing/>
                              <w:jc w:val="left"/>
                              <w:rPr>
                                <w:rFonts w:cs="Tahoma"/>
                                <w:sz w:val="22"/>
                                <w:szCs w:val="22"/>
                              </w:rPr>
                            </w:pPr>
                            <w:r w:rsidRPr="004520FF">
                              <w:rPr>
                                <w:rFonts w:cs="Tahoma"/>
                                <w:sz w:val="22"/>
                                <w:szCs w:val="22"/>
                              </w:rPr>
                              <w:t>T</w:t>
                            </w:r>
                            <w:r w:rsidRPr="004520FF">
                              <w:rPr>
                                <w:rFonts w:eastAsia="Tahoma" w:cs="Tahoma"/>
                                <w:color w:val="000000"/>
                                <w:sz w:val="22"/>
                                <w:szCs w:val="22"/>
                              </w:rPr>
                              <w:t>he period between 1 April 201</w:t>
                            </w:r>
                            <w:r>
                              <w:rPr>
                                <w:rFonts w:eastAsia="Tahoma" w:cs="Tahoma"/>
                                <w:color w:val="000000"/>
                                <w:sz w:val="22"/>
                                <w:szCs w:val="22"/>
                              </w:rPr>
                              <w:t>6</w:t>
                            </w:r>
                            <w:r w:rsidRPr="004520FF">
                              <w:rPr>
                                <w:rFonts w:eastAsia="Tahoma" w:cs="Tahoma"/>
                                <w:color w:val="000000"/>
                                <w:sz w:val="22"/>
                                <w:szCs w:val="22"/>
                              </w:rPr>
                              <w:t xml:space="preserve"> and 31 March 201</w:t>
                            </w:r>
                            <w:r>
                              <w:rPr>
                                <w:rFonts w:eastAsia="Tahoma" w:cs="Tahoma"/>
                                <w:color w:val="000000"/>
                                <w:sz w:val="22"/>
                                <w:szCs w:val="22"/>
                              </w:rPr>
                              <w:t>7</w:t>
                            </w:r>
                          </w:p>
                        </w:txbxContent>
                      </wps:txbx>
                      <wps:bodyPr rot="0" vert="horz" wrap="square" lIns="91440" tIns="45720" rIns="91440" bIns="45720" anchor="t" anchorCtr="0" upright="1">
                        <a:noAutofit/>
                      </wps:bodyPr>
                    </wps:wsp>
                  </a:graphicData>
                </a:graphic>
              </wp:inline>
            </w:drawing>
          </mc:Choice>
          <mc:Fallback>
            <w:pict>
              <v:shapetype w14:anchorId="3DC12609" id="_x0000_t202" coordsize="21600,21600" o:spt="202" path="m,l,21600r21600,l21600,xe">
                <v:stroke joinstyle="miter"/>
                <v:path gradientshapeok="t" o:connecttype="rect"/>
              </v:shapetype>
              <v:shape id="TextBox 1" o:spid="_x0000_s1026" type="#_x0000_t202" style="width:450.45pt;height:11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" strokeweight="1pt">
                <v:textbox>
                  <w:txbxContent>
                    <w:p w14:paraId="4D64D2F2" w14:textId="40CF611A" w:rsidR="00423261" w:rsidRPr="00690C9D" w:rsidRDefault="00423261" w:rsidP="00B326E5">
                      <w:pPr>
                        <w:pStyle w:val="NormalWeb"/>
                        <w:rPr>
                          <w:rFonts w:ascii="Calibri" w:hAnsi="Calibri"/>
                          <w:b/>
                          <w:bCs/>
                          <w:color w:val="000000"/>
                          <w:sz w:val="40"/>
                          <w:szCs w:val="28"/>
                        </w:rPr>
                      </w:pPr>
                      <w:r>
                        <w:rPr>
                          <w:b/>
                          <w:bCs/>
                          <w:color w:val="000000"/>
                          <w:sz w:val="40"/>
                          <w:szCs w:val="28"/>
                        </w:rPr>
                        <w:t>Fostering in England, 2016–17</w:t>
                      </w:r>
                    </w:p>
                    <w:p w14:paraId="2FFD5B77" w14:textId="77777777" w:rsidR="00423261" w:rsidRPr="00D04363" w:rsidRDefault="00423261" w:rsidP="00771A3A">
                      <w:pPr>
                        <w:pStyle w:val="NormalWeb"/>
                        <w:jc w:val="left"/>
                        <w:rPr>
                          <w:sz w:val="4"/>
                          <w:szCs w:val="4"/>
                        </w:rPr>
                      </w:pPr>
                    </w:p>
                    <w:p w14:paraId="25AABDFF" w14:textId="77777777" w:rsidR="00423261" w:rsidRPr="004520FF" w:rsidRDefault="00423261" w:rsidP="00771A3A">
                      <w:pPr>
                        <w:jc w:val="left"/>
                        <w:rPr>
                          <w:rFonts w:ascii="Times New Roman" w:hAnsi="Times New Roman"/>
                          <w:sz w:val="22"/>
                          <w:szCs w:val="22"/>
                        </w:rPr>
                      </w:pPr>
                      <w:r w:rsidRPr="004520FF">
                        <w:rPr>
                          <w:color w:val="000000"/>
                          <w:sz w:val="22"/>
                          <w:szCs w:val="22"/>
                        </w:rPr>
                        <w:t>This release covers:</w:t>
                      </w:r>
                    </w:p>
                    <w:p w14:paraId="2247AA58" w14:textId="77777777" w:rsidR="00423261" w:rsidRPr="004520FF" w:rsidRDefault="00423261" w:rsidP="00FA3ABF">
                      <w:pPr>
                        <w:numPr>
                          <w:ilvl w:val="0"/>
                          <w:numId w:val="3"/>
                        </w:numPr>
                        <w:ind w:left="709" w:hanging="283"/>
                        <w:contextualSpacing/>
                        <w:jc w:val="left"/>
                        <w:rPr>
                          <w:rFonts w:cs="Tahoma"/>
                          <w:sz w:val="22"/>
                          <w:szCs w:val="22"/>
                        </w:rPr>
                      </w:pPr>
                      <w:r w:rsidRPr="004520FF">
                        <w:rPr>
                          <w:rFonts w:eastAsia="Tahoma"/>
                          <w:color w:val="000000"/>
                          <w:sz w:val="22"/>
                          <w:szCs w:val="22"/>
                        </w:rPr>
                        <w:t xml:space="preserve">The numbers and profile of foster carers and foster places and placements, in both local </w:t>
                      </w:r>
                      <w:r w:rsidRPr="004520FF">
                        <w:rPr>
                          <w:rFonts w:eastAsia="Tahoma" w:cs="Tahoma"/>
                          <w:color w:val="000000"/>
                          <w:sz w:val="22"/>
                          <w:szCs w:val="22"/>
                        </w:rPr>
                        <w:t>authority (LA) and independent fostering agencies (IFA)</w:t>
                      </w:r>
                    </w:p>
                    <w:p w14:paraId="325EA91E" w14:textId="6A40A6C4" w:rsidR="00423261" w:rsidRPr="004520FF" w:rsidRDefault="00423261" w:rsidP="00FA3ABF">
                      <w:pPr>
                        <w:numPr>
                          <w:ilvl w:val="0"/>
                          <w:numId w:val="3"/>
                        </w:numPr>
                        <w:ind w:left="709" w:hanging="283"/>
                        <w:contextualSpacing/>
                        <w:jc w:val="left"/>
                        <w:rPr>
                          <w:rFonts w:cs="Tahoma"/>
                          <w:sz w:val="22"/>
                          <w:szCs w:val="22"/>
                        </w:rPr>
                      </w:pPr>
                      <w:r w:rsidRPr="004520FF">
                        <w:rPr>
                          <w:rFonts w:cs="Tahoma"/>
                          <w:sz w:val="22"/>
                          <w:szCs w:val="22"/>
                        </w:rPr>
                        <w:t>Data relating to types of foster care, registrations, de-registrations</w:t>
                      </w:r>
                      <w:r>
                        <w:rPr>
                          <w:rFonts w:cs="Tahoma"/>
                          <w:sz w:val="22"/>
                          <w:szCs w:val="22"/>
                        </w:rPr>
                        <w:t xml:space="preserve">, to fostered children, </w:t>
                      </w:r>
                      <w:r w:rsidRPr="004520FF">
                        <w:rPr>
                          <w:rFonts w:cs="Tahoma"/>
                          <w:sz w:val="22"/>
                          <w:szCs w:val="22"/>
                        </w:rPr>
                        <w:t>and a range of other subjects</w:t>
                      </w:r>
                      <w:r w:rsidRPr="004520FF">
                        <w:rPr>
                          <w:rFonts w:eastAsia="Tahoma" w:cs="Tahoma"/>
                          <w:color w:val="000000"/>
                          <w:sz w:val="22"/>
                          <w:szCs w:val="22"/>
                        </w:rPr>
                        <w:t xml:space="preserve"> </w:t>
                      </w:r>
                    </w:p>
                    <w:p w14:paraId="748AB1BF" w14:textId="5966EB16" w:rsidR="00423261" w:rsidRPr="004520FF" w:rsidRDefault="00423261" w:rsidP="00FA3ABF">
                      <w:pPr>
                        <w:numPr>
                          <w:ilvl w:val="0"/>
                          <w:numId w:val="3"/>
                        </w:numPr>
                        <w:ind w:left="709" w:hanging="283"/>
                        <w:contextualSpacing/>
                        <w:jc w:val="left"/>
                        <w:rPr>
                          <w:rFonts w:cs="Tahoma"/>
                          <w:sz w:val="22"/>
                          <w:szCs w:val="22"/>
                        </w:rPr>
                      </w:pPr>
                      <w:r w:rsidRPr="004520FF">
                        <w:rPr>
                          <w:rFonts w:cs="Tahoma"/>
                          <w:sz w:val="22"/>
                          <w:szCs w:val="22"/>
                        </w:rPr>
                        <w:t>T</w:t>
                      </w:r>
                      <w:r w:rsidRPr="004520FF">
                        <w:rPr>
                          <w:rFonts w:eastAsia="Tahoma" w:cs="Tahoma"/>
                          <w:color w:val="000000"/>
                          <w:sz w:val="22"/>
                          <w:szCs w:val="22"/>
                        </w:rPr>
                        <w:t>he period between 1 April 201</w:t>
                      </w:r>
                      <w:r>
                        <w:rPr>
                          <w:rFonts w:eastAsia="Tahoma" w:cs="Tahoma"/>
                          <w:color w:val="000000"/>
                          <w:sz w:val="22"/>
                          <w:szCs w:val="22"/>
                        </w:rPr>
                        <w:t>6</w:t>
                      </w:r>
                      <w:r w:rsidRPr="004520FF">
                        <w:rPr>
                          <w:rFonts w:eastAsia="Tahoma" w:cs="Tahoma"/>
                          <w:color w:val="000000"/>
                          <w:sz w:val="22"/>
                          <w:szCs w:val="22"/>
                        </w:rPr>
                        <w:t xml:space="preserve"> and 31 March 201</w:t>
                      </w:r>
                      <w:r>
                        <w:rPr>
                          <w:rFonts w:eastAsia="Tahoma" w:cs="Tahoma"/>
                          <w:color w:val="000000"/>
                          <w:sz w:val="22"/>
                          <w:szCs w:val="22"/>
                        </w:rPr>
                        <w:t>7</w:t>
                      </w:r>
                    </w:p>
                  </w:txbxContent>
                </v:textbox>
                <w10:anchorlock/>
              </v:shape>
            </w:pict>
          </mc:Fallback>
        </mc:AlternateContent>
      </w:r>
    </w:p>
    <w:p w14:paraId="7794326A" w14:textId="77777777" w:rsidR="006A4F7A" w:rsidRPr="00CB0983" w:rsidRDefault="006A4F7A" w:rsidP="00B974BE">
      <w:pPr>
        <w:jc w:val="left"/>
        <w:rPr>
          <w:bCs/>
          <w:color w:val="FF0000"/>
        </w:rPr>
      </w:pPr>
    </w:p>
    <w:p w14:paraId="0B5F0C6A" w14:textId="55AEE0CB" w:rsidR="006A4F7A" w:rsidRPr="00D8496E" w:rsidRDefault="00D8496E" w:rsidP="00B974BE">
      <w:pPr>
        <w:jc w:val="left"/>
        <w:rPr>
          <w:b/>
          <w:sz w:val="28"/>
          <w:szCs w:val="28"/>
        </w:rPr>
      </w:pPr>
      <w:r w:rsidRPr="00D8496E">
        <w:rPr>
          <w:b/>
          <w:sz w:val="28"/>
          <w:szCs w:val="28"/>
        </w:rPr>
        <w:t>Main</w:t>
      </w:r>
      <w:r w:rsidR="00775D55" w:rsidRPr="00D8496E">
        <w:rPr>
          <w:b/>
          <w:sz w:val="28"/>
          <w:szCs w:val="28"/>
        </w:rPr>
        <w:t xml:space="preserve"> </w:t>
      </w:r>
      <w:r w:rsidR="00C91695">
        <w:rPr>
          <w:b/>
          <w:sz w:val="28"/>
          <w:szCs w:val="28"/>
        </w:rPr>
        <w:t>p</w:t>
      </w:r>
      <w:r w:rsidR="00775D55" w:rsidRPr="00D8496E">
        <w:rPr>
          <w:b/>
          <w:sz w:val="28"/>
          <w:szCs w:val="28"/>
        </w:rPr>
        <w:t>oints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62"/>
      </w:tblGrid>
      <w:tr w:rsidR="00A53A40" w:rsidRPr="00CB0983" w14:paraId="0E1694DA" w14:textId="77777777" w:rsidTr="00690FB5">
        <w:trPr>
          <w:trHeight w:val="1010"/>
        </w:trPr>
        <w:tc>
          <w:tcPr>
            <w:tcW w:w="2660" w:type="dxa"/>
            <w:tcBorders>
              <w:top w:val="single" w:sz="12" w:space="0" w:color="A6A6A6"/>
              <w:left w:val="single" w:sz="12" w:space="0" w:color="FFFFFF"/>
              <w:bottom w:val="single" w:sz="12" w:space="0" w:color="A6A6A6"/>
              <w:right w:val="single" w:sz="12" w:space="0" w:color="FFFFFF"/>
            </w:tcBorders>
            <w:shd w:val="clear" w:color="auto" w:fill="auto"/>
            <w:vAlign w:val="center"/>
          </w:tcPr>
          <w:p w14:paraId="7D2D3D9C" w14:textId="4F27D76F" w:rsidR="00A53A40" w:rsidRPr="002A4DA4" w:rsidRDefault="007F0C23" w:rsidP="00E725CC">
            <w:pPr>
              <w:spacing w:before="120" w:after="120"/>
              <w:jc w:val="left"/>
              <w:rPr>
                <w:rFonts w:cs="Tahoma"/>
              </w:rPr>
            </w:pPr>
            <w:r>
              <w:t xml:space="preserve">There were fewer </w:t>
            </w:r>
            <w:r w:rsidR="00E725CC">
              <w:t>actual</w:t>
            </w:r>
            <w:r w:rsidR="003504BC">
              <w:t xml:space="preserve"> </w:t>
            </w:r>
            <w:r>
              <w:t>places for children</w:t>
            </w:r>
            <w:r w:rsidR="00572B48">
              <w:t xml:space="preserve"> because there were more</w:t>
            </w:r>
            <w:r>
              <w:t xml:space="preserve"> places </w:t>
            </w:r>
            <w:r w:rsidR="00A53A40">
              <w:t xml:space="preserve">that were </w:t>
            </w:r>
            <w:r w:rsidR="00E725CC">
              <w:t>‘</w:t>
            </w:r>
            <w:r w:rsidR="00A53A40">
              <w:t>not available</w:t>
            </w:r>
            <w:r w:rsidR="00E725CC">
              <w:t>’</w:t>
            </w:r>
            <w:r w:rsidR="00A53A40">
              <w:t>.</w:t>
            </w:r>
          </w:p>
        </w:tc>
        <w:tc>
          <w:tcPr>
            <w:tcW w:w="6662" w:type="dxa"/>
            <w:tcBorders>
              <w:top w:val="single" w:sz="12" w:space="0" w:color="A6A6A6"/>
              <w:left w:val="single" w:sz="12" w:space="0" w:color="FFFFFF"/>
              <w:bottom w:val="single" w:sz="12" w:space="0" w:color="A6A6A6"/>
              <w:right w:val="single" w:sz="12" w:space="0" w:color="FFFFFF"/>
            </w:tcBorders>
            <w:shd w:val="clear" w:color="auto" w:fill="auto"/>
            <w:vAlign w:val="center"/>
          </w:tcPr>
          <w:p w14:paraId="4BA18275" w14:textId="4904DE3E" w:rsidR="00A53A40" w:rsidRPr="002A4DA4" w:rsidRDefault="00A53A40" w:rsidP="00A53A40">
            <w:pPr>
              <w:spacing w:before="120" w:after="120"/>
              <w:jc w:val="left"/>
              <w:rPr>
                <w:rFonts w:eastAsiaTheme="minorHAnsi" w:cs="Tahoma"/>
                <w:szCs w:val="22"/>
                <w:lang w:eastAsia="en-US"/>
              </w:rPr>
            </w:pPr>
            <w:r>
              <w:t xml:space="preserve">As at 31 March 2017, there were 83,930 approved fostering places, representing a 1% increase on the previous year (83,175). The proportion that were filled increased from 61% to 62% but the proportion that were </w:t>
            </w:r>
            <w:r w:rsidR="00E725CC">
              <w:t>‘</w:t>
            </w:r>
            <w:r>
              <w:t>not available</w:t>
            </w:r>
            <w:r w:rsidR="00E725CC">
              <w:t>’</w:t>
            </w:r>
            <w:r>
              <w:t xml:space="preserve"> also increased, from 16% (13,000) to 18% (15,520).</w:t>
            </w:r>
          </w:p>
        </w:tc>
      </w:tr>
      <w:tr w:rsidR="00A53A40" w:rsidRPr="00CB0983" w14:paraId="340DD43C" w14:textId="77777777" w:rsidTr="00690FB5">
        <w:trPr>
          <w:trHeight w:val="1010"/>
        </w:trPr>
        <w:tc>
          <w:tcPr>
            <w:tcW w:w="2660" w:type="dxa"/>
            <w:tcBorders>
              <w:top w:val="single" w:sz="12" w:space="0" w:color="A6A6A6"/>
              <w:left w:val="single" w:sz="12" w:space="0" w:color="FFFFFF"/>
              <w:bottom w:val="single" w:sz="12" w:space="0" w:color="A6A6A6"/>
              <w:right w:val="single" w:sz="12" w:space="0" w:color="FFFFFF"/>
            </w:tcBorders>
            <w:shd w:val="clear" w:color="auto" w:fill="auto"/>
            <w:vAlign w:val="center"/>
          </w:tcPr>
          <w:p w14:paraId="586BF461" w14:textId="2176CD62" w:rsidR="00A53A40" w:rsidRPr="00BB73C7" w:rsidRDefault="00A53A40" w:rsidP="00191F32">
            <w:pPr>
              <w:spacing w:before="120" w:after="120"/>
              <w:jc w:val="left"/>
              <w:rPr>
                <w:rFonts w:cs="Tahoma"/>
                <w:color w:val="000000" w:themeColor="text1"/>
              </w:rPr>
            </w:pPr>
            <w:r w:rsidRPr="00BB73C7">
              <w:rPr>
                <w:rFonts w:cs="Tahoma"/>
                <w:color w:val="000000" w:themeColor="text1"/>
              </w:rPr>
              <w:t>The number of approved fostering households continued to decrease s</w:t>
            </w:r>
            <w:r w:rsidR="00191F32" w:rsidRPr="00BB73C7">
              <w:rPr>
                <w:rFonts w:cs="Tahoma"/>
                <w:color w:val="000000" w:themeColor="text1"/>
              </w:rPr>
              <w:t>teadily</w:t>
            </w:r>
            <w:r w:rsidRPr="00BB73C7">
              <w:rPr>
                <w:rFonts w:cs="Tahoma"/>
                <w:color w:val="000000" w:themeColor="text1"/>
              </w:rPr>
              <w:t>.</w:t>
            </w:r>
          </w:p>
        </w:tc>
        <w:tc>
          <w:tcPr>
            <w:tcW w:w="6662" w:type="dxa"/>
            <w:tcBorders>
              <w:top w:val="single" w:sz="12" w:space="0" w:color="A6A6A6"/>
              <w:left w:val="single" w:sz="12" w:space="0" w:color="FFFFFF"/>
              <w:bottom w:val="single" w:sz="12" w:space="0" w:color="A6A6A6"/>
              <w:right w:val="single" w:sz="12" w:space="0" w:color="FFFFFF"/>
            </w:tcBorders>
            <w:shd w:val="clear" w:color="auto" w:fill="auto"/>
            <w:vAlign w:val="center"/>
          </w:tcPr>
          <w:p w14:paraId="408B1E15" w14:textId="2E706812" w:rsidR="00A53A40" w:rsidRPr="00BB73C7" w:rsidRDefault="00A53A40" w:rsidP="00A53A40">
            <w:pPr>
              <w:spacing w:before="120" w:after="120"/>
              <w:jc w:val="left"/>
              <w:rPr>
                <w:rFonts w:eastAsiaTheme="minorHAnsi" w:cs="Tahoma"/>
                <w:color w:val="000000" w:themeColor="text1"/>
                <w:szCs w:val="22"/>
                <w:lang w:eastAsia="en-US"/>
              </w:rPr>
            </w:pPr>
            <w:r w:rsidRPr="00BB73C7">
              <w:rPr>
                <w:rFonts w:eastAsiaTheme="minorHAnsi" w:cs="Tahoma"/>
                <w:color w:val="000000" w:themeColor="text1"/>
                <w:szCs w:val="22"/>
                <w:lang w:eastAsia="en-US"/>
              </w:rPr>
              <w:t>There were 43,710 approved fostering households as at 31 March 2017, a 1% decrease from last year (44,320). The overall number has decreased by 2% since March 2014 (44,780).</w:t>
            </w:r>
          </w:p>
        </w:tc>
      </w:tr>
      <w:tr w:rsidR="00A53A40" w:rsidRPr="00CB0983" w14:paraId="2AE02CC3" w14:textId="77777777" w:rsidTr="0003716C">
        <w:trPr>
          <w:trHeight w:val="1010"/>
        </w:trPr>
        <w:tc>
          <w:tcPr>
            <w:tcW w:w="2660" w:type="dxa"/>
            <w:tcBorders>
              <w:top w:val="single" w:sz="12" w:space="0" w:color="A6A6A6"/>
              <w:left w:val="single" w:sz="12" w:space="0" w:color="FFFFFF"/>
              <w:bottom w:val="single" w:sz="12" w:space="0" w:color="A6A6A6"/>
              <w:right w:val="single" w:sz="12" w:space="0" w:color="FFFFFF"/>
            </w:tcBorders>
            <w:shd w:val="clear" w:color="auto" w:fill="auto"/>
            <w:vAlign w:val="center"/>
          </w:tcPr>
          <w:p w14:paraId="6D7E6EF2" w14:textId="7C8E6983" w:rsidR="00A53A40" w:rsidRPr="002A4DA4" w:rsidRDefault="00A53A40" w:rsidP="00A53A40">
            <w:pPr>
              <w:spacing w:before="120" w:after="120"/>
              <w:jc w:val="left"/>
              <w:rPr>
                <w:rFonts w:eastAsiaTheme="minorHAnsi" w:cs="Tahoma"/>
                <w:szCs w:val="22"/>
                <w:lang w:eastAsia="en-US"/>
              </w:rPr>
            </w:pPr>
            <w:r w:rsidRPr="002A4DA4">
              <w:rPr>
                <w:rFonts w:cs="Tahoma"/>
              </w:rPr>
              <w:t xml:space="preserve">The number of approved family and friends households continued to increase. </w:t>
            </w:r>
          </w:p>
        </w:tc>
        <w:tc>
          <w:tcPr>
            <w:tcW w:w="6662" w:type="dxa"/>
            <w:tcBorders>
              <w:top w:val="single" w:sz="12" w:space="0" w:color="A6A6A6"/>
              <w:left w:val="single" w:sz="12" w:space="0" w:color="FFFFFF"/>
              <w:bottom w:val="single" w:sz="12" w:space="0" w:color="A6A6A6"/>
              <w:right w:val="single" w:sz="12" w:space="0" w:color="FFFFFF"/>
            </w:tcBorders>
            <w:shd w:val="clear" w:color="auto" w:fill="auto"/>
            <w:vAlign w:val="center"/>
          </w:tcPr>
          <w:p w14:paraId="2673285D" w14:textId="1E118C0C" w:rsidR="00A53A40" w:rsidRPr="002A4DA4" w:rsidRDefault="00A53A40" w:rsidP="00A53A40">
            <w:pPr>
              <w:jc w:val="left"/>
              <w:rPr>
                <w:rFonts w:eastAsiaTheme="minorHAnsi" w:cs="Tahoma"/>
                <w:szCs w:val="22"/>
                <w:lang w:eastAsia="en-US"/>
              </w:rPr>
            </w:pPr>
            <w:r w:rsidRPr="002A4DA4">
              <w:rPr>
                <w:rFonts w:eastAsiaTheme="minorHAnsi" w:cs="Tahoma"/>
                <w:szCs w:val="22"/>
                <w:lang w:eastAsia="en-US"/>
              </w:rPr>
              <w:t>There was an 11% increase in the number of family and friends (including ‘connected person’) households from 5,985 on 31 March 2016 to 6,615 this year. This was the fourth consecutive year of increased numbers of this type of household.</w:t>
            </w:r>
          </w:p>
        </w:tc>
      </w:tr>
      <w:tr w:rsidR="002C79A9" w:rsidRPr="00CB0983" w14:paraId="083DB839" w14:textId="77777777" w:rsidTr="0003716C">
        <w:trPr>
          <w:trHeight w:val="1010"/>
        </w:trPr>
        <w:tc>
          <w:tcPr>
            <w:tcW w:w="2660" w:type="dxa"/>
            <w:tcBorders>
              <w:top w:val="single" w:sz="12" w:space="0" w:color="A6A6A6"/>
              <w:left w:val="single" w:sz="12" w:space="0" w:color="FFFFFF"/>
              <w:bottom w:val="single" w:sz="12" w:space="0" w:color="A6A6A6"/>
              <w:right w:val="single" w:sz="12" w:space="0" w:color="FFFFFF"/>
            </w:tcBorders>
            <w:shd w:val="clear" w:color="auto" w:fill="auto"/>
            <w:vAlign w:val="center"/>
          </w:tcPr>
          <w:p w14:paraId="28EFED5E" w14:textId="468092F8" w:rsidR="002C79A9" w:rsidRPr="00BB73C7" w:rsidDel="00A53A40" w:rsidRDefault="004B20BA" w:rsidP="00572B48">
            <w:pPr>
              <w:spacing w:before="120" w:after="120"/>
              <w:jc w:val="left"/>
              <w:rPr>
                <w:rFonts w:eastAsiaTheme="minorHAnsi" w:cs="Tahoma"/>
                <w:color w:val="000000" w:themeColor="text1"/>
                <w:szCs w:val="22"/>
                <w:lang w:eastAsia="en-US"/>
              </w:rPr>
            </w:pPr>
            <w:r w:rsidRPr="00BB73C7">
              <w:rPr>
                <w:rFonts w:eastAsiaTheme="minorHAnsi" w:cs="Tahoma"/>
                <w:color w:val="000000" w:themeColor="text1"/>
                <w:szCs w:val="22"/>
                <w:lang w:eastAsia="en-US"/>
              </w:rPr>
              <w:t xml:space="preserve">More </w:t>
            </w:r>
            <w:r w:rsidR="002C79A9" w:rsidRPr="00BB73C7">
              <w:rPr>
                <w:rFonts w:eastAsiaTheme="minorHAnsi" w:cs="Tahoma"/>
                <w:color w:val="000000" w:themeColor="text1"/>
                <w:szCs w:val="22"/>
                <w:lang w:eastAsia="en-US"/>
              </w:rPr>
              <w:t>applications</w:t>
            </w:r>
            <w:r w:rsidRPr="00BB73C7">
              <w:rPr>
                <w:rFonts w:eastAsiaTheme="minorHAnsi" w:cs="Tahoma"/>
                <w:color w:val="000000" w:themeColor="text1"/>
                <w:szCs w:val="22"/>
                <w:lang w:eastAsia="en-US"/>
              </w:rPr>
              <w:t xml:space="preserve"> were</w:t>
            </w:r>
            <w:r w:rsidR="002C79A9" w:rsidRPr="00BB73C7">
              <w:rPr>
                <w:rFonts w:eastAsiaTheme="minorHAnsi" w:cs="Tahoma"/>
                <w:color w:val="000000" w:themeColor="text1"/>
                <w:szCs w:val="22"/>
                <w:lang w:eastAsia="en-US"/>
              </w:rPr>
              <w:t xml:space="preserve"> considered </w:t>
            </w:r>
            <w:r w:rsidRPr="00BB73C7">
              <w:rPr>
                <w:rFonts w:eastAsiaTheme="minorHAnsi" w:cs="Tahoma"/>
                <w:color w:val="000000" w:themeColor="text1"/>
                <w:szCs w:val="22"/>
                <w:lang w:eastAsia="en-US"/>
              </w:rPr>
              <w:t>th</w:t>
            </w:r>
            <w:r w:rsidR="00572B48">
              <w:rPr>
                <w:rFonts w:eastAsiaTheme="minorHAnsi" w:cs="Tahoma"/>
                <w:color w:val="000000" w:themeColor="text1"/>
                <w:szCs w:val="22"/>
                <w:lang w:eastAsia="en-US"/>
              </w:rPr>
              <w:t>is</w:t>
            </w:r>
            <w:r w:rsidRPr="00BB73C7">
              <w:rPr>
                <w:rFonts w:eastAsiaTheme="minorHAnsi" w:cs="Tahoma"/>
                <w:color w:val="000000" w:themeColor="text1"/>
                <w:szCs w:val="22"/>
                <w:lang w:eastAsia="en-US"/>
              </w:rPr>
              <w:t xml:space="preserve"> year but conversion of completed applications to approvals decreased.</w:t>
            </w:r>
          </w:p>
        </w:tc>
        <w:tc>
          <w:tcPr>
            <w:tcW w:w="6662" w:type="dxa"/>
            <w:tcBorders>
              <w:top w:val="single" w:sz="12" w:space="0" w:color="A6A6A6"/>
              <w:left w:val="single" w:sz="12" w:space="0" w:color="FFFFFF"/>
              <w:bottom w:val="single" w:sz="12" w:space="0" w:color="A6A6A6"/>
              <w:right w:val="single" w:sz="12" w:space="0" w:color="FFFFFF"/>
            </w:tcBorders>
            <w:shd w:val="clear" w:color="auto" w:fill="auto"/>
            <w:vAlign w:val="center"/>
          </w:tcPr>
          <w:p w14:paraId="1771EA7F" w14:textId="4D92FF2C" w:rsidR="002C79A9" w:rsidRPr="00BB73C7" w:rsidDel="00A53A40" w:rsidRDefault="004B20BA" w:rsidP="00B87820">
            <w:pPr>
              <w:spacing w:before="120" w:after="120"/>
              <w:jc w:val="left"/>
              <w:rPr>
                <w:color w:val="000000" w:themeColor="text1"/>
              </w:rPr>
            </w:pPr>
            <w:r w:rsidRPr="00BB73C7">
              <w:rPr>
                <w:color w:val="000000" w:themeColor="text1"/>
              </w:rPr>
              <w:t xml:space="preserve">There was an increase of 9% in applications considered during 2016-17 compared </w:t>
            </w:r>
            <w:r w:rsidR="00B87820">
              <w:rPr>
                <w:color w:val="000000" w:themeColor="text1"/>
              </w:rPr>
              <w:t>with</w:t>
            </w:r>
            <w:r w:rsidR="00B87820" w:rsidRPr="00BB73C7">
              <w:rPr>
                <w:color w:val="000000" w:themeColor="text1"/>
              </w:rPr>
              <w:t xml:space="preserve"> </w:t>
            </w:r>
            <w:r w:rsidRPr="00BB73C7">
              <w:rPr>
                <w:color w:val="000000" w:themeColor="text1"/>
              </w:rPr>
              <w:t xml:space="preserve">last year, from 11,460 to 12,455, with a similar proportion completed. However, the conversion rate of completed applications to approvals decreased from 57% to 49%. </w:t>
            </w:r>
          </w:p>
        </w:tc>
      </w:tr>
      <w:tr w:rsidR="002C79A9" w:rsidRPr="00CB0983" w14:paraId="297ED8C6" w14:textId="77777777" w:rsidTr="0003716C">
        <w:trPr>
          <w:trHeight w:val="1010"/>
        </w:trPr>
        <w:tc>
          <w:tcPr>
            <w:tcW w:w="2660" w:type="dxa"/>
            <w:tcBorders>
              <w:top w:val="single" w:sz="12" w:space="0" w:color="A6A6A6"/>
              <w:left w:val="single" w:sz="12" w:space="0" w:color="FFFFFF"/>
              <w:bottom w:val="single" w:sz="12" w:space="0" w:color="A6A6A6"/>
              <w:right w:val="single" w:sz="12" w:space="0" w:color="FFFFFF"/>
            </w:tcBorders>
            <w:shd w:val="clear" w:color="auto" w:fill="auto"/>
            <w:vAlign w:val="center"/>
          </w:tcPr>
          <w:p w14:paraId="622805C7" w14:textId="1412451D" w:rsidR="002C79A9" w:rsidRPr="00DC1DB0" w:rsidDel="00A53A40" w:rsidRDefault="005E02B8" w:rsidP="005E0DDB">
            <w:pPr>
              <w:spacing w:before="120" w:after="120"/>
              <w:jc w:val="left"/>
              <w:rPr>
                <w:rFonts w:eastAsiaTheme="minorHAnsi" w:cs="Tahoma"/>
                <w:szCs w:val="22"/>
                <w:lang w:eastAsia="en-US"/>
              </w:rPr>
            </w:pPr>
            <w:r w:rsidRPr="00DC1DB0">
              <w:rPr>
                <w:rFonts w:eastAsiaTheme="minorHAnsi" w:cs="Tahoma"/>
                <w:szCs w:val="22"/>
                <w:lang w:eastAsia="en-US"/>
              </w:rPr>
              <w:t>A smaller</w:t>
            </w:r>
            <w:r w:rsidR="00C459AA" w:rsidRPr="00DC1DB0">
              <w:rPr>
                <w:rFonts w:eastAsiaTheme="minorHAnsi" w:cs="Tahoma"/>
                <w:szCs w:val="22"/>
                <w:lang w:eastAsia="en-US"/>
              </w:rPr>
              <w:t xml:space="preserve"> proportion of</w:t>
            </w:r>
            <w:r w:rsidR="005E0DDB" w:rsidRPr="00DC1DB0">
              <w:rPr>
                <w:rFonts w:eastAsiaTheme="minorHAnsi" w:cs="Tahoma"/>
                <w:szCs w:val="22"/>
                <w:lang w:eastAsia="en-US"/>
              </w:rPr>
              <w:t xml:space="preserve"> </w:t>
            </w:r>
            <w:r w:rsidR="004B20BA" w:rsidRPr="00DC1DB0">
              <w:rPr>
                <w:rFonts w:eastAsiaTheme="minorHAnsi" w:cs="Tahoma"/>
                <w:szCs w:val="22"/>
                <w:lang w:eastAsia="en-US"/>
              </w:rPr>
              <w:t xml:space="preserve">foster carers </w:t>
            </w:r>
            <w:r w:rsidR="00B8291E" w:rsidRPr="00DC1DB0">
              <w:rPr>
                <w:rFonts w:eastAsiaTheme="minorHAnsi" w:cs="Tahoma"/>
                <w:szCs w:val="22"/>
                <w:lang w:eastAsia="en-US"/>
              </w:rPr>
              <w:t xml:space="preserve">than of fostered children </w:t>
            </w:r>
            <w:r w:rsidRPr="00DC1DB0">
              <w:rPr>
                <w:rFonts w:eastAsiaTheme="minorHAnsi" w:cs="Tahoma"/>
                <w:szCs w:val="22"/>
                <w:lang w:eastAsia="en-US"/>
              </w:rPr>
              <w:t xml:space="preserve">were </w:t>
            </w:r>
            <w:r w:rsidR="004B20BA" w:rsidRPr="00DC1DB0">
              <w:rPr>
                <w:rFonts w:eastAsiaTheme="minorHAnsi" w:cs="Tahoma"/>
                <w:szCs w:val="22"/>
                <w:lang w:eastAsia="en-US"/>
              </w:rPr>
              <w:t xml:space="preserve">from minority ethnic </w:t>
            </w:r>
            <w:r w:rsidRPr="00DC1DB0">
              <w:rPr>
                <w:rFonts w:eastAsiaTheme="minorHAnsi" w:cs="Tahoma"/>
                <w:szCs w:val="22"/>
                <w:lang w:eastAsia="en-US"/>
              </w:rPr>
              <w:t>group</w:t>
            </w:r>
            <w:r w:rsidR="004B20BA" w:rsidRPr="00DC1DB0">
              <w:rPr>
                <w:rFonts w:eastAsiaTheme="minorHAnsi" w:cs="Tahoma"/>
                <w:szCs w:val="22"/>
                <w:lang w:eastAsia="en-US"/>
              </w:rPr>
              <w:t>s</w:t>
            </w:r>
            <w:r w:rsidRPr="00DC1DB0">
              <w:rPr>
                <w:rFonts w:eastAsiaTheme="minorHAnsi" w:cs="Tahoma"/>
                <w:szCs w:val="22"/>
                <w:lang w:eastAsia="en-US"/>
              </w:rPr>
              <w:t>.</w:t>
            </w:r>
          </w:p>
        </w:tc>
        <w:tc>
          <w:tcPr>
            <w:tcW w:w="6662" w:type="dxa"/>
            <w:tcBorders>
              <w:top w:val="single" w:sz="12" w:space="0" w:color="A6A6A6"/>
              <w:left w:val="single" w:sz="12" w:space="0" w:color="FFFFFF"/>
              <w:bottom w:val="single" w:sz="12" w:space="0" w:color="A6A6A6"/>
              <w:right w:val="single" w:sz="12" w:space="0" w:color="FFFFFF"/>
            </w:tcBorders>
            <w:shd w:val="clear" w:color="auto" w:fill="auto"/>
            <w:vAlign w:val="center"/>
          </w:tcPr>
          <w:p w14:paraId="34728C58" w14:textId="21C438A4" w:rsidR="002C79A9" w:rsidRPr="00DC1DB0" w:rsidDel="00A53A40" w:rsidRDefault="005E02B8" w:rsidP="005E0DDB">
            <w:pPr>
              <w:spacing w:before="120" w:after="120"/>
              <w:jc w:val="left"/>
            </w:pPr>
            <w:r w:rsidRPr="00DC1DB0">
              <w:t>As at 31 March 2017, 24% of fostered children were from minority ethnic groups, compared with 1</w:t>
            </w:r>
            <w:r w:rsidR="005E0DDB" w:rsidRPr="00DC1DB0">
              <w:t>4</w:t>
            </w:r>
            <w:r w:rsidRPr="00DC1DB0">
              <w:t xml:space="preserve">% of </w:t>
            </w:r>
            <w:r w:rsidR="005E0DDB" w:rsidRPr="00DC1DB0">
              <w:t xml:space="preserve">all </w:t>
            </w:r>
            <w:r w:rsidRPr="00DC1DB0">
              <w:t>foster carers.</w:t>
            </w:r>
          </w:p>
        </w:tc>
      </w:tr>
      <w:tr w:rsidR="00A53A40" w:rsidRPr="00CB0983" w14:paraId="43063DEA" w14:textId="77777777" w:rsidTr="0003716C">
        <w:trPr>
          <w:trHeight w:val="1010"/>
        </w:trPr>
        <w:tc>
          <w:tcPr>
            <w:tcW w:w="2660" w:type="dxa"/>
            <w:tcBorders>
              <w:top w:val="single" w:sz="12" w:space="0" w:color="A6A6A6"/>
              <w:left w:val="single" w:sz="12" w:space="0" w:color="FFFFFF"/>
              <w:bottom w:val="single" w:sz="12" w:space="0" w:color="A6A6A6"/>
              <w:right w:val="single" w:sz="12" w:space="0" w:color="FFFFFF"/>
            </w:tcBorders>
            <w:shd w:val="clear" w:color="auto" w:fill="auto"/>
            <w:vAlign w:val="center"/>
          </w:tcPr>
          <w:p w14:paraId="5E7CA0D8" w14:textId="03B57412" w:rsidR="00A53A40" w:rsidRPr="00C37F79" w:rsidRDefault="00A53A40" w:rsidP="00A53A40">
            <w:pPr>
              <w:spacing w:before="120" w:after="120"/>
              <w:jc w:val="left"/>
            </w:pPr>
            <w:r w:rsidRPr="00C37F79">
              <w:t xml:space="preserve">A smaller proportion of young people who </w:t>
            </w:r>
            <w:r w:rsidRPr="00C37F79">
              <w:lastRenderedPageBreak/>
              <w:t xml:space="preserve">turned 18 during the year were </w:t>
            </w:r>
            <w:r w:rsidR="00B87820">
              <w:t>s</w:t>
            </w:r>
            <w:r w:rsidRPr="00C37F79">
              <w:t xml:space="preserve">taying </w:t>
            </w:r>
            <w:r w:rsidR="00B87820">
              <w:t>p</w:t>
            </w:r>
            <w:r w:rsidRPr="00C37F79">
              <w:t>ut.</w:t>
            </w:r>
          </w:p>
        </w:tc>
        <w:tc>
          <w:tcPr>
            <w:tcW w:w="6662" w:type="dxa"/>
            <w:tcBorders>
              <w:top w:val="single" w:sz="12" w:space="0" w:color="A6A6A6"/>
              <w:left w:val="single" w:sz="12" w:space="0" w:color="FFFFFF"/>
              <w:bottom w:val="single" w:sz="12" w:space="0" w:color="A6A6A6"/>
              <w:right w:val="single" w:sz="12" w:space="0" w:color="FFFFFF"/>
            </w:tcBorders>
            <w:shd w:val="clear" w:color="auto" w:fill="auto"/>
            <w:vAlign w:val="center"/>
          </w:tcPr>
          <w:p w14:paraId="6E3359BB" w14:textId="3551717B" w:rsidR="00A53A40" w:rsidRPr="00C37F79" w:rsidRDefault="00A53A40" w:rsidP="00B87820">
            <w:pPr>
              <w:spacing w:before="120" w:after="120"/>
              <w:jc w:val="left"/>
            </w:pPr>
            <w:r w:rsidRPr="00C37F79">
              <w:lastRenderedPageBreak/>
              <w:t xml:space="preserve">The proportion of young people </w:t>
            </w:r>
            <w:r w:rsidR="00B87820">
              <w:t>s</w:t>
            </w:r>
            <w:r w:rsidRPr="00C37F79">
              <w:t xml:space="preserve">taying </w:t>
            </w:r>
            <w:r w:rsidR="00B87820">
              <w:t>p</w:t>
            </w:r>
            <w:r w:rsidRPr="00C37F79">
              <w:t xml:space="preserve">ut with their foster family after turning 18 during the year decreased by eight percentage points in comparison with last year – 46% </w:t>
            </w:r>
            <w:r w:rsidRPr="00C37F79">
              <w:lastRenderedPageBreak/>
              <w:t xml:space="preserve">(1,570) </w:t>
            </w:r>
            <w:r w:rsidR="00B87820">
              <w:t>s</w:t>
            </w:r>
            <w:r w:rsidRPr="00C37F79">
              <w:t xml:space="preserve">tayed </w:t>
            </w:r>
            <w:r w:rsidR="00B87820">
              <w:t>p</w:t>
            </w:r>
            <w:r w:rsidRPr="00C37F79">
              <w:t>ut in 2016</w:t>
            </w:r>
            <w:r w:rsidR="00B643AA">
              <w:t>–</w:t>
            </w:r>
            <w:r w:rsidRPr="00C37F79">
              <w:t>17 compared with 54% (2,190) in 2015</w:t>
            </w:r>
            <w:r w:rsidR="00B643AA">
              <w:t>–</w:t>
            </w:r>
            <w:r w:rsidRPr="00C37F79">
              <w:t>16.</w:t>
            </w:r>
            <w:r w:rsidR="005E4E76">
              <w:t xml:space="preserve"> In LA foster families 52% of young people </w:t>
            </w:r>
            <w:r w:rsidR="00B87820">
              <w:t>s</w:t>
            </w:r>
            <w:r w:rsidR="005E4E76">
              <w:t xml:space="preserve">tayed </w:t>
            </w:r>
            <w:r w:rsidR="00B87820">
              <w:t>p</w:t>
            </w:r>
            <w:r w:rsidR="005E4E76">
              <w:t xml:space="preserve">ut, in IFA foster families 38% </w:t>
            </w:r>
            <w:r w:rsidR="00B87820">
              <w:t>s</w:t>
            </w:r>
            <w:r w:rsidR="005E4E76">
              <w:t xml:space="preserve">tayed </w:t>
            </w:r>
            <w:r w:rsidR="00B87820">
              <w:t>p</w:t>
            </w:r>
            <w:r w:rsidR="005E4E76">
              <w:t>ut.</w:t>
            </w:r>
          </w:p>
        </w:tc>
      </w:tr>
      <w:tr w:rsidR="00A53A40" w:rsidRPr="00CB0983" w14:paraId="69EBC200" w14:textId="77777777" w:rsidTr="0003716C">
        <w:trPr>
          <w:trHeight w:val="1010"/>
        </w:trPr>
        <w:tc>
          <w:tcPr>
            <w:tcW w:w="2660" w:type="dxa"/>
            <w:tcBorders>
              <w:top w:val="single" w:sz="12" w:space="0" w:color="A6A6A6"/>
              <w:left w:val="single" w:sz="12" w:space="0" w:color="FFFFFF"/>
              <w:bottom w:val="single" w:sz="12" w:space="0" w:color="A6A6A6"/>
              <w:right w:val="single" w:sz="12" w:space="0" w:color="FFFFFF"/>
            </w:tcBorders>
            <w:shd w:val="clear" w:color="auto" w:fill="auto"/>
            <w:vAlign w:val="center"/>
          </w:tcPr>
          <w:p w14:paraId="5030B374" w14:textId="5F9FEA5D" w:rsidR="00A53A40" w:rsidRPr="00DC1DB0" w:rsidRDefault="00A53A40" w:rsidP="00A53A40">
            <w:pPr>
              <w:spacing w:before="120" w:after="120"/>
              <w:jc w:val="left"/>
            </w:pPr>
            <w:r w:rsidRPr="00DC1DB0">
              <w:lastRenderedPageBreak/>
              <w:t>Children with at least one unplanned ending were more likely to have persistent</w:t>
            </w:r>
            <w:r w:rsidR="00464020">
              <w:t xml:space="preserve"> school</w:t>
            </w:r>
            <w:r w:rsidRPr="00DC1DB0">
              <w:t xml:space="preserve"> absence.</w:t>
            </w:r>
          </w:p>
        </w:tc>
        <w:tc>
          <w:tcPr>
            <w:tcW w:w="6662" w:type="dxa"/>
            <w:tcBorders>
              <w:top w:val="single" w:sz="12" w:space="0" w:color="A6A6A6"/>
              <w:left w:val="single" w:sz="12" w:space="0" w:color="FFFFFF"/>
              <w:bottom w:val="single" w:sz="12" w:space="0" w:color="A6A6A6"/>
              <w:right w:val="single" w:sz="12" w:space="0" w:color="FFFFFF"/>
            </w:tcBorders>
            <w:shd w:val="clear" w:color="auto" w:fill="auto"/>
            <w:vAlign w:val="center"/>
          </w:tcPr>
          <w:p w14:paraId="776146F3" w14:textId="2A0BF385" w:rsidR="00A53A40" w:rsidRPr="00DC1DB0" w:rsidRDefault="00A53A40" w:rsidP="00A53A40">
            <w:pPr>
              <w:spacing w:before="120" w:after="120"/>
              <w:jc w:val="left"/>
            </w:pPr>
            <w:r w:rsidRPr="00DC1DB0">
              <w:t xml:space="preserve">Thirteen percent of children who experienced at least one unplanned ending had persistent </w:t>
            </w:r>
            <w:r w:rsidR="00464020">
              <w:t xml:space="preserve">school </w:t>
            </w:r>
            <w:r w:rsidRPr="00DC1DB0">
              <w:t xml:space="preserve">absence in comparison with 5% of children with no unplanned endings. The rate of persistent </w:t>
            </w:r>
            <w:r w:rsidR="00464020">
              <w:t xml:space="preserve">school </w:t>
            </w:r>
            <w:r w:rsidRPr="00DC1DB0">
              <w:t>absence increased to 19% for children who experienced at least one unplanned ending and at least one educational placement change.</w:t>
            </w:r>
          </w:p>
        </w:tc>
      </w:tr>
    </w:tbl>
    <w:p w14:paraId="53462AD8" w14:textId="77777777" w:rsidR="00191F32" w:rsidRDefault="00191F32" w:rsidP="00191F32">
      <w:pPr>
        <w:spacing w:after="120"/>
        <w:jc w:val="left"/>
        <w:rPr>
          <w:b/>
          <w:sz w:val="28"/>
        </w:rPr>
      </w:pPr>
      <w:bookmarkStart w:id="1" w:name="_Toc280878080"/>
      <w:bookmarkStart w:id="2" w:name="_Toc296347484"/>
      <w:bookmarkStart w:id="3" w:name="_Toc327345065"/>
    </w:p>
    <w:p w14:paraId="45E69535" w14:textId="77777777" w:rsidR="00191F32" w:rsidRDefault="00191F32" w:rsidP="00191F32">
      <w:pPr>
        <w:spacing w:after="120"/>
        <w:jc w:val="left"/>
        <w:rPr>
          <w:b/>
          <w:sz w:val="28"/>
        </w:rPr>
      </w:pPr>
    </w:p>
    <w:p w14:paraId="39F6EBF2" w14:textId="77777777" w:rsidR="00191F32" w:rsidRDefault="00191F32" w:rsidP="00191F32">
      <w:pPr>
        <w:spacing w:after="120"/>
        <w:jc w:val="left"/>
        <w:rPr>
          <w:b/>
          <w:sz w:val="28"/>
        </w:rPr>
      </w:pPr>
    </w:p>
    <w:p w14:paraId="5F741037" w14:textId="77777777" w:rsidR="005E0DDB" w:rsidRDefault="005E0DDB" w:rsidP="00191F32">
      <w:pPr>
        <w:spacing w:after="120"/>
        <w:jc w:val="left"/>
        <w:rPr>
          <w:b/>
          <w:sz w:val="28"/>
        </w:rPr>
      </w:pPr>
    </w:p>
    <w:p w14:paraId="029EF263" w14:textId="77777777" w:rsidR="005E0DDB" w:rsidRDefault="005E0DDB" w:rsidP="00191F32">
      <w:pPr>
        <w:spacing w:after="120"/>
        <w:jc w:val="left"/>
        <w:rPr>
          <w:b/>
          <w:sz w:val="28"/>
        </w:rPr>
      </w:pPr>
    </w:p>
    <w:p w14:paraId="7E782E48" w14:textId="77777777" w:rsidR="00443AF7" w:rsidRDefault="00443AF7" w:rsidP="00191F32">
      <w:pPr>
        <w:spacing w:after="120"/>
        <w:jc w:val="left"/>
        <w:rPr>
          <w:b/>
          <w:sz w:val="28"/>
        </w:rPr>
      </w:pPr>
    </w:p>
    <w:p w14:paraId="236FDFDA" w14:textId="77777777" w:rsidR="00443AF7" w:rsidRDefault="00443AF7" w:rsidP="00191F32">
      <w:pPr>
        <w:spacing w:after="120"/>
        <w:jc w:val="left"/>
        <w:rPr>
          <w:b/>
          <w:sz w:val="28"/>
        </w:rPr>
      </w:pPr>
    </w:p>
    <w:p w14:paraId="15EB6BB7" w14:textId="77777777" w:rsidR="00443AF7" w:rsidRDefault="00443AF7" w:rsidP="00191F32">
      <w:pPr>
        <w:spacing w:after="120"/>
        <w:jc w:val="left"/>
        <w:rPr>
          <w:b/>
          <w:sz w:val="28"/>
        </w:rPr>
      </w:pPr>
    </w:p>
    <w:p w14:paraId="039003D5" w14:textId="77777777" w:rsidR="00443AF7" w:rsidRDefault="00443AF7" w:rsidP="00191F32">
      <w:pPr>
        <w:spacing w:after="120"/>
        <w:jc w:val="left"/>
        <w:rPr>
          <w:b/>
          <w:sz w:val="28"/>
        </w:rPr>
      </w:pPr>
    </w:p>
    <w:p w14:paraId="46EFA645" w14:textId="77777777" w:rsidR="00443AF7" w:rsidRDefault="00443AF7" w:rsidP="00191F32">
      <w:pPr>
        <w:spacing w:after="120"/>
        <w:jc w:val="left"/>
        <w:rPr>
          <w:b/>
          <w:sz w:val="28"/>
        </w:rPr>
      </w:pPr>
    </w:p>
    <w:p w14:paraId="72CA7F21" w14:textId="77777777" w:rsidR="00443AF7" w:rsidRDefault="00443AF7" w:rsidP="00191F32">
      <w:pPr>
        <w:spacing w:after="120"/>
        <w:jc w:val="left"/>
        <w:rPr>
          <w:b/>
          <w:sz w:val="28"/>
        </w:rPr>
      </w:pPr>
    </w:p>
    <w:p w14:paraId="5D7BFB90" w14:textId="77777777" w:rsidR="00443AF7" w:rsidRDefault="00443AF7" w:rsidP="00191F32">
      <w:pPr>
        <w:spacing w:after="120"/>
        <w:jc w:val="left"/>
        <w:rPr>
          <w:b/>
          <w:sz w:val="28"/>
        </w:rPr>
      </w:pPr>
    </w:p>
    <w:p w14:paraId="786EB6C6" w14:textId="77777777" w:rsidR="00443AF7" w:rsidRDefault="00443AF7" w:rsidP="00191F32">
      <w:pPr>
        <w:spacing w:after="120"/>
        <w:jc w:val="left"/>
        <w:rPr>
          <w:b/>
          <w:sz w:val="28"/>
        </w:rPr>
      </w:pPr>
    </w:p>
    <w:p w14:paraId="0234ED59" w14:textId="77777777" w:rsidR="005E0DDB" w:rsidRDefault="005E0DDB" w:rsidP="00191F32">
      <w:pPr>
        <w:spacing w:after="120"/>
        <w:jc w:val="left"/>
        <w:rPr>
          <w:b/>
          <w:sz w:val="28"/>
        </w:rPr>
      </w:pPr>
    </w:p>
    <w:p w14:paraId="62C36357" w14:textId="77777777" w:rsidR="00191F32" w:rsidRPr="00342D75" w:rsidRDefault="00191F32" w:rsidP="00191F32">
      <w:pPr>
        <w:spacing w:after="120"/>
        <w:jc w:val="left"/>
        <w:rPr>
          <w:b/>
          <w:sz w:val="28"/>
        </w:rPr>
      </w:pPr>
      <w:r w:rsidRPr="00342D75">
        <w:rPr>
          <w:b/>
          <w:sz w:val="28"/>
        </w:rPr>
        <w:t xml:space="preserve">Acknowledgements </w:t>
      </w:r>
    </w:p>
    <w:p w14:paraId="7CC6D9B1" w14:textId="0265A31E" w:rsidR="00191F32" w:rsidRPr="00342D75" w:rsidRDefault="00191F32" w:rsidP="00191F32">
      <w:pPr>
        <w:jc w:val="left"/>
      </w:pPr>
      <w:r w:rsidRPr="00342D75">
        <w:t>Thanks to the following for their contribution to this statistical release: Nilly El Khatib</w:t>
      </w:r>
      <w:r w:rsidR="0028321A">
        <w:t>,</w:t>
      </w:r>
      <w:r w:rsidRPr="00342D75">
        <w:t xml:space="preserve"> Jeremy Honeywill</w:t>
      </w:r>
      <w:r w:rsidR="0028321A">
        <w:t xml:space="preserve"> and Richard Jones</w:t>
      </w:r>
      <w:r w:rsidRPr="00342D75">
        <w:t>.</w:t>
      </w:r>
    </w:p>
    <w:p w14:paraId="739A5A60" w14:textId="77777777" w:rsidR="00191F32" w:rsidRPr="00342D75" w:rsidRDefault="00191F32" w:rsidP="00191F32">
      <w:pPr>
        <w:jc w:val="left"/>
      </w:pPr>
    </w:p>
    <w:p w14:paraId="293348A6" w14:textId="038A177B" w:rsidR="002C192D" w:rsidRPr="0042575C" w:rsidRDefault="00191F32" w:rsidP="00191F32">
      <w:pPr>
        <w:spacing w:after="240"/>
        <w:jc w:val="left"/>
        <w:rPr>
          <w:rFonts w:cs="Tahoma"/>
          <w:b/>
          <w:noProof/>
          <w:color w:val="0070C0"/>
          <w:kern w:val="28"/>
          <w:sz w:val="28"/>
          <w:szCs w:val="28"/>
          <w:lang w:eastAsia="en-US"/>
        </w:rPr>
      </w:pPr>
      <w:r w:rsidRPr="00342D75">
        <w:rPr>
          <w:rFonts w:cs="Tahoma"/>
        </w:rPr>
        <w:t xml:space="preserve">If you have any comments or feedback on this publication, please contact Adam King on 03000 130020 or </w:t>
      </w:r>
      <w:hyperlink r:id="rId12" w:history="1">
        <w:r w:rsidRPr="00342D75">
          <w:rPr>
            <w:rStyle w:val="Hyperlink"/>
            <w:rFonts w:cs="Tahoma"/>
            <w:color w:val="auto"/>
            <w:u w:val="none"/>
          </w:rPr>
          <w:t>socialcaredata@ofsted.gov.uk</w:t>
        </w:r>
      </w:hyperlink>
      <w:r w:rsidRPr="00342D75">
        <w:rPr>
          <w:rFonts w:cs="Tahoma"/>
        </w:rPr>
        <w:t xml:space="preserve"> </w:t>
      </w:r>
      <w:r w:rsidR="001C17A1" w:rsidRPr="00CB0983">
        <w:rPr>
          <w:b/>
          <w:noProof/>
          <w:color w:val="FF0000"/>
          <w:kern w:val="28"/>
          <w:sz w:val="28"/>
          <w:szCs w:val="28"/>
          <w:lang w:eastAsia="en-US"/>
        </w:rPr>
        <w:br w:type="page"/>
      </w:r>
      <w:r w:rsidR="00CC5FEB" w:rsidRPr="0042575C">
        <w:rPr>
          <w:rFonts w:cs="Tahoma"/>
          <w:b/>
          <w:noProof/>
          <w:kern w:val="28"/>
          <w:sz w:val="28"/>
          <w:szCs w:val="28"/>
          <w:lang w:eastAsia="en-US"/>
        </w:rPr>
        <w:lastRenderedPageBreak/>
        <w:t>Contents</w:t>
      </w:r>
      <w:r w:rsidR="00906EE8" w:rsidRPr="0042575C">
        <w:rPr>
          <w:rFonts w:cs="Tahoma"/>
          <w:b/>
          <w:noProof/>
          <w:kern w:val="28"/>
          <w:sz w:val="28"/>
          <w:szCs w:val="28"/>
          <w:lang w:eastAsia="en-US"/>
        </w:rPr>
        <w:t xml:space="preserve"> </w:t>
      </w:r>
    </w:p>
    <w:p w14:paraId="0F1BB0BF" w14:textId="77777777" w:rsidR="00047E43" w:rsidRPr="005D5B64" w:rsidRDefault="002C192D">
      <w:pPr>
        <w:pStyle w:val="TOC2"/>
        <w:rPr>
          <w:rFonts w:eastAsiaTheme="minorEastAsia"/>
          <w:sz w:val="22"/>
          <w:szCs w:val="22"/>
          <w:lang w:val="en-GB" w:eastAsia="en-GB"/>
        </w:rPr>
      </w:pPr>
      <w:r w:rsidRPr="0042575C">
        <w:rPr>
          <w:color w:val="0070C0"/>
        </w:rPr>
        <w:fldChar w:fldCharType="begin"/>
      </w:r>
      <w:r w:rsidRPr="0042575C">
        <w:rPr>
          <w:color w:val="0070C0"/>
        </w:rPr>
        <w:instrText xml:space="preserve"> TOC \o "1-3" \h \z \u </w:instrText>
      </w:r>
      <w:r w:rsidRPr="0042575C">
        <w:rPr>
          <w:color w:val="0070C0"/>
        </w:rPr>
        <w:fldChar w:fldCharType="separate"/>
      </w:r>
      <w:hyperlink w:anchor="_Toc509261112" w:history="1">
        <w:r w:rsidR="00047E43" w:rsidRPr="00AC5372">
          <w:rPr>
            <w:rStyle w:val="Hyperlink"/>
          </w:rPr>
          <w:t>Introduction</w:t>
        </w:r>
        <w:r w:rsidR="00047E43" w:rsidRPr="00AC5372">
          <w:rPr>
            <w:webHidden/>
          </w:rPr>
          <w:tab/>
        </w:r>
        <w:r w:rsidR="00047E43" w:rsidRPr="009601CD">
          <w:rPr>
            <w:webHidden/>
          </w:rPr>
          <w:fldChar w:fldCharType="begin"/>
        </w:r>
        <w:r w:rsidR="00047E43" w:rsidRPr="00AC5372">
          <w:rPr>
            <w:webHidden/>
          </w:rPr>
          <w:instrText xml:space="preserve"> PAGEREF _Toc509261112 \h </w:instrText>
        </w:r>
        <w:r w:rsidR="00047E43" w:rsidRPr="009601CD">
          <w:rPr>
            <w:webHidden/>
          </w:rPr>
        </w:r>
        <w:r w:rsidR="00047E43" w:rsidRPr="009601CD">
          <w:rPr>
            <w:webHidden/>
          </w:rPr>
          <w:fldChar w:fldCharType="separate"/>
        </w:r>
        <w:r w:rsidR="00B6551A">
          <w:rPr>
            <w:webHidden/>
          </w:rPr>
          <w:t>4</w:t>
        </w:r>
        <w:r w:rsidR="00047E43" w:rsidRPr="009601CD">
          <w:rPr>
            <w:webHidden/>
          </w:rPr>
          <w:fldChar w:fldCharType="end"/>
        </w:r>
      </w:hyperlink>
    </w:p>
    <w:p w14:paraId="34585047" w14:textId="77777777" w:rsidR="00047E43" w:rsidRPr="005D5B64" w:rsidRDefault="0000522C">
      <w:pPr>
        <w:pStyle w:val="TOC2"/>
        <w:rPr>
          <w:rFonts w:eastAsiaTheme="minorEastAsia"/>
          <w:sz w:val="22"/>
          <w:szCs w:val="22"/>
          <w:lang w:val="en-GB" w:eastAsia="en-GB"/>
        </w:rPr>
      </w:pPr>
      <w:hyperlink w:anchor="_Toc509261113" w:history="1">
        <w:r w:rsidR="00047E43" w:rsidRPr="00AC5372">
          <w:rPr>
            <w:rStyle w:val="Hyperlink"/>
          </w:rPr>
          <w:t>Main findings</w:t>
        </w:r>
        <w:r w:rsidR="00047E43" w:rsidRPr="00AC5372">
          <w:rPr>
            <w:webHidden/>
          </w:rPr>
          <w:tab/>
        </w:r>
        <w:r w:rsidR="00047E43" w:rsidRPr="009601CD">
          <w:rPr>
            <w:webHidden/>
          </w:rPr>
          <w:fldChar w:fldCharType="begin"/>
        </w:r>
        <w:r w:rsidR="00047E43" w:rsidRPr="00AC5372">
          <w:rPr>
            <w:webHidden/>
          </w:rPr>
          <w:instrText xml:space="preserve"> PAGEREF _Toc509261113 \h </w:instrText>
        </w:r>
        <w:r w:rsidR="00047E43" w:rsidRPr="009601CD">
          <w:rPr>
            <w:webHidden/>
          </w:rPr>
        </w:r>
        <w:r w:rsidR="00047E43" w:rsidRPr="009601CD">
          <w:rPr>
            <w:webHidden/>
          </w:rPr>
          <w:fldChar w:fldCharType="separate"/>
        </w:r>
        <w:r w:rsidR="00B6551A">
          <w:rPr>
            <w:webHidden/>
          </w:rPr>
          <w:t>5</w:t>
        </w:r>
        <w:r w:rsidR="00047E43" w:rsidRPr="009601CD">
          <w:rPr>
            <w:webHidden/>
          </w:rPr>
          <w:fldChar w:fldCharType="end"/>
        </w:r>
      </w:hyperlink>
    </w:p>
    <w:p w14:paraId="3B0C72CF" w14:textId="77777777" w:rsidR="00047E43" w:rsidRPr="005D5B64" w:rsidRDefault="0000522C">
      <w:pPr>
        <w:pStyle w:val="TOC2"/>
        <w:rPr>
          <w:rFonts w:eastAsiaTheme="minorEastAsia"/>
          <w:sz w:val="22"/>
          <w:szCs w:val="22"/>
          <w:lang w:val="en-GB" w:eastAsia="en-GB"/>
        </w:rPr>
      </w:pPr>
      <w:hyperlink w:anchor="_Toc509261114" w:history="1">
        <w:r w:rsidR="00047E43" w:rsidRPr="00AC5372">
          <w:rPr>
            <w:rStyle w:val="Hyperlink"/>
          </w:rPr>
          <w:t>Fostering capacity</w:t>
        </w:r>
        <w:r w:rsidR="00047E43" w:rsidRPr="00AC5372">
          <w:rPr>
            <w:webHidden/>
          </w:rPr>
          <w:tab/>
        </w:r>
        <w:r w:rsidR="00047E43" w:rsidRPr="009601CD">
          <w:rPr>
            <w:webHidden/>
          </w:rPr>
          <w:fldChar w:fldCharType="begin"/>
        </w:r>
        <w:r w:rsidR="00047E43" w:rsidRPr="00AC5372">
          <w:rPr>
            <w:webHidden/>
          </w:rPr>
          <w:instrText xml:space="preserve"> PAGEREF _Toc509261114 \h </w:instrText>
        </w:r>
        <w:r w:rsidR="00047E43" w:rsidRPr="009601CD">
          <w:rPr>
            <w:webHidden/>
          </w:rPr>
        </w:r>
        <w:r w:rsidR="00047E43" w:rsidRPr="009601CD">
          <w:rPr>
            <w:webHidden/>
          </w:rPr>
          <w:fldChar w:fldCharType="separate"/>
        </w:r>
        <w:r w:rsidR="00B6551A">
          <w:rPr>
            <w:webHidden/>
          </w:rPr>
          <w:t>5</w:t>
        </w:r>
        <w:r w:rsidR="00047E43" w:rsidRPr="009601CD">
          <w:rPr>
            <w:webHidden/>
          </w:rPr>
          <w:fldChar w:fldCharType="end"/>
        </w:r>
      </w:hyperlink>
    </w:p>
    <w:p w14:paraId="679D3FD2" w14:textId="77777777" w:rsidR="00047E43" w:rsidRPr="005D5B64" w:rsidRDefault="0000522C">
      <w:pPr>
        <w:pStyle w:val="TOC2"/>
        <w:rPr>
          <w:rFonts w:eastAsiaTheme="minorEastAsia"/>
          <w:sz w:val="22"/>
          <w:szCs w:val="22"/>
          <w:lang w:val="en-GB" w:eastAsia="en-GB"/>
        </w:rPr>
      </w:pPr>
      <w:hyperlink w:anchor="_Toc509261115" w:history="1">
        <w:r w:rsidR="00047E43" w:rsidRPr="00AC5372">
          <w:rPr>
            <w:rStyle w:val="Hyperlink"/>
          </w:rPr>
          <w:t>Fostering households</w:t>
        </w:r>
        <w:r w:rsidR="00047E43" w:rsidRPr="00AC5372">
          <w:rPr>
            <w:webHidden/>
          </w:rPr>
          <w:tab/>
        </w:r>
        <w:r w:rsidR="00047E43" w:rsidRPr="009601CD">
          <w:rPr>
            <w:webHidden/>
          </w:rPr>
          <w:fldChar w:fldCharType="begin"/>
        </w:r>
        <w:r w:rsidR="00047E43" w:rsidRPr="00AC5372">
          <w:rPr>
            <w:webHidden/>
          </w:rPr>
          <w:instrText xml:space="preserve"> PAGEREF _Toc509261115 \h </w:instrText>
        </w:r>
        <w:r w:rsidR="00047E43" w:rsidRPr="009601CD">
          <w:rPr>
            <w:webHidden/>
          </w:rPr>
        </w:r>
        <w:r w:rsidR="00047E43" w:rsidRPr="009601CD">
          <w:rPr>
            <w:webHidden/>
          </w:rPr>
          <w:fldChar w:fldCharType="separate"/>
        </w:r>
        <w:r w:rsidR="00B6551A">
          <w:rPr>
            <w:webHidden/>
          </w:rPr>
          <w:t>7</w:t>
        </w:r>
        <w:r w:rsidR="00047E43" w:rsidRPr="009601CD">
          <w:rPr>
            <w:webHidden/>
          </w:rPr>
          <w:fldChar w:fldCharType="end"/>
        </w:r>
      </w:hyperlink>
    </w:p>
    <w:p w14:paraId="16A64637" w14:textId="77777777" w:rsidR="00047E43" w:rsidRPr="005D5B64" w:rsidRDefault="0000522C">
      <w:pPr>
        <w:pStyle w:val="TOC3"/>
        <w:rPr>
          <w:rFonts w:ascii="Tahoma" w:eastAsiaTheme="minorEastAsia" w:hAnsi="Tahoma" w:cs="Tahoma"/>
          <w:noProof/>
          <w:lang w:val="en-GB" w:eastAsia="en-GB"/>
        </w:rPr>
      </w:pPr>
      <w:hyperlink w:anchor="_Toc509261116" w:history="1">
        <w:r w:rsidR="00047E43" w:rsidRPr="005D5B64">
          <w:rPr>
            <w:rStyle w:val="Hyperlink"/>
            <w:rFonts w:ascii="Tahoma" w:hAnsi="Tahoma" w:cs="Tahoma"/>
            <w:noProof/>
          </w:rPr>
          <w:t>Capacity per household</w:t>
        </w:r>
        <w:r w:rsidR="00047E43" w:rsidRPr="005D5B64">
          <w:rPr>
            <w:rFonts w:ascii="Tahoma" w:hAnsi="Tahoma" w:cs="Tahoma"/>
            <w:noProof/>
            <w:webHidden/>
          </w:rPr>
          <w:tab/>
        </w:r>
        <w:r w:rsidR="00047E43" w:rsidRPr="005D5B64">
          <w:rPr>
            <w:rFonts w:ascii="Tahoma" w:hAnsi="Tahoma" w:cs="Tahoma"/>
            <w:noProof/>
            <w:webHidden/>
          </w:rPr>
          <w:fldChar w:fldCharType="begin"/>
        </w:r>
        <w:r w:rsidR="00047E43" w:rsidRPr="005D5B64">
          <w:rPr>
            <w:rFonts w:ascii="Tahoma" w:hAnsi="Tahoma" w:cs="Tahoma"/>
            <w:noProof/>
            <w:webHidden/>
          </w:rPr>
          <w:instrText xml:space="preserve"> PAGEREF _Toc509261116 \h </w:instrText>
        </w:r>
        <w:r w:rsidR="00047E43" w:rsidRPr="005D5B64">
          <w:rPr>
            <w:rFonts w:ascii="Tahoma" w:hAnsi="Tahoma" w:cs="Tahoma"/>
            <w:noProof/>
            <w:webHidden/>
          </w:rPr>
        </w:r>
        <w:r w:rsidR="00047E43" w:rsidRPr="005D5B64">
          <w:rPr>
            <w:rFonts w:ascii="Tahoma" w:hAnsi="Tahoma" w:cs="Tahoma"/>
            <w:noProof/>
            <w:webHidden/>
          </w:rPr>
          <w:fldChar w:fldCharType="separate"/>
        </w:r>
        <w:r w:rsidR="00B6551A">
          <w:rPr>
            <w:rFonts w:ascii="Tahoma" w:hAnsi="Tahoma" w:cs="Tahoma"/>
            <w:noProof/>
            <w:webHidden/>
          </w:rPr>
          <w:t>9</w:t>
        </w:r>
        <w:r w:rsidR="00047E43" w:rsidRPr="005D5B64">
          <w:rPr>
            <w:rFonts w:ascii="Tahoma" w:hAnsi="Tahoma" w:cs="Tahoma"/>
            <w:noProof/>
            <w:webHidden/>
          </w:rPr>
          <w:fldChar w:fldCharType="end"/>
        </w:r>
      </w:hyperlink>
    </w:p>
    <w:p w14:paraId="03E0672E" w14:textId="77777777" w:rsidR="00047E43" w:rsidRPr="005D5B64" w:rsidRDefault="0000522C">
      <w:pPr>
        <w:pStyle w:val="TOC2"/>
        <w:rPr>
          <w:rFonts w:eastAsiaTheme="minorEastAsia"/>
          <w:sz w:val="22"/>
          <w:szCs w:val="22"/>
          <w:lang w:val="en-GB" w:eastAsia="en-GB"/>
        </w:rPr>
      </w:pPr>
      <w:hyperlink w:anchor="_Toc509261117" w:history="1">
        <w:r w:rsidR="00047E43" w:rsidRPr="00AC5372">
          <w:rPr>
            <w:rStyle w:val="Hyperlink"/>
          </w:rPr>
          <w:t>Recruitment and retention</w:t>
        </w:r>
        <w:r w:rsidR="00047E43" w:rsidRPr="00AC5372">
          <w:rPr>
            <w:webHidden/>
          </w:rPr>
          <w:tab/>
        </w:r>
        <w:r w:rsidR="00047E43" w:rsidRPr="009601CD">
          <w:rPr>
            <w:webHidden/>
          </w:rPr>
          <w:fldChar w:fldCharType="begin"/>
        </w:r>
        <w:r w:rsidR="00047E43" w:rsidRPr="00AC5372">
          <w:rPr>
            <w:webHidden/>
          </w:rPr>
          <w:instrText xml:space="preserve"> PAGEREF _Toc509261117 \h </w:instrText>
        </w:r>
        <w:r w:rsidR="00047E43" w:rsidRPr="009601CD">
          <w:rPr>
            <w:webHidden/>
          </w:rPr>
        </w:r>
        <w:r w:rsidR="00047E43" w:rsidRPr="009601CD">
          <w:rPr>
            <w:webHidden/>
          </w:rPr>
          <w:fldChar w:fldCharType="separate"/>
        </w:r>
        <w:r w:rsidR="00B6551A">
          <w:rPr>
            <w:webHidden/>
          </w:rPr>
          <w:t>10</w:t>
        </w:r>
        <w:r w:rsidR="00047E43" w:rsidRPr="009601CD">
          <w:rPr>
            <w:webHidden/>
          </w:rPr>
          <w:fldChar w:fldCharType="end"/>
        </w:r>
      </w:hyperlink>
    </w:p>
    <w:p w14:paraId="52E2EFDB" w14:textId="77777777" w:rsidR="00047E43" w:rsidRPr="005D5B64" w:rsidRDefault="0000522C">
      <w:pPr>
        <w:pStyle w:val="TOC3"/>
        <w:rPr>
          <w:rFonts w:ascii="Tahoma" w:eastAsiaTheme="minorEastAsia" w:hAnsi="Tahoma" w:cs="Tahoma"/>
          <w:noProof/>
          <w:lang w:val="en-GB" w:eastAsia="en-GB"/>
        </w:rPr>
      </w:pPr>
      <w:hyperlink w:anchor="_Toc509261118" w:history="1">
        <w:r w:rsidR="00047E43" w:rsidRPr="005D5B64">
          <w:rPr>
            <w:rStyle w:val="Hyperlink"/>
            <w:rFonts w:ascii="Tahoma" w:hAnsi="Tahoma" w:cs="Tahoma"/>
            <w:noProof/>
          </w:rPr>
          <w:t>Recruitment</w:t>
        </w:r>
        <w:r w:rsidR="00047E43" w:rsidRPr="005D5B64">
          <w:rPr>
            <w:rFonts w:ascii="Tahoma" w:hAnsi="Tahoma" w:cs="Tahoma"/>
            <w:noProof/>
            <w:webHidden/>
          </w:rPr>
          <w:tab/>
        </w:r>
        <w:r w:rsidR="00047E43" w:rsidRPr="005D5B64">
          <w:rPr>
            <w:rFonts w:ascii="Tahoma" w:hAnsi="Tahoma" w:cs="Tahoma"/>
            <w:noProof/>
            <w:webHidden/>
          </w:rPr>
          <w:fldChar w:fldCharType="begin"/>
        </w:r>
        <w:r w:rsidR="00047E43" w:rsidRPr="005D5B64">
          <w:rPr>
            <w:rFonts w:ascii="Tahoma" w:hAnsi="Tahoma" w:cs="Tahoma"/>
            <w:noProof/>
            <w:webHidden/>
          </w:rPr>
          <w:instrText xml:space="preserve"> PAGEREF _Toc509261118 \h </w:instrText>
        </w:r>
        <w:r w:rsidR="00047E43" w:rsidRPr="005D5B64">
          <w:rPr>
            <w:rFonts w:ascii="Tahoma" w:hAnsi="Tahoma" w:cs="Tahoma"/>
            <w:noProof/>
            <w:webHidden/>
          </w:rPr>
        </w:r>
        <w:r w:rsidR="00047E43" w:rsidRPr="005D5B64">
          <w:rPr>
            <w:rFonts w:ascii="Tahoma" w:hAnsi="Tahoma" w:cs="Tahoma"/>
            <w:noProof/>
            <w:webHidden/>
          </w:rPr>
          <w:fldChar w:fldCharType="separate"/>
        </w:r>
        <w:r w:rsidR="00B6551A">
          <w:rPr>
            <w:rFonts w:ascii="Tahoma" w:hAnsi="Tahoma" w:cs="Tahoma"/>
            <w:noProof/>
            <w:webHidden/>
          </w:rPr>
          <w:t>10</w:t>
        </w:r>
        <w:r w:rsidR="00047E43" w:rsidRPr="005D5B64">
          <w:rPr>
            <w:rFonts w:ascii="Tahoma" w:hAnsi="Tahoma" w:cs="Tahoma"/>
            <w:noProof/>
            <w:webHidden/>
          </w:rPr>
          <w:fldChar w:fldCharType="end"/>
        </w:r>
      </w:hyperlink>
    </w:p>
    <w:p w14:paraId="67187B79" w14:textId="77777777" w:rsidR="00047E43" w:rsidRPr="005D5B64" w:rsidRDefault="0000522C">
      <w:pPr>
        <w:pStyle w:val="TOC3"/>
        <w:rPr>
          <w:rFonts w:ascii="Tahoma" w:eastAsiaTheme="minorEastAsia" w:hAnsi="Tahoma" w:cs="Tahoma"/>
          <w:noProof/>
          <w:lang w:val="en-GB" w:eastAsia="en-GB"/>
        </w:rPr>
      </w:pPr>
      <w:hyperlink w:anchor="_Toc509261119" w:history="1">
        <w:r w:rsidR="00047E43" w:rsidRPr="005D5B64">
          <w:rPr>
            <w:rStyle w:val="Hyperlink"/>
            <w:rFonts w:ascii="Tahoma" w:hAnsi="Tahoma" w:cs="Tahoma"/>
            <w:noProof/>
          </w:rPr>
          <w:t>Application outcomes</w:t>
        </w:r>
        <w:r w:rsidR="00047E43" w:rsidRPr="005D5B64">
          <w:rPr>
            <w:rFonts w:ascii="Tahoma" w:hAnsi="Tahoma" w:cs="Tahoma"/>
            <w:noProof/>
            <w:webHidden/>
          </w:rPr>
          <w:tab/>
        </w:r>
        <w:r w:rsidR="00047E43" w:rsidRPr="005D5B64">
          <w:rPr>
            <w:rFonts w:ascii="Tahoma" w:hAnsi="Tahoma" w:cs="Tahoma"/>
            <w:noProof/>
            <w:webHidden/>
          </w:rPr>
          <w:fldChar w:fldCharType="begin"/>
        </w:r>
        <w:r w:rsidR="00047E43" w:rsidRPr="005D5B64">
          <w:rPr>
            <w:rFonts w:ascii="Tahoma" w:hAnsi="Tahoma" w:cs="Tahoma"/>
            <w:noProof/>
            <w:webHidden/>
          </w:rPr>
          <w:instrText xml:space="preserve"> PAGEREF _Toc509261119 \h </w:instrText>
        </w:r>
        <w:r w:rsidR="00047E43" w:rsidRPr="005D5B64">
          <w:rPr>
            <w:rFonts w:ascii="Tahoma" w:hAnsi="Tahoma" w:cs="Tahoma"/>
            <w:noProof/>
            <w:webHidden/>
          </w:rPr>
        </w:r>
        <w:r w:rsidR="00047E43" w:rsidRPr="005D5B64">
          <w:rPr>
            <w:rFonts w:ascii="Tahoma" w:hAnsi="Tahoma" w:cs="Tahoma"/>
            <w:noProof/>
            <w:webHidden/>
          </w:rPr>
          <w:fldChar w:fldCharType="separate"/>
        </w:r>
        <w:r w:rsidR="00B6551A">
          <w:rPr>
            <w:rFonts w:ascii="Tahoma" w:hAnsi="Tahoma" w:cs="Tahoma"/>
            <w:noProof/>
            <w:webHidden/>
          </w:rPr>
          <w:t>11</w:t>
        </w:r>
        <w:r w:rsidR="00047E43" w:rsidRPr="005D5B64">
          <w:rPr>
            <w:rFonts w:ascii="Tahoma" w:hAnsi="Tahoma" w:cs="Tahoma"/>
            <w:noProof/>
            <w:webHidden/>
          </w:rPr>
          <w:fldChar w:fldCharType="end"/>
        </w:r>
      </w:hyperlink>
    </w:p>
    <w:p w14:paraId="3145C5C5" w14:textId="77777777" w:rsidR="00047E43" w:rsidRPr="005D5B64" w:rsidRDefault="0000522C">
      <w:pPr>
        <w:pStyle w:val="TOC3"/>
        <w:rPr>
          <w:rFonts w:ascii="Tahoma" w:eastAsiaTheme="minorEastAsia" w:hAnsi="Tahoma" w:cs="Tahoma"/>
          <w:noProof/>
          <w:lang w:val="en-GB" w:eastAsia="en-GB"/>
        </w:rPr>
      </w:pPr>
      <w:hyperlink w:anchor="_Toc509261120" w:history="1">
        <w:r w:rsidR="00047E43" w:rsidRPr="005D5B64">
          <w:rPr>
            <w:rStyle w:val="Hyperlink"/>
            <w:rFonts w:ascii="Tahoma" w:hAnsi="Tahoma" w:cs="Tahoma"/>
            <w:noProof/>
          </w:rPr>
          <w:t>De-registration and retention of fostering households</w:t>
        </w:r>
        <w:r w:rsidR="00047E43" w:rsidRPr="005D5B64">
          <w:rPr>
            <w:rFonts w:ascii="Tahoma" w:hAnsi="Tahoma" w:cs="Tahoma"/>
            <w:noProof/>
            <w:webHidden/>
          </w:rPr>
          <w:tab/>
        </w:r>
        <w:r w:rsidR="00047E43" w:rsidRPr="005D5B64">
          <w:rPr>
            <w:rFonts w:ascii="Tahoma" w:hAnsi="Tahoma" w:cs="Tahoma"/>
            <w:noProof/>
            <w:webHidden/>
          </w:rPr>
          <w:fldChar w:fldCharType="begin"/>
        </w:r>
        <w:r w:rsidR="00047E43" w:rsidRPr="005D5B64">
          <w:rPr>
            <w:rFonts w:ascii="Tahoma" w:hAnsi="Tahoma" w:cs="Tahoma"/>
            <w:noProof/>
            <w:webHidden/>
          </w:rPr>
          <w:instrText xml:space="preserve"> PAGEREF _Toc509261120 \h </w:instrText>
        </w:r>
        <w:r w:rsidR="00047E43" w:rsidRPr="005D5B64">
          <w:rPr>
            <w:rFonts w:ascii="Tahoma" w:hAnsi="Tahoma" w:cs="Tahoma"/>
            <w:noProof/>
            <w:webHidden/>
          </w:rPr>
        </w:r>
        <w:r w:rsidR="00047E43" w:rsidRPr="005D5B64">
          <w:rPr>
            <w:rFonts w:ascii="Tahoma" w:hAnsi="Tahoma" w:cs="Tahoma"/>
            <w:noProof/>
            <w:webHidden/>
          </w:rPr>
          <w:fldChar w:fldCharType="separate"/>
        </w:r>
        <w:r w:rsidR="00B6551A">
          <w:rPr>
            <w:rFonts w:ascii="Tahoma" w:hAnsi="Tahoma" w:cs="Tahoma"/>
            <w:noProof/>
            <w:webHidden/>
          </w:rPr>
          <w:t>12</w:t>
        </w:r>
        <w:r w:rsidR="00047E43" w:rsidRPr="005D5B64">
          <w:rPr>
            <w:rFonts w:ascii="Tahoma" w:hAnsi="Tahoma" w:cs="Tahoma"/>
            <w:noProof/>
            <w:webHidden/>
          </w:rPr>
          <w:fldChar w:fldCharType="end"/>
        </w:r>
      </w:hyperlink>
    </w:p>
    <w:p w14:paraId="5CC0F739" w14:textId="77777777" w:rsidR="00047E43" w:rsidRPr="005D5B64" w:rsidRDefault="0000522C">
      <w:pPr>
        <w:pStyle w:val="TOC2"/>
        <w:rPr>
          <w:rFonts w:eastAsiaTheme="minorEastAsia"/>
          <w:sz w:val="22"/>
          <w:szCs w:val="22"/>
          <w:lang w:val="en-GB" w:eastAsia="en-GB"/>
        </w:rPr>
      </w:pPr>
      <w:hyperlink w:anchor="_Toc509261121" w:history="1">
        <w:r w:rsidR="00047E43" w:rsidRPr="00AC5372">
          <w:rPr>
            <w:rStyle w:val="Hyperlink"/>
          </w:rPr>
          <w:t>Types of placements</w:t>
        </w:r>
        <w:r w:rsidR="00047E43" w:rsidRPr="00AC5372">
          <w:rPr>
            <w:webHidden/>
          </w:rPr>
          <w:tab/>
        </w:r>
        <w:r w:rsidR="00047E43" w:rsidRPr="009601CD">
          <w:rPr>
            <w:webHidden/>
          </w:rPr>
          <w:fldChar w:fldCharType="begin"/>
        </w:r>
        <w:r w:rsidR="00047E43" w:rsidRPr="00AC5372">
          <w:rPr>
            <w:webHidden/>
          </w:rPr>
          <w:instrText xml:space="preserve"> PAGEREF _Toc509261121 \h </w:instrText>
        </w:r>
        <w:r w:rsidR="00047E43" w:rsidRPr="009601CD">
          <w:rPr>
            <w:webHidden/>
          </w:rPr>
        </w:r>
        <w:r w:rsidR="00047E43" w:rsidRPr="009601CD">
          <w:rPr>
            <w:webHidden/>
          </w:rPr>
          <w:fldChar w:fldCharType="separate"/>
        </w:r>
        <w:r w:rsidR="00B6551A">
          <w:rPr>
            <w:webHidden/>
          </w:rPr>
          <w:t>14</w:t>
        </w:r>
        <w:r w:rsidR="00047E43" w:rsidRPr="009601CD">
          <w:rPr>
            <w:webHidden/>
          </w:rPr>
          <w:fldChar w:fldCharType="end"/>
        </w:r>
      </w:hyperlink>
    </w:p>
    <w:p w14:paraId="71D92BAF" w14:textId="77777777" w:rsidR="00047E43" w:rsidRPr="005D5B64" w:rsidRDefault="0000522C">
      <w:pPr>
        <w:pStyle w:val="TOC2"/>
        <w:rPr>
          <w:rFonts w:eastAsiaTheme="minorEastAsia"/>
          <w:sz w:val="22"/>
          <w:szCs w:val="22"/>
          <w:lang w:val="en-GB" w:eastAsia="en-GB"/>
        </w:rPr>
      </w:pPr>
      <w:hyperlink w:anchor="_Toc509261122" w:history="1">
        <w:r w:rsidR="00047E43" w:rsidRPr="00AC5372">
          <w:rPr>
            <w:rStyle w:val="Hyperlink"/>
          </w:rPr>
          <w:t>Family and friends households</w:t>
        </w:r>
        <w:r w:rsidR="00047E43" w:rsidRPr="00AC5372">
          <w:rPr>
            <w:webHidden/>
          </w:rPr>
          <w:tab/>
        </w:r>
        <w:r w:rsidR="00047E43" w:rsidRPr="009601CD">
          <w:rPr>
            <w:webHidden/>
          </w:rPr>
          <w:fldChar w:fldCharType="begin"/>
        </w:r>
        <w:r w:rsidR="00047E43" w:rsidRPr="00AC5372">
          <w:rPr>
            <w:webHidden/>
          </w:rPr>
          <w:instrText xml:space="preserve"> PAGEREF _Toc509261122 \h </w:instrText>
        </w:r>
        <w:r w:rsidR="00047E43" w:rsidRPr="009601CD">
          <w:rPr>
            <w:webHidden/>
          </w:rPr>
        </w:r>
        <w:r w:rsidR="00047E43" w:rsidRPr="009601CD">
          <w:rPr>
            <w:webHidden/>
          </w:rPr>
          <w:fldChar w:fldCharType="separate"/>
        </w:r>
        <w:r w:rsidR="00B6551A">
          <w:rPr>
            <w:webHidden/>
          </w:rPr>
          <w:t>15</w:t>
        </w:r>
        <w:r w:rsidR="00047E43" w:rsidRPr="009601CD">
          <w:rPr>
            <w:webHidden/>
          </w:rPr>
          <w:fldChar w:fldCharType="end"/>
        </w:r>
      </w:hyperlink>
    </w:p>
    <w:p w14:paraId="336DBA95" w14:textId="77777777" w:rsidR="00047E43" w:rsidRPr="005D5B64" w:rsidRDefault="0000522C">
      <w:pPr>
        <w:pStyle w:val="TOC2"/>
        <w:rPr>
          <w:rFonts w:eastAsiaTheme="minorEastAsia"/>
          <w:sz w:val="22"/>
          <w:szCs w:val="22"/>
          <w:lang w:val="en-GB" w:eastAsia="en-GB"/>
        </w:rPr>
      </w:pPr>
      <w:hyperlink w:anchor="_Toc509261123" w:history="1">
        <w:r w:rsidR="00047E43" w:rsidRPr="00AC5372">
          <w:rPr>
            <w:rStyle w:val="Hyperlink"/>
          </w:rPr>
          <w:t>Short break households</w:t>
        </w:r>
        <w:r w:rsidR="00047E43" w:rsidRPr="00AC5372">
          <w:rPr>
            <w:webHidden/>
          </w:rPr>
          <w:tab/>
        </w:r>
        <w:r w:rsidR="00047E43" w:rsidRPr="009601CD">
          <w:rPr>
            <w:webHidden/>
          </w:rPr>
          <w:fldChar w:fldCharType="begin"/>
        </w:r>
        <w:r w:rsidR="00047E43" w:rsidRPr="00AC5372">
          <w:rPr>
            <w:webHidden/>
          </w:rPr>
          <w:instrText xml:space="preserve"> PAGEREF _Toc509261123 \h </w:instrText>
        </w:r>
        <w:r w:rsidR="00047E43" w:rsidRPr="009601CD">
          <w:rPr>
            <w:webHidden/>
          </w:rPr>
        </w:r>
        <w:r w:rsidR="00047E43" w:rsidRPr="009601CD">
          <w:rPr>
            <w:webHidden/>
          </w:rPr>
          <w:fldChar w:fldCharType="separate"/>
        </w:r>
        <w:r w:rsidR="00B6551A">
          <w:rPr>
            <w:webHidden/>
          </w:rPr>
          <w:t>15</w:t>
        </w:r>
        <w:r w:rsidR="00047E43" w:rsidRPr="009601CD">
          <w:rPr>
            <w:webHidden/>
          </w:rPr>
          <w:fldChar w:fldCharType="end"/>
        </w:r>
      </w:hyperlink>
    </w:p>
    <w:p w14:paraId="139BB016" w14:textId="77777777" w:rsidR="00047E43" w:rsidRPr="005D5B64" w:rsidRDefault="0000522C">
      <w:pPr>
        <w:pStyle w:val="TOC2"/>
        <w:rPr>
          <w:rFonts w:eastAsiaTheme="minorEastAsia"/>
          <w:sz w:val="22"/>
          <w:szCs w:val="22"/>
          <w:lang w:val="en-GB" w:eastAsia="en-GB"/>
        </w:rPr>
      </w:pPr>
      <w:hyperlink w:anchor="_Toc509261124" w:history="1">
        <w:r w:rsidR="00047E43" w:rsidRPr="00AC5372">
          <w:rPr>
            <w:rStyle w:val="Hyperlink"/>
          </w:rPr>
          <w:t>Foster carers</w:t>
        </w:r>
        <w:r w:rsidR="00047E43" w:rsidRPr="00AC5372">
          <w:rPr>
            <w:webHidden/>
          </w:rPr>
          <w:tab/>
        </w:r>
        <w:r w:rsidR="00047E43" w:rsidRPr="009601CD">
          <w:rPr>
            <w:webHidden/>
          </w:rPr>
          <w:fldChar w:fldCharType="begin"/>
        </w:r>
        <w:r w:rsidR="00047E43" w:rsidRPr="00AC5372">
          <w:rPr>
            <w:webHidden/>
          </w:rPr>
          <w:instrText xml:space="preserve"> PAGEREF _Toc509261124 \h </w:instrText>
        </w:r>
        <w:r w:rsidR="00047E43" w:rsidRPr="009601CD">
          <w:rPr>
            <w:webHidden/>
          </w:rPr>
        </w:r>
        <w:r w:rsidR="00047E43" w:rsidRPr="009601CD">
          <w:rPr>
            <w:webHidden/>
          </w:rPr>
          <w:fldChar w:fldCharType="separate"/>
        </w:r>
        <w:r w:rsidR="00B6551A">
          <w:rPr>
            <w:webHidden/>
          </w:rPr>
          <w:t>16</w:t>
        </w:r>
        <w:r w:rsidR="00047E43" w:rsidRPr="009601CD">
          <w:rPr>
            <w:webHidden/>
          </w:rPr>
          <w:fldChar w:fldCharType="end"/>
        </w:r>
      </w:hyperlink>
    </w:p>
    <w:p w14:paraId="56BEFA2E" w14:textId="77777777" w:rsidR="00047E43" w:rsidRPr="005D5B64" w:rsidRDefault="0000522C">
      <w:pPr>
        <w:pStyle w:val="TOC3"/>
        <w:rPr>
          <w:rFonts w:ascii="Tahoma" w:eastAsiaTheme="minorEastAsia" w:hAnsi="Tahoma" w:cs="Tahoma"/>
          <w:noProof/>
          <w:lang w:val="en-GB" w:eastAsia="en-GB"/>
        </w:rPr>
      </w:pPr>
      <w:hyperlink w:anchor="_Toc509261125" w:history="1">
        <w:r w:rsidR="00047E43" w:rsidRPr="005D5B64">
          <w:rPr>
            <w:rStyle w:val="Hyperlink"/>
            <w:rFonts w:ascii="Tahoma" w:hAnsi="Tahoma" w:cs="Tahoma"/>
            <w:noProof/>
          </w:rPr>
          <w:t>Approved foster carers</w:t>
        </w:r>
        <w:r w:rsidR="00047E43" w:rsidRPr="005D5B64">
          <w:rPr>
            <w:rFonts w:ascii="Tahoma" w:hAnsi="Tahoma" w:cs="Tahoma"/>
            <w:noProof/>
            <w:webHidden/>
          </w:rPr>
          <w:tab/>
        </w:r>
        <w:r w:rsidR="00047E43" w:rsidRPr="005D5B64">
          <w:rPr>
            <w:rFonts w:ascii="Tahoma" w:hAnsi="Tahoma" w:cs="Tahoma"/>
            <w:noProof/>
            <w:webHidden/>
          </w:rPr>
          <w:fldChar w:fldCharType="begin"/>
        </w:r>
        <w:r w:rsidR="00047E43" w:rsidRPr="005D5B64">
          <w:rPr>
            <w:rFonts w:ascii="Tahoma" w:hAnsi="Tahoma" w:cs="Tahoma"/>
            <w:noProof/>
            <w:webHidden/>
          </w:rPr>
          <w:instrText xml:space="preserve"> PAGEREF _Toc509261125 \h </w:instrText>
        </w:r>
        <w:r w:rsidR="00047E43" w:rsidRPr="005D5B64">
          <w:rPr>
            <w:rFonts w:ascii="Tahoma" w:hAnsi="Tahoma" w:cs="Tahoma"/>
            <w:noProof/>
            <w:webHidden/>
          </w:rPr>
        </w:r>
        <w:r w:rsidR="00047E43" w:rsidRPr="005D5B64">
          <w:rPr>
            <w:rFonts w:ascii="Tahoma" w:hAnsi="Tahoma" w:cs="Tahoma"/>
            <w:noProof/>
            <w:webHidden/>
          </w:rPr>
          <w:fldChar w:fldCharType="separate"/>
        </w:r>
        <w:r w:rsidR="00B6551A">
          <w:rPr>
            <w:rFonts w:ascii="Tahoma" w:hAnsi="Tahoma" w:cs="Tahoma"/>
            <w:noProof/>
            <w:webHidden/>
          </w:rPr>
          <w:t>16</w:t>
        </w:r>
        <w:r w:rsidR="00047E43" w:rsidRPr="005D5B64">
          <w:rPr>
            <w:rFonts w:ascii="Tahoma" w:hAnsi="Tahoma" w:cs="Tahoma"/>
            <w:noProof/>
            <w:webHidden/>
          </w:rPr>
          <w:fldChar w:fldCharType="end"/>
        </w:r>
      </w:hyperlink>
    </w:p>
    <w:p w14:paraId="7790ADC5" w14:textId="77777777" w:rsidR="00047E43" w:rsidRPr="005D5B64" w:rsidRDefault="0000522C">
      <w:pPr>
        <w:pStyle w:val="TOC3"/>
        <w:rPr>
          <w:rFonts w:ascii="Tahoma" w:eastAsiaTheme="minorEastAsia" w:hAnsi="Tahoma" w:cs="Tahoma"/>
          <w:noProof/>
          <w:lang w:val="en-GB" w:eastAsia="en-GB"/>
        </w:rPr>
      </w:pPr>
      <w:hyperlink w:anchor="_Toc509261126" w:history="1">
        <w:r w:rsidR="00047E43" w:rsidRPr="005D5B64">
          <w:rPr>
            <w:rStyle w:val="Hyperlink"/>
            <w:rFonts w:ascii="Tahoma" w:hAnsi="Tahoma" w:cs="Tahoma"/>
            <w:noProof/>
          </w:rPr>
          <w:t>Ethnicity</w:t>
        </w:r>
        <w:r w:rsidR="00047E43" w:rsidRPr="005D5B64">
          <w:rPr>
            <w:rFonts w:ascii="Tahoma" w:hAnsi="Tahoma" w:cs="Tahoma"/>
            <w:noProof/>
            <w:webHidden/>
          </w:rPr>
          <w:tab/>
        </w:r>
        <w:r w:rsidR="00047E43" w:rsidRPr="005D5B64">
          <w:rPr>
            <w:rFonts w:ascii="Tahoma" w:hAnsi="Tahoma" w:cs="Tahoma"/>
            <w:noProof/>
            <w:webHidden/>
          </w:rPr>
          <w:fldChar w:fldCharType="begin"/>
        </w:r>
        <w:r w:rsidR="00047E43" w:rsidRPr="005D5B64">
          <w:rPr>
            <w:rFonts w:ascii="Tahoma" w:hAnsi="Tahoma" w:cs="Tahoma"/>
            <w:noProof/>
            <w:webHidden/>
          </w:rPr>
          <w:instrText xml:space="preserve"> PAGEREF _Toc509261126 \h </w:instrText>
        </w:r>
        <w:r w:rsidR="00047E43" w:rsidRPr="005D5B64">
          <w:rPr>
            <w:rFonts w:ascii="Tahoma" w:hAnsi="Tahoma" w:cs="Tahoma"/>
            <w:noProof/>
            <w:webHidden/>
          </w:rPr>
        </w:r>
        <w:r w:rsidR="00047E43" w:rsidRPr="005D5B64">
          <w:rPr>
            <w:rFonts w:ascii="Tahoma" w:hAnsi="Tahoma" w:cs="Tahoma"/>
            <w:noProof/>
            <w:webHidden/>
          </w:rPr>
          <w:fldChar w:fldCharType="separate"/>
        </w:r>
        <w:r w:rsidR="00B6551A">
          <w:rPr>
            <w:rFonts w:ascii="Tahoma" w:hAnsi="Tahoma" w:cs="Tahoma"/>
            <w:noProof/>
            <w:webHidden/>
          </w:rPr>
          <w:t>17</w:t>
        </w:r>
        <w:r w:rsidR="00047E43" w:rsidRPr="005D5B64">
          <w:rPr>
            <w:rFonts w:ascii="Tahoma" w:hAnsi="Tahoma" w:cs="Tahoma"/>
            <w:noProof/>
            <w:webHidden/>
          </w:rPr>
          <w:fldChar w:fldCharType="end"/>
        </w:r>
      </w:hyperlink>
    </w:p>
    <w:p w14:paraId="04675076" w14:textId="77777777" w:rsidR="00047E43" w:rsidRPr="005D5B64" w:rsidRDefault="0000522C">
      <w:pPr>
        <w:pStyle w:val="TOC2"/>
        <w:rPr>
          <w:rFonts w:eastAsiaTheme="minorEastAsia"/>
          <w:sz w:val="22"/>
          <w:szCs w:val="22"/>
          <w:lang w:val="en-GB" w:eastAsia="en-GB"/>
        </w:rPr>
      </w:pPr>
      <w:hyperlink w:anchor="_Toc509261127" w:history="1">
        <w:r w:rsidR="00047E43" w:rsidRPr="00AC5372">
          <w:rPr>
            <w:rStyle w:val="Hyperlink"/>
          </w:rPr>
          <w:t>Children and young people</w:t>
        </w:r>
        <w:r w:rsidR="00047E43" w:rsidRPr="00AC5372">
          <w:rPr>
            <w:webHidden/>
          </w:rPr>
          <w:tab/>
        </w:r>
        <w:r w:rsidR="00047E43" w:rsidRPr="009601CD">
          <w:rPr>
            <w:webHidden/>
          </w:rPr>
          <w:fldChar w:fldCharType="begin"/>
        </w:r>
        <w:r w:rsidR="00047E43" w:rsidRPr="00AC5372">
          <w:rPr>
            <w:webHidden/>
          </w:rPr>
          <w:instrText xml:space="preserve"> PAGEREF _Toc509261127 \h </w:instrText>
        </w:r>
        <w:r w:rsidR="00047E43" w:rsidRPr="009601CD">
          <w:rPr>
            <w:webHidden/>
          </w:rPr>
        </w:r>
        <w:r w:rsidR="00047E43" w:rsidRPr="009601CD">
          <w:rPr>
            <w:webHidden/>
          </w:rPr>
          <w:fldChar w:fldCharType="separate"/>
        </w:r>
        <w:r w:rsidR="00B6551A">
          <w:rPr>
            <w:webHidden/>
          </w:rPr>
          <w:t>18</w:t>
        </w:r>
        <w:r w:rsidR="00047E43" w:rsidRPr="009601CD">
          <w:rPr>
            <w:webHidden/>
          </w:rPr>
          <w:fldChar w:fldCharType="end"/>
        </w:r>
      </w:hyperlink>
    </w:p>
    <w:p w14:paraId="0A8675F1" w14:textId="77777777" w:rsidR="00047E43" w:rsidRPr="005D5B64" w:rsidRDefault="0000522C">
      <w:pPr>
        <w:pStyle w:val="TOC2"/>
        <w:rPr>
          <w:rFonts w:eastAsiaTheme="minorEastAsia"/>
          <w:sz w:val="22"/>
          <w:szCs w:val="22"/>
          <w:lang w:val="en-GB" w:eastAsia="en-GB"/>
        </w:rPr>
      </w:pPr>
      <w:hyperlink w:anchor="_Toc509261128" w:history="1">
        <w:r w:rsidR="00047E43" w:rsidRPr="00AC5372">
          <w:rPr>
            <w:rStyle w:val="Hyperlink"/>
          </w:rPr>
          <w:t>Number of children fostered</w:t>
        </w:r>
        <w:r w:rsidR="00047E43" w:rsidRPr="00AC5372">
          <w:rPr>
            <w:webHidden/>
          </w:rPr>
          <w:tab/>
        </w:r>
        <w:r w:rsidR="00047E43" w:rsidRPr="009601CD">
          <w:rPr>
            <w:webHidden/>
          </w:rPr>
          <w:fldChar w:fldCharType="begin"/>
        </w:r>
        <w:r w:rsidR="00047E43" w:rsidRPr="00AC5372">
          <w:rPr>
            <w:webHidden/>
          </w:rPr>
          <w:instrText xml:space="preserve"> PAGEREF _Toc509261128 \h </w:instrText>
        </w:r>
        <w:r w:rsidR="00047E43" w:rsidRPr="009601CD">
          <w:rPr>
            <w:webHidden/>
          </w:rPr>
        </w:r>
        <w:r w:rsidR="00047E43" w:rsidRPr="009601CD">
          <w:rPr>
            <w:webHidden/>
          </w:rPr>
          <w:fldChar w:fldCharType="separate"/>
        </w:r>
        <w:r w:rsidR="00B6551A">
          <w:rPr>
            <w:webHidden/>
          </w:rPr>
          <w:t>18</w:t>
        </w:r>
        <w:r w:rsidR="00047E43" w:rsidRPr="009601CD">
          <w:rPr>
            <w:webHidden/>
          </w:rPr>
          <w:fldChar w:fldCharType="end"/>
        </w:r>
      </w:hyperlink>
    </w:p>
    <w:p w14:paraId="6367656E" w14:textId="77777777" w:rsidR="00047E43" w:rsidRPr="005D5B64" w:rsidRDefault="0000522C">
      <w:pPr>
        <w:pStyle w:val="TOC2"/>
        <w:rPr>
          <w:rFonts w:eastAsiaTheme="minorEastAsia"/>
          <w:sz w:val="22"/>
          <w:szCs w:val="22"/>
          <w:lang w:val="en-GB" w:eastAsia="en-GB"/>
        </w:rPr>
      </w:pPr>
      <w:hyperlink w:anchor="_Toc509261129" w:history="1">
        <w:r w:rsidR="00047E43" w:rsidRPr="00AC5372">
          <w:rPr>
            <w:rStyle w:val="Hyperlink"/>
          </w:rPr>
          <w:t>Characteristics of children</w:t>
        </w:r>
        <w:r w:rsidR="00047E43" w:rsidRPr="00AC5372">
          <w:rPr>
            <w:webHidden/>
          </w:rPr>
          <w:tab/>
        </w:r>
        <w:r w:rsidR="00047E43" w:rsidRPr="009601CD">
          <w:rPr>
            <w:webHidden/>
          </w:rPr>
          <w:fldChar w:fldCharType="begin"/>
        </w:r>
        <w:r w:rsidR="00047E43" w:rsidRPr="00AC5372">
          <w:rPr>
            <w:webHidden/>
          </w:rPr>
          <w:instrText xml:space="preserve"> PAGEREF _Toc509261129 \h </w:instrText>
        </w:r>
        <w:r w:rsidR="00047E43" w:rsidRPr="009601CD">
          <w:rPr>
            <w:webHidden/>
          </w:rPr>
        </w:r>
        <w:r w:rsidR="00047E43" w:rsidRPr="009601CD">
          <w:rPr>
            <w:webHidden/>
          </w:rPr>
          <w:fldChar w:fldCharType="separate"/>
        </w:r>
        <w:r w:rsidR="00B6551A">
          <w:rPr>
            <w:webHidden/>
          </w:rPr>
          <w:t>18</w:t>
        </w:r>
        <w:r w:rsidR="00047E43" w:rsidRPr="009601CD">
          <w:rPr>
            <w:webHidden/>
          </w:rPr>
          <w:fldChar w:fldCharType="end"/>
        </w:r>
      </w:hyperlink>
    </w:p>
    <w:p w14:paraId="10AB26B9" w14:textId="77777777" w:rsidR="00047E43" w:rsidRPr="005D5B64" w:rsidRDefault="0000522C">
      <w:pPr>
        <w:pStyle w:val="TOC3"/>
        <w:rPr>
          <w:rFonts w:ascii="Tahoma" w:eastAsiaTheme="minorEastAsia" w:hAnsi="Tahoma" w:cs="Tahoma"/>
          <w:noProof/>
          <w:lang w:val="en-GB" w:eastAsia="en-GB"/>
        </w:rPr>
      </w:pPr>
      <w:hyperlink w:anchor="_Toc509261130" w:history="1">
        <w:r w:rsidR="00047E43" w:rsidRPr="005D5B64">
          <w:rPr>
            <w:rStyle w:val="Hyperlink"/>
            <w:rFonts w:ascii="Tahoma" w:hAnsi="Tahoma" w:cs="Tahoma"/>
            <w:noProof/>
          </w:rPr>
          <w:t>Ethnicity</w:t>
        </w:r>
        <w:r w:rsidR="00047E43" w:rsidRPr="005D5B64">
          <w:rPr>
            <w:rFonts w:ascii="Tahoma" w:hAnsi="Tahoma" w:cs="Tahoma"/>
            <w:noProof/>
            <w:webHidden/>
          </w:rPr>
          <w:tab/>
        </w:r>
        <w:r w:rsidR="00047E43" w:rsidRPr="005D5B64">
          <w:rPr>
            <w:rFonts w:ascii="Tahoma" w:hAnsi="Tahoma" w:cs="Tahoma"/>
            <w:noProof/>
            <w:webHidden/>
          </w:rPr>
          <w:fldChar w:fldCharType="begin"/>
        </w:r>
        <w:r w:rsidR="00047E43" w:rsidRPr="005D5B64">
          <w:rPr>
            <w:rFonts w:ascii="Tahoma" w:hAnsi="Tahoma" w:cs="Tahoma"/>
            <w:noProof/>
            <w:webHidden/>
          </w:rPr>
          <w:instrText xml:space="preserve"> PAGEREF _Toc509261130 \h </w:instrText>
        </w:r>
        <w:r w:rsidR="00047E43" w:rsidRPr="005D5B64">
          <w:rPr>
            <w:rFonts w:ascii="Tahoma" w:hAnsi="Tahoma" w:cs="Tahoma"/>
            <w:noProof/>
            <w:webHidden/>
          </w:rPr>
        </w:r>
        <w:r w:rsidR="00047E43" w:rsidRPr="005D5B64">
          <w:rPr>
            <w:rFonts w:ascii="Tahoma" w:hAnsi="Tahoma" w:cs="Tahoma"/>
            <w:noProof/>
            <w:webHidden/>
          </w:rPr>
          <w:fldChar w:fldCharType="separate"/>
        </w:r>
        <w:r w:rsidR="00B6551A">
          <w:rPr>
            <w:rFonts w:ascii="Tahoma" w:hAnsi="Tahoma" w:cs="Tahoma"/>
            <w:noProof/>
            <w:webHidden/>
          </w:rPr>
          <w:t>19</w:t>
        </w:r>
        <w:r w:rsidR="00047E43" w:rsidRPr="005D5B64">
          <w:rPr>
            <w:rFonts w:ascii="Tahoma" w:hAnsi="Tahoma" w:cs="Tahoma"/>
            <w:noProof/>
            <w:webHidden/>
          </w:rPr>
          <w:fldChar w:fldCharType="end"/>
        </w:r>
      </w:hyperlink>
    </w:p>
    <w:p w14:paraId="10F9410E" w14:textId="77777777" w:rsidR="00047E43" w:rsidRPr="005D5B64" w:rsidRDefault="0000522C">
      <w:pPr>
        <w:pStyle w:val="TOC3"/>
        <w:rPr>
          <w:rFonts w:ascii="Tahoma" w:eastAsiaTheme="minorEastAsia" w:hAnsi="Tahoma" w:cs="Tahoma"/>
          <w:noProof/>
          <w:lang w:val="en-GB" w:eastAsia="en-GB"/>
        </w:rPr>
      </w:pPr>
      <w:hyperlink w:anchor="_Toc509261131" w:history="1">
        <w:r w:rsidR="00047E43" w:rsidRPr="005D5B64">
          <w:rPr>
            <w:rStyle w:val="Hyperlink"/>
            <w:rFonts w:ascii="Tahoma" w:hAnsi="Tahoma" w:cs="Tahoma"/>
            <w:noProof/>
          </w:rPr>
          <w:t>Disability</w:t>
        </w:r>
        <w:r w:rsidR="00047E43" w:rsidRPr="005D5B64">
          <w:rPr>
            <w:rFonts w:ascii="Tahoma" w:hAnsi="Tahoma" w:cs="Tahoma"/>
            <w:noProof/>
            <w:webHidden/>
          </w:rPr>
          <w:tab/>
        </w:r>
        <w:r w:rsidR="00047E43" w:rsidRPr="005D5B64">
          <w:rPr>
            <w:rFonts w:ascii="Tahoma" w:hAnsi="Tahoma" w:cs="Tahoma"/>
            <w:noProof/>
            <w:webHidden/>
          </w:rPr>
          <w:fldChar w:fldCharType="begin"/>
        </w:r>
        <w:r w:rsidR="00047E43" w:rsidRPr="005D5B64">
          <w:rPr>
            <w:rFonts w:ascii="Tahoma" w:hAnsi="Tahoma" w:cs="Tahoma"/>
            <w:noProof/>
            <w:webHidden/>
          </w:rPr>
          <w:instrText xml:space="preserve"> PAGEREF _Toc509261131 \h </w:instrText>
        </w:r>
        <w:r w:rsidR="00047E43" w:rsidRPr="005D5B64">
          <w:rPr>
            <w:rFonts w:ascii="Tahoma" w:hAnsi="Tahoma" w:cs="Tahoma"/>
            <w:noProof/>
            <w:webHidden/>
          </w:rPr>
        </w:r>
        <w:r w:rsidR="00047E43" w:rsidRPr="005D5B64">
          <w:rPr>
            <w:rFonts w:ascii="Tahoma" w:hAnsi="Tahoma" w:cs="Tahoma"/>
            <w:noProof/>
            <w:webHidden/>
          </w:rPr>
          <w:fldChar w:fldCharType="separate"/>
        </w:r>
        <w:r w:rsidR="00B6551A">
          <w:rPr>
            <w:rFonts w:ascii="Tahoma" w:hAnsi="Tahoma" w:cs="Tahoma"/>
            <w:noProof/>
            <w:webHidden/>
          </w:rPr>
          <w:t>19</w:t>
        </w:r>
        <w:r w:rsidR="00047E43" w:rsidRPr="005D5B64">
          <w:rPr>
            <w:rFonts w:ascii="Tahoma" w:hAnsi="Tahoma" w:cs="Tahoma"/>
            <w:noProof/>
            <w:webHidden/>
          </w:rPr>
          <w:fldChar w:fldCharType="end"/>
        </w:r>
      </w:hyperlink>
    </w:p>
    <w:p w14:paraId="45417241" w14:textId="77777777" w:rsidR="00047E43" w:rsidRPr="005D5B64" w:rsidRDefault="0000522C">
      <w:pPr>
        <w:pStyle w:val="TOC2"/>
        <w:rPr>
          <w:rFonts w:eastAsiaTheme="minorEastAsia"/>
          <w:sz w:val="22"/>
          <w:szCs w:val="22"/>
          <w:lang w:val="en-GB" w:eastAsia="en-GB"/>
        </w:rPr>
      </w:pPr>
      <w:hyperlink w:anchor="_Toc509261132" w:history="1">
        <w:r w:rsidR="00047E43" w:rsidRPr="00AC5372">
          <w:rPr>
            <w:rStyle w:val="Hyperlink"/>
          </w:rPr>
          <w:t>Children’s experiences</w:t>
        </w:r>
        <w:r w:rsidR="00047E43" w:rsidRPr="00AC5372">
          <w:rPr>
            <w:webHidden/>
          </w:rPr>
          <w:tab/>
        </w:r>
        <w:r w:rsidR="00047E43" w:rsidRPr="009601CD">
          <w:rPr>
            <w:webHidden/>
          </w:rPr>
          <w:fldChar w:fldCharType="begin"/>
        </w:r>
        <w:r w:rsidR="00047E43" w:rsidRPr="00AC5372">
          <w:rPr>
            <w:webHidden/>
          </w:rPr>
          <w:instrText xml:space="preserve"> PAGEREF _Toc509261132 \h </w:instrText>
        </w:r>
        <w:r w:rsidR="00047E43" w:rsidRPr="009601CD">
          <w:rPr>
            <w:webHidden/>
          </w:rPr>
        </w:r>
        <w:r w:rsidR="00047E43" w:rsidRPr="009601CD">
          <w:rPr>
            <w:webHidden/>
          </w:rPr>
          <w:fldChar w:fldCharType="separate"/>
        </w:r>
        <w:r w:rsidR="00B6551A">
          <w:rPr>
            <w:webHidden/>
          </w:rPr>
          <w:t>20</w:t>
        </w:r>
        <w:r w:rsidR="00047E43" w:rsidRPr="009601CD">
          <w:rPr>
            <w:webHidden/>
          </w:rPr>
          <w:fldChar w:fldCharType="end"/>
        </w:r>
      </w:hyperlink>
    </w:p>
    <w:p w14:paraId="7AC8FBFB" w14:textId="77777777" w:rsidR="00047E43" w:rsidRPr="005D5B64" w:rsidRDefault="0000522C">
      <w:pPr>
        <w:pStyle w:val="TOC3"/>
        <w:rPr>
          <w:rFonts w:ascii="Tahoma" w:eastAsiaTheme="minorEastAsia" w:hAnsi="Tahoma" w:cs="Tahoma"/>
          <w:noProof/>
          <w:lang w:val="en-GB" w:eastAsia="en-GB"/>
        </w:rPr>
      </w:pPr>
      <w:hyperlink w:anchor="_Toc509261133" w:history="1">
        <w:r w:rsidR="00047E43" w:rsidRPr="005D5B64">
          <w:rPr>
            <w:rStyle w:val="Hyperlink"/>
            <w:rFonts w:ascii="Tahoma" w:hAnsi="Tahoma" w:cs="Tahoma"/>
            <w:noProof/>
          </w:rPr>
          <w:t>Placement stability</w:t>
        </w:r>
        <w:r w:rsidR="00047E43" w:rsidRPr="005D5B64">
          <w:rPr>
            <w:rFonts w:ascii="Tahoma" w:hAnsi="Tahoma" w:cs="Tahoma"/>
            <w:noProof/>
            <w:webHidden/>
          </w:rPr>
          <w:tab/>
        </w:r>
        <w:r w:rsidR="00047E43" w:rsidRPr="005D5B64">
          <w:rPr>
            <w:rFonts w:ascii="Tahoma" w:hAnsi="Tahoma" w:cs="Tahoma"/>
            <w:noProof/>
            <w:webHidden/>
          </w:rPr>
          <w:fldChar w:fldCharType="begin"/>
        </w:r>
        <w:r w:rsidR="00047E43" w:rsidRPr="005D5B64">
          <w:rPr>
            <w:rFonts w:ascii="Tahoma" w:hAnsi="Tahoma" w:cs="Tahoma"/>
            <w:noProof/>
            <w:webHidden/>
          </w:rPr>
          <w:instrText xml:space="preserve"> PAGEREF _Toc509261133 \h </w:instrText>
        </w:r>
        <w:r w:rsidR="00047E43" w:rsidRPr="005D5B64">
          <w:rPr>
            <w:rFonts w:ascii="Tahoma" w:hAnsi="Tahoma" w:cs="Tahoma"/>
            <w:noProof/>
            <w:webHidden/>
          </w:rPr>
        </w:r>
        <w:r w:rsidR="00047E43" w:rsidRPr="005D5B64">
          <w:rPr>
            <w:rFonts w:ascii="Tahoma" w:hAnsi="Tahoma" w:cs="Tahoma"/>
            <w:noProof/>
            <w:webHidden/>
          </w:rPr>
          <w:fldChar w:fldCharType="separate"/>
        </w:r>
        <w:r w:rsidR="00B6551A">
          <w:rPr>
            <w:rFonts w:ascii="Tahoma" w:hAnsi="Tahoma" w:cs="Tahoma"/>
            <w:noProof/>
            <w:webHidden/>
          </w:rPr>
          <w:t>20</w:t>
        </w:r>
        <w:r w:rsidR="00047E43" w:rsidRPr="005D5B64">
          <w:rPr>
            <w:rFonts w:ascii="Tahoma" w:hAnsi="Tahoma" w:cs="Tahoma"/>
            <w:noProof/>
            <w:webHidden/>
          </w:rPr>
          <w:fldChar w:fldCharType="end"/>
        </w:r>
      </w:hyperlink>
    </w:p>
    <w:p w14:paraId="0B77BA42" w14:textId="77777777" w:rsidR="00047E43" w:rsidRPr="005D5B64" w:rsidRDefault="0000522C">
      <w:pPr>
        <w:pStyle w:val="TOC3"/>
        <w:rPr>
          <w:rFonts w:ascii="Tahoma" w:eastAsiaTheme="minorEastAsia" w:hAnsi="Tahoma" w:cs="Tahoma"/>
          <w:noProof/>
          <w:lang w:val="en-GB" w:eastAsia="en-GB"/>
        </w:rPr>
      </w:pPr>
      <w:hyperlink w:anchor="_Toc509261134" w:history="1">
        <w:r w:rsidR="00047E43" w:rsidRPr="005D5B64">
          <w:rPr>
            <w:rStyle w:val="Hyperlink"/>
            <w:rFonts w:ascii="Tahoma" w:hAnsi="Tahoma" w:cs="Tahoma"/>
            <w:noProof/>
          </w:rPr>
          <w:t>Staying Put</w:t>
        </w:r>
        <w:r w:rsidR="00047E43" w:rsidRPr="005D5B64">
          <w:rPr>
            <w:rFonts w:ascii="Tahoma" w:hAnsi="Tahoma" w:cs="Tahoma"/>
            <w:noProof/>
            <w:webHidden/>
          </w:rPr>
          <w:tab/>
        </w:r>
        <w:r w:rsidR="00047E43" w:rsidRPr="005D5B64">
          <w:rPr>
            <w:rFonts w:ascii="Tahoma" w:hAnsi="Tahoma" w:cs="Tahoma"/>
            <w:noProof/>
            <w:webHidden/>
          </w:rPr>
          <w:fldChar w:fldCharType="begin"/>
        </w:r>
        <w:r w:rsidR="00047E43" w:rsidRPr="005D5B64">
          <w:rPr>
            <w:rFonts w:ascii="Tahoma" w:hAnsi="Tahoma" w:cs="Tahoma"/>
            <w:noProof/>
            <w:webHidden/>
          </w:rPr>
          <w:instrText xml:space="preserve"> PAGEREF _Toc509261134 \h </w:instrText>
        </w:r>
        <w:r w:rsidR="00047E43" w:rsidRPr="005D5B64">
          <w:rPr>
            <w:rFonts w:ascii="Tahoma" w:hAnsi="Tahoma" w:cs="Tahoma"/>
            <w:noProof/>
            <w:webHidden/>
          </w:rPr>
        </w:r>
        <w:r w:rsidR="00047E43" w:rsidRPr="005D5B64">
          <w:rPr>
            <w:rFonts w:ascii="Tahoma" w:hAnsi="Tahoma" w:cs="Tahoma"/>
            <w:noProof/>
            <w:webHidden/>
          </w:rPr>
          <w:fldChar w:fldCharType="separate"/>
        </w:r>
        <w:r w:rsidR="00B6551A">
          <w:rPr>
            <w:rFonts w:ascii="Tahoma" w:hAnsi="Tahoma" w:cs="Tahoma"/>
            <w:noProof/>
            <w:webHidden/>
          </w:rPr>
          <w:t>21</w:t>
        </w:r>
        <w:r w:rsidR="00047E43" w:rsidRPr="005D5B64">
          <w:rPr>
            <w:rFonts w:ascii="Tahoma" w:hAnsi="Tahoma" w:cs="Tahoma"/>
            <w:noProof/>
            <w:webHidden/>
          </w:rPr>
          <w:fldChar w:fldCharType="end"/>
        </w:r>
      </w:hyperlink>
    </w:p>
    <w:p w14:paraId="0B312303" w14:textId="77777777" w:rsidR="00047E43" w:rsidRPr="005D5B64" w:rsidRDefault="0000522C">
      <w:pPr>
        <w:pStyle w:val="TOC3"/>
        <w:rPr>
          <w:rFonts w:ascii="Tahoma" w:eastAsiaTheme="minorEastAsia" w:hAnsi="Tahoma" w:cs="Tahoma"/>
          <w:noProof/>
          <w:lang w:val="en-GB" w:eastAsia="en-GB"/>
        </w:rPr>
      </w:pPr>
      <w:hyperlink w:anchor="_Toc509261135" w:history="1">
        <w:r w:rsidR="00047E43" w:rsidRPr="005D5B64">
          <w:rPr>
            <w:rStyle w:val="Hyperlink"/>
            <w:rFonts w:ascii="Tahoma" w:hAnsi="Tahoma" w:cs="Tahoma"/>
            <w:noProof/>
          </w:rPr>
          <w:t>Education</w:t>
        </w:r>
        <w:r w:rsidR="00047E43" w:rsidRPr="005D5B64">
          <w:rPr>
            <w:rFonts w:ascii="Tahoma" w:hAnsi="Tahoma" w:cs="Tahoma"/>
            <w:noProof/>
            <w:webHidden/>
          </w:rPr>
          <w:tab/>
        </w:r>
        <w:r w:rsidR="00047E43" w:rsidRPr="005D5B64">
          <w:rPr>
            <w:rFonts w:ascii="Tahoma" w:hAnsi="Tahoma" w:cs="Tahoma"/>
            <w:noProof/>
            <w:webHidden/>
          </w:rPr>
          <w:fldChar w:fldCharType="begin"/>
        </w:r>
        <w:r w:rsidR="00047E43" w:rsidRPr="005D5B64">
          <w:rPr>
            <w:rFonts w:ascii="Tahoma" w:hAnsi="Tahoma" w:cs="Tahoma"/>
            <w:noProof/>
            <w:webHidden/>
          </w:rPr>
          <w:instrText xml:space="preserve"> PAGEREF _Toc509261135 \h </w:instrText>
        </w:r>
        <w:r w:rsidR="00047E43" w:rsidRPr="005D5B64">
          <w:rPr>
            <w:rFonts w:ascii="Tahoma" w:hAnsi="Tahoma" w:cs="Tahoma"/>
            <w:noProof/>
            <w:webHidden/>
          </w:rPr>
        </w:r>
        <w:r w:rsidR="00047E43" w:rsidRPr="005D5B64">
          <w:rPr>
            <w:rFonts w:ascii="Tahoma" w:hAnsi="Tahoma" w:cs="Tahoma"/>
            <w:noProof/>
            <w:webHidden/>
          </w:rPr>
          <w:fldChar w:fldCharType="separate"/>
        </w:r>
        <w:r w:rsidR="00B6551A">
          <w:rPr>
            <w:rFonts w:ascii="Tahoma" w:hAnsi="Tahoma" w:cs="Tahoma"/>
            <w:noProof/>
            <w:webHidden/>
          </w:rPr>
          <w:t>22</w:t>
        </w:r>
        <w:r w:rsidR="00047E43" w:rsidRPr="005D5B64">
          <w:rPr>
            <w:rFonts w:ascii="Tahoma" w:hAnsi="Tahoma" w:cs="Tahoma"/>
            <w:noProof/>
            <w:webHidden/>
          </w:rPr>
          <w:fldChar w:fldCharType="end"/>
        </w:r>
      </w:hyperlink>
    </w:p>
    <w:p w14:paraId="7718E3EE" w14:textId="77777777" w:rsidR="00047E43" w:rsidRPr="005D5B64" w:rsidRDefault="0000522C">
      <w:pPr>
        <w:pStyle w:val="TOC3"/>
        <w:rPr>
          <w:rFonts w:ascii="Tahoma" w:eastAsiaTheme="minorEastAsia" w:hAnsi="Tahoma" w:cs="Tahoma"/>
          <w:noProof/>
          <w:lang w:val="en-GB" w:eastAsia="en-GB"/>
        </w:rPr>
      </w:pPr>
      <w:hyperlink w:anchor="_Toc509261136" w:history="1">
        <w:r w:rsidR="00047E43" w:rsidRPr="005D5B64">
          <w:rPr>
            <w:rStyle w:val="Hyperlink"/>
            <w:rFonts w:ascii="Tahoma" w:hAnsi="Tahoma" w:cs="Tahoma"/>
            <w:noProof/>
          </w:rPr>
          <w:t>Restraint</w:t>
        </w:r>
        <w:r w:rsidR="00047E43" w:rsidRPr="005D5B64">
          <w:rPr>
            <w:rFonts w:ascii="Tahoma" w:hAnsi="Tahoma" w:cs="Tahoma"/>
            <w:noProof/>
            <w:webHidden/>
          </w:rPr>
          <w:tab/>
        </w:r>
        <w:r w:rsidR="00047E43" w:rsidRPr="005D5B64">
          <w:rPr>
            <w:rFonts w:ascii="Tahoma" w:hAnsi="Tahoma" w:cs="Tahoma"/>
            <w:noProof/>
            <w:webHidden/>
          </w:rPr>
          <w:fldChar w:fldCharType="begin"/>
        </w:r>
        <w:r w:rsidR="00047E43" w:rsidRPr="005D5B64">
          <w:rPr>
            <w:rFonts w:ascii="Tahoma" w:hAnsi="Tahoma" w:cs="Tahoma"/>
            <w:noProof/>
            <w:webHidden/>
          </w:rPr>
          <w:instrText xml:space="preserve"> PAGEREF _Toc509261136 \h </w:instrText>
        </w:r>
        <w:r w:rsidR="00047E43" w:rsidRPr="005D5B64">
          <w:rPr>
            <w:rFonts w:ascii="Tahoma" w:hAnsi="Tahoma" w:cs="Tahoma"/>
            <w:noProof/>
            <w:webHidden/>
          </w:rPr>
        </w:r>
        <w:r w:rsidR="00047E43" w:rsidRPr="005D5B64">
          <w:rPr>
            <w:rFonts w:ascii="Tahoma" w:hAnsi="Tahoma" w:cs="Tahoma"/>
            <w:noProof/>
            <w:webHidden/>
          </w:rPr>
          <w:fldChar w:fldCharType="separate"/>
        </w:r>
        <w:r w:rsidR="00B6551A">
          <w:rPr>
            <w:rFonts w:ascii="Tahoma" w:hAnsi="Tahoma" w:cs="Tahoma"/>
            <w:noProof/>
            <w:webHidden/>
          </w:rPr>
          <w:t>24</w:t>
        </w:r>
        <w:r w:rsidR="00047E43" w:rsidRPr="005D5B64">
          <w:rPr>
            <w:rFonts w:ascii="Tahoma" w:hAnsi="Tahoma" w:cs="Tahoma"/>
            <w:noProof/>
            <w:webHidden/>
          </w:rPr>
          <w:fldChar w:fldCharType="end"/>
        </w:r>
      </w:hyperlink>
    </w:p>
    <w:p w14:paraId="10ED2A5C" w14:textId="77777777" w:rsidR="00047E43" w:rsidRPr="005D5B64" w:rsidRDefault="0000522C">
      <w:pPr>
        <w:pStyle w:val="TOC2"/>
        <w:rPr>
          <w:rFonts w:eastAsiaTheme="minorEastAsia"/>
          <w:sz w:val="22"/>
          <w:szCs w:val="22"/>
          <w:lang w:val="en-GB" w:eastAsia="en-GB"/>
        </w:rPr>
      </w:pPr>
      <w:hyperlink w:anchor="_Toc509261137" w:history="1">
        <w:r w:rsidR="00047E43" w:rsidRPr="00AC5372">
          <w:rPr>
            <w:rStyle w:val="Hyperlink"/>
          </w:rPr>
          <w:t>Safeguarding</w:t>
        </w:r>
        <w:r w:rsidR="00047E43" w:rsidRPr="00AC5372">
          <w:rPr>
            <w:webHidden/>
          </w:rPr>
          <w:tab/>
        </w:r>
        <w:r w:rsidR="00047E43" w:rsidRPr="009601CD">
          <w:rPr>
            <w:webHidden/>
          </w:rPr>
          <w:fldChar w:fldCharType="begin"/>
        </w:r>
        <w:r w:rsidR="00047E43" w:rsidRPr="00AC5372">
          <w:rPr>
            <w:webHidden/>
          </w:rPr>
          <w:instrText xml:space="preserve"> PAGEREF _Toc509261137 \h </w:instrText>
        </w:r>
        <w:r w:rsidR="00047E43" w:rsidRPr="009601CD">
          <w:rPr>
            <w:webHidden/>
          </w:rPr>
        </w:r>
        <w:r w:rsidR="00047E43" w:rsidRPr="009601CD">
          <w:rPr>
            <w:webHidden/>
          </w:rPr>
          <w:fldChar w:fldCharType="separate"/>
        </w:r>
        <w:r w:rsidR="00B6551A">
          <w:rPr>
            <w:webHidden/>
          </w:rPr>
          <w:t>24</w:t>
        </w:r>
        <w:r w:rsidR="00047E43" w:rsidRPr="009601CD">
          <w:rPr>
            <w:webHidden/>
          </w:rPr>
          <w:fldChar w:fldCharType="end"/>
        </w:r>
      </w:hyperlink>
    </w:p>
    <w:p w14:paraId="757EB980" w14:textId="77777777" w:rsidR="00047E43" w:rsidRPr="005D5B64" w:rsidRDefault="0000522C">
      <w:pPr>
        <w:pStyle w:val="TOC3"/>
        <w:rPr>
          <w:rFonts w:ascii="Tahoma" w:eastAsiaTheme="minorEastAsia" w:hAnsi="Tahoma" w:cs="Tahoma"/>
          <w:noProof/>
          <w:lang w:val="en-GB" w:eastAsia="en-GB"/>
        </w:rPr>
      </w:pPr>
      <w:hyperlink w:anchor="_Toc509261138" w:history="1">
        <w:r w:rsidR="00047E43" w:rsidRPr="005D5B64">
          <w:rPr>
            <w:rStyle w:val="Hyperlink"/>
            <w:rFonts w:ascii="Tahoma" w:hAnsi="Tahoma" w:cs="Tahoma"/>
            <w:noProof/>
          </w:rPr>
          <w:t>Child sexual exploitation</w:t>
        </w:r>
        <w:r w:rsidR="00047E43" w:rsidRPr="005D5B64">
          <w:rPr>
            <w:rFonts w:ascii="Tahoma" w:hAnsi="Tahoma" w:cs="Tahoma"/>
            <w:noProof/>
            <w:webHidden/>
          </w:rPr>
          <w:tab/>
        </w:r>
        <w:r w:rsidR="00047E43" w:rsidRPr="005D5B64">
          <w:rPr>
            <w:rFonts w:ascii="Tahoma" w:hAnsi="Tahoma" w:cs="Tahoma"/>
            <w:noProof/>
            <w:webHidden/>
          </w:rPr>
          <w:fldChar w:fldCharType="begin"/>
        </w:r>
        <w:r w:rsidR="00047E43" w:rsidRPr="005D5B64">
          <w:rPr>
            <w:rFonts w:ascii="Tahoma" w:hAnsi="Tahoma" w:cs="Tahoma"/>
            <w:noProof/>
            <w:webHidden/>
          </w:rPr>
          <w:instrText xml:space="preserve"> PAGEREF _Toc509261138 \h </w:instrText>
        </w:r>
        <w:r w:rsidR="00047E43" w:rsidRPr="005D5B64">
          <w:rPr>
            <w:rFonts w:ascii="Tahoma" w:hAnsi="Tahoma" w:cs="Tahoma"/>
            <w:noProof/>
            <w:webHidden/>
          </w:rPr>
        </w:r>
        <w:r w:rsidR="00047E43" w:rsidRPr="005D5B64">
          <w:rPr>
            <w:rFonts w:ascii="Tahoma" w:hAnsi="Tahoma" w:cs="Tahoma"/>
            <w:noProof/>
            <w:webHidden/>
          </w:rPr>
          <w:fldChar w:fldCharType="separate"/>
        </w:r>
        <w:r w:rsidR="00B6551A">
          <w:rPr>
            <w:rFonts w:ascii="Tahoma" w:hAnsi="Tahoma" w:cs="Tahoma"/>
            <w:noProof/>
            <w:webHidden/>
          </w:rPr>
          <w:t>24</w:t>
        </w:r>
        <w:r w:rsidR="00047E43" w:rsidRPr="005D5B64">
          <w:rPr>
            <w:rFonts w:ascii="Tahoma" w:hAnsi="Tahoma" w:cs="Tahoma"/>
            <w:noProof/>
            <w:webHidden/>
          </w:rPr>
          <w:fldChar w:fldCharType="end"/>
        </w:r>
      </w:hyperlink>
    </w:p>
    <w:p w14:paraId="199F588A" w14:textId="77777777" w:rsidR="00047E43" w:rsidRPr="005D5B64" w:rsidRDefault="0000522C">
      <w:pPr>
        <w:pStyle w:val="TOC3"/>
        <w:rPr>
          <w:rFonts w:ascii="Tahoma" w:eastAsiaTheme="minorEastAsia" w:hAnsi="Tahoma" w:cs="Tahoma"/>
          <w:noProof/>
          <w:lang w:val="en-GB" w:eastAsia="en-GB"/>
        </w:rPr>
      </w:pPr>
      <w:hyperlink w:anchor="_Toc509261139" w:history="1">
        <w:r w:rsidR="00047E43" w:rsidRPr="005D5B64">
          <w:rPr>
            <w:rStyle w:val="Hyperlink"/>
            <w:rFonts w:ascii="Tahoma" w:hAnsi="Tahoma" w:cs="Tahoma"/>
            <w:noProof/>
          </w:rPr>
          <w:t>Children going missing</w:t>
        </w:r>
        <w:r w:rsidR="00047E43" w:rsidRPr="005D5B64">
          <w:rPr>
            <w:rFonts w:ascii="Tahoma" w:hAnsi="Tahoma" w:cs="Tahoma"/>
            <w:noProof/>
            <w:webHidden/>
          </w:rPr>
          <w:tab/>
        </w:r>
        <w:r w:rsidR="00047E43" w:rsidRPr="005D5B64">
          <w:rPr>
            <w:rFonts w:ascii="Tahoma" w:hAnsi="Tahoma" w:cs="Tahoma"/>
            <w:noProof/>
            <w:webHidden/>
          </w:rPr>
          <w:fldChar w:fldCharType="begin"/>
        </w:r>
        <w:r w:rsidR="00047E43" w:rsidRPr="005D5B64">
          <w:rPr>
            <w:rFonts w:ascii="Tahoma" w:hAnsi="Tahoma" w:cs="Tahoma"/>
            <w:noProof/>
            <w:webHidden/>
          </w:rPr>
          <w:instrText xml:space="preserve"> PAGEREF _Toc509261139 \h </w:instrText>
        </w:r>
        <w:r w:rsidR="00047E43" w:rsidRPr="005D5B64">
          <w:rPr>
            <w:rFonts w:ascii="Tahoma" w:hAnsi="Tahoma" w:cs="Tahoma"/>
            <w:noProof/>
            <w:webHidden/>
          </w:rPr>
        </w:r>
        <w:r w:rsidR="00047E43" w:rsidRPr="005D5B64">
          <w:rPr>
            <w:rFonts w:ascii="Tahoma" w:hAnsi="Tahoma" w:cs="Tahoma"/>
            <w:noProof/>
            <w:webHidden/>
          </w:rPr>
          <w:fldChar w:fldCharType="separate"/>
        </w:r>
        <w:r w:rsidR="00B6551A">
          <w:rPr>
            <w:rFonts w:ascii="Tahoma" w:hAnsi="Tahoma" w:cs="Tahoma"/>
            <w:noProof/>
            <w:webHidden/>
          </w:rPr>
          <w:t>25</w:t>
        </w:r>
        <w:r w:rsidR="00047E43" w:rsidRPr="005D5B64">
          <w:rPr>
            <w:rFonts w:ascii="Tahoma" w:hAnsi="Tahoma" w:cs="Tahoma"/>
            <w:noProof/>
            <w:webHidden/>
          </w:rPr>
          <w:fldChar w:fldCharType="end"/>
        </w:r>
      </w:hyperlink>
    </w:p>
    <w:p w14:paraId="1114757C" w14:textId="77777777" w:rsidR="00047E43" w:rsidRPr="005D5B64" w:rsidRDefault="0000522C">
      <w:pPr>
        <w:pStyle w:val="TOC3"/>
        <w:rPr>
          <w:rFonts w:ascii="Tahoma" w:eastAsiaTheme="minorEastAsia" w:hAnsi="Tahoma" w:cs="Tahoma"/>
          <w:noProof/>
          <w:lang w:val="en-GB" w:eastAsia="en-GB"/>
        </w:rPr>
      </w:pPr>
      <w:hyperlink w:anchor="_Toc509261140" w:history="1">
        <w:r w:rsidR="00047E43" w:rsidRPr="005D5B64">
          <w:rPr>
            <w:rStyle w:val="Hyperlink"/>
            <w:rFonts w:ascii="Tahoma" w:hAnsi="Tahoma" w:cs="Tahoma"/>
            <w:noProof/>
          </w:rPr>
          <w:t>Missing children, child sexual exploitation and unplanned endings</w:t>
        </w:r>
        <w:r w:rsidR="00047E43" w:rsidRPr="005D5B64">
          <w:rPr>
            <w:rFonts w:ascii="Tahoma" w:hAnsi="Tahoma" w:cs="Tahoma"/>
            <w:noProof/>
            <w:webHidden/>
          </w:rPr>
          <w:tab/>
        </w:r>
        <w:r w:rsidR="00047E43" w:rsidRPr="005D5B64">
          <w:rPr>
            <w:rFonts w:ascii="Tahoma" w:hAnsi="Tahoma" w:cs="Tahoma"/>
            <w:noProof/>
            <w:webHidden/>
          </w:rPr>
          <w:fldChar w:fldCharType="begin"/>
        </w:r>
        <w:r w:rsidR="00047E43" w:rsidRPr="005D5B64">
          <w:rPr>
            <w:rFonts w:ascii="Tahoma" w:hAnsi="Tahoma" w:cs="Tahoma"/>
            <w:noProof/>
            <w:webHidden/>
          </w:rPr>
          <w:instrText xml:space="preserve"> PAGEREF _Toc509261140 \h </w:instrText>
        </w:r>
        <w:r w:rsidR="00047E43" w:rsidRPr="005D5B64">
          <w:rPr>
            <w:rFonts w:ascii="Tahoma" w:hAnsi="Tahoma" w:cs="Tahoma"/>
            <w:noProof/>
            <w:webHidden/>
          </w:rPr>
        </w:r>
        <w:r w:rsidR="00047E43" w:rsidRPr="005D5B64">
          <w:rPr>
            <w:rFonts w:ascii="Tahoma" w:hAnsi="Tahoma" w:cs="Tahoma"/>
            <w:noProof/>
            <w:webHidden/>
          </w:rPr>
          <w:fldChar w:fldCharType="separate"/>
        </w:r>
        <w:r w:rsidR="00B6551A">
          <w:rPr>
            <w:rFonts w:ascii="Tahoma" w:hAnsi="Tahoma" w:cs="Tahoma"/>
            <w:noProof/>
            <w:webHidden/>
          </w:rPr>
          <w:t>27</w:t>
        </w:r>
        <w:r w:rsidR="00047E43" w:rsidRPr="005D5B64">
          <w:rPr>
            <w:rFonts w:ascii="Tahoma" w:hAnsi="Tahoma" w:cs="Tahoma"/>
            <w:noProof/>
            <w:webHidden/>
          </w:rPr>
          <w:fldChar w:fldCharType="end"/>
        </w:r>
      </w:hyperlink>
    </w:p>
    <w:p w14:paraId="58EBD73C" w14:textId="77777777" w:rsidR="00047E43" w:rsidRPr="005D5B64" w:rsidRDefault="0000522C">
      <w:pPr>
        <w:pStyle w:val="TOC3"/>
        <w:rPr>
          <w:rFonts w:ascii="Tahoma" w:eastAsiaTheme="minorEastAsia" w:hAnsi="Tahoma" w:cs="Tahoma"/>
          <w:noProof/>
          <w:lang w:val="en-GB" w:eastAsia="en-GB"/>
        </w:rPr>
      </w:pPr>
      <w:hyperlink w:anchor="_Toc509261141" w:history="1">
        <w:r w:rsidR="00047E43" w:rsidRPr="005D5B64">
          <w:rPr>
            <w:rStyle w:val="Hyperlink"/>
            <w:rFonts w:ascii="Tahoma" w:hAnsi="Tahoma" w:cs="Tahoma"/>
            <w:noProof/>
          </w:rPr>
          <w:t>Allegations of abuse</w:t>
        </w:r>
        <w:r w:rsidR="00047E43" w:rsidRPr="005D5B64">
          <w:rPr>
            <w:rFonts w:ascii="Tahoma" w:hAnsi="Tahoma" w:cs="Tahoma"/>
            <w:noProof/>
            <w:webHidden/>
          </w:rPr>
          <w:tab/>
        </w:r>
        <w:r w:rsidR="00047E43" w:rsidRPr="005D5B64">
          <w:rPr>
            <w:rFonts w:ascii="Tahoma" w:hAnsi="Tahoma" w:cs="Tahoma"/>
            <w:noProof/>
            <w:webHidden/>
          </w:rPr>
          <w:fldChar w:fldCharType="begin"/>
        </w:r>
        <w:r w:rsidR="00047E43" w:rsidRPr="005D5B64">
          <w:rPr>
            <w:rFonts w:ascii="Tahoma" w:hAnsi="Tahoma" w:cs="Tahoma"/>
            <w:noProof/>
            <w:webHidden/>
          </w:rPr>
          <w:instrText xml:space="preserve"> PAGEREF _Toc509261141 \h </w:instrText>
        </w:r>
        <w:r w:rsidR="00047E43" w:rsidRPr="005D5B64">
          <w:rPr>
            <w:rFonts w:ascii="Tahoma" w:hAnsi="Tahoma" w:cs="Tahoma"/>
            <w:noProof/>
            <w:webHidden/>
          </w:rPr>
        </w:r>
        <w:r w:rsidR="00047E43" w:rsidRPr="005D5B64">
          <w:rPr>
            <w:rFonts w:ascii="Tahoma" w:hAnsi="Tahoma" w:cs="Tahoma"/>
            <w:noProof/>
            <w:webHidden/>
          </w:rPr>
          <w:fldChar w:fldCharType="separate"/>
        </w:r>
        <w:r w:rsidR="00B6551A">
          <w:rPr>
            <w:rFonts w:ascii="Tahoma" w:hAnsi="Tahoma" w:cs="Tahoma"/>
            <w:noProof/>
            <w:webHidden/>
          </w:rPr>
          <w:t>27</w:t>
        </w:r>
        <w:r w:rsidR="00047E43" w:rsidRPr="005D5B64">
          <w:rPr>
            <w:rFonts w:ascii="Tahoma" w:hAnsi="Tahoma" w:cs="Tahoma"/>
            <w:noProof/>
            <w:webHidden/>
          </w:rPr>
          <w:fldChar w:fldCharType="end"/>
        </w:r>
      </w:hyperlink>
    </w:p>
    <w:p w14:paraId="6AACF3AF" w14:textId="77777777" w:rsidR="00047E43" w:rsidRPr="005D5B64" w:rsidRDefault="0000522C">
      <w:pPr>
        <w:pStyle w:val="TOC2"/>
        <w:rPr>
          <w:rFonts w:eastAsiaTheme="minorEastAsia"/>
          <w:sz w:val="22"/>
          <w:szCs w:val="22"/>
          <w:lang w:val="en-GB" w:eastAsia="en-GB"/>
        </w:rPr>
      </w:pPr>
      <w:hyperlink w:anchor="_Toc509261142" w:history="1">
        <w:r w:rsidR="00047E43" w:rsidRPr="00AC5372">
          <w:rPr>
            <w:rStyle w:val="Hyperlink"/>
          </w:rPr>
          <w:t>Reasons for children and young people leaving fostering agencies</w:t>
        </w:r>
        <w:r w:rsidR="00047E43" w:rsidRPr="00AC5372">
          <w:rPr>
            <w:webHidden/>
          </w:rPr>
          <w:tab/>
        </w:r>
        <w:r w:rsidR="00047E43" w:rsidRPr="009601CD">
          <w:rPr>
            <w:webHidden/>
          </w:rPr>
          <w:fldChar w:fldCharType="begin"/>
        </w:r>
        <w:r w:rsidR="00047E43" w:rsidRPr="00AC5372">
          <w:rPr>
            <w:webHidden/>
          </w:rPr>
          <w:instrText xml:space="preserve"> PAGEREF _Toc509261142 \h </w:instrText>
        </w:r>
        <w:r w:rsidR="00047E43" w:rsidRPr="009601CD">
          <w:rPr>
            <w:webHidden/>
          </w:rPr>
        </w:r>
        <w:r w:rsidR="00047E43" w:rsidRPr="009601CD">
          <w:rPr>
            <w:webHidden/>
          </w:rPr>
          <w:fldChar w:fldCharType="separate"/>
        </w:r>
        <w:r w:rsidR="00B6551A">
          <w:rPr>
            <w:webHidden/>
          </w:rPr>
          <w:t>29</w:t>
        </w:r>
        <w:r w:rsidR="00047E43" w:rsidRPr="009601CD">
          <w:rPr>
            <w:webHidden/>
          </w:rPr>
          <w:fldChar w:fldCharType="end"/>
        </w:r>
      </w:hyperlink>
    </w:p>
    <w:p w14:paraId="080D6714" w14:textId="77777777" w:rsidR="00047E43" w:rsidRPr="005D5B64" w:rsidRDefault="0000522C">
      <w:pPr>
        <w:pStyle w:val="TOC2"/>
        <w:rPr>
          <w:rFonts w:eastAsiaTheme="minorEastAsia"/>
          <w:sz w:val="22"/>
          <w:szCs w:val="22"/>
          <w:lang w:val="en-GB" w:eastAsia="en-GB"/>
        </w:rPr>
      </w:pPr>
      <w:hyperlink w:anchor="_Toc509261143" w:history="1">
        <w:r w:rsidR="00047E43" w:rsidRPr="00AC5372">
          <w:rPr>
            <w:rStyle w:val="Hyperlink"/>
          </w:rPr>
          <w:t>List of figures and tables</w:t>
        </w:r>
        <w:r w:rsidR="00047E43" w:rsidRPr="00AC5372">
          <w:rPr>
            <w:webHidden/>
          </w:rPr>
          <w:tab/>
        </w:r>
        <w:r w:rsidR="00047E43" w:rsidRPr="009601CD">
          <w:rPr>
            <w:webHidden/>
          </w:rPr>
          <w:fldChar w:fldCharType="begin"/>
        </w:r>
        <w:r w:rsidR="00047E43" w:rsidRPr="00AC5372">
          <w:rPr>
            <w:webHidden/>
          </w:rPr>
          <w:instrText xml:space="preserve"> PAGEREF _Toc509261143 \h </w:instrText>
        </w:r>
        <w:r w:rsidR="00047E43" w:rsidRPr="009601CD">
          <w:rPr>
            <w:webHidden/>
          </w:rPr>
        </w:r>
        <w:r w:rsidR="00047E43" w:rsidRPr="009601CD">
          <w:rPr>
            <w:webHidden/>
          </w:rPr>
          <w:fldChar w:fldCharType="separate"/>
        </w:r>
        <w:r w:rsidR="00B6551A">
          <w:rPr>
            <w:webHidden/>
          </w:rPr>
          <w:t>30</w:t>
        </w:r>
        <w:r w:rsidR="00047E43" w:rsidRPr="009601CD">
          <w:rPr>
            <w:webHidden/>
          </w:rPr>
          <w:fldChar w:fldCharType="end"/>
        </w:r>
      </w:hyperlink>
    </w:p>
    <w:p w14:paraId="05383054" w14:textId="77777777" w:rsidR="00047E43" w:rsidRPr="005D5B64" w:rsidRDefault="0000522C">
      <w:pPr>
        <w:pStyle w:val="TOC2"/>
        <w:rPr>
          <w:rFonts w:eastAsiaTheme="minorEastAsia"/>
          <w:sz w:val="22"/>
          <w:szCs w:val="22"/>
          <w:lang w:val="en-GB" w:eastAsia="en-GB"/>
        </w:rPr>
      </w:pPr>
      <w:hyperlink w:anchor="_Toc509261144" w:history="1">
        <w:r w:rsidR="00047E43" w:rsidRPr="00AC5372">
          <w:rPr>
            <w:rStyle w:val="Hyperlink"/>
          </w:rPr>
          <w:t>Revisions to previous release</w:t>
        </w:r>
        <w:r w:rsidR="00047E43" w:rsidRPr="00AC5372">
          <w:rPr>
            <w:webHidden/>
          </w:rPr>
          <w:tab/>
        </w:r>
        <w:r w:rsidR="00047E43" w:rsidRPr="009601CD">
          <w:rPr>
            <w:webHidden/>
          </w:rPr>
          <w:fldChar w:fldCharType="begin"/>
        </w:r>
        <w:r w:rsidR="00047E43" w:rsidRPr="00AC5372">
          <w:rPr>
            <w:webHidden/>
          </w:rPr>
          <w:instrText xml:space="preserve"> PAGEREF _Toc509261144 \h </w:instrText>
        </w:r>
        <w:r w:rsidR="00047E43" w:rsidRPr="009601CD">
          <w:rPr>
            <w:webHidden/>
          </w:rPr>
        </w:r>
        <w:r w:rsidR="00047E43" w:rsidRPr="009601CD">
          <w:rPr>
            <w:webHidden/>
          </w:rPr>
          <w:fldChar w:fldCharType="separate"/>
        </w:r>
        <w:r w:rsidR="00B6551A">
          <w:rPr>
            <w:webHidden/>
          </w:rPr>
          <w:t>30</w:t>
        </w:r>
        <w:r w:rsidR="00047E43" w:rsidRPr="009601CD">
          <w:rPr>
            <w:webHidden/>
          </w:rPr>
          <w:fldChar w:fldCharType="end"/>
        </w:r>
      </w:hyperlink>
    </w:p>
    <w:p w14:paraId="57A2B39F" w14:textId="77777777" w:rsidR="00047E43" w:rsidRPr="005D5B64" w:rsidRDefault="0000522C">
      <w:pPr>
        <w:pStyle w:val="TOC2"/>
        <w:rPr>
          <w:rFonts w:eastAsiaTheme="minorEastAsia"/>
          <w:sz w:val="22"/>
          <w:szCs w:val="22"/>
          <w:lang w:val="en-GB" w:eastAsia="en-GB"/>
        </w:rPr>
      </w:pPr>
      <w:hyperlink w:anchor="_Toc509261145" w:history="1">
        <w:r w:rsidR="00047E43" w:rsidRPr="00AC5372">
          <w:rPr>
            <w:rStyle w:val="Hyperlink"/>
          </w:rPr>
          <w:t>Notes</w:t>
        </w:r>
        <w:r w:rsidR="00047E43" w:rsidRPr="00AC5372">
          <w:rPr>
            <w:webHidden/>
          </w:rPr>
          <w:tab/>
        </w:r>
        <w:r w:rsidR="00047E43" w:rsidRPr="009601CD">
          <w:rPr>
            <w:webHidden/>
          </w:rPr>
          <w:fldChar w:fldCharType="begin"/>
        </w:r>
        <w:r w:rsidR="00047E43" w:rsidRPr="00AC5372">
          <w:rPr>
            <w:webHidden/>
          </w:rPr>
          <w:instrText xml:space="preserve"> PAGEREF _Toc509261145 \h </w:instrText>
        </w:r>
        <w:r w:rsidR="00047E43" w:rsidRPr="009601CD">
          <w:rPr>
            <w:webHidden/>
          </w:rPr>
        </w:r>
        <w:r w:rsidR="00047E43" w:rsidRPr="009601CD">
          <w:rPr>
            <w:webHidden/>
          </w:rPr>
          <w:fldChar w:fldCharType="separate"/>
        </w:r>
        <w:r w:rsidR="00B6551A">
          <w:rPr>
            <w:webHidden/>
          </w:rPr>
          <w:t>30</w:t>
        </w:r>
        <w:r w:rsidR="00047E43" w:rsidRPr="009601CD">
          <w:rPr>
            <w:webHidden/>
          </w:rPr>
          <w:fldChar w:fldCharType="end"/>
        </w:r>
      </w:hyperlink>
    </w:p>
    <w:p w14:paraId="17D1C1F1" w14:textId="77777777" w:rsidR="00047E43" w:rsidRDefault="0000522C">
      <w:pPr>
        <w:pStyle w:val="TOC2"/>
        <w:rPr>
          <w:rFonts w:asciiTheme="minorHAnsi" w:eastAsiaTheme="minorEastAsia" w:hAnsiTheme="minorHAnsi" w:cstheme="minorBidi"/>
          <w:sz w:val="22"/>
          <w:szCs w:val="22"/>
          <w:lang w:val="en-GB" w:eastAsia="en-GB"/>
        </w:rPr>
      </w:pPr>
      <w:hyperlink w:anchor="_Toc509261146" w:history="1">
        <w:r w:rsidR="00047E43" w:rsidRPr="00AC5372">
          <w:rPr>
            <w:rStyle w:val="Hyperlink"/>
          </w:rPr>
          <w:t>Glossary</w:t>
        </w:r>
        <w:r w:rsidR="00047E43" w:rsidRPr="00AC5372">
          <w:rPr>
            <w:webHidden/>
          </w:rPr>
          <w:tab/>
        </w:r>
        <w:r w:rsidR="00047E43" w:rsidRPr="009601CD">
          <w:rPr>
            <w:webHidden/>
          </w:rPr>
          <w:fldChar w:fldCharType="begin"/>
        </w:r>
        <w:r w:rsidR="00047E43" w:rsidRPr="00AC5372">
          <w:rPr>
            <w:webHidden/>
          </w:rPr>
          <w:instrText xml:space="preserve"> PAGEREF _Toc509261146 \h </w:instrText>
        </w:r>
        <w:r w:rsidR="00047E43" w:rsidRPr="009601CD">
          <w:rPr>
            <w:webHidden/>
          </w:rPr>
        </w:r>
        <w:r w:rsidR="00047E43" w:rsidRPr="009601CD">
          <w:rPr>
            <w:webHidden/>
          </w:rPr>
          <w:fldChar w:fldCharType="separate"/>
        </w:r>
        <w:r w:rsidR="00B6551A">
          <w:rPr>
            <w:webHidden/>
          </w:rPr>
          <w:t>31</w:t>
        </w:r>
        <w:r w:rsidR="00047E43" w:rsidRPr="009601CD">
          <w:rPr>
            <w:webHidden/>
          </w:rPr>
          <w:fldChar w:fldCharType="end"/>
        </w:r>
      </w:hyperlink>
    </w:p>
    <w:p w14:paraId="3AA9382F" w14:textId="667C1835" w:rsidR="00724D6B" w:rsidRPr="00CB0983" w:rsidRDefault="002C192D" w:rsidP="009A6870">
      <w:pPr>
        <w:spacing w:after="120"/>
        <w:rPr>
          <w:noProof/>
          <w:color w:val="0070C0"/>
        </w:rPr>
      </w:pPr>
      <w:r w:rsidRPr="0042575C">
        <w:rPr>
          <w:rFonts w:cs="Tahoma"/>
          <w:noProof/>
          <w:color w:val="0070C0"/>
        </w:rPr>
        <w:fldChar w:fldCharType="end"/>
      </w:r>
      <w:bookmarkStart w:id="4" w:name="Key_findings"/>
      <w:bookmarkEnd w:id="1"/>
      <w:bookmarkEnd w:id="2"/>
      <w:bookmarkEnd w:id="3"/>
    </w:p>
    <w:p w14:paraId="08DD2E61" w14:textId="2CDB042A" w:rsidR="00724D6B" w:rsidRPr="00CB0983" w:rsidRDefault="00724D6B" w:rsidP="009A6870">
      <w:pPr>
        <w:spacing w:after="120"/>
        <w:rPr>
          <w:noProof/>
          <w:color w:val="0070C0"/>
        </w:rPr>
      </w:pPr>
    </w:p>
    <w:p w14:paraId="5DD23D30" w14:textId="63DE321A" w:rsidR="005F24F0" w:rsidRPr="00D8496E" w:rsidRDefault="005F24F0" w:rsidP="00C30E37">
      <w:pPr>
        <w:pStyle w:val="Heading2"/>
        <w:spacing w:after="120"/>
        <w:jc w:val="left"/>
      </w:pPr>
      <w:bookmarkStart w:id="5" w:name="_Toc509261112"/>
      <w:r w:rsidRPr="00D8496E">
        <w:t>Introduction</w:t>
      </w:r>
      <w:bookmarkEnd w:id="5"/>
    </w:p>
    <w:p w14:paraId="7003107A" w14:textId="240A210F" w:rsidR="0046611E" w:rsidRDefault="005F24F0" w:rsidP="0046611E">
      <w:pPr>
        <w:jc w:val="left"/>
      </w:pPr>
      <w:r w:rsidRPr="00D8496E">
        <w:t xml:space="preserve">This statistical release covers </w:t>
      </w:r>
      <w:r w:rsidR="00533647" w:rsidRPr="00D8496E">
        <w:t>local authority (LA) fostering agencies and independent fostering agencies (IFA)</w:t>
      </w:r>
      <w:r w:rsidRPr="00D8496E">
        <w:t xml:space="preserve"> in England in the year </w:t>
      </w:r>
      <w:r w:rsidR="00BD660A" w:rsidRPr="00D8496E">
        <w:t xml:space="preserve">1 </w:t>
      </w:r>
      <w:r w:rsidRPr="00D8496E">
        <w:t>April 201</w:t>
      </w:r>
      <w:r w:rsidR="00D8496E" w:rsidRPr="00D8496E">
        <w:t>6</w:t>
      </w:r>
      <w:r w:rsidRPr="00D8496E">
        <w:t xml:space="preserve"> to </w:t>
      </w:r>
      <w:r w:rsidR="00BD660A" w:rsidRPr="00D8496E">
        <w:t xml:space="preserve">31 </w:t>
      </w:r>
      <w:r w:rsidRPr="00D8496E">
        <w:t>March 201</w:t>
      </w:r>
      <w:r w:rsidR="00D8496E" w:rsidRPr="00D8496E">
        <w:t>7</w:t>
      </w:r>
      <w:r w:rsidR="002F1871" w:rsidRPr="00D8496E">
        <w:t>.</w:t>
      </w:r>
      <w:r w:rsidR="00844E5F" w:rsidRPr="00D8496E">
        <w:t xml:space="preserve"> It includes data about</w:t>
      </w:r>
      <w:r w:rsidR="002F1871" w:rsidRPr="00D8496E">
        <w:t xml:space="preserve"> fostered children, foster carers, recruitment, and capacity of providers.</w:t>
      </w:r>
      <w:r w:rsidR="0046611E">
        <w:t xml:space="preserve"> </w:t>
      </w:r>
      <w:r w:rsidR="005A6679">
        <w:rPr>
          <w:rFonts w:cs="Tahoma"/>
          <w:color w:val="000000"/>
        </w:rPr>
        <w:t>F</w:t>
      </w:r>
      <w:r w:rsidR="0056724E">
        <w:rPr>
          <w:rFonts w:cs="Tahoma"/>
          <w:color w:val="000000"/>
        </w:rPr>
        <w:t>ostered children represent</w:t>
      </w:r>
      <w:r w:rsidR="00C23C99">
        <w:rPr>
          <w:rFonts w:cs="Tahoma"/>
          <w:color w:val="000000"/>
        </w:rPr>
        <w:t>ed</w:t>
      </w:r>
      <w:r w:rsidR="0056724E">
        <w:rPr>
          <w:rFonts w:cs="Tahoma"/>
          <w:color w:val="000000"/>
        </w:rPr>
        <w:t xml:space="preserve"> nearly three quarter</w:t>
      </w:r>
      <w:r w:rsidR="004A2BBE">
        <w:rPr>
          <w:rFonts w:cs="Tahoma"/>
          <w:color w:val="000000"/>
        </w:rPr>
        <w:t>s</w:t>
      </w:r>
      <w:r w:rsidR="0056724E">
        <w:rPr>
          <w:rFonts w:cs="Tahoma"/>
          <w:color w:val="000000"/>
        </w:rPr>
        <w:t xml:space="preserve"> of all children in care</w:t>
      </w:r>
      <w:r w:rsidR="004A2BBE">
        <w:rPr>
          <w:rFonts w:cs="Tahoma"/>
          <w:color w:val="000000"/>
        </w:rPr>
        <w:t>,</w:t>
      </w:r>
      <w:r w:rsidR="0056724E">
        <w:rPr>
          <w:rFonts w:cs="Tahoma"/>
          <w:color w:val="000000"/>
        </w:rPr>
        <w:t xml:space="preserve"> </w:t>
      </w:r>
      <w:r w:rsidR="005A6679">
        <w:rPr>
          <w:rFonts w:cs="Tahoma"/>
          <w:color w:val="000000"/>
        </w:rPr>
        <w:t>but</w:t>
      </w:r>
      <w:r w:rsidR="0056724E">
        <w:rPr>
          <w:rFonts w:cs="Tahoma"/>
          <w:color w:val="000000"/>
        </w:rPr>
        <w:t xml:space="preserve"> less than a percent of all children in England.</w:t>
      </w:r>
      <w:r w:rsidR="002D749D">
        <w:rPr>
          <w:rStyle w:val="FootnoteReference"/>
          <w:rFonts w:cs="Tahoma"/>
          <w:color w:val="000000"/>
        </w:rPr>
        <w:footnoteReference w:id="1"/>
      </w:r>
      <w:r w:rsidR="002D749D" w:rsidRPr="005D5B64">
        <w:rPr>
          <w:rFonts w:cs="Tahoma"/>
          <w:color w:val="000000"/>
          <w:vertAlign w:val="superscript"/>
        </w:rPr>
        <w:t>,</w:t>
      </w:r>
      <w:r w:rsidR="002D749D">
        <w:rPr>
          <w:rStyle w:val="FootnoteReference"/>
          <w:rFonts w:cs="Tahoma"/>
          <w:color w:val="000000"/>
        </w:rPr>
        <w:footnoteReference w:id="2"/>
      </w:r>
    </w:p>
    <w:p w14:paraId="271392DE" w14:textId="77777777" w:rsidR="009B3B88" w:rsidRDefault="009B3B88" w:rsidP="006F0AEE">
      <w:pPr>
        <w:jc w:val="left"/>
      </w:pPr>
    </w:p>
    <w:p w14:paraId="6234EFD3" w14:textId="33A30D86" w:rsidR="006E40FB" w:rsidRPr="00D8496E" w:rsidRDefault="006E40FB" w:rsidP="006F0AEE">
      <w:pPr>
        <w:jc w:val="left"/>
      </w:pPr>
      <w:r w:rsidRPr="00D8496E">
        <w:t xml:space="preserve">This </w:t>
      </w:r>
      <w:r w:rsidR="00775D55" w:rsidRPr="00D8496E">
        <w:t xml:space="preserve">release </w:t>
      </w:r>
      <w:r w:rsidRPr="00D8496E">
        <w:t xml:space="preserve">uses data returned to Ofsted by the agencies, and so may reflect both changes </w:t>
      </w:r>
      <w:r w:rsidR="005C5548" w:rsidRPr="00D8496E">
        <w:t xml:space="preserve">that have </w:t>
      </w:r>
      <w:r w:rsidRPr="00D8496E">
        <w:t>happen</w:t>
      </w:r>
      <w:r w:rsidR="005C5548" w:rsidRPr="00D8496E">
        <w:t>ed</w:t>
      </w:r>
      <w:r w:rsidRPr="00D8496E">
        <w:t xml:space="preserve"> in the sector and changes </w:t>
      </w:r>
      <w:r w:rsidR="005C5548" w:rsidRPr="00D8496E">
        <w:t xml:space="preserve">that have happened </w:t>
      </w:r>
      <w:r w:rsidRPr="00D8496E">
        <w:t>in how this is being recorded and reported</w:t>
      </w:r>
      <w:r w:rsidR="00952E70" w:rsidRPr="00D8496E">
        <w:t xml:space="preserve"> by the agencies</w:t>
      </w:r>
      <w:r w:rsidRPr="00D8496E">
        <w:t xml:space="preserve">. </w:t>
      </w:r>
      <w:r w:rsidR="00880A4A">
        <w:t>The data collected is unique to Ofsted</w:t>
      </w:r>
      <w:r w:rsidR="002F6ED2">
        <w:t>; it helps inform fostering p</w:t>
      </w:r>
      <w:r w:rsidR="00880A4A">
        <w:t xml:space="preserve">olicy and </w:t>
      </w:r>
      <w:r w:rsidR="0045016B">
        <w:t>serves as a</w:t>
      </w:r>
      <w:r w:rsidR="00880A4A">
        <w:t xml:space="preserve"> point of reference for all fostering agencies in the country. </w:t>
      </w:r>
    </w:p>
    <w:p w14:paraId="23E153BC" w14:textId="380B6349" w:rsidR="00780435" w:rsidRPr="00D8496E" w:rsidRDefault="00952E70" w:rsidP="006F0AEE">
      <w:pPr>
        <w:jc w:val="left"/>
      </w:pPr>
      <w:r w:rsidRPr="00D8496E">
        <w:t xml:space="preserve"> </w:t>
      </w:r>
    </w:p>
    <w:p w14:paraId="16562439" w14:textId="77777777" w:rsidR="00953C52" w:rsidRPr="00D8496E" w:rsidRDefault="00953C52" w:rsidP="006F0AEE">
      <w:pPr>
        <w:jc w:val="left"/>
      </w:pPr>
      <w:r w:rsidRPr="00D8496E">
        <w:t xml:space="preserve">As </w:t>
      </w:r>
      <w:r w:rsidR="00EA1971" w:rsidRPr="00D8496E">
        <w:t xml:space="preserve">the data collection does not indicate the location of foster carers and children, </w:t>
      </w:r>
      <w:r w:rsidRPr="00D8496E">
        <w:t xml:space="preserve">IFAs cannot be </w:t>
      </w:r>
      <w:r w:rsidR="001827AC" w:rsidRPr="00D8496E">
        <w:t xml:space="preserve">neatly </w:t>
      </w:r>
      <w:r w:rsidRPr="00D8496E">
        <w:t>attached to regions</w:t>
      </w:r>
      <w:r w:rsidR="00EA1971" w:rsidRPr="00D8496E">
        <w:t>; therefore,</w:t>
      </w:r>
      <w:r w:rsidR="001827AC" w:rsidRPr="00D8496E">
        <w:t xml:space="preserve"> </w:t>
      </w:r>
      <w:r w:rsidRPr="00D8496E">
        <w:t xml:space="preserve">any regional analysis refers only to </w:t>
      </w:r>
      <w:r w:rsidR="001827AC" w:rsidRPr="00D8496E">
        <w:t xml:space="preserve">LA </w:t>
      </w:r>
      <w:r w:rsidRPr="00D8496E">
        <w:t>fostering agencies within that region.</w:t>
      </w:r>
    </w:p>
    <w:p w14:paraId="01B858C8" w14:textId="77777777" w:rsidR="005048FF" w:rsidRDefault="005048FF" w:rsidP="006F0AEE">
      <w:pPr>
        <w:jc w:val="left"/>
        <w:rPr>
          <w:color w:val="0070C0"/>
        </w:rPr>
      </w:pPr>
    </w:p>
    <w:p w14:paraId="45C3574E" w14:textId="77777777" w:rsidR="0036426C" w:rsidRDefault="0036426C" w:rsidP="006F0AEE">
      <w:pPr>
        <w:jc w:val="left"/>
        <w:rPr>
          <w:color w:val="0070C0"/>
        </w:rPr>
      </w:pPr>
    </w:p>
    <w:p w14:paraId="6509F298" w14:textId="77777777" w:rsidR="00047E43" w:rsidRDefault="00047E43" w:rsidP="006F0AEE">
      <w:pPr>
        <w:jc w:val="left"/>
        <w:rPr>
          <w:color w:val="0070C0"/>
        </w:rPr>
      </w:pPr>
    </w:p>
    <w:p w14:paraId="49ACAC53" w14:textId="77777777" w:rsidR="00047E43" w:rsidRDefault="00047E43" w:rsidP="006F0AEE">
      <w:pPr>
        <w:jc w:val="left"/>
        <w:rPr>
          <w:color w:val="0070C0"/>
        </w:rPr>
      </w:pPr>
    </w:p>
    <w:p w14:paraId="005BD6B4" w14:textId="77777777" w:rsidR="00047E43" w:rsidRDefault="00047E43" w:rsidP="006F0AEE">
      <w:pPr>
        <w:jc w:val="left"/>
        <w:rPr>
          <w:color w:val="0070C0"/>
        </w:rPr>
      </w:pPr>
    </w:p>
    <w:p w14:paraId="5E48761B" w14:textId="77777777" w:rsidR="00047E43" w:rsidRDefault="00047E43" w:rsidP="006F0AEE">
      <w:pPr>
        <w:jc w:val="left"/>
        <w:rPr>
          <w:color w:val="0070C0"/>
        </w:rPr>
      </w:pPr>
    </w:p>
    <w:p w14:paraId="1CE7C4ED" w14:textId="77777777" w:rsidR="00047E43" w:rsidRDefault="00047E43" w:rsidP="006F0AEE">
      <w:pPr>
        <w:jc w:val="left"/>
        <w:rPr>
          <w:color w:val="0070C0"/>
        </w:rPr>
      </w:pPr>
    </w:p>
    <w:p w14:paraId="607E494E" w14:textId="2D41D36E" w:rsidR="00F158AC" w:rsidRPr="000840D4" w:rsidRDefault="003D7A39" w:rsidP="00EA1971">
      <w:pPr>
        <w:pStyle w:val="Heading2"/>
      </w:pPr>
      <w:bookmarkStart w:id="6" w:name="_Toc470096874"/>
      <w:bookmarkStart w:id="7" w:name="_Toc471901603"/>
      <w:bookmarkStart w:id="8" w:name="_Toc473625251"/>
      <w:bookmarkStart w:id="9" w:name="_Toc474760670"/>
      <w:bookmarkStart w:id="10" w:name="_Toc509261113"/>
      <w:r>
        <w:t>Main</w:t>
      </w:r>
      <w:r w:rsidR="002C192D" w:rsidRPr="000840D4">
        <w:t xml:space="preserve"> findings</w:t>
      </w:r>
      <w:bookmarkEnd w:id="6"/>
      <w:bookmarkEnd w:id="7"/>
      <w:bookmarkEnd w:id="8"/>
      <w:bookmarkEnd w:id="9"/>
      <w:r w:rsidR="00CC054F">
        <w:rPr>
          <w:rStyle w:val="FootnoteReference"/>
        </w:rPr>
        <w:footnoteReference w:id="3"/>
      </w:r>
      <w:bookmarkEnd w:id="10"/>
      <w:r w:rsidR="002C192D" w:rsidRPr="000840D4">
        <w:t xml:space="preserve"> </w:t>
      </w:r>
    </w:p>
    <w:p w14:paraId="3B695833" w14:textId="0F92B52D" w:rsidR="00433DB0" w:rsidRDefault="00433DB0" w:rsidP="00433DB0">
      <w:pPr>
        <w:pStyle w:val="Heading2"/>
      </w:pPr>
      <w:bookmarkStart w:id="11" w:name="_Toc509261114"/>
      <w:r>
        <w:t>Fostering capacity</w:t>
      </w:r>
      <w:r w:rsidRPr="00223D44">
        <w:rPr>
          <w:rStyle w:val="FootnoteReference"/>
        </w:rPr>
        <w:footnoteReference w:id="4"/>
      </w:r>
      <w:bookmarkEnd w:id="11"/>
      <w:r w:rsidRPr="00223D44">
        <w:t xml:space="preserve"> </w:t>
      </w:r>
    </w:p>
    <w:p w14:paraId="0A740E73" w14:textId="77777777" w:rsidR="00541707" w:rsidRPr="00A41D46" w:rsidRDefault="00541707" w:rsidP="00755240">
      <w:pPr>
        <w:jc w:val="left"/>
        <w:rPr>
          <w:color w:val="000000" w:themeColor="text1"/>
          <w:u w:val="single"/>
        </w:rPr>
      </w:pPr>
      <w:r w:rsidRPr="00A41D46">
        <w:rPr>
          <w:color w:val="000000" w:themeColor="text1"/>
          <w:u w:val="single"/>
        </w:rPr>
        <w:t>Section overview</w:t>
      </w:r>
    </w:p>
    <w:p w14:paraId="56B1414E" w14:textId="3AEFA3C0" w:rsidR="00FF7CB7" w:rsidRPr="00A41D46" w:rsidRDefault="00755240" w:rsidP="00755240">
      <w:pPr>
        <w:jc w:val="left"/>
        <w:rPr>
          <w:color w:val="000000" w:themeColor="text1"/>
        </w:rPr>
      </w:pPr>
      <w:r w:rsidRPr="00A41D46">
        <w:rPr>
          <w:color w:val="000000" w:themeColor="text1"/>
        </w:rPr>
        <w:t>The number of approved foster places continues its general trend of increasing. However</w:t>
      </w:r>
      <w:r w:rsidR="00B643AA">
        <w:rPr>
          <w:color w:val="000000" w:themeColor="text1"/>
        </w:rPr>
        <w:t>,</w:t>
      </w:r>
      <w:r w:rsidRPr="00A41D46">
        <w:rPr>
          <w:color w:val="000000" w:themeColor="text1"/>
        </w:rPr>
        <w:t xml:space="preserve"> while the number of places did increase, the number of places that were unavailable for children to be placed into increased at a faster rate.</w:t>
      </w:r>
      <w:r w:rsidR="00F053B4" w:rsidRPr="00A41D46">
        <w:rPr>
          <w:color w:val="000000" w:themeColor="text1"/>
        </w:rPr>
        <w:t xml:space="preserve"> This in effect meant</w:t>
      </w:r>
      <w:r w:rsidR="00B643AA">
        <w:rPr>
          <w:color w:val="000000" w:themeColor="text1"/>
        </w:rPr>
        <w:t xml:space="preserve"> that</w:t>
      </w:r>
      <w:r w:rsidRPr="00A41D46">
        <w:rPr>
          <w:color w:val="000000" w:themeColor="text1"/>
        </w:rPr>
        <w:t xml:space="preserve"> there were fewer places for children</w:t>
      </w:r>
      <w:r w:rsidR="00A35BD7" w:rsidRPr="00A41D46">
        <w:rPr>
          <w:color w:val="000000" w:themeColor="text1"/>
        </w:rPr>
        <w:t xml:space="preserve"> who needed foster care than last year. </w:t>
      </w:r>
    </w:p>
    <w:p w14:paraId="08F8491A" w14:textId="77777777" w:rsidR="00FF7CB7" w:rsidRPr="00A41D46" w:rsidRDefault="00FF7CB7" w:rsidP="00755240">
      <w:pPr>
        <w:jc w:val="left"/>
        <w:rPr>
          <w:color w:val="000000" w:themeColor="text1"/>
        </w:rPr>
      </w:pPr>
    </w:p>
    <w:p w14:paraId="6C12C438" w14:textId="755D49C4" w:rsidR="00EB276E" w:rsidRPr="00A41D46" w:rsidRDefault="00FF7CB7" w:rsidP="00755240">
      <w:pPr>
        <w:jc w:val="left"/>
        <w:rPr>
          <w:color w:val="000000" w:themeColor="text1"/>
        </w:rPr>
      </w:pPr>
      <w:r w:rsidRPr="00A41D46">
        <w:rPr>
          <w:color w:val="000000" w:themeColor="text1"/>
        </w:rPr>
        <w:t>In addition</w:t>
      </w:r>
      <w:r w:rsidR="00B643AA">
        <w:rPr>
          <w:color w:val="000000" w:themeColor="text1"/>
        </w:rPr>
        <w:t>,</w:t>
      </w:r>
      <w:r w:rsidRPr="00A41D46">
        <w:rPr>
          <w:color w:val="000000" w:themeColor="text1"/>
        </w:rPr>
        <w:t xml:space="preserve"> the number of children in care increased at a faster rate than the number of fostering places which may suggest the fostering sector is struggling to keep up with the increasing demand.</w:t>
      </w:r>
      <w:r w:rsidRPr="00A41D46">
        <w:rPr>
          <w:rStyle w:val="FootnoteReference"/>
          <w:color w:val="000000" w:themeColor="text1"/>
        </w:rPr>
        <w:footnoteReference w:id="5"/>
      </w:r>
      <w:r w:rsidR="009F4AE9" w:rsidRPr="00A41D46">
        <w:rPr>
          <w:color w:val="000000" w:themeColor="text1"/>
          <w:vertAlign w:val="superscript"/>
        </w:rPr>
        <w:t>,</w:t>
      </w:r>
      <w:r w:rsidR="009F4AE9" w:rsidRPr="00A41D46">
        <w:rPr>
          <w:rStyle w:val="FootnoteReference"/>
          <w:color w:val="000000" w:themeColor="text1"/>
        </w:rPr>
        <w:footnoteReference w:id="6"/>
      </w:r>
      <w:r w:rsidRPr="00A41D46">
        <w:rPr>
          <w:color w:val="000000" w:themeColor="text1"/>
        </w:rPr>
        <w:t xml:space="preserve"> </w:t>
      </w:r>
      <w:r w:rsidR="00A35BD7" w:rsidRPr="00A41D46">
        <w:rPr>
          <w:color w:val="000000" w:themeColor="text1"/>
        </w:rPr>
        <w:t xml:space="preserve">This is a concern </w:t>
      </w:r>
      <w:r w:rsidR="00B643AA">
        <w:rPr>
          <w:color w:val="000000" w:themeColor="text1"/>
        </w:rPr>
        <w:t>because</w:t>
      </w:r>
      <w:r w:rsidR="00B643AA" w:rsidRPr="00A41D46">
        <w:rPr>
          <w:color w:val="000000" w:themeColor="text1"/>
        </w:rPr>
        <w:t xml:space="preserve"> </w:t>
      </w:r>
      <w:r w:rsidR="00A35BD7" w:rsidRPr="00A41D46">
        <w:rPr>
          <w:color w:val="000000" w:themeColor="text1"/>
        </w:rPr>
        <w:t xml:space="preserve">fewer </w:t>
      </w:r>
      <w:r w:rsidR="009329C8" w:rsidRPr="00A41D46">
        <w:rPr>
          <w:color w:val="000000" w:themeColor="text1"/>
        </w:rPr>
        <w:t xml:space="preserve">places </w:t>
      </w:r>
      <w:r w:rsidR="00B643AA">
        <w:rPr>
          <w:color w:val="000000" w:themeColor="text1"/>
        </w:rPr>
        <w:t xml:space="preserve">being </w:t>
      </w:r>
      <w:r w:rsidR="00A35BD7" w:rsidRPr="00A41D46">
        <w:rPr>
          <w:color w:val="000000" w:themeColor="text1"/>
        </w:rPr>
        <w:t xml:space="preserve">available has the potential to lead to children being placed further away or in placements that do not meet all </w:t>
      </w:r>
      <w:r w:rsidR="00157A7A" w:rsidRPr="00A41D46">
        <w:rPr>
          <w:color w:val="000000" w:themeColor="text1"/>
        </w:rPr>
        <w:t xml:space="preserve">of </w:t>
      </w:r>
      <w:r w:rsidR="00A35BD7" w:rsidRPr="00A41D46">
        <w:rPr>
          <w:color w:val="000000" w:themeColor="text1"/>
        </w:rPr>
        <w:t>their needs.</w:t>
      </w:r>
      <w:r w:rsidRPr="00A41D46">
        <w:rPr>
          <w:color w:val="000000" w:themeColor="text1"/>
        </w:rPr>
        <w:t xml:space="preserve"> Any attempts the sector make</w:t>
      </w:r>
      <w:r w:rsidR="009352B4" w:rsidRPr="00A41D46">
        <w:rPr>
          <w:color w:val="000000" w:themeColor="text1"/>
        </w:rPr>
        <w:t>s</w:t>
      </w:r>
      <w:r w:rsidRPr="00A41D46">
        <w:rPr>
          <w:color w:val="000000" w:themeColor="text1"/>
        </w:rPr>
        <w:t xml:space="preserve"> to increase the number of places need to bear this last fact in mind </w:t>
      </w:r>
      <w:r w:rsidR="00B643AA">
        <w:rPr>
          <w:color w:val="000000" w:themeColor="text1"/>
        </w:rPr>
        <w:t>because</w:t>
      </w:r>
      <w:r w:rsidR="00B643AA" w:rsidRPr="00A41D46">
        <w:rPr>
          <w:color w:val="000000" w:themeColor="text1"/>
        </w:rPr>
        <w:t xml:space="preserve"> </w:t>
      </w:r>
      <w:r w:rsidRPr="00A41D46">
        <w:rPr>
          <w:color w:val="000000" w:themeColor="text1"/>
        </w:rPr>
        <w:t xml:space="preserve">recruitment </w:t>
      </w:r>
      <w:r w:rsidR="009F4AE9" w:rsidRPr="00A41D46">
        <w:rPr>
          <w:color w:val="000000" w:themeColor="text1"/>
        </w:rPr>
        <w:t xml:space="preserve">of carers can </w:t>
      </w:r>
      <w:r w:rsidRPr="00A41D46">
        <w:rPr>
          <w:color w:val="000000" w:themeColor="text1"/>
        </w:rPr>
        <w:t>often focus</w:t>
      </w:r>
      <w:r w:rsidR="00A41D46">
        <w:rPr>
          <w:color w:val="000000" w:themeColor="text1"/>
        </w:rPr>
        <w:t xml:space="preserve"> </w:t>
      </w:r>
      <w:r w:rsidRPr="00A41D46">
        <w:rPr>
          <w:color w:val="000000" w:themeColor="text1"/>
        </w:rPr>
        <w:t>solely on number</w:t>
      </w:r>
      <w:r w:rsidR="009F4AE9" w:rsidRPr="00A41D46">
        <w:rPr>
          <w:color w:val="000000" w:themeColor="text1"/>
        </w:rPr>
        <w:t>s</w:t>
      </w:r>
      <w:r w:rsidRPr="00A41D46">
        <w:rPr>
          <w:color w:val="000000" w:themeColor="text1"/>
        </w:rPr>
        <w:t xml:space="preserve"> as opposed to meeting </w:t>
      </w:r>
      <w:r w:rsidR="009352B4" w:rsidRPr="00A41D46">
        <w:rPr>
          <w:color w:val="000000" w:themeColor="text1"/>
        </w:rPr>
        <w:t>any</w:t>
      </w:r>
      <w:r w:rsidRPr="00A41D46">
        <w:rPr>
          <w:color w:val="000000" w:themeColor="text1"/>
        </w:rPr>
        <w:t xml:space="preserve"> need deficit</w:t>
      </w:r>
      <w:r w:rsidR="009352B4" w:rsidRPr="00A41D46">
        <w:rPr>
          <w:color w:val="000000" w:themeColor="text1"/>
        </w:rPr>
        <w:t xml:space="preserve"> of the children in their care</w:t>
      </w:r>
      <w:r w:rsidR="00672979" w:rsidRPr="00A41D46">
        <w:rPr>
          <w:color w:val="000000" w:themeColor="text1"/>
        </w:rPr>
        <w:t xml:space="preserve"> not already placed</w:t>
      </w:r>
      <w:r w:rsidRPr="00A41D46">
        <w:rPr>
          <w:color w:val="000000" w:themeColor="text1"/>
        </w:rPr>
        <w:t>.</w:t>
      </w:r>
      <w:r w:rsidRPr="00A41D46">
        <w:rPr>
          <w:rStyle w:val="FootnoteReference"/>
          <w:color w:val="000000" w:themeColor="text1"/>
        </w:rPr>
        <w:footnoteReference w:id="7"/>
      </w:r>
    </w:p>
    <w:p w14:paraId="26FE7F99" w14:textId="77777777" w:rsidR="00EB276E" w:rsidRPr="00A41D46" w:rsidRDefault="00EB276E" w:rsidP="00EB276E">
      <w:pPr>
        <w:rPr>
          <w:color w:val="000000" w:themeColor="text1"/>
        </w:rPr>
      </w:pPr>
    </w:p>
    <w:p w14:paraId="53696009" w14:textId="77777777" w:rsidR="00433DB0" w:rsidRDefault="00433DB0" w:rsidP="00433DB0">
      <w:pPr>
        <w:pStyle w:val="ListParagraph"/>
        <w:numPr>
          <w:ilvl w:val="0"/>
          <w:numId w:val="6"/>
        </w:numPr>
        <w:ind w:left="426"/>
        <w:jc w:val="left"/>
      </w:pPr>
      <w:r w:rsidRPr="004923E8">
        <w:t>In total, there were 83,930 approved fostering places in England as at 31 March 2017, a 1% increase from the same point in the previous year</w:t>
      </w:r>
      <w:r>
        <w:t xml:space="preserve"> (83,175).</w:t>
      </w:r>
    </w:p>
    <w:p w14:paraId="0C962C5D" w14:textId="16E3D353" w:rsidR="00433DB0" w:rsidRDefault="00433DB0" w:rsidP="00433DB0">
      <w:pPr>
        <w:pStyle w:val="ListParagraph"/>
        <w:numPr>
          <w:ilvl w:val="0"/>
          <w:numId w:val="6"/>
        </w:numPr>
        <w:ind w:left="426"/>
        <w:jc w:val="left"/>
      </w:pPr>
      <w:r>
        <w:t>T</w:t>
      </w:r>
      <w:r w:rsidRPr="004923E8">
        <w:t xml:space="preserve">he number of approved places increased by 2% in </w:t>
      </w:r>
      <w:r w:rsidR="00383AD7">
        <w:t>independent fostering agencies (</w:t>
      </w:r>
      <w:r w:rsidRPr="004923E8">
        <w:t>IFA</w:t>
      </w:r>
      <w:r w:rsidR="00383AD7">
        <w:t>)</w:t>
      </w:r>
      <w:r w:rsidRPr="004923E8">
        <w:t xml:space="preserve"> (f</w:t>
      </w:r>
      <w:r w:rsidRPr="00D648B2">
        <w:t>ro</w:t>
      </w:r>
      <w:r w:rsidRPr="004923E8">
        <w:t>m 31,510 to 32,235)</w:t>
      </w:r>
      <w:r w:rsidR="00157A7A">
        <w:t>,</w:t>
      </w:r>
      <w:r w:rsidRPr="004923E8">
        <w:t xml:space="preserve"> </w:t>
      </w:r>
      <w:r w:rsidR="00E86464">
        <w:t xml:space="preserve">a change from last year’s decrease in places. The number </w:t>
      </w:r>
      <w:r w:rsidRPr="004923E8">
        <w:t>remained static in LAs.</w:t>
      </w:r>
    </w:p>
    <w:p w14:paraId="78309F42" w14:textId="77777777" w:rsidR="00433DB0" w:rsidRDefault="00433DB0" w:rsidP="00433DB0">
      <w:pPr>
        <w:jc w:val="left"/>
      </w:pPr>
    </w:p>
    <w:p w14:paraId="22C31D41" w14:textId="77777777" w:rsidR="00B564FC" w:rsidRDefault="00B564FC" w:rsidP="00433DB0">
      <w:pPr>
        <w:jc w:val="left"/>
      </w:pPr>
    </w:p>
    <w:p w14:paraId="324602C8" w14:textId="77777777" w:rsidR="00B564FC" w:rsidRDefault="00B564FC" w:rsidP="00433DB0">
      <w:pPr>
        <w:jc w:val="left"/>
      </w:pPr>
    </w:p>
    <w:p w14:paraId="42E58707" w14:textId="77777777" w:rsidR="00B564FC" w:rsidRDefault="00B564FC" w:rsidP="00433DB0">
      <w:pPr>
        <w:jc w:val="left"/>
      </w:pPr>
    </w:p>
    <w:p w14:paraId="7A79DF3F" w14:textId="77777777" w:rsidR="00B564FC" w:rsidRDefault="00B564FC" w:rsidP="00433DB0">
      <w:pPr>
        <w:jc w:val="left"/>
      </w:pPr>
    </w:p>
    <w:p w14:paraId="30766D92" w14:textId="77777777" w:rsidR="00B564FC" w:rsidRDefault="00B564FC" w:rsidP="00433DB0">
      <w:pPr>
        <w:jc w:val="left"/>
      </w:pPr>
    </w:p>
    <w:p w14:paraId="7C5A9F02" w14:textId="4AFDA3FE" w:rsidR="00433DB0" w:rsidRPr="008E4653" w:rsidRDefault="000E7AC6" w:rsidP="00433DB0">
      <w:pPr>
        <w:pStyle w:val="Table"/>
        <w:rPr>
          <w:color w:val="000000" w:themeColor="text1"/>
        </w:rPr>
      </w:pPr>
      <w:bookmarkStart w:id="12" w:name="_Toc509495440"/>
      <w:r w:rsidRPr="008E4653">
        <w:rPr>
          <w:color w:val="000000" w:themeColor="text1"/>
        </w:rPr>
        <w:t>Figure 1</w:t>
      </w:r>
      <w:r w:rsidR="00433DB0" w:rsidRPr="008E4653">
        <w:rPr>
          <w:color w:val="000000" w:themeColor="text1"/>
        </w:rPr>
        <w:t>: Occupancy trend as at 31 March</w:t>
      </w:r>
      <w:bookmarkEnd w:id="12"/>
    </w:p>
    <w:p w14:paraId="79F40CB5" w14:textId="08D3A8DC" w:rsidR="00A167B2" w:rsidRDefault="00A167B2" w:rsidP="00433DB0">
      <w:pPr>
        <w:rPr>
          <w:noProof/>
          <w:color w:val="FF0000"/>
        </w:rPr>
      </w:pPr>
    </w:p>
    <w:p w14:paraId="13CB6FBA" w14:textId="5F3537CE" w:rsidR="00433DB0" w:rsidRDefault="00A167B2" w:rsidP="00433DB0">
      <w:pPr>
        <w:rPr>
          <w:color w:val="FF0000"/>
        </w:rPr>
      </w:pPr>
      <w:r>
        <w:rPr>
          <w:rFonts w:cs="Tahoma"/>
          <w:noProof/>
        </w:rPr>
        <w:drawing>
          <wp:inline distT="0" distB="0" distL="0" distR="0" wp14:anchorId="17AACEE0" wp14:editId="0ECF3694">
            <wp:extent cx="5395595" cy="2847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5595" cy="2847340"/>
                    </a:xfrm>
                    <a:prstGeom prst="rect">
                      <a:avLst/>
                    </a:prstGeom>
                    <a:noFill/>
                  </pic:spPr>
                </pic:pic>
              </a:graphicData>
            </a:graphic>
          </wp:inline>
        </w:drawing>
      </w:r>
      <w:r w:rsidR="00433DB0">
        <w:rPr>
          <w:noProof/>
          <w:color w:val="FF0000"/>
        </w:rPr>
        <w:t xml:space="preserve"> </w:t>
      </w:r>
    </w:p>
    <w:p w14:paraId="3CE8691B" w14:textId="5ACAC1AD" w:rsidR="00E86464" w:rsidRPr="00C17C9F" w:rsidRDefault="00433DB0" w:rsidP="00433DB0">
      <w:pPr>
        <w:pStyle w:val="ListParagraph"/>
        <w:numPr>
          <w:ilvl w:val="0"/>
          <w:numId w:val="6"/>
        </w:numPr>
        <w:ind w:left="426"/>
        <w:jc w:val="left"/>
      </w:pPr>
      <w:r w:rsidRPr="00050EE8">
        <w:t>As at 31 March 2017, 62% of fostering places were filled</w:t>
      </w:r>
      <w:r>
        <w:t xml:space="preserve"> (51,935)</w:t>
      </w:r>
      <w:r w:rsidRPr="00050EE8">
        <w:t xml:space="preserve"> and 20% were vacant</w:t>
      </w:r>
      <w:r>
        <w:t xml:space="preserve"> (16,875)</w:t>
      </w:r>
      <w:r w:rsidRPr="00050EE8">
        <w:t>.</w:t>
      </w:r>
      <w:r>
        <w:rPr>
          <w:rStyle w:val="FootnoteReference"/>
        </w:rPr>
        <w:footnoteReference w:id="8"/>
      </w:r>
      <w:r w:rsidRPr="00021F1C">
        <w:rPr>
          <w:vertAlign w:val="superscript"/>
        </w:rPr>
        <w:t>,</w:t>
      </w:r>
      <w:r>
        <w:rPr>
          <w:rStyle w:val="FootnoteReference"/>
        </w:rPr>
        <w:footnoteReference w:id="9"/>
      </w:r>
      <w:r w:rsidRPr="00050EE8">
        <w:t xml:space="preserve"> </w:t>
      </w:r>
      <w:r w:rsidRPr="008E4653">
        <w:rPr>
          <w:color w:val="000000" w:themeColor="text1"/>
        </w:rPr>
        <w:t xml:space="preserve">The </w:t>
      </w:r>
      <w:r w:rsidR="00E86464" w:rsidRPr="008E4653">
        <w:rPr>
          <w:color w:val="000000" w:themeColor="text1"/>
        </w:rPr>
        <w:t xml:space="preserve">remaining 18% </w:t>
      </w:r>
      <w:r w:rsidRPr="00050EE8">
        <w:t xml:space="preserve">were </w:t>
      </w:r>
      <w:r w:rsidR="00E725CC">
        <w:t>‘</w:t>
      </w:r>
      <w:r w:rsidRPr="00050EE8">
        <w:t>not available</w:t>
      </w:r>
      <w:r w:rsidR="00E725CC">
        <w:t>’</w:t>
      </w:r>
      <w:r>
        <w:t xml:space="preserve"> (15,520)</w:t>
      </w:r>
      <w:r w:rsidRPr="00050EE8">
        <w:t>.</w:t>
      </w:r>
      <w:r w:rsidRPr="00D648B2">
        <w:rPr>
          <w:rStyle w:val="FootnoteReference"/>
        </w:rPr>
        <w:footnoteReference w:id="10"/>
      </w:r>
      <w:r w:rsidRPr="00DB7D3B">
        <w:rPr>
          <w:vertAlign w:val="superscript"/>
        </w:rPr>
        <w:t>,</w:t>
      </w:r>
      <w:r w:rsidRPr="00050EE8">
        <w:rPr>
          <w:rStyle w:val="FootnoteReference"/>
        </w:rPr>
        <w:footnoteReference w:id="11"/>
      </w:r>
      <w:r w:rsidRPr="00050EE8">
        <w:t xml:space="preserve"> </w:t>
      </w:r>
    </w:p>
    <w:p w14:paraId="0EBDA455" w14:textId="3B150CAC" w:rsidR="00433DB0" w:rsidRPr="00265E8B" w:rsidRDefault="00433DB0" w:rsidP="00433DB0">
      <w:pPr>
        <w:pStyle w:val="ListParagraph"/>
        <w:numPr>
          <w:ilvl w:val="0"/>
          <w:numId w:val="6"/>
        </w:numPr>
        <w:ind w:left="426"/>
        <w:jc w:val="left"/>
        <w:rPr>
          <w:color w:val="FF0000"/>
        </w:rPr>
      </w:pPr>
      <w:r w:rsidRPr="00050EE8">
        <w:t>The percentage of places that were filled increased slightly from 61% in 2016 to 62% in 2017.</w:t>
      </w:r>
    </w:p>
    <w:p w14:paraId="700BAB92" w14:textId="77777777" w:rsidR="00333F27" w:rsidRPr="00C17C9F" w:rsidRDefault="00433DB0" w:rsidP="00433DB0">
      <w:pPr>
        <w:pStyle w:val="ListParagraph"/>
        <w:numPr>
          <w:ilvl w:val="0"/>
          <w:numId w:val="6"/>
        </w:numPr>
        <w:ind w:left="426"/>
        <w:jc w:val="left"/>
        <w:rPr>
          <w:b/>
          <w:bCs/>
          <w:noProof/>
          <w:sz w:val="20"/>
          <w:szCs w:val="20"/>
          <w:lang w:eastAsia="en-US"/>
        </w:rPr>
      </w:pPr>
      <w:r w:rsidRPr="00050EE8">
        <w:t>Having reached a high in 2016, the number and proportion of vacant places reduced in 2017 to 16,8</w:t>
      </w:r>
      <w:r>
        <w:t>7</w:t>
      </w:r>
      <w:r w:rsidRPr="00050EE8">
        <w:t xml:space="preserve">5 or 20% (19,480 or 23% in 2016). </w:t>
      </w:r>
    </w:p>
    <w:p w14:paraId="1C5604CF" w14:textId="589A1631" w:rsidR="00433DB0" w:rsidRPr="007F50DD" w:rsidRDefault="00333F27" w:rsidP="00433DB0">
      <w:pPr>
        <w:pStyle w:val="ListParagraph"/>
        <w:numPr>
          <w:ilvl w:val="0"/>
          <w:numId w:val="6"/>
        </w:numPr>
        <w:ind w:left="426"/>
        <w:jc w:val="left"/>
        <w:rPr>
          <w:b/>
          <w:bCs/>
          <w:noProof/>
          <w:color w:val="000000" w:themeColor="text1"/>
          <w:sz w:val="20"/>
          <w:szCs w:val="20"/>
          <w:lang w:eastAsia="en-US"/>
        </w:rPr>
      </w:pPr>
      <w:r>
        <w:t>T</w:t>
      </w:r>
      <w:r w:rsidR="00433DB0" w:rsidRPr="00050EE8">
        <w:t xml:space="preserve">he number and proportion of places </w:t>
      </w:r>
      <w:r w:rsidR="00E725CC">
        <w:t>‘</w:t>
      </w:r>
      <w:r w:rsidR="00433DB0" w:rsidRPr="00050EE8">
        <w:t>not available</w:t>
      </w:r>
      <w:r w:rsidR="00E725CC">
        <w:t>’</w:t>
      </w:r>
      <w:r w:rsidR="00433DB0" w:rsidRPr="00050EE8">
        <w:t xml:space="preserve"> increased from 13,000 (16%) </w:t>
      </w:r>
      <w:r w:rsidR="00433DB0" w:rsidRPr="007F50DD">
        <w:rPr>
          <w:color w:val="000000" w:themeColor="text1"/>
        </w:rPr>
        <w:t>in 2016 to 15,520 (18%) in 2017.</w:t>
      </w:r>
      <w:bookmarkStart w:id="13" w:name="_Toc472088367"/>
    </w:p>
    <w:p w14:paraId="3D5E45A9" w14:textId="1C1FC4B7" w:rsidR="00157A7A" w:rsidRPr="007F50DD" w:rsidRDefault="00157A7A" w:rsidP="00433DB0">
      <w:pPr>
        <w:pStyle w:val="ListParagraph"/>
        <w:numPr>
          <w:ilvl w:val="0"/>
          <w:numId w:val="6"/>
        </w:numPr>
        <w:ind w:left="426"/>
        <w:jc w:val="left"/>
        <w:rPr>
          <w:b/>
          <w:bCs/>
          <w:noProof/>
          <w:color w:val="000000" w:themeColor="text1"/>
          <w:sz w:val="20"/>
          <w:szCs w:val="20"/>
          <w:lang w:eastAsia="en-US"/>
        </w:rPr>
      </w:pPr>
      <w:r w:rsidRPr="007F50DD">
        <w:rPr>
          <w:color w:val="000000" w:themeColor="text1"/>
        </w:rPr>
        <w:t>This meant that, despite the total number of approved fostering places increasing, the number of places available for children to be placed into actually decreased</w:t>
      </w:r>
      <w:r w:rsidR="00644335" w:rsidRPr="007F50DD">
        <w:rPr>
          <w:color w:val="000000" w:themeColor="text1"/>
        </w:rPr>
        <w:t xml:space="preserve"> by 3%</w:t>
      </w:r>
      <w:r w:rsidRPr="007F50DD">
        <w:rPr>
          <w:color w:val="000000" w:themeColor="text1"/>
        </w:rPr>
        <w:t xml:space="preserve">. There were </w:t>
      </w:r>
      <w:r w:rsidR="00644335" w:rsidRPr="007F50DD">
        <w:rPr>
          <w:color w:val="000000" w:themeColor="text1"/>
        </w:rPr>
        <w:t>70,175 available places as at 31 March 2016 which reduced to 68,410 this year.</w:t>
      </w:r>
    </w:p>
    <w:p w14:paraId="2B0327F5" w14:textId="77777777" w:rsidR="00433DB0" w:rsidRDefault="00433DB0" w:rsidP="00433DB0">
      <w:pPr>
        <w:jc w:val="left"/>
        <w:rPr>
          <w:b/>
          <w:bCs/>
          <w:noProof/>
          <w:color w:val="000000" w:themeColor="text1"/>
          <w:sz w:val="20"/>
          <w:szCs w:val="20"/>
          <w:lang w:eastAsia="en-US"/>
        </w:rPr>
      </w:pPr>
    </w:p>
    <w:p w14:paraId="4F752572" w14:textId="77777777" w:rsidR="00B564FC" w:rsidRPr="007F50DD" w:rsidRDefault="00B564FC" w:rsidP="00433DB0">
      <w:pPr>
        <w:jc w:val="left"/>
        <w:rPr>
          <w:b/>
          <w:bCs/>
          <w:noProof/>
          <w:color w:val="000000" w:themeColor="text1"/>
          <w:sz w:val="20"/>
          <w:szCs w:val="20"/>
          <w:lang w:eastAsia="en-US"/>
        </w:rPr>
      </w:pPr>
    </w:p>
    <w:p w14:paraId="3320A2AB" w14:textId="3C7437CF" w:rsidR="00433DB0" w:rsidRPr="007F50DD" w:rsidRDefault="00433DB0" w:rsidP="0042575C">
      <w:pPr>
        <w:pStyle w:val="Table"/>
      </w:pPr>
      <w:bookmarkStart w:id="14" w:name="_Toc509495441"/>
      <w:r w:rsidRPr="00A135DF">
        <w:t xml:space="preserve">Table </w:t>
      </w:r>
      <w:r w:rsidR="000E7AC6" w:rsidRPr="00A135DF">
        <w:t>1</w:t>
      </w:r>
      <w:r w:rsidRPr="00A135DF">
        <w:t>: Reasons why fostering places are unavailable to be used</w:t>
      </w:r>
      <w:bookmarkEnd w:id="14"/>
    </w:p>
    <w:p w14:paraId="060D4A99" w14:textId="77777777" w:rsidR="00433DB0" w:rsidRDefault="00433DB0" w:rsidP="00433DB0">
      <w:pPr>
        <w:jc w:val="left"/>
        <w:rPr>
          <w:b/>
          <w:bCs/>
          <w:noProof/>
          <w:color w:val="000000" w:themeColor="text1"/>
          <w:sz w:val="20"/>
          <w:szCs w:val="20"/>
          <w:lang w:eastAsia="en-US"/>
        </w:rPr>
      </w:pPr>
    </w:p>
    <w:p w14:paraId="7059ED81" w14:textId="497C0FD5" w:rsidR="00BF7954" w:rsidRDefault="00AA4759" w:rsidP="00433DB0">
      <w:pPr>
        <w:jc w:val="left"/>
        <w:rPr>
          <w:b/>
          <w:bCs/>
          <w:noProof/>
          <w:color w:val="000000" w:themeColor="text1"/>
          <w:sz w:val="20"/>
          <w:szCs w:val="20"/>
          <w:lang w:eastAsia="en-US"/>
        </w:rPr>
      </w:pPr>
      <w:r>
        <w:rPr>
          <w:noProof/>
        </w:rPr>
        <w:drawing>
          <wp:inline distT="0" distB="0" distL="0" distR="0" wp14:anchorId="0F9D59CE" wp14:editId="228AFF97">
            <wp:extent cx="4848225" cy="23336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48225" cy="2333625"/>
                    </a:xfrm>
                    <a:prstGeom prst="rect">
                      <a:avLst/>
                    </a:prstGeom>
                  </pic:spPr>
                </pic:pic>
              </a:graphicData>
            </a:graphic>
          </wp:inline>
        </w:drawing>
      </w:r>
    </w:p>
    <w:p w14:paraId="44F9557D" w14:textId="77777777" w:rsidR="00BF7954" w:rsidRPr="007F50DD" w:rsidRDefault="00BF7954" w:rsidP="00433DB0">
      <w:pPr>
        <w:jc w:val="left"/>
        <w:rPr>
          <w:b/>
          <w:bCs/>
          <w:noProof/>
          <w:color w:val="000000" w:themeColor="text1"/>
          <w:sz w:val="20"/>
          <w:szCs w:val="20"/>
          <w:lang w:eastAsia="en-US"/>
        </w:rPr>
      </w:pPr>
    </w:p>
    <w:p w14:paraId="22BAF697" w14:textId="3D2ED904" w:rsidR="00684057" w:rsidRPr="005D5B64" w:rsidRDefault="00684057" w:rsidP="00433DB0">
      <w:pPr>
        <w:pStyle w:val="ListParagraph"/>
        <w:numPr>
          <w:ilvl w:val="0"/>
          <w:numId w:val="6"/>
        </w:numPr>
        <w:ind w:left="426"/>
        <w:jc w:val="left"/>
        <w:rPr>
          <w:bCs/>
          <w:noProof/>
          <w:lang w:eastAsia="en-US"/>
        </w:rPr>
      </w:pPr>
      <w:r w:rsidRPr="005D5B64">
        <w:rPr>
          <w:bCs/>
          <w:noProof/>
          <w:lang w:eastAsia="en-US"/>
        </w:rPr>
        <w:t>This year, Ofsted collected data on the reasons for places being unavailable to be used. As this had not been collected previously, it is not possible to draw any conclusions as to the case of the increase in ‘not available’ places.</w:t>
      </w:r>
    </w:p>
    <w:p w14:paraId="3B34AB69" w14:textId="11575654" w:rsidR="00433DB0" w:rsidRPr="001A5E6C" w:rsidRDefault="00FF2DCE" w:rsidP="00433DB0">
      <w:pPr>
        <w:pStyle w:val="ListParagraph"/>
        <w:numPr>
          <w:ilvl w:val="0"/>
          <w:numId w:val="6"/>
        </w:numPr>
        <w:ind w:left="426"/>
        <w:jc w:val="left"/>
        <w:rPr>
          <w:b/>
          <w:bCs/>
          <w:noProof/>
          <w:sz w:val="20"/>
          <w:szCs w:val="20"/>
          <w:lang w:eastAsia="en-US"/>
        </w:rPr>
      </w:pPr>
      <w:r>
        <w:t xml:space="preserve">While </w:t>
      </w:r>
      <w:r w:rsidR="00433DB0">
        <w:t xml:space="preserve">there were more </w:t>
      </w:r>
      <w:r w:rsidR="009474CB">
        <w:t>‘</w:t>
      </w:r>
      <w:r w:rsidR="00433DB0">
        <w:t>not available</w:t>
      </w:r>
      <w:r w:rsidR="009474CB">
        <w:t>’</w:t>
      </w:r>
      <w:r w:rsidR="00433DB0">
        <w:t xml:space="preserve"> places in the LA sector (8,590), they made up a smaller proportion of all LA places (17%) than the equivalents in IFAs (6,930, or 21%). The four main reasons for </w:t>
      </w:r>
      <w:r w:rsidR="00E725CC">
        <w:t>‘</w:t>
      </w:r>
      <w:r w:rsidR="00433DB0">
        <w:t>not available</w:t>
      </w:r>
      <w:r w:rsidR="00E725CC">
        <w:t>’</w:t>
      </w:r>
      <w:r w:rsidR="00433DB0">
        <w:t xml:space="preserve"> places overall were also the most prevalent in each sector.</w:t>
      </w:r>
    </w:p>
    <w:p w14:paraId="6EA0AC97" w14:textId="0B3CBFA1" w:rsidR="00433DB0" w:rsidRPr="00B564FC" w:rsidRDefault="00433DB0" w:rsidP="00433DB0">
      <w:pPr>
        <w:pStyle w:val="ListParagraph"/>
        <w:numPr>
          <w:ilvl w:val="0"/>
          <w:numId w:val="6"/>
        </w:numPr>
        <w:ind w:left="426"/>
        <w:jc w:val="left"/>
        <w:rPr>
          <w:b/>
          <w:bCs/>
          <w:noProof/>
          <w:color w:val="000000" w:themeColor="text1"/>
          <w:sz w:val="20"/>
          <w:szCs w:val="20"/>
          <w:lang w:eastAsia="en-US"/>
        </w:rPr>
      </w:pPr>
      <w:r>
        <w:t xml:space="preserve">The recent Commons Education Select Committee report, </w:t>
      </w:r>
      <w:r w:rsidR="00B643AA">
        <w:t>‘</w:t>
      </w:r>
      <w:r w:rsidRPr="005D5B64">
        <w:t>Fostering</w:t>
      </w:r>
      <w:r w:rsidR="00B643AA">
        <w:t>’</w:t>
      </w:r>
      <w:r>
        <w:t xml:space="preserve">, noted that </w:t>
      </w:r>
      <w:r w:rsidR="00B643AA">
        <w:t>s</w:t>
      </w:r>
      <w:r>
        <w:t xml:space="preserve">taying </w:t>
      </w:r>
      <w:r w:rsidR="00B643AA">
        <w:t>p</w:t>
      </w:r>
      <w:r>
        <w:t xml:space="preserve">ut </w:t>
      </w:r>
      <w:r w:rsidR="00B643AA">
        <w:t>‘</w:t>
      </w:r>
      <w:r>
        <w:t>reduces the number of available places, further impacting capacity in the sector</w:t>
      </w:r>
      <w:r w:rsidR="00B643AA">
        <w:t>’</w:t>
      </w:r>
      <w:r>
        <w:t>.</w:t>
      </w:r>
      <w:r>
        <w:rPr>
          <w:rStyle w:val="FootnoteReference"/>
        </w:rPr>
        <w:footnoteReference w:id="12"/>
      </w:r>
      <w:r>
        <w:t xml:space="preserve"> </w:t>
      </w:r>
      <w:r w:rsidR="004A1B21">
        <w:t>However</w:t>
      </w:r>
      <w:r w:rsidR="00644335">
        <w:t>,</w:t>
      </w:r>
      <w:r w:rsidR="004A1B21">
        <w:t xml:space="preserve"> young people </w:t>
      </w:r>
      <w:r w:rsidR="00B643AA">
        <w:t>s</w:t>
      </w:r>
      <w:r w:rsidR="004A1B21">
        <w:t xml:space="preserve">taying </w:t>
      </w:r>
      <w:r w:rsidR="00B643AA">
        <w:t>p</w:t>
      </w:r>
      <w:r w:rsidR="004A1B21">
        <w:t>ut ma</w:t>
      </w:r>
      <w:r w:rsidR="00644335">
        <w:t>d</w:t>
      </w:r>
      <w:r w:rsidR="004A1B21">
        <w:t xml:space="preserve">e up only 8% of </w:t>
      </w:r>
      <w:r w:rsidR="00E725CC">
        <w:t>‘</w:t>
      </w:r>
      <w:r w:rsidR="004A1B21">
        <w:t>not available</w:t>
      </w:r>
      <w:r w:rsidR="00E725CC">
        <w:t>’</w:t>
      </w:r>
      <w:r w:rsidR="004A1B21">
        <w:t xml:space="preserve"> places and the number actually fell this </w:t>
      </w:r>
      <w:r w:rsidR="004A1B21" w:rsidRPr="00955B0B">
        <w:rPr>
          <w:color w:val="000000" w:themeColor="text1"/>
        </w:rPr>
        <w:t>year</w:t>
      </w:r>
      <w:r w:rsidR="00644335" w:rsidRPr="00955B0B">
        <w:rPr>
          <w:color w:val="000000" w:themeColor="text1"/>
        </w:rPr>
        <w:t>.</w:t>
      </w:r>
      <w:r w:rsidR="004A1B21" w:rsidRPr="00955B0B">
        <w:rPr>
          <w:color w:val="000000" w:themeColor="text1"/>
        </w:rPr>
        <w:t xml:space="preserve"> </w:t>
      </w:r>
      <w:r w:rsidR="00FF2DCE" w:rsidRPr="00955B0B">
        <w:rPr>
          <w:color w:val="000000" w:themeColor="text1"/>
        </w:rPr>
        <w:t>Whil</w:t>
      </w:r>
      <w:r w:rsidR="00FF2DCE">
        <w:rPr>
          <w:color w:val="000000" w:themeColor="text1"/>
        </w:rPr>
        <w:t>e</w:t>
      </w:r>
      <w:r w:rsidR="00FF2DCE" w:rsidRPr="00955B0B">
        <w:rPr>
          <w:color w:val="000000" w:themeColor="text1"/>
        </w:rPr>
        <w:t xml:space="preserve"> </w:t>
      </w:r>
      <w:r w:rsidR="00644335" w:rsidRPr="00955B0B">
        <w:rPr>
          <w:color w:val="000000" w:themeColor="text1"/>
        </w:rPr>
        <w:t>it</w:t>
      </w:r>
      <w:r w:rsidR="004A1B21" w:rsidRPr="00955B0B">
        <w:rPr>
          <w:color w:val="000000" w:themeColor="text1"/>
        </w:rPr>
        <w:t xml:space="preserve"> is not a large contributor to the increase in </w:t>
      </w:r>
      <w:r w:rsidR="00E725CC">
        <w:rPr>
          <w:color w:val="000000" w:themeColor="text1"/>
        </w:rPr>
        <w:t>‘</w:t>
      </w:r>
      <w:r w:rsidR="004A1B21" w:rsidRPr="00955B0B">
        <w:rPr>
          <w:color w:val="000000" w:themeColor="text1"/>
        </w:rPr>
        <w:t>not available</w:t>
      </w:r>
      <w:r w:rsidR="00E725CC">
        <w:rPr>
          <w:color w:val="000000" w:themeColor="text1"/>
        </w:rPr>
        <w:t>’</w:t>
      </w:r>
      <w:r w:rsidR="004A1B21" w:rsidRPr="00955B0B">
        <w:rPr>
          <w:color w:val="000000" w:themeColor="text1"/>
        </w:rPr>
        <w:t xml:space="preserve"> places</w:t>
      </w:r>
      <w:r w:rsidR="00644335" w:rsidRPr="00955B0B">
        <w:rPr>
          <w:color w:val="000000" w:themeColor="text1"/>
        </w:rPr>
        <w:t>, it undoubtedly has an impact on the availability of places for children</w:t>
      </w:r>
      <w:r w:rsidR="004A1B21" w:rsidRPr="00955B0B">
        <w:rPr>
          <w:color w:val="000000" w:themeColor="text1"/>
        </w:rPr>
        <w:t xml:space="preserve">. </w:t>
      </w:r>
    </w:p>
    <w:p w14:paraId="0B39C214" w14:textId="77777777" w:rsidR="00B564FC" w:rsidRDefault="00B564FC" w:rsidP="00B564FC">
      <w:pPr>
        <w:ind w:left="66"/>
        <w:jc w:val="left"/>
        <w:rPr>
          <w:b/>
          <w:bCs/>
          <w:noProof/>
          <w:color w:val="000000" w:themeColor="text1"/>
          <w:sz w:val="20"/>
          <w:szCs w:val="20"/>
          <w:lang w:eastAsia="en-US"/>
        </w:rPr>
      </w:pPr>
    </w:p>
    <w:p w14:paraId="4F9CB96F" w14:textId="77777777" w:rsidR="00B564FC" w:rsidRPr="00B564FC" w:rsidRDefault="00B564FC" w:rsidP="00B564FC">
      <w:pPr>
        <w:ind w:left="66"/>
        <w:jc w:val="left"/>
        <w:rPr>
          <w:b/>
          <w:bCs/>
          <w:noProof/>
          <w:color w:val="000000" w:themeColor="text1"/>
          <w:sz w:val="20"/>
          <w:szCs w:val="20"/>
          <w:lang w:eastAsia="en-US"/>
        </w:rPr>
      </w:pPr>
    </w:p>
    <w:p w14:paraId="31A6D4AC" w14:textId="0DD19D2E" w:rsidR="00B147A5" w:rsidRDefault="00B147A5" w:rsidP="006874B7">
      <w:pPr>
        <w:pStyle w:val="Heading2"/>
      </w:pPr>
      <w:bookmarkStart w:id="15" w:name="_Toc470097319"/>
      <w:bookmarkStart w:id="16" w:name="_Toc509261115"/>
      <w:bookmarkEnd w:id="13"/>
      <w:r w:rsidRPr="00CB0983">
        <w:t xml:space="preserve">Fostering </w:t>
      </w:r>
      <w:r w:rsidR="006874B7">
        <w:t>h</w:t>
      </w:r>
      <w:r w:rsidRPr="00CB0983">
        <w:t>ouseholds</w:t>
      </w:r>
      <w:bookmarkEnd w:id="15"/>
      <w:bookmarkEnd w:id="16"/>
    </w:p>
    <w:p w14:paraId="64590E8C" w14:textId="04BB1E37" w:rsidR="0084370B" w:rsidRPr="00F86E80" w:rsidRDefault="0084370B" w:rsidP="00F502DF">
      <w:pPr>
        <w:jc w:val="left"/>
        <w:rPr>
          <w:color w:val="000000" w:themeColor="text1"/>
          <w:u w:val="single"/>
        </w:rPr>
      </w:pPr>
      <w:r w:rsidRPr="00F86E80">
        <w:rPr>
          <w:color w:val="000000" w:themeColor="text1"/>
          <w:u w:val="single"/>
        </w:rPr>
        <w:t>Section overview</w:t>
      </w:r>
    </w:p>
    <w:p w14:paraId="131019BF" w14:textId="34902CDA" w:rsidR="00E14875" w:rsidRPr="00F86E80" w:rsidRDefault="00743409" w:rsidP="00F502DF">
      <w:pPr>
        <w:jc w:val="left"/>
        <w:rPr>
          <w:color w:val="000000" w:themeColor="text1"/>
        </w:rPr>
      </w:pPr>
      <w:r w:rsidRPr="00F86E80">
        <w:rPr>
          <w:color w:val="000000" w:themeColor="text1"/>
        </w:rPr>
        <w:t xml:space="preserve">The number of households and therefore </w:t>
      </w:r>
      <w:r w:rsidR="00632ECB">
        <w:rPr>
          <w:color w:val="000000" w:themeColor="text1"/>
        </w:rPr>
        <w:t xml:space="preserve">the </w:t>
      </w:r>
      <w:r w:rsidRPr="00F86E80">
        <w:rPr>
          <w:color w:val="000000" w:themeColor="text1"/>
        </w:rPr>
        <w:t>number of carers continued to steadily decrease, driven by the fall in mainstream households.</w:t>
      </w:r>
      <w:r w:rsidR="00B8291E" w:rsidRPr="00F86E80">
        <w:rPr>
          <w:rStyle w:val="FootnoteReference"/>
          <w:color w:val="000000" w:themeColor="text1"/>
        </w:rPr>
        <w:footnoteReference w:id="13"/>
      </w:r>
      <w:r w:rsidRPr="00F86E80">
        <w:rPr>
          <w:color w:val="000000" w:themeColor="text1"/>
        </w:rPr>
        <w:t xml:space="preserve"> </w:t>
      </w:r>
      <w:r w:rsidR="00632ECB">
        <w:rPr>
          <w:color w:val="000000" w:themeColor="text1"/>
        </w:rPr>
        <w:t>T</w:t>
      </w:r>
      <w:r w:rsidRPr="00F86E80">
        <w:rPr>
          <w:color w:val="000000" w:themeColor="text1"/>
        </w:rPr>
        <w:t xml:space="preserve">his </w:t>
      </w:r>
      <w:r w:rsidR="00632ECB">
        <w:rPr>
          <w:color w:val="000000" w:themeColor="text1"/>
        </w:rPr>
        <w:t>would have been</w:t>
      </w:r>
      <w:r w:rsidR="00632ECB" w:rsidRPr="00F86E80">
        <w:rPr>
          <w:color w:val="000000" w:themeColor="text1"/>
        </w:rPr>
        <w:t xml:space="preserve"> </w:t>
      </w:r>
      <w:r w:rsidRPr="00F86E80">
        <w:rPr>
          <w:color w:val="000000" w:themeColor="text1"/>
        </w:rPr>
        <w:t>the biggest decrease in</w:t>
      </w:r>
      <w:r w:rsidR="0045753A" w:rsidRPr="00F86E80">
        <w:rPr>
          <w:color w:val="000000" w:themeColor="text1"/>
        </w:rPr>
        <w:t xml:space="preserve"> households in</w:t>
      </w:r>
      <w:r w:rsidRPr="00F86E80">
        <w:rPr>
          <w:color w:val="000000" w:themeColor="text1"/>
        </w:rPr>
        <w:t xml:space="preserve"> recent years</w:t>
      </w:r>
      <w:r w:rsidR="00632ECB">
        <w:rPr>
          <w:color w:val="000000" w:themeColor="text1"/>
        </w:rPr>
        <w:t xml:space="preserve"> but for the large increase in family and friends households</w:t>
      </w:r>
      <w:r w:rsidRPr="00F86E80">
        <w:rPr>
          <w:color w:val="000000" w:themeColor="text1"/>
        </w:rPr>
        <w:t>.</w:t>
      </w:r>
      <w:r w:rsidR="00084F8B" w:rsidRPr="00F86E80">
        <w:rPr>
          <w:color w:val="000000" w:themeColor="text1"/>
        </w:rPr>
        <w:t xml:space="preserve"> </w:t>
      </w:r>
      <w:r w:rsidR="00E14875" w:rsidRPr="00F86E80">
        <w:rPr>
          <w:color w:val="000000" w:themeColor="text1"/>
        </w:rPr>
        <w:t>However</w:t>
      </w:r>
      <w:r w:rsidR="00205DBC">
        <w:rPr>
          <w:color w:val="000000" w:themeColor="text1"/>
        </w:rPr>
        <w:t>,</w:t>
      </w:r>
      <w:r w:rsidR="00E14875" w:rsidRPr="00F86E80">
        <w:rPr>
          <w:color w:val="000000" w:themeColor="text1"/>
        </w:rPr>
        <w:t xml:space="preserve"> if the decrease in mainstream households continues, along with a continued increase in children in care, there is a risk that the sector will reach a point where there are not enough suitable places available. </w:t>
      </w:r>
    </w:p>
    <w:p w14:paraId="1CD436B1" w14:textId="77777777" w:rsidR="00E14875" w:rsidRPr="00F86E80" w:rsidRDefault="00E14875" w:rsidP="00F502DF">
      <w:pPr>
        <w:jc w:val="left"/>
        <w:rPr>
          <w:color w:val="000000" w:themeColor="text1"/>
        </w:rPr>
      </w:pPr>
    </w:p>
    <w:p w14:paraId="5A1A99B4" w14:textId="3CA24FDF" w:rsidR="00743409" w:rsidRPr="00F86E80" w:rsidRDefault="00084F8B" w:rsidP="00F502DF">
      <w:pPr>
        <w:jc w:val="left"/>
        <w:rPr>
          <w:color w:val="000000" w:themeColor="text1"/>
        </w:rPr>
      </w:pPr>
      <w:r w:rsidRPr="00F86E80">
        <w:rPr>
          <w:color w:val="000000" w:themeColor="text1"/>
        </w:rPr>
        <w:t xml:space="preserve">Although falling in number, mainstream households are </w:t>
      </w:r>
      <w:r w:rsidR="00F27D88">
        <w:rPr>
          <w:color w:val="000000" w:themeColor="text1"/>
        </w:rPr>
        <w:t>on average</w:t>
      </w:r>
      <w:r w:rsidRPr="00F86E80">
        <w:rPr>
          <w:color w:val="000000" w:themeColor="text1"/>
        </w:rPr>
        <w:t xml:space="preserve"> looking after more children, as seen by the small increase in approved foster places.</w:t>
      </w:r>
      <w:r w:rsidR="00E14875" w:rsidRPr="00F86E80">
        <w:rPr>
          <w:color w:val="000000" w:themeColor="text1"/>
        </w:rPr>
        <w:t xml:space="preserve"> This change could though be reducing the diversity or choice of carers </w:t>
      </w:r>
      <w:r w:rsidR="00644335" w:rsidRPr="00F86E80">
        <w:rPr>
          <w:color w:val="000000" w:themeColor="text1"/>
        </w:rPr>
        <w:t xml:space="preserve">with whom </w:t>
      </w:r>
      <w:r w:rsidR="00E14875" w:rsidRPr="00F86E80">
        <w:rPr>
          <w:color w:val="000000" w:themeColor="text1"/>
        </w:rPr>
        <w:t xml:space="preserve">to place children and young </w:t>
      </w:r>
      <w:r w:rsidR="009075F0" w:rsidRPr="00F86E80">
        <w:rPr>
          <w:color w:val="000000" w:themeColor="text1"/>
        </w:rPr>
        <w:t>people</w:t>
      </w:r>
      <w:r w:rsidR="00E14875" w:rsidRPr="00F86E80">
        <w:rPr>
          <w:color w:val="000000" w:themeColor="text1"/>
        </w:rPr>
        <w:t>.</w:t>
      </w:r>
    </w:p>
    <w:p w14:paraId="6BCD448F" w14:textId="77777777" w:rsidR="00743409" w:rsidRPr="00F86E80" w:rsidRDefault="00743409" w:rsidP="00F502DF">
      <w:pPr>
        <w:jc w:val="left"/>
        <w:rPr>
          <w:color w:val="000000" w:themeColor="text1"/>
        </w:rPr>
      </w:pPr>
    </w:p>
    <w:p w14:paraId="47D9AC7D" w14:textId="07611031" w:rsidR="0084370B" w:rsidRPr="00F86E80" w:rsidRDefault="00743409" w:rsidP="00F502DF">
      <w:pPr>
        <w:jc w:val="left"/>
        <w:rPr>
          <w:color w:val="000000" w:themeColor="text1"/>
        </w:rPr>
      </w:pPr>
      <w:r w:rsidRPr="00F86E80">
        <w:rPr>
          <w:color w:val="000000" w:themeColor="text1"/>
        </w:rPr>
        <w:t>Short break households decreased by almost a third in the year.</w:t>
      </w:r>
      <w:r w:rsidR="00A73A39" w:rsidRPr="00F86E80">
        <w:rPr>
          <w:rStyle w:val="FootnoteReference"/>
          <w:color w:val="000000" w:themeColor="text1"/>
        </w:rPr>
        <w:footnoteReference w:id="14"/>
      </w:r>
      <w:r w:rsidRPr="00F86E80">
        <w:rPr>
          <w:color w:val="000000" w:themeColor="text1"/>
        </w:rPr>
        <w:t xml:space="preserve"> This w</w:t>
      </w:r>
      <w:r w:rsidR="00BE7E71" w:rsidRPr="00F86E80">
        <w:rPr>
          <w:color w:val="000000" w:themeColor="text1"/>
        </w:rPr>
        <w:t>as a</w:t>
      </w:r>
      <w:r w:rsidR="00B27822" w:rsidRPr="00F86E80">
        <w:rPr>
          <w:color w:val="000000" w:themeColor="text1"/>
        </w:rPr>
        <w:t xml:space="preserve">n acceleration of </w:t>
      </w:r>
      <w:r w:rsidRPr="00F86E80">
        <w:rPr>
          <w:color w:val="000000" w:themeColor="text1"/>
        </w:rPr>
        <w:t xml:space="preserve">the already </w:t>
      </w:r>
      <w:r w:rsidR="00BE7E71" w:rsidRPr="00F86E80">
        <w:rPr>
          <w:color w:val="000000" w:themeColor="text1"/>
        </w:rPr>
        <w:t>steep</w:t>
      </w:r>
      <w:r w:rsidRPr="00F86E80">
        <w:rPr>
          <w:color w:val="000000" w:themeColor="text1"/>
        </w:rPr>
        <w:t xml:space="preserve"> decline in the number of these households </w:t>
      </w:r>
      <w:r w:rsidR="00BE7E71" w:rsidRPr="00F86E80">
        <w:rPr>
          <w:color w:val="000000" w:themeColor="text1"/>
        </w:rPr>
        <w:t xml:space="preserve">seen </w:t>
      </w:r>
      <w:r w:rsidRPr="00F86E80">
        <w:rPr>
          <w:color w:val="000000" w:themeColor="text1"/>
        </w:rPr>
        <w:t>over</w:t>
      </w:r>
      <w:r w:rsidR="00BE7E71" w:rsidRPr="00F86E80">
        <w:rPr>
          <w:color w:val="000000" w:themeColor="text1"/>
        </w:rPr>
        <w:t xml:space="preserve"> </w:t>
      </w:r>
      <w:r w:rsidRPr="00F86E80">
        <w:rPr>
          <w:color w:val="000000" w:themeColor="text1"/>
        </w:rPr>
        <w:t xml:space="preserve">previous years. </w:t>
      </w:r>
      <w:r w:rsidR="00BE7E71" w:rsidRPr="00F86E80">
        <w:rPr>
          <w:color w:val="000000" w:themeColor="text1"/>
        </w:rPr>
        <w:t>These carers offer a vital source of short term help to families and their children</w:t>
      </w:r>
      <w:r w:rsidR="00B27822" w:rsidRPr="00F86E80">
        <w:rPr>
          <w:color w:val="000000" w:themeColor="text1"/>
        </w:rPr>
        <w:t>. T</w:t>
      </w:r>
      <w:r w:rsidR="00BE7E71" w:rsidRPr="00F86E80">
        <w:rPr>
          <w:color w:val="000000" w:themeColor="text1"/>
        </w:rPr>
        <w:t xml:space="preserve">he decrease in numbers increases the risk </w:t>
      </w:r>
      <w:r w:rsidR="00B27822" w:rsidRPr="00F86E80">
        <w:rPr>
          <w:color w:val="000000" w:themeColor="text1"/>
        </w:rPr>
        <w:t>of</w:t>
      </w:r>
      <w:r w:rsidR="00BE7E71" w:rsidRPr="00F86E80">
        <w:rPr>
          <w:color w:val="000000" w:themeColor="text1"/>
        </w:rPr>
        <w:t xml:space="preserve"> a child </w:t>
      </w:r>
      <w:r w:rsidR="00B27822" w:rsidRPr="00F86E80">
        <w:rPr>
          <w:color w:val="000000" w:themeColor="text1"/>
        </w:rPr>
        <w:t>being un</w:t>
      </w:r>
      <w:r w:rsidR="00BE7E71" w:rsidRPr="00F86E80">
        <w:rPr>
          <w:color w:val="000000" w:themeColor="text1"/>
        </w:rPr>
        <w:t xml:space="preserve">able to be placed with a family </w:t>
      </w:r>
      <w:r w:rsidR="00B27822" w:rsidRPr="00F86E80">
        <w:rPr>
          <w:color w:val="000000" w:themeColor="text1"/>
        </w:rPr>
        <w:t>who</w:t>
      </w:r>
      <w:r w:rsidR="00BE7E71" w:rsidRPr="00F86E80">
        <w:rPr>
          <w:color w:val="000000" w:themeColor="text1"/>
        </w:rPr>
        <w:t xml:space="preserve"> meet their needs and may even be placed outside of fostering in a residential setting.  </w:t>
      </w:r>
      <w:r w:rsidRPr="00F86E80">
        <w:rPr>
          <w:color w:val="000000" w:themeColor="text1"/>
        </w:rPr>
        <w:t xml:space="preserve">   </w:t>
      </w:r>
      <w:r w:rsidR="0084370B" w:rsidRPr="00F86E80">
        <w:rPr>
          <w:color w:val="000000" w:themeColor="text1"/>
        </w:rPr>
        <w:t xml:space="preserve"> </w:t>
      </w:r>
    </w:p>
    <w:p w14:paraId="47900393" w14:textId="77777777" w:rsidR="0084370B" w:rsidRPr="00F86E80" w:rsidRDefault="0084370B" w:rsidP="00F502DF">
      <w:pPr>
        <w:jc w:val="left"/>
        <w:rPr>
          <w:color w:val="000000" w:themeColor="text1"/>
        </w:rPr>
      </w:pPr>
    </w:p>
    <w:p w14:paraId="2B89FCD6" w14:textId="05318FB3" w:rsidR="00B06C4E" w:rsidRPr="00F86E80" w:rsidRDefault="000E7AC6" w:rsidP="0042575C">
      <w:pPr>
        <w:pStyle w:val="Table"/>
      </w:pPr>
      <w:bookmarkStart w:id="17" w:name="_Toc509495442"/>
      <w:r w:rsidRPr="00F86E80">
        <w:t>Figure 2</w:t>
      </w:r>
      <w:r w:rsidR="00B06C4E" w:rsidRPr="00F86E80">
        <w:t>: Fostering households as at 31 March 2017 by type</w:t>
      </w:r>
      <w:bookmarkEnd w:id="17"/>
      <w:r w:rsidR="00B06C4E" w:rsidRPr="00F86E80">
        <w:t xml:space="preserve"> </w:t>
      </w:r>
    </w:p>
    <w:p w14:paraId="4809658F" w14:textId="5BA1D997" w:rsidR="00B06C4E" w:rsidRDefault="00F5419F" w:rsidP="00B06C4E">
      <w:r>
        <w:rPr>
          <w:noProof/>
        </w:rPr>
        <w:drawing>
          <wp:inline distT="0" distB="0" distL="0" distR="0" wp14:anchorId="0C55EB71" wp14:editId="255226A9">
            <wp:extent cx="5730875" cy="3542030"/>
            <wp:effectExtent l="0" t="0" r="3175"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0875" cy="3542030"/>
                    </a:xfrm>
                    <a:prstGeom prst="rect">
                      <a:avLst/>
                    </a:prstGeom>
                    <a:noFill/>
                  </pic:spPr>
                </pic:pic>
              </a:graphicData>
            </a:graphic>
          </wp:inline>
        </w:drawing>
      </w:r>
    </w:p>
    <w:p w14:paraId="1AC52CE1" w14:textId="77777777" w:rsidR="00A5452B" w:rsidRPr="00B06C4E" w:rsidRDefault="00A5452B" w:rsidP="00B06C4E"/>
    <w:p w14:paraId="30D8D94C" w14:textId="26E3F035" w:rsidR="00F502DF" w:rsidRDefault="00F502DF" w:rsidP="00F502DF">
      <w:pPr>
        <w:pStyle w:val="ListParagraph"/>
        <w:numPr>
          <w:ilvl w:val="0"/>
          <w:numId w:val="6"/>
        </w:numPr>
        <w:ind w:left="426"/>
      </w:pPr>
      <w:r w:rsidRPr="00687A0A">
        <w:t>There were 4</w:t>
      </w:r>
      <w:r w:rsidR="00687A0A" w:rsidRPr="00687A0A">
        <w:t>3</w:t>
      </w:r>
      <w:r w:rsidRPr="00687A0A">
        <w:t>,</w:t>
      </w:r>
      <w:r w:rsidR="00687A0A" w:rsidRPr="00687A0A">
        <w:t>710</w:t>
      </w:r>
      <w:r w:rsidRPr="00687A0A">
        <w:t xml:space="preserve"> approved fostering households as at 31 March 201</w:t>
      </w:r>
      <w:r w:rsidR="0087248B" w:rsidRPr="00687A0A">
        <w:t>7</w:t>
      </w:r>
      <w:r w:rsidRPr="00687A0A">
        <w:t xml:space="preserve">, a </w:t>
      </w:r>
      <w:r w:rsidR="00687A0A" w:rsidRPr="00687A0A">
        <w:t xml:space="preserve">1% </w:t>
      </w:r>
      <w:r w:rsidRPr="00687A0A">
        <w:t>decrease from the previous year (44,</w:t>
      </w:r>
      <w:r w:rsidR="0087248B" w:rsidRPr="00687A0A">
        <w:t>320</w:t>
      </w:r>
      <w:r w:rsidRPr="00687A0A">
        <w:t xml:space="preserve">). </w:t>
      </w:r>
      <w:r w:rsidR="0087248B" w:rsidRPr="00687A0A">
        <w:t>This continued the trend of slight year-on-year decreases since March 2014.</w:t>
      </w:r>
    </w:p>
    <w:p w14:paraId="0C132361" w14:textId="71657934" w:rsidR="0024185B" w:rsidRPr="00F86E80" w:rsidRDefault="00A23542" w:rsidP="00B147A5">
      <w:pPr>
        <w:pStyle w:val="ListParagraph"/>
        <w:numPr>
          <w:ilvl w:val="0"/>
          <w:numId w:val="6"/>
        </w:numPr>
        <w:ind w:left="426"/>
        <w:jc w:val="left"/>
        <w:rPr>
          <w:color w:val="000000" w:themeColor="text1"/>
        </w:rPr>
      </w:pPr>
      <w:r w:rsidRPr="00F86E80">
        <w:rPr>
          <w:color w:val="000000" w:themeColor="text1"/>
        </w:rPr>
        <w:t xml:space="preserve">This </w:t>
      </w:r>
      <w:r w:rsidR="00CA245F" w:rsidRPr="00F86E80">
        <w:rPr>
          <w:color w:val="000000" w:themeColor="text1"/>
        </w:rPr>
        <w:t xml:space="preserve">trend </w:t>
      </w:r>
      <w:r w:rsidRPr="00F86E80">
        <w:rPr>
          <w:color w:val="000000" w:themeColor="text1"/>
        </w:rPr>
        <w:t xml:space="preserve">was reflected in </w:t>
      </w:r>
      <w:r w:rsidR="00B147A5" w:rsidRPr="00F86E80">
        <w:rPr>
          <w:color w:val="000000" w:themeColor="text1"/>
        </w:rPr>
        <w:t>mainstream</w:t>
      </w:r>
      <w:r w:rsidRPr="00F86E80">
        <w:rPr>
          <w:color w:val="000000" w:themeColor="text1"/>
        </w:rPr>
        <w:t xml:space="preserve"> households, which had decreased each year since March 2014, including by 2% from last year (from 36,485 to 35,820).</w:t>
      </w:r>
    </w:p>
    <w:p w14:paraId="0A151513" w14:textId="3D8E1AD5" w:rsidR="00F502DF" w:rsidRPr="00F86E80" w:rsidRDefault="00F502DF" w:rsidP="00F502DF">
      <w:pPr>
        <w:pStyle w:val="ListParagraph"/>
        <w:numPr>
          <w:ilvl w:val="0"/>
          <w:numId w:val="6"/>
        </w:numPr>
        <w:ind w:left="426"/>
        <w:jc w:val="left"/>
        <w:rPr>
          <w:color w:val="000000" w:themeColor="text1"/>
        </w:rPr>
      </w:pPr>
      <w:r w:rsidRPr="00F86E80">
        <w:rPr>
          <w:color w:val="000000" w:themeColor="text1"/>
        </w:rPr>
        <w:t>The number of family and friends households</w:t>
      </w:r>
      <w:r w:rsidR="000300AB" w:rsidRPr="00F86E80">
        <w:rPr>
          <w:color w:val="000000" w:themeColor="text1"/>
        </w:rPr>
        <w:t xml:space="preserve">, </w:t>
      </w:r>
      <w:r w:rsidR="0087248B" w:rsidRPr="00F86E80">
        <w:rPr>
          <w:color w:val="000000" w:themeColor="text1"/>
        </w:rPr>
        <w:t>however</w:t>
      </w:r>
      <w:r w:rsidR="000300AB" w:rsidRPr="00F86E80">
        <w:rPr>
          <w:color w:val="000000" w:themeColor="text1"/>
        </w:rPr>
        <w:t xml:space="preserve">, rose to </w:t>
      </w:r>
      <w:r w:rsidR="0087248B" w:rsidRPr="00F86E80">
        <w:rPr>
          <w:color w:val="000000" w:themeColor="text1"/>
        </w:rPr>
        <w:t>6</w:t>
      </w:r>
      <w:r w:rsidR="00D84302" w:rsidRPr="00F86E80">
        <w:rPr>
          <w:color w:val="000000" w:themeColor="text1"/>
        </w:rPr>
        <w:t>,</w:t>
      </w:r>
      <w:r w:rsidR="00687A0A" w:rsidRPr="00F86E80">
        <w:rPr>
          <w:color w:val="000000" w:themeColor="text1"/>
        </w:rPr>
        <w:t>61</w:t>
      </w:r>
      <w:r w:rsidR="00A027F4" w:rsidRPr="00F86E80">
        <w:rPr>
          <w:color w:val="000000" w:themeColor="text1"/>
        </w:rPr>
        <w:t>5</w:t>
      </w:r>
      <w:r w:rsidRPr="00F86E80">
        <w:rPr>
          <w:color w:val="000000" w:themeColor="text1"/>
        </w:rPr>
        <w:t xml:space="preserve">, </w:t>
      </w:r>
      <w:r w:rsidR="0087248B" w:rsidRPr="00F86E80">
        <w:rPr>
          <w:color w:val="000000" w:themeColor="text1"/>
        </w:rPr>
        <w:t xml:space="preserve">representing </w:t>
      </w:r>
      <w:r w:rsidRPr="00F86E80">
        <w:rPr>
          <w:color w:val="000000" w:themeColor="text1"/>
        </w:rPr>
        <w:t>an increase</w:t>
      </w:r>
      <w:r w:rsidR="0087248B" w:rsidRPr="00F86E80">
        <w:rPr>
          <w:color w:val="000000" w:themeColor="text1"/>
        </w:rPr>
        <w:t xml:space="preserve"> in family and friends households</w:t>
      </w:r>
      <w:r w:rsidRPr="00F86E80">
        <w:rPr>
          <w:color w:val="000000" w:themeColor="text1"/>
        </w:rPr>
        <w:t xml:space="preserve"> of</w:t>
      </w:r>
      <w:r w:rsidR="00D84302" w:rsidRPr="00F86E80">
        <w:rPr>
          <w:color w:val="000000" w:themeColor="text1"/>
        </w:rPr>
        <w:t xml:space="preserve"> 1</w:t>
      </w:r>
      <w:r w:rsidR="00687A0A" w:rsidRPr="00F86E80">
        <w:rPr>
          <w:color w:val="000000" w:themeColor="text1"/>
        </w:rPr>
        <w:t>1</w:t>
      </w:r>
      <w:r w:rsidR="00D84302" w:rsidRPr="00F86E80">
        <w:rPr>
          <w:color w:val="000000" w:themeColor="text1"/>
        </w:rPr>
        <w:t>%</w:t>
      </w:r>
      <w:r w:rsidRPr="00F86E80">
        <w:rPr>
          <w:color w:val="000000" w:themeColor="text1"/>
        </w:rPr>
        <w:t xml:space="preserve"> from 201</w:t>
      </w:r>
      <w:r w:rsidR="0087248B" w:rsidRPr="00F86E80">
        <w:rPr>
          <w:color w:val="000000" w:themeColor="text1"/>
        </w:rPr>
        <w:t>6</w:t>
      </w:r>
      <w:r w:rsidR="00687A0A" w:rsidRPr="00F86E80">
        <w:rPr>
          <w:color w:val="000000" w:themeColor="text1"/>
        </w:rPr>
        <w:t xml:space="preserve"> (5,985)</w:t>
      </w:r>
      <w:r w:rsidRPr="00F86E80">
        <w:rPr>
          <w:color w:val="000000" w:themeColor="text1"/>
        </w:rPr>
        <w:t>.</w:t>
      </w:r>
      <w:r w:rsidRPr="00F86E80">
        <w:rPr>
          <w:rStyle w:val="FootnoteReference"/>
          <w:color w:val="000000" w:themeColor="text1"/>
        </w:rPr>
        <w:footnoteReference w:id="15"/>
      </w:r>
    </w:p>
    <w:p w14:paraId="33BE56FA" w14:textId="77777777" w:rsidR="005B52F1" w:rsidRPr="005B52F1" w:rsidRDefault="00AD7B2A" w:rsidP="00F502DF">
      <w:pPr>
        <w:pStyle w:val="ListParagraph"/>
        <w:numPr>
          <w:ilvl w:val="0"/>
          <w:numId w:val="6"/>
        </w:numPr>
        <w:ind w:left="426"/>
        <w:jc w:val="left"/>
        <w:rPr>
          <w:color w:val="FF0000"/>
        </w:rPr>
      </w:pPr>
      <w:r w:rsidRPr="00205DBC">
        <w:rPr>
          <w:color w:val="000000" w:themeColor="text1"/>
        </w:rPr>
        <w:t xml:space="preserve">The use of family and friends households is in line with the expectations on </w:t>
      </w:r>
      <w:r>
        <w:rPr>
          <w:color w:val="000000" w:themeColor="text1"/>
        </w:rPr>
        <w:t>LA</w:t>
      </w:r>
      <w:r w:rsidRPr="00205DBC">
        <w:rPr>
          <w:color w:val="000000" w:themeColor="text1"/>
        </w:rPr>
        <w:t xml:space="preserve"> to place children with family and friends wherever possible. The increase in their number has played a significant part in meeting the demands set by the rising number of children in care and a reducing pool of available mainstream foster placements.</w:t>
      </w:r>
      <w:r>
        <w:rPr>
          <w:color w:val="000000" w:themeColor="text1"/>
        </w:rPr>
        <w:t xml:space="preserve"> </w:t>
      </w:r>
    </w:p>
    <w:p w14:paraId="65D632EC" w14:textId="281B7410" w:rsidR="00F502DF" w:rsidRPr="00A135DF" w:rsidRDefault="00F502DF" w:rsidP="00F502DF">
      <w:pPr>
        <w:pStyle w:val="ListParagraph"/>
        <w:numPr>
          <w:ilvl w:val="0"/>
          <w:numId w:val="6"/>
        </w:numPr>
        <w:ind w:left="426"/>
        <w:jc w:val="left"/>
        <w:rPr>
          <w:color w:val="FF0000"/>
        </w:rPr>
      </w:pPr>
      <w:r w:rsidRPr="00A135DF">
        <w:rPr>
          <w:color w:val="000000" w:themeColor="text1"/>
        </w:rPr>
        <w:t>As at 31 March 201</w:t>
      </w:r>
      <w:r w:rsidR="00A70517" w:rsidRPr="00A135DF">
        <w:rPr>
          <w:color w:val="000000" w:themeColor="text1"/>
        </w:rPr>
        <w:t>7</w:t>
      </w:r>
      <w:r w:rsidR="00B643AA" w:rsidRPr="00A135DF">
        <w:rPr>
          <w:color w:val="000000" w:themeColor="text1"/>
        </w:rPr>
        <w:t>,</w:t>
      </w:r>
      <w:r w:rsidRPr="00A135DF">
        <w:rPr>
          <w:color w:val="000000" w:themeColor="text1"/>
        </w:rPr>
        <w:t xml:space="preserve"> there were 1,</w:t>
      </w:r>
      <w:r w:rsidR="00A70517" w:rsidRPr="00A135DF">
        <w:rPr>
          <w:color w:val="000000" w:themeColor="text1"/>
        </w:rPr>
        <w:t>2</w:t>
      </w:r>
      <w:r w:rsidR="00687A0A" w:rsidRPr="00A135DF">
        <w:rPr>
          <w:color w:val="000000" w:themeColor="text1"/>
        </w:rPr>
        <w:t>70</w:t>
      </w:r>
      <w:r w:rsidRPr="00A135DF">
        <w:rPr>
          <w:color w:val="000000" w:themeColor="text1"/>
        </w:rPr>
        <w:t xml:space="preserve"> households </w:t>
      </w:r>
      <w:r w:rsidR="00B643AA" w:rsidRPr="00A135DF">
        <w:rPr>
          <w:color w:val="000000" w:themeColor="text1"/>
        </w:rPr>
        <w:t xml:space="preserve">that </w:t>
      </w:r>
      <w:r w:rsidRPr="00A135DF">
        <w:rPr>
          <w:color w:val="000000" w:themeColor="text1"/>
        </w:rPr>
        <w:t xml:space="preserve">exclusively provided short breaks, a decrease of </w:t>
      </w:r>
      <w:r w:rsidR="00B147A5" w:rsidRPr="00A135DF">
        <w:rPr>
          <w:color w:val="000000" w:themeColor="text1"/>
        </w:rPr>
        <w:t>over 30%</w:t>
      </w:r>
      <w:r w:rsidRPr="00A135DF">
        <w:rPr>
          <w:color w:val="000000" w:themeColor="text1"/>
        </w:rPr>
        <w:t xml:space="preserve"> from </w:t>
      </w:r>
      <w:r w:rsidR="00A70517" w:rsidRPr="00A135DF">
        <w:rPr>
          <w:color w:val="000000" w:themeColor="text1"/>
        </w:rPr>
        <w:t>1</w:t>
      </w:r>
      <w:r w:rsidRPr="00A135DF">
        <w:rPr>
          <w:color w:val="000000" w:themeColor="text1"/>
        </w:rPr>
        <w:t>,</w:t>
      </w:r>
      <w:r w:rsidR="00A70517" w:rsidRPr="00A135DF">
        <w:rPr>
          <w:color w:val="000000" w:themeColor="text1"/>
        </w:rPr>
        <w:t>85</w:t>
      </w:r>
      <w:r w:rsidRPr="00A135DF">
        <w:rPr>
          <w:color w:val="000000" w:themeColor="text1"/>
        </w:rPr>
        <w:t>0 in 201</w:t>
      </w:r>
      <w:r w:rsidR="00A70517" w:rsidRPr="00A135DF">
        <w:rPr>
          <w:color w:val="000000" w:themeColor="text1"/>
        </w:rPr>
        <w:t>6</w:t>
      </w:r>
      <w:r w:rsidRPr="00A135DF">
        <w:rPr>
          <w:color w:val="000000" w:themeColor="text1"/>
        </w:rPr>
        <w:t>.</w:t>
      </w:r>
      <w:r w:rsidR="00A70517" w:rsidRPr="00A135DF">
        <w:rPr>
          <w:color w:val="000000" w:themeColor="text1"/>
        </w:rPr>
        <w:t xml:space="preserve"> </w:t>
      </w:r>
      <w:r w:rsidR="00B643AA" w:rsidRPr="00A135DF">
        <w:rPr>
          <w:color w:val="000000" w:themeColor="text1"/>
        </w:rPr>
        <w:t xml:space="preserve">While </w:t>
      </w:r>
      <w:r w:rsidR="00A70517" w:rsidRPr="00A135DF">
        <w:rPr>
          <w:color w:val="000000" w:themeColor="text1"/>
        </w:rPr>
        <w:t xml:space="preserve">the number of short break households has decreased each year </w:t>
      </w:r>
      <w:r w:rsidR="00A70517" w:rsidRPr="00A135DF">
        <w:t>since March 2013 (2,725), the decrease seen this year represented</w:t>
      </w:r>
      <w:r w:rsidR="00E82C34" w:rsidRPr="00A135DF">
        <w:t xml:space="preserve"> by far</w:t>
      </w:r>
      <w:r w:rsidR="00A70517" w:rsidRPr="00A135DF">
        <w:t xml:space="preserve"> the largest reduction</w:t>
      </w:r>
      <w:r w:rsidR="0051593C" w:rsidRPr="00A135DF">
        <w:t xml:space="preserve"> in the last four years.</w:t>
      </w:r>
    </w:p>
    <w:p w14:paraId="656C6A57" w14:textId="77777777" w:rsidR="00F502DF" w:rsidRPr="003C3A1A" w:rsidRDefault="00F502DF" w:rsidP="003C3A1A">
      <w:pPr>
        <w:jc w:val="left"/>
        <w:rPr>
          <w:color w:val="FF0000"/>
        </w:rPr>
      </w:pPr>
    </w:p>
    <w:p w14:paraId="457586D9" w14:textId="14DFB7FF" w:rsidR="00F502DF" w:rsidRPr="006874B7" w:rsidRDefault="00F502DF" w:rsidP="006874B7">
      <w:pPr>
        <w:pStyle w:val="Heading3"/>
      </w:pPr>
      <w:bookmarkStart w:id="18" w:name="_Toc470097321"/>
      <w:bookmarkStart w:id="19" w:name="_Toc509261116"/>
      <w:r w:rsidRPr="006874B7">
        <w:t>Capacity</w:t>
      </w:r>
      <w:bookmarkEnd w:id="18"/>
      <w:r w:rsidR="00CB1AF3" w:rsidRPr="006874B7">
        <w:t xml:space="preserve"> per household</w:t>
      </w:r>
      <w:bookmarkEnd w:id="19"/>
    </w:p>
    <w:p w14:paraId="4C5FD1EE" w14:textId="4E900649" w:rsidR="00AE2118" w:rsidRPr="004C1D30" w:rsidRDefault="00B147A5" w:rsidP="00AE2118">
      <w:pPr>
        <w:pStyle w:val="ListParagraph"/>
        <w:numPr>
          <w:ilvl w:val="0"/>
          <w:numId w:val="6"/>
        </w:numPr>
        <w:ind w:left="426"/>
        <w:jc w:val="left"/>
        <w:rPr>
          <w:color w:val="000000" w:themeColor="text1"/>
        </w:rPr>
      </w:pPr>
      <w:r>
        <w:t>T</w:t>
      </w:r>
      <w:r w:rsidR="005C6790" w:rsidRPr="00863350">
        <w:t xml:space="preserve">he </w:t>
      </w:r>
      <w:r w:rsidR="005C6790" w:rsidRPr="004C1D30">
        <w:rPr>
          <w:color w:val="000000" w:themeColor="text1"/>
        </w:rPr>
        <w:t xml:space="preserve">highest proportion of </w:t>
      </w:r>
      <w:r w:rsidRPr="004C1D30">
        <w:rPr>
          <w:color w:val="000000" w:themeColor="text1"/>
        </w:rPr>
        <w:t>mainstream</w:t>
      </w:r>
      <w:r w:rsidR="005C6790" w:rsidRPr="004C1D30">
        <w:rPr>
          <w:color w:val="000000" w:themeColor="text1"/>
        </w:rPr>
        <w:t xml:space="preserve"> households (39%) were approved for two children (14,050). There has been a small shift towards larger households compared with the previous year, with an increase in those approved for three or more children (from 31% to 33%) and a decrease in those approved for one child (from 29% to 27%).</w:t>
      </w:r>
    </w:p>
    <w:p w14:paraId="74E91B4F" w14:textId="77777777" w:rsidR="00856E01" w:rsidRDefault="00856E01" w:rsidP="0042575C">
      <w:pPr>
        <w:pStyle w:val="Table"/>
      </w:pPr>
      <w:bookmarkStart w:id="20" w:name="_Toc509495443"/>
    </w:p>
    <w:p w14:paraId="2F706562" w14:textId="7BB768B1" w:rsidR="00AE2118" w:rsidRPr="0042575C" w:rsidRDefault="000E7AC6" w:rsidP="0042575C">
      <w:pPr>
        <w:pStyle w:val="Table"/>
      </w:pPr>
      <w:r w:rsidRPr="0042575C">
        <w:t>Figure 3</w:t>
      </w:r>
      <w:r w:rsidR="00AE2118" w:rsidRPr="0042575C">
        <w:t xml:space="preserve">: Capacity of </w:t>
      </w:r>
      <w:r w:rsidR="00B147A5" w:rsidRPr="0042575C">
        <w:t>mainstream</w:t>
      </w:r>
      <w:r w:rsidR="00AE2118" w:rsidRPr="0042575C">
        <w:t xml:space="preserve"> fostering households as at 31 March 2017 by sector</w:t>
      </w:r>
      <w:bookmarkEnd w:id="20"/>
      <w:r w:rsidR="00AE2118" w:rsidRPr="0042575C">
        <w:t xml:space="preserve"> </w:t>
      </w:r>
    </w:p>
    <w:p w14:paraId="0B2CFCE3" w14:textId="5245B474" w:rsidR="00A167B2" w:rsidRDefault="00A167B2" w:rsidP="00AE2118">
      <w:pPr>
        <w:rPr>
          <w:color w:val="FF0000"/>
        </w:rPr>
      </w:pPr>
      <w:r>
        <w:rPr>
          <w:rFonts w:cs="Tahoma"/>
          <w:noProof/>
        </w:rPr>
        <w:drawing>
          <wp:inline distT="0" distB="0" distL="0" distR="0" wp14:anchorId="5728AA65" wp14:editId="6F1FD95E">
            <wp:extent cx="5188527" cy="23691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29220" cy="2387766"/>
                    </a:xfrm>
                    <a:prstGeom prst="rect">
                      <a:avLst/>
                    </a:prstGeom>
                    <a:noFill/>
                  </pic:spPr>
                </pic:pic>
              </a:graphicData>
            </a:graphic>
          </wp:inline>
        </w:drawing>
      </w:r>
    </w:p>
    <w:p w14:paraId="7D6BE656" w14:textId="77777777" w:rsidR="00AE2118" w:rsidRPr="00863350" w:rsidRDefault="00AE2118" w:rsidP="00AE2118">
      <w:pPr>
        <w:jc w:val="left"/>
      </w:pPr>
    </w:p>
    <w:p w14:paraId="57BFC5FC" w14:textId="752A586B" w:rsidR="00F502DF" w:rsidRPr="00AE2118" w:rsidRDefault="00F502DF" w:rsidP="00AE2118">
      <w:pPr>
        <w:pStyle w:val="ListParagraph"/>
        <w:numPr>
          <w:ilvl w:val="0"/>
          <w:numId w:val="6"/>
        </w:numPr>
        <w:ind w:left="426"/>
        <w:jc w:val="left"/>
      </w:pPr>
      <w:r w:rsidRPr="00863350">
        <w:t>IFAs were</w:t>
      </w:r>
      <w:r w:rsidR="00662025" w:rsidRPr="00863350">
        <w:t xml:space="preserve"> again</w:t>
      </w:r>
      <w:r w:rsidRPr="00863350">
        <w:t xml:space="preserve"> more likely to have larger households than LAs: </w:t>
      </w:r>
      <w:r w:rsidR="006B540C" w:rsidRPr="00863350">
        <w:t>42</w:t>
      </w:r>
      <w:r w:rsidR="009D2BFB" w:rsidRPr="00863350">
        <w:t>%</w:t>
      </w:r>
      <w:r w:rsidR="006B540C" w:rsidRPr="00863350">
        <w:t xml:space="preserve"> </w:t>
      </w:r>
      <w:r w:rsidRPr="00863350">
        <w:t>of IFA households were approved for three or more children (</w:t>
      </w:r>
      <w:r w:rsidR="006B540C" w:rsidRPr="00863350">
        <w:t>6</w:t>
      </w:r>
      <w:r w:rsidRPr="00863350">
        <w:t>,</w:t>
      </w:r>
      <w:r w:rsidR="006B540C" w:rsidRPr="00863350">
        <w:t>030</w:t>
      </w:r>
      <w:r w:rsidRPr="00863350">
        <w:t xml:space="preserve"> households) compared </w:t>
      </w:r>
      <w:r w:rsidR="00B643AA">
        <w:t>with</w:t>
      </w:r>
      <w:r w:rsidR="00B643AA" w:rsidRPr="00863350">
        <w:t xml:space="preserve"> </w:t>
      </w:r>
      <w:r w:rsidR="009D2BFB" w:rsidRPr="00863350">
        <w:t>2</w:t>
      </w:r>
      <w:r w:rsidR="00863350" w:rsidRPr="00863350">
        <w:t>8</w:t>
      </w:r>
      <w:r w:rsidR="009D2BFB" w:rsidRPr="00863350">
        <w:t>%</w:t>
      </w:r>
      <w:r w:rsidRPr="00863350">
        <w:t xml:space="preserve"> of LA households (5,</w:t>
      </w:r>
      <w:r w:rsidR="006B540C" w:rsidRPr="00863350">
        <w:t>9</w:t>
      </w:r>
      <w:r w:rsidR="00863350" w:rsidRPr="00863350">
        <w:t>1</w:t>
      </w:r>
      <w:r w:rsidR="006B540C" w:rsidRPr="00863350">
        <w:t>0</w:t>
      </w:r>
      <w:r w:rsidRPr="00863350">
        <w:t xml:space="preserve"> households). </w:t>
      </w:r>
      <w:r w:rsidR="00B147A5">
        <w:t xml:space="preserve">Both </w:t>
      </w:r>
      <w:r w:rsidR="006B540C" w:rsidRPr="00863350">
        <w:t>IFA</w:t>
      </w:r>
      <w:r w:rsidRPr="00863350">
        <w:t>s</w:t>
      </w:r>
      <w:r w:rsidR="00562573">
        <w:t xml:space="preserve"> </w:t>
      </w:r>
      <w:r w:rsidR="00B147A5">
        <w:t>and</w:t>
      </w:r>
      <w:r w:rsidR="006B540C" w:rsidRPr="00863350">
        <w:t xml:space="preserve"> LAs</w:t>
      </w:r>
      <w:r w:rsidR="003728A7" w:rsidRPr="00863350">
        <w:t xml:space="preserve"> saw a</w:t>
      </w:r>
      <w:r w:rsidR="00B147A5">
        <w:t>n</w:t>
      </w:r>
      <w:r w:rsidR="003728A7" w:rsidRPr="00863350">
        <w:t xml:space="preserve"> increase </w:t>
      </w:r>
      <w:r w:rsidR="00B147A5">
        <w:t xml:space="preserve">from </w:t>
      </w:r>
      <w:r w:rsidR="003728A7" w:rsidRPr="00863350">
        <w:t>the previous year</w:t>
      </w:r>
      <w:r w:rsidRPr="00863350">
        <w:t>.</w:t>
      </w:r>
    </w:p>
    <w:p w14:paraId="20E1A88E" w14:textId="748EFCBA" w:rsidR="008B1A70" w:rsidRPr="004C1D30" w:rsidRDefault="008B1A70" w:rsidP="00AD3916">
      <w:pPr>
        <w:pStyle w:val="ListParagraph"/>
        <w:numPr>
          <w:ilvl w:val="0"/>
          <w:numId w:val="6"/>
        </w:numPr>
        <w:ind w:left="425" w:hanging="357"/>
        <w:jc w:val="left"/>
        <w:rPr>
          <w:color w:val="000000" w:themeColor="text1"/>
        </w:rPr>
      </w:pPr>
      <w:bookmarkStart w:id="21" w:name="_Toc470097322"/>
      <w:bookmarkStart w:id="22" w:name="_Toc436837605"/>
      <w:r w:rsidRPr="008C65F2">
        <w:t xml:space="preserve">Of the newly approved </w:t>
      </w:r>
      <w:r w:rsidRPr="004C1D30">
        <w:rPr>
          <w:color w:val="000000" w:themeColor="text1"/>
        </w:rPr>
        <w:t>households in 2016</w:t>
      </w:r>
      <w:r w:rsidR="00B643AA" w:rsidRPr="00B643AA">
        <w:rPr>
          <w:color w:val="000000" w:themeColor="text1"/>
        </w:rPr>
        <w:t>–</w:t>
      </w:r>
      <w:r w:rsidRPr="004C1D30">
        <w:rPr>
          <w:color w:val="000000" w:themeColor="text1"/>
        </w:rPr>
        <w:t>17, there was very little variation in the number of IFA households approved for one (33%), two (36%), or three or more (31%) children. Last year, 25% of IFA approvals in year were for larger households of three or more children. In the LA sector</w:t>
      </w:r>
      <w:r w:rsidR="00B643AA">
        <w:rPr>
          <w:color w:val="000000" w:themeColor="text1"/>
        </w:rPr>
        <w:t>,</w:t>
      </w:r>
      <w:r w:rsidR="00562573" w:rsidRPr="004C1D30">
        <w:rPr>
          <w:color w:val="000000" w:themeColor="text1"/>
        </w:rPr>
        <w:t xml:space="preserve"> more households were approved to look after smaller numbers of children</w:t>
      </w:r>
      <w:r w:rsidRPr="004C1D30">
        <w:rPr>
          <w:color w:val="000000" w:themeColor="text1"/>
        </w:rPr>
        <w:t xml:space="preserve"> – 48% of households approved in year were for one child compared with 15% for three or more children.</w:t>
      </w:r>
      <w:r w:rsidRPr="004C1D30">
        <w:rPr>
          <w:rStyle w:val="FootnoteReference"/>
          <w:color w:val="000000" w:themeColor="text1"/>
        </w:rPr>
        <w:footnoteReference w:id="16"/>
      </w:r>
    </w:p>
    <w:p w14:paraId="318020BC" w14:textId="77777777" w:rsidR="00904DB4" w:rsidRDefault="00904DB4" w:rsidP="00904DB4">
      <w:pPr>
        <w:jc w:val="left"/>
      </w:pPr>
    </w:p>
    <w:p w14:paraId="2CD31B6F" w14:textId="77777777" w:rsidR="00B564FC" w:rsidRDefault="00B564FC" w:rsidP="00904DB4">
      <w:pPr>
        <w:jc w:val="left"/>
      </w:pPr>
    </w:p>
    <w:p w14:paraId="052D7BEB" w14:textId="77777777" w:rsidR="00904DB4" w:rsidRPr="004C1D30" w:rsidRDefault="00904DB4" w:rsidP="00904DB4">
      <w:pPr>
        <w:pStyle w:val="Heading2"/>
        <w:rPr>
          <w:color w:val="000000" w:themeColor="text1"/>
        </w:rPr>
      </w:pPr>
      <w:bookmarkStart w:id="23" w:name="_Toc470097327"/>
      <w:bookmarkStart w:id="24" w:name="_Toc509261117"/>
      <w:r w:rsidRPr="004C1D30">
        <w:rPr>
          <w:color w:val="000000" w:themeColor="text1"/>
        </w:rPr>
        <w:t>Recruitment and retention</w:t>
      </w:r>
      <w:bookmarkEnd w:id="23"/>
      <w:bookmarkEnd w:id="24"/>
    </w:p>
    <w:p w14:paraId="03EC9435" w14:textId="25FE73D2" w:rsidR="002E13AD" w:rsidRPr="004C1D30" w:rsidRDefault="002E13AD" w:rsidP="00904DB4">
      <w:pPr>
        <w:jc w:val="left"/>
        <w:rPr>
          <w:color w:val="000000" w:themeColor="text1"/>
          <w:u w:val="single"/>
        </w:rPr>
      </w:pPr>
      <w:r w:rsidRPr="004C1D30">
        <w:rPr>
          <w:color w:val="000000" w:themeColor="text1"/>
          <w:u w:val="single"/>
        </w:rPr>
        <w:t>Section overview</w:t>
      </w:r>
    </w:p>
    <w:p w14:paraId="4D93BDB5" w14:textId="1E234E15" w:rsidR="00E37403" w:rsidRPr="004C1D30" w:rsidRDefault="0019100F" w:rsidP="00904DB4">
      <w:pPr>
        <w:jc w:val="left"/>
        <w:rPr>
          <w:color w:val="000000" w:themeColor="text1"/>
        </w:rPr>
      </w:pPr>
      <w:r w:rsidRPr="004C1D30">
        <w:rPr>
          <w:color w:val="000000" w:themeColor="text1"/>
        </w:rPr>
        <w:t xml:space="preserve">Initial enquiries increased </w:t>
      </w:r>
      <w:r w:rsidR="00E37403" w:rsidRPr="004C1D30">
        <w:rPr>
          <w:color w:val="000000" w:themeColor="text1"/>
        </w:rPr>
        <w:t xml:space="preserve">by more than 10% </w:t>
      </w:r>
      <w:r w:rsidRPr="004C1D30">
        <w:rPr>
          <w:color w:val="000000" w:themeColor="text1"/>
        </w:rPr>
        <w:t>in the ye</w:t>
      </w:r>
      <w:r w:rsidR="00E37403" w:rsidRPr="004C1D30">
        <w:rPr>
          <w:color w:val="000000" w:themeColor="text1"/>
        </w:rPr>
        <w:t>ar</w:t>
      </w:r>
      <w:r w:rsidR="00B643AA">
        <w:rPr>
          <w:color w:val="000000" w:themeColor="text1"/>
        </w:rPr>
        <w:t>. H</w:t>
      </w:r>
      <w:r w:rsidR="00E37403" w:rsidRPr="004C1D30">
        <w:rPr>
          <w:color w:val="000000" w:themeColor="text1"/>
        </w:rPr>
        <w:t>owever</w:t>
      </w:r>
      <w:r w:rsidR="00B643AA">
        <w:rPr>
          <w:color w:val="000000" w:themeColor="text1"/>
        </w:rPr>
        <w:t>,</w:t>
      </w:r>
      <w:r w:rsidR="00E37403" w:rsidRPr="004C1D30">
        <w:rPr>
          <w:color w:val="000000" w:themeColor="text1"/>
        </w:rPr>
        <w:t xml:space="preserve"> applications considered increased by far less, which suggests further work is needed to ensure</w:t>
      </w:r>
      <w:r w:rsidR="00B643AA">
        <w:rPr>
          <w:color w:val="000000" w:themeColor="text1"/>
        </w:rPr>
        <w:t xml:space="preserve"> that</w:t>
      </w:r>
      <w:r w:rsidR="00E37403" w:rsidRPr="004C1D30">
        <w:rPr>
          <w:color w:val="000000" w:themeColor="text1"/>
        </w:rPr>
        <w:t xml:space="preserve"> those initial enquiries result in applications to become foster carers. </w:t>
      </w:r>
    </w:p>
    <w:p w14:paraId="680A5D29" w14:textId="77777777" w:rsidR="00E37403" w:rsidRPr="004C1D30" w:rsidRDefault="00E37403" w:rsidP="00904DB4">
      <w:pPr>
        <w:jc w:val="left"/>
        <w:rPr>
          <w:color w:val="000000" w:themeColor="text1"/>
        </w:rPr>
      </w:pPr>
    </w:p>
    <w:p w14:paraId="35F71154" w14:textId="4B7736F9" w:rsidR="009075F0" w:rsidRPr="004C1D30" w:rsidRDefault="009075F0" w:rsidP="00904DB4">
      <w:pPr>
        <w:jc w:val="left"/>
        <w:rPr>
          <w:color w:val="000000" w:themeColor="text1"/>
        </w:rPr>
      </w:pPr>
      <w:r w:rsidRPr="004C1D30">
        <w:rPr>
          <w:color w:val="000000" w:themeColor="text1"/>
        </w:rPr>
        <w:t>The year saw a reversal of the two</w:t>
      </w:r>
      <w:r w:rsidR="00B643AA">
        <w:rPr>
          <w:color w:val="000000" w:themeColor="text1"/>
        </w:rPr>
        <w:t>-</w:t>
      </w:r>
      <w:r w:rsidRPr="004C1D30">
        <w:rPr>
          <w:color w:val="000000" w:themeColor="text1"/>
        </w:rPr>
        <w:t xml:space="preserve">year trend of falling applications, although the amount received was still far below the figure from two years ago. It was </w:t>
      </w:r>
      <w:r w:rsidR="0019100F" w:rsidRPr="004C1D30">
        <w:rPr>
          <w:color w:val="000000" w:themeColor="text1"/>
        </w:rPr>
        <w:t>nonetheless</w:t>
      </w:r>
      <w:r w:rsidRPr="004C1D30">
        <w:rPr>
          <w:color w:val="000000" w:themeColor="text1"/>
        </w:rPr>
        <w:t xml:space="preserve"> a welcome change. </w:t>
      </w:r>
      <w:r w:rsidR="000133C8">
        <w:rPr>
          <w:color w:val="000000" w:themeColor="text1"/>
        </w:rPr>
        <w:t>The decrease in</w:t>
      </w:r>
      <w:r w:rsidR="0019100F" w:rsidRPr="004C1D30">
        <w:rPr>
          <w:color w:val="000000" w:themeColor="text1"/>
        </w:rPr>
        <w:t xml:space="preserve"> the number of applications </w:t>
      </w:r>
      <w:r w:rsidR="000133C8">
        <w:rPr>
          <w:color w:val="000000" w:themeColor="text1"/>
        </w:rPr>
        <w:t xml:space="preserve">leading to </w:t>
      </w:r>
      <w:r w:rsidR="000133C8" w:rsidRPr="004C1D30">
        <w:rPr>
          <w:color w:val="000000" w:themeColor="text1"/>
        </w:rPr>
        <w:t>approv</w:t>
      </w:r>
      <w:r w:rsidR="000133C8">
        <w:rPr>
          <w:color w:val="000000" w:themeColor="text1"/>
        </w:rPr>
        <w:t>al however,</w:t>
      </w:r>
      <w:r w:rsidR="000133C8" w:rsidRPr="004C1D30">
        <w:rPr>
          <w:color w:val="000000" w:themeColor="text1"/>
        </w:rPr>
        <w:t xml:space="preserve"> </w:t>
      </w:r>
      <w:r w:rsidR="0019100F" w:rsidRPr="004C1D30">
        <w:rPr>
          <w:color w:val="000000" w:themeColor="text1"/>
        </w:rPr>
        <w:t>despite the increase in applications</w:t>
      </w:r>
      <w:r w:rsidR="000133C8">
        <w:rPr>
          <w:color w:val="000000" w:themeColor="text1"/>
        </w:rPr>
        <w:t>, is concerning</w:t>
      </w:r>
      <w:r w:rsidR="0019100F" w:rsidRPr="004C1D30">
        <w:rPr>
          <w:color w:val="000000" w:themeColor="text1"/>
        </w:rPr>
        <w:t xml:space="preserve">. </w:t>
      </w:r>
      <w:r w:rsidR="000133C8">
        <w:rPr>
          <w:color w:val="000000" w:themeColor="text1"/>
        </w:rPr>
        <w:t>The reduced conversion rate</w:t>
      </w:r>
      <w:r w:rsidR="000133C8" w:rsidRPr="004C1D30">
        <w:rPr>
          <w:color w:val="000000" w:themeColor="text1"/>
        </w:rPr>
        <w:t xml:space="preserve"> </w:t>
      </w:r>
      <w:r w:rsidR="00E37403" w:rsidRPr="004C1D30">
        <w:rPr>
          <w:color w:val="000000" w:themeColor="text1"/>
        </w:rPr>
        <w:t>was driven by a large decrease in LA approvals</w:t>
      </w:r>
      <w:r w:rsidR="007B4DC8">
        <w:rPr>
          <w:color w:val="000000" w:themeColor="text1"/>
        </w:rPr>
        <w:t>.</w:t>
      </w:r>
      <w:r w:rsidR="00E37403" w:rsidRPr="004C1D30">
        <w:rPr>
          <w:color w:val="000000" w:themeColor="text1"/>
        </w:rPr>
        <w:t xml:space="preserve"> </w:t>
      </w:r>
      <w:r w:rsidR="007B4DC8">
        <w:rPr>
          <w:color w:val="000000" w:themeColor="text1"/>
        </w:rPr>
        <w:t>F</w:t>
      </w:r>
      <w:r w:rsidR="00E37403" w:rsidRPr="004C1D30">
        <w:rPr>
          <w:color w:val="000000" w:themeColor="text1"/>
        </w:rPr>
        <w:t>or the first time</w:t>
      </w:r>
      <w:r w:rsidR="007B4DC8">
        <w:rPr>
          <w:color w:val="000000" w:themeColor="text1"/>
        </w:rPr>
        <w:t>,</w:t>
      </w:r>
      <w:r w:rsidR="00E37403" w:rsidRPr="004C1D30">
        <w:rPr>
          <w:color w:val="000000" w:themeColor="text1"/>
        </w:rPr>
        <w:t xml:space="preserve"> IFAs approved a larger proportion of applications than LAs.</w:t>
      </w:r>
    </w:p>
    <w:p w14:paraId="626096C2" w14:textId="77777777" w:rsidR="009075F0" w:rsidRPr="004C1D30" w:rsidRDefault="009075F0" w:rsidP="00904DB4">
      <w:pPr>
        <w:jc w:val="left"/>
        <w:rPr>
          <w:color w:val="000000" w:themeColor="text1"/>
        </w:rPr>
      </w:pPr>
    </w:p>
    <w:p w14:paraId="22AF4653" w14:textId="7956B773" w:rsidR="00904DB4" w:rsidRPr="004C1D30" w:rsidRDefault="00E37403" w:rsidP="00904DB4">
      <w:pPr>
        <w:pStyle w:val="Heading3"/>
        <w:rPr>
          <w:color w:val="000000" w:themeColor="text1"/>
        </w:rPr>
      </w:pPr>
      <w:bookmarkStart w:id="25" w:name="_Toc408930059"/>
      <w:bookmarkStart w:id="26" w:name="_Toc436837613"/>
      <w:bookmarkStart w:id="27" w:name="_Toc470097328"/>
      <w:bookmarkStart w:id="28" w:name="_Toc509261118"/>
      <w:r w:rsidRPr="004C1D30">
        <w:rPr>
          <w:color w:val="000000" w:themeColor="text1"/>
        </w:rPr>
        <w:t>R</w:t>
      </w:r>
      <w:r w:rsidR="00904DB4" w:rsidRPr="004C1D30">
        <w:rPr>
          <w:color w:val="000000" w:themeColor="text1"/>
        </w:rPr>
        <w:t>ecruitment</w:t>
      </w:r>
      <w:bookmarkEnd w:id="25"/>
      <w:bookmarkEnd w:id="26"/>
      <w:bookmarkEnd w:id="27"/>
      <w:bookmarkEnd w:id="28"/>
    </w:p>
    <w:p w14:paraId="3929AA35" w14:textId="7B35E697" w:rsidR="00904DB4" w:rsidRPr="005115E1" w:rsidRDefault="00904DB4" w:rsidP="00904DB4">
      <w:pPr>
        <w:pStyle w:val="ListParagraph"/>
        <w:numPr>
          <w:ilvl w:val="0"/>
          <w:numId w:val="8"/>
        </w:numPr>
        <w:ind w:left="426"/>
        <w:jc w:val="left"/>
        <w:rPr>
          <w:color w:val="70AD47" w:themeColor="accent6"/>
          <w:lang w:eastAsia="en-US"/>
        </w:rPr>
      </w:pPr>
      <w:r w:rsidRPr="004C1D30">
        <w:rPr>
          <w:color w:val="000000" w:themeColor="text1"/>
          <w:lang w:eastAsia="en-US"/>
        </w:rPr>
        <w:t>There were 114,425 initial enquiries in 2016</w:t>
      </w:r>
      <w:r w:rsidR="00B643AA">
        <w:t>–</w:t>
      </w:r>
      <w:r w:rsidRPr="004C1D30">
        <w:rPr>
          <w:color w:val="000000" w:themeColor="text1"/>
          <w:lang w:eastAsia="en-US"/>
        </w:rPr>
        <w:t>17, representing a substantial increase (12%) on the previous year (101,795 in 2015</w:t>
      </w:r>
      <w:r w:rsidR="00B643AA">
        <w:t>–</w:t>
      </w:r>
      <w:r w:rsidRPr="004C1D30">
        <w:rPr>
          <w:color w:val="000000" w:themeColor="text1"/>
          <w:lang w:eastAsia="en-US"/>
        </w:rPr>
        <w:t>16). This followed two consecutive years of falling numbers of initial enquiries.</w:t>
      </w:r>
    </w:p>
    <w:p w14:paraId="0E7374BF" w14:textId="616DF68F" w:rsidR="00904DB4" w:rsidRPr="002F5314" w:rsidRDefault="00904DB4" w:rsidP="00904DB4">
      <w:pPr>
        <w:pStyle w:val="ListParagraph"/>
        <w:numPr>
          <w:ilvl w:val="0"/>
          <w:numId w:val="8"/>
        </w:numPr>
        <w:ind w:left="426"/>
        <w:jc w:val="left"/>
        <w:rPr>
          <w:lang w:eastAsia="en-US"/>
        </w:rPr>
      </w:pPr>
      <w:r w:rsidRPr="002F5314">
        <w:rPr>
          <w:lang w:eastAsia="en-US"/>
        </w:rPr>
        <w:t xml:space="preserve">This increase was attributable to the IFA sector, which </w:t>
      </w:r>
      <w:r>
        <w:rPr>
          <w:lang w:eastAsia="en-US"/>
        </w:rPr>
        <w:t>rose by</w:t>
      </w:r>
      <w:r w:rsidRPr="002F5314">
        <w:rPr>
          <w:lang w:eastAsia="en-US"/>
        </w:rPr>
        <w:t xml:space="preserve"> 20%: from 65,645 in 2015</w:t>
      </w:r>
      <w:r w:rsidR="00B643AA">
        <w:t>–</w:t>
      </w:r>
      <w:r w:rsidRPr="002F5314">
        <w:rPr>
          <w:lang w:eastAsia="en-US"/>
        </w:rPr>
        <w:t>16 to 78,585 in 2016</w:t>
      </w:r>
      <w:r w:rsidR="00B643AA">
        <w:t>–</w:t>
      </w:r>
      <w:r w:rsidRPr="002F5314">
        <w:rPr>
          <w:lang w:eastAsia="en-US"/>
        </w:rPr>
        <w:t>17. The LA sector actually saw a small decrease from 36,150 to 35,840 (1%).</w:t>
      </w:r>
    </w:p>
    <w:p w14:paraId="7E526D6B" w14:textId="7F7A9CBF" w:rsidR="00904DB4" w:rsidRPr="00B564FC" w:rsidRDefault="00904DB4" w:rsidP="00904DB4">
      <w:pPr>
        <w:pStyle w:val="ListParagraph"/>
        <w:numPr>
          <w:ilvl w:val="0"/>
          <w:numId w:val="8"/>
        </w:numPr>
        <w:ind w:left="426"/>
        <w:jc w:val="left"/>
        <w:rPr>
          <w:lang w:eastAsia="en-US"/>
        </w:rPr>
      </w:pPr>
      <w:r w:rsidRPr="000A5B9E">
        <w:rPr>
          <w:lang w:eastAsia="en-US"/>
        </w:rPr>
        <w:t xml:space="preserve">The number of applications rose (9%), albeit not to the levels seen prior </w:t>
      </w:r>
      <w:r w:rsidRPr="001A6D40">
        <w:rPr>
          <w:color w:val="000000" w:themeColor="text1"/>
          <w:lang w:eastAsia="en-US"/>
        </w:rPr>
        <w:t>to a large fall last year</w:t>
      </w:r>
      <w:r w:rsidRPr="00B564FC">
        <w:rPr>
          <w:color w:val="000000" w:themeColor="text1"/>
          <w:lang w:eastAsia="en-US"/>
        </w:rPr>
        <w:t>. Agencies reported 12,455 applications in 2016</w:t>
      </w:r>
      <w:r w:rsidR="00B643AA">
        <w:t>–</w:t>
      </w:r>
      <w:r w:rsidRPr="00B564FC">
        <w:rPr>
          <w:color w:val="000000" w:themeColor="text1"/>
          <w:lang w:eastAsia="en-US"/>
        </w:rPr>
        <w:t>17, com</w:t>
      </w:r>
      <w:r w:rsidRPr="00B564FC">
        <w:rPr>
          <w:lang w:eastAsia="en-US"/>
        </w:rPr>
        <w:t xml:space="preserve">pared </w:t>
      </w:r>
      <w:r w:rsidR="00B643AA">
        <w:rPr>
          <w:lang w:eastAsia="en-US"/>
        </w:rPr>
        <w:t>with</w:t>
      </w:r>
      <w:r w:rsidR="00B643AA" w:rsidRPr="00B564FC">
        <w:rPr>
          <w:lang w:eastAsia="en-US"/>
        </w:rPr>
        <w:t xml:space="preserve"> </w:t>
      </w:r>
      <w:r w:rsidRPr="00B564FC">
        <w:rPr>
          <w:lang w:eastAsia="en-US"/>
        </w:rPr>
        <w:t>11,460 in 2015</w:t>
      </w:r>
      <w:r w:rsidR="00B643AA">
        <w:t>–</w:t>
      </w:r>
      <w:r w:rsidRPr="00B564FC">
        <w:rPr>
          <w:lang w:eastAsia="en-US"/>
        </w:rPr>
        <w:t>16.</w:t>
      </w:r>
      <w:bookmarkStart w:id="29" w:name="_Toc408930060"/>
      <w:bookmarkStart w:id="30" w:name="_Toc436837614"/>
      <w:r w:rsidR="00057CD3" w:rsidRPr="00B564FC">
        <w:rPr>
          <w:rStyle w:val="FootnoteReference"/>
          <w:lang w:eastAsia="en-US"/>
        </w:rPr>
        <w:footnoteReference w:id="17"/>
      </w:r>
    </w:p>
    <w:p w14:paraId="3B3C9E41" w14:textId="1DDC448C" w:rsidR="00904DB4" w:rsidRPr="003A5E73" w:rsidRDefault="00352410" w:rsidP="00777CED">
      <w:pPr>
        <w:pStyle w:val="ListParagraph"/>
        <w:numPr>
          <w:ilvl w:val="0"/>
          <w:numId w:val="8"/>
        </w:numPr>
        <w:ind w:left="426"/>
        <w:jc w:val="left"/>
        <w:rPr>
          <w:color w:val="000000" w:themeColor="text1"/>
          <w:lang w:eastAsia="en-US"/>
        </w:rPr>
      </w:pPr>
      <w:r w:rsidRPr="00B564FC">
        <w:rPr>
          <w:color w:val="000000" w:themeColor="text1"/>
          <w:lang w:eastAsia="en-US"/>
        </w:rPr>
        <w:t>The conversion rate of initial enquiries to applications was very different in the two sectors. As last year, 11%</w:t>
      </w:r>
      <w:r w:rsidRPr="003A5E73">
        <w:rPr>
          <w:color w:val="000000" w:themeColor="text1"/>
          <w:lang w:eastAsia="en-US"/>
        </w:rPr>
        <w:t xml:space="preserve"> of initial enquiries nationally </w:t>
      </w:r>
      <w:r w:rsidR="00A73614" w:rsidRPr="003A5E73">
        <w:rPr>
          <w:color w:val="000000" w:themeColor="text1"/>
          <w:lang w:eastAsia="en-US"/>
        </w:rPr>
        <w:t>converted to</w:t>
      </w:r>
      <w:r w:rsidRPr="003A5E73">
        <w:rPr>
          <w:color w:val="000000" w:themeColor="text1"/>
          <w:lang w:eastAsia="en-US"/>
        </w:rPr>
        <w:t xml:space="preserve"> applications. However, </w:t>
      </w:r>
      <w:r w:rsidR="005C7686" w:rsidRPr="003A5E73">
        <w:rPr>
          <w:color w:val="000000" w:themeColor="text1"/>
          <w:lang w:eastAsia="en-US"/>
        </w:rPr>
        <w:t>1</w:t>
      </w:r>
      <w:r w:rsidRPr="003A5E73">
        <w:rPr>
          <w:color w:val="000000" w:themeColor="text1"/>
          <w:lang w:eastAsia="en-US"/>
        </w:rPr>
        <w:t>8% of initial enquiries in the LA sector converted to applications compared with just 8% in IFAs.</w:t>
      </w:r>
      <w:r w:rsidR="00A73614" w:rsidRPr="003A5E73">
        <w:rPr>
          <w:color w:val="000000" w:themeColor="text1"/>
          <w:lang w:eastAsia="en-US"/>
        </w:rPr>
        <w:t xml:space="preserve"> </w:t>
      </w:r>
      <w:r w:rsidR="00B643AA">
        <w:rPr>
          <w:color w:val="000000" w:themeColor="text1"/>
          <w:lang w:eastAsia="en-US"/>
        </w:rPr>
        <w:t>While</w:t>
      </w:r>
      <w:r w:rsidR="00B643AA" w:rsidRPr="003A5E73">
        <w:rPr>
          <w:color w:val="000000" w:themeColor="text1"/>
          <w:lang w:eastAsia="en-US"/>
        </w:rPr>
        <w:t xml:space="preserve"> </w:t>
      </w:r>
      <w:r w:rsidR="00A73614" w:rsidRPr="003A5E73">
        <w:rPr>
          <w:color w:val="000000" w:themeColor="text1"/>
          <w:lang w:eastAsia="en-US"/>
        </w:rPr>
        <w:t xml:space="preserve">IFAs have attracted more initial enquiries </w:t>
      </w:r>
      <w:r w:rsidR="00A7023F">
        <w:rPr>
          <w:color w:val="000000" w:themeColor="text1"/>
          <w:lang w:eastAsia="en-US"/>
        </w:rPr>
        <w:t xml:space="preserve">than LAs </w:t>
      </w:r>
      <w:r w:rsidR="00A73614" w:rsidRPr="003A5E73">
        <w:rPr>
          <w:color w:val="000000" w:themeColor="text1"/>
          <w:lang w:eastAsia="en-US"/>
        </w:rPr>
        <w:t>each year for the last five years, accentuated by the large increase this year, they have not been as efficient at converting these to applications.</w:t>
      </w:r>
      <w:r w:rsidR="0013101C" w:rsidRPr="003A5E73" w:rsidDel="0013101C">
        <w:rPr>
          <w:color w:val="000000" w:themeColor="text1"/>
          <w:lang w:eastAsia="en-US"/>
        </w:rPr>
        <w:t xml:space="preserve"> </w:t>
      </w:r>
    </w:p>
    <w:p w14:paraId="1F8FEB2C" w14:textId="263E7DC3" w:rsidR="00904DB4" w:rsidRPr="000A5B9E" w:rsidRDefault="00904DB4" w:rsidP="00904DB4">
      <w:pPr>
        <w:pStyle w:val="ListParagraph"/>
        <w:numPr>
          <w:ilvl w:val="0"/>
          <w:numId w:val="8"/>
        </w:numPr>
        <w:ind w:left="426"/>
        <w:jc w:val="left"/>
        <w:rPr>
          <w:lang w:eastAsia="en-US"/>
        </w:rPr>
      </w:pPr>
      <w:r w:rsidRPr="000A5B9E">
        <w:rPr>
          <w:lang w:eastAsia="en-US"/>
        </w:rPr>
        <w:t xml:space="preserve">As well as 4,375 </w:t>
      </w:r>
      <w:r w:rsidR="00E37403">
        <w:rPr>
          <w:lang w:eastAsia="en-US"/>
        </w:rPr>
        <w:t>mainstream</w:t>
      </w:r>
      <w:r w:rsidRPr="000A5B9E">
        <w:rPr>
          <w:lang w:eastAsia="en-US"/>
        </w:rPr>
        <w:t xml:space="preserve"> fostering households approved in 2016</w:t>
      </w:r>
      <w:r w:rsidR="00B643AA">
        <w:t>–</w:t>
      </w:r>
      <w:r w:rsidRPr="000A5B9E">
        <w:rPr>
          <w:lang w:eastAsia="en-US"/>
        </w:rPr>
        <w:t>17, agencies also approved 4,775 family and friends households and 170 short break households</w:t>
      </w:r>
      <w:r>
        <w:rPr>
          <w:lang w:eastAsia="en-US"/>
        </w:rPr>
        <w:t>. This amounted to 9,320 newly-approved households in the year.</w:t>
      </w:r>
    </w:p>
    <w:p w14:paraId="6F3DBC5E" w14:textId="77777777" w:rsidR="00904DB4" w:rsidRPr="00CB0983" w:rsidRDefault="00904DB4" w:rsidP="00904DB4">
      <w:pPr>
        <w:pStyle w:val="Table"/>
        <w:rPr>
          <w:color w:val="FF0000"/>
        </w:rPr>
      </w:pPr>
    </w:p>
    <w:p w14:paraId="2E7043A2" w14:textId="77777777" w:rsidR="00904DB4" w:rsidRPr="00686454" w:rsidRDefault="00904DB4" w:rsidP="00904DB4">
      <w:pPr>
        <w:pStyle w:val="Heading3"/>
      </w:pPr>
      <w:bookmarkStart w:id="31" w:name="_Toc470097329"/>
      <w:bookmarkStart w:id="32" w:name="_Toc509261119"/>
      <w:r w:rsidRPr="00686454">
        <w:t>Application outcomes</w:t>
      </w:r>
      <w:bookmarkEnd w:id="29"/>
      <w:bookmarkEnd w:id="30"/>
      <w:bookmarkEnd w:id="31"/>
      <w:bookmarkEnd w:id="32"/>
    </w:p>
    <w:p w14:paraId="23DF5D78" w14:textId="20F38FB4" w:rsidR="00904DB4" w:rsidRPr="0042575C" w:rsidRDefault="000E7AC6" w:rsidP="0042575C">
      <w:pPr>
        <w:pStyle w:val="Table"/>
      </w:pPr>
      <w:bookmarkStart w:id="33" w:name="_Toc509495444"/>
      <w:bookmarkStart w:id="34" w:name="_Toc408930061"/>
      <w:bookmarkStart w:id="35" w:name="_Toc436837615"/>
      <w:r w:rsidRPr="0042575C">
        <w:t>Figure 4</w:t>
      </w:r>
      <w:r w:rsidR="00904DB4" w:rsidRPr="0042575C">
        <w:t>: Applications considered and completed in year as at 31 March</w:t>
      </w:r>
      <w:bookmarkEnd w:id="33"/>
    </w:p>
    <w:p w14:paraId="79716E1C" w14:textId="4AE78641" w:rsidR="00904DB4" w:rsidRDefault="00904DB4" w:rsidP="00904DB4">
      <w:pPr>
        <w:rPr>
          <w:color w:val="FF0000"/>
        </w:rPr>
      </w:pPr>
    </w:p>
    <w:p w14:paraId="4346EF2E" w14:textId="466B5F95" w:rsidR="00A167B2" w:rsidRPr="00CB0983" w:rsidRDefault="001B0055" w:rsidP="00904DB4">
      <w:pPr>
        <w:rPr>
          <w:color w:val="FF0000"/>
        </w:rPr>
      </w:pPr>
      <w:r>
        <w:rPr>
          <w:noProof/>
          <w:color w:val="FF0000"/>
        </w:rPr>
        <w:drawing>
          <wp:inline distT="0" distB="0" distL="0" distR="0" wp14:anchorId="5B1920E8" wp14:editId="4AB80ACC">
            <wp:extent cx="6202392" cy="2616814"/>
            <wp:effectExtent l="0" t="0" r="825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14919" cy="2622099"/>
                    </a:xfrm>
                    <a:prstGeom prst="rect">
                      <a:avLst/>
                    </a:prstGeom>
                    <a:noFill/>
                  </pic:spPr>
                </pic:pic>
              </a:graphicData>
            </a:graphic>
          </wp:inline>
        </w:drawing>
      </w:r>
    </w:p>
    <w:p w14:paraId="29A6CA34" w14:textId="77777777" w:rsidR="00904DB4" w:rsidRPr="006C0ED6" w:rsidRDefault="00904DB4" w:rsidP="00904DB4">
      <w:pPr>
        <w:jc w:val="left"/>
        <w:rPr>
          <w:b/>
        </w:rPr>
      </w:pPr>
    </w:p>
    <w:p w14:paraId="7EA8065A" w14:textId="77777777" w:rsidR="00904DB4" w:rsidRPr="00883DC2" w:rsidRDefault="00904DB4" w:rsidP="00904DB4">
      <w:pPr>
        <w:pStyle w:val="ListParagraph"/>
        <w:numPr>
          <w:ilvl w:val="0"/>
          <w:numId w:val="31"/>
        </w:numPr>
        <w:ind w:left="426"/>
        <w:jc w:val="left"/>
        <w:rPr>
          <w:b/>
          <w:color w:val="000000" w:themeColor="text1"/>
        </w:rPr>
      </w:pPr>
      <w:r w:rsidRPr="00883DC2">
        <w:rPr>
          <w:color w:val="000000" w:themeColor="text1"/>
        </w:rPr>
        <w:t xml:space="preserve">The number of applications that were considered and the number completed during the year increased from last year. These increases ended the long term trend of decreasing numbers in all areas. The only area that continued the long term decline was applications approved. </w:t>
      </w:r>
    </w:p>
    <w:p w14:paraId="0F08A641" w14:textId="77777777" w:rsidR="00904DB4" w:rsidRPr="00883DC2" w:rsidRDefault="00904DB4" w:rsidP="00904DB4">
      <w:pPr>
        <w:pStyle w:val="ListParagraph"/>
        <w:numPr>
          <w:ilvl w:val="0"/>
          <w:numId w:val="31"/>
        </w:numPr>
        <w:ind w:left="425" w:hanging="357"/>
        <w:jc w:val="left"/>
        <w:rPr>
          <w:color w:val="000000" w:themeColor="text1"/>
        </w:rPr>
      </w:pPr>
      <w:r w:rsidRPr="00883DC2">
        <w:rPr>
          <w:color w:val="000000" w:themeColor="text1"/>
        </w:rPr>
        <w:t>At 72%, the completion rate was just one percentage point higher than last year.</w:t>
      </w:r>
    </w:p>
    <w:p w14:paraId="59DED352" w14:textId="203EA462" w:rsidR="00904DB4" w:rsidRPr="00883DC2" w:rsidRDefault="00904DB4" w:rsidP="00904DB4">
      <w:pPr>
        <w:pStyle w:val="ListParagraph"/>
        <w:numPr>
          <w:ilvl w:val="0"/>
          <w:numId w:val="31"/>
        </w:numPr>
        <w:ind w:left="425" w:hanging="357"/>
        <w:jc w:val="left"/>
        <w:rPr>
          <w:b/>
          <w:color w:val="000000" w:themeColor="text1"/>
        </w:rPr>
      </w:pPr>
      <w:r w:rsidRPr="00883DC2">
        <w:rPr>
          <w:color w:val="000000" w:themeColor="text1"/>
        </w:rPr>
        <w:t>A large reduction in LA approval rates</w:t>
      </w:r>
      <w:r w:rsidR="00883DC2">
        <w:rPr>
          <w:color w:val="000000" w:themeColor="text1"/>
        </w:rPr>
        <w:t>,</w:t>
      </w:r>
      <w:r w:rsidR="00883DC2" w:rsidRPr="00883DC2">
        <w:rPr>
          <w:color w:val="000000" w:themeColor="text1"/>
        </w:rPr>
        <w:t xml:space="preserve"> </w:t>
      </w:r>
      <w:r w:rsidRPr="00883DC2">
        <w:rPr>
          <w:color w:val="000000" w:themeColor="text1"/>
        </w:rPr>
        <w:t xml:space="preserve">from 57% to 45%, drove a national reduction of eight percentage points compared </w:t>
      </w:r>
      <w:r w:rsidR="00B643AA">
        <w:rPr>
          <w:color w:val="000000" w:themeColor="text1"/>
        </w:rPr>
        <w:t>with</w:t>
      </w:r>
      <w:r w:rsidR="00B643AA" w:rsidRPr="00883DC2">
        <w:rPr>
          <w:color w:val="000000" w:themeColor="text1"/>
        </w:rPr>
        <w:t xml:space="preserve"> </w:t>
      </w:r>
      <w:r w:rsidRPr="00883DC2">
        <w:rPr>
          <w:color w:val="000000" w:themeColor="text1"/>
        </w:rPr>
        <w:t>last year. Although</w:t>
      </w:r>
      <w:r w:rsidR="00B643AA">
        <w:rPr>
          <w:color w:val="000000" w:themeColor="text1"/>
        </w:rPr>
        <w:t>,</w:t>
      </w:r>
      <w:r w:rsidRPr="00883DC2">
        <w:rPr>
          <w:color w:val="000000" w:themeColor="text1"/>
        </w:rPr>
        <w:t xml:space="preserve"> at 49% it is still in line with the long term trend. This year represented the first time in at least five years that the approval rate was higher for IFAs (53%) than it was for LAs (45%).</w:t>
      </w:r>
    </w:p>
    <w:p w14:paraId="545DC41C" w14:textId="7ED00250" w:rsidR="00904DB4" w:rsidRPr="00883DC2" w:rsidRDefault="00904DB4" w:rsidP="00904DB4">
      <w:pPr>
        <w:pStyle w:val="ListParagraph"/>
        <w:numPr>
          <w:ilvl w:val="0"/>
          <w:numId w:val="9"/>
        </w:numPr>
        <w:ind w:left="425" w:hanging="357"/>
        <w:jc w:val="left"/>
        <w:rPr>
          <w:color w:val="000000" w:themeColor="text1"/>
        </w:rPr>
      </w:pPr>
      <w:r w:rsidRPr="00883DC2">
        <w:rPr>
          <w:color w:val="000000" w:themeColor="text1"/>
        </w:rPr>
        <w:t xml:space="preserve">The proportion of completed applications withdrawn or rejected in the LA sector was 25% compared </w:t>
      </w:r>
      <w:r w:rsidR="00B643AA">
        <w:rPr>
          <w:color w:val="000000" w:themeColor="text1"/>
        </w:rPr>
        <w:t>with</w:t>
      </w:r>
      <w:r w:rsidR="00B643AA" w:rsidRPr="00883DC2">
        <w:rPr>
          <w:color w:val="000000" w:themeColor="text1"/>
        </w:rPr>
        <w:t xml:space="preserve"> </w:t>
      </w:r>
      <w:r w:rsidRPr="00883DC2">
        <w:rPr>
          <w:color w:val="000000" w:themeColor="text1"/>
        </w:rPr>
        <w:t>12% in 2015</w:t>
      </w:r>
      <w:r w:rsidR="00B643AA">
        <w:t>–</w:t>
      </w:r>
      <w:r w:rsidRPr="00883DC2">
        <w:rPr>
          <w:color w:val="000000" w:themeColor="text1"/>
        </w:rPr>
        <w:t>16. This meant an England figure of 21% which was in line with 2013</w:t>
      </w:r>
      <w:r w:rsidR="00B643AA">
        <w:t>–</w:t>
      </w:r>
      <w:r w:rsidRPr="00883DC2">
        <w:rPr>
          <w:color w:val="000000" w:themeColor="text1"/>
        </w:rPr>
        <w:t>14 and 2014</w:t>
      </w:r>
      <w:r w:rsidR="00B643AA">
        <w:t>–</w:t>
      </w:r>
      <w:r w:rsidRPr="00883DC2">
        <w:rPr>
          <w:color w:val="000000" w:themeColor="text1"/>
        </w:rPr>
        <w:t xml:space="preserve">15, suggesting the drop </w:t>
      </w:r>
      <w:r w:rsidR="00883DC2">
        <w:rPr>
          <w:color w:val="000000" w:themeColor="text1"/>
        </w:rPr>
        <w:t xml:space="preserve">in </w:t>
      </w:r>
      <w:r w:rsidRPr="00883DC2">
        <w:rPr>
          <w:color w:val="000000" w:themeColor="text1"/>
        </w:rPr>
        <w:t>2015</w:t>
      </w:r>
      <w:r w:rsidR="00B643AA">
        <w:t>–</w:t>
      </w:r>
      <w:r w:rsidRPr="00883DC2">
        <w:rPr>
          <w:color w:val="000000" w:themeColor="text1"/>
        </w:rPr>
        <w:t>16 may have been an anomaly.</w:t>
      </w:r>
    </w:p>
    <w:p w14:paraId="2C393F6A" w14:textId="77777777" w:rsidR="00904DB4" w:rsidRPr="00CB0983" w:rsidRDefault="00904DB4" w:rsidP="00904DB4">
      <w:pPr>
        <w:pStyle w:val="ListParagraph"/>
        <w:numPr>
          <w:ilvl w:val="0"/>
          <w:numId w:val="9"/>
        </w:numPr>
        <w:ind w:left="426"/>
        <w:jc w:val="left"/>
        <w:rPr>
          <w:color w:val="FF0000"/>
        </w:rPr>
      </w:pPr>
      <w:r w:rsidRPr="00274BD5">
        <w:t>The proportion of applications withdrawn by applicants remained at 30% (2,695 applications).</w:t>
      </w:r>
    </w:p>
    <w:p w14:paraId="2B4285CC" w14:textId="77777777" w:rsidR="00904DB4" w:rsidRPr="00CB0983" w:rsidRDefault="00904DB4" w:rsidP="00904DB4">
      <w:pPr>
        <w:jc w:val="left"/>
        <w:rPr>
          <w:b/>
          <w:color w:val="FF0000"/>
          <w:sz w:val="20"/>
          <w:szCs w:val="20"/>
        </w:rPr>
      </w:pPr>
    </w:p>
    <w:p w14:paraId="3213B71B" w14:textId="77777777" w:rsidR="00904DB4" w:rsidRPr="00046EB3" w:rsidRDefault="00904DB4" w:rsidP="00904DB4">
      <w:pPr>
        <w:pStyle w:val="Heading3"/>
      </w:pPr>
      <w:bookmarkStart w:id="36" w:name="_Toc470097330"/>
      <w:bookmarkStart w:id="37" w:name="_Toc509261120"/>
      <w:r w:rsidRPr="00046EB3">
        <w:t>De-registration and retention of fostering households</w:t>
      </w:r>
      <w:bookmarkEnd w:id="34"/>
      <w:bookmarkEnd w:id="35"/>
      <w:bookmarkEnd w:id="36"/>
      <w:bookmarkEnd w:id="37"/>
    </w:p>
    <w:p w14:paraId="3964520A" w14:textId="77777777" w:rsidR="00904DB4" w:rsidRPr="00E83E2F" w:rsidRDefault="00904DB4" w:rsidP="00904DB4">
      <w:pPr>
        <w:jc w:val="left"/>
      </w:pPr>
      <w:r w:rsidRPr="00E83E2F">
        <w:t xml:space="preserve">The nature of this year’s collection has meant that it is not always possible for Ofsted to identify the household type of some de-registered households. The following analysis, therefore, focuses on </w:t>
      </w:r>
      <w:r>
        <w:t xml:space="preserve">the </w:t>
      </w:r>
      <w:r w:rsidRPr="00E83E2F">
        <w:t>de-registrations</w:t>
      </w:r>
      <w:r>
        <w:t xml:space="preserve"> and retention</w:t>
      </w:r>
      <w:r w:rsidRPr="00E83E2F">
        <w:t xml:space="preserve"> of all household types together.</w:t>
      </w:r>
    </w:p>
    <w:p w14:paraId="58AC0B32" w14:textId="77777777" w:rsidR="00904DB4" w:rsidRPr="00B73BD8" w:rsidRDefault="00904DB4" w:rsidP="00904DB4">
      <w:pPr>
        <w:rPr>
          <w:color w:val="0070C0"/>
        </w:rPr>
      </w:pPr>
    </w:p>
    <w:p w14:paraId="5B365487" w14:textId="4967BEBE" w:rsidR="00904DB4" w:rsidRDefault="00904DB4" w:rsidP="00904DB4">
      <w:pPr>
        <w:pStyle w:val="ListParagraph"/>
        <w:numPr>
          <w:ilvl w:val="0"/>
          <w:numId w:val="10"/>
        </w:numPr>
        <w:ind w:left="426"/>
        <w:jc w:val="left"/>
        <w:rPr>
          <w:color w:val="000000" w:themeColor="text1"/>
        </w:rPr>
      </w:pPr>
      <w:r w:rsidRPr="00E037D6">
        <w:t xml:space="preserve">Overall, there </w:t>
      </w:r>
      <w:r w:rsidRPr="00FB2109">
        <w:rPr>
          <w:color w:val="000000" w:themeColor="text1"/>
        </w:rPr>
        <w:t>were 8,275 de-registrations in 2016</w:t>
      </w:r>
      <w:r w:rsidR="00FC61B3">
        <w:t>–</w:t>
      </w:r>
      <w:r w:rsidRPr="00FB2109">
        <w:rPr>
          <w:color w:val="000000" w:themeColor="text1"/>
        </w:rPr>
        <w:t>17, with the majority (73%) in the LA sector. This meant that there were more approved households in 2016</w:t>
      </w:r>
      <w:r w:rsidR="00FC61B3">
        <w:t>–</w:t>
      </w:r>
      <w:r w:rsidRPr="00FB2109">
        <w:rPr>
          <w:color w:val="000000" w:themeColor="text1"/>
        </w:rPr>
        <w:t>17 (9,320) than there were de-registrations.</w:t>
      </w:r>
      <w:r w:rsidRPr="00FB2109">
        <w:rPr>
          <w:rStyle w:val="FootnoteReference"/>
          <w:color w:val="000000" w:themeColor="text1"/>
        </w:rPr>
        <w:footnoteReference w:id="18"/>
      </w:r>
    </w:p>
    <w:p w14:paraId="122CB911" w14:textId="1410CCE2" w:rsidR="00FD0B10" w:rsidRPr="00FB2109" w:rsidRDefault="00FD0B10" w:rsidP="00904DB4">
      <w:pPr>
        <w:pStyle w:val="ListParagraph"/>
        <w:numPr>
          <w:ilvl w:val="0"/>
          <w:numId w:val="10"/>
        </w:numPr>
        <w:ind w:left="426"/>
        <w:jc w:val="left"/>
        <w:rPr>
          <w:color w:val="000000" w:themeColor="text1"/>
        </w:rPr>
      </w:pPr>
      <w:r>
        <w:rPr>
          <w:color w:val="000000" w:themeColor="text1"/>
        </w:rPr>
        <w:t>The majority of de-registrations (4,935, or 60%) were initiated by the foster care</w:t>
      </w:r>
      <w:r w:rsidR="001B0055">
        <w:rPr>
          <w:color w:val="000000" w:themeColor="text1"/>
        </w:rPr>
        <w:t>r</w:t>
      </w:r>
      <w:r>
        <w:rPr>
          <w:color w:val="000000" w:themeColor="text1"/>
        </w:rPr>
        <w:t>, with 2,485 (30%) initiated by the fostering service. The remaining 10% of de-registrations were due to either the household transferring to an IFA (410) or to an LA (270), or for an unknown reason (180).</w:t>
      </w:r>
    </w:p>
    <w:p w14:paraId="29FB0D0F" w14:textId="77777777" w:rsidR="00B564FC" w:rsidRDefault="00B564FC" w:rsidP="00904DB4">
      <w:pPr>
        <w:jc w:val="left"/>
        <w:rPr>
          <w:color w:val="000000" w:themeColor="text1"/>
        </w:rPr>
      </w:pPr>
    </w:p>
    <w:p w14:paraId="33E2E415" w14:textId="77777777" w:rsidR="00423261" w:rsidRDefault="00423261" w:rsidP="00904DB4">
      <w:pPr>
        <w:jc w:val="left"/>
        <w:rPr>
          <w:color w:val="000000" w:themeColor="text1"/>
        </w:rPr>
      </w:pPr>
    </w:p>
    <w:p w14:paraId="2254DA10" w14:textId="77777777" w:rsidR="00423261" w:rsidRDefault="00423261" w:rsidP="00904DB4">
      <w:pPr>
        <w:jc w:val="left"/>
        <w:rPr>
          <w:color w:val="000000" w:themeColor="text1"/>
        </w:rPr>
      </w:pPr>
    </w:p>
    <w:p w14:paraId="2C3E68E3" w14:textId="77777777" w:rsidR="00423261" w:rsidRDefault="00423261" w:rsidP="00904DB4">
      <w:pPr>
        <w:jc w:val="left"/>
        <w:rPr>
          <w:color w:val="000000" w:themeColor="text1"/>
        </w:rPr>
      </w:pPr>
    </w:p>
    <w:p w14:paraId="714A9478" w14:textId="77777777" w:rsidR="00423261" w:rsidRDefault="00423261" w:rsidP="00904DB4">
      <w:pPr>
        <w:jc w:val="left"/>
        <w:rPr>
          <w:color w:val="000000" w:themeColor="text1"/>
        </w:rPr>
      </w:pPr>
    </w:p>
    <w:p w14:paraId="552EAEC9" w14:textId="77777777" w:rsidR="00423261" w:rsidRDefault="00423261" w:rsidP="00904DB4">
      <w:pPr>
        <w:jc w:val="left"/>
        <w:rPr>
          <w:color w:val="000000" w:themeColor="text1"/>
        </w:rPr>
      </w:pPr>
    </w:p>
    <w:p w14:paraId="7AF44423" w14:textId="77777777" w:rsidR="00423261" w:rsidRDefault="00423261" w:rsidP="00904DB4">
      <w:pPr>
        <w:jc w:val="left"/>
        <w:rPr>
          <w:color w:val="000000" w:themeColor="text1"/>
        </w:rPr>
      </w:pPr>
    </w:p>
    <w:p w14:paraId="07E6DADE" w14:textId="77777777" w:rsidR="00423261" w:rsidRDefault="00423261" w:rsidP="00904DB4">
      <w:pPr>
        <w:jc w:val="left"/>
        <w:rPr>
          <w:color w:val="000000" w:themeColor="text1"/>
        </w:rPr>
      </w:pPr>
    </w:p>
    <w:p w14:paraId="4965F344" w14:textId="3ADCA915" w:rsidR="00904DB4" w:rsidRPr="0042575C" w:rsidRDefault="000E7AC6" w:rsidP="0042575C">
      <w:pPr>
        <w:pStyle w:val="Table"/>
      </w:pPr>
      <w:bookmarkStart w:id="38" w:name="_Toc509495445"/>
      <w:r w:rsidRPr="0042575C">
        <w:t>Figure 5</w:t>
      </w:r>
      <w:r w:rsidR="00904DB4" w:rsidRPr="0042575C">
        <w:t>: De-registrations of all households by reason and sector, 2016-17</w:t>
      </w:r>
      <w:bookmarkEnd w:id="38"/>
    </w:p>
    <w:p w14:paraId="06FF7B60" w14:textId="187E37CB" w:rsidR="00FD0B10" w:rsidRDefault="00FD0B10" w:rsidP="005D5B64">
      <w:r>
        <w:rPr>
          <w:noProof/>
          <w:color w:val="FF0000"/>
        </w:rPr>
        <w:drawing>
          <wp:inline distT="0" distB="0" distL="0" distR="0" wp14:anchorId="2FA28100" wp14:editId="5E194673">
            <wp:extent cx="5720428" cy="28994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4162" cy="2901360"/>
                    </a:xfrm>
                    <a:prstGeom prst="rect">
                      <a:avLst/>
                    </a:prstGeom>
                    <a:noFill/>
                  </pic:spPr>
                </pic:pic>
              </a:graphicData>
            </a:graphic>
          </wp:inline>
        </w:drawing>
      </w:r>
    </w:p>
    <w:p w14:paraId="3E673CB5" w14:textId="77777777" w:rsidR="00423261" w:rsidRDefault="00423261" w:rsidP="005D5B64"/>
    <w:p w14:paraId="1296FA57" w14:textId="31471936" w:rsidR="00904DB4" w:rsidRPr="00FB2109" w:rsidRDefault="00902496" w:rsidP="00904DB4">
      <w:pPr>
        <w:pStyle w:val="ListParagraph"/>
        <w:numPr>
          <w:ilvl w:val="0"/>
          <w:numId w:val="10"/>
        </w:numPr>
        <w:ind w:left="426"/>
        <w:jc w:val="left"/>
        <w:rPr>
          <w:color w:val="000000" w:themeColor="text1"/>
        </w:rPr>
      </w:pPr>
      <w:r>
        <w:t>Mirroring the national picture, in the LA sector t</w:t>
      </w:r>
      <w:r w:rsidR="00904DB4" w:rsidRPr="00E037D6">
        <w:t xml:space="preserve">he </w:t>
      </w:r>
      <w:r w:rsidR="00904DB4" w:rsidRPr="00FB2109">
        <w:rPr>
          <w:color w:val="000000" w:themeColor="text1"/>
        </w:rPr>
        <w:t xml:space="preserve">majority of de-registrations (58%) were initiated by the foster carers themselves, with those initiated by the service making up the next biggest cohort </w:t>
      </w:r>
      <w:r>
        <w:rPr>
          <w:color w:val="000000" w:themeColor="text1"/>
        </w:rPr>
        <w:t>(</w:t>
      </w:r>
      <w:r w:rsidR="00904DB4" w:rsidRPr="00FB2109">
        <w:rPr>
          <w:color w:val="000000" w:themeColor="text1"/>
        </w:rPr>
        <w:t>39%</w:t>
      </w:r>
      <w:r>
        <w:rPr>
          <w:color w:val="000000" w:themeColor="text1"/>
        </w:rPr>
        <w:t>)</w:t>
      </w:r>
      <w:r w:rsidR="00904DB4" w:rsidRPr="00FB2109">
        <w:rPr>
          <w:color w:val="000000" w:themeColor="text1"/>
        </w:rPr>
        <w:t>.</w:t>
      </w:r>
    </w:p>
    <w:p w14:paraId="450E9D05" w14:textId="0C12CE25" w:rsidR="00904DB4" w:rsidRDefault="00904DB4" w:rsidP="00904DB4">
      <w:pPr>
        <w:pStyle w:val="ListParagraph"/>
        <w:numPr>
          <w:ilvl w:val="0"/>
          <w:numId w:val="10"/>
        </w:numPr>
        <w:ind w:left="426"/>
        <w:jc w:val="left"/>
      </w:pPr>
      <w:r w:rsidRPr="00FB2109">
        <w:rPr>
          <w:color w:val="000000" w:themeColor="text1"/>
        </w:rPr>
        <w:t xml:space="preserve">However, the reasons for de-registrations were quite different in IFAs. </w:t>
      </w:r>
      <w:r w:rsidR="008B6DB8" w:rsidRPr="00FB2109">
        <w:rPr>
          <w:color w:val="000000" w:themeColor="text1"/>
        </w:rPr>
        <w:t>Whil</w:t>
      </w:r>
      <w:r w:rsidR="008B6DB8">
        <w:rPr>
          <w:color w:val="000000" w:themeColor="text1"/>
        </w:rPr>
        <w:t>e</w:t>
      </w:r>
      <w:r w:rsidR="008B6DB8" w:rsidRPr="00FB2109">
        <w:rPr>
          <w:color w:val="000000" w:themeColor="text1"/>
        </w:rPr>
        <w:t xml:space="preserve"> </w:t>
      </w:r>
      <w:r w:rsidRPr="00FB2109">
        <w:rPr>
          <w:color w:val="000000" w:themeColor="text1"/>
        </w:rPr>
        <w:t xml:space="preserve">the majority (63%) of de-registrations were initiated by foster carers, only 7% were initiated by the service. </w:t>
      </w:r>
      <w:r w:rsidR="008B6DB8">
        <w:t xml:space="preserve">At </w:t>
      </w:r>
      <w:r>
        <w:t>7%</w:t>
      </w:r>
      <w:r w:rsidR="00E87C79">
        <w:t>,</w:t>
      </w:r>
      <w:r>
        <w:t xml:space="preserve"> </w:t>
      </w:r>
      <w:r w:rsidR="008B6DB8">
        <w:t xml:space="preserve">this </w:t>
      </w:r>
      <w:r>
        <w:t xml:space="preserve">was less than </w:t>
      </w:r>
      <w:r w:rsidR="008B6DB8">
        <w:t xml:space="preserve">the </w:t>
      </w:r>
      <w:r w:rsidR="00E87C79">
        <w:t>proportion that</w:t>
      </w:r>
      <w:r w:rsidR="008B6DB8">
        <w:t xml:space="preserve"> </w:t>
      </w:r>
      <w:r>
        <w:t xml:space="preserve">transferred to another IFA (16%) or to an LA (11%). </w:t>
      </w:r>
    </w:p>
    <w:p w14:paraId="562283F7" w14:textId="5CAA923F" w:rsidR="00904DB4" w:rsidRDefault="00904DB4" w:rsidP="00904DB4">
      <w:pPr>
        <w:pStyle w:val="ListParagraph"/>
        <w:numPr>
          <w:ilvl w:val="0"/>
          <w:numId w:val="10"/>
        </w:numPr>
        <w:ind w:left="425" w:hanging="357"/>
        <w:jc w:val="left"/>
      </w:pPr>
      <w:r w:rsidRPr="003D7A39">
        <w:t>On average, households were approved for 4.1 years before de-registration.</w:t>
      </w:r>
    </w:p>
    <w:p w14:paraId="2D1FFC62" w14:textId="77777777" w:rsidR="00B564FC" w:rsidRDefault="00B564FC" w:rsidP="003C3A1A">
      <w:pPr>
        <w:jc w:val="left"/>
      </w:pPr>
    </w:p>
    <w:p w14:paraId="6B987680" w14:textId="77777777" w:rsidR="00A623FF" w:rsidRDefault="00A623FF" w:rsidP="003C3A1A">
      <w:pPr>
        <w:jc w:val="left"/>
      </w:pPr>
    </w:p>
    <w:p w14:paraId="0DEB3445" w14:textId="77777777" w:rsidR="00A623FF" w:rsidRDefault="00A623FF" w:rsidP="003C3A1A">
      <w:pPr>
        <w:jc w:val="left"/>
      </w:pPr>
    </w:p>
    <w:p w14:paraId="1167C084" w14:textId="77777777" w:rsidR="00423261" w:rsidRDefault="00423261" w:rsidP="003C3A1A">
      <w:pPr>
        <w:jc w:val="left"/>
      </w:pPr>
    </w:p>
    <w:p w14:paraId="54513655" w14:textId="77777777" w:rsidR="00423261" w:rsidRDefault="00423261" w:rsidP="003C3A1A">
      <w:pPr>
        <w:jc w:val="left"/>
      </w:pPr>
    </w:p>
    <w:p w14:paraId="4A9E456D" w14:textId="77777777" w:rsidR="00423261" w:rsidRDefault="00423261" w:rsidP="003C3A1A">
      <w:pPr>
        <w:jc w:val="left"/>
      </w:pPr>
    </w:p>
    <w:p w14:paraId="34DA4BAD" w14:textId="77777777" w:rsidR="00423261" w:rsidRDefault="00423261" w:rsidP="003C3A1A">
      <w:pPr>
        <w:jc w:val="left"/>
      </w:pPr>
    </w:p>
    <w:p w14:paraId="359606F6" w14:textId="77777777" w:rsidR="00423261" w:rsidRDefault="00423261" w:rsidP="003C3A1A">
      <w:pPr>
        <w:jc w:val="left"/>
      </w:pPr>
    </w:p>
    <w:p w14:paraId="064123A4" w14:textId="77777777" w:rsidR="003C3A1A" w:rsidRPr="00FB2109" w:rsidRDefault="003C3A1A" w:rsidP="006874B7">
      <w:pPr>
        <w:pStyle w:val="Heading2"/>
      </w:pPr>
      <w:bookmarkStart w:id="39" w:name="_Toc408930052"/>
      <w:bookmarkStart w:id="40" w:name="_Toc436837604"/>
      <w:bookmarkStart w:id="41" w:name="_Toc470097320"/>
      <w:bookmarkStart w:id="42" w:name="_Toc509261121"/>
      <w:r w:rsidRPr="00FB2109">
        <w:t>Types of placements</w:t>
      </w:r>
      <w:bookmarkEnd w:id="39"/>
      <w:bookmarkEnd w:id="40"/>
      <w:bookmarkEnd w:id="41"/>
      <w:r w:rsidRPr="00FB2109">
        <w:rPr>
          <w:rStyle w:val="FootnoteReference"/>
          <w:color w:val="000000" w:themeColor="text1"/>
        </w:rPr>
        <w:footnoteReference w:id="19"/>
      </w:r>
      <w:bookmarkEnd w:id="42"/>
    </w:p>
    <w:p w14:paraId="0C00F691" w14:textId="09175079" w:rsidR="003C3A1A" w:rsidRDefault="003C3A1A" w:rsidP="0042575C">
      <w:pPr>
        <w:pStyle w:val="Table"/>
      </w:pPr>
      <w:bookmarkStart w:id="43" w:name="_Toc509495446"/>
      <w:r w:rsidRPr="00FB2109">
        <w:t xml:space="preserve">Table </w:t>
      </w:r>
      <w:r w:rsidR="000E7AC6" w:rsidRPr="00FB2109">
        <w:t>2</w:t>
      </w:r>
      <w:r w:rsidRPr="00FB2109">
        <w:t xml:space="preserve">: Types of placements offered by </w:t>
      </w:r>
      <w:r w:rsidR="002C79A9" w:rsidRPr="00FB2109">
        <w:t>mainstream</w:t>
      </w:r>
      <w:r w:rsidRPr="00FB2109">
        <w:t xml:space="preserve"> fostering households as their primary offer</w:t>
      </w:r>
      <w:r w:rsidR="00AE422A" w:rsidRPr="00A623FF">
        <w:rPr>
          <w:rStyle w:val="FootnoteReference"/>
          <w:color w:val="000000" w:themeColor="text1"/>
        </w:rPr>
        <w:footnoteReference w:id="20"/>
      </w:r>
      <w:bookmarkEnd w:id="43"/>
    </w:p>
    <w:p w14:paraId="4A54A096" w14:textId="77777777" w:rsidR="00A623FF" w:rsidRDefault="00A623FF" w:rsidP="0042575C">
      <w:pPr>
        <w:pStyle w:val="Table"/>
      </w:pPr>
    </w:p>
    <w:p w14:paraId="1BFFBDB1" w14:textId="77777777" w:rsidR="003C3A1A" w:rsidRPr="00FB2109" w:rsidRDefault="003C3A1A" w:rsidP="003C3A1A">
      <w:pPr>
        <w:jc w:val="center"/>
        <w:rPr>
          <w:color w:val="000000" w:themeColor="text1"/>
        </w:rPr>
      </w:pPr>
      <w:r w:rsidRPr="00FB2109">
        <w:rPr>
          <w:noProof/>
          <w:color w:val="000000" w:themeColor="text1"/>
        </w:rPr>
        <w:drawing>
          <wp:inline distT="0" distB="0" distL="0" distR="0" wp14:anchorId="519A9772" wp14:editId="18A3432C">
            <wp:extent cx="6189031" cy="1604513"/>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87769" cy="1630111"/>
                    </a:xfrm>
                    <a:prstGeom prst="rect">
                      <a:avLst/>
                    </a:prstGeom>
                    <a:noFill/>
                    <a:ln>
                      <a:noFill/>
                    </a:ln>
                  </pic:spPr>
                </pic:pic>
              </a:graphicData>
            </a:graphic>
          </wp:inline>
        </w:drawing>
      </w:r>
    </w:p>
    <w:p w14:paraId="3D1CFECD" w14:textId="77777777" w:rsidR="003C3A1A" w:rsidRPr="00FB2109" w:rsidRDefault="003C3A1A" w:rsidP="003C3A1A">
      <w:pPr>
        <w:rPr>
          <w:color w:val="000000" w:themeColor="text1"/>
        </w:rPr>
      </w:pPr>
    </w:p>
    <w:p w14:paraId="1C67CD99" w14:textId="788A438F" w:rsidR="003C3A1A" w:rsidRPr="00FB2109" w:rsidRDefault="003C3A1A" w:rsidP="003C3A1A">
      <w:pPr>
        <w:pStyle w:val="ListParagraph"/>
        <w:numPr>
          <w:ilvl w:val="0"/>
          <w:numId w:val="5"/>
        </w:numPr>
        <w:ind w:left="426"/>
        <w:jc w:val="left"/>
        <w:rPr>
          <w:color w:val="000000" w:themeColor="text1"/>
        </w:rPr>
      </w:pPr>
      <w:r w:rsidRPr="00FB2109">
        <w:rPr>
          <w:color w:val="000000" w:themeColor="text1"/>
        </w:rPr>
        <w:t xml:space="preserve">The proportions of all </w:t>
      </w:r>
      <w:r w:rsidR="00ED676D" w:rsidRPr="00FB2109">
        <w:rPr>
          <w:color w:val="000000" w:themeColor="text1"/>
        </w:rPr>
        <w:t>mainstream</w:t>
      </w:r>
      <w:r w:rsidRPr="00FB2109">
        <w:rPr>
          <w:color w:val="000000" w:themeColor="text1"/>
        </w:rPr>
        <w:t xml:space="preserve"> fostering households active at 31 March 2017 offering the various placement types as their primary designation were almost identical to the previous year.</w:t>
      </w:r>
    </w:p>
    <w:p w14:paraId="5547393A" w14:textId="6B4ECED1" w:rsidR="003C3A1A" w:rsidRPr="00FB2109" w:rsidRDefault="003C3A1A" w:rsidP="003C3A1A">
      <w:pPr>
        <w:pStyle w:val="ListParagraph"/>
        <w:numPr>
          <w:ilvl w:val="0"/>
          <w:numId w:val="5"/>
        </w:numPr>
        <w:ind w:left="426"/>
        <w:jc w:val="left"/>
        <w:rPr>
          <w:color w:val="000000" w:themeColor="text1"/>
        </w:rPr>
      </w:pPr>
      <w:r w:rsidRPr="00FB2109">
        <w:rPr>
          <w:color w:val="000000" w:themeColor="text1"/>
        </w:rPr>
        <w:t xml:space="preserve">Sixty nine percent of </w:t>
      </w:r>
      <w:r w:rsidR="00ED676D" w:rsidRPr="00FB2109">
        <w:rPr>
          <w:color w:val="000000" w:themeColor="text1"/>
        </w:rPr>
        <w:t>mainstream</w:t>
      </w:r>
      <w:r w:rsidRPr="00FB2109">
        <w:rPr>
          <w:color w:val="000000" w:themeColor="text1"/>
        </w:rPr>
        <w:t xml:space="preserve"> fostering households offering short term placements as a primary offer were in the LA sector (12,470), as were 52% of households offering either long term or permanent placements (7,925).</w:t>
      </w:r>
    </w:p>
    <w:p w14:paraId="286B4D53" w14:textId="60E1BE08" w:rsidR="003C3A1A" w:rsidRPr="00FB2109" w:rsidRDefault="003C3A1A" w:rsidP="003C3A1A">
      <w:pPr>
        <w:pStyle w:val="ListParagraph"/>
        <w:numPr>
          <w:ilvl w:val="0"/>
          <w:numId w:val="5"/>
        </w:numPr>
        <w:ind w:left="426"/>
        <w:jc w:val="left"/>
        <w:rPr>
          <w:color w:val="000000" w:themeColor="text1"/>
        </w:rPr>
      </w:pPr>
      <w:r w:rsidRPr="00FB2109">
        <w:rPr>
          <w:color w:val="000000" w:themeColor="text1"/>
        </w:rPr>
        <w:t xml:space="preserve">However, </w:t>
      </w:r>
      <w:r w:rsidR="00FC61B3">
        <w:rPr>
          <w:color w:val="000000" w:themeColor="text1"/>
        </w:rPr>
        <w:t>while</w:t>
      </w:r>
      <w:r w:rsidR="00FC61B3" w:rsidRPr="00FB2109">
        <w:rPr>
          <w:color w:val="000000" w:themeColor="text1"/>
        </w:rPr>
        <w:t xml:space="preserve"> </w:t>
      </w:r>
      <w:r w:rsidRPr="00FB2109">
        <w:rPr>
          <w:color w:val="000000" w:themeColor="text1"/>
        </w:rPr>
        <w:t>the proportion of those households offering short term placements as a primary offer being in the LA sector increased from the previous year (12,555 or 66% as at 31 March 2016), both the number and proportion of households offering either long</w:t>
      </w:r>
      <w:r w:rsidR="00FC61B3">
        <w:rPr>
          <w:color w:val="000000" w:themeColor="text1"/>
        </w:rPr>
        <w:t>-</w:t>
      </w:r>
      <w:r w:rsidRPr="00FB2109">
        <w:rPr>
          <w:color w:val="000000" w:themeColor="text1"/>
        </w:rPr>
        <w:t>term or permanent placements as a primary offer decreased (8,280 or 55% as at 31 March 2016).</w:t>
      </w:r>
    </w:p>
    <w:p w14:paraId="3782282B" w14:textId="49610A28" w:rsidR="003C3A1A" w:rsidRDefault="003C3A1A" w:rsidP="003C3A1A">
      <w:pPr>
        <w:pStyle w:val="ListParagraph"/>
        <w:numPr>
          <w:ilvl w:val="0"/>
          <w:numId w:val="5"/>
        </w:numPr>
        <w:ind w:left="426"/>
        <w:jc w:val="left"/>
        <w:rPr>
          <w:color w:val="000000" w:themeColor="text1"/>
        </w:rPr>
      </w:pPr>
      <w:r w:rsidRPr="00FB2109">
        <w:rPr>
          <w:color w:val="000000" w:themeColor="text1"/>
        </w:rPr>
        <w:t xml:space="preserve">Looking at the placement offer in each sector, 52% of all IFA </w:t>
      </w:r>
      <w:r w:rsidR="002C79A9" w:rsidRPr="00FB2109">
        <w:rPr>
          <w:color w:val="000000" w:themeColor="text1"/>
        </w:rPr>
        <w:t>mainstream</w:t>
      </w:r>
      <w:r w:rsidRPr="00FB2109">
        <w:rPr>
          <w:color w:val="000000" w:themeColor="text1"/>
        </w:rPr>
        <w:t xml:space="preserve"> households (an increase of four percentage points) offered permanent or long term placements in comparison with 37% of LA households (a decrease of one percentage point).</w:t>
      </w:r>
    </w:p>
    <w:p w14:paraId="798534A2" w14:textId="0261D19F" w:rsidR="003C3A1A" w:rsidRPr="005D5B64" w:rsidRDefault="003C3A1A" w:rsidP="005D5B64">
      <w:pPr>
        <w:pStyle w:val="ListParagraph"/>
        <w:numPr>
          <w:ilvl w:val="0"/>
          <w:numId w:val="5"/>
        </w:numPr>
        <w:ind w:left="426"/>
        <w:jc w:val="left"/>
        <w:rPr>
          <w:color w:val="000000" w:themeColor="text1"/>
        </w:rPr>
      </w:pPr>
      <w:r w:rsidRPr="005D5B64">
        <w:rPr>
          <w:color w:val="000000" w:themeColor="text1"/>
        </w:rPr>
        <w:t xml:space="preserve">Seventy nine percent of </w:t>
      </w:r>
      <w:r w:rsidR="002C79A9" w:rsidRPr="005D5B64">
        <w:rPr>
          <w:color w:val="000000" w:themeColor="text1"/>
        </w:rPr>
        <w:t>mainstream</w:t>
      </w:r>
      <w:r w:rsidRPr="005D5B64">
        <w:rPr>
          <w:color w:val="000000" w:themeColor="text1"/>
        </w:rPr>
        <w:t xml:space="preserve"> households </w:t>
      </w:r>
      <w:r w:rsidR="00FC61B3" w:rsidRPr="005D5B64">
        <w:rPr>
          <w:color w:val="000000" w:themeColor="text1"/>
        </w:rPr>
        <w:t xml:space="preserve">that </w:t>
      </w:r>
      <w:r w:rsidRPr="005D5B64">
        <w:rPr>
          <w:color w:val="000000" w:themeColor="text1"/>
        </w:rPr>
        <w:t xml:space="preserve">provided multi-dimensional </w:t>
      </w:r>
      <w:r w:rsidR="00E46039">
        <w:rPr>
          <w:color w:val="000000" w:themeColor="text1"/>
        </w:rPr>
        <w:t>foster care</w:t>
      </w:r>
      <w:r w:rsidR="00E46039" w:rsidRPr="005D5B64">
        <w:rPr>
          <w:color w:val="000000" w:themeColor="text1"/>
        </w:rPr>
        <w:t xml:space="preserve"> </w:t>
      </w:r>
      <w:r w:rsidRPr="005D5B64">
        <w:rPr>
          <w:color w:val="000000" w:themeColor="text1"/>
        </w:rPr>
        <w:t>placements as a primary offer were in the IFA sector (525).</w:t>
      </w:r>
    </w:p>
    <w:p w14:paraId="5E9EDC05" w14:textId="77777777" w:rsidR="0046000E" w:rsidRPr="00FB2109" w:rsidRDefault="0046000E" w:rsidP="00E87060">
      <w:pPr>
        <w:rPr>
          <w:color w:val="000000" w:themeColor="text1"/>
        </w:rPr>
      </w:pPr>
    </w:p>
    <w:p w14:paraId="083F6000" w14:textId="77777777" w:rsidR="00ED676D" w:rsidRPr="00062006" w:rsidRDefault="00ED676D" w:rsidP="006874B7">
      <w:pPr>
        <w:pStyle w:val="Heading2"/>
      </w:pPr>
      <w:bookmarkStart w:id="44" w:name="_Toc509261122"/>
      <w:r w:rsidRPr="00062006">
        <w:t>Family and friends households</w:t>
      </w:r>
      <w:r w:rsidRPr="00062006">
        <w:rPr>
          <w:rStyle w:val="FootnoteReference"/>
          <w:color w:val="000000" w:themeColor="text1"/>
        </w:rPr>
        <w:footnoteReference w:id="21"/>
      </w:r>
      <w:bookmarkEnd w:id="44"/>
      <w:r w:rsidRPr="00062006">
        <w:t xml:space="preserve"> </w:t>
      </w:r>
    </w:p>
    <w:p w14:paraId="7F52D97C" w14:textId="7DB379DB" w:rsidR="007D7A06" w:rsidRPr="00062006" w:rsidRDefault="00ED676D" w:rsidP="00ED676D">
      <w:pPr>
        <w:pStyle w:val="ListParagraph"/>
        <w:numPr>
          <w:ilvl w:val="0"/>
          <w:numId w:val="5"/>
        </w:numPr>
        <w:ind w:left="426"/>
        <w:jc w:val="left"/>
        <w:rPr>
          <w:color w:val="000000" w:themeColor="text1"/>
        </w:rPr>
      </w:pPr>
      <w:r w:rsidRPr="00062006">
        <w:rPr>
          <w:color w:val="000000" w:themeColor="text1"/>
        </w:rPr>
        <w:t>The agencies reported</w:t>
      </w:r>
      <w:r w:rsidR="00FC61B3">
        <w:rPr>
          <w:color w:val="000000" w:themeColor="text1"/>
        </w:rPr>
        <w:t xml:space="preserve"> that</w:t>
      </w:r>
      <w:r w:rsidRPr="00062006">
        <w:rPr>
          <w:color w:val="000000" w:themeColor="text1"/>
        </w:rPr>
        <w:t xml:space="preserve"> there were 6,615 family and friends households as at 31 March 2017</w:t>
      </w:r>
      <w:r w:rsidR="00FC61B3">
        <w:rPr>
          <w:color w:val="000000" w:themeColor="text1"/>
        </w:rPr>
        <w:t>:</w:t>
      </w:r>
      <w:r w:rsidRPr="00062006">
        <w:rPr>
          <w:color w:val="000000" w:themeColor="text1"/>
        </w:rPr>
        <w:t xml:space="preserve"> an increase of 11% from 5,985 on 31 March 2016. This was a larger proportional increase than in either of the previous two years. </w:t>
      </w:r>
    </w:p>
    <w:p w14:paraId="15800C7C" w14:textId="77777777" w:rsidR="00856E01" w:rsidRPr="00A135DF" w:rsidRDefault="00ED676D" w:rsidP="00856E01">
      <w:pPr>
        <w:pStyle w:val="ListParagraph"/>
        <w:numPr>
          <w:ilvl w:val="0"/>
          <w:numId w:val="11"/>
        </w:numPr>
        <w:ind w:left="426"/>
        <w:jc w:val="left"/>
        <w:rPr>
          <w:color w:val="000000" w:themeColor="text1"/>
        </w:rPr>
      </w:pPr>
      <w:r w:rsidRPr="00AD7B2A">
        <w:rPr>
          <w:color w:val="000000" w:themeColor="text1"/>
        </w:rPr>
        <w:t xml:space="preserve">These households made up 15% of all active fostering households as at 31 March 2017, compared </w:t>
      </w:r>
      <w:r w:rsidRPr="00A135DF">
        <w:rPr>
          <w:color w:val="000000" w:themeColor="text1"/>
        </w:rPr>
        <w:t>with 1</w:t>
      </w:r>
      <w:r w:rsidR="00856E01" w:rsidRPr="00A135DF">
        <w:rPr>
          <w:color w:val="000000" w:themeColor="text1"/>
        </w:rPr>
        <w:t>3</w:t>
      </w:r>
      <w:r w:rsidRPr="00A135DF">
        <w:rPr>
          <w:color w:val="000000" w:themeColor="text1"/>
        </w:rPr>
        <w:t xml:space="preserve">% last year. </w:t>
      </w:r>
      <w:r w:rsidR="00AD7B2A" w:rsidRPr="00A135DF">
        <w:rPr>
          <w:color w:val="000000" w:themeColor="text1"/>
        </w:rPr>
        <w:t>The use of family and friends households is in line with the expectations on LA to place children with family and friends wherever possible. The increase in their number has played a significant part in meeting the demands set by the rising number of children in care and a reducing pool of available mainstream foster placements.</w:t>
      </w:r>
    </w:p>
    <w:p w14:paraId="3640D1DD" w14:textId="6C6B9BAE" w:rsidR="00ED676D" w:rsidRPr="00A135DF" w:rsidRDefault="00ED676D" w:rsidP="00856E01">
      <w:pPr>
        <w:pStyle w:val="ListParagraph"/>
        <w:numPr>
          <w:ilvl w:val="0"/>
          <w:numId w:val="11"/>
        </w:numPr>
        <w:ind w:left="426"/>
        <w:jc w:val="left"/>
        <w:rPr>
          <w:color w:val="000000" w:themeColor="text1"/>
        </w:rPr>
      </w:pPr>
      <w:r w:rsidRPr="00A135DF">
        <w:rPr>
          <w:color w:val="000000" w:themeColor="text1"/>
        </w:rPr>
        <w:t>Family and friends households were made up of 10,650 foster carers, 84% of whom were White and 8% of whom were from minority ethnic groups.</w:t>
      </w:r>
      <w:r w:rsidR="00A73614" w:rsidRPr="00A135DF">
        <w:rPr>
          <w:rStyle w:val="FootnoteReference"/>
          <w:color w:val="000000" w:themeColor="text1"/>
        </w:rPr>
        <w:footnoteReference w:id="22"/>
      </w:r>
      <w:r w:rsidRPr="00A135DF">
        <w:rPr>
          <w:color w:val="000000" w:themeColor="text1"/>
        </w:rPr>
        <w:t xml:space="preserve"> </w:t>
      </w:r>
      <w:r w:rsidR="007D7A06" w:rsidRPr="00A135DF">
        <w:rPr>
          <w:color w:val="000000" w:themeColor="text1"/>
        </w:rPr>
        <w:t>T</w:t>
      </w:r>
      <w:r w:rsidRPr="00A135DF">
        <w:rPr>
          <w:color w:val="000000" w:themeColor="text1"/>
        </w:rPr>
        <w:t>hese proportions were consistent with last year.</w:t>
      </w:r>
    </w:p>
    <w:p w14:paraId="6FBFCEDF" w14:textId="3E5FD66C" w:rsidR="00ED676D" w:rsidRPr="00062006" w:rsidRDefault="00ED676D" w:rsidP="00ED676D">
      <w:pPr>
        <w:pStyle w:val="ListParagraph"/>
        <w:numPr>
          <w:ilvl w:val="0"/>
          <w:numId w:val="11"/>
        </w:numPr>
        <w:ind w:left="426"/>
        <w:jc w:val="left"/>
        <w:rPr>
          <w:color w:val="000000" w:themeColor="text1"/>
          <w:lang w:eastAsia="en-US"/>
        </w:rPr>
      </w:pPr>
      <w:r w:rsidRPr="00A135DF">
        <w:rPr>
          <w:color w:val="000000" w:themeColor="text1"/>
        </w:rPr>
        <w:t>The agencies reported 4,775 households approved</w:t>
      </w:r>
      <w:r w:rsidRPr="00062006">
        <w:rPr>
          <w:color w:val="000000" w:themeColor="text1"/>
        </w:rPr>
        <w:t xml:space="preserve"> in 2016</w:t>
      </w:r>
      <w:r w:rsidR="00FC61B3">
        <w:t>–</w:t>
      </w:r>
      <w:r w:rsidRPr="00062006">
        <w:rPr>
          <w:color w:val="000000" w:themeColor="text1"/>
        </w:rPr>
        <w:t>17. This was a 44% increase on 2015</w:t>
      </w:r>
      <w:r w:rsidR="00FC61B3">
        <w:t>–</w:t>
      </w:r>
      <w:r w:rsidRPr="00062006">
        <w:rPr>
          <w:color w:val="000000" w:themeColor="text1"/>
        </w:rPr>
        <w:t>16 (3,325 households approved), which itself was an increase of 42% on 2014</w:t>
      </w:r>
      <w:r w:rsidR="00FC61B3">
        <w:t>–</w:t>
      </w:r>
      <w:r w:rsidRPr="00062006">
        <w:rPr>
          <w:color w:val="000000" w:themeColor="text1"/>
        </w:rPr>
        <w:t>15 (2,335 households approved).</w:t>
      </w:r>
    </w:p>
    <w:p w14:paraId="2C702BB6" w14:textId="77777777" w:rsidR="00ED676D" w:rsidRDefault="00ED676D" w:rsidP="00ED676D">
      <w:pPr>
        <w:rPr>
          <w:color w:val="000000" w:themeColor="text1"/>
        </w:rPr>
      </w:pPr>
    </w:p>
    <w:p w14:paraId="6649B1C4" w14:textId="5B6CDA23" w:rsidR="00ED676D" w:rsidRPr="00062006" w:rsidRDefault="00ED676D" w:rsidP="00ED676D">
      <w:pPr>
        <w:pStyle w:val="Heading2"/>
        <w:rPr>
          <w:color w:val="000000" w:themeColor="text1"/>
        </w:rPr>
      </w:pPr>
      <w:bookmarkStart w:id="45" w:name="_Toc470097333"/>
      <w:bookmarkStart w:id="46" w:name="_Toc509261123"/>
      <w:r w:rsidRPr="00062006">
        <w:rPr>
          <w:color w:val="000000" w:themeColor="text1"/>
        </w:rPr>
        <w:t>Short break households</w:t>
      </w:r>
      <w:bookmarkEnd w:id="45"/>
      <w:bookmarkEnd w:id="46"/>
    </w:p>
    <w:p w14:paraId="3435A570" w14:textId="7DB1B503" w:rsidR="00ED676D" w:rsidRPr="00062006" w:rsidRDefault="00ED676D" w:rsidP="00ED676D">
      <w:pPr>
        <w:pStyle w:val="ListParagraph"/>
        <w:numPr>
          <w:ilvl w:val="0"/>
          <w:numId w:val="12"/>
        </w:numPr>
        <w:ind w:left="426"/>
        <w:jc w:val="left"/>
        <w:rPr>
          <w:color w:val="000000" w:themeColor="text1"/>
        </w:rPr>
      </w:pPr>
      <w:r w:rsidRPr="00062006">
        <w:rPr>
          <w:color w:val="000000" w:themeColor="text1"/>
        </w:rPr>
        <w:t xml:space="preserve">The agencies reported a 31% reduction in households </w:t>
      </w:r>
      <w:r w:rsidR="00FC61B3">
        <w:rPr>
          <w:color w:val="000000" w:themeColor="text1"/>
        </w:rPr>
        <w:t>that</w:t>
      </w:r>
      <w:r w:rsidR="00FC61B3" w:rsidRPr="00062006">
        <w:rPr>
          <w:color w:val="000000" w:themeColor="text1"/>
        </w:rPr>
        <w:t xml:space="preserve"> </w:t>
      </w:r>
      <w:r w:rsidRPr="00062006">
        <w:rPr>
          <w:color w:val="000000" w:themeColor="text1"/>
        </w:rPr>
        <w:t>were approved to provide short breaks only, from 1,850 last year to 1,270 as at 31 March 2017.</w:t>
      </w:r>
      <w:r w:rsidR="000E2038" w:rsidRPr="00062006">
        <w:rPr>
          <w:color w:val="000000" w:themeColor="text1"/>
        </w:rPr>
        <w:t xml:space="preserve"> Despite the overall decrease in short break households, the number registered with IFAs has increased.</w:t>
      </w:r>
    </w:p>
    <w:p w14:paraId="09188F7C" w14:textId="257A34BE" w:rsidR="00ED676D" w:rsidRPr="00062006" w:rsidRDefault="00ED676D" w:rsidP="00ED676D">
      <w:pPr>
        <w:pStyle w:val="ListParagraph"/>
        <w:numPr>
          <w:ilvl w:val="0"/>
          <w:numId w:val="12"/>
        </w:numPr>
        <w:ind w:left="426"/>
        <w:jc w:val="left"/>
        <w:rPr>
          <w:color w:val="000000" w:themeColor="text1"/>
        </w:rPr>
      </w:pPr>
      <w:r w:rsidRPr="00062006">
        <w:rPr>
          <w:color w:val="000000" w:themeColor="text1"/>
        </w:rPr>
        <w:t>The majority of short breaks households (79% or 1,005) were in the LA sector with 21% (265) in IFAs</w:t>
      </w:r>
      <w:r w:rsidR="00FC61B3">
        <w:rPr>
          <w:color w:val="000000" w:themeColor="text1"/>
        </w:rPr>
        <w:t>:</w:t>
      </w:r>
      <w:r w:rsidRPr="00062006">
        <w:rPr>
          <w:color w:val="000000" w:themeColor="text1"/>
        </w:rPr>
        <w:t xml:space="preserve"> a change from the last year when just 11% of short breaks households were registered with IFAs.</w:t>
      </w:r>
    </w:p>
    <w:p w14:paraId="0E453AB4" w14:textId="70F6064C" w:rsidR="00ED676D" w:rsidRDefault="00ED676D" w:rsidP="00ED676D">
      <w:pPr>
        <w:pStyle w:val="ListParagraph"/>
        <w:numPr>
          <w:ilvl w:val="0"/>
          <w:numId w:val="12"/>
        </w:numPr>
        <w:ind w:left="426"/>
        <w:jc w:val="left"/>
        <w:rPr>
          <w:color w:val="000000" w:themeColor="text1"/>
        </w:rPr>
      </w:pPr>
      <w:r w:rsidRPr="00062006">
        <w:rPr>
          <w:color w:val="000000" w:themeColor="text1"/>
        </w:rPr>
        <w:t>The number of short breaks carers decreased for the fourth consecutive year, with a decrease of almost a third from last year representing the largest reduction in that time period (from 2,795 in 2016 to 1,935 in 2017).</w:t>
      </w:r>
    </w:p>
    <w:p w14:paraId="19316FFE" w14:textId="0C0155FB" w:rsidR="00ED676D" w:rsidRPr="005D5B64" w:rsidRDefault="00ED676D" w:rsidP="005D5B64">
      <w:pPr>
        <w:pStyle w:val="ListParagraph"/>
        <w:numPr>
          <w:ilvl w:val="0"/>
          <w:numId w:val="12"/>
        </w:numPr>
        <w:ind w:left="426"/>
        <w:jc w:val="left"/>
        <w:rPr>
          <w:color w:val="000000" w:themeColor="text1"/>
        </w:rPr>
      </w:pPr>
      <w:r w:rsidRPr="005D5B64">
        <w:rPr>
          <w:color w:val="000000" w:themeColor="text1"/>
        </w:rPr>
        <w:t>Of the short break foster carers 90% were White</w:t>
      </w:r>
      <w:r w:rsidR="00E87C79" w:rsidRPr="005D5B64">
        <w:rPr>
          <w:color w:val="000000" w:themeColor="text1"/>
        </w:rPr>
        <w:t xml:space="preserve"> and</w:t>
      </w:r>
      <w:r w:rsidRPr="005D5B64">
        <w:rPr>
          <w:color w:val="000000" w:themeColor="text1"/>
        </w:rPr>
        <w:t xml:space="preserve"> 9% were from minority ethnic groups</w:t>
      </w:r>
      <w:r w:rsidR="00A73614" w:rsidRPr="005D5B64">
        <w:rPr>
          <w:color w:val="000000" w:themeColor="text1"/>
        </w:rPr>
        <w:t>.</w:t>
      </w:r>
      <w:r w:rsidR="00A73614" w:rsidRPr="00062006">
        <w:rPr>
          <w:rStyle w:val="FootnoteReference"/>
          <w:color w:val="000000" w:themeColor="text1"/>
        </w:rPr>
        <w:footnoteReference w:id="23"/>
      </w:r>
      <w:r w:rsidRPr="005D5B64">
        <w:rPr>
          <w:color w:val="000000" w:themeColor="text1"/>
        </w:rPr>
        <w:t xml:space="preserve"> Similarly, o</w:t>
      </w:r>
      <w:r w:rsidRPr="005D5B64">
        <w:rPr>
          <w:color w:val="000000" w:themeColor="text1"/>
          <w:lang w:eastAsia="en-US"/>
        </w:rPr>
        <w:t>f newly approved carers in 2016</w:t>
      </w:r>
      <w:r w:rsidR="00FC61B3">
        <w:t>–</w:t>
      </w:r>
      <w:r w:rsidRPr="005D5B64">
        <w:rPr>
          <w:color w:val="000000" w:themeColor="text1"/>
          <w:lang w:eastAsia="en-US"/>
        </w:rPr>
        <w:t>17, 90% were White and 10% were from minority ethnic groups.</w:t>
      </w:r>
    </w:p>
    <w:p w14:paraId="0B599F42" w14:textId="77777777" w:rsidR="00ED676D" w:rsidRDefault="00ED676D" w:rsidP="00E87060">
      <w:pPr>
        <w:rPr>
          <w:color w:val="000000" w:themeColor="text1"/>
        </w:rPr>
      </w:pPr>
    </w:p>
    <w:p w14:paraId="3484D261" w14:textId="77777777" w:rsidR="00B564FC" w:rsidRPr="00062006" w:rsidRDefault="00B564FC" w:rsidP="00E87060">
      <w:pPr>
        <w:rPr>
          <w:color w:val="000000" w:themeColor="text1"/>
        </w:rPr>
      </w:pPr>
    </w:p>
    <w:p w14:paraId="6B2042F9" w14:textId="781A8BF0" w:rsidR="00F502DF" w:rsidRPr="007E672B" w:rsidRDefault="00F502DF" w:rsidP="00F502DF">
      <w:pPr>
        <w:pStyle w:val="Heading2"/>
        <w:rPr>
          <w:color w:val="000000" w:themeColor="text1"/>
        </w:rPr>
      </w:pPr>
      <w:bookmarkStart w:id="47" w:name="_Toc408930055"/>
      <w:bookmarkStart w:id="48" w:name="_Toc436837608"/>
      <w:bookmarkStart w:id="49" w:name="_Toc470097323"/>
      <w:bookmarkStart w:id="50" w:name="_Toc509261124"/>
      <w:bookmarkEnd w:id="21"/>
      <w:bookmarkEnd w:id="22"/>
      <w:r w:rsidRPr="007E672B">
        <w:rPr>
          <w:color w:val="000000" w:themeColor="text1"/>
        </w:rPr>
        <w:t>Foster carer</w:t>
      </w:r>
      <w:bookmarkEnd w:id="47"/>
      <w:bookmarkEnd w:id="48"/>
      <w:bookmarkEnd w:id="49"/>
      <w:r w:rsidR="006874B7">
        <w:rPr>
          <w:color w:val="000000" w:themeColor="text1"/>
        </w:rPr>
        <w:t>s</w:t>
      </w:r>
      <w:bookmarkEnd w:id="50"/>
      <w:r w:rsidRPr="007E672B">
        <w:rPr>
          <w:color w:val="000000" w:themeColor="text1"/>
        </w:rPr>
        <w:t xml:space="preserve"> </w:t>
      </w:r>
    </w:p>
    <w:p w14:paraId="41D46A88" w14:textId="29FBC7E6" w:rsidR="000E2038" w:rsidRPr="007E672B" w:rsidRDefault="000E2038" w:rsidP="00F502DF">
      <w:pPr>
        <w:jc w:val="left"/>
        <w:rPr>
          <w:color w:val="000000" w:themeColor="text1"/>
          <w:u w:val="single"/>
        </w:rPr>
      </w:pPr>
      <w:r w:rsidRPr="007E672B">
        <w:rPr>
          <w:color w:val="000000" w:themeColor="text1"/>
          <w:u w:val="single"/>
        </w:rPr>
        <w:t>Section overview</w:t>
      </w:r>
    </w:p>
    <w:p w14:paraId="0D07B229" w14:textId="2A4C242D" w:rsidR="000E2038" w:rsidRPr="007E672B" w:rsidRDefault="00103F06" w:rsidP="00F502DF">
      <w:pPr>
        <w:jc w:val="left"/>
        <w:rPr>
          <w:color w:val="000000" w:themeColor="text1"/>
        </w:rPr>
      </w:pPr>
      <w:r w:rsidRPr="007E672B">
        <w:rPr>
          <w:color w:val="000000" w:themeColor="text1"/>
        </w:rPr>
        <w:t xml:space="preserve">As with households, the number of </w:t>
      </w:r>
      <w:r w:rsidR="00DF6DCB" w:rsidRPr="007E672B">
        <w:rPr>
          <w:color w:val="000000" w:themeColor="text1"/>
        </w:rPr>
        <w:t xml:space="preserve">mainstream </w:t>
      </w:r>
      <w:r w:rsidRPr="007E672B">
        <w:rPr>
          <w:color w:val="000000" w:themeColor="text1"/>
        </w:rPr>
        <w:t xml:space="preserve">foster carers continued its </w:t>
      </w:r>
      <w:r w:rsidR="00E87C79" w:rsidRPr="007E672B">
        <w:rPr>
          <w:color w:val="000000" w:themeColor="text1"/>
        </w:rPr>
        <w:t>long</w:t>
      </w:r>
      <w:r w:rsidR="00E87C79">
        <w:rPr>
          <w:color w:val="000000" w:themeColor="text1"/>
        </w:rPr>
        <w:t>-</w:t>
      </w:r>
      <w:r w:rsidR="00DF6DCB" w:rsidRPr="007E672B">
        <w:rPr>
          <w:color w:val="000000" w:themeColor="text1"/>
        </w:rPr>
        <w:t>term decline this year. In fact</w:t>
      </w:r>
      <w:r w:rsidR="00E87C79">
        <w:rPr>
          <w:color w:val="000000" w:themeColor="text1"/>
        </w:rPr>
        <w:t>,</w:t>
      </w:r>
      <w:r w:rsidR="00DF6DCB" w:rsidRPr="007E672B">
        <w:rPr>
          <w:color w:val="000000" w:themeColor="text1"/>
        </w:rPr>
        <w:t xml:space="preserve"> the numbers decreased by a greater proportion than in previous years.</w:t>
      </w:r>
      <w:r w:rsidRPr="007E672B">
        <w:rPr>
          <w:color w:val="000000" w:themeColor="text1"/>
        </w:rPr>
        <w:t xml:space="preserve"> </w:t>
      </w:r>
    </w:p>
    <w:p w14:paraId="5CA49018" w14:textId="77777777" w:rsidR="00940D0A" w:rsidRPr="007E672B" w:rsidRDefault="00940D0A" w:rsidP="00F502DF">
      <w:pPr>
        <w:jc w:val="left"/>
        <w:rPr>
          <w:color w:val="000000" w:themeColor="text1"/>
        </w:rPr>
      </w:pPr>
    </w:p>
    <w:p w14:paraId="3038CF26" w14:textId="4801D89D" w:rsidR="00940D0A" w:rsidRPr="007E672B" w:rsidRDefault="00940D0A" w:rsidP="00F502DF">
      <w:pPr>
        <w:jc w:val="left"/>
        <w:rPr>
          <w:color w:val="000000" w:themeColor="text1"/>
        </w:rPr>
      </w:pPr>
      <w:r w:rsidRPr="007E672B">
        <w:rPr>
          <w:color w:val="000000" w:themeColor="text1"/>
        </w:rPr>
        <w:t xml:space="preserve">The ethnicity data shows that there continues to be a disparity between the proportions of foster carers who are from minority ethnic backgrounds and the proportion of fostered children who are from minority ethnic backgrounds. </w:t>
      </w:r>
      <w:r w:rsidR="00E87C79">
        <w:rPr>
          <w:color w:val="000000" w:themeColor="text1"/>
        </w:rPr>
        <w:t>A</w:t>
      </w:r>
      <w:r w:rsidRPr="007E672B">
        <w:rPr>
          <w:color w:val="000000" w:themeColor="text1"/>
        </w:rPr>
        <w:t xml:space="preserve"> lower proportion of carers than children and young people </w:t>
      </w:r>
      <w:r w:rsidR="00E87C79">
        <w:rPr>
          <w:color w:val="000000" w:themeColor="text1"/>
        </w:rPr>
        <w:t xml:space="preserve">are </w:t>
      </w:r>
      <w:r w:rsidRPr="007E672B">
        <w:rPr>
          <w:color w:val="000000" w:themeColor="text1"/>
        </w:rPr>
        <w:t xml:space="preserve">from minority ethnic backgrounds. </w:t>
      </w:r>
      <w:r w:rsidR="00E87C79">
        <w:rPr>
          <w:color w:val="000000" w:themeColor="text1"/>
        </w:rPr>
        <w:t>T</w:t>
      </w:r>
      <w:r w:rsidR="00777103" w:rsidRPr="007E672B">
        <w:rPr>
          <w:color w:val="000000" w:themeColor="text1"/>
        </w:rPr>
        <w:t xml:space="preserve">he proportion of newly approved carers from minority ethnic backgrounds this year was higher than the proportion of already approved carers from these backgrounds, which is an encouraging sign </w:t>
      </w:r>
      <w:r w:rsidR="00F70CCC" w:rsidRPr="007E672B">
        <w:rPr>
          <w:color w:val="000000" w:themeColor="text1"/>
        </w:rPr>
        <w:t>that</w:t>
      </w:r>
      <w:r w:rsidR="00777103" w:rsidRPr="007E672B">
        <w:rPr>
          <w:color w:val="000000" w:themeColor="text1"/>
        </w:rPr>
        <w:t xml:space="preserve"> agencies </w:t>
      </w:r>
      <w:r w:rsidR="00F70CCC" w:rsidRPr="007E672B">
        <w:rPr>
          <w:color w:val="000000" w:themeColor="text1"/>
        </w:rPr>
        <w:t>have had some success in</w:t>
      </w:r>
      <w:r w:rsidR="00777103" w:rsidRPr="007E672B">
        <w:rPr>
          <w:color w:val="000000" w:themeColor="text1"/>
        </w:rPr>
        <w:t xml:space="preserve"> </w:t>
      </w:r>
      <w:r w:rsidR="00E87C79" w:rsidRPr="00E87C79">
        <w:rPr>
          <w:color w:val="000000" w:themeColor="text1"/>
        </w:rPr>
        <w:t>recruiting from a wider range of backgrounds</w:t>
      </w:r>
      <w:r w:rsidR="00777103" w:rsidRPr="007E672B">
        <w:rPr>
          <w:color w:val="000000" w:themeColor="text1"/>
        </w:rPr>
        <w:t>.</w:t>
      </w:r>
      <w:r w:rsidRPr="007E672B">
        <w:rPr>
          <w:color w:val="000000" w:themeColor="text1"/>
        </w:rPr>
        <w:t xml:space="preserve">      </w:t>
      </w:r>
    </w:p>
    <w:p w14:paraId="7B4A7EB2" w14:textId="77777777" w:rsidR="000E2038" w:rsidRPr="007E672B" w:rsidRDefault="000E2038" w:rsidP="00F502DF">
      <w:pPr>
        <w:jc w:val="left"/>
        <w:rPr>
          <w:color w:val="000000" w:themeColor="text1"/>
        </w:rPr>
      </w:pPr>
    </w:p>
    <w:p w14:paraId="0A840F56" w14:textId="77777777" w:rsidR="00F502DF" w:rsidRPr="007E672B" w:rsidRDefault="00F502DF" w:rsidP="00F502DF">
      <w:pPr>
        <w:pStyle w:val="Heading3"/>
        <w:rPr>
          <w:color w:val="000000" w:themeColor="text1"/>
        </w:rPr>
      </w:pPr>
      <w:bookmarkStart w:id="51" w:name="_Toc436837609"/>
      <w:bookmarkStart w:id="52" w:name="_Toc470097324"/>
      <w:bookmarkStart w:id="53" w:name="_Toc509261125"/>
      <w:bookmarkStart w:id="54" w:name="_Toc408930056"/>
      <w:r w:rsidRPr="007E672B">
        <w:rPr>
          <w:color w:val="000000" w:themeColor="text1"/>
        </w:rPr>
        <w:t>Approved foster carers</w:t>
      </w:r>
      <w:bookmarkEnd w:id="51"/>
      <w:bookmarkEnd w:id="52"/>
      <w:bookmarkEnd w:id="53"/>
    </w:p>
    <w:p w14:paraId="674837B3" w14:textId="5E4626B2" w:rsidR="00B9288B" w:rsidRPr="00050EE8" w:rsidRDefault="00050EE8" w:rsidP="00F502DF">
      <w:pPr>
        <w:pStyle w:val="ListParagraph"/>
        <w:numPr>
          <w:ilvl w:val="0"/>
          <w:numId w:val="7"/>
        </w:numPr>
        <w:ind w:left="426"/>
      </w:pPr>
      <w:r w:rsidRPr="007E672B">
        <w:rPr>
          <w:color w:val="000000" w:themeColor="text1"/>
        </w:rPr>
        <w:t xml:space="preserve">The number of approved </w:t>
      </w:r>
      <w:r w:rsidR="00103F06" w:rsidRPr="007E672B">
        <w:rPr>
          <w:color w:val="000000" w:themeColor="text1"/>
        </w:rPr>
        <w:t>mainstream</w:t>
      </w:r>
      <w:r w:rsidRPr="007E672B">
        <w:rPr>
          <w:color w:val="000000" w:themeColor="text1"/>
        </w:rPr>
        <w:t xml:space="preserve"> </w:t>
      </w:r>
      <w:r w:rsidRPr="00050EE8">
        <w:t>foster carers continued</w:t>
      </w:r>
      <w:r w:rsidR="00084D2E" w:rsidRPr="00050EE8">
        <w:t xml:space="preserve"> the trend of</w:t>
      </w:r>
      <w:r w:rsidR="00F502DF" w:rsidRPr="00050EE8">
        <w:t xml:space="preserve"> the previous </w:t>
      </w:r>
      <w:r w:rsidR="00084D2E" w:rsidRPr="00050EE8">
        <w:t xml:space="preserve">two </w:t>
      </w:r>
      <w:r w:rsidR="00F502DF" w:rsidRPr="00050EE8">
        <w:t>year</w:t>
      </w:r>
      <w:r w:rsidR="00084D2E" w:rsidRPr="00050EE8">
        <w:t>s</w:t>
      </w:r>
      <w:r w:rsidRPr="00050EE8">
        <w:t xml:space="preserve"> and </w:t>
      </w:r>
      <w:r w:rsidR="00F502DF" w:rsidRPr="00050EE8">
        <w:t>decreased</w:t>
      </w:r>
      <w:r w:rsidRPr="00050EE8">
        <w:t xml:space="preserve"> compared </w:t>
      </w:r>
      <w:r w:rsidR="00FC61B3">
        <w:t>with</w:t>
      </w:r>
      <w:r w:rsidR="00FC61B3" w:rsidRPr="00050EE8">
        <w:t xml:space="preserve"> </w:t>
      </w:r>
      <w:r w:rsidRPr="00050EE8">
        <w:t xml:space="preserve">the previous year. </w:t>
      </w:r>
      <w:r w:rsidR="008744A8">
        <w:t xml:space="preserve">The number decreased </w:t>
      </w:r>
      <w:r w:rsidRPr="00050EE8">
        <w:t>from 62,365 at 31 March 2016 to 61,415 at 31 March 2017</w:t>
      </w:r>
      <w:r w:rsidR="008744A8">
        <w:t>.</w:t>
      </w:r>
    </w:p>
    <w:p w14:paraId="074D10EA" w14:textId="2B658A68" w:rsidR="00F502DF" w:rsidRPr="00A135DF" w:rsidRDefault="00B9288B" w:rsidP="00F502DF">
      <w:pPr>
        <w:pStyle w:val="ListParagraph"/>
        <w:numPr>
          <w:ilvl w:val="0"/>
          <w:numId w:val="7"/>
        </w:numPr>
        <w:ind w:left="426"/>
        <w:rPr>
          <w:color w:val="7030A0"/>
        </w:rPr>
      </w:pPr>
      <w:r w:rsidRPr="00050EE8">
        <w:t xml:space="preserve">The </w:t>
      </w:r>
      <w:r w:rsidRPr="00A135DF">
        <w:t xml:space="preserve">number of foster carers in family and friends households, however, rose markedly from </w:t>
      </w:r>
      <w:r w:rsidR="008B1537" w:rsidRPr="00A135DF">
        <w:t>9</w:t>
      </w:r>
      <w:r w:rsidRPr="00A135DF">
        <w:t>,</w:t>
      </w:r>
      <w:r w:rsidR="00856E01" w:rsidRPr="00A135DF">
        <w:t>52</w:t>
      </w:r>
      <w:r w:rsidR="008B1537" w:rsidRPr="00A135DF">
        <w:t>5</w:t>
      </w:r>
      <w:r w:rsidRPr="00A135DF">
        <w:t xml:space="preserve"> to 10,</w:t>
      </w:r>
      <w:r w:rsidR="00050EE8" w:rsidRPr="00A135DF">
        <w:t>650</w:t>
      </w:r>
      <w:r w:rsidRPr="00A135DF">
        <w:t xml:space="preserve"> (</w:t>
      </w:r>
      <w:r w:rsidR="008B1537" w:rsidRPr="00A135DF">
        <w:t>1</w:t>
      </w:r>
      <w:r w:rsidR="00050EE8" w:rsidRPr="00A135DF">
        <w:t>2</w:t>
      </w:r>
      <w:r w:rsidRPr="00A135DF">
        <w:t>%)</w:t>
      </w:r>
      <w:r w:rsidR="00050EE8" w:rsidRPr="00A135DF">
        <w:t>.</w:t>
      </w:r>
    </w:p>
    <w:p w14:paraId="328E9D1A" w14:textId="44475EFE" w:rsidR="00F502DF" w:rsidRPr="007E672B" w:rsidRDefault="00084D2E" w:rsidP="00B9288B">
      <w:pPr>
        <w:pStyle w:val="ListParagraph"/>
        <w:numPr>
          <w:ilvl w:val="0"/>
          <w:numId w:val="7"/>
        </w:numPr>
        <w:ind w:left="426"/>
        <w:jc w:val="left"/>
        <w:rPr>
          <w:color w:val="000000" w:themeColor="text1"/>
        </w:rPr>
      </w:pPr>
      <w:r w:rsidRPr="00A135DF">
        <w:t>The number of foster carers</w:t>
      </w:r>
      <w:r w:rsidRPr="007A3655">
        <w:t xml:space="preserve"> providing </w:t>
      </w:r>
      <w:r w:rsidRPr="007E672B">
        <w:rPr>
          <w:color w:val="000000" w:themeColor="text1"/>
        </w:rPr>
        <w:t>short breaks</w:t>
      </w:r>
      <w:r w:rsidR="00C86A97" w:rsidRPr="007E672B">
        <w:rPr>
          <w:color w:val="000000" w:themeColor="text1"/>
        </w:rPr>
        <w:t>-</w:t>
      </w:r>
      <w:r w:rsidRPr="007E672B">
        <w:rPr>
          <w:color w:val="000000" w:themeColor="text1"/>
        </w:rPr>
        <w:t>only has been in decline since at least 31 March 2013, and this year saw the largest reduction (3</w:t>
      </w:r>
      <w:r w:rsidR="00050EE8" w:rsidRPr="007E672B">
        <w:rPr>
          <w:color w:val="000000" w:themeColor="text1"/>
        </w:rPr>
        <w:t>1</w:t>
      </w:r>
      <w:r w:rsidRPr="007E672B">
        <w:rPr>
          <w:color w:val="000000" w:themeColor="text1"/>
        </w:rPr>
        <w:t xml:space="preserve">%) </w:t>
      </w:r>
      <w:r w:rsidR="00B9288B" w:rsidRPr="007E672B">
        <w:rPr>
          <w:color w:val="000000" w:themeColor="text1"/>
        </w:rPr>
        <w:t>from t</w:t>
      </w:r>
      <w:r w:rsidR="00050EE8" w:rsidRPr="007E672B">
        <w:rPr>
          <w:color w:val="000000" w:themeColor="text1"/>
        </w:rPr>
        <w:t>he previous year (2,795 to 1,935</w:t>
      </w:r>
      <w:r w:rsidR="00B9288B" w:rsidRPr="007E672B">
        <w:rPr>
          <w:color w:val="000000" w:themeColor="text1"/>
        </w:rPr>
        <w:t xml:space="preserve">). This </w:t>
      </w:r>
      <w:r w:rsidR="003F3E68" w:rsidRPr="007E672B">
        <w:rPr>
          <w:color w:val="000000" w:themeColor="text1"/>
        </w:rPr>
        <w:t>is due to changes in</w:t>
      </w:r>
      <w:r w:rsidR="00B9288B" w:rsidRPr="007E672B">
        <w:rPr>
          <w:color w:val="000000" w:themeColor="text1"/>
        </w:rPr>
        <w:t xml:space="preserve"> the</w:t>
      </w:r>
      <w:r w:rsidR="00902496">
        <w:rPr>
          <w:color w:val="000000" w:themeColor="text1"/>
        </w:rPr>
        <w:t xml:space="preserve"> number of carers in the</w:t>
      </w:r>
      <w:r w:rsidR="00B9288B" w:rsidRPr="007E672B">
        <w:rPr>
          <w:color w:val="000000" w:themeColor="text1"/>
        </w:rPr>
        <w:t xml:space="preserve"> LA sector </w:t>
      </w:r>
      <w:r w:rsidR="00FC61B3">
        <w:rPr>
          <w:color w:val="000000" w:themeColor="text1"/>
        </w:rPr>
        <w:t>that</w:t>
      </w:r>
      <w:r w:rsidR="00FC61B3" w:rsidRPr="007E672B">
        <w:rPr>
          <w:color w:val="000000" w:themeColor="text1"/>
        </w:rPr>
        <w:t xml:space="preserve"> </w:t>
      </w:r>
      <w:r w:rsidR="00B9288B" w:rsidRPr="007E672B">
        <w:rPr>
          <w:color w:val="000000" w:themeColor="text1"/>
        </w:rPr>
        <w:t>reduced from 2,500 to 1,5</w:t>
      </w:r>
      <w:r w:rsidR="007A3655" w:rsidRPr="007E672B">
        <w:rPr>
          <w:color w:val="000000" w:themeColor="text1"/>
        </w:rPr>
        <w:t>30</w:t>
      </w:r>
      <w:r w:rsidR="00B9288B" w:rsidRPr="007E672B">
        <w:rPr>
          <w:color w:val="000000" w:themeColor="text1"/>
        </w:rPr>
        <w:t xml:space="preserve"> (3</w:t>
      </w:r>
      <w:r w:rsidR="007A3655" w:rsidRPr="007E672B">
        <w:rPr>
          <w:color w:val="000000" w:themeColor="text1"/>
        </w:rPr>
        <w:t>9</w:t>
      </w:r>
      <w:r w:rsidR="00B9288B" w:rsidRPr="007E672B">
        <w:rPr>
          <w:color w:val="000000" w:themeColor="text1"/>
        </w:rPr>
        <w:t>%</w:t>
      </w:r>
      <w:r w:rsidR="003F3E68" w:rsidRPr="007E672B">
        <w:rPr>
          <w:color w:val="000000" w:themeColor="text1"/>
        </w:rPr>
        <w:t xml:space="preserve"> decrease</w:t>
      </w:r>
      <w:r w:rsidR="00B9288B" w:rsidRPr="007E672B">
        <w:rPr>
          <w:color w:val="000000" w:themeColor="text1"/>
        </w:rPr>
        <w:t>)</w:t>
      </w:r>
      <w:r w:rsidR="007A3655" w:rsidRPr="007E672B">
        <w:rPr>
          <w:color w:val="000000" w:themeColor="text1"/>
        </w:rPr>
        <w:t xml:space="preserve">. </w:t>
      </w:r>
      <w:r w:rsidR="003F3E68" w:rsidRPr="007E672B">
        <w:rPr>
          <w:color w:val="000000" w:themeColor="text1"/>
        </w:rPr>
        <w:t>T</w:t>
      </w:r>
      <w:r w:rsidR="007A3655" w:rsidRPr="007E672B">
        <w:rPr>
          <w:color w:val="000000" w:themeColor="text1"/>
        </w:rPr>
        <w:t xml:space="preserve">he number of foster carers in </w:t>
      </w:r>
      <w:r w:rsidR="00B9288B" w:rsidRPr="007E672B">
        <w:rPr>
          <w:color w:val="000000" w:themeColor="text1"/>
        </w:rPr>
        <w:t>IFAs</w:t>
      </w:r>
      <w:r w:rsidR="007A3655" w:rsidRPr="007E672B">
        <w:rPr>
          <w:color w:val="000000" w:themeColor="text1"/>
        </w:rPr>
        <w:t xml:space="preserve"> providing short breaks</w:t>
      </w:r>
      <w:r w:rsidR="003F3E68" w:rsidRPr="007E672B">
        <w:rPr>
          <w:color w:val="000000" w:themeColor="text1"/>
        </w:rPr>
        <w:t>-</w:t>
      </w:r>
      <w:r w:rsidR="007A3655" w:rsidRPr="007E672B">
        <w:rPr>
          <w:color w:val="000000" w:themeColor="text1"/>
        </w:rPr>
        <w:t>only actually</w:t>
      </w:r>
      <w:r w:rsidR="00B9288B" w:rsidRPr="007E672B">
        <w:rPr>
          <w:color w:val="000000" w:themeColor="text1"/>
        </w:rPr>
        <w:t xml:space="preserve"> increased</w:t>
      </w:r>
      <w:r w:rsidR="003F3E68" w:rsidRPr="007E672B">
        <w:rPr>
          <w:color w:val="000000" w:themeColor="text1"/>
        </w:rPr>
        <w:t>,</w:t>
      </w:r>
      <w:r w:rsidR="00B9288B" w:rsidRPr="007E672B">
        <w:rPr>
          <w:color w:val="000000" w:themeColor="text1"/>
        </w:rPr>
        <w:t xml:space="preserve"> from 295 to 405 (37%</w:t>
      </w:r>
      <w:r w:rsidR="003F3E68" w:rsidRPr="007E672B">
        <w:rPr>
          <w:color w:val="000000" w:themeColor="text1"/>
        </w:rPr>
        <w:t xml:space="preserve"> increase</w:t>
      </w:r>
      <w:r w:rsidR="00B9288B" w:rsidRPr="007E672B">
        <w:rPr>
          <w:color w:val="000000" w:themeColor="text1"/>
        </w:rPr>
        <w:t>).</w:t>
      </w:r>
    </w:p>
    <w:p w14:paraId="242DBBD9" w14:textId="77777777" w:rsidR="00F502DF" w:rsidRDefault="00F502DF" w:rsidP="00F502DF">
      <w:pPr>
        <w:rPr>
          <w:color w:val="000000" w:themeColor="text1"/>
        </w:rPr>
      </w:pPr>
    </w:p>
    <w:p w14:paraId="670FB01E" w14:textId="77777777" w:rsidR="00A623FF" w:rsidRDefault="00A623FF" w:rsidP="00F502DF">
      <w:pPr>
        <w:rPr>
          <w:color w:val="000000" w:themeColor="text1"/>
        </w:rPr>
      </w:pPr>
    </w:p>
    <w:p w14:paraId="68728BF5" w14:textId="77777777" w:rsidR="00A623FF" w:rsidRDefault="00A623FF" w:rsidP="00F502DF">
      <w:pPr>
        <w:rPr>
          <w:color w:val="000000" w:themeColor="text1"/>
        </w:rPr>
      </w:pPr>
    </w:p>
    <w:p w14:paraId="0D702726" w14:textId="77777777" w:rsidR="00A623FF" w:rsidRDefault="00A623FF" w:rsidP="00F502DF">
      <w:pPr>
        <w:rPr>
          <w:color w:val="000000" w:themeColor="text1"/>
        </w:rPr>
      </w:pPr>
    </w:p>
    <w:p w14:paraId="229A9AEC" w14:textId="77777777" w:rsidR="00A623FF" w:rsidRDefault="00A623FF" w:rsidP="00F502DF">
      <w:pPr>
        <w:rPr>
          <w:color w:val="000000" w:themeColor="text1"/>
        </w:rPr>
      </w:pPr>
    </w:p>
    <w:p w14:paraId="20361977" w14:textId="77777777" w:rsidR="00A623FF" w:rsidRDefault="00A623FF" w:rsidP="00F502DF">
      <w:pPr>
        <w:rPr>
          <w:color w:val="000000" w:themeColor="text1"/>
        </w:rPr>
      </w:pPr>
    </w:p>
    <w:p w14:paraId="567BB9E1" w14:textId="77777777" w:rsidR="00A623FF" w:rsidRDefault="00A623FF" w:rsidP="00F502DF">
      <w:pPr>
        <w:rPr>
          <w:color w:val="000000" w:themeColor="text1"/>
        </w:rPr>
      </w:pPr>
    </w:p>
    <w:p w14:paraId="6396C9CC" w14:textId="77777777" w:rsidR="00A623FF" w:rsidRDefault="00A623FF" w:rsidP="00F502DF">
      <w:pPr>
        <w:rPr>
          <w:color w:val="000000" w:themeColor="text1"/>
        </w:rPr>
      </w:pPr>
    </w:p>
    <w:p w14:paraId="2AC887E1" w14:textId="77777777" w:rsidR="00A623FF" w:rsidRDefault="00A623FF" w:rsidP="00F502DF">
      <w:pPr>
        <w:rPr>
          <w:color w:val="000000" w:themeColor="text1"/>
        </w:rPr>
      </w:pPr>
    </w:p>
    <w:p w14:paraId="6A118460" w14:textId="77777777" w:rsidR="00A623FF" w:rsidRDefault="00A623FF" w:rsidP="00F502DF">
      <w:pPr>
        <w:rPr>
          <w:color w:val="000000" w:themeColor="text1"/>
        </w:rPr>
      </w:pPr>
    </w:p>
    <w:p w14:paraId="26CF1D53" w14:textId="77777777" w:rsidR="00A623FF" w:rsidRDefault="00A623FF" w:rsidP="00F502DF">
      <w:pPr>
        <w:rPr>
          <w:color w:val="000000" w:themeColor="text1"/>
        </w:rPr>
      </w:pPr>
    </w:p>
    <w:p w14:paraId="72A4C534" w14:textId="77777777" w:rsidR="00A623FF" w:rsidRPr="007E672B" w:rsidRDefault="00A623FF" w:rsidP="00F502DF">
      <w:pPr>
        <w:rPr>
          <w:color w:val="000000" w:themeColor="text1"/>
        </w:rPr>
      </w:pPr>
    </w:p>
    <w:p w14:paraId="09E8F475" w14:textId="0AD2E04B" w:rsidR="00AE2118" w:rsidRDefault="00F502DF" w:rsidP="00C65D9A">
      <w:pPr>
        <w:pStyle w:val="Heading3"/>
      </w:pPr>
      <w:bookmarkStart w:id="55" w:name="_Toc436837610"/>
      <w:bookmarkStart w:id="56" w:name="_Toc470097325"/>
      <w:bookmarkStart w:id="57" w:name="_Toc509261126"/>
      <w:r w:rsidRPr="001A5E6C">
        <w:t>Ethnicity</w:t>
      </w:r>
      <w:bookmarkStart w:id="58" w:name="_Toc433382403"/>
      <w:bookmarkEnd w:id="54"/>
      <w:bookmarkEnd w:id="55"/>
      <w:bookmarkEnd w:id="56"/>
      <w:bookmarkEnd w:id="57"/>
    </w:p>
    <w:p w14:paraId="3C2128B8" w14:textId="0114186F" w:rsidR="000A4221" w:rsidRDefault="000E7AC6" w:rsidP="0042575C">
      <w:pPr>
        <w:pStyle w:val="Table"/>
      </w:pPr>
      <w:bookmarkStart w:id="59" w:name="_Toc509495447"/>
      <w:r>
        <w:t>Figure 6</w:t>
      </w:r>
      <w:r w:rsidR="000A4221" w:rsidRPr="000A4221">
        <w:t xml:space="preserve">: Ethnicity of </w:t>
      </w:r>
      <w:r w:rsidR="00103F06">
        <w:t>mainstream</w:t>
      </w:r>
      <w:r w:rsidR="000A4221" w:rsidRPr="000A4221">
        <w:t xml:space="preserve"> foster carers by sector, as at 31 March 2017</w:t>
      </w:r>
      <w:r w:rsidR="000A4221">
        <w:t xml:space="preserve"> and approved during 2016</w:t>
      </w:r>
      <w:r w:rsidR="00FC61B3">
        <w:t>–</w:t>
      </w:r>
      <w:r w:rsidR="000A4221">
        <w:t>17</w:t>
      </w:r>
      <w:bookmarkEnd w:id="59"/>
    </w:p>
    <w:p w14:paraId="362E43BE" w14:textId="77777777" w:rsidR="00A623FF" w:rsidRPr="000A4221" w:rsidRDefault="00A623FF" w:rsidP="0042575C">
      <w:pPr>
        <w:pStyle w:val="Table"/>
      </w:pPr>
    </w:p>
    <w:p w14:paraId="78674F56" w14:textId="7AFA0BD9" w:rsidR="00A167B2" w:rsidRDefault="004967A9" w:rsidP="000A4221">
      <w:r>
        <w:rPr>
          <w:noProof/>
        </w:rPr>
        <w:drawing>
          <wp:inline distT="0" distB="0" distL="0" distR="0" wp14:anchorId="0A7C4360" wp14:editId="077B34E3">
            <wp:extent cx="6075746" cy="2380890"/>
            <wp:effectExtent l="0" t="0" r="127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089484" cy="2386274"/>
                    </a:xfrm>
                    <a:prstGeom prst="rect">
                      <a:avLst/>
                    </a:prstGeom>
                  </pic:spPr>
                </pic:pic>
              </a:graphicData>
            </a:graphic>
          </wp:inline>
        </w:drawing>
      </w:r>
    </w:p>
    <w:p w14:paraId="59D66893" w14:textId="77777777" w:rsidR="00991A92" w:rsidRDefault="00991A92" w:rsidP="00991A92">
      <w:pPr>
        <w:pStyle w:val="Caption"/>
        <w:rPr>
          <w:b w:val="0"/>
          <w:sz w:val="24"/>
          <w:szCs w:val="24"/>
        </w:rPr>
      </w:pPr>
    </w:p>
    <w:p w14:paraId="2C048BE2" w14:textId="6D0D5F12" w:rsidR="00C65D9A" w:rsidRPr="00B564FC" w:rsidRDefault="00F502DF" w:rsidP="00343007">
      <w:pPr>
        <w:pStyle w:val="Caption"/>
        <w:numPr>
          <w:ilvl w:val="0"/>
          <w:numId w:val="8"/>
        </w:numPr>
        <w:ind w:left="426"/>
        <w:rPr>
          <w:b w:val="0"/>
          <w:sz w:val="24"/>
          <w:szCs w:val="24"/>
        </w:rPr>
      </w:pPr>
      <w:r w:rsidRPr="007A3655">
        <w:rPr>
          <w:b w:val="0"/>
          <w:sz w:val="24"/>
          <w:szCs w:val="24"/>
        </w:rPr>
        <w:t xml:space="preserve">Most </w:t>
      </w:r>
      <w:r w:rsidR="00103F06">
        <w:rPr>
          <w:b w:val="0"/>
          <w:sz w:val="24"/>
          <w:szCs w:val="24"/>
        </w:rPr>
        <w:t>mainstream</w:t>
      </w:r>
      <w:r w:rsidRPr="007A3655">
        <w:rPr>
          <w:b w:val="0"/>
          <w:sz w:val="24"/>
          <w:szCs w:val="24"/>
        </w:rPr>
        <w:t xml:space="preserve"> foster carers were White: 8</w:t>
      </w:r>
      <w:r w:rsidR="007A3655" w:rsidRPr="007A3655">
        <w:rPr>
          <w:b w:val="0"/>
          <w:sz w:val="24"/>
          <w:szCs w:val="24"/>
        </w:rPr>
        <w:t>4</w:t>
      </w:r>
      <w:r w:rsidRPr="007A3655">
        <w:rPr>
          <w:b w:val="0"/>
          <w:sz w:val="24"/>
          <w:szCs w:val="24"/>
        </w:rPr>
        <w:t>%</w:t>
      </w:r>
      <w:r w:rsidR="007A3655" w:rsidRPr="007A3655">
        <w:rPr>
          <w:b w:val="0"/>
          <w:sz w:val="24"/>
          <w:szCs w:val="24"/>
        </w:rPr>
        <w:t>, as last</w:t>
      </w:r>
      <w:r w:rsidRPr="007A3655">
        <w:rPr>
          <w:b w:val="0"/>
          <w:sz w:val="24"/>
          <w:szCs w:val="24"/>
        </w:rPr>
        <w:t xml:space="preserve"> year, </w:t>
      </w:r>
      <w:r w:rsidR="004C713B" w:rsidRPr="007A3655">
        <w:rPr>
          <w:b w:val="0"/>
          <w:sz w:val="24"/>
          <w:szCs w:val="24"/>
        </w:rPr>
        <w:t xml:space="preserve">slightly below </w:t>
      </w:r>
      <w:r w:rsidRPr="007A3655">
        <w:rPr>
          <w:b w:val="0"/>
          <w:sz w:val="24"/>
          <w:szCs w:val="24"/>
        </w:rPr>
        <w:t xml:space="preserve">the </w:t>
      </w:r>
      <w:r w:rsidR="004C713B" w:rsidRPr="007A3655">
        <w:rPr>
          <w:b w:val="0"/>
          <w:sz w:val="24"/>
          <w:szCs w:val="24"/>
        </w:rPr>
        <w:t>national level</w:t>
      </w:r>
      <w:r w:rsidRPr="007A3655">
        <w:rPr>
          <w:b w:val="0"/>
          <w:sz w:val="24"/>
          <w:szCs w:val="24"/>
        </w:rPr>
        <w:t xml:space="preserve"> among the adult (aged </w:t>
      </w:r>
      <w:r w:rsidR="004C713B" w:rsidRPr="007A3655">
        <w:rPr>
          <w:b w:val="0"/>
          <w:sz w:val="24"/>
          <w:szCs w:val="24"/>
        </w:rPr>
        <w:t xml:space="preserve">25 </w:t>
      </w:r>
      <w:r w:rsidRPr="007A3655">
        <w:rPr>
          <w:b w:val="0"/>
          <w:sz w:val="24"/>
          <w:szCs w:val="24"/>
        </w:rPr>
        <w:t>and older) population in the 2011 census (</w:t>
      </w:r>
      <w:r w:rsidR="004C713B" w:rsidRPr="007A3655">
        <w:rPr>
          <w:b w:val="0"/>
          <w:sz w:val="24"/>
          <w:szCs w:val="24"/>
        </w:rPr>
        <w:t>88</w:t>
      </w:r>
      <w:r w:rsidRPr="00B564FC">
        <w:rPr>
          <w:b w:val="0"/>
          <w:sz w:val="24"/>
          <w:szCs w:val="24"/>
        </w:rPr>
        <w:t>%).</w:t>
      </w:r>
      <w:r w:rsidRPr="00B564FC">
        <w:rPr>
          <w:rStyle w:val="FootnoteReference"/>
          <w:b w:val="0"/>
          <w:sz w:val="24"/>
          <w:szCs w:val="24"/>
        </w:rPr>
        <w:footnoteReference w:id="24"/>
      </w:r>
    </w:p>
    <w:p w14:paraId="500057C3" w14:textId="65A58682" w:rsidR="00F502DF" w:rsidRPr="009E555B" w:rsidRDefault="009E555B" w:rsidP="00F502DF">
      <w:pPr>
        <w:pStyle w:val="Caption"/>
        <w:numPr>
          <w:ilvl w:val="0"/>
          <w:numId w:val="8"/>
        </w:numPr>
        <w:ind w:left="426"/>
        <w:rPr>
          <w:b w:val="0"/>
          <w:sz w:val="24"/>
          <w:szCs w:val="24"/>
        </w:rPr>
      </w:pPr>
      <w:r w:rsidRPr="00052117">
        <w:rPr>
          <w:b w:val="0"/>
          <w:color w:val="000000" w:themeColor="text1"/>
          <w:sz w:val="24"/>
          <w:szCs w:val="24"/>
        </w:rPr>
        <w:t xml:space="preserve">Similar to last year, there was </w:t>
      </w:r>
      <w:r w:rsidR="007D14A7" w:rsidRPr="00052117">
        <w:rPr>
          <w:b w:val="0"/>
          <w:color w:val="000000" w:themeColor="text1"/>
          <w:sz w:val="24"/>
          <w:szCs w:val="24"/>
        </w:rPr>
        <w:t xml:space="preserve">a greater proportion of foster carers from </w:t>
      </w:r>
      <w:r w:rsidRPr="00052117">
        <w:rPr>
          <w:b w:val="0"/>
          <w:color w:val="000000" w:themeColor="text1"/>
          <w:sz w:val="24"/>
          <w:szCs w:val="24"/>
        </w:rPr>
        <w:t>m</w:t>
      </w:r>
      <w:r w:rsidR="007D14A7" w:rsidRPr="00052117">
        <w:rPr>
          <w:b w:val="0"/>
          <w:color w:val="000000" w:themeColor="text1"/>
          <w:sz w:val="24"/>
          <w:szCs w:val="24"/>
        </w:rPr>
        <w:t>inority ethnic groups</w:t>
      </w:r>
      <w:r w:rsidRPr="00052117">
        <w:rPr>
          <w:b w:val="0"/>
          <w:color w:val="000000" w:themeColor="text1"/>
          <w:sz w:val="24"/>
          <w:szCs w:val="24"/>
        </w:rPr>
        <w:t xml:space="preserve"> in IFAs than in the LA sector. In IFAs, 80% of </w:t>
      </w:r>
      <w:r w:rsidR="00F70CCC" w:rsidRPr="00052117">
        <w:rPr>
          <w:b w:val="0"/>
          <w:color w:val="000000" w:themeColor="text1"/>
          <w:sz w:val="24"/>
          <w:szCs w:val="24"/>
        </w:rPr>
        <w:t>mainstream</w:t>
      </w:r>
      <w:r w:rsidRPr="00052117">
        <w:rPr>
          <w:b w:val="0"/>
          <w:color w:val="000000" w:themeColor="text1"/>
          <w:sz w:val="24"/>
          <w:szCs w:val="24"/>
        </w:rPr>
        <w:t xml:space="preserve"> foster carers were White </w:t>
      </w:r>
      <w:r w:rsidR="00FC61B3">
        <w:rPr>
          <w:b w:val="0"/>
          <w:color w:val="000000" w:themeColor="text1"/>
          <w:sz w:val="24"/>
          <w:szCs w:val="24"/>
        </w:rPr>
        <w:t>and</w:t>
      </w:r>
      <w:r w:rsidR="00FC61B3" w:rsidRPr="00052117">
        <w:rPr>
          <w:b w:val="0"/>
          <w:color w:val="000000" w:themeColor="text1"/>
          <w:sz w:val="24"/>
          <w:szCs w:val="24"/>
        </w:rPr>
        <w:t xml:space="preserve"> </w:t>
      </w:r>
      <w:r w:rsidRPr="00052117">
        <w:rPr>
          <w:b w:val="0"/>
          <w:color w:val="000000" w:themeColor="text1"/>
          <w:sz w:val="24"/>
          <w:szCs w:val="24"/>
        </w:rPr>
        <w:t>20%</w:t>
      </w:r>
      <w:r w:rsidR="00FC61B3">
        <w:rPr>
          <w:b w:val="0"/>
          <w:color w:val="000000" w:themeColor="text1"/>
          <w:sz w:val="24"/>
          <w:szCs w:val="24"/>
        </w:rPr>
        <w:t xml:space="preserve"> were</w:t>
      </w:r>
      <w:r w:rsidRPr="00052117">
        <w:rPr>
          <w:b w:val="0"/>
          <w:color w:val="000000" w:themeColor="text1"/>
          <w:sz w:val="24"/>
          <w:szCs w:val="24"/>
        </w:rPr>
        <w:t xml:space="preserve"> from minority ethnic groups. In LAs, however, 87% were White and 12%</w:t>
      </w:r>
      <w:r w:rsidR="0089713F" w:rsidRPr="00052117">
        <w:rPr>
          <w:b w:val="0"/>
          <w:color w:val="000000" w:themeColor="text1"/>
          <w:sz w:val="24"/>
          <w:szCs w:val="24"/>
        </w:rPr>
        <w:t xml:space="preserve"> were from minority ethnic groups</w:t>
      </w:r>
      <w:r w:rsidR="0089713F">
        <w:rPr>
          <w:b w:val="0"/>
          <w:sz w:val="24"/>
          <w:szCs w:val="24"/>
        </w:rPr>
        <w:t>.</w:t>
      </w:r>
      <w:r w:rsidR="008C210C">
        <w:rPr>
          <w:rStyle w:val="FootnoteReference"/>
          <w:b w:val="0"/>
          <w:sz w:val="24"/>
          <w:szCs w:val="24"/>
        </w:rPr>
        <w:footnoteReference w:id="25"/>
      </w:r>
    </w:p>
    <w:p w14:paraId="7350FE1C" w14:textId="21FA4238" w:rsidR="00C65D9A" w:rsidRPr="000A4221" w:rsidRDefault="009E681F" w:rsidP="00C65D9A">
      <w:pPr>
        <w:pStyle w:val="Caption"/>
        <w:numPr>
          <w:ilvl w:val="0"/>
          <w:numId w:val="8"/>
        </w:numPr>
        <w:ind w:left="426"/>
        <w:rPr>
          <w:b w:val="0"/>
          <w:color w:val="FF0000"/>
          <w:sz w:val="24"/>
          <w:szCs w:val="24"/>
        </w:rPr>
      </w:pPr>
      <w:r w:rsidRPr="007A3655">
        <w:rPr>
          <w:b w:val="0"/>
          <w:sz w:val="24"/>
          <w:szCs w:val="24"/>
        </w:rPr>
        <w:t>Five</w:t>
      </w:r>
      <w:r w:rsidR="00F502DF" w:rsidRPr="007A3655">
        <w:rPr>
          <w:b w:val="0"/>
          <w:sz w:val="24"/>
          <w:szCs w:val="24"/>
        </w:rPr>
        <w:t xml:space="preserve"> </w:t>
      </w:r>
      <w:r w:rsidRPr="007A3655">
        <w:rPr>
          <w:b w:val="0"/>
          <w:sz w:val="24"/>
          <w:szCs w:val="24"/>
        </w:rPr>
        <w:t>LAs</w:t>
      </w:r>
      <w:r w:rsidR="00F502DF" w:rsidRPr="007A3655">
        <w:rPr>
          <w:b w:val="0"/>
          <w:sz w:val="24"/>
          <w:szCs w:val="24"/>
        </w:rPr>
        <w:t xml:space="preserve"> reported having no </w:t>
      </w:r>
      <w:r w:rsidR="00103F06">
        <w:rPr>
          <w:b w:val="0"/>
          <w:sz w:val="24"/>
          <w:szCs w:val="24"/>
        </w:rPr>
        <w:t>mainstream</w:t>
      </w:r>
      <w:r w:rsidR="00816686" w:rsidRPr="007A3655">
        <w:rPr>
          <w:b w:val="0"/>
          <w:sz w:val="24"/>
          <w:szCs w:val="24"/>
        </w:rPr>
        <w:t xml:space="preserve"> </w:t>
      </w:r>
      <w:r w:rsidR="00F502DF" w:rsidRPr="007A3655">
        <w:rPr>
          <w:b w:val="0"/>
          <w:sz w:val="24"/>
          <w:szCs w:val="24"/>
        </w:rPr>
        <w:t xml:space="preserve">foster carers from minority ethnic groups but all </w:t>
      </w:r>
      <w:r w:rsidR="00AD69B4" w:rsidRPr="007A3655">
        <w:rPr>
          <w:b w:val="0"/>
          <w:sz w:val="24"/>
          <w:szCs w:val="24"/>
        </w:rPr>
        <w:t xml:space="preserve">five </w:t>
      </w:r>
      <w:r w:rsidR="00F502DF" w:rsidRPr="007A3655">
        <w:rPr>
          <w:b w:val="0"/>
          <w:sz w:val="24"/>
          <w:szCs w:val="24"/>
        </w:rPr>
        <w:t>reported placing minority ethnic children with their fostering service.</w:t>
      </w:r>
      <w:r w:rsidR="0035368F" w:rsidRPr="00EF3D8D">
        <w:rPr>
          <w:rStyle w:val="FootnoteReference"/>
          <w:b w:val="0"/>
          <w:sz w:val="24"/>
          <w:szCs w:val="24"/>
        </w:rPr>
        <w:footnoteReference w:id="26"/>
      </w:r>
      <w:bookmarkStart w:id="60" w:name="_Toc472088368"/>
      <w:bookmarkEnd w:id="58"/>
    </w:p>
    <w:bookmarkEnd w:id="60"/>
    <w:p w14:paraId="76D83375" w14:textId="3662505E" w:rsidR="005E0DDB" w:rsidRPr="00373224" w:rsidRDefault="005E0DDB" w:rsidP="00F502DF">
      <w:pPr>
        <w:pStyle w:val="ListParagraph"/>
        <w:numPr>
          <w:ilvl w:val="0"/>
          <w:numId w:val="8"/>
        </w:numPr>
        <w:ind w:left="426"/>
        <w:jc w:val="left"/>
        <w:rPr>
          <w:color w:val="000000" w:themeColor="text1"/>
          <w:lang w:eastAsia="en-US"/>
        </w:rPr>
      </w:pPr>
      <w:r w:rsidRPr="00373224">
        <w:rPr>
          <w:color w:val="000000" w:themeColor="text1"/>
        </w:rPr>
        <w:t xml:space="preserve">Ofsted collected the ethnicity of all foster carers, including family and friends, and short break carers, and fostered children. As mentioned later in this report, as at 31 March </w:t>
      </w:r>
      <w:r w:rsidRPr="00B564FC">
        <w:rPr>
          <w:color w:val="000000" w:themeColor="text1"/>
        </w:rPr>
        <w:t>2017, 24% of fostered</w:t>
      </w:r>
      <w:r w:rsidRPr="00373224">
        <w:rPr>
          <w:color w:val="000000" w:themeColor="text1"/>
        </w:rPr>
        <w:t xml:space="preserve"> children were from minority ethnic groups, compared with 14% of all foster carers. This perhaps highlights the challenges the sector might sometimes face in finding suitable placements.</w:t>
      </w:r>
      <w:r w:rsidRPr="00373224">
        <w:rPr>
          <w:rStyle w:val="FootnoteReference"/>
          <w:color w:val="000000" w:themeColor="text1"/>
        </w:rPr>
        <w:footnoteReference w:id="27"/>
      </w:r>
    </w:p>
    <w:p w14:paraId="1BD60129" w14:textId="1A260637" w:rsidR="00F502DF" w:rsidRPr="00040759" w:rsidRDefault="00F502DF" w:rsidP="00F502DF">
      <w:pPr>
        <w:pStyle w:val="ListParagraph"/>
        <w:numPr>
          <w:ilvl w:val="0"/>
          <w:numId w:val="8"/>
        </w:numPr>
        <w:ind w:left="426"/>
        <w:jc w:val="left"/>
        <w:rPr>
          <w:lang w:eastAsia="en-US"/>
        </w:rPr>
      </w:pPr>
      <w:r w:rsidRPr="00373224">
        <w:rPr>
          <w:color w:val="000000" w:themeColor="text1"/>
          <w:lang w:eastAsia="en-US"/>
        </w:rPr>
        <w:t xml:space="preserve">Of those </w:t>
      </w:r>
      <w:r w:rsidR="00103F06" w:rsidRPr="00373224">
        <w:rPr>
          <w:color w:val="000000" w:themeColor="text1"/>
          <w:lang w:eastAsia="en-US"/>
        </w:rPr>
        <w:t>mainstream</w:t>
      </w:r>
      <w:r w:rsidR="00133E86" w:rsidRPr="00373224">
        <w:rPr>
          <w:color w:val="000000" w:themeColor="text1"/>
          <w:lang w:eastAsia="en-US"/>
        </w:rPr>
        <w:t xml:space="preserve"> </w:t>
      </w:r>
      <w:r w:rsidRPr="00373224">
        <w:rPr>
          <w:color w:val="000000" w:themeColor="text1"/>
          <w:lang w:eastAsia="en-US"/>
        </w:rPr>
        <w:t>foster carers approved in 201</w:t>
      </w:r>
      <w:r w:rsidR="00133E86" w:rsidRPr="00373224">
        <w:rPr>
          <w:color w:val="000000" w:themeColor="text1"/>
          <w:lang w:eastAsia="en-US"/>
        </w:rPr>
        <w:t>6</w:t>
      </w:r>
      <w:r w:rsidR="00FC61B3">
        <w:t>–</w:t>
      </w:r>
      <w:r w:rsidRPr="00373224">
        <w:rPr>
          <w:color w:val="000000" w:themeColor="text1"/>
          <w:lang w:eastAsia="en-US"/>
        </w:rPr>
        <w:t>1</w:t>
      </w:r>
      <w:r w:rsidR="00133E86" w:rsidRPr="00373224">
        <w:rPr>
          <w:color w:val="000000" w:themeColor="text1"/>
          <w:lang w:eastAsia="en-US"/>
        </w:rPr>
        <w:t>7</w:t>
      </w:r>
      <w:r w:rsidRPr="00373224">
        <w:rPr>
          <w:color w:val="000000" w:themeColor="text1"/>
          <w:lang w:eastAsia="en-US"/>
        </w:rPr>
        <w:t xml:space="preserve">, </w:t>
      </w:r>
      <w:r w:rsidR="00040759" w:rsidRPr="00373224">
        <w:rPr>
          <w:color w:val="000000" w:themeColor="text1"/>
          <w:lang w:eastAsia="en-US"/>
        </w:rPr>
        <w:t>80</w:t>
      </w:r>
      <w:r w:rsidRPr="00373224">
        <w:rPr>
          <w:color w:val="000000" w:themeColor="text1"/>
          <w:lang w:eastAsia="en-US"/>
        </w:rPr>
        <w:t xml:space="preserve">% were White </w:t>
      </w:r>
      <w:r w:rsidRPr="00040759">
        <w:rPr>
          <w:lang w:eastAsia="en-US"/>
        </w:rPr>
        <w:t>and 1</w:t>
      </w:r>
      <w:r w:rsidR="00FC2971" w:rsidRPr="00040759">
        <w:rPr>
          <w:lang w:eastAsia="en-US"/>
        </w:rPr>
        <w:t>9</w:t>
      </w:r>
      <w:r w:rsidRPr="00040759">
        <w:rPr>
          <w:lang w:eastAsia="en-US"/>
        </w:rPr>
        <w:t>% we</w:t>
      </w:r>
      <w:r w:rsidR="008C210C">
        <w:rPr>
          <w:lang w:eastAsia="en-US"/>
        </w:rPr>
        <w:t>re from minority ethnic groups.</w:t>
      </w:r>
      <w:r w:rsidR="008C210C" w:rsidRPr="008C210C">
        <w:rPr>
          <w:rStyle w:val="FootnoteReference"/>
        </w:rPr>
        <w:footnoteReference w:id="28"/>
      </w:r>
    </w:p>
    <w:p w14:paraId="22964AA6" w14:textId="5C389BA7" w:rsidR="00136668" w:rsidRPr="00D34923" w:rsidRDefault="00F502DF" w:rsidP="008D3F40">
      <w:pPr>
        <w:pStyle w:val="ListParagraph"/>
        <w:numPr>
          <w:ilvl w:val="0"/>
          <w:numId w:val="8"/>
        </w:numPr>
        <w:ind w:left="426"/>
        <w:jc w:val="left"/>
        <w:rPr>
          <w:color w:val="000000" w:themeColor="text1"/>
          <w:lang w:eastAsia="en-US"/>
        </w:rPr>
      </w:pPr>
      <w:r w:rsidRPr="00040759">
        <w:rPr>
          <w:lang w:eastAsia="en-US"/>
        </w:rPr>
        <w:t>In the LA sector, 8</w:t>
      </w:r>
      <w:r w:rsidR="00040759" w:rsidRPr="00040759">
        <w:rPr>
          <w:lang w:eastAsia="en-US"/>
        </w:rPr>
        <w:t>4</w:t>
      </w:r>
      <w:r w:rsidRPr="00040759">
        <w:rPr>
          <w:lang w:eastAsia="en-US"/>
        </w:rPr>
        <w:t>% of newly approved carers were White</w:t>
      </w:r>
      <w:r w:rsidR="004874A6" w:rsidRPr="00040759">
        <w:rPr>
          <w:lang w:eastAsia="en-US"/>
        </w:rPr>
        <w:t>,</w:t>
      </w:r>
      <w:r w:rsidRPr="00040759">
        <w:rPr>
          <w:lang w:eastAsia="en-US"/>
        </w:rPr>
        <w:t xml:space="preserve"> in comparison with </w:t>
      </w:r>
      <w:r w:rsidR="00FC2971" w:rsidRPr="00040759">
        <w:rPr>
          <w:lang w:eastAsia="en-US"/>
        </w:rPr>
        <w:t>7</w:t>
      </w:r>
      <w:bookmarkStart w:id="61" w:name="_Toc408930057"/>
      <w:bookmarkStart w:id="62" w:name="_Toc436837611"/>
      <w:bookmarkStart w:id="63" w:name="_Toc470097326"/>
      <w:r w:rsidR="0089713F">
        <w:rPr>
          <w:lang w:eastAsia="en-US"/>
        </w:rPr>
        <w:t>5</w:t>
      </w:r>
      <w:r w:rsidR="00040759" w:rsidRPr="00040759">
        <w:rPr>
          <w:lang w:eastAsia="en-US"/>
        </w:rPr>
        <w:t>% in IFAs.</w:t>
      </w:r>
      <w:r w:rsidR="00040759">
        <w:rPr>
          <w:lang w:eastAsia="en-US"/>
        </w:rPr>
        <w:t xml:space="preserve"> </w:t>
      </w:r>
      <w:r w:rsidR="00040759" w:rsidRPr="00D34923">
        <w:rPr>
          <w:color w:val="000000" w:themeColor="text1"/>
          <w:lang w:eastAsia="en-US"/>
        </w:rPr>
        <w:t>Conversely, 13% were from minority ethnic groups compared with 24% in IFAs.</w:t>
      </w:r>
      <w:r w:rsidR="007D14A7" w:rsidRPr="00D34923">
        <w:rPr>
          <w:color w:val="000000" w:themeColor="text1"/>
          <w:lang w:eastAsia="en-US"/>
        </w:rPr>
        <w:t xml:space="preserve"> The proportion of newly approved carers from minority ethnic groups was larger than the proportion of all approved </w:t>
      </w:r>
      <w:r w:rsidR="00103F06" w:rsidRPr="00D34923">
        <w:rPr>
          <w:color w:val="000000" w:themeColor="text1"/>
          <w:lang w:eastAsia="en-US"/>
        </w:rPr>
        <w:t>mainstream</w:t>
      </w:r>
      <w:r w:rsidR="007D14A7" w:rsidRPr="00D34923">
        <w:rPr>
          <w:color w:val="000000" w:themeColor="text1"/>
          <w:lang w:eastAsia="en-US"/>
        </w:rPr>
        <w:t xml:space="preserve"> carers from minority ethnic groups. This suggests that agencies are trying to address this issue.</w:t>
      </w:r>
    </w:p>
    <w:bookmarkEnd w:id="61"/>
    <w:bookmarkEnd w:id="62"/>
    <w:bookmarkEnd w:id="63"/>
    <w:p w14:paraId="24015E8D" w14:textId="543585B4" w:rsidR="00F502DF" w:rsidRDefault="00F502DF" w:rsidP="00ED676D">
      <w:pPr>
        <w:jc w:val="left"/>
        <w:rPr>
          <w:color w:val="000000" w:themeColor="text1"/>
        </w:rPr>
      </w:pPr>
    </w:p>
    <w:p w14:paraId="1CA8A60F" w14:textId="77777777" w:rsidR="00A623FF" w:rsidRPr="00D34923" w:rsidRDefault="00A623FF" w:rsidP="00ED676D">
      <w:pPr>
        <w:jc w:val="left"/>
        <w:rPr>
          <w:color w:val="000000" w:themeColor="text1"/>
        </w:rPr>
      </w:pPr>
    </w:p>
    <w:p w14:paraId="1776EB09" w14:textId="77777777" w:rsidR="007B3596" w:rsidRPr="005728BE" w:rsidRDefault="007B3596" w:rsidP="007B3596">
      <w:pPr>
        <w:pStyle w:val="Heading2"/>
      </w:pPr>
      <w:bookmarkStart w:id="64" w:name="_Toc509261127"/>
      <w:bookmarkEnd w:id="4"/>
      <w:r w:rsidRPr="005728BE">
        <w:t>Children and young people</w:t>
      </w:r>
      <w:bookmarkEnd w:id="64"/>
      <w:r w:rsidRPr="005728BE">
        <w:t xml:space="preserve"> </w:t>
      </w:r>
    </w:p>
    <w:p w14:paraId="1E379D75" w14:textId="77777777" w:rsidR="00F57F91" w:rsidRPr="005728BE" w:rsidDel="003007C1" w:rsidRDefault="00F57F91" w:rsidP="00047E43">
      <w:pPr>
        <w:pStyle w:val="Heading2"/>
      </w:pPr>
      <w:bookmarkStart w:id="65" w:name="_Toc509261128"/>
      <w:r w:rsidRPr="005728BE" w:rsidDel="003007C1">
        <w:t>Number of children fostered</w:t>
      </w:r>
      <w:r w:rsidRPr="005728BE" w:rsidDel="003007C1">
        <w:rPr>
          <w:rStyle w:val="FootnoteReference"/>
        </w:rPr>
        <w:footnoteReference w:id="29"/>
      </w:r>
      <w:bookmarkEnd w:id="65"/>
    </w:p>
    <w:p w14:paraId="56A056BD" w14:textId="3F103C69" w:rsidR="00F57F91" w:rsidRPr="00A135DF" w:rsidDel="003007C1" w:rsidRDefault="00F57F91" w:rsidP="00F57F91">
      <w:pPr>
        <w:pStyle w:val="ListParagraph"/>
        <w:numPr>
          <w:ilvl w:val="0"/>
          <w:numId w:val="15"/>
        </w:numPr>
        <w:ind w:left="425" w:hanging="357"/>
        <w:jc w:val="left"/>
        <w:rPr>
          <w:rFonts w:cs="Tahoma"/>
          <w:sz w:val="22"/>
          <w:szCs w:val="22"/>
        </w:rPr>
      </w:pPr>
      <w:r w:rsidRPr="00A135DF" w:rsidDel="003007C1">
        <w:t xml:space="preserve">In total, agencies reported 52,005 children and young people in placement on 31 March 2017; this is a small increase compared </w:t>
      </w:r>
      <w:r w:rsidR="00FC61B3" w:rsidRPr="00A135DF">
        <w:t>with</w:t>
      </w:r>
      <w:r w:rsidR="00FC61B3" w:rsidRPr="00A135DF" w:rsidDel="003007C1">
        <w:t xml:space="preserve"> </w:t>
      </w:r>
      <w:r w:rsidRPr="00A135DF" w:rsidDel="003007C1">
        <w:t>last year, 200 children.</w:t>
      </w:r>
      <w:r w:rsidRPr="00A135DF" w:rsidDel="003007C1">
        <w:rPr>
          <w:rStyle w:val="FootnoteReference"/>
        </w:rPr>
        <w:footnoteReference w:id="30"/>
      </w:r>
      <w:r w:rsidRPr="00A135DF" w:rsidDel="003007C1">
        <w:rPr>
          <w:vertAlign w:val="superscript"/>
        </w:rPr>
        <w:t>,</w:t>
      </w:r>
      <w:r w:rsidRPr="00A135DF" w:rsidDel="003007C1">
        <w:rPr>
          <w:rStyle w:val="FootnoteReference"/>
        </w:rPr>
        <w:footnoteReference w:id="31"/>
      </w:r>
      <w:r w:rsidR="006E7798" w:rsidRPr="00A135DF">
        <w:rPr>
          <w:vertAlign w:val="superscript"/>
        </w:rPr>
        <w:t>,</w:t>
      </w:r>
      <w:r w:rsidR="006E7798" w:rsidRPr="00A135DF">
        <w:rPr>
          <w:rStyle w:val="FootnoteReference"/>
        </w:rPr>
        <w:footnoteReference w:id="32"/>
      </w:r>
      <w:r w:rsidRPr="00A135DF" w:rsidDel="003007C1">
        <w:t xml:space="preserve"> </w:t>
      </w:r>
    </w:p>
    <w:p w14:paraId="58D681E9" w14:textId="2B98BC7C" w:rsidR="007B3596" w:rsidRPr="00A135DF" w:rsidRDefault="00F57F91" w:rsidP="00F57F91">
      <w:pPr>
        <w:pStyle w:val="ListParagraph"/>
        <w:numPr>
          <w:ilvl w:val="0"/>
          <w:numId w:val="35"/>
        </w:numPr>
        <w:ind w:left="426"/>
        <w:jc w:val="left"/>
      </w:pPr>
      <w:r w:rsidRPr="00A135DF" w:rsidDel="003007C1">
        <w:t>Two thirds of these wer</w:t>
      </w:r>
      <w:r w:rsidR="00D0631C" w:rsidRPr="00A135DF">
        <w:t>e in LA fostering places (34,410), and the remainder (17,595</w:t>
      </w:r>
      <w:r w:rsidRPr="00A135DF" w:rsidDel="003007C1">
        <w:t>) were placed through IFA</w:t>
      </w:r>
      <w:r w:rsidR="00FC61B3" w:rsidRPr="00A135DF">
        <w:t>s</w:t>
      </w:r>
      <w:r w:rsidRPr="00A135DF" w:rsidDel="003007C1">
        <w:t>, in line with 2016.</w:t>
      </w:r>
    </w:p>
    <w:p w14:paraId="5D7E6974" w14:textId="3C4D30CA" w:rsidR="00F57F91" w:rsidRPr="005728BE" w:rsidRDefault="00F57F91" w:rsidP="00F57F91">
      <w:pPr>
        <w:ind w:left="66"/>
        <w:jc w:val="left"/>
      </w:pPr>
    </w:p>
    <w:p w14:paraId="66D80C51" w14:textId="4C9EAC49" w:rsidR="00F57F91" w:rsidRDefault="00F57F91" w:rsidP="00047E43">
      <w:pPr>
        <w:pStyle w:val="Heading2"/>
      </w:pPr>
      <w:bookmarkStart w:id="66" w:name="_Toc509261129"/>
      <w:r w:rsidRPr="005728BE">
        <w:t>Characteristics of children</w:t>
      </w:r>
      <w:bookmarkEnd w:id="66"/>
    </w:p>
    <w:p w14:paraId="095D71FD" w14:textId="77777777" w:rsidR="00F57F91" w:rsidRPr="002B0DAD" w:rsidRDefault="00F57F91" w:rsidP="00F57F91">
      <w:pPr>
        <w:jc w:val="left"/>
        <w:rPr>
          <w:color w:val="000000" w:themeColor="text1"/>
          <w:u w:val="single"/>
        </w:rPr>
      </w:pPr>
      <w:r w:rsidRPr="002B0DAD">
        <w:rPr>
          <w:color w:val="000000" w:themeColor="text1"/>
          <w:u w:val="single"/>
        </w:rPr>
        <w:t>Section overview</w:t>
      </w:r>
    </w:p>
    <w:p w14:paraId="60EAB33A" w14:textId="6CEA5A1D" w:rsidR="00F57F91" w:rsidRPr="002B0DAD" w:rsidRDefault="00F57F91" w:rsidP="00BF1915">
      <w:pPr>
        <w:jc w:val="left"/>
        <w:rPr>
          <w:color w:val="000000" w:themeColor="text1"/>
        </w:rPr>
      </w:pPr>
      <w:r w:rsidRPr="002B0DAD">
        <w:rPr>
          <w:color w:val="000000" w:themeColor="text1"/>
        </w:rPr>
        <w:t>There was a higher proportion of fostered children from minority ethnic background</w:t>
      </w:r>
      <w:r w:rsidR="002B0DAD">
        <w:rPr>
          <w:color w:val="000000" w:themeColor="text1"/>
        </w:rPr>
        <w:t>s</w:t>
      </w:r>
      <w:r w:rsidRPr="002B0DAD">
        <w:rPr>
          <w:color w:val="000000" w:themeColor="text1"/>
        </w:rPr>
        <w:t xml:space="preserve"> than there were foster carers from minority ethnic background</w:t>
      </w:r>
      <w:r w:rsidR="002B0DAD">
        <w:rPr>
          <w:color w:val="000000" w:themeColor="text1"/>
        </w:rPr>
        <w:t>s</w:t>
      </w:r>
      <w:r w:rsidRPr="002B0DAD">
        <w:rPr>
          <w:color w:val="000000" w:themeColor="text1"/>
        </w:rPr>
        <w:t xml:space="preserve">. Although agencies as a whole are increasing the proportions of approved carers from minority ethnic backgrounds the gap between the two is still of concern. In particular LA agencies, with whose carers two thirds of fostered children are placed, are still recruiting a considerably higher proportion of </w:t>
      </w:r>
      <w:r w:rsidR="00FC61B3">
        <w:rPr>
          <w:color w:val="000000" w:themeColor="text1"/>
        </w:rPr>
        <w:t>W</w:t>
      </w:r>
      <w:r w:rsidRPr="002B0DAD">
        <w:rPr>
          <w:color w:val="000000" w:themeColor="text1"/>
        </w:rPr>
        <w:t xml:space="preserve">hite carers each year than IFAs. This means that there continues to be a risk that some children </w:t>
      </w:r>
      <w:r w:rsidR="00BF1915">
        <w:rPr>
          <w:color w:val="000000" w:themeColor="text1"/>
        </w:rPr>
        <w:t>may be</w:t>
      </w:r>
      <w:r w:rsidRPr="002B0DAD">
        <w:rPr>
          <w:color w:val="000000" w:themeColor="text1"/>
        </w:rPr>
        <w:t xml:space="preserve"> placed in households or with carers who </w:t>
      </w:r>
      <w:r w:rsidR="00BF1915">
        <w:rPr>
          <w:color w:val="000000" w:themeColor="text1"/>
        </w:rPr>
        <w:t>are not able to</w:t>
      </w:r>
      <w:r w:rsidRPr="002B0DAD">
        <w:rPr>
          <w:color w:val="000000" w:themeColor="text1"/>
        </w:rPr>
        <w:t xml:space="preserve"> meet all their needs.</w:t>
      </w:r>
    </w:p>
    <w:p w14:paraId="11313AB5" w14:textId="68655554" w:rsidR="00F57F91" w:rsidRPr="00047E43" w:rsidRDefault="00F57F91" w:rsidP="00047E43">
      <w:pPr>
        <w:pStyle w:val="Heading3"/>
      </w:pPr>
      <w:bookmarkStart w:id="67" w:name="_Toc509261130"/>
      <w:r w:rsidRPr="00047E43">
        <w:t>Ethnicity</w:t>
      </w:r>
      <w:bookmarkEnd w:id="67"/>
    </w:p>
    <w:p w14:paraId="28A5DF76" w14:textId="758FFFCC" w:rsidR="00F57F91" w:rsidRPr="005728BE" w:rsidRDefault="00D35501" w:rsidP="00F57F91">
      <w:pPr>
        <w:pStyle w:val="ListParagraph"/>
        <w:numPr>
          <w:ilvl w:val="0"/>
          <w:numId w:val="35"/>
        </w:numPr>
        <w:ind w:left="426"/>
        <w:jc w:val="left"/>
      </w:pPr>
      <w:r>
        <w:t xml:space="preserve">White children accounted for 76% of all </w:t>
      </w:r>
      <w:r w:rsidR="00F57F91" w:rsidRPr="005728BE">
        <w:t xml:space="preserve">fostered children, </w:t>
      </w:r>
      <w:r>
        <w:t>a slight fall from</w:t>
      </w:r>
      <w:r w:rsidR="003D2BBD">
        <w:t xml:space="preserve"> 77% in 2016</w:t>
      </w:r>
      <w:r w:rsidR="00F57F91" w:rsidRPr="005728BE">
        <w:t xml:space="preserve">. Twenty-four percent of children belonged to minority ethnic groups; this shows a 2% increase compared </w:t>
      </w:r>
      <w:r w:rsidR="00FC61B3">
        <w:t>with</w:t>
      </w:r>
      <w:r w:rsidR="00FC61B3" w:rsidRPr="005728BE">
        <w:t xml:space="preserve"> </w:t>
      </w:r>
      <w:r w:rsidR="00F57F91" w:rsidRPr="005728BE">
        <w:t>last year.</w:t>
      </w:r>
    </w:p>
    <w:p w14:paraId="3842A29C" w14:textId="4BB8002D" w:rsidR="007B3596" w:rsidRPr="00F57F91" w:rsidRDefault="00F57F91" w:rsidP="00F57F91">
      <w:pPr>
        <w:pStyle w:val="ListParagraph"/>
        <w:numPr>
          <w:ilvl w:val="0"/>
          <w:numId w:val="35"/>
        </w:numPr>
        <w:ind w:left="426"/>
        <w:jc w:val="left"/>
        <w:rPr>
          <w:b/>
          <w:color w:val="FF0000"/>
          <w:u w:val="single"/>
        </w:rPr>
      </w:pPr>
      <w:r w:rsidRPr="005728BE">
        <w:t xml:space="preserve">Children from minority ethnic groups were therefore very slightly under-represented compared </w:t>
      </w:r>
      <w:r w:rsidR="00FC61B3">
        <w:t>with</w:t>
      </w:r>
      <w:r w:rsidR="00FC61B3" w:rsidRPr="005728BE">
        <w:t xml:space="preserve"> </w:t>
      </w:r>
      <w:r w:rsidRPr="005728BE">
        <w:t xml:space="preserve">the DfE’s figures for all children </w:t>
      </w:r>
      <w:r>
        <w:t>in care</w:t>
      </w:r>
      <w:r w:rsidRPr="005728BE">
        <w:t xml:space="preserve"> (25% of whom are from minority ethnic groups), and slightly over-represented compared </w:t>
      </w:r>
      <w:r w:rsidR="00FC61B3">
        <w:t>with</w:t>
      </w:r>
      <w:r w:rsidR="00FC61B3" w:rsidRPr="005728BE">
        <w:t xml:space="preserve"> </w:t>
      </w:r>
      <w:r w:rsidRPr="005728BE">
        <w:t>the national figures (according to the 2011 census, 21% of children in England are from minority ethnic groups).</w:t>
      </w:r>
      <w:r w:rsidRPr="003E5B47">
        <w:rPr>
          <w:vertAlign w:val="superscript"/>
        </w:rPr>
        <w:footnoteReference w:id="33"/>
      </w:r>
      <w:r w:rsidRPr="003E5B47">
        <w:rPr>
          <w:vertAlign w:val="superscript"/>
        </w:rPr>
        <w:t>,</w:t>
      </w:r>
      <w:r w:rsidRPr="003E5B47">
        <w:rPr>
          <w:vertAlign w:val="superscript"/>
        </w:rPr>
        <w:footnoteReference w:id="34"/>
      </w:r>
    </w:p>
    <w:p w14:paraId="732B65BB" w14:textId="16D48FCC" w:rsidR="00F57F91" w:rsidRPr="00F57F91" w:rsidRDefault="00F57F91" w:rsidP="00F57F91">
      <w:pPr>
        <w:ind w:left="66"/>
        <w:jc w:val="left"/>
        <w:rPr>
          <w:b/>
          <w:color w:val="FF0000"/>
          <w:u w:val="single"/>
        </w:rPr>
      </w:pPr>
    </w:p>
    <w:p w14:paraId="184FF611" w14:textId="34377BBF" w:rsidR="007B3596" w:rsidRDefault="000E7AC6" w:rsidP="0042575C">
      <w:pPr>
        <w:pStyle w:val="Table"/>
      </w:pPr>
      <w:bookmarkStart w:id="68" w:name="_Toc509495448"/>
      <w:r w:rsidRPr="0042575C">
        <w:t>Figure 7</w:t>
      </w:r>
      <w:r w:rsidR="007B3596" w:rsidRPr="0042575C">
        <w:t>: Children fostered, by ethnicity</w:t>
      </w:r>
      <w:bookmarkEnd w:id="68"/>
    </w:p>
    <w:p w14:paraId="0E243C8A" w14:textId="623A3CFA" w:rsidR="007B4DC8" w:rsidRDefault="00FF2E28" w:rsidP="00C256AE">
      <w:pPr>
        <w:rPr>
          <w:b/>
          <w:u w:val="single"/>
        </w:rPr>
      </w:pPr>
      <w:r>
        <w:rPr>
          <w:b/>
          <w:noProof/>
          <w:u w:val="single"/>
        </w:rPr>
        <w:drawing>
          <wp:inline distT="0" distB="0" distL="0" distR="0" wp14:anchorId="0B9E4200" wp14:editId="72324BA3">
            <wp:extent cx="4809860" cy="354838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b="-825"/>
                    <a:stretch/>
                  </pic:blipFill>
                  <pic:spPr bwMode="auto">
                    <a:xfrm>
                      <a:off x="0" y="0"/>
                      <a:ext cx="4809860" cy="3548380"/>
                    </a:xfrm>
                    <a:prstGeom prst="rect">
                      <a:avLst/>
                    </a:prstGeom>
                    <a:noFill/>
                  </pic:spPr>
                </pic:pic>
              </a:graphicData>
            </a:graphic>
          </wp:inline>
        </w:drawing>
      </w:r>
    </w:p>
    <w:p w14:paraId="20258ABC" w14:textId="77777777" w:rsidR="00952BCE" w:rsidRDefault="00952BCE" w:rsidP="00952BCE">
      <w:pPr>
        <w:jc w:val="left"/>
        <w:rPr>
          <w:b/>
          <w:u w:val="single"/>
        </w:rPr>
      </w:pPr>
    </w:p>
    <w:p w14:paraId="392CCFAC" w14:textId="77777777" w:rsidR="007B3596" w:rsidRPr="00047E43" w:rsidRDefault="007B3596" w:rsidP="00047E43">
      <w:pPr>
        <w:pStyle w:val="Heading3"/>
      </w:pPr>
      <w:bookmarkStart w:id="69" w:name="_Toc509261131"/>
      <w:r w:rsidRPr="00047E43">
        <w:t>Disability</w:t>
      </w:r>
      <w:bookmarkEnd w:id="69"/>
    </w:p>
    <w:p w14:paraId="0727D26E" w14:textId="3199E858" w:rsidR="007B3596" w:rsidRPr="00B564FC" w:rsidRDefault="007B3596" w:rsidP="007B3596">
      <w:pPr>
        <w:pStyle w:val="ListParagraph"/>
        <w:numPr>
          <w:ilvl w:val="0"/>
          <w:numId w:val="17"/>
        </w:numPr>
        <w:ind w:left="426"/>
        <w:jc w:val="left"/>
        <w:rPr>
          <w:color w:val="000000" w:themeColor="text1"/>
        </w:rPr>
      </w:pPr>
      <w:r w:rsidRPr="005728BE">
        <w:t xml:space="preserve">Just under 10% of children were reported to be disabled. </w:t>
      </w:r>
      <w:r w:rsidRPr="00B564FC">
        <w:rPr>
          <w:color w:val="000000" w:themeColor="text1"/>
        </w:rPr>
        <w:t>Although the percentage is in line with 2016, the number is showing a decrease since last year with 4,855 in 2016 and 4,5</w:t>
      </w:r>
      <w:r w:rsidR="004370C4">
        <w:rPr>
          <w:color w:val="000000" w:themeColor="text1"/>
        </w:rPr>
        <w:t>6</w:t>
      </w:r>
      <w:r w:rsidRPr="00B564FC">
        <w:rPr>
          <w:color w:val="000000" w:themeColor="text1"/>
        </w:rPr>
        <w:t>0 in 2017.</w:t>
      </w:r>
    </w:p>
    <w:p w14:paraId="1DC06A61" w14:textId="39326E96" w:rsidR="007B3596" w:rsidRPr="00B564FC" w:rsidRDefault="007B3596" w:rsidP="007B3596">
      <w:pPr>
        <w:pStyle w:val="ListParagraph"/>
        <w:numPr>
          <w:ilvl w:val="0"/>
          <w:numId w:val="19"/>
        </w:numPr>
        <w:ind w:left="426"/>
        <w:jc w:val="left"/>
        <w:rPr>
          <w:color w:val="000000" w:themeColor="text1"/>
        </w:rPr>
      </w:pPr>
      <w:r w:rsidRPr="00B564FC">
        <w:rPr>
          <w:color w:val="000000" w:themeColor="text1"/>
        </w:rPr>
        <w:t xml:space="preserve">IFAs reported slightly higher percentages of </w:t>
      </w:r>
      <w:r w:rsidR="00FC61B3">
        <w:rPr>
          <w:color w:val="000000" w:themeColor="text1"/>
        </w:rPr>
        <w:t xml:space="preserve">disabled </w:t>
      </w:r>
      <w:r w:rsidRPr="00B564FC">
        <w:rPr>
          <w:color w:val="000000" w:themeColor="text1"/>
        </w:rPr>
        <w:t>children (10% or 1,</w:t>
      </w:r>
      <w:r w:rsidR="004370C4">
        <w:rPr>
          <w:color w:val="000000" w:themeColor="text1"/>
        </w:rPr>
        <w:t>785</w:t>
      </w:r>
      <w:r w:rsidRPr="00B564FC">
        <w:rPr>
          <w:color w:val="000000" w:themeColor="text1"/>
        </w:rPr>
        <w:t xml:space="preserve">) compared </w:t>
      </w:r>
      <w:r w:rsidR="00FC61B3">
        <w:rPr>
          <w:color w:val="000000" w:themeColor="text1"/>
        </w:rPr>
        <w:t>with</w:t>
      </w:r>
      <w:r w:rsidR="00FC61B3" w:rsidRPr="00B564FC">
        <w:rPr>
          <w:color w:val="000000" w:themeColor="text1"/>
        </w:rPr>
        <w:t xml:space="preserve"> </w:t>
      </w:r>
      <w:r w:rsidRPr="00B564FC">
        <w:rPr>
          <w:color w:val="000000" w:themeColor="text1"/>
        </w:rPr>
        <w:t>8% (2,7</w:t>
      </w:r>
      <w:r w:rsidR="007C437A">
        <w:rPr>
          <w:color w:val="000000" w:themeColor="text1"/>
        </w:rPr>
        <w:t>75</w:t>
      </w:r>
      <w:r w:rsidRPr="00B564FC">
        <w:rPr>
          <w:color w:val="000000" w:themeColor="text1"/>
        </w:rPr>
        <w:t>) for LAs.</w:t>
      </w:r>
      <w:bookmarkStart w:id="70" w:name="_Toc408930047"/>
    </w:p>
    <w:p w14:paraId="79BDC95A" w14:textId="77777777" w:rsidR="007B3596" w:rsidRPr="00B564FC" w:rsidRDefault="007B3596" w:rsidP="007B3596">
      <w:pPr>
        <w:jc w:val="left"/>
        <w:rPr>
          <w:color w:val="000000" w:themeColor="text1"/>
        </w:rPr>
      </w:pPr>
    </w:p>
    <w:p w14:paraId="00E271CB" w14:textId="77777777" w:rsidR="007B3596" w:rsidRPr="00B564FC" w:rsidRDefault="007B3596" w:rsidP="00047E43">
      <w:pPr>
        <w:pStyle w:val="Heading2"/>
        <w:rPr>
          <w:color w:val="000000" w:themeColor="text1"/>
        </w:rPr>
      </w:pPr>
      <w:bookmarkStart w:id="71" w:name="_Toc509261132"/>
      <w:r w:rsidRPr="00B564FC">
        <w:rPr>
          <w:color w:val="000000" w:themeColor="text1"/>
        </w:rPr>
        <w:t>Children’s experiences</w:t>
      </w:r>
      <w:bookmarkEnd w:id="70"/>
      <w:bookmarkEnd w:id="71"/>
    </w:p>
    <w:p w14:paraId="6EAFB032" w14:textId="77777777" w:rsidR="004D3468" w:rsidRPr="00B564FC" w:rsidRDefault="004D3468" w:rsidP="004D3468">
      <w:pPr>
        <w:rPr>
          <w:color w:val="000000" w:themeColor="text1"/>
          <w:u w:val="single"/>
        </w:rPr>
      </w:pPr>
      <w:r w:rsidRPr="00B564FC">
        <w:rPr>
          <w:color w:val="000000" w:themeColor="text1"/>
          <w:u w:val="single"/>
        </w:rPr>
        <w:t>Section overview</w:t>
      </w:r>
    </w:p>
    <w:p w14:paraId="6507702A" w14:textId="6B692E38" w:rsidR="004D3468" w:rsidRPr="00B564FC" w:rsidRDefault="004D3468" w:rsidP="004D3468">
      <w:pPr>
        <w:jc w:val="left"/>
        <w:rPr>
          <w:color w:val="000000" w:themeColor="text1"/>
        </w:rPr>
      </w:pPr>
      <w:r w:rsidRPr="00B564FC">
        <w:rPr>
          <w:color w:val="000000" w:themeColor="text1"/>
        </w:rPr>
        <w:t>While agencies try to avoid children and young people experiencing unplanned endings, they do still happen for a number of usually unavoidable reasons. However</w:t>
      </w:r>
      <w:r w:rsidR="00FC61B3">
        <w:rPr>
          <w:color w:val="000000" w:themeColor="text1"/>
        </w:rPr>
        <w:t>,</w:t>
      </w:r>
      <w:r w:rsidRPr="00B564FC">
        <w:rPr>
          <w:color w:val="000000" w:themeColor="text1"/>
        </w:rPr>
        <w:t xml:space="preserve"> what is of concern is that one </w:t>
      </w:r>
      <w:r w:rsidR="00714722" w:rsidRPr="00B564FC">
        <w:rPr>
          <w:color w:val="000000" w:themeColor="text1"/>
        </w:rPr>
        <w:t>in five</w:t>
      </w:r>
      <w:r w:rsidRPr="00B564FC">
        <w:rPr>
          <w:color w:val="000000" w:themeColor="text1"/>
        </w:rPr>
        <w:t xml:space="preserve"> children who were subject to an unplanned ending were moved within 24 hours of the decision to end the placement. </w:t>
      </w:r>
      <w:r w:rsidR="00C11313" w:rsidRPr="00B564FC">
        <w:rPr>
          <w:color w:val="000000" w:themeColor="text1"/>
        </w:rPr>
        <w:t xml:space="preserve">One in four </w:t>
      </w:r>
      <w:r w:rsidRPr="00B564FC">
        <w:rPr>
          <w:color w:val="000000" w:themeColor="text1"/>
        </w:rPr>
        <w:t>children from minority ethnic backgrounds who were</w:t>
      </w:r>
      <w:r w:rsidR="00C11313" w:rsidRPr="00B564FC">
        <w:rPr>
          <w:color w:val="000000" w:themeColor="text1"/>
        </w:rPr>
        <w:t xml:space="preserve"> subject of an unplanned ending moved within 24 hours</w:t>
      </w:r>
      <w:r w:rsidRPr="00B564FC">
        <w:rPr>
          <w:color w:val="000000" w:themeColor="text1"/>
        </w:rPr>
        <w:t>.</w:t>
      </w:r>
      <w:r w:rsidR="00C11313" w:rsidRPr="00B564FC">
        <w:rPr>
          <w:color w:val="000000" w:themeColor="text1"/>
        </w:rPr>
        <w:t xml:space="preserve"> Such an abrupt move almost inevitably does not give children or their carers time to prepare for the change and as such children are exposed to another major disruption to their lives.</w:t>
      </w:r>
      <w:r w:rsidRPr="00B564FC">
        <w:rPr>
          <w:color w:val="000000" w:themeColor="text1"/>
        </w:rPr>
        <w:t xml:space="preserve">  </w:t>
      </w:r>
    </w:p>
    <w:p w14:paraId="6966DACA" w14:textId="77777777" w:rsidR="004D3468" w:rsidRPr="00B564FC" w:rsidRDefault="004D3468" w:rsidP="004D3468">
      <w:pPr>
        <w:jc w:val="left"/>
        <w:rPr>
          <w:color w:val="000000" w:themeColor="text1"/>
        </w:rPr>
      </w:pPr>
    </w:p>
    <w:p w14:paraId="29E467ED" w14:textId="6D9ABAFC" w:rsidR="004D3468" w:rsidRPr="00B564FC" w:rsidRDefault="003F51EA" w:rsidP="004E0EF7">
      <w:pPr>
        <w:jc w:val="left"/>
        <w:rPr>
          <w:color w:val="000000" w:themeColor="text1"/>
        </w:rPr>
      </w:pPr>
      <w:r w:rsidRPr="00B564FC">
        <w:rPr>
          <w:color w:val="000000" w:themeColor="text1"/>
        </w:rPr>
        <w:t>The ‘</w:t>
      </w:r>
      <w:r w:rsidR="00FC61B3">
        <w:rPr>
          <w:color w:val="000000" w:themeColor="text1"/>
        </w:rPr>
        <w:t>s</w:t>
      </w:r>
      <w:r w:rsidRPr="00B564FC">
        <w:rPr>
          <w:color w:val="000000" w:themeColor="text1"/>
        </w:rPr>
        <w:t xml:space="preserve">taying </w:t>
      </w:r>
      <w:r w:rsidR="00FC61B3">
        <w:rPr>
          <w:color w:val="000000" w:themeColor="text1"/>
        </w:rPr>
        <w:t>p</w:t>
      </w:r>
      <w:r w:rsidRPr="00B564FC">
        <w:rPr>
          <w:color w:val="000000" w:themeColor="text1"/>
        </w:rPr>
        <w:t xml:space="preserve">ut’ initiative was introduced to give stability and support to young people when they turned 18. </w:t>
      </w:r>
      <w:r w:rsidR="00BB7B04" w:rsidRPr="00B564FC">
        <w:rPr>
          <w:color w:val="000000" w:themeColor="text1"/>
        </w:rPr>
        <w:t>However</w:t>
      </w:r>
      <w:r w:rsidR="00016B57">
        <w:rPr>
          <w:color w:val="000000" w:themeColor="text1"/>
        </w:rPr>
        <w:t>,</w:t>
      </w:r>
      <w:r w:rsidR="00BB7B04" w:rsidRPr="00B564FC">
        <w:rPr>
          <w:color w:val="000000" w:themeColor="text1"/>
        </w:rPr>
        <w:t xml:space="preserve"> young </w:t>
      </w:r>
      <w:r w:rsidR="004D3468" w:rsidRPr="00B564FC">
        <w:rPr>
          <w:color w:val="000000" w:themeColor="text1"/>
        </w:rPr>
        <w:t xml:space="preserve">people were less likely </w:t>
      </w:r>
      <w:r w:rsidR="00392CF8" w:rsidRPr="00B564FC">
        <w:rPr>
          <w:color w:val="000000" w:themeColor="text1"/>
        </w:rPr>
        <w:t xml:space="preserve">this </w:t>
      </w:r>
      <w:r w:rsidR="004D3468" w:rsidRPr="00B564FC">
        <w:rPr>
          <w:color w:val="000000" w:themeColor="text1"/>
        </w:rPr>
        <w:t>year</w:t>
      </w:r>
      <w:r w:rsidR="00C36205">
        <w:rPr>
          <w:color w:val="000000" w:themeColor="text1"/>
        </w:rPr>
        <w:t xml:space="preserve"> compared with</w:t>
      </w:r>
      <w:r w:rsidR="00016B57">
        <w:rPr>
          <w:color w:val="000000" w:themeColor="text1"/>
        </w:rPr>
        <w:t xml:space="preserve"> last</w:t>
      </w:r>
      <w:r w:rsidR="004D3468" w:rsidRPr="00B564FC">
        <w:rPr>
          <w:color w:val="000000" w:themeColor="text1"/>
        </w:rPr>
        <w:t xml:space="preserve"> to </w:t>
      </w:r>
      <w:r w:rsidR="00BB7B04" w:rsidRPr="00B564FC">
        <w:rPr>
          <w:color w:val="000000" w:themeColor="text1"/>
        </w:rPr>
        <w:t>stay put</w:t>
      </w:r>
      <w:r w:rsidR="004D3468" w:rsidRPr="00B564FC">
        <w:rPr>
          <w:color w:val="000000" w:themeColor="text1"/>
        </w:rPr>
        <w:t xml:space="preserve"> with their foster carers when they turned </w:t>
      </w:r>
      <w:r w:rsidR="004E0EF7" w:rsidRPr="00B564FC">
        <w:rPr>
          <w:color w:val="000000" w:themeColor="text1"/>
        </w:rPr>
        <w:t>18</w:t>
      </w:r>
      <w:r w:rsidR="004D3468" w:rsidRPr="00B564FC">
        <w:rPr>
          <w:color w:val="000000" w:themeColor="text1"/>
        </w:rPr>
        <w:t>. In particular</w:t>
      </w:r>
      <w:r w:rsidR="00FC61B3">
        <w:rPr>
          <w:color w:val="000000" w:themeColor="text1"/>
        </w:rPr>
        <w:t>,</w:t>
      </w:r>
      <w:r w:rsidR="004D3468" w:rsidRPr="00B564FC">
        <w:rPr>
          <w:color w:val="000000" w:themeColor="text1"/>
        </w:rPr>
        <w:t xml:space="preserve"> the proportion </w:t>
      </w:r>
      <w:r w:rsidR="00BB7B04" w:rsidRPr="00B564FC">
        <w:rPr>
          <w:color w:val="000000" w:themeColor="text1"/>
        </w:rPr>
        <w:t xml:space="preserve">of young people staying put </w:t>
      </w:r>
      <w:r w:rsidR="004D3468" w:rsidRPr="00B564FC">
        <w:rPr>
          <w:color w:val="000000" w:themeColor="text1"/>
        </w:rPr>
        <w:t xml:space="preserve">in IFAs fell to its lowest point since 2013. </w:t>
      </w:r>
    </w:p>
    <w:p w14:paraId="3A73C232" w14:textId="77777777" w:rsidR="004D3468" w:rsidRPr="00B564FC" w:rsidRDefault="004D3468" w:rsidP="004E0EF7">
      <w:pPr>
        <w:jc w:val="left"/>
        <w:rPr>
          <w:color w:val="000000" w:themeColor="text1"/>
        </w:rPr>
      </w:pPr>
    </w:p>
    <w:p w14:paraId="0D42939F" w14:textId="0E78C037" w:rsidR="004D3468" w:rsidRPr="00B564FC" w:rsidRDefault="004D3468" w:rsidP="004E0EF7">
      <w:pPr>
        <w:jc w:val="left"/>
        <w:rPr>
          <w:color w:val="000000" w:themeColor="text1"/>
        </w:rPr>
      </w:pPr>
      <w:r w:rsidRPr="00B564FC">
        <w:rPr>
          <w:color w:val="000000" w:themeColor="text1"/>
        </w:rPr>
        <w:t xml:space="preserve">Children who </w:t>
      </w:r>
      <w:r w:rsidR="002D680F" w:rsidRPr="00B564FC">
        <w:rPr>
          <w:color w:val="000000" w:themeColor="text1"/>
        </w:rPr>
        <w:t xml:space="preserve">experience </w:t>
      </w:r>
      <w:r w:rsidRPr="00B564FC">
        <w:rPr>
          <w:color w:val="000000" w:themeColor="text1"/>
        </w:rPr>
        <w:t xml:space="preserve">an unplanned </w:t>
      </w:r>
      <w:r w:rsidR="002D680F" w:rsidRPr="00B564FC">
        <w:rPr>
          <w:color w:val="000000" w:themeColor="text1"/>
        </w:rPr>
        <w:t xml:space="preserve">placement </w:t>
      </w:r>
      <w:r w:rsidRPr="00B564FC">
        <w:rPr>
          <w:color w:val="000000" w:themeColor="text1"/>
        </w:rPr>
        <w:t xml:space="preserve">ending </w:t>
      </w:r>
      <w:r w:rsidR="004E0EF7" w:rsidRPr="00B564FC">
        <w:rPr>
          <w:color w:val="000000" w:themeColor="text1"/>
        </w:rPr>
        <w:t xml:space="preserve">were </w:t>
      </w:r>
      <w:r w:rsidRPr="00B564FC">
        <w:rPr>
          <w:color w:val="000000" w:themeColor="text1"/>
        </w:rPr>
        <w:t xml:space="preserve">more than twice as likely to have persistent absence from education, as </w:t>
      </w:r>
      <w:r w:rsidR="004E0EF7" w:rsidRPr="00B564FC">
        <w:rPr>
          <w:color w:val="000000" w:themeColor="text1"/>
        </w:rPr>
        <w:t xml:space="preserve">were </w:t>
      </w:r>
      <w:r w:rsidRPr="00B564FC">
        <w:rPr>
          <w:color w:val="000000" w:themeColor="text1"/>
        </w:rPr>
        <w:t xml:space="preserve">children who </w:t>
      </w:r>
      <w:r w:rsidR="004E0EF7" w:rsidRPr="00B564FC">
        <w:rPr>
          <w:color w:val="000000" w:themeColor="text1"/>
        </w:rPr>
        <w:t xml:space="preserve">had </w:t>
      </w:r>
      <w:r w:rsidRPr="00B564FC">
        <w:rPr>
          <w:color w:val="000000" w:themeColor="text1"/>
        </w:rPr>
        <w:t>an educational placement change. These figures show the major impact a lack of stability can have on children’s education.</w:t>
      </w:r>
    </w:p>
    <w:p w14:paraId="79590CDB" w14:textId="77777777" w:rsidR="004D3468" w:rsidRPr="00B564FC" w:rsidRDefault="004D3468" w:rsidP="004D3468">
      <w:pPr>
        <w:rPr>
          <w:color w:val="000000" w:themeColor="text1"/>
        </w:rPr>
      </w:pPr>
    </w:p>
    <w:p w14:paraId="0D0A69F9" w14:textId="77777777" w:rsidR="007B3596" w:rsidRPr="00B564FC" w:rsidRDefault="007B3596" w:rsidP="00047E43">
      <w:pPr>
        <w:pStyle w:val="Heading3"/>
        <w:rPr>
          <w:color w:val="000000" w:themeColor="text1"/>
        </w:rPr>
      </w:pPr>
      <w:bookmarkStart w:id="72" w:name="_Toc509261133"/>
      <w:r w:rsidRPr="00B564FC">
        <w:rPr>
          <w:color w:val="000000" w:themeColor="text1"/>
        </w:rPr>
        <w:t>Placement stability</w:t>
      </w:r>
      <w:bookmarkEnd w:id="72"/>
    </w:p>
    <w:p w14:paraId="639024FF" w14:textId="6404359A" w:rsidR="007B3596" w:rsidRPr="00B564FC" w:rsidRDefault="00545048" w:rsidP="007B3596">
      <w:pPr>
        <w:pStyle w:val="ListParagraph"/>
        <w:numPr>
          <w:ilvl w:val="0"/>
          <w:numId w:val="20"/>
        </w:numPr>
        <w:ind w:left="426" w:hanging="426"/>
        <w:jc w:val="left"/>
        <w:rPr>
          <w:color w:val="000000" w:themeColor="text1"/>
        </w:rPr>
      </w:pPr>
      <w:r w:rsidRPr="00B564FC">
        <w:rPr>
          <w:color w:val="000000" w:themeColor="text1"/>
        </w:rPr>
        <w:t xml:space="preserve">One in 20 children </w:t>
      </w:r>
      <w:r w:rsidR="007B3596" w:rsidRPr="00B564FC">
        <w:rPr>
          <w:color w:val="000000" w:themeColor="text1"/>
        </w:rPr>
        <w:t>experienced unplanned endings and stayed with the same agency.</w:t>
      </w:r>
      <w:r w:rsidR="007B3596" w:rsidRPr="00B564FC">
        <w:rPr>
          <w:rStyle w:val="FootnoteReference"/>
          <w:color w:val="000000" w:themeColor="text1"/>
        </w:rPr>
        <w:footnoteReference w:id="35"/>
      </w:r>
      <w:r w:rsidR="007B3596" w:rsidRPr="00B564FC">
        <w:rPr>
          <w:color w:val="000000" w:themeColor="text1"/>
        </w:rPr>
        <w:t xml:space="preserve"> The majority of these children (82% or 1,94</w:t>
      </w:r>
      <w:r w:rsidR="007A5CD9">
        <w:rPr>
          <w:color w:val="000000" w:themeColor="text1"/>
        </w:rPr>
        <w:t>5</w:t>
      </w:r>
      <w:r w:rsidR="007B3596" w:rsidRPr="00B564FC">
        <w:rPr>
          <w:color w:val="000000" w:themeColor="text1"/>
        </w:rPr>
        <w:t xml:space="preserve"> children) were placed with LA fostering agencies at the time of the unplanned ending.</w:t>
      </w:r>
    </w:p>
    <w:p w14:paraId="2BE8414A" w14:textId="77777777" w:rsidR="007B3596" w:rsidRPr="00B564FC" w:rsidRDefault="007B3596" w:rsidP="007B3596">
      <w:pPr>
        <w:pStyle w:val="ListParagraph"/>
        <w:numPr>
          <w:ilvl w:val="0"/>
          <w:numId w:val="20"/>
        </w:numPr>
        <w:ind w:left="426" w:hanging="426"/>
        <w:jc w:val="left"/>
        <w:rPr>
          <w:color w:val="000000" w:themeColor="text1"/>
        </w:rPr>
      </w:pPr>
      <w:r w:rsidRPr="00B564FC">
        <w:rPr>
          <w:color w:val="000000" w:themeColor="text1"/>
        </w:rPr>
        <w:t xml:space="preserve">In total, these 2,375 children experienced 2,765 unplanned endings. </w:t>
      </w:r>
    </w:p>
    <w:p w14:paraId="6BCDDDAF" w14:textId="7ED0ED44" w:rsidR="007B3596" w:rsidRPr="00B564FC" w:rsidRDefault="00545048" w:rsidP="007B3596">
      <w:pPr>
        <w:pStyle w:val="ListParagraph"/>
        <w:numPr>
          <w:ilvl w:val="0"/>
          <w:numId w:val="20"/>
        </w:numPr>
        <w:ind w:left="426" w:hanging="426"/>
        <w:jc w:val="left"/>
        <w:rPr>
          <w:color w:val="000000" w:themeColor="text1"/>
        </w:rPr>
      </w:pPr>
      <w:r w:rsidRPr="00B564FC">
        <w:rPr>
          <w:color w:val="000000" w:themeColor="text1"/>
        </w:rPr>
        <w:t>Of all 2,37</w:t>
      </w:r>
      <w:r w:rsidR="003D2BBD" w:rsidRPr="00B564FC">
        <w:rPr>
          <w:color w:val="000000" w:themeColor="text1"/>
        </w:rPr>
        <w:t>5</w:t>
      </w:r>
      <w:r w:rsidRPr="00B564FC">
        <w:rPr>
          <w:color w:val="000000" w:themeColor="text1"/>
        </w:rPr>
        <w:t xml:space="preserve"> children with unplanned endings, 22% of children (52</w:t>
      </w:r>
      <w:r w:rsidR="003D2BBD" w:rsidRPr="00B564FC">
        <w:rPr>
          <w:color w:val="000000" w:themeColor="text1"/>
        </w:rPr>
        <w:t>5</w:t>
      </w:r>
      <w:r w:rsidRPr="00B564FC">
        <w:rPr>
          <w:color w:val="000000" w:themeColor="text1"/>
        </w:rPr>
        <w:t>) experienced at least one move within 24 hours of the decision to end the placement early.</w:t>
      </w:r>
      <w:r w:rsidR="007B3596" w:rsidRPr="00B564FC">
        <w:rPr>
          <w:color w:val="000000" w:themeColor="text1"/>
        </w:rPr>
        <w:t xml:space="preserve"> This </w:t>
      </w:r>
      <w:r w:rsidR="003007C1" w:rsidRPr="00B564FC">
        <w:rPr>
          <w:color w:val="000000" w:themeColor="text1"/>
        </w:rPr>
        <w:t>links</w:t>
      </w:r>
      <w:r w:rsidR="007B3596" w:rsidRPr="00B564FC">
        <w:rPr>
          <w:color w:val="000000" w:themeColor="text1"/>
        </w:rPr>
        <w:t xml:space="preserve"> to the National Fostering Stocktake </w:t>
      </w:r>
      <w:r w:rsidR="00FC61B3">
        <w:rPr>
          <w:color w:val="000000" w:themeColor="text1"/>
        </w:rPr>
        <w:t>e</w:t>
      </w:r>
      <w:r w:rsidR="007B3596" w:rsidRPr="00B564FC">
        <w:rPr>
          <w:color w:val="000000" w:themeColor="text1"/>
        </w:rPr>
        <w:t xml:space="preserve">vidence </w:t>
      </w:r>
      <w:r w:rsidR="00FC61B3">
        <w:rPr>
          <w:color w:val="000000" w:themeColor="text1"/>
        </w:rPr>
        <w:t>r</w:t>
      </w:r>
      <w:r w:rsidR="007B3596" w:rsidRPr="00B564FC">
        <w:rPr>
          <w:color w:val="000000" w:themeColor="text1"/>
        </w:rPr>
        <w:t>eport which makes reference to the abruptness of some placement endings not giving adequate preparation to the children or foster carers.</w:t>
      </w:r>
      <w:r w:rsidR="007B3596" w:rsidRPr="00B564FC">
        <w:rPr>
          <w:rStyle w:val="FootnoteReference"/>
          <w:color w:val="000000" w:themeColor="text1"/>
        </w:rPr>
        <w:footnoteReference w:id="36"/>
      </w:r>
      <w:r w:rsidR="007B3596" w:rsidRPr="00B564FC">
        <w:rPr>
          <w:color w:val="000000" w:themeColor="text1"/>
        </w:rPr>
        <w:t xml:space="preserve">   </w:t>
      </w:r>
    </w:p>
    <w:p w14:paraId="53BE8300" w14:textId="302B5525" w:rsidR="007B3596" w:rsidRPr="00B564FC" w:rsidRDefault="007B3596" w:rsidP="007B3596">
      <w:pPr>
        <w:pStyle w:val="ListParagraph"/>
        <w:numPr>
          <w:ilvl w:val="0"/>
          <w:numId w:val="20"/>
        </w:numPr>
        <w:ind w:left="426" w:hanging="426"/>
        <w:jc w:val="left"/>
        <w:rPr>
          <w:color w:val="000000" w:themeColor="text1"/>
        </w:rPr>
      </w:pPr>
      <w:r w:rsidRPr="00B564FC">
        <w:rPr>
          <w:color w:val="000000" w:themeColor="text1"/>
        </w:rPr>
        <w:t xml:space="preserve">In 2017, White children were slightly less likely than children from minority ethnic groups to move within 24 hours of the unplanned ending: 21% (395 of 1,860) compared </w:t>
      </w:r>
      <w:r w:rsidR="00FC61B3">
        <w:rPr>
          <w:color w:val="000000" w:themeColor="text1"/>
        </w:rPr>
        <w:t>with</w:t>
      </w:r>
      <w:r w:rsidR="00FC61B3" w:rsidRPr="00B564FC">
        <w:rPr>
          <w:color w:val="000000" w:themeColor="text1"/>
        </w:rPr>
        <w:t xml:space="preserve"> </w:t>
      </w:r>
      <w:r w:rsidRPr="00B564FC">
        <w:rPr>
          <w:color w:val="000000" w:themeColor="text1"/>
        </w:rPr>
        <w:t>2</w:t>
      </w:r>
      <w:r w:rsidR="003D2BBD" w:rsidRPr="00B564FC">
        <w:rPr>
          <w:color w:val="000000" w:themeColor="text1"/>
        </w:rPr>
        <w:t>5</w:t>
      </w:r>
      <w:r w:rsidRPr="00B564FC">
        <w:rPr>
          <w:color w:val="000000" w:themeColor="text1"/>
        </w:rPr>
        <w:t>% (125 of 495).</w:t>
      </w:r>
    </w:p>
    <w:p w14:paraId="4EB47DBA" w14:textId="77777777" w:rsidR="007B3596" w:rsidRPr="00B564FC" w:rsidRDefault="007B3596" w:rsidP="007B3596">
      <w:pPr>
        <w:jc w:val="left"/>
        <w:rPr>
          <w:color w:val="000000" w:themeColor="text1"/>
        </w:rPr>
      </w:pPr>
    </w:p>
    <w:p w14:paraId="052FDD75" w14:textId="096E47A2" w:rsidR="004D3468" w:rsidRPr="00B564FC" w:rsidRDefault="004D3468" w:rsidP="00047E43">
      <w:pPr>
        <w:pStyle w:val="Heading3"/>
        <w:rPr>
          <w:color w:val="000000" w:themeColor="text1"/>
        </w:rPr>
      </w:pPr>
      <w:bookmarkStart w:id="73" w:name="_Toc509261134"/>
      <w:r w:rsidRPr="00B564FC">
        <w:rPr>
          <w:color w:val="000000" w:themeColor="text1"/>
        </w:rPr>
        <w:t xml:space="preserve">Staying </w:t>
      </w:r>
      <w:r w:rsidR="00FC61B3">
        <w:rPr>
          <w:color w:val="000000" w:themeColor="text1"/>
        </w:rPr>
        <w:t>p</w:t>
      </w:r>
      <w:r w:rsidRPr="00B564FC">
        <w:rPr>
          <w:color w:val="000000" w:themeColor="text1"/>
        </w:rPr>
        <w:t>ut</w:t>
      </w:r>
      <w:r w:rsidRPr="00B564FC">
        <w:rPr>
          <w:rStyle w:val="FootnoteReference"/>
          <w:b w:val="0"/>
          <w:color w:val="000000" w:themeColor="text1"/>
        </w:rPr>
        <w:footnoteReference w:id="37"/>
      </w:r>
      <w:bookmarkEnd w:id="73"/>
    </w:p>
    <w:p w14:paraId="184F929F" w14:textId="4B69D463" w:rsidR="004D3468" w:rsidRPr="00B564FC" w:rsidRDefault="004D3468" w:rsidP="004D3468">
      <w:pPr>
        <w:pStyle w:val="ListParagraph"/>
        <w:numPr>
          <w:ilvl w:val="0"/>
          <w:numId w:val="21"/>
        </w:numPr>
        <w:ind w:left="426" w:hanging="426"/>
        <w:jc w:val="left"/>
        <w:rPr>
          <w:b/>
          <w:color w:val="000000" w:themeColor="text1"/>
        </w:rPr>
      </w:pPr>
      <w:r w:rsidRPr="00B564FC">
        <w:rPr>
          <w:color w:val="000000" w:themeColor="text1"/>
        </w:rPr>
        <w:t>Of the 3,430 children who turned 18 during 2016</w:t>
      </w:r>
      <w:r w:rsidR="00FC61B3">
        <w:rPr>
          <w:color w:val="000000" w:themeColor="text1"/>
        </w:rPr>
        <w:t>–</w:t>
      </w:r>
      <w:r w:rsidRPr="00B564FC">
        <w:rPr>
          <w:color w:val="000000" w:themeColor="text1"/>
        </w:rPr>
        <w:t>17, 46% (1,570) were still living with their former foster carers in 2016</w:t>
      </w:r>
      <w:r w:rsidR="00FC61B3">
        <w:rPr>
          <w:color w:val="000000" w:themeColor="text1"/>
        </w:rPr>
        <w:t>–</w:t>
      </w:r>
      <w:r w:rsidRPr="00B564FC">
        <w:rPr>
          <w:color w:val="000000" w:themeColor="text1"/>
        </w:rPr>
        <w:t xml:space="preserve">17, a decrease of eight percentage points from 2016 (54%, 2,190). This is in line with the </w:t>
      </w:r>
      <w:r w:rsidR="002D680F" w:rsidRPr="00B564FC">
        <w:rPr>
          <w:color w:val="000000" w:themeColor="text1"/>
        </w:rPr>
        <w:t xml:space="preserve">Education </w:t>
      </w:r>
      <w:r w:rsidRPr="00B564FC">
        <w:rPr>
          <w:color w:val="000000" w:themeColor="text1"/>
        </w:rPr>
        <w:t xml:space="preserve">Select Committee </w:t>
      </w:r>
      <w:r w:rsidR="002D680F" w:rsidRPr="00B564FC">
        <w:rPr>
          <w:color w:val="000000" w:themeColor="text1"/>
        </w:rPr>
        <w:t>report on fostering</w:t>
      </w:r>
      <w:r w:rsidRPr="00B564FC">
        <w:rPr>
          <w:color w:val="000000" w:themeColor="text1"/>
        </w:rPr>
        <w:t xml:space="preserve">, which states that many young people are missing out on the </w:t>
      </w:r>
      <w:r w:rsidR="00FC61B3">
        <w:rPr>
          <w:color w:val="000000" w:themeColor="text1"/>
        </w:rPr>
        <w:t>s</w:t>
      </w:r>
      <w:r w:rsidRPr="00B564FC">
        <w:rPr>
          <w:color w:val="000000" w:themeColor="text1"/>
        </w:rPr>
        <w:t xml:space="preserve">taying </w:t>
      </w:r>
      <w:r w:rsidR="00FC61B3">
        <w:rPr>
          <w:color w:val="000000" w:themeColor="text1"/>
        </w:rPr>
        <w:t>p</w:t>
      </w:r>
      <w:r w:rsidRPr="00B564FC">
        <w:rPr>
          <w:color w:val="000000" w:themeColor="text1"/>
        </w:rPr>
        <w:t xml:space="preserve">ut </w:t>
      </w:r>
      <w:r w:rsidR="002D680F" w:rsidRPr="00B564FC">
        <w:rPr>
          <w:color w:val="000000" w:themeColor="text1"/>
        </w:rPr>
        <w:t>opportunity</w:t>
      </w:r>
      <w:r w:rsidRPr="00B564FC">
        <w:rPr>
          <w:color w:val="000000" w:themeColor="text1"/>
        </w:rPr>
        <w:t xml:space="preserve"> due to </w:t>
      </w:r>
      <w:r w:rsidR="002D680F" w:rsidRPr="00B564FC">
        <w:rPr>
          <w:color w:val="000000" w:themeColor="text1"/>
        </w:rPr>
        <w:t>a lack of clarity and consistency</w:t>
      </w:r>
      <w:r w:rsidRPr="00B564FC">
        <w:rPr>
          <w:color w:val="000000" w:themeColor="text1"/>
        </w:rPr>
        <w:t xml:space="preserve"> around its </w:t>
      </w:r>
      <w:r w:rsidR="002D680F" w:rsidRPr="00B564FC">
        <w:rPr>
          <w:color w:val="000000" w:themeColor="text1"/>
        </w:rPr>
        <w:t>implementation</w:t>
      </w:r>
      <w:r w:rsidRPr="00B564FC">
        <w:rPr>
          <w:color w:val="000000" w:themeColor="text1"/>
        </w:rPr>
        <w:t>.</w:t>
      </w:r>
      <w:r w:rsidRPr="00B564FC">
        <w:rPr>
          <w:rStyle w:val="FootnoteReference"/>
          <w:color w:val="000000" w:themeColor="text1"/>
        </w:rPr>
        <w:footnoteReference w:id="38"/>
      </w:r>
      <w:r w:rsidRPr="00B564FC">
        <w:rPr>
          <w:color w:val="000000" w:themeColor="text1"/>
        </w:rPr>
        <w:t xml:space="preserve"> The recent </w:t>
      </w:r>
      <w:r w:rsidR="003D5081" w:rsidRPr="00B564FC">
        <w:rPr>
          <w:color w:val="000000" w:themeColor="text1"/>
        </w:rPr>
        <w:t xml:space="preserve">independent </w:t>
      </w:r>
      <w:r w:rsidRPr="00B564FC">
        <w:rPr>
          <w:color w:val="000000" w:themeColor="text1"/>
        </w:rPr>
        <w:t xml:space="preserve">Foster Care in England report also refers to the </w:t>
      </w:r>
      <w:r w:rsidR="00FC61B3">
        <w:rPr>
          <w:color w:val="000000" w:themeColor="text1"/>
        </w:rPr>
        <w:t>s</w:t>
      </w:r>
      <w:r w:rsidRPr="00B564FC">
        <w:rPr>
          <w:color w:val="000000" w:themeColor="text1"/>
        </w:rPr>
        <w:t xml:space="preserve">taying </w:t>
      </w:r>
      <w:r w:rsidR="00FC61B3">
        <w:rPr>
          <w:color w:val="000000" w:themeColor="text1"/>
        </w:rPr>
        <w:t>p</w:t>
      </w:r>
      <w:r w:rsidRPr="00B564FC">
        <w:rPr>
          <w:color w:val="000000" w:themeColor="text1"/>
        </w:rPr>
        <w:t xml:space="preserve">ut arrangement and describes </w:t>
      </w:r>
      <w:r w:rsidR="00055A57">
        <w:rPr>
          <w:color w:val="000000" w:themeColor="text1"/>
        </w:rPr>
        <w:t>‘</w:t>
      </w:r>
      <w:r w:rsidRPr="00B564FC">
        <w:rPr>
          <w:color w:val="000000" w:themeColor="text1"/>
        </w:rPr>
        <w:t>a lack of information regarding [the] policy</w:t>
      </w:r>
      <w:r w:rsidR="00055A57">
        <w:rPr>
          <w:color w:val="000000" w:themeColor="text1"/>
        </w:rPr>
        <w:t>’</w:t>
      </w:r>
      <w:r w:rsidRPr="00B564FC">
        <w:rPr>
          <w:color w:val="000000" w:themeColor="text1"/>
        </w:rPr>
        <w:t>.</w:t>
      </w:r>
      <w:r w:rsidRPr="00B564FC">
        <w:rPr>
          <w:rStyle w:val="FootnoteReference"/>
          <w:color w:val="000000" w:themeColor="text1"/>
        </w:rPr>
        <w:footnoteReference w:id="39"/>
      </w:r>
    </w:p>
    <w:p w14:paraId="3FB88B52" w14:textId="18C0E6DF" w:rsidR="004D3468" w:rsidRPr="00B564FC" w:rsidRDefault="004D3468" w:rsidP="004D3468">
      <w:pPr>
        <w:pStyle w:val="ListParagraph"/>
        <w:numPr>
          <w:ilvl w:val="0"/>
          <w:numId w:val="21"/>
        </w:numPr>
        <w:ind w:left="426" w:hanging="426"/>
        <w:jc w:val="left"/>
        <w:rPr>
          <w:color w:val="000000" w:themeColor="text1"/>
        </w:rPr>
      </w:pPr>
      <w:r w:rsidRPr="00B564FC">
        <w:rPr>
          <w:color w:val="000000" w:themeColor="text1"/>
        </w:rPr>
        <w:t>The percentage of young people who “</w:t>
      </w:r>
      <w:r w:rsidR="00055A57">
        <w:rPr>
          <w:color w:val="000000" w:themeColor="text1"/>
        </w:rPr>
        <w:t>s</w:t>
      </w:r>
      <w:r w:rsidRPr="00B564FC">
        <w:rPr>
          <w:color w:val="000000" w:themeColor="text1"/>
        </w:rPr>
        <w:t xml:space="preserve">tayed </w:t>
      </w:r>
      <w:r w:rsidR="00055A57">
        <w:rPr>
          <w:color w:val="000000" w:themeColor="text1"/>
        </w:rPr>
        <w:t>p</w:t>
      </w:r>
      <w:r w:rsidRPr="00B564FC">
        <w:rPr>
          <w:color w:val="000000" w:themeColor="text1"/>
        </w:rPr>
        <w:t xml:space="preserve">ut” with IFA carers decreased by 12 percentage points from the previous year and is at its lowest since 2013. This widens the percentage gap between LAs (52%) and IFAs (38%) compared </w:t>
      </w:r>
      <w:r w:rsidR="00055A57">
        <w:rPr>
          <w:color w:val="000000" w:themeColor="text1"/>
        </w:rPr>
        <w:t>with</w:t>
      </w:r>
      <w:r w:rsidR="00055A57" w:rsidRPr="00B564FC">
        <w:rPr>
          <w:color w:val="000000" w:themeColor="text1"/>
        </w:rPr>
        <w:t xml:space="preserve"> </w:t>
      </w:r>
      <w:r w:rsidRPr="00B564FC">
        <w:rPr>
          <w:color w:val="000000" w:themeColor="text1"/>
        </w:rPr>
        <w:t>previous years.</w:t>
      </w:r>
    </w:p>
    <w:p w14:paraId="6686BE99" w14:textId="77777777" w:rsidR="004D3468" w:rsidRDefault="004D3468" w:rsidP="007B3596">
      <w:pPr>
        <w:jc w:val="left"/>
        <w:rPr>
          <w:color w:val="000000" w:themeColor="text1"/>
        </w:rPr>
      </w:pPr>
    </w:p>
    <w:p w14:paraId="658DD787" w14:textId="747870EE" w:rsidR="00820841" w:rsidRPr="00B564FC" w:rsidRDefault="00820841" w:rsidP="00820841">
      <w:pPr>
        <w:pStyle w:val="Table"/>
        <w:rPr>
          <w:color w:val="000000" w:themeColor="text1"/>
        </w:rPr>
      </w:pPr>
      <w:bookmarkStart w:id="74" w:name="_Toc509495449"/>
      <w:r w:rsidRPr="00B564FC">
        <w:rPr>
          <w:color w:val="000000" w:themeColor="text1"/>
        </w:rPr>
        <w:t xml:space="preserve">Figure </w:t>
      </w:r>
      <w:r>
        <w:rPr>
          <w:color w:val="000000" w:themeColor="text1"/>
        </w:rPr>
        <w:t>8</w:t>
      </w:r>
      <w:r w:rsidRPr="00B564FC">
        <w:rPr>
          <w:color w:val="000000" w:themeColor="text1"/>
        </w:rPr>
        <w:t>: Care leavers who remained with former foster carers after becoming 18, by sector, 2013-17</w:t>
      </w:r>
      <w:bookmarkEnd w:id="74"/>
      <w:r w:rsidRPr="00B564FC">
        <w:rPr>
          <w:color w:val="000000" w:themeColor="text1"/>
        </w:rPr>
        <w:t xml:space="preserve"> </w:t>
      </w:r>
    </w:p>
    <w:p w14:paraId="59837FBD" w14:textId="179F703C" w:rsidR="00820841" w:rsidRDefault="00820841" w:rsidP="007B3596">
      <w:pPr>
        <w:jc w:val="left"/>
        <w:rPr>
          <w:color w:val="000000" w:themeColor="text1"/>
        </w:rPr>
      </w:pPr>
      <w:r>
        <w:rPr>
          <w:noProof/>
          <w:color w:val="000000" w:themeColor="text1"/>
        </w:rPr>
        <w:drawing>
          <wp:inline distT="0" distB="0" distL="0" distR="0" wp14:anchorId="5AA175A7" wp14:editId="7363F6A7">
            <wp:extent cx="4765964" cy="286222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5964" cy="2862221"/>
                    </a:xfrm>
                    <a:prstGeom prst="rect">
                      <a:avLst/>
                    </a:prstGeom>
                    <a:noFill/>
                  </pic:spPr>
                </pic:pic>
              </a:graphicData>
            </a:graphic>
          </wp:inline>
        </w:drawing>
      </w:r>
    </w:p>
    <w:p w14:paraId="391AF283" w14:textId="77777777" w:rsidR="00991A92" w:rsidRPr="00991A92" w:rsidRDefault="00991A92" w:rsidP="00991A92">
      <w:bookmarkStart w:id="75" w:name="_Toc509261135"/>
    </w:p>
    <w:p w14:paraId="7D482388" w14:textId="77777777" w:rsidR="007B3596" w:rsidRPr="00B564FC" w:rsidRDefault="007B3596" w:rsidP="00047E43">
      <w:pPr>
        <w:pStyle w:val="Heading3"/>
        <w:rPr>
          <w:color w:val="000000" w:themeColor="text1"/>
        </w:rPr>
      </w:pPr>
      <w:r w:rsidRPr="00B564FC">
        <w:rPr>
          <w:color w:val="000000" w:themeColor="text1"/>
        </w:rPr>
        <w:t>Education</w:t>
      </w:r>
      <w:bookmarkEnd w:id="75"/>
    </w:p>
    <w:p w14:paraId="1D7E8291" w14:textId="77777777" w:rsidR="007B3596" w:rsidRPr="00B564FC" w:rsidRDefault="007B3596" w:rsidP="007B3596">
      <w:pPr>
        <w:rPr>
          <w:color w:val="000000" w:themeColor="text1"/>
        </w:rPr>
      </w:pPr>
    </w:p>
    <w:p w14:paraId="5A61C6E8" w14:textId="4F2835D6" w:rsidR="00545048" w:rsidRPr="00B564FC" w:rsidRDefault="000E7AC6" w:rsidP="0042575C">
      <w:pPr>
        <w:pStyle w:val="Table"/>
        <w:rPr>
          <w:color w:val="000000" w:themeColor="text1"/>
        </w:rPr>
      </w:pPr>
      <w:bookmarkStart w:id="76" w:name="_Toc509495450"/>
      <w:r w:rsidRPr="00B564FC">
        <w:rPr>
          <w:color w:val="000000" w:themeColor="text1"/>
        </w:rPr>
        <w:t xml:space="preserve">Figure </w:t>
      </w:r>
      <w:r w:rsidR="00820841">
        <w:rPr>
          <w:color w:val="000000" w:themeColor="text1"/>
        </w:rPr>
        <w:t>9</w:t>
      </w:r>
      <w:r w:rsidR="00545048" w:rsidRPr="00B564FC">
        <w:rPr>
          <w:color w:val="000000" w:themeColor="text1"/>
        </w:rPr>
        <w:t>: Percentage of fostered children experiencing at least one educational placement change, by sector as at 31 March 2017</w:t>
      </w:r>
      <w:bookmarkEnd w:id="76"/>
      <w:r w:rsidR="00545048" w:rsidRPr="00B564FC">
        <w:rPr>
          <w:color w:val="000000" w:themeColor="text1"/>
        </w:rPr>
        <w:t xml:space="preserve"> </w:t>
      </w:r>
    </w:p>
    <w:p w14:paraId="60CCB473" w14:textId="7E1254DE" w:rsidR="000B2490" w:rsidRPr="00B564FC" w:rsidRDefault="000B2490" w:rsidP="007B3596">
      <w:pPr>
        <w:rPr>
          <w:color w:val="000000" w:themeColor="text1"/>
        </w:rPr>
      </w:pPr>
      <w:r w:rsidRPr="00B564FC">
        <w:rPr>
          <w:noProof/>
          <w:color w:val="000000" w:themeColor="text1"/>
        </w:rPr>
        <w:drawing>
          <wp:inline distT="0" distB="0" distL="0" distR="0" wp14:anchorId="5BA7BEBB" wp14:editId="0FD5F4C6">
            <wp:extent cx="4946073" cy="2913024"/>
            <wp:effectExtent l="0" t="0" r="6985"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02347" cy="2946167"/>
                    </a:xfrm>
                    <a:prstGeom prst="rect">
                      <a:avLst/>
                    </a:prstGeom>
                    <a:noFill/>
                  </pic:spPr>
                </pic:pic>
              </a:graphicData>
            </a:graphic>
          </wp:inline>
        </w:drawing>
      </w:r>
    </w:p>
    <w:p w14:paraId="788F45AE" w14:textId="77777777" w:rsidR="00545048" w:rsidRPr="00B564FC" w:rsidRDefault="00545048" w:rsidP="007B3596">
      <w:pPr>
        <w:rPr>
          <w:color w:val="000000" w:themeColor="text1"/>
        </w:rPr>
      </w:pPr>
    </w:p>
    <w:p w14:paraId="5402A1A0" w14:textId="54246743" w:rsidR="00016B57" w:rsidRDefault="00016B57" w:rsidP="007B3596">
      <w:pPr>
        <w:pStyle w:val="ListParagraph"/>
        <w:numPr>
          <w:ilvl w:val="0"/>
          <w:numId w:val="19"/>
        </w:numPr>
        <w:ind w:left="426"/>
        <w:jc w:val="left"/>
        <w:rPr>
          <w:color w:val="000000" w:themeColor="text1"/>
        </w:rPr>
      </w:pPr>
      <w:r>
        <w:rPr>
          <w:color w:val="000000" w:themeColor="text1"/>
        </w:rPr>
        <w:t xml:space="preserve">We </w:t>
      </w:r>
      <w:r w:rsidRPr="00910F79">
        <w:rPr>
          <w:color w:val="000000" w:themeColor="text1"/>
        </w:rPr>
        <w:t>estimate that 32,765 fostered children were of school age, as at 31 March 2017.</w:t>
      </w:r>
      <w:r w:rsidRPr="005D5B64">
        <w:rPr>
          <w:rStyle w:val="FootnoteReference"/>
          <w:color w:val="000000" w:themeColor="text1"/>
          <w:position w:val="6"/>
        </w:rPr>
        <w:footnoteReference w:id="40"/>
      </w:r>
    </w:p>
    <w:p w14:paraId="1963ADD9" w14:textId="098FB932" w:rsidR="007B3596" w:rsidRPr="00B564FC" w:rsidRDefault="007B3596" w:rsidP="007B3596">
      <w:pPr>
        <w:pStyle w:val="ListParagraph"/>
        <w:numPr>
          <w:ilvl w:val="0"/>
          <w:numId w:val="19"/>
        </w:numPr>
        <w:ind w:left="426"/>
        <w:jc w:val="left"/>
        <w:rPr>
          <w:color w:val="000000" w:themeColor="text1"/>
        </w:rPr>
      </w:pPr>
      <w:r w:rsidRPr="00B564FC">
        <w:rPr>
          <w:color w:val="000000" w:themeColor="text1"/>
        </w:rPr>
        <w:t>Of these 32,765 school</w:t>
      </w:r>
      <w:r w:rsidR="0001752C">
        <w:rPr>
          <w:color w:val="000000" w:themeColor="text1"/>
        </w:rPr>
        <w:t>-</w:t>
      </w:r>
      <w:r w:rsidRPr="00B564FC">
        <w:rPr>
          <w:color w:val="000000" w:themeColor="text1"/>
        </w:rPr>
        <w:t xml:space="preserve">aged fostered children as at 31 March 2017, a total of 2,070 children experienced at least one educational placement change as a result of a fostering placement change during 2016-17; this shows a decrease of 10% compared </w:t>
      </w:r>
      <w:r w:rsidR="0001752C">
        <w:rPr>
          <w:color w:val="000000" w:themeColor="text1"/>
        </w:rPr>
        <w:t>with</w:t>
      </w:r>
      <w:r w:rsidR="0001752C" w:rsidRPr="00B564FC">
        <w:rPr>
          <w:color w:val="000000" w:themeColor="text1"/>
        </w:rPr>
        <w:t xml:space="preserve"> </w:t>
      </w:r>
      <w:r w:rsidRPr="00B564FC">
        <w:rPr>
          <w:color w:val="000000" w:themeColor="text1"/>
        </w:rPr>
        <w:t xml:space="preserve">last year. </w:t>
      </w:r>
    </w:p>
    <w:p w14:paraId="20112803" w14:textId="16A9E22F" w:rsidR="007B3596" w:rsidRPr="00B564FC" w:rsidRDefault="007B3596" w:rsidP="007B3596">
      <w:pPr>
        <w:pStyle w:val="ListParagraph"/>
        <w:numPr>
          <w:ilvl w:val="0"/>
          <w:numId w:val="19"/>
        </w:numPr>
        <w:ind w:left="426"/>
        <w:jc w:val="left"/>
        <w:rPr>
          <w:color w:val="000000" w:themeColor="text1"/>
        </w:rPr>
      </w:pPr>
      <w:r w:rsidRPr="00B564FC">
        <w:rPr>
          <w:color w:val="000000" w:themeColor="text1"/>
        </w:rPr>
        <w:t>Of the</w:t>
      </w:r>
      <w:r w:rsidR="003D2BBD" w:rsidRPr="00B564FC">
        <w:rPr>
          <w:color w:val="000000" w:themeColor="text1"/>
        </w:rPr>
        <w:t xml:space="preserve"> school</w:t>
      </w:r>
      <w:r w:rsidR="0001752C">
        <w:rPr>
          <w:color w:val="000000" w:themeColor="text1"/>
        </w:rPr>
        <w:t>-</w:t>
      </w:r>
      <w:r w:rsidR="003D2BBD" w:rsidRPr="00B564FC">
        <w:rPr>
          <w:color w:val="000000" w:themeColor="text1"/>
        </w:rPr>
        <w:t>aged</w:t>
      </w:r>
      <w:r w:rsidRPr="00B564FC">
        <w:rPr>
          <w:color w:val="000000" w:themeColor="text1"/>
        </w:rPr>
        <w:t xml:space="preserve"> children in placement at 31 March 2017, </w:t>
      </w:r>
      <w:r w:rsidR="004D1773" w:rsidRPr="00B564FC">
        <w:rPr>
          <w:color w:val="000000" w:themeColor="text1"/>
        </w:rPr>
        <w:t xml:space="preserve">2,790 (9%) </w:t>
      </w:r>
      <w:r w:rsidR="003D5081" w:rsidRPr="00B564FC">
        <w:rPr>
          <w:color w:val="000000" w:themeColor="text1"/>
        </w:rPr>
        <w:t xml:space="preserve">were </w:t>
      </w:r>
      <w:r w:rsidR="004D1773" w:rsidRPr="00B564FC">
        <w:rPr>
          <w:color w:val="000000" w:themeColor="text1"/>
        </w:rPr>
        <w:t>persistent</w:t>
      </w:r>
      <w:r w:rsidR="003D5081" w:rsidRPr="00B564FC">
        <w:rPr>
          <w:color w:val="000000" w:themeColor="text1"/>
        </w:rPr>
        <w:t>ly</w:t>
      </w:r>
      <w:r w:rsidR="004D1773" w:rsidRPr="00B564FC">
        <w:rPr>
          <w:color w:val="000000" w:themeColor="text1"/>
        </w:rPr>
        <w:t xml:space="preserve"> </w:t>
      </w:r>
      <w:r w:rsidR="003D5081" w:rsidRPr="00B564FC">
        <w:rPr>
          <w:color w:val="000000" w:themeColor="text1"/>
        </w:rPr>
        <w:t>absent from education</w:t>
      </w:r>
      <w:r w:rsidR="004D1773" w:rsidRPr="00B564FC">
        <w:rPr>
          <w:color w:val="000000" w:themeColor="text1"/>
        </w:rPr>
        <w:t xml:space="preserve">. In addition </w:t>
      </w:r>
      <w:r w:rsidRPr="00B564FC">
        <w:rPr>
          <w:color w:val="000000" w:themeColor="text1"/>
        </w:rPr>
        <w:t>2,155 had no educational arrangements during 2016</w:t>
      </w:r>
      <w:r w:rsidR="0001752C">
        <w:rPr>
          <w:color w:val="000000" w:themeColor="text1"/>
        </w:rPr>
        <w:t>–</w:t>
      </w:r>
      <w:r w:rsidRPr="00B564FC">
        <w:rPr>
          <w:color w:val="000000" w:themeColor="text1"/>
        </w:rPr>
        <w:t>17</w:t>
      </w:r>
      <w:r w:rsidR="00E44987" w:rsidRPr="00B564FC">
        <w:rPr>
          <w:color w:val="000000" w:themeColor="text1"/>
        </w:rPr>
        <w:t xml:space="preserve"> </w:t>
      </w:r>
      <w:r w:rsidR="004D1773" w:rsidRPr="00B564FC">
        <w:rPr>
          <w:color w:val="000000" w:themeColor="text1"/>
        </w:rPr>
        <w:t xml:space="preserve">and </w:t>
      </w:r>
      <w:r w:rsidRPr="00B564FC">
        <w:rPr>
          <w:color w:val="000000" w:themeColor="text1"/>
        </w:rPr>
        <w:t>2,500 attended alternative educational provisions.</w:t>
      </w:r>
      <w:r w:rsidRPr="00B564FC">
        <w:rPr>
          <w:rStyle w:val="FootnoteReference"/>
          <w:color w:val="000000" w:themeColor="text1"/>
        </w:rPr>
        <w:footnoteReference w:id="41"/>
      </w:r>
    </w:p>
    <w:p w14:paraId="05C871DF" w14:textId="33A4B792" w:rsidR="007B3596" w:rsidRPr="00B564FC" w:rsidRDefault="007B3596" w:rsidP="007B3596">
      <w:pPr>
        <w:pStyle w:val="ListParagraph"/>
        <w:numPr>
          <w:ilvl w:val="0"/>
          <w:numId w:val="19"/>
        </w:numPr>
        <w:ind w:left="426"/>
        <w:jc w:val="left"/>
        <w:rPr>
          <w:color w:val="000000" w:themeColor="text1"/>
        </w:rPr>
      </w:pPr>
      <w:r w:rsidRPr="00B564FC">
        <w:rPr>
          <w:color w:val="000000" w:themeColor="text1"/>
        </w:rPr>
        <w:t xml:space="preserve">Children who experienced educational placement changes were also more likely to have persistent </w:t>
      </w:r>
      <w:r w:rsidR="003D5081" w:rsidRPr="00B564FC">
        <w:rPr>
          <w:color w:val="000000" w:themeColor="text1"/>
        </w:rPr>
        <w:t xml:space="preserve">educational </w:t>
      </w:r>
      <w:r w:rsidRPr="00B564FC">
        <w:rPr>
          <w:color w:val="000000" w:themeColor="text1"/>
        </w:rPr>
        <w:t xml:space="preserve">absence (12%) </w:t>
      </w:r>
      <w:r w:rsidR="003D5081" w:rsidRPr="00B564FC">
        <w:rPr>
          <w:color w:val="000000" w:themeColor="text1"/>
        </w:rPr>
        <w:t>than</w:t>
      </w:r>
      <w:r w:rsidRPr="00B564FC">
        <w:rPr>
          <w:color w:val="000000" w:themeColor="text1"/>
        </w:rPr>
        <w:t xml:space="preserve"> children who did not experience educational placement changes (5%). This is also higher than the percentage of all fostered school</w:t>
      </w:r>
      <w:r w:rsidR="0001752C">
        <w:rPr>
          <w:color w:val="000000" w:themeColor="text1"/>
        </w:rPr>
        <w:t>-</w:t>
      </w:r>
      <w:r w:rsidRPr="00B564FC">
        <w:rPr>
          <w:color w:val="000000" w:themeColor="text1"/>
        </w:rPr>
        <w:t xml:space="preserve">aged children who have persistent absence (9%), as well as the DfE’s national percentage of </w:t>
      </w:r>
      <w:r w:rsidRPr="00B564FC">
        <w:rPr>
          <w:rFonts w:cs="Tahoma"/>
          <w:color w:val="000000" w:themeColor="text1"/>
        </w:rPr>
        <w:t xml:space="preserve">persistent absence for </w:t>
      </w:r>
      <w:r w:rsidRPr="00B564FC">
        <w:rPr>
          <w:color w:val="000000" w:themeColor="text1"/>
        </w:rPr>
        <w:t>all school</w:t>
      </w:r>
      <w:r w:rsidR="0001752C">
        <w:rPr>
          <w:color w:val="000000" w:themeColor="text1"/>
        </w:rPr>
        <w:t>-</w:t>
      </w:r>
      <w:r w:rsidRPr="00B564FC">
        <w:rPr>
          <w:color w:val="000000" w:themeColor="text1"/>
        </w:rPr>
        <w:t>aged children (10%).</w:t>
      </w:r>
      <w:r w:rsidRPr="00B564FC">
        <w:rPr>
          <w:rStyle w:val="FootnoteReference"/>
          <w:color w:val="000000" w:themeColor="text1"/>
        </w:rPr>
        <w:footnoteReference w:id="42"/>
      </w:r>
    </w:p>
    <w:p w14:paraId="04DB694F" w14:textId="1462D04B" w:rsidR="007B3596" w:rsidRPr="00B564FC" w:rsidRDefault="007B3596" w:rsidP="007B3596">
      <w:pPr>
        <w:pStyle w:val="ListParagraph"/>
        <w:numPr>
          <w:ilvl w:val="0"/>
          <w:numId w:val="19"/>
        </w:numPr>
        <w:ind w:left="426"/>
        <w:jc w:val="left"/>
        <w:rPr>
          <w:color w:val="000000" w:themeColor="text1"/>
        </w:rPr>
      </w:pPr>
      <w:r w:rsidRPr="00B564FC">
        <w:rPr>
          <w:color w:val="000000" w:themeColor="text1"/>
        </w:rPr>
        <w:t xml:space="preserve">Children in IFA placements </w:t>
      </w:r>
      <w:r w:rsidR="003D5081" w:rsidRPr="00B564FC">
        <w:rPr>
          <w:color w:val="000000" w:themeColor="text1"/>
        </w:rPr>
        <w:t xml:space="preserve">make up </w:t>
      </w:r>
      <w:r w:rsidRPr="00B564FC">
        <w:rPr>
          <w:color w:val="000000" w:themeColor="text1"/>
        </w:rPr>
        <w:t xml:space="preserve">a higher percentage of children experiencing an educational placement change (47%) than they </w:t>
      </w:r>
      <w:r w:rsidR="003D5081" w:rsidRPr="00B564FC">
        <w:rPr>
          <w:color w:val="000000" w:themeColor="text1"/>
        </w:rPr>
        <w:t xml:space="preserve">do </w:t>
      </w:r>
      <w:r w:rsidRPr="00B564FC">
        <w:rPr>
          <w:color w:val="000000" w:themeColor="text1"/>
        </w:rPr>
        <w:t xml:space="preserve">of all children </w:t>
      </w:r>
      <w:r w:rsidR="003D5081" w:rsidRPr="00B564FC">
        <w:rPr>
          <w:color w:val="000000" w:themeColor="text1"/>
        </w:rPr>
        <w:t xml:space="preserve">in foster care generally </w:t>
      </w:r>
      <w:r w:rsidRPr="00B564FC">
        <w:rPr>
          <w:color w:val="000000" w:themeColor="text1"/>
        </w:rPr>
        <w:t>(34%).</w:t>
      </w:r>
    </w:p>
    <w:p w14:paraId="7063ABE0" w14:textId="2DDD9900" w:rsidR="007B3596" w:rsidRPr="00B564FC" w:rsidRDefault="007B3596" w:rsidP="007B3596">
      <w:pPr>
        <w:pStyle w:val="ListParagraph"/>
        <w:numPr>
          <w:ilvl w:val="0"/>
          <w:numId w:val="19"/>
        </w:numPr>
        <w:ind w:left="426"/>
        <w:jc w:val="left"/>
        <w:rPr>
          <w:color w:val="000000" w:themeColor="text1"/>
        </w:rPr>
      </w:pPr>
      <w:r w:rsidRPr="00B564FC">
        <w:rPr>
          <w:color w:val="000000" w:themeColor="text1"/>
        </w:rPr>
        <w:t>The majority of children with persistent absence were placed with LA</w:t>
      </w:r>
      <w:r w:rsidR="009A34C0" w:rsidRPr="00B564FC">
        <w:rPr>
          <w:color w:val="000000" w:themeColor="text1"/>
        </w:rPr>
        <w:t xml:space="preserve"> foster carer</w:t>
      </w:r>
      <w:r w:rsidRPr="00B564FC">
        <w:rPr>
          <w:color w:val="000000" w:themeColor="text1"/>
        </w:rPr>
        <w:t>s (</w:t>
      </w:r>
      <w:r w:rsidR="00F66011" w:rsidRPr="00B564FC">
        <w:rPr>
          <w:color w:val="000000" w:themeColor="text1"/>
        </w:rPr>
        <w:t xml:space="preserve">2,365, </w:t>
      </w:r>
      <w:r w:rsidRPr="00B564FC">
        <w:rPr>
          <w:color w:val="000000" w:themeColor="text1"/>
        </w:rPr>
        <w:t>85%)</w:t>
      </w:r>
      <w:r w:rsidR="009A34C0" w:rsidRPr="00B564FC">
        <w:rPr>
          <w:color w:val="000000" w:themeColor="text1"/>
        </w:rPr>
        <w:t>.</w:t>
      </w:r>
      <w:r w:rsidRPr="00B564FC">
        <w:rPr>
          <w:color w:val="000000" w:themeColor="text1"/>
        </w:rPr>
        <w:t xml:space="preserve"> </w:t>
      </w:r>
      <w:r w:rsidR="009A34C0" w:rsidRPr="00B564FC">
        <w:rPr>
          <w:color w:val="000000" w:themeColor="text1"/>
        </w:rPr>
        <w:t>A</w:t>
      </w:r>
      <w:r w:rsidRPr="00B564FC">
        <w:rPr>
          <w:color w:val="000000" w:themeColor="text1"/>
        </w:rPr>
        <w:t xml:space="preserve"> higher percentage of children with no educational arrangements in year were placed with IFA</w:t>
      </w:r>
      <w:r w:rsidR="009A34C0" w:rsidRPr="00B564FC">
        <w:rPr>
          <w:color w:val="000000" w:themeColor="text1"/>
        </w:rPr>
        <w:t xml:space="preserve"> carer</w:t>
      </w:r>
      <w:r w:rsidRPr="00B564FC">
        <w:rPr>
          <w:color w:val="000000" w:themeColor="text1"/>
        </w:rPr>
        <w:t>s (</w:t>
      </w:r>
      <w:r w:rsidR="00F66011" w:rsidRPr="00B564FC">
        <w:rPr>
          <w:color w:val="000000" w:themeColor="text1"/>
        </w:rPr>
        <w:t xml:space="preserve">1,380, </w:t>
      </w:r>
      <w:r w:rsidRPr="00B564FC">
        <w:rPr>
          <w:color w:val="000000" w:themeColor="text1"/>
        </w:rPr>
        <w:t xml:space="preserve">64%). </w:t>
      </w:r>
    </w:p>
    <w:p w14:paraId="4BE61D2B" w14:textId="5123234C" w:rsidR="007B3596" w:rsidRPr="00B564FC" w:rsidRDefault="007B3596" w:rsidP="007B3596">
      <w:pPr>
        <w:pStyle w:val="ListParagraph"/>
        <w:numPr>
          <w:ilvl w:val="0"/>
          <w:numId w:val="37"/>
        </w:numPr>
        <w:ind w:left="426"/>
        <w:jc w:val="left"/>
        <w:rPr>
          <w:color w:val="000000" w:themeColor="text1"/>
        </w:rPr>
      </w:pPr>
      <w:r w:rsidRPr="00B564FC">
        <w:rPr>
          <w:color w:val="000000" w:themeColor="text1"/>
        </w:rPr>
        <w:t xml:space="preserve">A higher percentage of children who had at least one unplanned ending also had a change of educational placement (10%) compared </w:t>
      </w:r>
      <w:r w:rsidR="0001752C">
        <w:rPr>
          <w:color w:val="000000" w:themeColor="text1"/>
        </w:rPr>
        <w:t>with</w:t>
      </w:r>
      <w:r w:rsidR="0001752C" w:rsidRPr="00B564FC">
        <w:rPr>
          <w:color w:val="000000" w:themeColor="text1"/>
        </w:rPr>
        <w:t xml:space="preserve"> </w:t>
      </w:r>
      <w:r w:rsidRPr="00B564FC">
        <w:rPr>
          <w:color w:val="000000" w:themeColor="text1"/>
        </w:rPr>
        <w:t>children with no unplanned endings who had a change of educational placements (4%).</w:t>
      </w:r>
    </w:p>
    <w:p w14:paraId="55F9C64C" w14:textId="77777777" w:rsidR="007B3596" w:rsidRPr="00B564FC" w:rsidRDefault="007B3596" w:rsidP="00CD38D0">
      <w:pPr>
        <w:ind w:left="66"/>
        <w:jc w:val="left"/>
        <w:rPr>
          <w:color w:val="000000" w:themeColor="text1"/>
        </w:rPr>
      </w:pPr>
    </w:p>
    <w:p w14:paraId="30E54E30" w14:textId="6BBD94D6" w:rsidR="007B3596" w:rsidRPr="00B564FC" w:rsidRDefault="000E7AC6" w:rsidP="0042575C">
      <w:pPr>
        <w:pStyle w:val="Table"/>
        <w:rPr>
          <w:color w:val="000000" w:themeColor="text1"/>
        </w:rPr>
      </w:pPr>
      <w:bookmarkStart w:id="77" w:name="_Toc509495451"/>
      <w:r w:rsidRPr="00B564FC">
        <w:rPr>
          <w:color w:val="000000" w:themeColor="text1"/>
        </w:rPr>
        <w:t xml:space="preserve">Figure </w:t>
      </w:r>
      <w:r w:rsidR="00820841">
        <w:rPr>
          <w:color w:val="000000" w:themeColor="text1"/>
        </w:rPr>
        <w:t>10</w:t>
      </w:r>
      <w:r w:rsidR="007B3596" w:rsidRPr="00B564FC">
        <w:rPr>
          <w:color w:val="000000" w:themeColor="text1"/>
        </w:rPr>
        <w:t xml:space="preserve">: </w:t>
      </w:r>
      <w:r w:rsidR="005F1120" w:rsidRPr="00B564FC">
        <w:rPr>
          <w:color w:val="000000" w:themeColor="text1"/>
        </w:rPr>
        <w:t>Persistent absence linked to unplanned endings</w:t>
      </w:r>
      <w:bookmarkEnd w:id="77"/>
    </w:p>
    <w:p w14:paraId="349E48F0" w14:textId="77777777" w:rsidR="00A904D1" w:rsidRDefault="00A904D1" w:rsidP="007B3596">
      <w:pPr>
        <w:jc w:val="left"/>
        <w:rPr>
          <w:color w:val="000000" w:themeColor="text1"/>
        </w:rPr>
      </w:pPr>
    </w:p>
    <w:p w14:paraId="6C090FDD" w14:textId="53F0A329" w:rsidR="00A904D1" w:rsidRPr="00B564FC" w:rsidRDefault="0049510D" w:rsidP="007B3596">
      <w:pPr>
        <w:jc w:val="left"/>
        <w:rPr>
          <w:color w:val="000000" w:themeColor="text1"/>
        </w:rPr>
      </w:pPr>
      <w:r>
        <w:rPr>
          <w:noProof/>
        </w:rPr>
        <w:drawing>
          <wp:inline distT="0" distB="0" distL="0" distR="0" wp14:anchorId="51B04325" wp14:editId="3950502D">
            <wp:extent cx="4559300" cy="2743200"/>
            <wp:effectExtent l="0" t="0" r="1270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F237338" w14:textId="77777777" w:rsidR="000B2490" w:rsidRPr="00B564FC" w:rsidRDefault="000B2490" w:rsidP="007B3596">
      <w:pPr>
        <w:jc w:val="left"/>
        <w:rPr>
          <w:color w:val="000000" w:themeColor="text1"/>
        </w:rPr>
      </w:pPr>
    </w:p>
    <w:p w14:paraId="366C5A9F" w14:textId="307A5EB6" w:rsidR="007B3596" w:rsidRPr="00B564FC" w:rsidRDefault="007B3596">
      <w:pPr>
        <w:pStyle w:val="ListParagraph"/>
        <w:numPr>
          <w:ilvl w:val="0"/>
          <w:numId w:val="37"/>
        </w:numPr>
        <w:ind w:left="426"/>
        <w:jc w:val="left"/>
        <w:rPr>
          <w:color w:val="000000" w:themeColor="text1"/>
        </w:rPr>
      </w:pPr>
      <w:r w:rsidRPr="00B564FC">
        <w:rPr>
          <w:color w:val="000000" w:themeColor="text1"/>
        </w:rPr>
        <w:t xml:space="preserve">Children who experienced at least one unplanned ending had a higher rate of persistent absence (13%) compared </w:t>
      </w:r>
      <w:r w:rsidR="0001752C">
        <w:rPr>
          <w:color w:val="000000" w:themeColor="text1"/>
        </w:rPr>
        <w:t>with</w:t>
      </w:r>
      <w:r w:rsidR="0001752C" w:rsidRPr="00B564FC">
        <w:rPr>
          <w:color w:val="000000" w:themeColor="text1"/>
        </w:rPr>
        <w:t xml:space="preserve"> </w:t>
      </w:r>
      <w:r w:rsidRPr="00B564FC">
        <w:rPr>
          <w:color w:val="000000" w:themeColor="text1"/>
        </w:rPr>
        <w:t>the children who did not experience unplanned endings (5%).</w:t>
      </w:r>
      <w:r w:rsidR="00D3494D" w:rsidRPr="00B564FC">
        <w:rPr>
          <w:color w:val="000000" w:themeColor="text1"/>
        </w:rPr>
        <w:t xml:space="preserve"> This lends weight to the recent </w:t>
      </w:r>
      <w:r w:rsidR="00AA601D" w:rsidRPr="00B564FC">
        <w:rPr>
          <w:color w:val="000000" w:themeColor="text1"/>
        </w:rPr>
        <w:t xml:space="preserve">Education </w:t>
      </w:r>
      <w:r w:rsidR="00D3494D" w:rsidRPr="00B564FC">
        <w:rPr>
          <w:color w:val="000000" w:themeColor="text1"/>
        </w:rPr>
        <w:t xml:space="preserve">Select Committee </w:t>
      </w:r>
      <w:r w:rsidR="00AA601D" w:rsidRPr="00B564FC">
        <w:rPr>
          <w:color w:val="000000" w:themeColor="text1"/>
        </w:rPr>
        <w:t xml:space="preserve">report’s </w:t>
      </w:r>
      <w:r w:rsidR="00D3494D" w:rsidRPr="00B564FC">
        <w:rPr>
          <w:color w:val="000000" w:themeColor="text1"/>
        </w:rPr>
        <w:t>statement</w:t>
      </w:r>
      <w:r w:rsidR="0001752C">
        <w:rPr>
          <w:color w:val="000000" w:themeColor="text1"/>
        </w:rPr>
        <w:t>,</w:t>
      </w:r>
      <w:r w:rsidR="00D3494D" w:rsidRPr="00B564FC">
        <w:rPr>
          <w:color w:val="000000" w:themeColor="text1"/>
        </w:rPr>
        <w:t xml:space="preserve"> which </w:t>
      </w:r>
      <w:r w:rsidR="00AA601D" w:rsidRPr="00B564FC">
        <w:rPr>
          <w:color w:val="000000" w:themeColor="text1"/>
        </w:rPr>
        <w:t>refers to</w:t>
      </w:r>
      <w:r w:rsidR="00D3494D" w:rsidRPr="00B564FC">
        <w:rPr>
          <w:color w:val="000000" w:themeColor="text1"/>
        </w:rPr>
        <w:t xml:space="preserve"> instability </w:t>
      </w:r>
      <w:r w:rsidR="00AA601D" w:rsidRPr="00B564FC">
        <w:rPr>
          <w:color w:val="000000" w:themeColor="text1"/>
        </w:rPr>
        <w:t xml:space="preserve">as </w:t>
      </w:r>
      <w:r w:rsidR="00D3494D" w:rsidRPr="00B564FC">
        <w:rPr>
          <w:color w:val="000000" w:themeColor="text1"/>
        </w:rPr>
        <w:t>a factor in the increase in rate of absence from school.</w:t>
      </w:r>
      <w:r w:rsidR="00D3494D" w:rsidRPr="00B564FC">
        <w:rPr>
          <w:rStyle w:val="FootnoteReference"/>
          <w:color w:val="000000" w:themeColor="text1"/>
        </w:rPr>
        <w:footnoteReference w:id="43"/>
      </w:r>
    </w:p>
    <w:p w14:paraId="75DD4AD8" w14:textId="61902EE0" w:rsidR="007B3596" w:rsidRPr="00B564FC" w:rsidRDefault="00F66011" w:rsidP="007B3596">
      <w:pPr>
        <w:pStyle w:val="ListParagraph"/>
        <w:numPr>
          <w:ilvl w:val="0"/>
          <w:numId w:val="37"/>
        </w:numPr>
        <w:ind w:left="426"/>
        <w:jc w:val="left"/>
        <w:rPr>
          <w:color w:val="000000" w:themeColor="text1"/>
        </w:rPr>
      </w:pPr>
      <w:r w:rsidRPr="00B564FC">
        <w:rPr>
          <w:color w:val="000000" w:themeColor="text1"/>
        </w:rPr>
        <w:t>P</w:t>
      </w:r>
      <w:r w:rsidR="007B3596" w:rsidRPr="00B564FC">
        <w:rPr>
          <w:color w:val="000000" w:themeColor="text1"/>
        </w:rPr>
        <w:t>ersistent absence figures for children with unplanned endings are higher than the percentage of fostered school</w:t>
      </w:r>
      <w:r w:rsidR="0001752C">
        <w:rPr>
          <w:color w:val="000000" w:themeColor="text1"/>
        </w:rPr>
        <w:t>-</w:t>
      </w:r>
      <w:r w:rsidR="007B3596" w:rsidRPr="00B564FC">
        <w:rPr>
          <w:color w:val="000000" w:themeColor="text1"/>
        </w:rPr>
        <w:t>aged children who have persistent absence (9%).</w:t>
      </w:r>
    </w:p>
    <w:p w14:paraId="458D2C71" w14:textId="77777777" w:rsidR="007B3596" w:rsidRPr="00B564FC" w:rsidRDefault="007B3596" w:rsidP="007B3596">
      <w:pPr>
        <w:jc w:val="left"/>
        <w:rPr>
          <w:color w:val="000000" w:themeColor="text1"/>
        </w:rPr>
      </w:pPr>
    </w:p>
    <w:p w14:paraId="03502910" w14:textId="77777777" w:rsidR="007B3596" w:rsidRPr="00A135DF" w:rsidRDefault="007B3596" w:rsidP="00047E43">
      <w:pPr>
        <w:pStyle w:val="Heading3"/>
        <w:rPr>
          <w:color w:val="000000" w:themeColor="text1"/>
        </w:rPr>
      </w:pPr>
      <w:bookmarkStart w:id="78" w:name="_Toc509261136"/>
      <w:r w:rsidRPr="00A135DF">
        <w:rPr>
          <w:color w:val="000000" w:themeColor="text1"/>
        </w:rPr>
        <w:t>Restraint</w:t>
      </w:r>
      <w:bookmarkEnd w:id="78"/>
    </w:p>
    <w:p w14:paraId="35440170" w14:textId="5E29EED6" w:rsidR="007B3596" w:rsidRPr="00A135DF" w:rsidRDefault="007B3596" w:rsidP="007B3596">
      <w:pPr>
        <w:pStyle w:val="ListParagraph"/>
        <w:numPr>
          <w:ilvl w:val="0"/>
          <w:numId w:val="22"/>
        </w:numPr>
        <w:ind w:left="425" w:hanging="425"/>
        <w:jc w:val="left"/>
        <w:rPr>
          <w:color w:val="000000" w:themeColor="text1"/>
        </w:rPr>
      </w:pPr>
      <w:bookmarkStart w:id="79" w:name="_Toc408930048"/>
      <w:r w:rsidRPr="00A135DF">
        <w:rPr>
          <w:color w:val="000000" w:themeColor="text1"/>
          <w:lang w:eastAsia="en-US"/>
        </w:rPr>
        <w:t>In 2016</w:t>
      </w:r>
      <w:r w:rsidR="0001752C" w:rsidRPr="00A135DF">
        <w:rPr>
          <w:color w:val="000000" w:themeColor="text1"/>
        </w:rPr>
        <w:t>–</w:t>
      </w:r>
      <w:r w:rsidRPr="00A135DF">
        <w:rPr>
          <w:color w:val="000000" w:themeColor="text1"/>
          <w:lang w:eastAsia="en-US"/>
        </w:rPr>
        <w:t xml:space="preserve">17, there were </w:t>
      </w:r>
      <w:r w:rsidR="00C03F15" w:rsidRPr="00A135DF">
        <w:rPr>
          <w:color w:val="000000" w:themeColor="text1"/>
          <w:lang w:eastAsia="en-US"/>
        </w:rPr>
        <w:t>1,280</w:t>
      </w:r>
      <w:r w:rsidRPr="00A135DF">
        <w:rPr>
          <w:color w:val="000000" w:themeColor="text1"/>
          <w:lang w:eastAsia="en-US"/>
        </w:rPr>
        <w:t xml:space="preserve"> incidents of physical restraint, which is a </w:t>
      </w:r>
      <w:r w:rsidR="00C03F15" w:rsidRPr="00A135DF">
        <w:rPr>
          <w:color w:val="000000" w:themeColor="text1"/>
          <w:lang w:eastAsia="en-US"/>
        </w:rPr>
        <w:t>23</w:t>
      </w:r>
      <w:r w:rsidRPr="00A135DF">
        <w:rPr>
          <w:color w:val="000000" w:themeColor="text1"/>
          <w:lang w:eastAsia="en-US"/>
        </w:rPr>
        <w:t xml:space="preserve">% </w:t>
      </w:r>
      <w:r w:rsidR="007E0C6D" w:rsidRPr="00A135DF">
        <w:rPr>
          <w:color w:val="000000" w:themeColor="text1"/>
          <w:lang w:eastAsia="en-US"/>
        </w:rPr>
        <w:t>increase</w:t>
      </w:r>
      <w:r w:rsidRPr="00A135DF">
        <w:rPr>
          <w:color w:val="000000" w:themeColor="text1"/>
          <w:lang w:eastAsia="en-US"/>
        </w:rPr>
        <w:t xml:space="preserve"> compared </w:t>
      </w:r>
      <w:r w:rsidR="0001752C" w:rsidRPr="00A135DF">
        <w:rPr>
          <w:color w:val="000000" w:themeColor="text1"/>
          <w:lang w:eastAsia="en-US"/>
        </w:rPr>
        <w:t xml:space="preserve">with </w:t>
      </w:r>
      <w:r w:rsidRPr="00A135DF">
        <w:rPr>
          <w:color w:val="000000" w:themeColor="text1"/>
          <w:lang w:eastAsia="en-US"/>
        </w:rPr>
        <w:t>last year.</w:t>
      </w:r>
      <w:r w:rsidRPr="00A135DF">
        <w:rPr>
          <w:rStyle w:val="FootnoteReference"/>
          <w:color w:val="000000" w:themeColor="text1"/>
          <w:lang w:eastAsia="en-US"/>
        </w:rPr>
        <w:footnoteReference w:id="44"/>
      </w:r>
      <w:r w:rsidRPr="00A135DF">
        <w:rPr>
          <w:color w:val="000000" w:themeColor="text1"/>
          <w:lang w:eastAsia="en-US"/>
        </w:rPr>
        <w:t xml:space="preserve"> </w:t>
      </w:r>
      <w:r w:rsidR="00C03F15" w:rsidRPr="00A135DF">
        <w:rPr>
          <w:color w:val="000000" w:themeColor="text1"/>
          <w:lang w:eastAsia="en-US"/>
        </w:rPr>
        <w:t>T</w:t>
      </w:r>
      <w:r w:rsidRPr="00A135DF">
        <w:rPr>
          <w:color w:val="000000" w:themeColor="text1"/>
          <w:lang w:eastAsia="en-US"/>
        </w:rPr>
        <w:t xml:space="preserve">he </w:t>
      </w:r>
      <w:r w:rsidR="00C03F15" w:rsidRPr="00A135DF">
        <w:rPr>
          <w:color w:val="000000" w:themeColor="text1"/>
          <w:lang w:eastAsia="en-US"/>
        </w:rPr>
        <w:t>number of children affected (650</w:t>
      </w:r>
      <w:r w:rsidRPr="00A135DF">
        <w:rPr>
          <w:color w:val="000000" w:themeColor="text1"/>
          <w:lang w:eastAsia="en-US"/>
        </w:rPr>
        <w:t xml:space="preserve">) is </w:t>
      </w:r>
      <w:r w:rsidR="00C03F15" w:rsidRPr="00A135DF">
        <w:rPr>
          <w:color w:val="000000" w:themeColor="text1"/>
          <w:lang w:eastAsia="en-US"/>
        </w:rPr>
        <w:t>also higher than last year;</w:t>
      </w:r>
      <w:r w:rsidRPr="00A135DF">
        <w:rPr>
          <w:color w:val="000000" w:themeColor="text1"/>
          <w:lang w:eastAsia="en-US"/>
        </w:rPr>
        <w:t xml:space="preserve"> the average number of incidents per child who experienced restraint </w:t>
      </w:r>
      <w:r w:rsidR="00C03F15" w:rsidRPr="00A135DF">
        <w:rPr>
          <w:color w:val="000000" w:themeColor="text1"/>
          <w:lang w:eastAsia="en-US"/>
        </w:rPr>
        <w:t>increased from 1.8 to 2.0.</w:t>
      </w:r>
      <w:r w:rsidRPr="00A135DF">
        <w:rPr>
          <w:color w:val="000000" w:themeColor="text1"/>
        </w:rPr>
        <w:t xml:space="preserve"> </w:t>
      </w:r>
    </w:p>
    <w:p w14:paraId="690B37BF" w14:textId="6D7AD2AA" w:rsidR="00213322" w:rsidRPr="00A135DF" w:rsidRDefault="00C03F15" w:rsidP="00213322">
      <w:pPr>
        <w:pStyle w:val="ListParagraph"/>
        <w:numPr>
          <w:ilvl w:val="0"/>
          <w:numId w:val="22"/>
        </w:numPr>
        <w:ind w:left="425" w:hanging="425"/>
        <w:jc w:val="left"/>
        <w:rPr>
          <w:color w:val="000000" w:themeColor="text1"/>
        </w:rPr>
      </w:pPr>
      <w:r w:rsidRPr="00A135DF">
        <w:rPr>
          <w:color w:val="000000" w:themeColor="text1"/>
        </w:rPr>
        <w:t>The majority of incidents of physical restraint</w:t>
      </w:r>
      <w:r w:rsidR="00213322" w:rsidRPr="00A135DF">
        <w:rPr>
          <w:color w:val="000000" w:themeColor="text1"/>
        </w:rPr>
        <w:t xml:space="preserve"> still </w:t>
      </w:r>
      <w:r w:rsidRPr="00A135DF">
        <w:rPr>
          <w:color w:val="000000" w:themeColor="text1"/>
        </w:rPr>
        <w:t>took place within the IFA sector</w:t>
      </w:r>
      <w:r w:rsidR="00213322" w:rsidRPr="00A135DF">
        <w:rPr>
          <w:color w:val="000000" w:themeColor="text1"/>
        </w:rPr>
        <w:t xml:space="preserve"> (7</w:t>
      </w:r>
      <w:r w:rsidR="00A349F2" w:rsidRPr="00A135DF">
        <w:rPr>
          <w:color w:val="000000" w:themeColor="text1"/>
        </w:rPr>
        <w:t>6</w:t>
      </w:r>
      <w:r w:rsidR="00213322" w:rsidRPr="00A135DF">
        <w:rPr>
          <w:color w:val="000000" w:themeColor="text1"/>
        </w:rPr>
        <w:t>%</w:t>
      </w:r>
      <w:r w:rsidR="00BE1F6D" w:rsidRPr="00A135DF">
        <w:rPr>
          <w:color w:val="000000" w:themeColor="text1"/>
        </w:rPr>
        <w:t xml:space="preserve"> of all instances</w:t>
      </w:r>
      <w:r w:rsidR="00213322" w:rsidRPr="00A135DF">
        <w:rPr>
          <w:color w:val="000000" w:themeColor="text1"/>
        </w:rPr>
        <w:t>); this may be because children with higher levels of needs are most likely to be placed with IFAs.</w:t>
      </w:r>
      <w:r w:rsidRPr="00A135DF">
        <w:rPr>
          <w:color w:val="000000" w:themeColor="text1"/>
        </w:rPr>
        <w:t xml:space="preserve"> </w:t>
      </w:r>
    </w:p>
    <w:p w14:paraId="05D5617E" w14:textId="77777777" w:rsidR="00AF739D" w:rsidRDefault="00AF739D" w:rsidP="007B3596">
      <w:pPr>
        <w:pStyle w:val="Heading2"/>
        <w:jc w:val="left"/>
        <w:rPr>
          <w:color w:val="000000" w:themeColor="text1"/>
        </w:rPr>
      </w:pPr>
      <w:bookmarkStart w:id="80" w:name="_Toc509261137"/>
    </w:p>
    <w:p w14:paraId="1C20A3DC" w14:textId="77777777" w:rsidR="007B3596" w:rsidRPr="00B564FC" w:rsidRDefault="007B3596" w:rsidP="007B3596">
      <w:pPr>
        <w:pStyle w:val="Heading2"/>
        <w:jc w:val="left"/>
        <w:rPr>
          <w:color w:val="000000" w:themeColor="text1"/>
        </w:rPr>
      </w:pPr>
      <w:r w:rsidRPr="00B564FC">
        <w:rPr>
          <w:color w:val="000000" w:themeColor="text1"/>
        </w:rPr>
        <w:t>Safeguarding</w:t>
      </w:r>
      <w:bookmarkEnd w:id="79"/>
      <w:bookmarkEnd w:id="80"/>
    </w:p>
    <w:p w14:paraId="26874231" w14:textId="77777777" w:rsidR="004B3391" w:rsidRPr="00B564FC" w:rsidRDefault="004B3391" w:rsidP="004B3391">
      <w:pPr>
        <w:jc w:val="left"/>
        <w:rPr>
          <w:color w:val="000000" w:themeColor="text1"/>
          <w:u w:val="single"/>
        </w:rPr>
      </w:pPr>
      <w:r w:rsidRPr="00B564FC">
        <w:rPr>
          <w:color w:val="000000" w:themeColor="text1"/>
          <w:u w:val="single"/>
        </w:rPr>
        <w:t>Section overview</w:t>
      </w:r>
    </w:p>
    <w:p w14:paraId="2E030EF2" w14:textId="76A281BC" w:rsidR="004B3391" w:rsidRPr="00B564FC" w:rsidRDefault="004B3391" w:rsidP="004B3391">
      <w:pPr>
        <w:jc w:val="left"/>
        <w:rPr>
          <w:color w:val="000000" w:themeColor="text1"/>
        </w:rPr>
      </w:pPr>
      <w:r w:rsidRPr="00B564FC">
        <w:rPr>
          <w:color w:val="000000" w:themeColor="text1"/>
        </w:rPr>
        <w:t xml:space="preserve">Children and young people who go missing from foster care should always be offered a return home interview (RHI) </w:t>
      </w:r>
      <w:r w:rsidR="0001752C">
        <w:rPr>
          <w:color w:val="000000" w:themeColor="text1"/>
        </w:rPr>
        <w:t>on</w:t>
      </w:r>
      <w:r w:rsidR="0001752C" w:rsidRPr="00B564FC">
        <w:rPr>
          <w:color w:val="000000" w:themeColor="text1"/>
        </w:rPr>
        <w:t xml:space="preserve"> </w:t>
      </w:r>
      <w:r w:rsidRPr="00B564FC">
        <w:rPr>
          <w:color w:val="000000" w:themeColor="text1"/>
        </w:rPr>
        <w:t>their return.</w:t>
      </w:r>
      <w:r w:rsidR="00816F57" w:rsidRPr="00B564FC">
        <w:rPr>
          <w:rStyle w:val="FootnoteReference"/>
          <w:color w:val="000000" w:themeColor="text1"/>
        </w:rPr>
        <w:footnoteReference w:id="45"/>
      </w:r>
      <w:r w:rsidR="00355EBA" w:rsidRPr="00355EBA">
        <w:rPr>
          <w:color w:val="000000" w:themeColor="text1"/>
          <w:vertAlign w:val="superscript"/>
        </w:rPr>
        <w:t>,</w:t>
      </w:r>
      <w:r w:rsidR="00355EBA">
        <w:rPr>
          <w:rStyle w:val="FootnoteReference"/>
          <w:color w:val="000000" w:themeColor="text1"/>
        </w:rPr>
        <w:footnoteReference w:id="46"/>
      </w:r>
      <w:r w:rsidRPr="00B564FC">
        <w:rPr>
          <w:color w:val="000000" w:themeColor="text1"/>
        </w:rPr>
        <w:t xml:space="preserve"> </w:t>
      </w:r>
      <w:r w:rsidR="00205DBC">
        <w:rPr>
          <w:rFonts w:cs="Tahoma"/>
          <w:color w:val="000000" w:themeColor="text1"/>
        </w:rPr>
        <w:t>Last year just under half did not have a RHI</w:t>
      </w:r>
      <w:r w:rsidR="00B65BF1">
        <w:rPr>
          <w:rFonts w:cs="Tahoma"/>
          <w:color w:val="000000" w:themeColor="text1"/>
        </w:rPr>
        <w:t>.</w:t>
      </w:r>
      <w:r w:rsidRPr="00B564FC">
        <w:rPr>
          <w:color w:val="000000" w:themeColor="text1"/>
        </w:rPr>
        <w:t xml:space="preserve"> </w:t>
      </w:r>
      <w:r w:rsidR="00205DBC" w:rsidRPr="00205DBC">
        <w:rPr>
          <w:color w:val="000000" w:themeColor="text1"/>
        </w:rPr>
        <w:t xml:space="preserve">Therefore, even though a proportion of missing children and young people may have refused an RHI and the figures represent a slight improvement on the previous year, the low number of completed RHIs means that opportunities to fully understand the reasons why children go missing and help them stay safe are restricted. </w:t>
      </w:r>
    </w:p>
    <w:p w14:paraId="466115C8" w14:textId="77777777" w:rsidR="004B3391" w:rsidRPr="00B564FC" w:rsidRDefault="004B3391" w:rsidP="004B3391">
      <w:pPr>
        <w:jc w:val="left"/>
        <w:rPr>
          <w:color w:val="000000" w:themeColor="text1"/>
        </w:rPr>
      </w:pPr>
    </w:p>
    <w:p w14:paraId="04A2ECF8" w14:textId="0B9CFD83" w:rsidR="004B3391" w:rsidRPr="00B564FC" w:rsidRDefault="004B3391" w:rsidP="004B3391">
      <w:pPr>
        <w:jc w:val="left"/>
        <w:rPr>
          <w:color w:val="000000" w:themeColor="text1"/>
        </w:rPr>
      </w:pPr>
      <w:r w:rsidRPr="00B564FC">
        <w:rPr>
          <w:color w:val="000000" w:themeColor="text1"/>
        </w:rPr>
        <w:t>Children and young people at risk of child sexual exploitation were far more likely to go missing than those not deemed at risk of</w:t>
      </w:r>
      <w:r w:rsidR="0001752C">
        <w:rPr>
          <w:color w:val="000000" w:themeColor="text1"/>
        </w:rPr>
        <w:t xml:space="preserve"> </w:t>
      </w:r>
      <w:r w:rsidR="0001752C" w:rsidRPr="00B564FC">
        <w:rPr>
          <w:color w:val="000000" w:themeColor="text1"/>
        </w:rPr>
        <w:t xml:space="preserve">child sexual </w:t>
      </w:r>
      <w:r w:rsidR="00B65BF1" w:rsidRPr="00B564FC">
        <w:rPr>
          <w:color w:val="000000" w:themeColor="text1"/>
        </w:rPr>
        <w:t>exploitation</w:t>
      </w:r>
      <w:r w:rsidR="00B65BF1">
        <w:rPr>
          <w:color w:val="000000" w:themeColor="text1"/>
        </w:rPr>
        <w:t xml:space="preserve">. </w:t>
      </w:r>
      <w:r w:rsidR="00497DF5" w:rsidRPr="00B564FC">
        <w:rPr>
          <w:color w:val="000000" w:themeColor="text1"/>
        </w:rPr>
        <w:t>A</w:t>
      </w:r>
      <w:r w:rsidRPr="00B564FC">
        <w:rPr>
          <w:color w:val="000000" w:themeColor="text1"/>
        </w:rPr>
        <w:t xml:space="preserve">lmost half </w:t>
      </w:r>
      <w:r w:rsidR="00497DF5" w:rsidRPr="00B564FC">
        <w:rPr>
          <w:color w:val="000000" w:themeColor="text1"/>
        </w:rPr>
        <w:t xml:space="preserve">of children and young people at risk of </w:t>
      </w:r>
      <w:r w:rsidR="0001752C" w:rsidRPr="00B564FC">
        <w:rPr>
          <w:color w:val="000000" w:themeColor="text1"/>
        </w:rPr>
        <w:t xml:space="preserve">child sexual exploitation </w:t>
      </w:r>
      <w:r w:rsidR="00497DF5" w:rsidRPr="00B564FC">
        <w:rPr>
          <w:color w:val="000000" w:themeColor="text1"/>
        </w:rPr>
        <w:t xml:space="preserve">went missing, </w:t>
      </w:r>
      <w:r w:rsidRPr="00B564FC">
        <w:rPr>
          <w:color w:val="000000" w:themeColor="text1"/>
        </w:rPr>
        <w:t xml:space="preserve">compared </w:t>
      </w:r>
      <w:r w:rsidR="0001752C">
        <w:rPr>
          <w:color w:val="000000" w:themeColor="text1"/>
        </w:rPr>
        <w:t>with</w:t>
      </w:r>
      <w:r w:rsidR="0001752C" w:rsidRPr="00B564FC">
        <w:rPr>
          <w:color w:val="000000" w:themeColor="text1"/>
        </w:rPr>
        <w:t xml:space="preserve"> </w:t>
      </w:r>
      <w:r w:rsidRPr="00B564FC">
        <w:rPr>
          <w:color w:val="000000" w:themeColor="text1"/>
        </w:rPr>
        <w:t>one in 20</w:t>
      </w:r>
      <w:r w:rsidR="00497DF5" w:rsidRPr="00B564FC">
        <w:rPr>
          <w:color w:val="000000" w:themeColor="text1"/>
        </w:rPr>
        <w:t xml:space="preserve"> of children and young people not at risk of </w:t>
      </w:r>
      <w:r w:rsidR="0001752C" w:rsidRPr="00B564FC">
        <w:rPr>
          <w:color w:val="000000" w:themeColor="text1"/>
        </w:rPr>
        <w:t>child sexual exploitation</w:t>
      </w:r>
      <w:r w:rsidR="00497DF5" w:rsidRPr="00B564FC">
        <w:rPr>
          <w:color w:val="000000" w:themeColor="text1"/>
        </w:rPr>
        <w:t>.</w:t>
      </w:r>
    </w:p>
    <w:p w14:paraId="79699F43" w14:textId="77777777" w:rsidR="004B3391" w:rsidRPr="00B564FC" w:rsidRDefault="004B3391" w:rsidP="007B3596">
      <w:pPr>
        <w:jc w:val="left"/>
        <w:rPr>
          <w:color w:val="000000" w:themeColor="text1"/>
        </w:rPr>
      </w:pPr>
    </w:p>
    <w:p w14:paraId="56CECA3D" w14:textId="77777777" w:rsidR="007B3596" w:rsidRPr="00B564FC" w:rsidRDefault="007B3596" w:rsidP="007B3596">
      <w:pPr>
        <w:pStyle w:val="Heading3"/>
        <w:rPr>
          <w:color w:val="000000" w:themeColor="text1"/>
        </w:rPr>
      </w:pPr>
      <w:bookmarkStart w:id="81" w:name="_Toc509261138"/>
      <w:r w:rsidRPr="00B564FC">
        <w:rPr>
          <w:color w:val="000000" w:themeColor="text1"/>
        </w:rPr>
        <w:t>Child sexual exploitation</w:t>
      </w:r>
      <w:bookmarkEnd w:id="81"/>
    </w:p>
    <w:p w14:paraId="56317A86" w14:textId="50276617" w:rsidR="007B3596" w:rsidRPr="00B564FC" w:rsidRDefault="00993307" w:rsidP="007B3596">
      <w:pPr>
        <w:pStyle w:val="ListParagraph"/>
        <w:numPr>
          <w:ilvl w:val="0"/>
          <w:numId w:val="23"/>
        </w:numPr>
        <w:ind w:left="425" w:hanging="425"/>
        <w:jc w:val="left"/>
        <w:rPr>
          <w:color w:val="000000" w:themeColor="text1"/>
        </w:rPr>
      </w:pPr>
      <w:r>
        <w:rPr>
          <w:color w:val="000000" w:themeColor="text1"/>
        </w:rPr>
        <w:t>T</w:t>
      </w:r>
      <w:r w:rsidR="007B3596" w:rsidRPr="00B564FC">
        <w:rPr>
          <w:color w:val="000000" w:themeColor="text1"/>
        </w:rPr>
        <w:t xml:space="preserve">here were 1,530 (3%) children and young people </w:t>
      </w:r>
      <w:r>
        <w:rPr>
          <w:color w:val="000000" w:themeColor="text1"/>
        </w:rPr>
        <w:t xml:space="preserve">placed </w:t>
      </w:r>
      <w:r w:rsidR="007B3596" w:rsidRPr="00B564FC">
        <w:rPr>
          <w:color w:val="000000" w:themeColor="text1"/>
        </w:rPr>
        <w:t>in foster care</w:t>
      </w:r>
      <w:r>
        <w:rPr>
          <w:color w:val="000000" w:themeColor="text1"/>
        </w:rPr>
        <w:t xml:space="preserve"> as at 31 March 2017</w:t>
      </w:r>
      <w:r w:rsidR="007B3596" w:rsidRPr="00B564FC">
        <w:rPr>
          <w:color w:val="000000" w:themeColor="text1"/>
        </w:rPr>
        <w:t xml:space="preserve"> considered to be at risk of child sexual exploitation and 420 (1%) considered to be subject to child sexual exploitation. Although the percentages are in line with 2016, the numbers of children </w:t>
      </w:r>
      <w:r w:rsidR="00AD1B07" w:rsidRPr="00B564FC">
        <w:rPr>
          <w:color w:val="000000" w:themeColor="text1"/>
        </w:rPr>
        <w:t xml:space="preserve">reported to </w:t>
      </w:r>
      <w:r w:rsidR="007B3596" w:rsidRPr="00B564FC">
        <w:rPr>
          <w:color w:val="000000" w:themeColor="text1"/>
        </w:rPr>
        <w:t>be at risk or subject to child sexual exploitation have slightly decreased.</w:t>
      </w:r>
    </w:p>
    <w:p w14:paraId="433643E4" w14:textId="12845F5E" w:rsidR="007B3596" w:rsidRPr="00B564FC" w:rsidRDefault="007B3596" w:rsidP="007B3596">
      <w:pPr>
        <w:pStyle w:val="ListParagraph"/>
        <w:numPr>
          <w:ilvl w:val="0"/>
          <w:numId w:val="23"/>
        </w:numPr>
        <w:ind w:left="425" w:hanging="425"/>
        <w:jc w:val="left"/>
        <w:rPr>
          <w:color w:val="000000" w:themeColor="text1"/>
        </w:rPr>
      </w:pPr>
      <w:r w:rsidRPr="00B564FC">
        <w:rPr>
          <w:color w:val="000000" w:themeColor="text1"/>
        </w:rPr>
        <w:t xml:space="preserve">Of the children at risk of </w:t>
      </w:r>
      <w:r w:rsidR="0001752C" w:rsidRPr="00B564FC">
        <w:rPr>
          <w:color w:val="000000" w:themeColor="text1"/>
        </w:rPr>
        <w:t>child sexual exploitation</w:t>
      </w:r>
      <w:r w:rsidRPr="00B564FC">
        <w:rPr>
          <w:color w:val="000000" w:themeColor="text1"/>
        </w:rPr>
        <w:t xml:space="preserve">, 55% were placed with LAs and 45% were placed with IFAs.        </w:t>
      </w:r>
    </w:p>
    <w:p w14:paraId="47AB0361" w14:textId="7B4B58E9" w:rsidR="007B3596" w:rsidRPr="00B564FC" w:rsidRDefault="007B3596" w:rsidP="007B3596">
      <w:pPr>
        <w:pStyle w:val="ListParagraph"/>
        <w:numPr>
          <w:ilvl w:val="0"/>
          <w:numId w:val="23"/>
        </w:numPr>
        <w:ind w:left="425" w:hanging="425"/>
        <w:jc w:val="left"/>
        <w:rPr>
          <w:color w:val="000000" w:themeColor="text1"/>
        </w:rPr>
      </w:pPr>
      <w:r w:rsidRPr="00B564FC">
        <w:rPr>
          <w:color w:val="000000" w:themeColor="text1"/>
        </w:rPr>
        <w:t xml:space="preserve">Sixteen </w:t>
      </w:r>
      <w:r w:rsidR="00415B33">
        <w:rPr>
          <w:color w:val="000000" w:themeColor="text1"/>
        </w:rPr>
        <w:t>LA</w:t>
      </w:r>
      <w:r w:rsidRPr="00B564FC">
        <w:rPr>
          <w:color w:val="000000" w:themeColor="text1"/>
        </w:rPr>
        <w:t>s reported that, of the children placed with their own approved foster carers on 31 March 2017, none were known to be either at risk of or subject to child sexual exploitation.</w:t>
      </w:r>
      <w:r w:rsidRPr="00B564FC">
        <w:rPr>
          <w:rStyle w:val="FootnoteReference"/>
          <w:color w:val="000000" w:themeColor="text1"/>
        </w:rPr>
        <w:footnoteReference w:id="47"/>
      </w:r>
      <w:r w:rsidRPr="00B564FC">
        <w:rPr>
          <w:color w:val="000000" w:themeColor="text1"/>
        </w:rPr>
        <w:t xml:space="preserve"> </w:t>
      </w:r>
    </w:p>
    <w:p w14:paraId="06AD7F53" w14:textId="77777777" w:rsidR="007B3596" w:rsidRPr="00B564FC" w:rsidRDefault="007B3596" w:rsidP="007B3596">
      <w:pPr>
        <w:jc w:val="left"/>
        <w:rPr>
          <w:color w:val="000000" w:themeColor="text1"/>
        </w:rPr>
      </w:pPr>
    </w:p>
    <w:p w14:paraId="48FA59E2" w14:textId="77777777" w:rsidR="007B3596" w:rsidRPr="00B564FC" w:rsidRDefault="007B3596" w:rsidP="007B3596">
      <w:pPr>
        <w:pStyle w:val="Heading3"/>
        <w:rPr>
          <w:color w:val="000000" w:themeColor="text1"/>
        </w:rPr>
      </w:pPr>
      <w:bookmarkStart w:id="82" w:name="_Toc408930049"/>
      <w:bookmarkStart w:id="83" w:name="_Toc509261139"/>
      <w:r w:rsidRPr="00B564FC">
        <w:rPr>
          <w:color w:val="000000" w:themeColor="text1"/>
        </w:rPr>
        <w:t>Children going missing</w:t>
      </w:r>
      <w:bookmarkEnd w:id="82"/>
      <w:bookmarkEnd w:id="83"/>
    </w:p>
    <w:p w14:paraId="47571EEC" w14:textId="2C01ACB8" w:rsidR="007B3596" w:rsidRPr="00B564FC" w:rsidRDefault="007B3596" w:rsidP="007B3596">
      <w:pPr>
        <w:pStyle w:val="ListParagraph"/>
        <w:numPr>
          <w:ilvl w:val="0"/>
          <w:numId w:val="24"/>
        </w:numPr>
        <w:ind w:left="425" w:hanging="425"/>
        <w:jc w:val="left"/>
        <w:rPr>
          <w:color w:val="000000" w:themeColor="text1"/>
        </w:rPr>
      </w:pPr>
      <w:bookmarkStart w:id="84" w:name="_Toc408930050"/>
      <w:r w:rsidRPr="00B564FC">
        <w:rPr>
          <w:color w:val="000000" w:themeColor="text1"/>
        </w:rPr>
        <w:t>In 2016</w:t>
      </w:r>
      <w:r w:rsidR="0001752C">
        <w:rPr>
          <w:color w:val="000000" w:themeColor="text1"/>
        </w:rPr>
        <w:t>–</w:t>
      </w:r>
      <w:r w:rsidRPr="00B564FC">
        <w:rPr>
          <w:color w:val="000000" w:themeColor="text1"/>
        </w:rPr>
        <w:t>17, a total of 3,</w:t>
      </w:r>
      <w:r w:rsidR="00C82ED8">
        <w:rPr>
          <w:color w:val="000000" w:themeColor="text1"/>
        </w:rPr>
        <w:t>230</w:t>
      </w:r>
      <w:r w:rsidRPr="00B564FC">
        <w:rPr>
          <w:color w:val="000000" w:themeColor="text1"/>
        </w:rPr>
        <w:t xml:space="preserve"> children (6% of all fostered children) went missing, a total of 12,210 times, which equated to an average of four missing incidents per missing child, in line with 2016.</w:t>
      </w:r>
      <w:r w:rsidRPr="00B564FC">
        <w:rPr>
          <w:rStyle w:val="FootnoteReference"/>
          <w:color w:val="000000" w:themeColor="text1"/>
        </w:rPr>
        <w:footnoteReference w:id="48"/>
      </w:r>
      <w:r w:rsidRPr="00B564FC">
        <w:rPr>
          <w:color w:val="000000" w:themeColor="text1"/>
        </w:rPr>
        <w:t xml:space="preserve"> </w:t>
      </w:r>
    </w:p>
    <w:p w14:paraId="744A2C2E" w14:textId="77777777" w:rsidR="007B3596" w:rsidRPr="00B564FC" w:rsidRDefault="007B3596" w:rsidP="007B3596">
      <w:pPr>
        <w:pStyle w:val="ListParagraph"/>
        <w:numPr>
          <w:ilvl w:val="0"/>
          <w:numId w:val="24"/>
        </w:numPr>
        <w:ind w:left="425" w:hanging="425"/>
        <w:jc w:val="left"/>
        <w:rPr>
          <w:color w:val="000000" w:themeColor="text1"/>
        </w:rPr>
      </w:pPr>
      <w:r w:rsidRPr="00B564FC">
        <w:rPr>
          <w:color w:val="000000" w:themeColor="text1"/>
        </w:rPr>
        <w:t xml:space="preserve">The percentage of children going missing across England and in IFA placements has not changed from 2016, while the percentage in LA placements has slightly increased from 5% to 6%. </w:t>
      </w:r>
    </w:p>
    <w:p w14:paraId="5C8DE8DB" w14:textId="574BDBB8" w:rsidR="007B3596" w:rsidRPr="00B564FC" w:rsidRDefault="007B3596" w:rsidP="007B3596">
      <w:pPr>
        <w:pStyle w:val="ListParagraph"/>
        <w:numPr>
          <w:ilvl w:val="0"/>
          <w:numId w:val="24"/>
        </w:numPr>
        <w:ind w:left="425" w:hanging="425"/>
        <w:jc w:val="left"/>
        <w:rPr>
          <w:color w:val="000000" w:themeColor="text1"/>
        </w:rPr>
      </w:pPr>
      <w:r w:rsidRPr="00B564FC">
        <w:rPr>
          <w:color w:val="000000" w:themeColor="text1"/>
        </w:rPr>
        <w:t xml:space="preserve">Black and Black British children were slightly over-represented in missing figures compared </w:t>
      </w:r>
      <w:r w:rsidR="0001752C">
        <w:rPr>
          <w:color w:val="000000" w:themeColor="text1"/>
        </w:rPr>
        <w:t>with</w:t>
      </w:r>
      <w:r w:rsidR="0001752C" w:rsidRPr="00B564FC">
        <w:rPr>
          <w:color w:val="000000" w:themeColor="text1"/>
        </w:rPr>
        <w:t xml:space="preserve"> </w:t>
      </w:r>
      <w:r w:rsidRPr="00B564FC">
        <w:rPr>
          <w:color w:val="000000" w:themeColor="text1"/>
        </w:rPr>
        <w:t>all fostered children: 7% of fostered children were Black/Black British, but accounted for 9% of all missing children.</w:t>
      </w:r>
    </w:p>
    <w:p w14:paraId="4B2AF50C" w14:textId="77777777" w:rsidR="007B3596" w:rsidRPr="00B564FC" w:rsidRDefault="007B3596" w:rsidP="007B3596">
      <w:pPr>
        <w:pStyle w:val="ListParagraph"/>
        <w:ind w:left="425"/>
        <w:jc w:val="left"/>
        <w:rPr>
          <w:color w:val="000000" w:themeColor="text1"/>
        </w:rPr>
      </w:pPr>
    </w:p>
    <w:p w14:paraId="4A079EE2" w14:textId="77E07FDF" w:rsidR="007B3596" w:rsidRDefault="000E7AC6" w:rsidP="0042575C">
      <w:pPr>
        <w:pStyle w:val="Table"/>
        <w:rPr>
          <w:color w:val="000000" w:themeColor="text1"/>
        </w:rPr>
      </w:pPr>
      <w:bookmarkStart w:id="85" w:name="_Toc509495452"/>
      <w:r w:rsidRPr="00B564FC">
        <w:rPr>
          <w:color w:val="000000" w:themeColor="text1"/>
        </w:rPr>
        <w:t>Figure 11</w:t>
      </w:r>
      <w:r w:rsidR="007B3596" w:rsidRPr="00B564FC">
        <w:rPr>
          <w:color w:val="000000" w:themeColor="text1"/>
        </w:rPr>
        <w:t>: Children missing by reason, 201</w:t>
      </w:r>
      <w:r w:rsidR="00F66011" w:rsidRPr="00B564FC">
        <w:rPr>
          <w:color w:val="000000" w:themeColor="text1"/>
        </w:rPr>
        <w:t>5</w:t>
      </w:r>
      <w:r w:rsidR="007B3596" w:rsidRPr="00B564FC">
        <w:rPr>
          <w:color w:val="000000" w:themeColor="text1"/>
        </w:rPr>
        <w:t>-17</w:t>
      </w:r>
      <w:bookmarkEnd w:id="85"/>
    </w:p>
    <w:p w14:paraId="1FF0D123" w14:textId="66003BEE" w:rsidR="00BD302F" w:rsidRPr="00B564FC" w:rsidRDefault="00BD302F" w:rsidP="007B3596">
      <w:pPr>
        <w:pStyle w:val="ListParagraph"/>
        <w:ind w:left="425"/>
        <w:jc w:val="left"/>
        <w:rPr>
          <w:color w:val="000000" w:themeColor="text1"/>
        </w:rPr>
      </w:pPr>
      <w:r>
        <w:rPr>
          <w:noProof/>
          <w:color w:val="000000" w:themeColor="text1"/>
        </w:rPr>
        <w:drawing>
          <wp:inline distT="0" distB="0" distL="0" distR="0" wp14:anchorId="4FB94022" wp14:editId="24B165A8">
            <wp:extent cx="3671454" cy="2713741"/>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88783" cy="2726550"/>
                    </a:xfrm>
                    <a:prstGeom prst="rect">
                      <a:avLst/>
                    </a:prstGeom>
                    <a:noFill/>
                  </pic:spPr>
                </pic:pic>
              </a:graphicData>
            </a:graphic>
          </wp:inline>
        </w:drawing>
      </w:r>
    </w:p>
    <w:p w14:paraId="388E309B" w14:textId="1A1C4BF1" w:rsidR="007B3596" w:rsidRPr="00B564FC" w:rsidRDefault="00F66011" w:rsidP="007B3596">
      <w:pPr>
        <w:pStyle w:val="ListParagraph"/>
        <w:numPr>
          <w:ilvl w:val="0"/>
          <w:numId w:val="24"/>
        </w:numPr>
        <w:ind w:left="425" w:hanging="425"/>
        <w:jc w:val="left"/>
        <w:rPr>
          <w:color w:val="000000" w:themeColor="text1"/>
        </w:rPr>
      </w:pPr>
      <w:r w:rsidRPr="00B564FC">
        <w:rPr>
          <w:color w:val="000000" w:themeColor="text1"/>
        </w:rPr>
        <w:t>Half</w:t>
      </w:r>
      <w:r w:rsidR="007B3596" w:rsidRPr="00B564FC">
        <w:rPr>
          <w:color w:val="000000" w:themeColor="text1"/>
        </w:rPr>
        <w:t xml:space="preserve"> of all missing children (1,620) went missing primarily due to contact, including avoiding contact, with family and friends. Although this is a slight decrease compared </w:t>
      </w:r>
      <w:r w:rsidR="0001752C">
        <w:rPr>
          <w:color w:val="000000" w:themeColor="text1"/>
        </w:rPr>
        <w:t>with</w:t>
      </w:r>
      <w:r w:rsidR="007B3596" w:rsidRPr="00B564FC">
        <w:rPr>
          <w:color w:val="000000" w:themeColor="text1"/>
        </w:rPr>
        <w:t xml:space="preserve"> last year (50% compared </w:t>
      </w:r>
      <w:r w:rsidR="0001752C">
        <w:rPr>
          <w:color w:val="000000" w:themeColor="text1"/>
        </w:rPr>
        <w:t>with</w:t>
      </w:r>
      <w:r w:rsidR="0001752C" w:rsidRPr="00B564FC">
        <w:rPr>
          <w:color w:val="000000" w:themeColor="text1"/>
        </w:rPr>
        <w:t xml:space="preserve"> </w:t>
      </w:r>
      <w:r w:rsidR="007B3596" w:rsidRPr="00B564FC">
        <w:rPr>
          <w:color w:val="000000" w:themeColor="text1"/>
        </w:rPr>
        <w:t>53%), this is still the most common reason for children going missing.</w:t>
      </w:r>
    </w:p>
    <w:p w14:paraId="41EB7B15" w14:textId="30042AA2" w:rsidR="007B3596" w:rsidRPr="00B564FC" w:rsidRDefault="007B3596" w:rsidP="007B3596">
      <w:pPr>
        <w:pStyle w:val="ListParagraph"/>
        <w:numPr>
          <w:ilvl w:val="0"/>
          <w:numId w:val="24"/>
        </w:numPr>
        <w:ind w:left="425" w:hanging="425"/>
        <w:jc w:val="left"/>
        <w:rPr>
          <w:color w:val="000000" w:themeColor="text1"/>
        </w:rPr>
      </w:pPr>
      <w:r w:rsidRPr="00B564FC">
        <w:rPr>
          <w:color w:val="000000" w:themeColor="text1"/>
        </w:rPr>
        <w:t xml:space="preserve">The percentage of children going missing for unknown reasons has increased by </w:t>
      </w:r>
      <w:r w:rsidR="00F66011" w:rsidRPr="00B564FC">
        <w:rPr>
          <w:color w:val="000000" w:themeColor="text1"/>
        </w:rPr>
        <w:t>six percentage points</w:t>
      </w:r>
      <w:r w:rsidRPr="00B564FC">
        <w:rPr>
          <w:color w:val="000000" w:themeColor="text1"/>
        </w:rPr>
        <w:t xml:space="preserve"> since last year</w:t>
      </w:r>
      <w:r w:rsidR="00651894" w:rsidRPr="00B564FC">
        <w:rPr>
          <w:color w:val="000000" w:themeColor="text1"/>
        </w:rPr>
        <w:t>, from 13% to 19%.</w:t>
      </w:r>
    </w:p>
    <w:p w14:paraId="01DDA721" w14:textId="182CB945" w:rsidR="007B3596" w:rsidRPr="00B564FC" w:rsidRDefault="007B3596" w:rsidP="007B3596">
      <w:pPr>
        <w:pStyle w:val="ListParagraph"/>
        <w:numPr>
          <w:ilvl w:val="0"/>
          <w:numId w:val="25"/>
        </w:numPr>
        <w:ind w:left="425" w:hanging="357"/>
        <w:jc w:val="left"/>
        <w:rPr>
          <w:color w:val="000000" w:themeColor="text1"/>
        </w:rPr>
      </w:pPr>
      <w:r w:rsidRPr="00B564FC">
        <w:rPr>
          <w:color w:val="000000" w:themeColor="text1"/>
        </w:rPr>
        <w:t xml:space="preserve">The majority of those missing (84% or 2,710) were missing for less than one week, in line with 2016. </w:t>
      </w:r>
    </w:p>
    <w:p w14:paraId="2F614FF1" w14:textId="06CC4ED5" w:rsidR="007B3596" w:rsidRPr="00B564FC" w:rsidRDefault="007B3596" w:rsidP="007B3596">
      <w:pPr>
        <w:pStyle w:val="ListParagraph"/>
        <w:numPr>
          <w:ilvl w:val="0"/>
          <w:numId w:val="25"/>
        </w:numPr>
        <w:ind w:left="425" w:hanging="357"/>
        <w:jc w:val="left"/>
        <w:rPr>
          <w:color w:val="000000" w:themeColor="text1"/>
        </w:rPr>
      </w:pPr>
      <w:r w:rsidRPr="00B564FC">
        <w:rPr>
          <w:color w:val="000000" w:themeColor="text1"/>
        </w:rPr>
        <w:t xml:space="preserve">The percentage of children missing for a total period of less than 24 hours is very similar across </w:t>
      </w:r>
      <w:r w:rsidR="00426D88" w:rsidRPr="00B564FC">
        <w:rPr>
          <w:color w:val="000000" w:themeColor="text1"/>
        </w:rPr>
        <w:t>England as well as LAs and IFAs</w:t>
      </w:r>
      <w:r w:rsidR="0001752C">
        <w:rPr>
          <w:color w:val="000000" w:themeColor="text1"/>
        </w:rPr>
        <w:t>:</w:t>
      </w:r>
      <w:r w:rsidR="00426D88" w:rsidRPr="00B564FC">
        <w:rPr>
          <w:color w:val="000000" w:themeColor="text1"/>
        </w:rPr>
        <w:t xml:space="preserve"> between 52% and 54%.</w:t>
      </w:r>
    </w:p>
    <w:p w14:paraId="434497CF" w14:textId="4A8D44D2" w:rsidR="007B3596" w:rsidRPr="00B564FC" w:rsidRDefault="007B3596" w:rsidP="007B3596">
      <w:pPr>
        <w:pStyle w:val="ListParagraph"/>
        <w:numPr>
          <w:ilvl w:val="0"/>
          <w:numId w:val="26"/>
        </w:numPr>
        <w:ind w:left="425"/>
        <w:jc w:val="left"/>
        <w:rPr>
          <w:color w:val="000000" w:themeColor="text1"/>
        </w:rPr>
      </w:pPr>
      <w:r w:rsidRPr="00B564FC">
        <w:rPr>
          <w:color w:val="000000" w:themeColor="text1"/>
        </w:rPr>
        <w:t>Of the</w:t>
      </w:r>
      <w:r w:rsidR="00331700" w:rsidRPr="00B564FC">
        <w:rPr>
          <w:color w:val="000000" w:themeColor="text1"/>
        </w:rPr>
        <w:t xml:space="preserve"> 12,210</w:t>
      </w:r>
      <w:r w:rsidRPr="00B564FC">
        <w:rPr>
          <w:color w:val="000000" w:themeColor="text1"/>
        </w:rPr>
        <w:t xml:space="preserve"> missing incidents, 40% (4,850) </w:t>
      </w:r>
      <w:r w:rsidR="00331700" w:rsidRPr="00B564FC">
        <w:rPr>
          <w:color w:val="000000" w:themeColor="text1"/>
        </w:rPr>
        <w:t>were followed by a</w:t>
      </w:r>
      <w:r w:rsidR="00BE1F6D" w:rsidRPr="00B564FC">
        <w:rPr>
          <w:color w:val="000000" w:themeColor="text1"/>
        </w:rPr>
        <w:t>n</w:t>
      </w:r>
      <w:r w:rsidR="00331700" w:rsidRPr="00B564FC">
        <w:rPr>
          <w:color w:val="000000" w:themeColor="text1"/>
        </w:rPr>
        <w:t xml:space="preserve"> </w:t>
      </w:r>
      <w:r w:rsidRPr="00B564FC">
        <w:rPr>
          <w:color w:val="000000" w:themeColor="text1"/>
        </w:rPr>
        <w:t>RHI, in line with 2016.</w:t>
      </w:r>
    </w:p>
    <w:p w14:paraId="3980C714" w14:textId="66F8EEC9" w:rsidR="007B3596" w:rsidRPr="00B564FC" w:rsidRDefault="007B3596" w:rsidP="007B3596">
      <w:pPr>
        <w:pStyle w:val="ListParagraph"/>
        <w:numPr>
          <w:ilvl w:val="0"/>
          <w:numId w:val="26"/>
        </w:numPr>
        <w:ind w:left="425"/>
        <w:jc w:val="left"/>
        <w:rPr>
          <w:color w:val="000000" w:themeColor="text1"/>
        </w:rPr>
      </w:pPr>
      <w:r w:rsidRPr="00B564FC">
        <w:rPr>
          <w:color w:val="000000" w:themeColor="text1"/>
        </w:rPr>
        <w:t>These RHI were conducted for 1,810 children who went missing</w:t>
      </w:r>
      <w:r w:rsidR="0001752C">
        <w:rPr>
          <w:color w:val="000000" w:themeColor="text1"/>
        </w:rPr>
        <w:t>:</w:t>
      </w:r>
      <w:r w:rsidRPr="00B564FC">
        <w:rPr>
          <w:color w:val="000000" w:themeColor="text1"/>
        </w:rPr>
        <w:t xml:space="preserve"> around 56% of the 3,230 total missing children. Those children who had an RHI had an average of 2.7 per child, also in line with 2016.</w:t>
      </w:r>
    </w:p>
    <w:p w14:paraId="1C620CCE" w14:textId="77777777" w:rsidR="007B3596" w:rsidRPr="00B564FC" w:rsidRDefault="007B3596" w:rsidP="007B3596">
      <w:pPr>
        <w:jc w:val="left"/>
        <w:rPr>
          <w:color w:val="000000" w:themeColor="text1"/>
        </w:rPr>
      </w:pPr>
    </w:p>
    <w:p w14:paraId="55478DF3" w14:textId="77777777" w:rsidR="000020F9" w:rsidRPr="00B564FC" w:rsidRDefault="000E7AC6" w:rsidP="000020F9">
      <w:pPr>
        <w:pStyle w:val="Table"/>
        <w:rPr>
          <w:color w:val="000000" w:themeColor="text1"/>
        </w:rPr>
      </w:pPr>
      <w:bookmarkStart w:id="86" w:name="_Toc509495453"/>
      <w:r w:rsidRPr="00B564FC">
        <w:rPr>
          <w:color w:val="000000" w:themeColor="text1"/>
        </w:rPr>
        <w:t>Figure 12</w:t>
      </w:r>
      <w:r w:rsidR="007B3596" w:rsidRPr="00B564FC">
        <w:rPr>
          <w:color w:val="000000" w:themeColor="text1"/>
        </w:rPr>
        <w:t>: Children going missing with no RHI, by sector as at 31 March 2017</w:t>
      </w:r>
      <w:bookmarkEnd w:id="86"/>
    </w:p>
    <w:p w14:paraId="34D81446" w14:textId="351D7ADF" w:rsidR="007B3596" w:rsidRPr="00B564FC" w:rsidRDefault="007B3596" w:rsidP="000020F9">
      <w:pPr>
        <w:pStyle w:val="Table"/>
        <w:rPr>
          <w:color w:val="000000" w:themeColor="text1"/>
        </w:rPr>
      </w:pPr>
      <w:r w:rsidRPr="00B564FC">
        <w:rPr>
          <w:color w:val="000000" w:themeColor="text1"/>
        </w:rPr>
        <w:t xml:space="preserve"> </w:t>
      </w:r>
    </w:p>
    <w:p w14:paraId="516E62D4" w14:textId="04DE242D" w:rsidR="00A904D1" w:rsidRPr="00B564FC" w:rsidRDefault="00A904D1" w:rsidP="007B3596">
      <w:pPr>
        <w:jc w:val="left"/>
        <w:rPr>
          <w:color w:val="000000" w:themeColor="text1"/>
        </w:rPr>
      </w:pPr>
      <w:r>
        <w:rPr>
          <w:noProof/>
          <w:color w:val="000000" w:themeColor="text1"/>
        </w:rPr>
        <w:drawing>
          <wp:inline distT="0" distB="0" distL="0" distR="0" wp14:anchorId="2C89A6DF" wp14:editId="1ADF5575">
            <wp:extent cx="4578350" cy="27495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8350" cy="2749550"/>
                    </a:xfrm>
                    <a:prstGeom prst="rect">
                      <a:avLst/>
                    </a:prstGeom>
                    <a:noFill/>
                  </pic:spPr>
                </pic:pic>
              </a:graphicData>
            </a:graphic>
          </wp:inline>
        </w:drawing>
      </w:r>
    </w:p>
    <w:p w14:paraId="7186AE55" w14:textId="0E2FFAAF" w:rsidR="00426D88" w:rsidRPr="00B564FC" w:rsidRDefault="00331700" w:rsidP="00426D88">
      <w:pPr>
        <w:pStyle w:val="ListParagraph"/>
        <w:numPr>
          <w:ilvl w:val="0"/>
          <w:numId w:val="26"/>
        </w:numPr>
        <w:ind w:left="425"/>
        <w:jc w:val="left"/>
        <w:rPr>
          <w:color w:val="000000" w:themeColor="text1"/>
        </w:rPr>
      </w:pPr>
      <w:r w:rsidRPr="00B564FC">
        <w:rPr>
          <w:color w:val="000000" w:themeColor="text1"/>
        </w:rPr>
        <w:t>Fifty-six per</w:t>
      </w:r>
      <w:r w:rsidR="0001752C">
        <w:rPr>
          <w:color w:val="000000" w:themeColor="text1"/>
        </w:rPr>
        <w:t xml:space="preserve"> </w:t>
      </w:r>
      <w:r w:rsidRPr="00B564FC">
        <w:rPr>
          <w:color w:val="000000" w:themeColor="text1"/>
        </w:rPr>
        <w:t>cent (700 out of 1,260) of children who went missing at least once and</w:t>
      </w:r>
      <w:r w:rsidR="002721FF">
        <w:rPr>
          <w:color w:val="000000" w:themeColor="text1"/>
        </w:rPr>
        <w:t xml:space="preserve"> had no RHI</w:t>
      </w:r>
      <w:r w:rsidRPr="00B564FC">
        <w:rPr>
          <w:color w:val="000000" w:themeColor="text1"/>
        </w:rPr>
        <w:t xml:space="preserve"> were placed with IFAs compared </w:t>
      </w:r>
      <w:r w:rsidR="0001752C">
        <w:rPr>
          <w:color w:val="000000" w:themeColor="text1"/>
        </w:rPr>
        <w:t>with</w:t>
      </w:r>
      <w:r w:rsidR="0001752C" w:rsidRPr="00B564FC">
        <w:rPr>
          <w:color w:val="000000" w:themeColor="text1"/>
        </w:rPr>
        <w:t xml:space="preserve"> </w:t>
      </w:r>
      <w:r w:rsidRPr="00B564FC">
        <w:rPr>
          <w:color w:val="000000" w:themeColor="text1"/>
        </w:rPr>
        <w:t>44% (1,420) nationally.</w:t>
      </w:r>
    </w:p>
    <w:p w14:paraId="5A09F62F" w14:textId="61B0BB74" w:rsidR="007B3596" w:rsidRPr="00B564FC" w:rsidRDefault="007B3596" w:rsidP="007B3596">
      <w:pPr>
        <w:pStyle w:val="ListBullet"/>
        <w:numPr>
          <w:ilvl w:val="0"/>
          <w:numId w:val="26"/>
        </w:numPr>
        <w:ind w:left="425"/>
        <w:jc w:val="left"/>
        <w:rPr>
          <w:color w:val="000000" w:themeColor="text1"/>
        </w:rPr>
      </w:pPr>
      <w:r w:rsidRPr="00B564FC">
        <w:rPr>
          <w:color w:val="000000" w:themeColor="text1"/>
        </w:rPr>
        <w:t xml:space="preserve">There were five LAs </w:t>
      </w:r>
      <w:r w:rsidR="0001752C">
        <w:rPr>
          <w:color w:val="000000" w:themeColor="text1"/>
        </w:rPr>
        <w:t>that</w:t>
      </w:r>
      <w:r w:rsidR="0001752C" w:rsidRPr="00B564FC">
        <w:rPr>
          <w:color w:val="000000" w:themeColor="text1"/>
        </w:rPr>
        <w:t xml:space="preserve"> </w:t>
      </w:r>
      <w:r w:rsidRPr="00B564FC">
        <w:rPr>
          <w:color w:val="000000" w:themeColor="text1"/>
        </w:rPr>
        <w:t>reported that</w:t>
      </w:r>
      <w:r w:rsidR="001A2FB3" w:rsidRPr="00B564FC">
        <w:rPr>
          <w:color w:val="000000" w:themeColor="text1"/>
        </w:rPr>
        <w:t xml:space="preserve"> no RHIs were provided for children who went missing at least once as at 31 March 2017. </w:t>
      </w:r>
      <w:r w:rsidRPr="00B564FC">
        <w:rPr>
          <w:rStyle w:val="FootnoteReference"/>
          <w:color w:val="000000" w:themeColor="text1"/>
        </w:rPr>
        <w:footnoteReference w:id="49"/>
      </w:r>
      <w:r w:rsidR="001A2FB3" w:rsidRPr="00B564FC">
        <w:rPr>
          <w:color w:val="000000" w:themeColor="text1"/>
        </w:rPr>
        <w:t xml:space="preserve"> </w:t>
      </w:r>
    </w:p>
    <w:p w14:paraId="7FB6EE61" w14:textId="77777777" w:rsidR="007B3596" w:rsidRPr="00B564FC" w:rsidRDefault="007B3596" w:rsidP="007B3596">
      <w:pPr>
        <w:pStyle w:val="ListBullet"/>
        <w:numPr>
          <w:ilvl w:val="0"/>
          <w:numId w:val="0"/>
        </w:numPr>
        <w:jc w:val="left"/>
        <w:rPr>
          <w:color w:val="000000" w:themeColor="text1"/>
        </w:rPr>
      </w:pPr>
    </w:p>
    <w:p w14:paraId="27E3ED76" w14:textId="77E5B00F" w:rsidR="007B3596" w:rsidRPr="00B564FC" w:rsidRDefault="007B3596" w:rsidP="007B3596">
      <w:pPr>
        <w:pStyle w:val="Heading3"/>
        <w:rPr>
          <w:color w:val="000000" w:themeColor="text1"/>
        </w:rPr>
      </w:pPr>
      <w:bookmarkStart w:id="87" w:name="_Toc509261140"/>
      <w:bookmarkEnd w:id="84"/>
      <w:r w:rsidRPr="00B564FC">
        <w:rPr>
          <w:color w:val="000000" w:themeColor="text1"/>
        </w:rPr>
        <w:t>Missing</w:t>
      </w:r>
      <w:r w:rsidR="00047E43" w:rsidRPr="00B564FC">
        <w:rPr>
          <w:color w:val="000000" w:themeColor="text1"/>
        </w:rPr>
        <w:t xml:space="preserve"> children</w:t>
      </w:r>
      <w:r w:rsidRPr="00B564FC">
        <w:rPr>
          <w:color w:val="000000" w:themeColor="text1"/>
        </w:rPr>
        <w:t>, child sexual exploitation and unplanned endings</w:t>
      </w:r>
      <w:bookmarkEnd w:id="87"/>
    </w:p>
    <w:p w14:paraId="63BD23B5" w14:textId="77777777" w:rsidR="007B3596" w:rsidRPr="00B564FC" w:rsidRDefault="007B3596" w:rsidP="007B3596">
      <w:pPr>
        <w:pStyle w:val="ListParagraph"/>
        <w:numPr>
          <w:ilvl w:val="0"/>
          <w:numId w:val="27"/>
        </w:numPr>
        <w:ind w:left="426"/>
        <w:jc w:val="left"/>
        <w:rPr>
          <w:b/>
          <w:color w:val="000000" w:themeColor="text1"/>
        </w:rPr>
      </w:pPr>
      <w:r w:rsidRPr="00B564FC">
        <w:rPr>
          <w:color w:val="000000" w:themeColor="text1"/>
        </w:rPr>
        <w:t>Not all children at risk of sexual exploitation went missing during the year. Some, though, having gone missing in the previous year, will have been identified as being at risk because they went missing.</w:t>
      </w:r>
      <w:r w:rsidRPr="00B564FC">
        <w:rPr>
          <w:b/>
          <w:color w:val="000000" w:themeColor="text1"/>
        </w:rPr>
        <w:t xml:space="preserve"> </w:t>
      </w:r>
    </w:p>
    <w:p w14:paraId="6A0FBA2E" w14:textId="77777777" w:rsidR="007B3596" w:rsidRPr="00B564FC" w:rsidRDefault="007B3596" w:rsidP="007B3596">
      <w:pPr>
        <w:jc w:val="left"/>
        <w:rPr>
          <w:b/>
          <w:color w:val="000000" w:themeColor="text1"/>
        </w:rPr>
      </w:pPr>
    </w:p>
    <w:p w14:paraId="28A5ED93" w14:textId="30B00506" w:rsidR="00426D88" w:rsidRPr="00B564FC" w:rsidRDefault="00426D88" w:rsidP="0042575C">
      <w:pPr>
        <w:pStyle w:val="Table"/>
        <w:rPr>
          <w:color w:val="000000" w:themeColor="text1"/>
        </w:rPr>
      </w:pPr>
      <w:bookmarkStart w:id="88" w:name="_Toc509495454"/>
      <w:r w:rsidRPr="00A135DF">
        <w:rPr>
          <w:color w:val="000000" w:themeColor="text1"/>
        </w:rPr>
        <w:t>Table 3: Child sexual exploitation, missing and unplanned endings</w:t>
      </w:r>
      <w:bookmarkEnd w:id="88"/>
    </w:p>
    <w:p w14:paraId="56D741D3" w14:textId="29B1AE54" w:rsidR="00654759" w:rsidRDefault="00654759" w:rsidP="007B3596">
      <w:pPr>
        <w:jc w:val="left"/>
        <w:rPr>
          <w:color w:val="000000" w:themeColor="text1"/>
        </w:rPr>
      </w:pPr>
    </w:p>
    <w:tbl>
      <w:tblPr>
        <w:tblW w:w="6720" w:type="dxa"/>
        <w:tblInd w:w="433" w:type="dxa"/>
        <w:tblLook w:val="04A0" w:firstRow="1" w:lastRow="0" w:firstColumn="1" w:lastColumn="0" w:noHBand="0" w:noVBand="1"/>
      </w:tblPr>
      <w:tblGrid>
        <w:gridCol w:w="2840"/>
        <w:gridCol w:w="1760"/>
        <w:gridCol w:w="2120"/>
      </w:tblGrid>
      <w:tr w:rsidR="00654759" w:rsidRPr="00654759" w14:paraId="1299E8E4" w14:textId="77777777" w:rsidTr="00FA6995">
        <w:trPr>
          <w:trHeight w:val="260"/>
        </w:trPr>
        <w:tc>
          <w:tcPr>
            <w:tcW w:w="284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1B05162B" w14:textId="77777777" w:rsidR="00654759" w:rsidRPr="00654759" w:rsidRDefault="00654759" w:rsidP="00654759">
            <w:pPr>
              <w:jc w:val="center"/>
              <w:rPr>
                <w:rFonts w:cs="Tahoma"/>
                <w:color w:val="000000"/>
                <w:sz w:val="20"/>
                <w:szCs w:val="20"/>
              </w:rPr>
            </w:pPr>
            <w:r w:rsidRPr="00654759">
              <w:rPr>
                <w:rFonts w:cs="Tahoma"/>
                <w:color w:val="000000"/>
                <w:sz w:val="20"/>
                <w:szCs w:val="20"/>
              </w:rPr>
              <w:t> </w:t>
            </w:r>
          </w:p>
        </w:tc>
        <w:tc>
          <w:tcPr>
            <w:tcW w:w="1760" w:type="dxa"/>
            <w:tcBorders>
              <w:top w:val="single" w:sz="4" w:space="0" w:color="auto"/>
              <w:left w:val="nil"/>
              <w:bottom w:val="single" w:sz="12" w:space="0" w:color="auto"/>
              <w:right w:val="single" w:sz="4" w:space="0" w:color="auto"/>
            </w:tcBorders>
            <w:shd w:val="clear" w:color="auto" w:fill="auto"/>
            <w:noWrap/>
            <w:vAlign w:val="bottom"/>
            <w:hideMark/>
          </w:tcPr>
          <w:p w14:paraId="2D303348" w14:textId="77777777" w:rsidR="00654759" w:rsidRPr="00654759" w:rsidRDefault="00654759" w:rsidP="00654759">
            <w:pPr>
              <w:jc w:val="center"/>
              <w:rPr>
                <w:rFonts w:cs="Tahoma"/>
                <w:color w:val="000000"/>
                <w:sz w:val="20"/>
                <w:szCs w:val="20"/>
              </w:rPr>
            </w:pPr>
            <w:r w:rsidRPr="00654759">
              <w:rPr>
                <w:rFonts w:cs="Tahoma"/>
                <w:color w:val="000000"/>
                <w:sz w:val="20"/>
                <w:szCs w:val="20"/>
              </w:rPr>
              <w:t>CYP at risk of CSE</w:t>
            </w:r>
          </w:p>
        </w:tc>
        <w:tc>
          <w:tcPr>
            <w:tcW w:w="2120" w:type="dxa"/>
            <w:tcBorders>
              <w:top w:val="single" w:sz="4" w:space="0" w:color="auto"/>
              <w:left w:val="nil"/>
              <w:bottom w:val="single" w:sz="12" w:space="0" w:color="auto"/>
              <w:right w:val="single" w:sz="4" w:space="0" w:color="auto"/>
            </w:tcBorders>
            <w:shd w:val="clear" w:color="auto" w:fill="auto"/>
            <w:noWrap/>
            <w:vAlign w:val="bottom"/>
            <w:hideMark/>
          </w:tcPr>
          <w:p w14:paraId="2D2C2BD2" w14:textId="77777777" w:rsidR="00654759" w:rsidRPr="00654759" w:rsidRDefault="00654759" w:rsidP="00654759">
            <w:pPr>
              <w:jc w:val="center"/>
              <w:rPr>
                <w:rFonts w:cs="Tahoma"/>
                <w:color w:val="000000"/>
                <w:sz w:val="20"/>
                <w:szCs w:val="20"/>
              </w:rPr>
            </w:pPr>
            <w:r w:rsidRPr="00654759">
              <w:rPr>
                <w:rFonts w:cs="Tahoma"/>
                <w:color w:val="000000"/>
                <w:sz w:val="20"/>
                <w:szCs w:val="20"/>
              </w:rPr>
              <w:t>CYP not at risk of CSE</w:t>
            </w:r>
          </w:p>
        </w:tc>
      </w:tr>
      <w:tr w:rsidR="00654759" w:rsidRPr="00654759" w14:paraId="3389E70D" w14:textId="77777777" w:rsidTr="00FA6995">
        <w:trPr>
          <w:trHeight w:val="260"/>
        </w:trPr>
        <w:tc>
          <w:tcPr>
            <w:tcW w:w="2840" w:type="dxa"/>
            <w:tcBorders>
              <w:top w:val="nil"/>
              <w:left w:val="single" w:sz="4" w:space="0" w:color="auto"/>
              <w:bottom w:val="nil"/>
              <w:right w:val="nil"/>
            </w:tcBorders>
            <w:shd w:val="clear" w:color="auto" w:fill="auto"/>
            <w:noWrap/>
            <w:vAlign w:val="bottom"/>
            <w:hideMark/>
          </w:tcPr>
          <w:p w14:paraId="35881EE3" w14:textId="77777777" w:rsidR="00654759" w:rsidRPr="00654759" w:rsidRDefault="00654759" w:rsidP="00654759">
            <w:pPr>
              <w:jc w:val="left"/>
              <w:rPr>
                <w:rFonts w:cs="Tahoma"/>
                <w:color w:val="000000"/>
                <w:sz w:val="20"/>
                <w:szCs w:val="20"/>
              </w:rPr>
            </w:pPr>
            <w:r w:rsidRPr="00654759">
              <w:rPr>
                <w:rFonts w:cs="Tahoma"/>
                <w:color w:val="000000"/>
                <w:sz w:val="20"/>
                <w:szCs w:val="20"/>
              </w:rPr>
              <w:t>Missing</w:t>
            </w:r>
          </w:p>
        </w:tc>
        <w:tc>
          <w:tcPr>
            <w:tcW w:w="1760" w:type="dxa"/>
            <w:tcBorders>
              <w:top w:val="nil"/>
              <w:left w:val="single" w:sz="4" w:space="0" w:color="auto"/>
              <w:bottom w:val="nil"/>
              <w:right w:val="single" w:sz="4" w:space="0" w:color="auto"/>
            </w:tcBorders>
            <w:shd w:val="clear" w:color="auto" w:fill="auto"/>
            <w:noWrap/>
            <w:vAlign w:val="bottom"/>
            <w:hideMark/>
          </w:tcPr>
          <w:p w14:paraId="4215BCD0" w14:textId="77777777" w:rsidR="00654759" w:rsidRPr="00654759" w:rsidRDefault="00654759" w:rsidP="00654759">
            <w:pPr>
              <w:jc w:val="center"/>
              <w:rPr>
                <w:rFonts w:cs="Tahoma"/>
                <w:color w:val="000000"/>
                <w:sz w:val="20"/>
                <w:szCs w:val="20"/>
              </w:rPr>
            </w:pPr>
            <w:r w:rsidRPr="00654759">
              <w:rPr>
                <w:rFonts w:cs="Tahoma"/>
                <w:color w:val="000000"/>
                <w:sz w:val="20"/>
                <w:szCs w:val="20"/>
              </w:rPr>
              <w:t>44%</w:t>
            </w:r>
          </w:p>
        </w:tc>
        <w:tc>
          <w:tcPr>
            <w:tcW w:w="2120" w:type="dxa"/>
            <w:tcBorders>
              <w:top w:val="nil"/>
              <w:left w:val="nil"/>
              <w:bottom w:val="nil"/>
              <w:right w:val="single" w:sz="4" w:space="0" w:color="auto"/>
            </w:tcBorders>
            <w:shd w:val="clear" w:color="auto" w:fill="auto"/>
            <w:noWrap/>
            <w:vAlign w:val="bottom"/>
            <w:hideMark/>
          </w:tcPr>
          <w:p w14:paraId="56F942F0" w14:textId="77777777" w:rsidR="00654759" w:rsidRPr="00654759" w:rsidRDefault="00654759" w:rsidP="00654759">
            <w:pPr>
              <w:jc w:val="center"/>
              <w:rPr>
                <w:rFonts w:cs="Tahoma"/>
                <w:color w:val="000000"/>
                <w:sz w:val="20"/>
                <w:szCs w:val="20"/>
              </w:rPr>
            </w:pPr>
            <w:r w:rsidRPr="00654759">
              <w:rPr>
                <w:rFonts w:cs="Tahoma"/>
                <w:color w:val="000000"/>
                <w:sz w:val="20"/>
                <w:szCs w:val="20"/>
              </w:rPr>
              <w:t>5%</w:t>
            </w:r>
          </w:p>
        </w:tc>
      </w:tr>
      <w:tr w:rsidR="00654759" w:rsidRPr="00654759" w14:paraId="5FDD846A" w14:textId="77777777" w:rsidTr="00FA6995">
        <w:trPr>
          <w:trHeight w:val="260"/>
        </w:trPr>
        <w:tc>
          <w:tcPr>
            <w:tcW w:w="284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4C71ACD9" w14:textId="77777777" w:rsidR="00654759" w:rsidRPr="00654759" w:rsidRDefault="00654759" w:rsidP="00654759">
            <w:pPr>
              <w:jc w:val="left"/>
              <w:rPr>
                <w:rFonts w:cs="Tahoma"/>
                <w:color w:val="000000"/>
                <w:sz w:val="20"/>
                <w:szCs w:val="20"/>
              </w:rPr>
            </w:pPr>
            <w:r w:rsidRPr="00654759">
              <w:rPr>
                <w:rFonts w:cs="Tahoma"/>
                <w:color w:val="000000"/>
                <w:sz w:val="20"/>
                <w:szCs w:val="20"/>
              </w:rPr>
              <w:t>Not missing</w:t>
            </w:r>
          </w:p>
        </w:tc>
        <w:tc>
          <w:tcPr>
            <w:tcW w:w="1760" w:type="dxa"/>
            <w:tcBorders>
              <w:top w:val="single" w:sz="4" w:space="0" w:color="auto"/>
              <w:left w:val="nil"/>
              <w:bottom w:val="single" w:sz="12" w:space="0" w:color="auto"/>
              <w:right w:val="single" w:sz="4" w:space="0" w:color="auto"/>
            </w:tcBorders>
            <w:shd w:val="clear" w:color="auto" w:fill="auto"/>
            <w:noWrap/>
            <w:vAlign w:val="bottom"/>
            <w:hideMark/>
          </w:tcPr>
          <w:p w14:paraId="4000D37A" w14:textId="77777777" w:rsidR="00654759" w:rsidRPr="00654759" w:rsidRDefault="00654759" w:rsidP="00654759">
            <w:pPr>
              <w:jc w:val="center"/>
              <w:rPr>
                <w:rFonts w:cs="Tahoma"/>
                <w:color w:val="000000"/>
                <w:sz w:val="20"/>
                <w:szCs w:val="20"/>
              </w:rPr>
            </w:pPr>
            <w:r w:rsidRPr="00654759">
              <w:rPr>
                <w:rFonts w:cs="Tahoma"/>
                <w:color w:val="000000"/>
                <w:sz w:val="20"/>
                <w:szCs w:val="20"/>
              </w:rPr>
              <w:t>56%</w:t>
            </w:r>
          </w:p>
        </w:tc>
        <w:tc>
          <w:tcPr>
            <w:tcW w:w="2120" w:type="dxa"/>
            <w:tcBorders>
              <w:top w:val="single" w:sz="4" w:space="0" w:color="auto"/>
              <w:left w:val="nil"/>
              <w:bottom w:val="single" w:sz="12" w:space="0" w:color="auto"/>
              <w:right w:val="single" w:sz="4" w:space="0" w:color="auto"/>
            </w:tcBorders>
            <w:shd w:val="clear" w:color="auto" w:fill="auto"/>
            <w:noWrap/>
            <w:vAlign w:val="bottom"/>
            <w:hideMark/>
          </w:tcPr>
          <w:p w14:paraId="7ABDD691" w14:textId="77777777" w:rsidR="00654759" w:rsidRPr="00654759" w:rsidRDefault="00654759" w:rsidP="00654759">
            <w:pPr>
              <w:jc w:val="center"/>
              <w:rPr>
                <w:rFonts w:cs="Tahoma"/>
                <w:color w:val="000000"/>
                <w:sz w:val="20"/>
                <w:szCs w:val="20"/>
              </w:rPr>
            </w:pPr>
            <w:r w:rsidRPr="00654759">
              <w:rPr>
                <w:rFonts w:cs="Tahoma"/>
                <w:color w:val="000000"/>
                <w:sz w:val="20"/>
                <w:szCs w:val="20"/>
              </w:rPr>
              <w:t>95%</w:t>
            </w:r>
          </w:p>
        </w:tc>
      </w:tr>
      <w:tr w:rsidR="00654759" w:rsidRPr="00654759" w14:paraId="2474646B" w14:textId="77777777" w:rsidTr="00FA6995">
        <w:trPr>
          <w:trHeight w:val="270"/>
        </w:trPr>
        <w:tc>
          <w:tcPr>
            <w:tcW w:w="2840" w:type="dxa"/>
            <w:tcBorders>
              <w:top w:val="nil"/>
              <w:left w:val="single" w:sz="4" w:space="0" w:color="auto"/>
              <w:bottom w:val="single" w:sz="12" w:space="0" w:color="auto"/>
              <w:right w:val="nil"/>
            </w:tcBorders>
            <w:shd w:val="clear" w:color="auto" w:fill="auto"/>
            <w:noWrap/>
            <w:vAlign w:val="bottom"/>
            <w:hideMark/>
          </w:tcPr>
          <w:p w14:paraId="502DCD91" w14:textId="77777777" w:rsidR="00654759" w:rsidRPr="00654759" w:rsidRDefault="00654759" w:rsidP="00654759">
            <w:pPr>
              <w:jc w:val="left"/>
              <w:rPr>
                <w:rFonts w:cs="Tahoma"/>
                <w:color w:val="000000"/>
                <w:sz w:val="20"/>
                <w:szCs w:val="20"/>
              </w:rPr>
            </w:pPr>
            <w:r w:rsidRPr="00654759">
              <w:rPr>
                <w:rFonts w:cs="Tahoma"/>
                <w:color w:val="000000"/>
                <w:sz w:val="20"/>
                <w:szCs w:val="20"/>
              </w:rPr>
              <w:t>Missing with RHI</w:t>
            </w:r>
          </w:p>
        </w:tc>
        <w:tc>
          <w:tcPr>
            <w:tcW w:w="1760" w:type="dxa"/>
            <w:tcBorders>
              <w:top w:val="nil"/>
              <w:left w:val="single" w:sz="4" w:space="0" w:color="auto"/>
              <w:bottom w:val="single" w:sz="12" w:space="0" w:color="auto"/>
              <w:right w:val="single" w:sz="4" w:space="0" w:color="auto"/>
            </w:tcBorders>
            <w:shd w:val="clear" w:color="auto" w:fill="auto"/>
            <w:noWrap/>
            <w:vAlign w:val="bottom"/>
            <w:hideMark/>
          </w:tcPr>
          <w:p w14:paraId="08342592" w14:textId="77777777" w:rsidR="00654759" w:rsidRPr="00654759" w:rsidRDefault="00654759" w:rsidP="00654759">
            <w:pPr>
              <w:jc w:val="center"/>
              <w:rPr>
                <w:rFonts w:cs="Tahoma"/>
                <w:color w:val="000000"/>
                <w:sz w:val="20"/>
                <w:szCs w:val="20"/>
              </w:rPr>
            </w:pPr>
            <w:r w:rsidRPr="00654759">
              <w:rPr>
                <w:rFonts w:cs="Tahoma"/>
                <w:color w:val="000000"/>
                <w:sz w:val="20"/>
                <w:szCs w:val="20"/>
              </w:rPr>
              <w:t>68%</w:t>
            </w:r>
          </w:p>
        </w:tc>
        <w:tc>
          <w:tcPr>
            <w:tcW w:w="2120" w:type="dxa"/>
            <w:tcBorders>
              <w:top w:val="nil"/>
              <w:left w:val="nil"/>
              <w:bottom w:val="single" w:sz="12" w:space="0" w:color="auto"/>
              <w:right w:val="single" w:sz="4" w:space="0" w:color="auto"/>
            </w:tcBorders>
            <w:shd w:val="clear" w:color="auto" w:fill="auto"/>
            <w:noWrap/>
            <w:vAlign w:val="bottom"/>
            <w:hideMark/>
          </w:tcPr>
          <w:p w14:paraId="5392091C" w14:textId="77777777" w:rsidR="00654759" w:rsidRPr="00654759" w:rsidRDefault="00654759" w:rsidP="00654759">
            <w:pPr>
              <w:jc w:val="center"/>
              <w:rPr>
                <w:rFonts w:cs="Tahoma"/>
                <w:color w:val="000000"/>
                <w:sz w:val="20"/>
                <w:szCs w:val="20"/>
              </w:rPr>
            </w:pPr>
            <w:r w:rsidRPr="00654759">
              <w:rPr>
                <w:rFonts w:cs="Tahoma"/>
                <w:color w:val="000000"/>
                <w:sz w:val="20"/>
                <w:szCs w:val="20"/>
              </w:rPr>
              <w:t>53%</w:t>
            </w:r>
          </w:p>
        </w:tc>
      </w:tr>
      <w:tr w:rsidR="00654759" w:rsidRPr="00654759" w14:paraId="4E7C8BB7" w14:textId="77777777" w:rsidTr="00FA6995">
        <w:trPr>
          <w:trHeight w:val="1020"/>
        </w:trPr>
        <w:tc>
          <w:tcPr>
            <w:tcW w:w="2840" w:type="dxa"/>
            <w:tcBorders>
              <w:top w:val="nil"/>
              <w:left w:val="single" w:sz="4" w:space="0" w:color="auto"/>
              <w:bottom w:val="single" w:sz="12" w:space="0" w:color="auto"/>
              <w:right w:val="single" w:sz="4" w:space="0" w:color="auto"/>
            </w:tcBorders>
            <w:shd w:val="clear" w:color="auto" w:fill="auto"/>
            <w:vAlign w:val="bottom"/>
            <w:hideMark/>
          </w:tcPr>
          <w:p w14:paraId="203D3045" w14:textId="77777777" w:rsidR="00654759" w:rsidRPr="00654759" w:rsidRDefault="00654759" w:rsidP="00654759">
            <w:pPr>
              <w:jc w:val="left"/>
              <w:rPr>
                <w:rFonts w:cs="Tahoma"/>
                <w:color w:val="000000"/>
                <w:sz w:val="20"/>
                <w:szCs w:val="20"/>
              </w:rPr>
            </w:pPr>
            <w:r w:rsidRPr="00654759">
              <w:rPr>
                <w:rFonts w:cs="Tahoma"/>
                <w:color w:val="000000"/>
                <w:sz w:val="20"/>
                <w:szCs w:val="20"/>
              </w:rPr>
              <w:t>CYP who experienced at least one unplanned ending with educational placement change</w:t>
            </w:r>
          </w:p>
        </w:tc>
        <w:tc>
          <w:tcPr>
            <w:tcW w:w="1760" w:type="dxa"/>
            <w:tcBorders>
              <w:top w:val="nil"/>
              <w:left w:val="nil"/>
              <w:bottom w:val="single" w:sz="12" w:space="0" w:color="auto"/>
              <w:right w:val="single" w:sz="4" w:space="0" w:color="auto"/>
            </w:tcBorders>
            <w:shd w:val="clear" w:color="auto" w:fill="auto"/>
            <w:noWrap/>
            <w:vAlign w:val="bottom"/>
            <w:hideMark/>
          </w:tcPr>
          <w:p w14:paraId="667180E9" w14:textId="77777777" w:rsidR="00654759" w:rsidRPr="00654759" w:rsidRDefault="00654759" w:rsidP="00654759">
            <w:pPr>
              <w:jc w:val="center"/>
              <w:rPr>
                <w:rFonts w:cs="Tahoma"/>
                <w:color w:val="000000"/>
                <w:sz w:val="20"/>
                <w:szCs w:val="20"/>
              </w:rPr>
            </w:pPr>
            <w:r w:rsidRPr="00654759">
              <w:rPr>
                <w:rFonts w:cs="Tahoma"/>
                <w:color w:val="000000"/>
                <w:sz w:val="20"/>
                <w:szCs w:val="20"/>
              </w:rPr>
              <w:t>17%</w:t>
            </w:r>
          </w:p>
        </w:tc>
        <w:tc>
          <w:tcPr>
            <w:tcW w:w="2120" w:type="dxa"/>
            <w:tcBorders>
              <w:top w:val="nil"/>
              <w:left w:val="nil"/>
              <w:bottom w:val="single" w:sz="12" w:space="0" w:color="auto"/>
              <w:right w:val="single" w:sz="4" w:space="0" w:color="auto"/>
            </w:tcBorders>
            <w:shd w:val="clear" w:color="auto" w:fill="auto"/>
            <w:noWrap/>
            <w:vAlign w:val="bottom"/>
            <w:hideMark/>
          </w:tcPr>
          <w:p w14:paraId="2B6B4D2D" w14:textId="77777777" w:rsidR="00654759" w:rsidRPr="00654759" w:rsidRDefault="00654759" w:rsidP="00654759">
            <w:pPr>
              <w:jc w:val="center"/>
              <w:rPr>
                <w:rFonts w:cs="Tahoma"/>
                <w:color w:val="000000"/>
                <w:sz w:val="20"/>
                <w:szCs w:val="20"/>
              </w:rPr>
            </w:pPr>
            <w:r w:rsidRPr="00654759">
              <w:rPr>
                <w:rFonts w:cs="Tahoma"/>
                <w:color w:val="000000"/>
                <w:sz w:val="20"/>
                <w:szCs w:val="20"/>
              </w:rPr>
              <w:t>10%</w:t>
            </w:r>
          </w:p>
        </w:tc>
      </w:tr>
      <w:tr w:rsidR="00654759" w:rsidRPr="00654759" w14:paraId="2C93BCF3" w14:textId="77777777" w:rsidTr="00FA6995">
        <w:trPr>
          <w:trHeight w:val="770"/>
        </w:trPr>
        <w:tc>
          <w:tcPr>
            <w:tcW w:w="2840" w:type="dxa"/>
            <w:tcBorders>
              <w:top w:val="nil"/>
              <w:left w:val="single" w:sz="4" w:space="0" w:color="auto"/>
              <w:bottom w:val="single" w:sz="12" w:space="0" w:color="auto"/>
              <w:right w:val="single" w:sz="4" w:space="0" w:color="auto"/>
            </w:tcBorders>
            <w:shd w:val="clear" w:color="auto" w:fill="auto"/>
            <w:vAlign w:val="bottom"/>
            <w:hideMark/>
          </w:tcPr>
          <w:p w14:paraId="1B08D98D" w14:textId="3CF57C58" w:rsidR="00654759" w:rsidRPr="00654759" w:rsidRDefault="00654759" w:rsidP="00654759">
            <w:pPr>
              <w:jc w:val="left"/>
              <w:rPr>
                <w:rFonts w:cs="Tahoma"/>
                <w:color w:val="000000"/>
                <w:sz w:val="20"/>
                <w:szCs w:val="20"/>
              </w:rPr>
            </w:pPr>
            <w:r w:rsidRPr="00654759">
              <w:rPr>
                <w:rFonts w:cs="Tahoma"/>
                <w:color w:val="000000"/>
                <w:sz w:val="20"/>
                <w:szCs w:val="20"/>
              </w:rPr>
              <w:t>CYP who experienced at least one unplanned ending with per</w:t>
            </w:r>
            <w:r w:rsidR="00C67F4B">
              <w:rPr>
                <w:rFonts w:cs="Tahoma"/>
                <w:color w:val="000000"/>
                <w:sz w:val="20"/>
                <w:szCs w:val="20"/>
              </w:rPr>
              <w:t>s</w:t>
            </w:r>
            <w:r w:rsidRPr="00654759">
              <w:rPr>
                <w:rFonts w:cs="Tahoma"/>
                <w:color w:val="000000"/>
                <w:sz w:val="20"/>
                <w:szCs w:val="20"/>
              </w:rPr>
              <w:t>istent absence</w:t>
            </w:r>
          </w:p>
        </w:tc>
        <w:tc>
          <w:tcPr>
            <w:tcW w:w="1760" w:type="dxa"/>
            <w:tcBorders>
              <w:top w:val="nil"/>
              <w:left w:val="nil"/>
              <w:bottom w:val="single" w:sz="12" w:space="0" w:color="auto"/>
              <w:right w:val="single" w:sz="4" w:space="0" w:color="auto"/>
            </w:tcBorders>
            <w:shd w:val="clear" w:color="auto" w:fill="auto"/>
            <w:noWrap/>
            <w:vAlign w:val="bottom"/>
            <w:hideMark/>
          </w:tcPr>
          <w:p w14:paraId="3D8EC98B" w14:textId="77777777" w:rsidR="00654759" w:rsidRPr="00654759" w:rsidRDefault="00654759" w:rsidP="00654759">
            <w:pPr>
              <w:jc w:val="center"/>
              <w:rPr>
                <w:rFonts w:cs="Tahoma"/>
                <w:color w:val="000000"/>
                <w:sz w:val="20"/>
                <w:szCs w:val="20"/>
              </w:rPr>
            </w:pPr>
            <w:r w:rsidRPr="00654759">
              <w:rPr>
                <w:rFonts w:cs="Tahoma"/>
                <w:color w:val="000000"/>
                <w:sz w:val="20"/>
                <w:szCs w:val="20"/>
              </w:rPr>
              <w:t>33%</w:t>
            </w:r>
          </w:p>
        </w:tc>
        <w:tc>
          <w:tcPr>
            <w:tcW w:w="2120" w:type="dxa"/>
            <w:tcBorders>
              <w:top w:val="nil"/>
              <w:left w:val="nil"/>
              <w:bottom w:val="single" w:sz="12" w:space="0" w:color="auto"/>
              <w:right w:val="single" w:sz="4" w:space="0" w:color="auto"/>
            </w:tcBorders>
            <w:shd w:val="clear" w:color="auto" w:fill="auto"/>
            <w:noWrap/>
            <w:vAlign w:val="bottom"/>
            <w:hideMark/>
          </w:tcPr>
          <w:p w14:paraId="29D6B2BD" w14:textId="77777777" w:rsidR="00654759" w:rsidRPr="00654759" w:rsidRDefault="00654759" w:rsidP="00654759">
            <w:pPr>
              <w:jc w:val="center"/>
              <w:rPr>
                <w:rFonts w:cs="Tahoma"/>
                <w:color w:val="000000"/>
                <w:sz w:val="20"/>
                <w:szCs w:val="20"/>
              </w:rPr>
            </w:pPr>
            <w:r w:rsidRPr="00654759">
              <w:rPr>
                <w:rFonts w:cs="Tahoma"/>
                <w:color w:val="000000"/>
                <w:sz w:val="20"/>
                <w:szCs w:val="20"/>
              </w:rPr>
              <w:t>11%</w:t>
            </w:r>
          </w:p>
        </w:tc>
      </w:tr>
    </w:tbl>
    <w:p w14:paraId="0E235E3A" w14:textId="55A28C11" w:rsidR="007B3596" w:rsidRDefault="00FA6995" w:rsidP="007B3596">
      <w:pPr>
        <w:jc w:val="left"/>
        <w:rPr>
          <w:color w:val="000000" w:themeColor="text1"/>
        </w:rPr>
      </w:pPr>
      <w:r>
        <w:rPr>
          <w:color w:val="000000" w:themeColor="text1"/>
        </w:rPr>
        <w:tab/>
      </w:r>
    </w:p>
    <w:p w14:paraId="2EF7D323" w14:textId="77777777" w:rsidR="00036BD5" w:rsidRPr="00B564FC" w:rsidRDefault="00036BD5" w:rsidP="007B3596">
      <w:pPr>
        <w:jc w:val="left"/>
        <w:rPr>
          <w:b/>
          <w:color w:val="000000" w:themeColor="text1"/>
        </w:rPr>
      </w:pPr>
    </w:p>
    <w:p w14:paraId="769F31E4" w14:textId="753212D9" w:rsidR="007B3596" w:rsidRPr="00A135DF" w:rsidRDefault="00923826" w:rsidP="007B41BD">
      <w:pPr>
        <w:pStyle w:val="ListParagraph"/>
        <w:numPr>
          <w:ilvl w:val="0"/>
          <w:numId w:val="27"/>
        </w:numPr>
        <w:ind w:left="426"/>
        <w:jc w:val="left"/>
        <w:rPr>
          <w:color w:val="000000" w:themeColor="text1"/>
        </w:rPr>
      </w:pPr>
      <w:r w:rsidRPr="00A135DF">
        <w:rPr>
          <w:color w:val="000000" w:themeColor="text1"/>
        </w:rPr>
        <w:t>Forty-</w:t>
      </w:r>
      <w:r w:rsidR="00CC4E23" w:rsidRPr="00A135DF">
        <w:rPr>
          <w:color w:val="000000" w:themeColor="text1"/>
        </w:rPr>
        <w:t>four</w:t>
      </w:r>
      <w:r w:rsidRPr="00A135DF">
        <w:rPr>
          <w:color w:val="000000" w:themeColor="text1"/>
        </w:rPr>
        <w:t xml:space="preserve"> percent</w:t>
      </w:r>
      <w:r w:rsidR="007B3596" w:rsidRPr="00A135DF">
        <w:rPr>
          <w:color w:val="000000" w:themeColor="text1"/>
        </w:rPr>
        <w:t xml:space="preserve"> of children at risk of </w:t>
      </w:r>
      <w:r w:rsidR="0001752C" w:rsidRPr="00A135DF">
        <w:rPr>
          <w:color w:val="000000" w:themeColor="text1"/>
        </w:rPr>
        <w:t xml:space="preserve">child sexual exploitation </w:t>
      </w:r>
      <w:r w:rsidR="007B3596" w:rsidRPr="00A135DF">
        <w:rPr>
          <w:color w:val="000000" w:themeColor="text1"/>
        </w:rPr>
        <w:t xml:space="preserve">had at least one missing incident, compared </w:t>
      </w:r>
      <w:r w:rsidR="0001752C" w:rsidRPr="00A135DF">
        <w:rPr>
          <w:color w:val="000000" w:themeColor="text1"/>
        </w:rPr>
        <w:t xml:space="preserve">with </w:t>
      </w:r>
      <w:r w:rsidR="007B3596" w:rsidRPr="00A135DF">
        <w:rPr>
          <w:color w:val="000000" w:themeColor="text1"/>
        </w:rPr>
        <w:t>5% of children not at risk.</w:t>
      </w:r>
      <w:r w:rsidR="007B41BD" w:rsidRPr="00A135DF" w:rsidDel="007B41BD">
        <w:rPr>
          <w:color w:val="000000" w:themeColor="text1"/>
        </w:rPr>
        <w:t xml:space="preserve"> </w:t>
      </w:r>
    </w:p>
    <w:p w14:paraId="1732BF46" w14:textId="63B9C667" w:rsidR="007B3596" w:rsidRPr="00A135DF" w:rsidRDefault="007B3596" w:rsidP="007B3596">
      <w:pPr>
        <w:pStyle w:val="ListParagraph"/>
        <w:numPr>
          <w:ilvl w:val="0"/>
          <w:numId w:val="27"/>
        </w:numPr>
        <w:ind w:left="426"/>
        <w:jc w:val="left"/>
        <w:rPr>
          <w:color w:val="000000" w:themeColor="text1"/>
        </w:rPr>
      </w:pPr>
      <w:r w:rsidRPr="00A135DF">
        <w:rPr>
          <w:color w:val="000000" w:themeColor="text1"/>
        </w:rPr>
        <w:t xml:space="preserve">A higher percentage of children at risk of </w:t>
      </w:r>
      <w:r w:rsidR="0001752C" w:rsidRPr="00A135DF">
        <w:rPr>
          <w:color w:val="000000" w:themeColor="text1"/>
        </w:rPr>
        <w:t xml:space="preserve">child sexual exploitation </w:t>
      </w:r>
      <w:r w:rsidRPr="00A135DF">
        <w:rPr>
          <w:color w:val="000000" w:themeColor="text1"/>
        </w:rPr>
        <w:t>who also went missing who had at least one RHI (</w:t>
      </w:r>
      <w:r w:rsidR="005B52F1" w:rsidRPr="00A135DF">
        <w:rPr>
          <w:color w:val="000000" w:themeColor="text1"/>
        </w:rPr>
        <w:t>68</w:t>
      </w:r>
      <w:r w:rsidRPr="00A135DF">
        <w:rPr>
          <w:color w:val="000000" w:themeColor="text1"/>
        </w:rPr>
        <w:t xml:space="preserve">%), compared to children not at risk of </w:t>
      </w:r>
      <w:r w:rsidR="0001752C" w:rsidRPr="00A135DF">
        <w:rPr>
          <w:color w:val="000000" w:themeColor="text1"/>
        </w:rPr>
        <w:t xml:space="preserve">child sexual exploitation </w:t>
      </w:r>
      <w:r w:rsidR="00FA6995" w:rsidRPr="00A135DF">
        <w:rPr>
          <w:color w:val="000000" w:themeColor="text1"/>
        </w:rPr>
        <w:t>who went missing (53</w:t>
      </w:r>
      <w:r w:rsidRPr="00A135DF">
        <w:rPr>
          <w:color w:val="000000" w:themeColor="text1"/>
        </w:rPr>
        <w:t xml:space="preserve">%). </w:t>
      </w:r>
    </w:p>
    <w:p w14:paraId="10E0A6F1" w14:textId="579737AC" w:rsidR="007B3596" w:rsidRPr="00B564FC" w:rsidRDefault="007B3596" w:rsidP="007B3596">
      <w:pPr>
        <w:pStyle w:val="ListParagraph"/>
        <w:numPr>
          <w:ilvl w:val="0"/>
          <w:numId w:val="28"/>
        </w:numPr>
        <w:ind w:left="425" w:hanging="357"/>
        <w:jc w:val="left"/>
        <w:rPr>
          <w:color w:val="000000" w:themeColor="text1"/>
        </w:rPr>
      </w:pPr>
      <w:r w:rsidRPr="00B564FC">
        <w:rPr>
          <w:color w:val="000000" w:themeColor="text1"/>
        </w:rPr>
        <w:t xml:space="preserve">A higher percentage of children with unplanned endings who are at risk of </w:t>
      </w:r>
      <w:r w:rsidR="0001752C" w:rsidRPr="00B564FC">
        <w:rPr>
          <w:color w:val="000000" w:themeColor="text1"/>
        </w:rPr>
        <w:t xml:space="preserve">child sexual exploitation </w:t>
      </w:r>
      <w:r w:rsidRPr="00B564FC">
        <w:rPr>
          <w:color w:val="000000" w:themeColor="text1"/>
        </w:rPr>
        <w:t xml:space="preserve">are likely to have at least one educational placement change (17%) compared </w:t>
      </w:r>
      <w:r w:rsidR="0001752C">
        <w:rPr>
          <w:color w:val="000000" w:themeColor="text1"/>
        </w:rPr>
        <w:t>with</w:t>
      </w:r>
      <w:r w:rsidR="0001752C" w:rsidRPr="00B564FC">
        <w:rPr>
          <w:color w:val="000000" w:themeColor="text1"/>
        </w:rPr>
        <w:t xml:space="preserve"> </w:t>
      </w:r>
      <w:r w:rsidRPr="00B564FC">
        <w:rPr>
          <w:color w:val="000000" w:themeColor="text1"/>
        </w:rPr>
        <w:t xml:space="preserve">children not at risk of </w:t>
      </w:r>
      <w:r w:rsidR="0001752C" w:rsidRPr="00B564FC">
        <w:rPr>
          <w:color w:val="000000" w:themeColor="text1"/>
        </w:rPr>
        <w:t xml:space="preserve">child sexual exploitation </w:t>
      </w:r>
      <w:r w:rsidRPr="00B564FC">
        <w:rPr>
          <w:color w:val="000000" w:themeColor="text1"/>
        </w:rPr>
        <w:t>(10%).</w:t>
      </w:r>
      <w:bookmarkStart w:id="89" w:name="_Toc408930062"/>
    </w:p>
    <w:p w14:paraId="2F500643" w14:textId="77777777" w:rsidR="007B3596" w:rsidRPr="00B564FC" w:rsidRDefault="007B3596" w:rsidP="007B3596">
      <w:pPr>
        <w:pStyle w:val="Table"/>
        <w:rPr>
          <w:color w:val="000000" w:themeColor="text1"/>
        </w:rPr>
      </w:pPr>
    </w:p>
    <w:p w14:paraId="2C0CF2A3" w14:textId="77777777" w:rsidR="007B3596" w:rsidRPr="00B564FC" w:rsidRDefault="007B3596" w:rsidP="007B3596">
      <w:pPr>
        <w:pStyle w:val="Table"/>
        <w:rPr>
          <w:color w:val="000000" w:themeColor="text1"/>
        </w:rPr>
      </w:pPr>
    </w:p>
    <w:p w14:paraId="21913AE1" w14:textId="77777777" w:rsidR="007B3596" w:rsidRPr="00B564FC" w:rsidRDefault="007B3596" w:rsidP="007B3596">
      <w:pPr>
        <w:pStyle w:val="Heading3"/>
        <w:rPr>
          <w:color w:val="000000" w:themeColor="text1"/>
        </w:rPr>
      </w:pPr>
      <w:bookmarkStart w:id="90" w:name="_Toc509261141"/>
      <w:r w:rsidRPr="00B564FC">
        <w:rPr>
          <w:color w:val="000000" w:themeColor="text1"/>
        </w:rPr>
        <w:t xml:space="preserve">Allegations of </w:t>
      </w:r>
      <w:bookmarkEnd w:id="89"/>
      <w:r w:rsidRPr="00B564FC">
        <w:rPr>
          <w:color w:val="000000" w:themeColor="text1"/>
        </w:rPr>
        <w:t>abuse</w:t>
      </w:r>
      <w:r w:rsidRPr="00B564FC">
        <w:rPr>
          <w:rStyle w:val="FootnoteReference"/>
          <w:color w:val="000000" w:themeColor="text1"/>
        </w:rPr>
        <w:footnoteReference w:id="50"/>
      </w:r>
      <w:bookmarkEnd w:id="90"/>
    </w:p>
    <w:p w14:paraId="5B8C9843" w14:textId="11F56E62" w:rsidR="007B3596" w:rsidRPr="00B564FC" w:rsidRDefault="007B3596" w:rsidP="007B3596">
      <w:pPr>
        <w:pStyle w:val="ListParagraph"/>
        <w:numPr>
          <w:ilvl w:val="0"/>
          <w:numId w:val="29"/>
        </w:numPr>
        <w:ind w:left="425" w:hanging="357"/>
        <w:jc w:val="left"/>
        <w:rPr>
          <w:color w:val="000000" w:themeColor="text1"/>
          <w:lang w:eastAsia="en-US"/>
        </w:rPr>
      </w:pPr>
      <w:r w:rsidRPr="00B564FC">
        <w:rPr>
          <w:color w:val="000000" w:themeColor="text1"/>
          <w:lang w:eastAsia="en-US"/>
        </w:rPr>
        <w:t>During 2016</w:t>
      </w:r>
      <w:r w:rsidR="0001752C">
        <w:rPr>
          <w:color w:val="000000" w:themeColor="text1"/>
        </w:rPr>
        <w:t>–</w:t>
      </w:r>
      <w:r w:rsidRPr="00B564FC">
        <w:rPr>
          <w:color w:val="000000" w:themeColor="text1"/>
          <w:lang w:eastAsia="en-US"/>
        </w:rPr>
        <w:t>17, there were 2,5</w:t>
      </w:r>
      <w:r w:rsidR="00114A1F">
        <w:rPr>
          <w:color w:val="000000" w:themeColor="text1"/>
          <w:lang w:eastAsia="en-US"/>
        </w:rPr>
        <w:t>25</w:t>
      </w:r>
      <w:r w:rsidRPr="00B564FC">
        <w:rPr>
          <w:color w:val="000000" w:themeColor="text1"/>
          <w:lang w:eastAsia="en-US"/>
        </w:rPr>
        <w:t xml:space="preserve"> allegations made against foster carers. Just under two thirds of these (1,6</w:t>
      </w:r>
      <w:r w:rsidR="00114A1F">
        <w:rPr>
          <w:color w:val="000000" w:themeColor="text1"/>
          <w:lang w:eastAsia="en-US"/>
        </w:rPr>
        <w:t>65</w:t>
      </w:r>
      <w:r w:rsidRPr="00B564FC">
        <w:rPr>
          <w:color w:val="000000" w:themeColor="text1"/>
          <w:lang w:eastAsia="en-US"/>
        </w:rPr>
        <w:t xml:space="preserve">) were made by fostered children. </w:t>
      </w:r>
    </w:p>
    <w:p w14:paraId="27A4FB67" w14:textId="77777777" w:rsidR="00E44987" w:rsidRDefault="00E44987" w:rsidP="00E44987">
      <w:pPr>
        <w:ind w:left="68"/>
        <w:jc w:val="left"/>
        <w:rPr>
          <w:color w:val="000000" w:themeColor="text1"/>
          <w:lang w:eastAsia="en-US"/>
        </w:rPr>
      </w:pPr>
    </w:p>
    <w:p w14:paraId="64ABFBBD" w14:textId="77777777" w:rsidR="00036BD5" w:rsidRDefault="00036BD5" w:rsidP="00E44987">
      <w:pPr>
        <w:ind w:left="68"/>
        <w:jc w:val="left"/>
        <w:rPr>
          <w:color w:val="000000" w:themeColor="text1"/>
          <w:lang w:eastAsia="en-US"/>
        </w:rPr>
      </w:pPr>
    </w:p>
    <w:p w14:paraId="34E57114" w14:textId="77777777" w:rsidR="00036BD5" w:rsidRDefault="00036BD5" w:rsidP="00E44987">
      <w:pPr>
        <w:ind w:left="68"/>
        <w:jc w:val="left"/>
        <w:rPr>
          <w:color w:val="000000" w:themeColor="text1"/>
          <w:lang w:eastAsia="en-US"/>
        </w:rPr>
      </w:pPr>
    </w:p>
    <w:p w14:paraId="612FE9ED" w14:textId="77777777" w:rsidR="00036BD5" w:rsidRDefault="00036BD5" w:rsidP="00E44987">
      <w:pPr>
        <w:ind w:left="68"/>
        <w:jc w:val="left"/>
        <w:rPr>
          <w:color w:val="000000" w:themeColor="text1"/>
          <w:lang w:eastAsia="en-US"/>
        </w:rPr>
      </w:pPr>
    </w:p>
    <w:p w14:paraId="062E04E3" w14:textId="77777777" w:rsidR="00036BD5" w:rsidRDefault="00036BD5" w:rsidP="00E44987">
      <w:pPr>
        <w:ind w:left="68"/>
        <w:jc w:val="left"/>
        <w:rPr>
          <w:color w:val="000000" w:themeColor="text1"/>
          <w:lang w:eastAsia="en-US"/>
        </w:rPr>
      </w:pPr>
    </w:p>
    <w:p w14:paraId="3B219418" w14:textId="77777777" w:rsidR="00A135DF" w:rsidRDefault="00A135DF" w:rsidP="0042575C">
      <w:pPr>
        <w:pStyle w:val="Table"/>
        <w:rPr>
          <w:color w:val="000000" w:themeColor="text1"/>
        </w:rPr>
      </w:pPr>
      <w:bookmarkStart w:id="91" w:name="_Toc509495455"/>
    </w:p>
    <w:p w14:paraId="6FE8CA96" w14:textId="0F985F86" w:rsidR="007B3596" w:rsidRPr="00B564FC" w:rsidRDefault="000E7AC6" w:rsidP="0042575C">
      <w:pPr>
        <w:pStyle w:val="Table"/>
        <w:rPr>
          <w:color w:val="000000" w:themeColor="text1"/>
        </w:rPr>
      </w:pPr>
      <w:r w:rsidRPr="00B564FC">
        <w:rPr>
          <w:color w:val="000000" w:themeColor="text1"/>
        </w:rPr>
        <w:t xml:space="preserve">Figure 13: Allegations and </w:t>
      </w:r>
      <w:r w:rsidR="0001752C">
        <w:rPr>
          <w:color w:val="000000" w:themeColor="text1"/>
        </w:rPr>
        <w:t>number of those</w:t>
      </w:r>
      <w:r w:rsidR="0001752C" w:rsidRPr="00B564FC">
        <w:rPr>
          <w:color w:val="000000" w:themeColor="text1"/>
        </w:rPr>
        <w:t xml:space="preserve"> </w:t>
      </w:r>
      <w:r w:rsidRPr="00B564FC">
        <w:rPr>
          <w:color w:val="000000" w:themeColor="text1"/>
        </w:rPr>
        <w:t>by foster children against foster carers</w:t>
      </w:r>
      <w:bookmarkEnd w:id="91"/>
    </w:p>
    <w:p w14:paraId="58A6F7F8" w14:textId="3D59AC75" w:rsidR="00A904D1" w:rsidRDefault="00FB4B71" w:rsidP="007B3596">
      <w:pPr>
        <w:jc w:val="left"/>
        <w:rPr>
          <w:color w:val="000000" w:themeColor="text1"/>
          <w:lang w:eastAsia="en-US"/>
        </w:rPr>
      </w:pPr>
      <w:r>
        <w:rPr>
          <w:noProof/>
          <w:color w:val="000000" w:themeColor="text1"/>
        </w:rPr>
        <w:drawing>
          <wp:inline distT="0" distB="0" distL="0" distR="0" wp14:anchorId="1E453DDE" wp14:editId="097F8618">
            <wp:extent cx="5096969" cy="3269673"/>
            <wp:effectExtent l="0" t="0" r="889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12448" cy="3279603"/>
                    </a:xfrm>
                    <a:prstGeom prst="rect">
                      <a:avLst/>
                    </a:prstGeom>
                    <a:noFill/>
                  </pic:spPr>
                </pic:pic>
              </a:graphicData>
            </a:graphic>
          </wp:inline>
        </w:drawing>
      </w:r>
    </w:p>
    <w:p w14:paraId="217ADB9E" w14:textId="77777777" w:rsidR="00A904D1" w:rsidRPr="00B564FC" w:rsidRDefault="00A904D1" w:rsidP="007B3596">
      <w:pPr>
        <w:jc w:val="left"/>
        <w:rPr>
          <w:color w:val="000000" w:themeColor="text1"/>
          <w:lang w:eastAsia="en-US"/>
        </w:rPr>
      </w:pPr>
    </w:p>
    <w:p w14:paraId="1F22F807" w14:textId="18279A43" w:rsidR="00BE1F6D" w:rsidRPr="00B564FC" w:rsidRDefault="00BE1F6D" w:rsidP="00BE1F6D">
      <w:pPr>
        <w:pStyle w:val="ListParagraph"/>
        <w:numPr>
          <w:ilvl w:val="0"/>
          <w:numId w:val="29"/>
        </w:numPr>
        <w:ind w:left="425" w:hanging="357"/>
        <w:jc w:val="left"/>
        <w:rPr>
          <w:color w:val="000000" w:themeColor="text1"/>
          <w:lang w:eastAsia="en-US"/>
        </w:rPr>
      </w:pPr>
      <w:r w:rsidRPr="00B564FC">
        <w:rPr>
          <w:color w:val="000000" w:themeColor="text1"/>
          <w:lang w:eastAsia="en-US"/>
        </w:rPr>
        <w:t>The total number of allegations increased by 3% (from 2,450 to 2,5</w:t>
      </w:r>
      <w:r w:rsidR="00114A1F">
        <w:rPr>
          <w:color w:val="000000" w:themeColor="text1"/>
          <w:lang w:eastAsia="en-US"/>
        </w:rPr>
        <w:t>25</w:t>
      </w:r>
      <w:r w:rsidRPr="00B564FC">
        <w:rPr>
          <w:color w:val="000000" w:themeColor="text1"/>
          <w:lang w:eastAsia="en-US"/>
        </w:rPr>
        <w:t xml:space="preserve">) from 2016. There was also a </w:t>
      </w:r>
      <w:r w:rsidR="00114A1F">
        <w:rPr>
          <w:color w:val="000000" w:themeColor="text1"/>
          <w:lang w:eastAsia="en-US"/>
        </w:rPr>
        <w:t>7</w:t>
      </w:r>
      <w:r w:rsidRPr="00B564FC">
        <w:rPr>
          <w:color w:val="000000" w:themeColor="text1"/>
          <w:lang w:eastAsia="en-US"/>
        </w:rPr>
        <w:t>% increase in allegations against foster carers by fostered children (from 1,550 to 1,6</w:t>
      </w:r>
      <w:r w:rsidR="00114A1F">
        <w:rPr>
          <w:color w:val="000000" w:themeColor="text1"/>
          <w:lang w:eastAsia="en-US"/>
        </w:rPr>
        <w:t>65</w:t>
      </w:r>
      <w:r w:rsidRPr="00B564FC">
        <w:rPr>
          <w:color w:val="000000" w:themeColor="text1"/>
          <w:lang w:eastAsia="en-US"/>
        </w:rPr>
        <w:t>).</w:t>
      </w:r>
    </w:p>
    <w:p w14:paraId="57B40E30" w14:textId="4255C552" w:rsidR="00426D88" w:rsidRPr="00B564FC" w:rsidRDefault="001A2FB3" w:rsidP="00426D88">
      <w:pPr>
        <w:pStyle w:val="ListParagraph"/>
        <w:numPr>
          <w:ilvl w:val="0"/>
          <w:numId w:val="29"/>
        </w:numPr>
        <w:ind w:left="425" w:hanging="357"/>
        <w:jc w:val="left"/>
        <w:rPr>
          <w:color w:val="000000" w:themeColor="text1"/>
        </w:rPr>
      </w:pPr>
      <w:r w:rsidRPr="00B564FC">
        <w:rPr>
          <w:color w:val="000000" w:themeColor="text1"/>
          <w:lang w:eastAsia="en-US"/>
        </w:rPr>
        <w:t xml:space="preserve">Although the </w:t>
      </w:r>
      <w:r w:rsidR="00BD49C7" w:rsidRPr="00B564FC">
        <w:rPr>
          <w:color w:val="000000" w:themeColor="text1"/>
          <w:lang w:eastAsia="en-US"/>
        </w:rPr>
        <w:t>split</w:t>
      </w:r>
      <w:r w:rsidRPr="00B564FC">
        <w:rPr>
          <w:color w:val="000000" w:themeColor="text1"/>
          <w:lang w:eastAsia="en-US"/>
        </w:rPr>
        <w:t xml:space="preserve"> of allegations by sector remained the same</w:t>
      </w:r>
      <w:r w:rsidR="0012057C" w:rsidRPr="00B564FC">
        <w:rPr>
          <w:color w:val="000000" w:themeColor="text1"/>
          <w:lang w:eastAsia="en-US"/>
        </w:rPr>
        <w:t xml:space="preserve"> compared </w:t>
      </w:r>
      <w:r w:rsidR="0001752C">
        <w:rPr>
          <w:color w:val="000000" w:themeColor="text1"/>
          <w:lang w:eastAsia="en-US"/>
        </w:rPr>
        <w:t>with</w:t>
      </w:r>
      <w:r w:rsidR="0001752C" w:rsidRPr="00B564FC">
        <w:rPr>
          <w:color w:val="000000" w:themeColor="text1"/>
          <w:lang w:eastAsia="en-US"/>
        </w:rPr>
        <w:t xml:space="preserve"> </w:t>
      </w:r>
      <w:r w:rsidR="0012057C" w:rsidRPr="00B564FC">
        <w:rPr>
          <w:color w:val="000000" w:themeColor="text1"/>
          <w:lang w:eastAsia="en-US"/>
        </w:rPr>
        <w:t>2016, the IFA sector saw a 10% increase (from 690 to 760) with more children making allegations against foster carers.</w:t>
      </w:r>
    </w:p>
    <w:p w14:paraId="22645445" w14:textId="16F1DCE5" w:rsidR="007B3596" w:rsidRPr="00B564FC" w:rsidRDefault="007B3596" w:rsidP="00F40446">
      <w:pPr>
        <w:pStyle w:val="ListParagraph"/>
        <w:numPr>
          <w:ilvl w:val="0"/>
          <w:numId w:val="29"/>
        </w:numPr>
        <w:ind w:left="425" w:hanging="357"/>
        <w:jc w:val="left"/>
        <w:rPr>
          <w:color w:val="000000" w:themeColor="text1"/>
        </w:rPr>
      </w:pPr>
      <w:r w:rsidRPr="00B564FC">
        <w:rPr>
          <w:color w:val="000000" w:themeColor="text1"/>
        </w:rPr>
        <w:t xml:space="preserve">Over half of all allegations were related to physical abuse, with allegations of sexual abuse being least common, much the same as in 2016. </w:t>
      </w:r>
    </w:p>
    <w:p w14:paraId="7E01956F" w14:textId="62082422" w:rsidR="007B3596" w:rsidRPr="00B564FC" w:rsidRDefault="007B3596" w:rsidP="007B3596">
      <w:pPr>
        <w:pStyle w:val="ListParagraph"/>
        <w:numPr>
          <w:ilvl w:val="0"/>
          <w:numId w:val="29"/>
        </w:numPr>
        <w:ind w:left="425" w:hanging="357"/>
        <w:jc w:val="left"/>
        <w:rPr>
          <w:color w:val="000000" w:themeColor="text1"/>
        </w:rPr>
      </w:pPr>
      <w:r w:rsidRPr="00B564FC">
        <w:rPr>
          <w:color w:val="000000" w:themeColor="text1"/>
        </w:rPr>
        <w:t xml:space="preserve">In the same way as last year, </w:t>
      </w:r>
      <w:r w:rsidR="002721FF">
        <w:rPr>
          <w:color w:val="000000" w:themeColor="text1"/>
        </w:rPr>
        <w:t xml:space="preserve">the outcome of </w:t>
      </w:r>
      <w:r w:rsidRPr="00B564FC">
        <w:rPr>
          <w:color w:val="000000" w:themeColor="text1"/>
        </w:rPr>
        <w:t>continued monitoring was more common for LAs (18%) than for IFAs (12%).</w:t>
      </w:r>
    </w:p>
    <w:p w14:paraId="580ECA7E" w14:textId="6F7FB17B" w:rsidR="00C1602A" w:rsidRPr="00B564FC" w:rsidRDefault="007B3596" w:rsidP="007B3596">
      <w:pPr>
        <w:pStyle w:val="ListParagraph"/>
        <w:numPr>
          <w:ilvl w:val="0"/>
          <w:numId w:val="29"/>
        </w:numPr>
        <w:ind w:left="425" w:hanging="357"/>
        <w:jc w:val="left"/>
        <w:rPr>
          <w:noProof/>
          <w:color w:val="000000" w:themeColor="text1"/>
        </w:rPr>
      </w:pPr>
      <w:r w:rsidRPr="00B564FC">
        <w:rPr>
          <w:color w:val="000000" w:themeColor="text1"/>
        </w:rPr>
        <w:t>Forty-seven per</w:t>
      </w:r>
      <w:r w:rsidR="0001752C">
        <w:rPr>
          <w:color w:val="000000" w:themeColor="text1"/>
        </w:rPr>
        <w:t xml:space="preserve"> </w:t>
      </w:r>
      <w:r w:rsidRPr="00B564FC">
        <w:rPr>
          <w:color w:val="000000" w:themeColor="text1"/>
        </w:rPr>
        <w:t xml:space="preserve">cent of all LA investigations took less than 21 working days compared </w:t>
      </w:r>
      <w:r w:rsidR="0001752C">
        <w:rPr>
          <w:color w:val="000000" w:themeColor="text1"/>
        </w:rPr>
        <w:t>with</w:t>
      </w:r>
      <w:r w:rsidR="0001752C" w:rsidRPr="00B564FC">
        <w:rPr>
          <w:color w:val="000000" w:themeColor="text1"/>
        </w:rPr>
        <w:t xml:space="preserve"> </w:t>
      </w:r>
      <w:r w:rsidRPr="00B564FC">
        <w:rPr>
          <w:color w:val="000000" w:themeColor="text1"/>
        </w:rPr>
        <w:t>55% of those conducted by IFAs; for IFAs, this is a decrease of four percentage points</w:t>
      </w:r>
      <w:r w:rsidR="00DC1DB0" w:rsidRPr="00B564FC">
        <w:rPr>
          <w:color w:val="000000" w:themeColor="text1"/>
        </w:rPr>
        <w:t xml:space="preserve"> (from 59% in 2016)</w:t>
      </w:r>
      <w:r w:rsidRPr="00B564FC">
        <w:rPr>
          <w:color w:val="000000" w:themeColor="text1"/>
        </w:rPr>
        <w:t>.</w:t>
      </w:r>
    </w:p>
    <w:p w14:paraId="4A7B17D8" w14:textId="77777777" w:rsidR="00C1602A" w:rsidRPr="00B564FC" w:rsidRDefault="00C1602A" w:rsidP="00C1602A">
      <w:pPr>
        <w:rPr>
          <w:noProof/>
          <w:color w:val="000000" w:themeColor="text1"/>
        </w:rPr>
      </w:pPr>
    </w:p>
    <w:p w14:paraId="6F4E8BAA" w14:textId="77777777" w:rsidR="00C1602A" w:rsidRDefault="00C1602A" w:rsidP="00C1602A">
      <w:pPr>
        <w:rPr>
          <w:noProof/>
          <w:color w:val="000000" w:themeColor="text1"/>
        </w:rPr>
      </w:pPr>
    </w:p>
    <w:p w14:paraId="5797010A" w14:textId="77777777" w:rsidR="00A623FF" w:rsidRDefault="00A623FF" w:rsidP="00C1602A">
      <w:pPr>
        <w:rPr>
          <w:noProof/>
          <w:color w:val="000000" w:themeColor="text1"/>
        </w:rPr>
      </w:pPr>
    </w:p>
    <w:p w14:paraId="570FBDF7" w14:textId="77777777" w:rsidR="00A623FF" w:rsidRDefault="00A623FF" w:rsidP="00C1602A">
      <w:pPr>
        <w:rPr>
          <w:noProof/>
          <w:color w:val="000000" w:themeColor="text1"/>
        </w:rPr>
      </w:pPr>
    </w:p>
    <w:p w14:paraId="11F784B3" w14:textId="77777777" w:rsidR="00A623FF" w:rsidRDefault="00A623FF" w:rsidP="00C1602A">
      <w:pPr>
        <w:rPr>
          <w:noProof/>
          <w:color w:val="000000" w:themeColor="text1"/>
        </w:rPr>
      </w:pPr>
    </w:p>
    <w:p w14:paraId="5FAA83F1" w14:textId="77777777" w:rsidR="00A623FF" w:rsidRDefault="00A623FF" w:rsidP="00C1602A">
      <w:pPr>
        <w:rPr>
          <w:noProof/>
          <w:color w:val="000000" w:themeColor="text1"/>
        </w:rPr>
      </w:pPr>
    </w:p>
    <w:p w14:paraId="2B94A83E" w14:textId="77777777" w:rsidR="00A623FF" w:rsidRPr="00B564FC" w:rsidRDefault="00A623FF" w:rsidP="00C1602A">
      <w:pPr>
        <w:rPr>
          <w:noProof/>
          <w:color w:val="000000" w:themeColor="text1"/>
        </w:rPr>
      </w:pPr>
    </w:p>
    <w:p w14:paraId="274C54EC" w14:textId="3DD3FDCE" w:rsidR="008E667D" w:rsidRPr="00B564FC" w:rsidRDefault="008E667D" w:rsidP="008C06DC">
      <w:pPr>
        <w:pStyle w:val="Heading2"/>
        <w:jc w:val="left"/>
        <w:rPr>
          <w:color w:val="000000" w:themeColor="text1"/>
        </w:rPr>
      </w:pPr>
      <w:bookmarkStart w:id="92" w:name="_Toc509261142"/>
      <w:r w:rsidRPr="00B564FC">
        <w:rPr>
          <w:color w:val="000000" w:themeColor="text1"/>
        </w:rPr>
        <w:t xml:space="preserve">Reasons for </w:t>
      </w:r>
      <w:r w:rsidR="008C06DC" w:rsidRPr="00B564FC">
        <w:rPr>
          <w:color w:val="000000" w:themeColor="text1"/>
        </w:rPr>
        <w:t xml:space="preserve">children and young people </w:t>
      </w:r>
      <w:r w:rsidRPr="00B564FC">
        <w:rPr>
          <w:color w:val="000000" w:themeColor="text1"/>
        </w:rPr>
        <w:t>leaving</w:t>
      </w:r>
      <w:r w:rsidR="008C06DC" w:rsidRPr="00B564FC">
        <w:rPr>
          <w:color w:val="000000" w:themeColor="text1"/>
        </w:rPr>
        <w:t xml:space="preserve"> fostering agencies</w:t>
      </w:r>
      <w:bookmarkEnd w:id="92"/>
    </w:p>
    <w:p w14:paraId="7FF47F6C" w14:textId="10C89B98" w:rsidR="008E667D" w:rsidRPr="00B564FC" w:rsidRDefault="008E667D" w:rsidP="008E667D">
      <w:pPr>
        <w:jc w:val="left"/>
        <w:rPr>
          <w:color w:val="000000" w:themeColor="text1"/>
        </w:rPr>
      </w:pPr>
      <w:r w:rsidRPr="00B564FC">
        <w:rPr>
          <w:color w:val="000000" w:themeColor="text1"/>
        </w:rPr>
        <w:t>For the first time in 2016</w:t>
      </w:r>
      <w:r w:rsidR="0001752C">
        <w:rPr>
          <w:color w:val="000000" w:themeColor="text1"/>
        </w:rPr>
        <w:t>–</w:t>
      </w:r>
      <w:r w:rsidRPr="00B564FC">
        <w:rPr>
          <w:color w:val="000000" w:themeColor="text1"/>
        </w:rPr>
        <w:t xml:space="preserve">17, data about reasons for leaving fostering agencies has been collected. </w:t>
      </w:r>
    </w:p>
    <w:p w14:paraId="61C95116" w14:textId="77777777" w:rsidR="008E667D" w:rsidRDefault="008E667D" w:rsidP="008E667D">
      <w:pPr>
        <w:jc w:val="left"/>
        <w:rPr>
          <w:color w:val="000000" w:themeColor="text1"/>
        </w:rPr>
      </w:pPr>
    </w:p>
    <w:p w14:paraId="3EA9B046" w14:textId="10A3E31A" w:rsidR="008E667D" w:rsidRPr="00B564FC" w:rsidRDefault="000E7AC6" w:rsidP="0042575C">
      <w:pPr>
        <w:pStyle w:val="Table"/>
        <w:rPr>
          <w:color w:val="000000" w:themeColor="text1"/>
        </w:rPr>
      </w:pPr>
      <w:bookmarkStart w:id="93" w:name="_Toc509495456"/>
      <w:r w:rsidRPr="00B564FC">
        <w:rPr>
          <w:color w:val="000000" w:themeColor="text1"/>
        </w:rPr>
        <w:t>Figure 14</w:t>
      </w:r>
      <w:r w:rsidR="008E667D" w:rsidRPr="00B564FC">
        <w:rPr>
          <w:color w:val="000000" w:themeColor="text1"/>
        </w:rPr>
        <w:t xml:space="preserve">: Reasons </w:t>
      </w:r>
      <w:r w:rsidR="00600ECF" w:rsidRPr="00B564FC">
        <w:rPr>
          <w:color w:val="000000" w:themeColor="text1"/>
        </w:rPr>
        <w:t>children and young people left a fostering agency’s care</w:t>
      </w:r>
      <w:bookmarkEnd w:id="93"/>
    </w:p>
    <w:p w14:paraId="1E0747C8" w14:textId="432C519E" w:rsidR="00A904D1" w:rsidRPr="00B564FC" w:rsidRDefault="00A904D1" w:rsidP="008E667D">
      <w:pPr>
        <w:jc w:val="left"/>
        <w:rPr>
          <w:color w:val="000000" w:themeColor="text1"/>
        </w:rPr>
      </w:pPr>
      <w:r>
        <w:rPr>
          <w:noProof/>
          <w:color w:val="000000" w:themeColor="text1"/>
        </w:rPr>
        <w:drawing>
          <wp:inline distT="0" distB="0" distL="0" distR="0" wp14:anchorId="3E0AC4B1" wp14:editId="0F7BEB3D">
            <wp:extent cx="4362189" cy="3307653"/>
            <wp:effectExtent l="0" t="0" r="635"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71559" cy="3314758"/>
                    </a:xfrm>
                    <a:prstGeom prst="rect">
                      <a:avLst/>
                    </a:prstGeom>
                    <a:noFill/>
                  </pic:spPr>
                </pic:pic>
              </a:graphicData>
            </a:graphic>
          </wp:inline>
        </w:drawing>
      </w:r>
    </w:p>
    <w:p w14:paraId="0DEB4E62" w14:textId="7340CA05" w:rsidR="008E667D" w:rsidRPr="00B564FC" w:rsidRDefault="008E667D" w:rsidP="008E667D">
      <w:pPr>
        <w:pStyle w:val="ListParagraph"/>
        <w:numPr>
          <w:ilvl w:val="0"/>
          <w:numId w:val="29"/>
        </w:numPr>
        <w:ind w:left="425" w:hanging="357"/>
        <w:jc w:val="left"/>
        <w:rPr>
          <w:color w:val="000000" w:themeColor="text1"/>
          <w:lang w:eastAsia="en-US"/>
        </w:rPr>
      </w:pPr>
      <w:r w:rsidRPr="00B564FC">
        <w:rPr>
          <w:color w:val="000000" w:themeColor="text1"/>
          <w:lang w:eastAsia="en-US"/>
        </w:rPr>
        <w:t xml:space="preserve">The largest proportion of children </w:t>
      </w:r>
      <w:r w:rsidR="00E065BB" w:rsidRPr="00B564FC">
        <w:rPr>
          <w:color w:val="000000" w:themeColor="text1"/>
          <w:lang w:eastAsia="en-US"/>
        </w:rPr>
        <w:t xml:space="preserve">and young people </w:t>
      </w:r>
      <w:r w:rsidRPr="00B564FC">
        <w:rPr>
          <w:color w:val="000000" w:themeColor="text1"/>
          <w:lang w:eastAsia="en-US"/>
        </w:rPr>
        <w:t xml:space="preserve">who left </w:t>
      </w:r>
      <w:r w:rsidR="00E065BB" w:rsidRPr="00B564FC">
        <w:rPr>
          <w:color w:val="000000" w:themeColor="text1"/>
          <w:lang w:eastAsia="en-US"/>
        </w:rPr>
        <w:t xml:space="preserve">a foster agency’s care left </w:t>
      </w:r>
      <w:r w:rsidRPr="00B564FC">
        <w:rPr>
          <w:color w:val="000000" w:themeColor="text1"/>
          <w:lang w:eastAsia="en-US"/>
        </w:rPr>
        <w:t>due to no longer being looked after (41%).</w:t>
      </w:r>
      <w:r w:rsidR="00D87D8E" w:rsidRPr="00B564FC">
        <w:rPr>
          <w:rStyle w:val="FootnoteReference"/>
          <w:color w:val="000000" w:themeColor="text1"/>
          <w:lang w:eastAsia="en-US"/>
        </w:rPr>
        <w:footnoteReference w:id="51"/>
      </w:r>
    </w:p>
    <w:p w14:paraId="006FCB07" w14:textId="3065E001" w:rsidR="00130C4D" w:rsidRPr="00A135DF" w:rsidRDefault="008E667D" w:rsidP="008E667D">
      <w:pPr>
        <w:pStyle w:val="ListParagraph"/>
        <w:numPr>
          <w:ilvl w:val="0"/>
          <w:numId w:val="29"/>
        </w:numPr>
        <w:ind w:left="425" w:hanging="357"/>
        <w:jc w:val="left"/>
        <w:rPr>
          <w:color w:val="000000" w:themeColor="text1"/>
          <w:lang w:eastAsia="en-US"/>
        </w:rPr>
      </w:pPr>
      <w:r w:rsidRPr="00B564FC">
        <w:rPr>
          <w:color w:val="000000" w:themeColor="text1"/>
          <w:lang w:eastAsia="en-US"/>
        </w:rPr>
        <w:t xml:space="preserve">Of the 2,770 children who were transferred to an LA placement, 2,650 (96%) </w:t>
      </w:r>
      <w:r w:rsidR="00130C4D" w:rsidRPr="00A135DF">
        <w:rPr>
          <w:color w:val="000000" w:themeColor="text1"/>
          <w:lang w:eastAsia="en-US"/>
        </w:rPr>
        <w:t xml:space="preserve">moved </w:t>
      </w:r>
      <w:r w:rsidRPr="00A135DF">
        <w:rPr>
          <w:color w:val="000000" w:themeColor="text1"/>
          <w:lang w:eastAsia="en-US"/>
        </w:rPr>
        <w:t xml:space="preserve">from IFAs. This could be LAs choosing to move children back to in-house carers after a placement in an IFA came to an end. </w:t>
      </w:r>
    </w:p>
    <w:p w14:paraId="5FA30810" w14:textId="29C0B90F" w:rsidR="008E667D" w:rsidRPr="00A135DF" w:rsidRDefault="00130C4D" w:rsidP="008E667D">
      <w:pPr>
        <w:pStyle w:val="ListParagraph"/>
        <w:numPr>
          <w:ilvl w:val="0"/>
          <w:numId w:val="29"/>
        </w:numPr>
        <w:ind w:left="425" w:hanging="357"/>
        <w:jc w:val="left"/>
        <w:rPr>
          <w:color w:val="000000" w:themeColor="text1"/>
          <w:lang w:eastAsia="en-US"/>
        </w:rPr>
      </w:pPr>
      <w:r w:rsidRPr="00A135DF">
        <w:rPr>
          <w:color w:val="000000" w:themeColor="text1"/>
          <w:lang w:eastAsia="en-US"/>
        </w:rPr>
        <w:t>Out</w:t>
      </w:r>
      <w:r w:rsidR="008E667D" w:rsidRPr="00A135DF">
        <w:rPr>
          <w:color w:val="000000" w:themeColor="text1"/>
          <w:lang w:eastAsia="en-US"/>
        </w:rPr>
        <w:t xml:space="preserve"> of the 2,890 children who were transf</w:t>
      </w:r>
      <w:r w:rsidR="002F60AD" w:rsidRPr="00A135DF">
        <w:rPr>
          <w:color w:val="000000" w:themeColor="text1"/>
          <w:lang w:eastAsia="en-US"/>
        </w:rPr>
        <w:t>erred to an IFA placement, 1,870</w:t>
      </w:r>
      <w:r w:rsidR="008E667D" w:rsidRPr="00A135DF">
        <w:rPr>
          <w:color w:val="000000" w:themeColor="text1"/>
          <w:lang w:eastAsia="en-US"/>
        </w:rPr>
        <w:t xml:space="preserve"> (</w:t>
      </w:r>
      <w:r w:rsidR="002F60AD" w:rsidRPr="00A135DF">
        <w:rPr>
          <w:color w:val="000000" w:themeColor="text1"/>
          <w:lang w:eastAsia="en-US"/>
        </w:rPr>
        <w:t>65</w:t>
      </w:r>
      <w:r w:rsidR="008E667D" w:rsidRPr="00A135DF">
        <w:rPr>
          <w:color w:val="000000" w:themeColor="text1"/>
          <w:lang w:eastAsia="en-US"/>
        </w:rPr>
        <w:t>%) came from LA</w:t>
      </w:r>
      <w:r w:rsidRPr="00A135DF">
        <w:rPr>
          <w:color w:val="000000" w:themeColor="text1"/>
          <w:lang w:eastAsia="en-US"/>
        </w:rPr>
        <w:t xml:space="preserve"> agencie</w:t>
      </w:r>
      <w:r w:rsidR="008E667D" w:rsidRPr="00A135DF">
        <w:rPr>
          <w:color w:val="000000" w:themeColor="text1"/>
          <w:lang w:eastAsia="en-US"/>
        </w:rPr>
        <w:t>s. This may be linked to LAs placing children in IFAs in order to meet their more complex or specialist needs.</w:t>
      </w:r>
    </w:p>
    <w:p w14:paraId="3350DC90" w14:textId="77777777" w:rsidR="00C1602A" w:rsidRPr="00B564FC" w:rsidRDefault="00C1602A" w:rsidP="00C1602A">
      <w:pPr>
        <w:rPr>
          <w:noProof/>
          <w:color w:val="000000" w:themeColor="text1"/>
        </w:rPr>
      </w:pPr>
    </w:p>
    <w:p w14:paraId="402A580E" w14:textId="77777777" w:rsidR="00C1602A" w:rsidRDefault="00C1602A" w:rsidP="00C1602A">
      <w:pPr>
        <w:rPr>
          <w:noProof/>
          <w:color w:val="FF0000"/>
        </w:rPr>
      </w:pPr>
    </w:p>
    <w:p w14:paraId="3380DF76" w14:textId="77777777" w:rsidR="00C1602A" w:rsidRDefault="00C1602A" w:rsidP="00C1602A">
      <w:pPr>
        <w:rPr>
          <w:noProof/>
          <w:color w:val="FF0000"/>
        </w:rPr>
      </w:pPr>
    </w:p>
    <w:p w14:paraId="72098B8E" w14:textId="77777777" w:rsidR="00C1602A" w:rsidRDefault="00C1602A" w:rsidP="00C1602A">
      <w:pPr>
        <w:rPr>
          <w:noProof/>
          <w:color w:val="FF0000"/>
        </w:rPr>
      </w:pPr>
    </w:p>
    <w:p w14:paraId="6ADE0029" w14:textId="5C9285D8" w:rsidR="00CF65FF" w:rsidRPr="00621147" w:rsidRDefault="004348AE" w:rsidP="00AB6709">
      <w:pPr>
        <w:pStyle w:val="Heading2"/>
        <w:spacing w:after="120"/>
        <w:jc w:val="left"/>
      </w:pPr>
      <w:bookmarkStart w:id="94" w:name="_Toc509261143"/>
      <w:r w:rsidRPr="00621147">
        <w:t>Lis</w:t>
      </w:r>
      <w:r w:rsidR="00CF65FF" w:rsidRPr="00621147">
        <w:t>t of</w:t>
      </w:r>
      <w:r w:rsidR="0042575C" w:rsidRPr="00621147">
        <w:t xml:space="preserve"> figures and tables</w:t>
      </w:r>
      <w:bookmarkEnd w:id="94"/>
    </w:p>
    <w:p w14:paraId="4D1CB0B0" w14:textId="77777777" w:rsidR="00072797" w:rsidRDefault="00C63D63">
      <w:pPr>
        <w:pStyle w:val="TableofFigures"/>
        <w:tabs>
          <w:tab w:val="right" w:leader="dot" w:pos="9016"/>
        </w:tabs>
        <w:rPr>
          <w:rFonts w:asciiTheme="minorHAnsi" w:eastAsiaTheme="minorEastAsia" w:hAnsiTheme="minorHAnsi" w:cstheme="minorBidi"/>
          <w:noProof/>
          <w:szCs w:val="22"/>
        </w:rPr>
      </w:pPr>
      <w:r w:rsidRPr="00282989">
        <w:rPr>
          <w:color w:val="0070C0"/>
        </w:rPr>
        <w:fldChar w:fldCharType="begin"/>
      </w:r>
      <w:r w:rsidRPr="00282989">
        <w:rPr>
          <w:color w:val="0070C0"/>
        </w:rPr>
        <w:instrText xml:space="preserve"> TOC \h \z \t "Table" \c </w:instrText>
      </w:r>
      <w:r w:rsidRPr="00282989">
        <w:rPr>
          <w:color w:val="0070C0"/>
        </w:rPr>
        <w:fldChar w:fldCharType="separate"/>
      </w:r>
      <w:hyperlink w:anchor="_Toc509495440" w:history="1">
        <w:r w:rsidR="00072797" w:rsidRPr="0072055A">
          <w:rPr>
            <w:rStyle w:val="Hyperlink"/>
            <w:noProof/>
          </w:rPr>
          <w:t>Figure 1: Occupancy trend as at 31 March</w:t>
        </w:r>
        <w:r w:rsidR="00072797">
          <w:rPr>
            <w:noProof/>
            <w:webHidden/>
          </w:rPr>
          <w:tab/>
        </w:r>
        <w:r w:rsidR="00072797">
          <w:rPr>
            <w:noProof/>
            <w:webHidden/>
          </w:rPr>
          <w:fldChar w:fldCharType="begin"/>
        </w:r>
        <w:r w:rsidR="00072797">
          <w:rPr>
            <w:noProof/>
            <w:webHidden/>
          </w:rPr>
          <w:instrText xml:space="preserve"> PAGEREF _Toc509495440 \h </w:instrText>
        </w:r>
        <w:r w:rsidR="00072797">
          <w:rPr>
            <w:noProof/>
            <w:webHidden/>
          </w:rPr>
        </w:r>
        <w:r w:rsidR="00072797">
          <w:rPr>
            <w:noProof/>
            <w:webHidden/>
          </w:rPr>
          <w:fldChar w:fldCharType="separate"/>
        </w:r>
        <w:r w:rsidR="00DF3BB3">
          <w:rPr>
            <w:noProof/>
            <w:webHidden/>
          </w:rPr>
          <w:t>6</w:t>
        </w:r>
        <w:r w:rsidR="00072797">
          <w:rPr>
            <w:noProof/>
            <w:webHidden/>
          </w:rPr>
          <w:fldChar w:fldCharType="end"/>
        </w:r>
      </w:hyperlink>
    </w:p>
    <w:p w14:paraId="60B336D0" w14:textId="77777777" w:rsidR="00072797" w:rsidRDefault="0000522C">
      <w:pPr>
        <w:pStyle w:val="TableofFigures"/>
        <w:tabs>
          <w:tab w:val="right" w:leader="dot" w:pos="9016"/>
        </w:tabs>
        <w:rPr>
          <w:rFonts w:asciiTheme="minorHAnsi" w:eastAsiaTheme="minorEastAsia" w:hAnsiTheme="minorHAnsi" w:cstheme="minorBidi"/>
          <w:noProof/>
          <w:szCs w:val="22"/>
        </w:rPr>
      </w:pPr>
      <w:hyperlink w:anchor="_Toc509495441" w:history="1">
        <w:r w:rsidR="00072797" w:rsidRPr="0072055A">
          <w:rPr>
            <w:rStyle w:val="Hyperlink"/>
            <w:noProof/>
          </w:rPr>
          <w:t>Table 1: Reasons why fostering places are unavailable to be used</w:t>
        </w:r>
        <w:r w:rsidR="00072797">
          <w:rPr>
            <w:noProof/>
            <w:webHidden/>
          </w:rPr>
          <w:tab/>
        </w:r>
        <w:r w:rsidR="00072797">
          <w:rPr>
            <w:noProof/>
            <w:webHidden/>
          </w:rPr>
          <w:fldChar w:fldCharType="begin"/>
        </w:r>
        <w:r w:rsidR="00072797">
          <w:rPr>
            <w:noProof/>
            <w:webHidden/>
          </w:rPr>
          <w:instrText xml:space="preserve"> PAGEREF _Toc509495441 \h </w:instrText>
        </w:r>
        <w:r w:rsidR="00072797">
          <w:rPr>
            <w:noProof/>
            <w:webHidden/>
          </w:rPr>
        </w:r>
        <w:r w:rsidR="00072797">
          <w:rPr>
            <w:noProof/>
            <w:webHidden/>
          </w:rPr>
          <w:fldChar w:fldCharType="separate"/>
        </w:r>
        <w:r w:rsidR="00DF3BB3">
          <w:rPr>
            <w:noProof/>
            <w:webHidden/>
          </w:rPr>
          <w:t>7</w:t>
        </w:r>
        <w:r w:rsidR="00072797">
          <w:rPr>
            <w:noProof/>
            <w:webHidden/>
          </w:rPr>
          <w:fldChar w:fldCharType="end"/>
        </w:r>
      </w:hyperlink>
    </w:p>
    <w:p w14:paraId="564AB276" w14:textId="77777777" w:rsidR="00072797" w:rsidRDefault="0000522C">
      <w:pPr>
        <w:pStyle w:val="TableofFigures"/>
        <w:tabs>
          <w:tab w:val="right" w:leader="dot" w:pos="9016"/>
        </w:tabs>
        <w:rPr>
          <w:rFonts w:asciiTheme="minorHAnsi" w:eastAsiaTheme="minorEastAsia" w:hAnsiTheme="minorHAnsi" w:cstheme="minorBidi"/>
          <w:noProof/>
          <w:szCs w:val="22"/>
        </w:rPr>
      </w:pPr>
      <w:hyperlink w:anchor="_Toc509495442" w:history="1">
        <w:r w:rsidR="00072797" w:rsidRPr="0072055A">
          <w:rPr>
            <w:rStyle w:val="Hyperlink"/>
            <w:noProof/>
          </w:rPr>
          <w:t>Figure 2: Fostering households as at 31 March 2017 by type</w:t>
        </w:r>
        <w:r w:rsidR="00072797">
          <w:rPr>
            <w:noProof/>
            <w:webHidden/>
          </w:rPr>
          <w:tab/>
        </w:r>
        <w:r w:rsidR="00072797">
          <w:rPr>
            <w:noProof/>
            <w:webHidden/>
          </w:rPr>
          <w:fldChar w:fldCharType="begin"/>
        </w:r>
        <w:r w:rsidR="00072797">
          <w:rPr>
            <w:noProof/>
            <w:webHidden/>
          </w:rPr>
          <w:instrText xml:space="preserve"> PAGEREF _Toc509495442 \h </w:instrText>
        </w:r>
        <w:r w:rsidR="00072797">
          <w:rPr>
            <w:noProof/>
            <w:webHidden/>
          </w:rPr>
        </w:r>
        <w:r w:rsidR="00072797">
          <w:rPr>
            <w:noProof/>
            <w:webHidden/>
          </w:rPr>
          <w:fldChar w:fldCharType="separate"/>
        </w:r>
        <w:r w:rsidR="00DF3BB3">
          <w:rPr>
            <w:noProof/>
            <w:webHidden/>
          </w:rPr>
          <w:t>8</w:t>
        </w:r>
        <w:r w:rsidR="00072797">
          <w:rPr>
            <w:noProof/>
            <w:webHidden/>
          </w:rPr>
          <w:fldChar w:fldCharType="end"/>
        </w:r>
      </w:hyperlink>
    </w:p>
    <w:p w14:paraId="0AAD3E19" w14:textId="77777777" w:rsidR="00072797" w:rsidRDefault="0000522C">
      <w:pPr>
        <w:pStyle w:val="TableofFigures"/>
        <w:tabs>
          <w:tab w:val="right" w:leader="dot" w:pos="9016"/>
        </w:tabs>
        <w:rPr>
          <w:rFonts w:asciiTheme="minorHAnsi" w:eastAsiaTheme="minorEastAsia" w:hAnsiTheme="minorHAnsi" w:cstheme="minorBidi"/>
          <w:noProof/>
          <w:szCs w:val="22"/>
        </w:rPr>
      </w:pPr>
      <w:hyperlink w:anchor="_Toc509495443" w:history="1">
        <w:r w:rsidR="00072797" w:rsidRPr="0072055A">
          <w:rPr>
            <w:rStyle w:val="Hyperlink"/>
            <w:noProof/>
          </w:rPr>
          <w:t>Figure 3: Capacity of mainstream fostering households as at 31 March 2017 by sector</w:t>
        </w:r>
        <w:r w:rsidR="00072797">
          <w:rPr>
            <w:noProof/>
            <w:webHidden/>
          </w:rPr>
          <w:tab/>
        </w:r>
        <w:r w:rsidR="00072797">
          <w:rPr>
            <w:noProof/>
            <w:webHidden/>
          </w:rPr>
          <w:fldChar w:fldCharType="begin"/>
        </w:r>
        <w:r w:rsidR="00072797">
          <w:rPr>
            <w:noProof/>
            <w:webHidden/>
          </w:rPr>
          <w:instrText xml:space="preserve"> PAGEREF _Toc509495443 \h </w:instrText>
        </w:r>
        <w:r w:rsidR="00072797">
          <w:rPr>
            <w:noProof/>
            <w:webHidden/>
          </w:rPr>
        </w:r>
        <w:r w:rsidR="00072797">
          <w:rPr>
            <w:noProof/>
            <w:webHidden/>
          </w:rPr>
          <w:fldChar w:fldCharType="separate"/>
        </w:r>
        <w:r w:rsidR="00DF3BB3">
          <w:rPr>
            <w:noProof/>
            <w:webHidden/>
          </w:rPr>
          <w:t>9</w:t>
        </w:r>
        <w:r w:rsidR="00072797">
          <w:rPr>
            <w:noProof/>
            <w:webHidden/>
          </w:rPr>
          <w:fldChar w:fldCharType="end"/>
        </w:r>
      </w:hyperlink>
    </w:p>
    <w:p w14:paraId="333407C5" w14:textId="77777777" w:rsidR="00072797" w:rsidRDefault="0000522C">
      <w:pPr>
        <w:pStyle w:val="TableofFigures"/>
        <w:tabs>
          <w:tab w:val="right" w:leader="dot" w:pos="9016"/>
        </w:tabs>
        <w:rPr>
          <w:rFonts w:asciiTheme="minorHAnsi" w:eastAsiaTheme="minorEastAsia" w:hAnsiTheme="minorHAnsi" w:cstheme="minorBidi"/>
          <w:noProof/>
          <w:szCs w:val="22"/>
        </w:rPr>
      </w:pPr>
      <w:hyperlink w:anchor="_Toc509495444" w:history="1">
        <w:r w:rsidR="00072797" w:rsidRPr="0072055A">
          <w:rPr>
            <w:rStyle w:val="Hyperlink"/>
            <w:noProof/>
          </w:rPr>
          <w:t>Figure 4: Applications considered and completed in year as at 31 March</w:t>
        </w:r>
        <w:r w:rsidR="00072797">
          <w:rPr>
            <w:noProof/>
            <w:webHidden/>
          </w:rPr>
          <w:tab/>
        </w:r>
        <w:r w:rsidR="00072797">
          <w:rPr>
            <w:noProof/>
            <w:webHidden/>
          </w:rPr>
          <w:fldChar w:fldCharType="begin"/>
        </w:r>
        <w:r w:rsidR="00072797">
          <w:rPr>
            <w:noProof/>
            <w:webHidden/>
          </w:rPr>
          <w:instrText xml:space="preserve"> PAGEREF _Toc509495444 \h </w:instrText>
        </w:r>
        <w:r w:rsidR="00072797">
          <w:rPr>
            <w:noProof/>
            <w:webHidden/>
          </w:rPr>
        </w:r>
        <w:r w:rsidR="00072797">
          <w:rPr>
            <w:noProof/>
            <w:webHidden/>
          </w:rPr>
          <w:fldChar w:fldCharType="separate"/>
        </w:r>
        <w:r w:rsidR="00DF3BB3">
          <w:rPr>
            <w:noProof/>
            <w:webHidden/>
          </w:rPr>
          <w:t>11</w:t>
        </w:r>
        <w:r w:rsidR="00072797">
          <w:rPr>
            <w:noProof/>
            <w:webHidden/>
          </w:rPr>
          <w:fldChar w:fldCharType="end"/>
        </w:r>
      </w:hyperlink>
    </w:p>
    <w:p w14:paraId="6E1ADD5E" w14:textId="77777777" w:rsidR="00072797" w:rsidRDefault="0000522C">
      <w:pPr>
        <w:pStyle w:val="TableofFigures"/>
        <w:tabs>
          <w:tab w:val="right" w:leader="dot" w:pos="9016"/>
        </w:tabs>
        <w:rPr>
          <w:rFonts w:asciiTheme="minorHAnsi" w:eastAsiaTheme="minorEastAsia" w:hAnsiTheme="minorHAnsi" w:cstheme="minorBidi"/>
          <w:noProof/>
          <w:szCs w:val="22"/>
        </w:rPr>
      </w:pPr>
      <w:hyperlink w:anchor="_Toc509495445" w:history="1">
        <w:r w:rsidR="00072797" w:rsidRPr="0072055A">
          <w:rPr>
            <w:rStyle w:val="Hyperlink"/>
            <w:noProof/>
          </w:rPr>
          <w:t>Figure 5: De-registrations of all households by reason and sector, 2016-17</w:t>
        </w:r>
        <w:r w:rsidR="00072797">
          <w:rPr>
            <w:noProof/>
            <w:webHidden/>
          </w:rPr>
          <w:tab/>
        </w:r>
        <w:r w:rsidR="00072797">
          <w:rPr>
            <w:noProof/>
            <w:webHidden/>
          </w:rPr>
          <w:fldChar w:fldCharType="begin"/>
        </w:r>
        <w:r w:rsidR="00072797">
          <w:rPr>
            <w:noProof/>
            <w:webHidden/>
          </w:rPr>
          <w:instrText xml:space="preserve"> PAGEREF _Toc509495445 \h </w:instrText>
        </w:r>
        <w:r w:rsidR="00072797">
          <w:rPr>
            <w:noProof/>
            <w:webHidden/>
          </w:rPr>
        </w:r>
        <w:r w:rsidR="00072797">
          <w:rPr>
            <w:noProof/>
            <w:webHidden/>
          </w:rPr>
          <w:fldChar w:fldCharType="separate"/>
        </w:r>
        <w:r w:rsidR="00DF3BB3">
          <w:rPr>
            <w:noProof/>
            <w:webHidden/>
          </w:rPr>
          <w:t>13</w:t>
        </w:r>
        <w:r w:rsidR="00072797">
          <w:rPr>
            <w:noProof/>
            <w:webHidden/>
          </w:rPr>
          <w:fldChar w:fldCharType="end"/>
        </w:r>
      </w:hyperlink>
    </w:p>
    <w:p w14:paraId="17AB3FF5" w14:textId="77777777" w:rsidR="00072797" w:rsidRDefault="0000522C">
      <w:pPr>
        <w:pStyle w:val="TableofFigures"/>
        <w:tabs>
          <w:tab w:val="right" w:leader="dot" w:pos="9016"/>
        </w:tabs>
        <w:rPr>
          <w:rFonts w:asciiTheme="minorHAnsi" w:eastAsiaTheme="minorEastAsia" w:hAnsiTheme="minorHAnsi" w:cstheme="minorBidi"/>
          <w:noProof/>
          <w:szCs w:val="22"/>
        </w:rPr>
      </w:pPr>
      <w:hyperlink w:anchor="_Toc509495446" w:history="1">
        <w:r w:rsidR="00072797" w:rsidRPr="0072055A">
          <w:rPr>
            <w:rStyle w:val="Hyperlink"/>
            <w:noProof/>
          </w:rPr>
          <w:t>Table 2: Types of placements offered by mainstream fostering households as their primary offer</w:t>
        </w:r>
        <w:r w:rsidR="00072797">
          <w:rPr>
            <w:noProof/>
            <w:webHidden/>
          </w:rPr>
          <w:tab/>
        </w:r>
        <w:r w:rsidR="00072797">
          <w:rPr>
            <w:noProof/>
            <w:webHidden/>
          </w:rPr>
          <w:fldChar w:fldCharType="begin"/>
        </w:r>
        <w:r w:rsidR="00072797">
          <w:rPr>
            <w:noProof/>
            <w:webHidden/>
          </w:rPr>
          <w:instrText xml:space="preserve"> PAGEREF _Toc509495446 \h </w:instrText>
        </w:r>
        <w:r w:rsidR="00072797">
          <w:rPr>
            <w:noProof/>
            <w:webHidden/>
          </w:rPr>
        </w:r>
        <w:r w:rsidR="00072797">
          <w:rPr>
            <w:noProof/>
            <w:webHidden/>
          </w:rPr>
          <w:fldChar w:fldCharType="separate"/>
        </w:r>
        <w:r w:rsidR="00DF3BB3">
          <w:rPr>
            <w:noProof/>
            <w:webHidden/>
          </w:rPr>
          <w:t>14</w:t>
        </w:r>
        <w:r w:rsidR="00072797">
          <w:rPr>
            <w:noProof/>
            <w:webHidden/>
          </w:rPr>
          <w:fldChar w:fldCharType="end"/>
        </w:r>
      </w:hyperlink>
    </w:p>
    <w:p w14:paraId="1FC1678F" w14:textId="77777777" w:rsidR="00072797" w:rsidRDefault="0000522C">
      <w:pPr>
        <w:pStyle w:val="TableofFigures"/>
        <w:tabs>
          <w:tab w:val="right" w:leader="dot" w:pos="9016"/>
        </w:tabs>
        <w:rPr>
          <w:rFonts w:asciiTheme="minorHAnsi" w:eastAsiaTheme="minorEastAsia" w:hAnsiTheme="minorHAnsi" w:cstheme="minorBidi"/>
          <w:noProof/>
          <w:szCs w:val="22"/>
        </w:rPr>
      </w:pPr>
      <w:hyperlink w:anchor="_Toc509495447" w:history="1">
        <w:r w:rsidR="00072797" w:rsidRPr="0072055A">
          <w:rPr>
            <w:rStyle w:val="Hyperlink"/>
            <w:noProof/>
          </w:rPr>
          <w:t>Figure 6: Ethnicity of mainstream foster carers by sector, as at 31 March 2017 and approved during 2016–17</w:t>
        </w:r>
        <w:r w:rsidR="00072797">
          <w:rPr>
            <w:noProof/>
            <w:webHidden/>
          </w:rPr>
          <w:tab/>
        </w:r>
        <w:r w:rsidR="00072797">
          <w:rPr>
            <w:noProof/>
            <w:webHidden/>
          </w:rPr>
          <w:fldChar w:fldCharType="begin"/>
        </w:r>
        <w:r w:rsidR="00072797">
          <w:rPr>
            <w:noProof/>
            <w:webHidden/>
          </w:rPr>
          <w:instrText xml:space="preserve"> PAGEREF _Toc509495447 \h </w:instrText>
        </w:r>
        <w:r w:rsidR="00072797">
          <w:rPr>
            <w:noProof/>
            <w:webHidden/>
          </w:rPr>
        </w:r>
        <w:r w:rsidR="00072797">
          <w:rPr>
            <w:noProof/>
            <w:webHidden/>
          </w:rPr>
          <w:fldChar w:fldCharType="separate"/>
        </w:r>
        <w:r w:rsidR="00DF3BB3">
          <w:rPr>
            <w:noProof/>
            <w:webHidden/>
          </w:rPr>
          <w:t>17</w:t>
        </w:r>
        <w:r w:rsidR="00072797">
          <w:rPr>
            <w:noProof/>
            <w:webHidden/>
          </w:rPr>
          <w:fldChar w:fldCharType="end"/>
        </w:r>
      </w:hyperlink>
    </w:p>
    <w:p w14:paraId="59AE8C59" w14:textId="77777777" w:rsidR="00072797" w:rsidRDefault="0000522C">
      <w:pPr>
        <w:pStyle w:val="TableofFigures"/>
        <w:tabs>
          <w:tab w:val="right" w:leader="dot" w:pos="9016"/>
        </w:tabs>
        <w:rPr>
          <w:rFonts w:asciiTheme="minorHAnsi" w:eastAsiaTheme="minorEastAsia" w:hAnsiTheme="minorHAnsi" w:cstheme="minorBidi"/>
          <w:noProof/>
          <w:szCs w:val="22"/>
        </w:rPr>
      </w:pPr>
      <w:hyperlink w:anchor="_Toc509495448" w:history="1">
        <w:r w:rsidR="00072797" w:rsidRPr="0072055A">
          <w:rPr>
            <w:rStyle w:val="Hyperlink"/>
            <w:noProof/>
          </w:rPr>
          <w:t>Figure 7: Children fostered, by ethnicity</w:t>
        </w:r>
        <w:r w:rsidR="00072797">
          <w:rPr>
            <w:noProof/>
            <w:webHidden/>
          </w:rPr>
          <w:tab/>
        </w:r>
        <w:r w:rsidR="00072797">
          <w:rPr>
            <w:noProof/>
            <w:webHidden/>
          </w:rPr>
          <w:fldChar w:fldCharType="begin"/>
        </w:r>
        <w:r w:rsidR="00072797">
          <w:rPr>
            <w:noProof/>
            <w:webHidden/>
          </w:rPr>
          <w:instrText xml:space="preserve"> PAGEREF _Toc509495448 \h </w:instrText>
        </w:r>
        <w:r w:rsidR="00072797">
          <w:rPr>
            <w:noProof/>
            <w:webHidden/>
          </w:rPr>
        </w:r>
        <w:r w:rsidR="00072797">
          <w:rPr>
            <w:noProof/>
            <w:webHidden/>
          </w:rPr>
          <w:fldChar w:fldCharType="separate"/>
        </w:r>
        <w:r w:rsidR="00DF3BB3">
          <w:rPr>
            <w:noProof/>
            <w:webHidden/>
          </w:rPr>
          <w:t>19</w:t>
        </w:r>
        <w:r w:rsidR="00072797">
          <w:rPr>
            <w:noProof/>
            <w:webHidden/>
          </w:rPr>
          <w:fldChar w:fldCharType="end"/>
        </w:r>
      </w:hyperlink>
    </w:p>
    <w:p w14:paraId="184B2367" w14:textId="77777777" w:rsidR="00072797" w:rsidRDefault="0000522C">
      <w:pPr>
        <w:pStyle w:val="TableofFigures"/>
        <w:tabs>
          <w:tab w:val="right" w:leader="dot" w:pos="9016"/>
        </w:tabs>
        <w:rPr>
          <w:rFonts w:asciiTheme="minorHAnsi" w:eastAsiaTheme="minorEastAsia" w:hAnsiTheme="minorHAnsi" w:cstheme="minorBidi"/>
          <w:noProof/>
          <w:szCs w:val="22"/>
        </w:rPr>
      </w:pPr>
      <w:hyperlink w:anchor="_Toc509495449" w:history="1">
        <w:r w:rsidR="00072797" w:rsidRPr="0072055A">
          <w:rPr>
            <w:rStyle w:val="Hyperlink"/>
            <w:noProof/>
          </w:rPr>
          <w:t>Figure 8: Care leavers who remained with former foster carers after becoming 18, by sector, 2013-17</w:t>
        </w:r>
        <w:r w:rsidR="00072797">
          <w:rPr>
            <w:noProof/>
            <w:webHidden/>
          </w:rPr>
          <w:tab/>
        </w:r>
        <w:r w:rsidR="00072797">
          <w:rPr>
            <w:noProof/>
            <w:webHidden/>
          </w:rPr>
          <w:fldChar w:fldCharType="begin"/>
        </w:r>
        <w:r w:rsidR="00072797">
          <w:rPr>
            <w:noProof/>
            <w:webHidden/>
          </w:rPr>
          <w:instrText xml:space="preserve"> PAGEREF _Toc509495449 \h </w:instrText>
        </w:r>
        <w:r w:rsidR="00072797">
          <w:rPr>
            <w:noProof/>
            <w:webHidden/>
          </w:rPr>
        </w:r>
        <w:r w:rsidR="00072797">
          <w:rPr>
            <w:noProof/>
            <w:webHidden/>
          </w:rPr>
          <w:fldChar w:fldCharType="separate"/>
        </w:r>
        <w:r w:rsidR="00DF3BB3">
          <w:rPr>
            <w:noProof/>
            <w:webHidden/>
          </w:rPr>
          <w:t>21</w:t>
        </w:r>
        <w:r w:rsidR="00072797">
          <w:rPr>
            <w:noProof/>
            <w:webHidden/>
          </w:rPr>
          <w:fldChar w:fldCharType="end"/>
        </w:r>
      </w:hyperlink>
    </w:p>
    <w:p w14:paraId="1599DD91" w14:textId="77777777" w:rsidR="00072797" w:rsidRDefault="0000522C">
      <w:pPr>
        <w:pStyle w:val="TableofFigures"/>
        <w:tabs>
          <w:tab w:val="right" w:leader="dot" w:pos="9016"/>
        </w:tabs>
        <w:rPr>
          <w:rFonts w:asciiTheme="minorHAnsi" w:eastAsiaTheme="minorEastAsia" w:hAnsiTheme="minorHAnsi" w:cstheme="minorBidi"/>
          <w:noProof/>
          <w:szCs w:val="22"/>
        </w:rPr>
      </w:pPr>
      <w:hyperlink w:anchor="_Toc509495450" w:history="1">
        <w:r w:rsidR="00072797" w:rsidRPr="0072055A">
          <w:rPr>
            <w:rStyle w:val="Hyperlink"/>
            <w:noProof/>
          </w:rPr>
          <w:t>Figure 9: Percentage of fostered children experiencing at least one educational placement change, by sector as at 31 March 2017</w:t>
        </w:r>
        <w:r w:rsidR="00072797">
          <w:rPr>
            <w:noProof/>
            <w:webHidden/>
          </w:rPr>
          <w:tab/>
        </w:r>
        <w:r w:rsidR="00072797">
          <w:rPr>
            <w:noProof/>
            <w:webHidden/>
          </w:rPr>
          <w:fldChar w:fldCharType="begin"/>
        </w:r>
        <w:r w:rsidR="00072797">
          <w:rPr>
            <w:noProof/>
            <w:webHidden/>
          </w:rPr>
          <w:instrText xml:space="preserve"> PAGEREF _Toc509495450 \h </w:instrText>
        </w:r>
        <w:r w:rsidR="00072797">
          <w:rPr>
            <w:noProof/>
            <w:webHidden/>
          </w:rPr>
        </w:r>
        <w:r w:rsidR="00072797">
          <w:rPr>
            <w:noProof/>
            <w:webHidden/>
          </w:rPr>
          <w:fldChar w:fldCharType="separate"/>
        </w:r>
        <w:r w:rsidR="00DF3BB3">
          <w:rPr>
            <w:noProof/>
            <w:webHidden/>
          </w:rPr>
          <w:t>22</w:t>
        </w:r>
        <w:r w:rsidR="00072797">
          <w:rPr>
            <w:noProof/>
            <w:webHidden/>
          </w:rPr>
          <w:fldChar w:fldCharType="end"/>
        </w:r>
      </w:hyperlink>
    </w:p>
    <w:p w14:paraId="4AD5D187" w14:textId="77777777" w:rsidR="00072797" w:rsidRDefault="0000522C">
      <w:pPr>
        <w:pStyle w:val="TableofFigures"/>
        <w:tabs>
          <w:tab w:val="right" w:leader="dot" w:pos="9016"/>
        </w:tabs>
        <w:rPr>
          <w:rFonts w:asciiTheme="minorHAnsi" w:eastAsiaTheme="minorEastAsia" w:hAnsiTheme="minorHAnsi" w:cstheme="minorBidi"/>
          <w:noProof/>
          <w:szCs w:val="22"/>
        </w:rPr>
      </w:pPr>
      <w:hyperlink w:anchor="_Toc509495451" w:history="1">
        <w:r w:rsidR="00072797" w:rsidRPr="0072055A">
          <w:rPr>
            <w:rStyle w:val="Hyperlink"/>
            <w:noProof/>
          </w:rPr>
          <w:t>Figure 10: Persistent absence linked to unplanned endings.</w:t>
        </w:r>
        <w:r w:rsidR="00072797">
          <w:rPr>
            <w:noProof/>
            <w:webHidden/>
          </w:rPr>
          <w:tab/>
        </w:r>
        <w:r w:rsidR="00072797">
          <w:rPr>
            <w:noProof/>
            <w:webHidden/>
          </w:rPr>
          <w:fldChar w:fldCharType="begin"/>
        </w:r>
        <w:r w:rsidR="00072797">
          <w:rPr>
            <w:noProof/>
            <w:webHidden/>
          </w:rPr>
          <w:instrText xml:space="preserve"> PAGEREF _Toc509495451 \h </w:instrText>
        </w:r>
        <w:r w:rsidR="00072797">
          <w:rPr>
            <w:noProof/>
            <w:webHidden/>
          </w:rPr>
        </w:r>
        <w:r w:rsidR="00072797">
          <w:rPr>
            <w:noProof/>
            <w:webHidden/>
          </w:rPr>
          <w:fldChar w:fldCharType="separate"/>
        </w:r>
        <w:r w:rsidR="00DF3BB3">
          <w:rPr>
            <w:noProof/>
            <w:webHidden/>
          </w:rPr>
          <w:t>23</w:t>
        </w:r>
        <w:r w:rsidR="00072797">
          <w:rPr>
            <w:noProof/>
            <w:webHidden/>
          </w:rPr>
          <w:fldChar w:fldCharType="end"/>
        </w:r>
      </w:hyperlink>
    </w:p>
    <w:p w14:paraId="07D3F752" w14:textId="77777777" w:rsidR="00072797" w:rsidRDefault="0000522C">
      <w:pPr>
        <w:pStyle w:val="TableofFigures"/>
        <w:tabs>
          <w:tab w:val="right" w:leader="dot" w:pos="9016"/>
        </w:tabs>
        <w:rPr>
          <w:rFonts w:asciiTheme="minorHAnsi" w:eastAsiaTheme="minorEastAsia" w:hAnsiTheme="minorHAnsi" w:cstheme="minorBidi"/>
          <w:noProof/>
          <w:szCs w:val="22"/>
        </w:rPr>
      </w:pPr>
      <w:hyperlink w:anchor="_Toc509495452" w:history="1">
        <w:r w:rsidR="00072797" w:rsidRPr="0072055A">
          <w:rPr>
            <w:rStyle w:val="Hyperlink"/>
            <w:noProof/>
          </w:rPr>
          <w:t>Figure 11: Children missing by reason, 2015-17</w:t>
        </w:r>
        <w:r w:rsidR="00072797">
          <w:rPr>
            <w:noProof/>
            <w:webHidden/>
          </w:rPr>
          <w:tab/>
        </w:r>
        <w:r w:rsidR="00072797">
          <w:rPr>
            <w:noProof/>
            <w:webHidden/>
          </w:rPr>
          <w:fldChar w:fldCharType="begin"/>
        </w:r>
        <w:r w:rsidR="00072797">
          <w:rPr>
            <w:noProof/>
            <w:webHidden/>
          </w:rPr>
          <w:instrText xml:space="preserve"> PAGEREF _Toc509495452 \h </w:instrText>
        </w:r>
        <w:r w:rsidR="00072797">
          <w:rPr>
            <w:noProof/>
            <w:webHidden/>
          </w:rPr>
        </w:r>
        <w:r w:rsidR="00072797">
          <w:rPr>
            <w:noProof/>
            <w:webHidden/>
          </w:rPr>
          <w:fldChar w:fldCharType="separate"/>
        </w:r>
        <w:r w:rsidR="00DF3BB3">
          <w:rPr>
            <w:noProof/>
            <w:webHidden/>
          </w:rPr>
          <w:t>25</w:t>
        </w:r>
        <w:r w:rsidR="00072797">
          <w:rPr>
            <w:noProof/>
            <w:webHidden/>
          </w:rPr>
          <w:fldChar w:fldCharType="end"/>
        </w:r>
      </w:hyperlink>
    </w:p>
    <w:p w14:paraId="69C3BF02" w14:textId="77777777" w:rsidR="00072797" w:rsidRDefault="0000522C">
      <w:pPr>
        <w:pStyle w:val="TableofFigures"/>
        <w:tabs>
          <w:tab w:val="right" w:leader="dot" w:pos="9016"/>
        </w:tabs>
        <w:rPr>
          <w:rFonts w:asciiTheme="minorHAnsi" w:eastAsiaTheme="minorEastAsia" w:hAnsiTheme="minorHAnsi" w:cstheme="minorBidi"/>
          <w:noProof/>
          <w:szCs w:val="22"/>
        </w:rPr>
      </w:pPr>
      <w:hyperlink w:anchor="_Toc509495453" w:history="1">
        <w:r w:rsidR="00072797" w:rsidRPr="0072055A">
          <w:rPr>
            <w:rStyle w:val="Hyperlink"/>
            <w:noProof/>
          </w:rPr>
          <w:t>Figure 12: Children going missing with no RHI, by sector as at 31 March 2017</w:t>
        </w:r>
        <w:r w:rsidR="00072797">
          <w:rPr>
            <w:noProof/>
            <w:webHidden/>
          </w:rPr>
          <w:tab/>
        </w:r>
        <w:r w:rsidR="00072797">
          <w:rPr>
            <w:noProof/>
            <w:webHidden/>
          </w:rPr>
          <w:fldChar w:fldCharType="begin"/>
        </w:r>
        <w:r w:rsidR="00072797">
          <w:rPr>
            <w:noProof/>
            <w:webHidden/>
          </w:rPr>
          <w:instrText xml:space="preserve"> PAGEREF _Toc509495453 \h </w:instrText>
        </w:r>
        <w:r w:rsidR="00072797">
          <w:rPr>
            <w:noProof/>
            <w:webHidden/>
          </w:rPr>
        </w:r>
        <w:r w:rsidR="00072797">
          <w:rPr>
            <w:noProof/>
            <w:webHidden/>
          </w:rPr>
          <w:fldChar w:fldCharType="separate"/>
        </w:r>
        <w:r w:rsidR="00DF3BB3">
          <w:rPr>
            <w:noProof/>
            <w:webHidden/>
          </w:rPr>
          <w:t>26</w:t>
        </w:r>
        <w:r w:rsidR="00072797">
          <w:rPr>
            <w:noProof/>
            <w:webHidden/>
          </w:rPr>
          <w:fldChar w:fldCharType="end"/>
        </w:r>
      </w:hyperlink>
    </w:p>
    <w:p w14:paraId="15838EBD" w14:textId="77777777" w:rsidR="00072797" w:rsidRDefault="0000522C">
      <w:pPr>
        <w:pStyle w:val="TableofFigures"/>
        <w:tabs>
          <w:tab w:val="right" w:leader="dot" w:pos="9016"/>
        </w:tabs>
        <w:rPr>
          <w:rFonts w:asciiTheme="minorHAnsi" w:eastAsiaTheme="minorEastAsia" w:hAnsiTheme="minorHAnsi" w:cstheme="minorBidi"/>
          <w:noProof/>
          <w:szCs w:val="22"/>
        </w:rPr>
      </w:pPr>
      <w:hyperlink w:anchor="_Toc509495454" w:history="1">
        <w:r w:rsidR="00072797" w:rsidRPr="0072055A">
          <w:rPr>
            <w:rStyle w:val="Hyperlink"/>
            <w:noProof/>
          </w:rPr>
          <w:t>Table 3: Child sexual exploitation, missing and unplanned endings.</w:t>
        </w:r>
        <w:r w:rsidR="00072797">
          <w:rPr>
            <w:noProof/>
            <w:webHidden/>
          </w:rPr>
          <w:tab/>
        </w:r>
        <w:r w:rsidR="00072797">
          <w:rPr>
            <w:noProof/>
            <w:webHidden/>
          </w:rPr>
          <w:fldChar w:fldCharType="begin"/>
        </w:r>
        <w:r w:rsidR="00072797">
          <w:rPr>
            <w:noProof/>
            <w:webHidden/>
          </w:rPr>
          <w:instrText xml:space="preserve"> PAGEREF _Toc509495454 \h </w:instrText>
        </w:r>
        <w:r w:rsidR="00072797">
          <w:rPr>
            <w:noProof/>
            <w:webHidden/>
          </w:rPr>
        </w:r>
        <w:r w:rsidR="00072797">
          <w:rPr>
            <w:noProof/>
            <w:webHidden/>
          </w:rPr>
          <w:fldChar w:fldCharType="separate"/>
        </w:r>
        <w:r w:rsidR="00DF3BB3">
          <w:rPr>
            <w:noProof/>
            <w:webHidden/>
          </w:rPr>
          <w:t>27</w:t>
        </w:r>
        <w:r w:rsidR="00072797">
          <w:rPr>
            <w:noProof/>
            <w:webHidden/>
          </w:rPr>
          <w:fldChar w:fldCharType="end"/>
        </w:r>
      </w:hyperlink>
    </w:p>
    <w:p w14:paraId="7307A86C" w14:textId="77777777" w:rsidR="00072797" w:rsidRDefault="0000522C">
      <w:pPr>
        <w:pStyle w:val="TableofFigures"/>
        <w:tabs>
          <w:tab w:val="right" w:leader="dot" w:pos="9016"/>
        </w:tabs>
        <w:rPr>
          <w:rFonts w:asciiTheme="minorHAnsi" w:eastAsiaTheme="minorEastAsia" w:hAnsiTheme="minorHAnsi" w:cstheme="minorBidi"/>
          <w:noProof/>
          <w:szCs w:val="22"/>
        </w:rPr>
      </w:pPr>
      <w:hyperlink w:anchor="_Toc509495455" w:history="1">
        <w:r w:rsidR="00072797" w:rsidRPr="0072055A">
          <w:rPr>
            <w:rStyle w:val="Hyperlink"/>
            <w:noProof/>
          </w:rPr>
          <w:t>Figure 13: Allegations and number of those by foster children against foster carers</w:t>
        </w:r>
        <w:r w:rsidR="00072797">
          <w:rPr>
            <w:noProof/>
            <w:webHidden/>
          </w:rPr>
          <w:tab/>
        </w:r>
        <w:r w:rsidR="00072797">
          <w:rPr>
            <w:noProof/>
            <w:webHidden/>
          </w:rPr>
          <w:fldChar w:fldCharType="begin"/>
        </w:r>
        <w:r w:rsidR="00072797">
          <w:rPr>
            <w:noProof/>
            <w:webHidden/>
          </w:rPr>
          <w:instrText xml:space="preserve"> PAGEREF _Toc509495455 \h </w:instrText>
        </w:r>
        <w:r w:rsidR="00072797">
          <w:rPr>
            <w:noProof/>
            <w:webHidden/>
          </w:rPr>
        </w:r>
        <w:r w:rsidR="00072797">
          <w:rPr>
            <w:noProof/>
            <w:webHidden/>
          </w:rPr>
          <w:fldChar w:fldCharType="separate"/>
        </w:r>
        <w:r w:rsidR="00DF3BB3">
          <w:rPr>
            <w:noProof/>
            <w:webHidden/>
          </w:rPr>
          <w:t>28</w:t>
        </w:r>
        <w:r w:rsidR="00072797">
          <w:rPr>
            <w:noProof/>
            <w:webHidden/>
          </w:rPr>
          <w:fldChar w:fldCharType="end"/>
        </w:r>
      </w:hyperlink>
    </w:p>
    <w:p w14:paraId="07D5272E" w14:textId="77777777" w:rsidR="00072797" w:rsidRDefault="0000522C">
      <w:pPr>
        <w:pStyle w:val="TableofFigures"/>
        <w:tabs>
          <w:tab w:val="right" w:leader="dot" w:pos="9016"/>
        </w:tabs>
        <w:rPr>
          <w:rFonts w:asciiTheme="minorHAnsi" w:eastAsiaTheme="minorEastAsia" w:hAnsiTheme="minorHAnsi" w:cstheme="minorBidi"/>
          <w:noProof/>
          <w:szCs w:val="22"/>
        </w:rPr>
      </w:pPr>
      <w:hyperlink w:anchor="_Toc509495456" w:history="1">
        <w:r w:rsidR="00072797" w:rsidRPr="0072055A">
          <w:rPr>
            <w:rStyle w:val="Hyperlink"/>
            <w:noProof/>
          </w:rPr>
          <w:t>Figure 14: Reasons children and young people left a fostering agency’s care</w:t>
        </w:r>
        <w:r w:rsidR="00072797">
          <w:rPr>
            <w:noProof/>
            <w:webHidden/>
          </w:rPr>
          <w:tab/>
        </w:r>
        <w:r w:rsidR="00072797">
          <w:rPr>
            <w:noProof/>
            <w:webHidden/>
          </w:rPr>
          <w:fldChar w:fldCharType="begin"/>
        </w:r>
        <w:r w:rsidR="00072797">
          <w:rPr>
            <w:noProof/>
            <w:webHidden/>
          </w:rPr>
          <w:instrText xml:space="preserve"> PAGEREF _Toc509495456 \h </w:instrText>
        </w:r>
        <w:r w:rsidR="00072797">
          <w:rPr>
            <w:noProof/>
            <w:webHidden/>
          </w:rPr>
        </w:r>
        <w:r w:rsidR="00072797">
          <w:rPr>
            <w:noProof/>
            <w:webHidden/>
          </w:rPr>
          <w:fldChar w:fldCharType="separate"/>
        </w:r>
        <w:r w:rsidR="00DF3BB3">
          <w:rPr>
            <w:noProof/>
            <w:webHidden/>
          </w:rPr>
          <w:t>29</w:t>
        </w:r>
        <w:r w:rsidR="00072797">
          <w:rPr>
            <w:noProof/>
            <w:webHidden/>
          </w:rPr>
          <w:fldChar w:fldCharType="end"/>
        </w:r>
      </w:hyperlink>
    </w:p>
    <w:p w14:paraId="4D338207" w14:textId="77777777" w:rsidR="00EB1FBE" w:rsidRPr="00EB1FBE" w:rsidRDefault="00C63D63" w:rsidP="00EB1FBE">
      <w:r w:rsidRPr="00282989">
        <w:fldChar w:fldCharType="end"/>
      </w:r>
    </w:p>
    <w:p w14:paraId="2457C303" w14:textId="77777777" w:rsidR="00EB1FBE" w:rsidRDefault="00EB1FBE" w:rsidP="00EB1FBE">
      <w:pPr>
        <w:rPr>
          <w:color w:val="0070C0"/>
        </w:rPr>
      </w:pPr>
    </w:p>
    <w:p w14:paraId="359C9287" w14:textId="4C1031EA" w:rsidR="00F66EB2" w:rsidRPr="004C20E1" w:rsidRDefault="00F66EB2" w:rsidP="00EB1FBE">
      <w:pPr>
        <w:pStyle w:val="Heading2"/>
        <w:spacing w:after="0"/>
        <w:rPr>
          <w:color w:val="000000" w:themeColor="text1"/>
        </w:rPr>
      </w:pPr>
      <w:bookmarkStart w:id="95" w:name="_Toc509261144"/>
      <w:r w:rsidRPr="004C20E1">
        <w:rPr>
          <w:color w:val="000000" w:themeColor="text1"/>
        </w:rPr>
        <w:t>Revisions to previous release</w:t>
      </w:r>
      <w:bookmarkEnd w:id="95"/>
      <w:r w:rsidRPr="004C20E1">
        <w:rPr>
          <w:color w:val="000000" w:themeColor="text1"/>
        </w:rPr>
        <w:t xml:space="preserve"> </w:t>
      </w:r>
    </w:p>
    <w:p w14:paraId="52AE17FD" w14:textId="04B5E658" w:rsidR="00F66EB2" w:rsidRPr="00282989" w:rsidRDefault="00F66EB2" w:rsidP="00F66EB2">
      <w:pPr>
        <w:rPr>
          <w:color w:val="0070C0"/>
        </w:rPr>
      </w:pPr>
      <w:r w:rsidRPr="004C20E1">
        <w:rPr>
          <w:color w:val="000000" w:themeColor="text1"/>
        </w:rPr>
        <w:t xml:space="preserve">This is the first release of this data for the period 1 April </w:t>
      </w:r>
      <w:r w:rsidR="004C20E1" w:rsidRPr="004C20E1">
        <w:rPr>
          <w:color w:val="000000" w:themeColor="text1"/>
        </w:rPr>
        <w:t>201</w:t>
      </w:r>
      <w:r w:rsidR="004C20E1">
        <w:rPr>
          <w:color w:val="000000" w:themeColor="text1"/>
        </w:rPr>
        <w:t>6</w:t>
      </w:r>
      <w:r w:rsidR="004C20E1" w:rsidRPr="004C20E1">
        <w:rPr>
          <w:color w:val="000000" w:themeColor="text1"/>
        </w:rPr>
        <w:t xml:space="preserve"> </w:t>
      </w:r>
      <w:r w:rsidRPr="004C20E1">
        <w:rPr>
          <w:color w:val="000000" w:themeColor="text1"/>
        </w:rPr>
        <w:t xml:space="preserve">– 31 March </w:t>
      </w:r>
      <w:r w:rsidR="004C20E1" w:rsidRPr="004C20E1">
        <w:rPr>
          <w:color w:val="000000" w:themeColor="text1"/>
        </w:rPr>
        <w:t>201</w:t>
      </w:r>
      <w:r w:rsidR="004C20E1">
        <w:rPr>
          <w:color w:val="000000" w:themeColor="text1"/>
        </w:rPr>
        <w:t>7</w:t>
      </w:r>
      <w:r w:rsidRPr="004C20E1">
        <w:rPr>
          <w:color w:val="000000" w:themeColor="text1"/>
        </w:rPr>
        <w:t>. This data is fixed point in time data and will not be revised.</w:t>
      </w:r>
    </w:p>
    <w:p w14:paraId="7BDB21AB" w14:textId="77777777" w:rsidR="00F66EB2" w:rsidRDefault="00F66EB2" w:rsidP="00F66EB2">
      <w:pPr>
        <w:ind w:left="360"/>
        <w:rPr>
          <w:color w:val="0070C0"/>
          <w:sz w:val="22"/>
          <w:szCs w:val="22"/>
        </w:rPr>
      </w:pPr>
    </w:p>
    <w:p w14:paraId="364CDFB0" w14:textId="77777777" w:rsidR="00EB1FBE" w:rsidRPr="00282989" w:rsidRDefault="00EB1FBE" w:rsidP="00F66EB2">
      <w:pPr>
        <w:ind w:left="360"/>
        <w:rPr>
          <w:color w:val="0070C0"/>
          <w:sz w:val="22"/>
          <w:szCs w:val="22"/>
        </w:rPr>
      </w:pPr>
    </w:p>
    <w:p w14:paraId="20A79861" w14:textId="77777777" w:rsidR="00F66EB2" w:rsidRPr="00EB1FBE" w:rsidRDefault="00F66EB2" w:rsidP="00F66EB2">
      <w:pPr>
        <w:pStyle w:val="Heading2"/>
        <w:spacing w:after="120"/>
        <w:jc w:val="left"/>
        <w:rPr>
          <w:color w:val="000000" w:themeColor="text1"/>
        </w:rPr>
      </w:pPr>
      <w:bookmarkStart w:id="96" w:name="_Toc473625279"/>
      <w:bookmarkStart w:id="97" w:name="_Toc509261145"/>
      <w:r w:rsidRPr="00EB1FBE">
        <w:rPr>
          <w:color w:val="000000" w:themeColor="text1"/>
        </w:rPr>
        <w:t>Notes</w:t>
      </w:r>
      <w:bookmarkEnd w:id="96"/>
      <w:bookmarkEnd w:id="97"/>
    </w:p>
    <w:p w14:paraId="3C569A05" w14:textId="25521D5F" w:rsidR="005F0382" w:rsidRPr="00EB1FBE" w:rsidRDefault="005F0382" w:rsidP="00540F27">
      <w:pPr>
        <w:spacing w:after="240"/>
        <w:jc w:val="left"/>
        <w:rPr>
          <w:rFonts w:cs="Tahoma"/>
          <w:color w:val="000000" w:themeColor="text1"/>
        </w:rPr>
      </w:pPr>
      <w:r w:rsidRPr="00EB1FBE">
        <w:rPr>
          <w:rFonts w:cs="Tahoma"/>
          <w:color w:val="000000" w:themeColor="text1"/>
        </w:rPr>
        <w:t xml:space="preserve">The aggregated data at England, total LA, total IFA levels and at individual LA and regional total levels, is available in Excel format on the Ofsted website </w:t>
      </w:r>
      <w:hyperlink r:id="rId29" w:history="1">
        <w:r w:rsidRPr="00EB1FBE">
          <w:rPr>
            <w:rStyle w:val="Hyperlink"/>
            <w:szCs w:val="22"/>
          </w:rPr>
          <w:t>www.gov.uk/government/collections/childrens-social-care-statistics</w:t>
        </w:r>
      </w:hyperlink>
      <w:r w:rsidR="00EB1FBE">
        <w:rPr>
          <w:rStyle w:val="Hyperlink"/>
          <w:color w:val="0070C0"/>
          <w:szCs w:val="22"/>
          <w:u w:val="none"/>
        </w:rPr>
        <w:t xml:space="preserve"> </w:t>
      </w:r>
      <w:r w:rsidRPr="00EB1FBE">
        <w:rPr>
          <w:color w:val="000000" w:themeColor="text1"/>
          <w:szCs w:val="22"/>
        </w:rPr>
        <w:t>under the heading ‘Fostering in England’.</w:t>
      </w:r>
    </w:p>
    <w:p w14:paraId="588D936F" w14:textId="02143100" w:rsidR="00F66EB2" w:rsidRPr="00EB1FBE" w:rsidRDefault="00F66EB2" w:rsidP="00F66EB2">
      <w:pPr>
        <w:spacing w:after="240"/>
        <w:jc w:val="left"/>
        <w:rPr>
          <w:rFonts w:cs="Tahoma"/>
          <w:color w:val="000000" w:themeColor="text1"/>
        </w:rPr>
      </w:pPr>
      <w:r w:rsidRPr="00EB1FBE">
        <w:rPr>
          <w:rFonts w:cs="Tahoma"/>
          <w:color w:val="000000" w:themeColor="text1"/>
        </w:rPr>
        <w:t xml:space="preserve">An explanation about key uses of this data and further contextual information and the arrangements for quality assurance is provided in the accompanying </w:t>
      </w:r>
      <w:r w:rsidR="00E917D2">
        <w:rPr>
          <w:rFonts w:cs="Tahoma"/>
          <w:color w:val="000000" w:themeColor="text1"/>
        </w:rPr>
        <w:t>q</w:t>
      </w:r>
      <w:r w:rsidRPr="00EB1FBE">
        <w:rPr>
          <w:rFonts w:cs="Tahoma"/>
          <w:color w:val="000000" w:themeColor="text1"/>
        </w:rPr>
        <w:t xml:space="preserve">uality and </w:t>
      </w:r>
      <w:r w:rsidR="00E917D2">
        <w:rPr>
          <w:rFonts w:cs="Tahoma"/>
          <w:color w:val="000000" w:themeColor="text1"/>
        </w:rPr>
        <w:t>m</w:t>
      </w:r>
      <w:r w:rsidRPr="00EB1FBE">
        <w:rPr>
          <w:rFonts w:cs="Tahoma"/>
          <w:color w:val="000000" w:themeColor="text1"/>
        </w:rPr>
        <w:t xml:space="preserve">ethodology report. </w:t>
      </w:r>
    </w:p>
    <w:p w14:paraId="105EE2BC" w14:textId="5BA87443" w:rsidR="00F66EB2" w:rsidRDefault="00E917D2" w:rsidP="00E87060">
      <w:pPr>
        <w:spacing w:after="240"/>
        <w:jc w:val="left"/>
        <w:rPr>
          <w:color w:val="000000" w:themeColor="text1"/>
        </w:rPr>
      </w:pPr>
      <w:r>
        <w:rPr>
          <w:color w:val="000000" w:themeColor="text1"/>
          <w:szCs w:val="22"/>
        </w:rPr>
        <w:t>You can find this at:</w:t>
      </w:r>
      <w:r w:rsidR="00F66EB2" w:rsidRPr="00EB1FBE">
        <w:rPr>
          <w:color w:val="000000" w:themeColor="text1"/>
          <w:szCs w:val="22"/>
        </w:rPr>
        <w:t xml:space="preserve"> </w:t>
      </w:r>
      <w:hyperlink r:id="rId30" w:history="1">
        <w:r w:rsidR="00F66EB2" w:rsidRPr="00EB1FBE">
          <w:rPr>
            <w:rStyle w:val="Hyperlink"/>
            <w:szCs w:val="22"/>
          </w:rPr>
          <w:t>www.gov.uk/government/collections/childrens-social-care-statistics</w:t>
        </w:r>
      </w:hyperlink>
      <w:r w:rsidR="00EB1FBE">
        <w:rPr>
          <w:rStyle w:val="Hyperlink"/>
          <w:color w:val="0070C0"/>
          <w:szCs w:val="22"/>
          <w:u w:val="none"/>
        </w:rPr>
        <w:t xml:space="preserve"> </w:t>
      </w:r>
      <w:r w:rsidR="00F66EB2" w:rsidRPr="00EB1FBE">
        <w:rPr>
          <w:color w:val="000000" w:themeColor="text1"/>
          <w:szCs w:val="22"/>
        </w:rPr>
        <w:t>under the heading ‘Fostering in England’.</w:t>
      </w:r>
      <w:r w:rsidR="00E87060" w:rsidRPr="00EB1FBE">
        <w:rPr>
          <w:color w:val="000000" w:themeColor="text1"/>
          <w:szCs w:val="22"/>
        </w:rPr>
        <w:t xml:space="preserve"> </w:t>
      </w:r>
      <w:r w:rsidR="00F66EB2" w:rsidRPr="00EB1FBE">
        <w:rPr>
          <w:color w:val="000000" w:themeColor="text1"/>
        </w:rPr>
        <w:t xml:space="preserve">The report also provides information about strengths and limitations of the statistics. </w:t>
      </w:r>
    </w:p>
    <w:p w14:paraId="3E2E228D" w14:textId="77777777" w:rsidR="00EB1FBE" w:rsidRPr="00282989" w:rsidRDefault="00EB1FBE" w:rsidP="00E87060">
      <w:pPr>
        <w:spacing w:after="240"/>
        <w:jc w:val="left"/>
        <w:rPr>
          <w:color w:val="0070C0"/>
        </w:rPr>
      </w:pPr>
    </w:p>
    <w:p w14:paraId="6024C675" w14:textId="16603FB5" w:rsidR="00F66EB2" w:rsidRPr="005D5B64" w:rsidRDefault="00F66EB2" w:rsidP="00F66EB2">
      <w:pPr>
        <w:pStyle w:val="Heading2"/>
        <w:spacing w:after="120"/>
        <w:jc w:val="left"/>
        <w:rPr>
          <w:color w:val="000000" w:themeColor="text1"/>
        </w:rPr>
      </w:pPr>
      <w:bookmarkStart w:id="98" w:name="_Toc509261146"/>
      <w:r w:rsidRPr="005D5B64">
        <w:rPr>
          <w:color w:val="000000" w:themeColor="text1"/>
        </w:rPr>
        <w:t>Glossary</w:t>
      </w:r>
      <w:bookmarkEnd w:id="98"/>
      <w:r w:rsidRPr="005D5B64">
        <w:rPr>
          <w:color w:val="000000" w:themeColor="text1"/>
        </w:rPr>
        <w:t xml:space="preserve"> </w:t>
      </w:r>
    </w:p>
    <w:p w14:paraId="7DDE6685" w14:textId="58372EAB" w:rsidR="00F66EB2" w:rsidRPr="00282989" w:rsidRDefault="00F66EB2" w:rsidP="00D716C1">
      <w:pPr>
        <w:jc w:val="left"/>
        <w:rPr>
          <w:color w:val="0070C0"/>
        </w:rPr>
      </w:pPr>
      <w:r w:rsidRPr="0056724E">
        <w:rPr>
          <w:color w:val="000000" w:themeColor="text1"/>
        </w:rPr>
        <w:t>A full definition of the terms below is available within the Dataset Excel file</w:t>
      </w:r>
      <w:r w:rsidR="00D716C1" w:rsidRPr="0056724E">
        <w:rPr>
          <w:color w:val="000000" w:themeColor="text1"/>
        </w:rPr>
        <w:t xml:space="preserve">, available here: </w:t>
      </w:r>
      <w:hyperlink r:id="rId31" w:history="1">
        <w:r w:rsidR="00EB1FBE" w:rsidRPr="00710801">
          <w:rPr>
            <w:rStyle w:val="Hyperlink"/>
          </w:rPr>
          <w:t>www.gov.uk/government/statistics/fostering-in-england-1-april-2016-to-31-march-2017</w:t>
        </w:r>
      </w:hyperlink>
      <w:r w:rsidRPr="00282989">
        <w:rPr>
          <w:color w:val="0070C0"/>
        </w:rPr>
        <w:t>.</w:t>
      </w:r>
    </w:p>
    <w:p w14:paraId="25D42B6B" w14:textId="77777777" w:rsidR="00C91695" w:rsidRDefault="00C91695" w:rsidP="00F66EB2">
      <w:pPr>
        <w:autoSpaceDE w:val="0"/>
        <w:autoSpaceDN w:val="0"/>
        <w:adjustRightInd w:val="0"/>
        <w:spacing w:before="240"/>
        <w:contextualSpacing/>
        <w:jc w:val="left"/>
        <w:rPr>
          <w:rFonts w:cs="Tahoma"/>
          <w:b/>
          <w:color w:val="000000" w:themeColor="text1"/>
        </w:rPr>
      </w:pPr>
    </w:p>
    <w:p w14:paraId="57926529" w14:textId="26C4FF04" w:rsidR="00C91695" w:rsidRDefault="00C91695" w:rsidP="00F66EB2">
      <w:pPr>
        <w:autoSpaceDE w:val="0"/>
        <w:autoSpaceDN w:val="0"/>
        <w:adjustRightInd w:val="0"/>
        <w:spacing w:before="240"/>
        <w:contextualSpacing/>
        <w:jc w:val="left"/>
        <w:rPr>
          <w:rFonts w:cs="Tahoma"/>
          <w:b/>
          <w:color w:val="000000" w:themeColor="text1"/>
        </w:rPr>
      </w:pPr>
      <w:r w:rsidRPr="00C91695">
        <w:rPr>
          <w:rFonts w:cs="Tahoma"/>
          <w:b/>
          <w:color w:val="000000" w:themeColor="text1"/>
        </w:rPr>
        <w:t>Alternative educational provision</w:t>
      </w:r>
    </w:p>
    <w:p w14:paraId="263FC610" w14:textId="2A70A0D0" w:rsidR="00C91695" w:rsidRPr="005D5B64" w:rsidRDefault="00C91695" w:rsidP="00F66EB2">
      <w:pPr>
        <w:autoSpaceDE w:val="0"/>
        <w:autoSpaceDN w:val="0"/>
        <w:adjustRightInd w:val="0"/>
        <w:spacing w:before="240"/>
        <w:contextualSpacing/>
        <w:jc w:val="left"/>
        <w:rPr>
          <w:rFonts w:cs="Tahoma"/>
          <w:color w:val="000000" w:themeColor="text1"/>
        </w:rPr>
      </w:pPr>
      <w:r w:rsidRPr="005D5B64">
        <w:rPr>
          <w:rFonts w:cs="Tahoma"/>
          <w:color w:val="000000" w:themeColor="text1"/>
        </w:rPr>
        <w:t>This includes provisions outside of long-term and special schools. This includes: provision directly managed by a local authority; pupil referral units; hospital schools; hospital and home teaching services; tuition centres; e-learning centres; and provision that is brokered or arranged by a local authority, school or group of schools, such as placements in FE colleges, extended work experience, projects provided by the voluntary or private sector or multi-agency initiatives.</w:t>
      </w:r>
    </w:p>
    <w:p w14:paraId="58B3D120" w14:textId="77777777" w:rsidR="00C91695" w:rsidRDefault="00C91695" w:rsidP="00F66EB2">
      <w:pPr>
        <w:autoSpaceDE w:val="0"/>
        <w:autoSpaceDN w:val="0"/>
        <w:adjustRightInd w:val="0"/>
        <w:spacing w:before="240"/>
        <w:contextualSpacing/>
        <w:jc w:val="left"/>
        <w:rPr>
          <w:rFonts w:cs="Tahoma"/>
          <w:b/>
          <w:color w:val="000000" w:themeColor="text1"/>
        </w:rPr>
      </w:pPr>
    </w:p>
    <w:p w14:paraId="75C509C0" w14:textId="77777777" w:rsidR="00F66EB2" w:rsidRPr="005D5B64" w:rsidRDefault="00F66EB2" w:rsidP="00F66EB2">
      <w:pPr>
        <w:autoSpaceDE w:val="0"/>
        <w:autoSpaceDN w:val="0"/>
        <w:adjustRightInd w:val="0"/>
        <w:spacing w:before="240"/>
        <w:contextualSpacing/>
        <w:jc w:val="left"/>
        <w:rPr>
          <w:rFonts w:cs="Tahoma"/>
          <w:b/>
          <w:color w:val="000000" w:themeColor="text1"/>
        </w:rPr>
      </w:pPr>
      <w:r w:rsidRPr="005D5B64">
        <w:rPr>
          <w:rFonts w:cs="Tahoma"/>
          <w:b/>
          <w:color w:val="000000" w:themeColor="text1"/>
        </w:rPr>
        <w:t>Approved foster carers</w:t>
      </w:r>
    </w:p>
    <w:p w14:paraId="23140915" w14:textId="26B21840" w:rsidR="00F66EB2" w:rsidRPr="005D5B64" w:rsidRDefault="00F66EB2" w:rsidP="00F66EB2">
      <w:pPr>
        <w:autoSpaceDE w:val="0"/>
        <w:autoSpaceDN w:val="0"/>
        <w:adjustRightInd w:val="0"/>
        <w:contextualSpacing/>
        <w:jc w:val="left"/>
        <w:rPr>
          <w:rFonts w:cs="Tahoma"/>
          <w:color w:val="000000" w:themeColor="text1"/>
        </w:rPr>
      </w:pPr>
      <w:r w:rsidRPr="005D5B64">
        <w:rPr>
          <w:rFonts w:cs="Tahoma"/>
          <w:color w:val="000000" w:themeColor="text1"/>
        </w:rPr>
        <w:t xml:space="preserve">These are individual foster carers who </w:t>
      </w:r>
      <w:r w:rsidR="003E1DDA" w:rsidRPr="005D5B64">
        <w:rPr>
          <w:rFonts w:cs="Tahoma"/>
          <w:color w:val="000000" w:themeColor="text1"/>
        </w:rPr>
        <w:t xml:space="preserve">were </w:t>
      </w:r>
      <w:r w:rsidRPr="005D5B64">
        <w:rPr>
          <w:rFonts w:cs="Tahoma"/>
          <w:color w:val="000000" w:themeColor="text1"/>
        </w:rPr>
        <w:t xml:space="preserve">currently approved by a fostering service as at 31 March 2016. </w:t>
      </w:r>
    </w:p>
    <w:p w14:paraId="52AD27B2" w14:textId="77777777" w:rsidR="00F66EB2" w:rsidRPr="005D5B64" w:rsidRDefault="00F66EB2" w:rsidP="00F66EB2">
      <w:pPr>
        <w:autoSpaceDE w:val="0"/>
        <w:autoSpaceDN w:val="0"/>
        <w:adjustRightInd w:val="0"/>
        <w:contextualSpacing/>
        <w:jc w:val="left"/>
        <w:rPr>
          <w:rFonts w:cs="Tahoma"/>
          <w:color w:val="000000" w:themeColor="text1"/>
        </w:rPr>
      </w:pPr>
    </w:p>
    <w:p w14:paraId="57D8B2ED" w14:textId="3EEFB8A1" w:rsidR="00F66EB2" w:rsidRPr="005D5B64" w:rsidRDefault="00F66EB2" w:rsidP="00F66EB2">
      <w:pPr>
        <w:autoSpaceDE w:val="0"/>
        <w:autoSpaceDN w:val="0"/>
        <w:adjustRightInd w:val="0"/>
        <w:contextualSpacing/>
        <w:jc w:val="left"/>
        <w:rPr>
          <w:rFonts w:cs="Tahoma"/>
          <w:b/>
          <w:color w:val="000000" w:themeColor="text1"/>
        </w:rPr>
      </w:pPr>
      <w:r w:rsidRPr="005D5B64">
        <w:rPr>
          <w:rFonts w:cs="Tahoma"/>
          <w:b/>
          <w:color w:val="000000" w:themeColor="text1"/>
        </w:rPr>
        <w:t xml:space="preserve">At risk (of </w:t>
      </w:r>
      <w:r w:rsidR="007A21C8" w:rsidRPr="005D5B64">
        <w:rPr>
          <w:rFonts w:cs="Tahoma"/>
          <w:b/>
          <w:color w:val="000000" w:themeColor="text1"/>
        </w:rPr>
        <w:t>child sexual exploitation</w:t>
      </w:r>
      <w:r w:rsidRPr="005D5B64">
        <w:rPr>
          <w:rFonts w:cs="Tahoma"/>
          <w:b/>
          <w:color w:val="000000" w:themeColor="text1"/>
        </w:rPr>
        <w:t>)</w:t>
      </w:r>
    </w:p>
    <w:p w14:paraId="2F551114" w14:textId="1959177C" w:rsidR="00F66EB2" w:rsidRPr="005D5B64" w:rsidRDefault="00F66EB2" w:rsidP="00F66EB2">
      <w:pPr>
        <w:autoSpaceDE w:val="0"/>
        <w:autoSpaceDN w:val="0"/>
        <w:adjustRightInd w:val="0"/>
        <w:contextualSpacing/>
        <w:jc w:val="left"/>
        <w:rPr>
          <w:rFonts w:cs="Tahoma"/>
          <w:color w:val="000000" w:themeColor="text1"/>
        </w:rPr>
      </w:pPr>
      <w:r w:rsidRPr="005D5B64">
        <w:rPr>
          <w:rFonts w:cs="Tahoma"/>
          <w:color w:val="000000" w:themeColor="text1"/>
        </w:rPr>
        <w:t xml:space="preserve">This </w:t>
      </w:r>
      <w:r w:rsidR="003E1DDA" w:rsidRPr="005D5B64">
        <w:rPr>
          <w:rFonts w:cs="Tahoma"/>
          <w:color w:val="000000" w:themeColor="text1"/>
        </w:rPr>
        <w:t>is</w:t>
      </w:r>
      <w:r w:rsidRPr="005D5B64">
        <w:rPr>
          <w:rFonts w:cs="Tahoma"/>
          <w:color w:val="000000" w:themeColor="text1"/>
        </w:rPr>
        <w:t xml:space="preserve"> any child where there is a concern that they will become subject to </w:t>
      </w:r>
      <w:r w:rsidR="007A21C8" w:rsidRPr="005D5B64">
        <w:rPr>
          <w:rFonts w:cs="Tahoma"/>
          <w:color w:val="000000" w:themeColor="text1"/>
        </w:rPr>
        <w:t>child sexual exploitation</w:t>
      </w:r>
      <w:r w:rsidRPr="005D5B64">
        <w:rPr>
          <w:rFonts w:cs="Tahoma"/>
          <w:color w:val="000000" w:themeColor="text1"/>
        </w:rPr>
        <w:t xml:space="preserve"> at some point, but this </w:t>
      </w:r>
      <w:r w:rsidR="003E1DDA" w:rsidRPr="005D5B64">
        <w:rPr>
          <w:rFonts w:cs="Tahoma"/>
          <w:color w:val="000000" w:themeColor="text1"/>
        </w:rPr>
        <w:t xml:space="preserve">exploitation </w:t>
      </w:r>
      <w:r w:rsidRPr="005D5B64">
        <w:rPr>
          <w:rFonts w:cs="Tahoma"/>
          <w:color w:val="000000" w:themeColor="text1"/>
        </w:rPr>
        <w:t>has not yet happened. The risk does not need to have been confirmed by other professionals.</w:t>
      </w:r>
    </w:p>
    <w:p w14:paraId="6D7D0414" w14:textId="77777777" w:rsidR="00F66EB2" w:rsidRPr="005D5B64" w:rsidRDefault="00F66EB2" w:rsidP="00F66EB2">
      <w:pPr>
        <w:autoSpaceDE w:val="0"/>
        <w:autoSpaceDN w:val="0"/>
        <w:adjustRightInd w:val="0"/>
        <w:contextualSpacing/>
        <w:jc w:val="left"/>
        <w:rPr>
          <w:rFonts w:cs="Tahoma"/>
          <w:color w:val="000000" w:themeColor="text1"/>
        </w:rPr>
      </w:pPr>
    </w:p>
    <w:p w14:paraId="70126EF8" w14:textId="3A2C297D" w:rsidR="00F66EB2" w:rsidRPr="005D5B64" w:rsidRDefault="00F66EB2" w:rsidP="00F66EB2">
      <w:pPr>
        <w:autoSpaceDE w:val="0"/>
        <w:autoSpaceDN w:val="0"/>
        <w:adjustRightInd w:val="0"/>
        <w:spacing w:before="240"/>
        <w:contextualSpacing/>
        <w:jc w:val="left"/>
        <w:rPr>
          <w:rFonts w:cs="Tahoma"/>
          <w:b/>
          <w:color w:val="000000" w:themeColor="text1"/>
        </w:rPr>
      </w:pPr>
      <w:r w:rsidRPr="005D5B64">
        <w:rPr>
          <w:rFonts w:cs="Tahoma"/>
          <w:b/>
          <w:color w:val="000000" w:themeColor="text1"/>
        </w:rPr>
        <w:t xml:space="preserve">Child </w:t>
      </w:r>
      <w:r w:rsidR="00E917D2">
        <w:rPr>
          <w:rFonts w:cs="Tahoma"/>
          <w:b/>
          <w:color w:val="000000" w:themeColor="text1"/>
        </w:rPr>
        <w:t>s</w:t>
      </w:r>
      <w:r w:rsidRPr="005D5B64">
        <w:rPr>
          <w:rFonts w:cs="Tahoma"/>
          <w:b/>
          <w:color w:val="000000" w:themeColor="text1"/>
        </w:rPr>
        <w:t xml:space="preserve">exual </w:t>
      </w:r>
      <w:r w:rsidR="00E917D2">
        <w:rPr>
          <w:rFonts w:cs="Tahoma"/>
          <w:b/>
          <w:color w:val="000000" w:themeColor="text1"/>
        </w:rPr>
        <w:t>e</w:t>
      </w:r>
      <w:r w:rsidRPr="005D5B64">
        <w:rPr>
          <w:rFonts w:cs="Tahoma"/>
          <w:b/>
          <w:color w:val="000000" w:themeColor="text1"/>
        </w:rPr>
        <w:t>xploitation</w:t>
      </w:r>
    </w:p>
    <w:p w14:paraId="0E381C1A" w14:textId="4F403E66" w:rsidR="00F66EB2" w:rsidRPr="005D5B64" w:rsidRDefault="006505BB" w:rsidP="00F66EB2">
      <w:pPr>
        <w:autoSpaceDE w:val="0"/>
        <w:autoSpaceDN w:val="0"/>
        <w:adjustRightInd w:val="0"/>
        <w:spacing w:before="240"/>
        <w:contextualSpacing/>
        <w:jc w:val="left"/>
        <w:rPr>
          <w:rFonts w:cs="Tahoma"/>
          <w:color w:val="000000" w:themeColor="text1"/>
        </w:rPr>
      </w:pPr>
      <w:r w:rsidRPr="005D5B64">
        <w:rPr>
          <w:rFonts w:cs="Tahoma"/>
          <w:color w:val="000000" w:themeColor="text1"/>
        </w:rPr>
        <w:t>A form of child sexual abuse occurring when an individual or group takes advantage of an imbalance in power to coerce a child into sexual activity in exchange for something the victim needs or wants, or to increase the status or financial advantage of the perpetrator</w:t>
      </w:r>
      <w:r w:rsidR="00F66EB2" w:rsidRPr="005D5B64">
        <w:rPr>
          <w:rFonts w:cs="Tahoma"/>
          <w:color w:val="000000" w:themeColor="text1"/>
        </w:rPr>
        <w:t>.</w:t>
      </w:r>
    </w:p>
    <w:p w14:paraId="3829341A" w14:textId="77777777" w:rsidR="00F66EB2" w:rsidRPr="005D5B64" w:rsidRDefault="00F66EB2" w:rsidP="00F66EB2">
      <w:pPr>
        <w:autoSpaceDE w:val="0"/>
        <w:autoSpaceDN w:val="0"/>
        <w:adjustRightInd w:val="0"/>
        <w:spacing w:before="240"/>
        <w:contextualSpacing/>
        <w:jc w:val="left"/>
        <w:rPr>
          <w:rFonts w:cs="Tahoma"/>
          <w:b/>
          <w:color w:val="000000" w:themeColor="text1"/>
        </w:rPr>
      </w:pPr>
    </w:p>
    <w:p w14:paraId="1FC09C78" w14:textId="77777777" w:rsidR="00F66EB2" w:rsidRPr="005D5B64" w:rsidRDefault="00F66EB2" w:rsidP="00F66EB2">
      <w:pPr>
        <w:autoSpaceDE w:val="0"/>
        <w:autoSpaceDN w:val="0"/>
        <w:adjustRightInd w:val="0"/>
        <w:spacing w:before="240"/>
        <w:contextualSpacing/>
        <w:jc w:val="left"/>
        <w:rPr>
          <w:rFonts w:cs="Tahoma"/>
          <w:b/>
          <w:color w:val="000000" w:themeColor="text1"/>
        </w:rPr>
      </w:pPr>
      <w:r w:rsidRPr="005D5B64">
        <w:rPr>
          <w:rFonts w:cs="Tahoma"/>
          <w:b/>
          <w:color w:val="000000" w:themeColor="text1"/>
        </w:rPr>
        <w:t>Disabled</w:t>
      </w:r>
    </w:p>
    <w:p w14:paraId="7EF782F7" w14:textId="77777777" w:rsidR="00114A1F" w:rsidRDefault="00F66EB2" w:rsidP="00F66EB2">
      <w:pPr>
        <w:autoSpaceDE w:val="0"/>
        <w:autoSpaceDN w:val="0"/>
        <w:adjustRightInd w:val="0"/>
        <w:contextualSpacing/>
        <w:jc w:val="left"/>
        <w:rPr>
          <w:rFonts w:cs="Tahoma"/>
          <w:color w:val="000000" w:themeColor="text1"/>
        </w:rPr>
      </w:pPr>
      <w:r w:rsidRPr="005D5B64">
        <w:rPr>
          <w:rFonts w:cs="Tahoma"/>
          <w:color w:val="000000" w:themeColor="text1"/>
        </w:rPr>
        <w:t>Section 6 of the Equality Act 2010 defines a disabled person as someone who has a physical or mental impairment which has a substantial and long term adverse effect on his or her ability to carry out normal day to day activities.</w:t>
      </w:r>
    </w:p>
    <w:p w14:paraId="514DD4E2" w14:textId="77777777" w:rsidR="00114A1F" w:rsidRDefault="00114A1F" w:rsidP="00F66EB2">
      <w:pPr>
        <w:autoSpaceDE w:val="0"/>
        <w:autoSpaceDN w:val="0"/>
        <w:adjustRightInd w:val="0"/>
        <w:contextualSpacing/>
        <w:jc w:val="left"/>
        <w:rPr>
          <w:rFonts w:cs="Tahoma"/>
          <w:color w:val="000000" w:themeColor="text1"/>
        </w:rPr>
      </w:pPr>
    </w:p>
    <w:p w14:paraId="6168E46E" w14:textId="77777777" w:rsidR="00114A1F" w:rsidRDefault="00114A1F" w:rsidP="00F66EB2">
      <w:pPr>
        <w:autoSpaceDE w:val="0"/>
        <w:autoSpaceDN w:val="0"/>
        <w:adjustRightInd w:val="0"/>
        <w:contextualSpacing/>
        <w:jc w:val="left"/>
        <w:rPr>
          <w:rFonts w:cs="Tahoma"/>
          <w:color w:val="000000" w:themeColor="text1"/>
        </w:rPr>
      </w:pPr>
      <w:r>
        <w:rPr>
          <w:rFonts w:cs="Tahoma"/>
          <w:b/>
          <w:color w:val="000000" w:themeColor="text1"/>
        </w:rPr>
        <w:t>Education placement change</w:t>
      </w:r>
    </w:p>
    <w:p w14:paraId="3B3F64F6" w14:textId="02DE2397" w:rsidR="00F66EB2" w:rsidRPr="005D5B64" w:rsidRDefault="00114A1F" w:rsidP="00F66EB2">
      <w:pPr>
        <w:autoSpaceDE w:val="0"/>
        <w:autoSpaceDN w:val="0"/>
        <w:adjustRightInd w:val="0"/>
        <w:contextualSpacing/>
        <w:jc w:val="left"/>
        <w:rPr>
          <w:rFonts w:cs="Tahoma"/>
          <w:color w:val="000000" w:themeColor="text1"/>
        </w:rPr>
      </w:pPr>
      <w:r>
        <w:rPr>
          <w:rFonts w:cs="Tahoma"/>
          <w:color w:val="000000" w:themeColor="text1"/>
        </w:rPr>
        <w:t>This refers to a change in educational placement, which came about because of moving to a new fostering household between 1 April 2016 and 31 March 2017.</w:t>
      </w:r>
    </w:p>
    <w:p w14:paraId="0A110225" w14:textId="77777777" w:rsidR="00F66EB2" w:rsidRPr="005D5B64" w:rsidRDefault="00F66EB2" w:rsidP="00F66EB2">
      <w:pPr>
        <w:autoSpaceDE w:val="0"/>
        <w:autoSpaceDN w:val="0"/>
        <w:adjustRightInd w:val="0"/>
        <w:spacing w:before="240"/>
        <w:contextualSpacing/>
        <w:jc w:val="left"/>
        <w:rPr>
          <w:rFonts w:cs="Tahoma"/>
          <w:b/>
          <w:color w:val="000000" w:themeColor="text1"/>
        </w:rPr>
      </w:pPr>
    </w:p>
    <w:p w14:paraId="498BF193" w14:textId="77777777" w:rsidR="00F66EB2" w:rsidRPr="005D5B64" w:rsidRDefault="00F66EB2" w:rsidP="00F66EB2">
      <w:pPr>
        <w:autoSpaceDE w:val="0"/>
        <w:autoSpaceDN w:val="0"/>
        <w:adjustRightInd w:val="0"/>
        <w:spacing w:before="240"/>
        <w:contextualSpacing/>
        <w:jc w:val="left"/>
        <w:rPr>
          <w:rFonts w:cs="Tahoma"/>
          <w:b/>
          <w:color w:val="000000" w:themeColor="text1"/>
        </w:rPr>
      </w:pPr>
      <w:r w:rsidRPr="005D5B64">
        <w:rPr>
          <w:rFonts w:cs="Tahoma"/>
          <w:b/>
          <w:color w:val="000000" w:themeColor="text1"/>
        </w:rPr>
        <w:t>Exemption</w:t>
      </w:r>
    </w:p>
    <w:p w14:paraId="18BF6DB8" w14:textId="77777777" w:rsidR="00F66EB2" w:rsidRPr="005D5B64" w:rsidRDefault="00F66EB2" w:rsidP="00F66EB2">
      <w:pPr>
        <w:autoSpaceDE w:val="0"/>
        <w:autoSpaceDN w:val="0"/>
        <w:adjustRightInd w:val="0"/>
        <w:contextualSpacing/>
        <w:jc w:val="left"/>
        <w:rPr>
          <w:rFonts w:cs="Tahoma"/>
          <w:color w:val="000000" w:themeColor="text1"/>
        </w:rPr>
      </w:pPr>
      <w:r w:rsidRPr="005D5B64">
        <w:rPr>
          <w:rFonts w:cs="Tahoma"/>
          <w:color w:val="000000" w:themeColor="text1"/>
        </w:rPr>
        <w:t>An exemption is required in the specific situation in which a foster carer is asked to look after more than three children who are not all part of a sibling group, under sections 63(12) and Schedule 7(2) of the Children Act 1989.</w:t>
      </w:r>
    </w:p>
    <w:p w14:paraId="02E0F31B" w14:textId="77777777" w:rsidR="00F66EB2" w:rsidRDefault="00F66EB2" w:rsidP="00F66EB2">
      <w:pPr>
        <w:autoSpaceDE w:val="0"/>
        <w:autoSpaceDN w:val="0"/>
        <w:adjustRightInd w:val="0"/>
        <w:contextualSpacing/>
        <w:jc w:val="left"/>
        <w:rPr>
          <w:rFonts w:cs="Tahoma"/>
          <w:color w:val="000000" w:themeColor="text1"/>
        </w:rPr>
      </w:pPr>
    </w:p>
    <w:p w14:paraId="7C7E6946" w14:textId="77777777" w:rsidR="00DF3BB3" w:rsidRPr="005D5B64" w:rsidRDefault="00DF3BB3" w:rsidP="00F66EB2">
      <w:pPr>
        <w:autoSpaceDE w:val="0"/>
        <w:autoSpaceDN w:val="0"/>
        <w:adjustRightInd w:val="0"/>
        <w:contextualSpacing/>
        <w:jc w:val="left"/>
        <w:rPr>
          <w:rFonts w:cs="Tahoma"/>
          <w:color w:val="000000" w:themeColor="text1"/>
        </w:rPr>
      </w:pPr>
    </w:p>
    <w:p w14:paraId="0ADAFC53" w14:textId="77777777" w:rsidR="00F66EB2" w:rsidRPr="005D5B64" w:rsidRDefault="00F66EB2" w:rsidP="00F66EB2">
      <w:pPr>
        <w:autoSpaceDE w:val="0"/>
        <w:autoSpaceDN w:val="0"/>
        <w:adjustRightInd w:val="0"/>
        <w:spacing w:before="240"/>
        <w:contextualSpacing/>
        <w:jc w:val="left"/>
        <w:rPr>
          <w:rFonts w:cs="Tahoma"/>
          <w:b/>
          <w:color w:val="000000" w:themeColor="text1"/>
        </w:rPr>
      </w:pPr>
      <w:r w:rsidRPr="005D5B64">
        <w:rPr>
          <w:rFonts w:cs="Tahoma"/>
          <w:b/>
          <w:color w:val="000000" w:themeColor="text1"/>
        </w:rPr>
        <w:t>Family and friends foster care</w:t>
      </w:r>
    </w:p>
    <w:p w14:paraId="0E0EA166" w14:textId="77777777" w:rsidR="00F66EB2" w:rsidRPr="005D5B64" w:rsidRDefault="00F66EB2" w:rsidP="00F66EB2">
      <w:pPr>
        <w:autoSpaceDE w:val="0"/>
        <w:autoSpaceDN w:val="0"/>
        <w:adjustRightInd w:val="0"/>
        <w:spacing w:before="240"/>
        <w:contextualSpacing/>
        <w:jc w:val="left"/>
        <w:rPr>
          <w:rFonts w:cs="Tahoma"/>
          <w:color w:val="000000" w:themeColor="text1"/>
        </w:rPr>
      </w:pPr>
      <w:r w:rsidRPr="005D5B64">
        <w:rPr>
          <w:rFonts w:cs="Tahoma"/>
          <w:color w:val="000000" w:themeColor="text1"/>
        </w:rPr>
        <w:t xml:space="preserve">Foster care provided for a looked after child(ren) by a relative or friend who is approved by a fostering service to foster that particular child(ren). </w:t>
      </w:r>
    </w:p>
    <w:p w14:paraId="625274B9" w14:textId="77777777" w:rsidR="00F66EB2" w:rsidRPr="005D5B64" w:rsidRDefault="00F66EB2" w:rsidP="00F66EB2">
      <w:pPr>
        <w:autoSpaceDE w:val="0"/>
        <w:autoSpaceDN w:val="0"/>
        <w:adjustRightInd w:val="0"/>
        <w:spacing w:before="240"/>
        <w:contextualSpacing/>
        <w:jc w:val="left"/>
        <w:rPr>
          <w:rFonts w:cs="Tahoma"/>
          <w:b/>
          <w:color w:val="000000" w:themeColor="text1"/>
        </w:rPr>
      </w:pPr>
    </w:p>
    <w:p w14:paraId="1054D462" w14:textId="03813EC2" w:rsidR="00F66EB2" w:rsidRPr="005D5B64" w:rsidRDefault="00F66EB2" w:rsidP="00607865">
      <w:pPr>
        <w:jc w:val="left"/>
        <w:rPr>
          <w:rFonts w:cs="Tahoma"/>
          <w:b/>
          <w:color w:val="000000" w:themeColor="text1"/>
        </w:rPr>
      </w:pPr>
      <w:r w:rsidRPr="005D5B64">
        <w:rPr>
          <w:rFonts w:cs="Tahoma"/>
          <w:b/>
          <w:color w:val="000000" w:themeColor="text1"/>
        </w:rPr>
        <w:t xml:space="preserve">Fostering agencies </w:t>
      </w:r>
    </w:p>
    <w:p w14:paraId="21647671" w14:textId="77777777" w:rsidR="00F66EB2" w:rsidRPr="005D5B64" w:rsidRDefault="00F66EB2" w:rsidP="00F66EB2">
      <w:pPr>
        <w:autoSpaceDE w:val="0"/>
        <w:autoSpaceDN w:val="0"/>
        <w:adjustRightInd w:val="0"/>
        <w:contextualSpacing/>
        <w:jc w:val="left"/>
        <w:rPr>
          <w:rFonts w:cs="Tahoma"/>
          <w:color w:val="000000" w:themeColor="text1"/>
        </w:rPr>
      </w:pPr>
      <w:r w:rsidRPr="005D5B64">
        <w:rPr>
          <w:rFonts w:cs="Tahoma"/>
          <w:color w:val="000000" w:themeColor="text1"/>
        </w:rPr>
        <w:t>Fostering agencies recruit, prepare, assess, train and support foster carers; they can be local authority, or independent (private companies or charities).</w:t>
      </w:r>
    </w:p>
    <w:p w14:paraId="2620816D" w14:textId="77777777" w:rsidR="00F66EB2" w:rsidRPr="005D5B64" w:rsidRDefault="00F66EB2" w:rsidP="00F66EB2">
      <w:pPr>
        <w:autoSpaceDE w:val="0"/>
        <w:autoSpaceDN w:val="0"/>
        <w:adjustRightInd w:val="0"/>
        <w:contextualSpacing/>
        <w:jc w:val="left"/>
        <w:rPr>
          <w:rFonts w:cs="Tahoma"/>
          <w:color w:val="000000" w:themeColor="text1"/>
        </w:rPr>
      </w:pPr>
    </w:p>
    <w:p w14:paraId="48120B2A" w14:textId="77777777" w:rsidR="00F66EB2" w:rsidRPr="005D5B64" w:rsidRDefault="00F66EB2" w:rsidP="00F66EB2">
      <w:pPr>
        <w:autoSpaceDE w:val="0"/>
        <w:autoSpaceDN w:val="0"/>
        <w:adjustRightInd w:val="0"/>
        <w:spacing w:before="240"/>
        <w:contextualSpacing/>
        <w:jc w:val="left"/>
        <w:rPr>
          <w:rFonts w:cs="Tahoma"/>
          <w:b/>
          <w:color w:val="000000" w:themeColor="text1"/>
        </w:rPr>
      </w:pPr>
      <w:r w:rsidRPr="005D5B64">
        <w:rPr>
          <w:rFonts w:cs="Tahoma"/>
          <w:b/>
          <w:color w:val="000000" w:themeColor="text1"/>
        </w:rPr>
        <w:t>Foster places</w:t>
      </w:r>
    </w:p>
    <w:p w14:paraId="7743188E" w14:textId="77777777" w:rsidR="00F66EB2" w:rsidRPr="005D5B64" w:rsidRDefault="00F66EB2" w:rsidP="00F66EB2">
      <w:pPr>
        <w:autoSpaceDE w:val="0"/>
        <w:autoSpaceDN w:val="0"/>
        <w:adjustRightInd w:val="0"/>
        <w:contextualSpacing/>
        <w:jc w:val="left"/>
        <w:rPr>
          <w:rFonts w:cs="Tahoma"/>
          <w:color w:val="000000" w:themeColor="text1"/>
        </w:rPr>
      </w:pPr>
      <w:r w:rsidRPr="005D5B64">
        <w:rPr>
          <w:rFonts w:cs="Tahoma"/>
          <w:color w:val="000000" w:themeColor="text1"/>
        </w:rPr>
        <w:t>Foster places refers to the total number of places that foster carers are approved to provide, whether occupied or not; it relates to the capacity of foster care in England.</w:t>
      </w:r>
    </w:p>
    <w:p w14:paraId="6411F8AB" w14:textId="77777777" w:rsidR="00F66EB2" w:rsidRPr="005D5B64" w:rsidRDefault="00F66EB2" w:rsidP="00F66EB2">
      <w:pPr>
        <w:autoSpaceDE w:val="0"/>
        <w:autoSpaceDN w:val="0"/>
        <w:adjustRightInd w:val="0"/>
        <w:contextualSpacing/>
        <w:jc w:val="left"/>
        <w:rPr>
          <w:rFonts w:cs="Tahoma"/>
          <w:color w:val="000000" w:themeColor="text1"/>
        </w:rPr>
      </w:pPr>
    </w:p>
    <w:p w14:paraId="207DA658" w14:textId="77777777" w:rsidR="00F66EB2" w:rsidRPr="005D5B64" w:rsidRDefault="00F66EB2" w:rsidP="00F66EB2">
      <w:pPr>
        <w:autoSpaceDE w:val="0"/>
        <w:autoSpaceDN w:val="0"/>
        <w:adjustRightInd w:val="0"/>
        <w:spacing w:before="240"/>
        <w:contextualSpacing/>
        <w:jc w:val="left"/>
        <w:rPr>
          <w:rFonts w:cs="Tahoma"/>
          <w:b/>
          <w:color w:val="000000" w:themeColor="text1"/>
        </w:rPr>
      </w:pPr>
      <w:r w:rsidRPr="005D5B64">
        <w:rPr>
          <w:rFonts w:cs="Tahoma"/>
          <w:b/>
          <w:color w:val="000000" w:themeColor="text1"/>
        </w:rPr>
        <w:t>Foster placements</w:t>
      </w:r>
    </w:p>
    <w:p w14:paraId="0F6338DE" w14:textId="77777777" w:rsidR="00F66EB2" w:rsidRPr="005D5B64" w:rsidRDefault="00F66EB2" w:rsidP="00F66EB2">
      <w:pPr>
        <w:autoSpaceDE w:val="0"/>
        <w:autoSpaceDN w:val="0"/>
        <w:adjustRightInd w:val="0"/>
        <w:contextualSpacing/>
        <w:jc w:val="left"/>
        <w:rPr>
          <w:rFonts w:cs="Tahoma"/>
          <w:color w:val="000000" w:themeColor="text1"/>
        </w:rPr>
      </w:pPr>
      <w:r w:rsidRPr="005D5B64">
        <w:rPr>
          <w:rFonts w:cs="Tahoma"/>
          <w:color w:val="000000" w:themeColor="text1"/>
        </w:rPr>
        <w:t>Foster placements refers to arrangements made for children to be looked after, in this context living with foster carers.</w:t>
      </w:r>
    </w:p>
    <w:p w14:paraId="6C894748" w14:textId="77777777" w:rsidR="00F66EB2" w:rsidRPr="005D5B64" w:rsidRDefault="00F66EB2" w:rsidP="00F66EB2">
      <w:pPr>
        <w:autoSpaceDE w:val="0"/>
        <w:autoSpaceDN w:val="0"/>
        <w:adjustRightInd w:val="0"/>
        <w:spacing w:before="240"/>
        <w:contextualSpacing/>
        <w:jc w:val="left"/>
        <w:rPr>
          <w:rFonts w:cs="Tahoma"/>
          <w:b/>
          <w:color w:val="000000" w:themeColor="text1"/>
        </w:rPr>
      </w:pPr>
    </w:p>
    <w:p w14:paraId="69807C8E" w14:textId="77777777" w:rsidR="00F66EB2" w:rsidRPr="005D5B64" w:rsidRDefault="00F66EB2" w:rsidP="00F66EB2">
      <w:pPr>
        <w:autoSpaceDE w:val="0"/>
        <w:autoSpaceDN w:val="0"/>
        <w:adjustRightInd w:val="0"/>
        <w:spacing w:before="240"/>
        <w:contextualSpacing/>
        <w:jc w:val="left"/>
        <w:rPr>
          <w:rFonts w:cs="Tahoma"/>
          <w:b/>
          <w:color w:val="000000" w:themeColor="text1"/>
        </w:rPr>
      </w:pPr>
      <w:r w:rsidRPr="005D5B64">
        <w:rPr>
          <w:rFonts w:cs="Tahoma"/>
          <w:b/>
          <w:color w:val="000000" w:themeColor="text1"/>
        </w:rPr>
        <w:t>Missing</w:t>
      </w:r>
    </w:p>
    <w:p w14:paraId="013746E8" w14:textId="77777777" w:rsidR="00F66EB2" w:rsidRPr="005D5B64" w:rsidRDefault="00F66EB2" w:rsidP="00F66EB2">
      <w:pPr>
        <w:autoSpaceDE w:val="0"/>
        <w:autoSpaceDN w:val="0"/>
        <w:adjustRightInd w:val="0"/>
        <w:contextualSpacing/>
        <w:jc w:val="left"/>
        <w:rPr>
          <w:rFonts w:cs="Tahoma"/>
          <w:color w:val="000000" w:themeColor="text1"/>
        </w:rPr>
      </w:pPr>
      <w:r w:rsidRPr="005D5B64">
        <w:rPr>
          <w:rFonts w:cs="Tahoma"/>
          <w:color w:val="000000" w:themeColor="text1"/>
        </w:rPr>
        <w:t xml:space="preserve">In this context refers to children up to the age of 18 who have run away from their foster placement, have been abducted, or whose whereabouts are unknown; it does not include unauthorised absence where a child’s whereabouts are (thought to be) known. </w:t>
      </w:r>
    </w:p>
    <w:p w14:paraId="40A7D44D" w14:textId="77777777" w:rsidR="00F66EB2" w:rsidRPr="005D5B64" w:rsidRDefault="00F66EB2" w:rsidP="00F66EB2">
      <w:pPr>
        <w:autoSpaceDE w:val="0"/>
        <w:autoSpaceDN w:val="0"/>
        <w:adjustRightInd w:val="0"/>
        <w:contextualSpacing/>
        <w:jc w:val="left"/>
        <w:rPr>
          <w:rFonts w:cs="Tahoma"/>
          <w:color w:val="000000" w:themeColor="text1"/>
        </w:rPr>
      </w:pPr>
    </w:p>
    <w:p w14:paraId="01885349" w14:textId="1DD1DA9D" w:rsidR="00F66EB2" w:rsidRPr="005D5B64" w:rsidRDefault="00F66EB2" w:rsidP="00F66EB2">
      <w:pPr>
        <w:autoSpaceDE w:val="0"/>
        <w:autoSpaceDN w:val="0"/>
        <w:adjustRightInd w:val="0"/>
        <w:contextualSpacing/>
        <w:jc w:val="left"/>
        <w:rPr>
          <w:rFonts w:cs="Tahoma"/>
          <w:b/>
          <w:color w:val="000000" w:themeColor="text1"/>
        </w:rPr>
      </w:pPr>
      <w:r w:rsidRPr="005D5B64">
        <w:rPr>
          <w:rFonts w:cs="Tahoma"/>
          <w:b/>
          <w:color w:val="000000" w:themeColor="text1"/>
        </w:rPr>
        <w:t>Multi-dimensional treatment foster care</w:t>
      </w:r>
      <w:r w:rsidR="003E1DDA" w:rsidRPr="005D5B64">
        <w:rPr>
          <w:rFonts w:cs="Tahoma"/>
          <w:b/>
          <w:color w:val="000000" w:themeColor="text1"/>
        </w:rPr>
        <w:t xml:space="preserve"> (MTFC)</w:t>
      </w:r>
      <w:r w:rsidRPr="005D5B64">
        <w:rPr>
          <w:rFonts w:cs="Tahoma"/>
          <w:b/>
          <w:color w:val="000000" w:themeColor="text1"/>
        </w:rPr>
        <w:t xml:space="preserve"> under the Department for Education scheme</w:t>
      </w:r>
    </w:p>
    <w:p w14:paraId="65EFD722" w14:textId="77777777" w:rsidR="00F66EB2" w:rsidRDefault="00F66EB2" w:rsidP="00F66EB2">
      <w:pPr>
        <w:autoSpaceDE w:val="0"/>
        <w:autoSpaceDN w:val="0"/>
        <w:adjustRightInd w:val="0"/>
        <w:contextualSpacing/>
        <w:jc w:val="left"/>
        <w:rPr>
          <w:rFonts w:cs="Tahoma"/>
          <w:color w:val="000000" w:themeColor="text1"/>
        </w:rPr>
      </w:pPr>
      <w:r w:rsidRPr="005D5B64">
        <w:rPr>
          <w:rFonts w:cs="Tahoma"/>
          <w:color w:val="000000" w:themeColor="text1"/>
        </w:rPr>
        <w:t>MTFC is a highly structured behavioural programme, providing wraparound multi-professional support and including daily communication between carers, the team and school aimed at diverting young people from anti-social peers.</w:t>
      </w:r>
    </w:p>
    <w:p w14:paraId="3651314A" w14:textId="77777777" w:rsidR="004967A9" w:rsidRDefault="004967A9" w:rsidP="00F66EB2">
      <w:pPr>
        <w:autoSpaceDE w:val="0"/>
        <w:autoSpaceDN w:val="0"/>
        <w:adjustRightInd w:val="0"/>
        <w:contextualSpacing/>
        <w:jc w:val="left"/>
        <w:rPr>
          <w:rFonts w:cs="Tahoma"/>
          <w:color w:val="000000" w:themeColor="text1"/>
        </w:rPr>
      </w:pPr>
    </w:p>
    <w:p w14:paraId="056AAFFD" w14:textId="532F3A3C" w:rsidR="00C91695" w:rsidRPr="005D5B64" w:rsidRDefault="00C91695" w:rsidP="00F66EB2">
      <w:pPr>
        <w:autoSpaceDE w:val="0"/>
        <w:autoSpaceDN w:val="0"/>
        <w:adjustRightInd w:val="0"/>
        <w:contextualSpacing/>
        <w:jc w:val="left"/>
        <w:rPr>
          <w:rFonts w:cs="Tahoma"/>
          <w:b/>
          <w:color w:val="000000" w:themeColor="text1"/>
        </w:rPr>
      </w:pPr>
      <w:r w:rsidRPr="005D5B64">
        <w:rPr>
          <w:rFonts w:cs="Tahoma"/>
          <w:b/>
          <w:color w:val="000000" w:themeColor="text1"/>
        </w:rPr>
        <w:t>No educational arrangements</w:t>
      </w:r>
    </w:p>
    <w:p w14:paraId="55D9EA4F" w14:textId="6DC4342A" w:rsidR="00C91695" w:rsidRDefault="00C91695" w:rsidP="00F66EB2">
      <w:pPr>
        <w:autoSpaceDE w:val="0"/>
        <w:autoSpaceDN w:val="0"/>
        <w:adjustRightInd w:val="0"/>
        <w:contextualSpacing/>
        <w:jc w:val="left"/>
        <w:rPr>
          <w:rFonts w:cs="Tahoma"/>
          <w:color w:val="000000" w:themeColor="text1"/>
        </w:rPr>
      </w:pPr>
      <w:r w:rsidRPr="00C91695">
        <w:rPr>
          <w:rFonts w:cs="Tahoma"/>
          <w:color w:val="000000" w:themeColor="text1"/>
        </w:rPr>
        <w:t>This refers to children in foster care who have no mainstream, special school or alternative educational provision. The data needs to cover the financial year April-March (not the academic year) and is only applicable when the child/young person is in a foster placement.</w:t>
      </w:r>
    </w:p>
    <w:p w14:paraId="1CF3FC7B" w14:textId="77777777" w:rsidR="005B52F1" w:rsidRDefault="005B52F1" w:rsidP="00F66EB2">
      <w:pPr>
        <w:autoSpaceDE w:val="0"/>
        <w:autoSpaceDN w:val="0"/>
        <w:adjustRightInd w:val="0"/>
        <w:contextualSpacing/>
        <w:jc w:val="left"/>
        <w:rPr>
          <w:rFonts w:cs="Tahoma"/>
          <w:color w:val="000000" w:themeColor="text1"/>
        </w:rPr>
      </w:pPr>
    </w:p>
    <w:p w14:paraId="26EABB62" w14:textId="77777777" w:rsidR="005B52F1" w:rsidRPr="00A135DF" w:rsidRDefault="005B52F1" w:rsidP="005B52F1">
      <w:pPr>
        <w:jc w:val="left"/>
        <w:rPr>
          <w:rFonts w:cs="Tahoma"/>
          <w:b/>
          <w:bCs/>
          <w:color w:val="000000"/>
          <w:sz w:val="22"/>
          <w:szCs w:val="22"/>
        </w:rPr>
      </w:pPr>
      <w:r w:rsidRPr="00A135DF">
        <w:rPr>
          <w:rFonts w:cs="Tahoma"/>
          <w:b/>
          <w:bCs/>
          <w:color w:val="000000"/>
          <w:sz w:val="22"/>
          <w:szCs w:val="22"/>
        </w:rPr>
        <w:t>No longer looked after</w:t>
      </w:r>
    </w:p>
    <w:p w14:paraId="63D67D63" w14:textId="4C2F7A23" w:rsidR="005B52F1" w:rsidRDefault="005B52F1" w:rsidP="00F66EB2">
      <w:pPr>
        <w:autoSpaceDE w:val="0"/>
        <w:autoSpaceDN w:val="0"/>
        <w:adjustRightInd w:val="0"/>
        <w:contextualSpacing/>
        <w:jc w:val="left"/>
        <w:rPr>
          <w:rFonts w:cs="Tahoma"/>
          <w:color w:val="000000" w:themeColor="text1"/>
        </w:rPr>
      </w:pPr>
      <w:r w:rsidRPr="00A135DF">
        <w:rPr>
          <w:rFonts w:cs="Tahoma"/>
          <w:color w:val="000000" w:themeColor="text1"/>
        </w:rPr>
        <w:t>It refers to children who have ceased to be looked after (in care). They might have returned to live with their parents or other family member, or become subject to a Special Guardianship Order, or been adopted.</w:t>
      </w:r>
      <w:r>
        <w:rPr>
          <w:rFonts w:cs="Tahoma"/>
          <w:color w:val="000000" w:themeColor="text1"/>
        </w:rPr>
        <w:t>       </w:t>
      </w:r>
    </w:p>
    <w:p w14:paraId="68EE3DF2" w14:textId="77777777" w:rsidR="00C91695" w:rsidRDefault="00C91695" w:rsidP="00F66EB2">
      <w:pPr>
        <w:autoSpaceDE w:val="0"/>
        <w:autoSpaceDN w:val="0"/>
        <w:adjustRightInd w:val="0"/>
        <w:contextualSpacing/>
        <w:jc w:val="left"/>
        <w:rPr>
          <w:rFonts w:cs="Tahoma"/>
          <w:color w:val="000000" w:themeColor="text1"/>
        </w:rPr>
      </w:pPr>
    </w:p>
    <w:p w14:paraId="63DCC044" w14:textId="6B1BFA57" w:rsidR="004967A9" w:rsidRDefault="00E725CC" w:rsidP="00F66EB2">
      <w:pPr>
        <w:autoSpaceDE w:val="0"/>
        <w:autoSpaceDN w:val="0"/>
        <w:adjustRightInd w:val="0"/>
        <w:contextualSpacing/>
        <w:jc w:val="left"/>
        <w:rPr>
          <w:rFonts w:cs="Tahoma"/>
          <w:color w:val="000000" w:themeColor="text1"/>
        </w:rPr>
      </w:pPr>
      <w:r>
        <w:rPr>
          <w:rFonts w:cs="Tahoma"/>
          <w:b/>
          <w:color w:val="000000" w:themeColor="text1"/>
        </w:rPr>
        <w:t>‘</w:t>
      </w:r>
      <w:r w:rsidR="004967A9">
        <w:rPr>
          <w:rFonts w:cs="Tahoma"/>
          <w:b/>
          <w:color w:val="000000" w:themeColor="text1"/>
        </w:rPr>
        <w:t>Not available</w:t>
      </w:r>
      <w:r>
        <w:rPr>
          <w:rFonts w:cs="Tahoma"/>
          <w:b/>
          <w:color w:val="000000" w:themeColor="text1"/>
        </w:rPr>
        <w:t>’</w:t>
      </w:r>
      <w:r w:rsidR="004967A9">
        <w:rPr>
          <w:rFonts w:cs="Tahoma"/>
          <w:b/>
          <w:color w:val="000000" w:themeColor="text1"/>
        </w:rPr>
        <w:t xml:space="preserve"> places</w:t>
      </w:r>
    </w:p>
    <w:p w14:paraId="014B8E40" w14:textId="4D800C65" w:rsidR="004967A9" w:rsidRPr="005D5B64" w:rsidRDefault="009C7DE9" w:rsidP="00F66EB2">
      <w:pPr>
        <w:autoSpaceDE w:val="0"/>
        <w:autoSpaceDN w:val="0"/>
        <w:adjustRightInd w:val="0"/>
        <w:contextualSpacing/>
        <w:jc w:val="left"/>
        <w:rPr>
          <w:rFonts w:cs="Tahoma"/>
          <w:color w:val="000000" w:themeColor="text1"/>
        </w:rPr>
      </w:pPr>
      <w:r>
        <w:rPr>
          <w:rFonts w:cs="Tahoma"/>
          <w:color w:val="000000" w:themeColor="text1"/>
        </w:rPr>
        <w:t xml:space="preserve">These are foster care places in which no children are currently placed, but which are </w:t>
      </w:r>
      <w:r w:rsidR="00E725CC">
        <w:rPr>
          <w:rFonts w:cs="Tahoma"/>
          <w:color w:val="000000" w:themeColor="text1"/>
        </w:rPr>
        <w:t>‘</w:t>
      </w:r>
      <w:r>
        <w:rPr>
          <w:rFonts w:cs="Tahoma"/>
          <w:color w:val="000000" w:themeColor="text1"/>
        </w:rPr>
        <w:t>not available</w:t>
      </w:r>
      <w:r w:rsidR="00E725CC">
        <w:rPr>
          <w:rFonts w:cs="Tahoma"/>
          <w:color w:val="000000" w:themeColor="text1"/>
        </w:rPr>
        <w:t>’</w:t>
      </w:r>
      <w:r>
        <w:rPr>
          <w:rFonts w:cs="Tahoma"/>
          <w:color w:val="000000" w:themeColor="text1"/>
        </w:rPr>
        <w:t xml:space="preserve"> for a child to be placed in. Among other reasons, this might be because a household is approved to provide additional places only to siblings and there are no siblings in placement, a former foster child is still living with the family under Staying Put arrangements after turning 18</w:t>
      </w:r>
      <w:r w:rsidR="005A5FDB">
        <w:rPr>
          <w:rFonts w:cs="Tahoma"/>
          <w:color w:val="000000" w:themeColor="text1"/>
        </w:rPr>
        <w:t>,</w:t>
      </w:r>
      <w:r>
        <w:rPr>
          <w:rFonts w:cs="Tahoma"/>
          <w:color w:val="000000" w:themeColor="text1"/>
        </w:rPr>
        <w:t xml:space="preserve"> or any placed children </w:t>
      </w:r>
      <w:r w:rsidR="005A5FDB">
        <w:rPr>
          <w:rFonts w:cs="Tahoma"/>
          <w:color w:val="000000" w:themeColor="text1"/>
        </w:rPr>
        <w:t>have been removed, or placements cannot be made, after an allegation against the carer(s).</w:t>
      </w:r>
    </w:p>
    <w:p w14:paraId="350334EE" w14:textId="77777777" w:rsidR="00F66EB2" w:rsidRDefault="00F66EB2" w:rsidP="00F66EB2">
      <w:pPr>
        <w:autoSpaceDE w:val="0"/>
        <w:autoSpaceDN w:val="0"/>
        <w:adjustRightInd w:val="0"/>
        <w:spacing w:before="240"/>
        <w:contextualSpacing/>
        <w:jc w:val="left"/>
        <w:rPr>
          <w:rFonts w:cs="Tahoma"/>
          <w:b/>
          <w:color w:val="000000" w:themeColor="text1"/>
        </w:rPr>
      </w:pPr>
    </w:p>
    <w:p w14:paraId="6D0B28BF" w14:textId="77777777" w:rsidR="00C91695" w:rsidRPr="0029451E" w:rsidRDefault="00C91695" w:rsidP="00C91695">
      <w:pPr>
        <w:jc w:val="left"/>
        <w:rPr>
          <w:rFonts w:cs="Tahoma"/>
          <w:b/>
          <w:bCs/>
          <w:color w:val="000000"/>
          <w:szCs w:val="22"/>
        </w:rPr>
      </w:pPr>
      <w:r w:rsidRPr="0029451E">
        <w:rPr>
          <w:rFonts w:cs="Tahoma"/>
          <w:b/>
          <w:bCs/>
          <w:color w:val="000000"/>
          <w:szCs w:val="22"/>
        </w:rPr>
        <w:t>Persistent absence from school</w:t>
      </w:r>
    </w:p>
    <w:p w14:paraId="64009775" w14:textId="77777777" w:rsidR="00C91695" w:rsidRPr="005D5B64" w:rsidRDefault="00C91695" w:rsidP="00C91695">
      <w:pPr>
        <w:jc w:val="left"/>
        <w:rPr>
          <w:rFonts w:cs="Tahoma"/>
          <w:bCs/>
          <w:color w:val="000000"/>
          <w:szCs w:val="22"/>
        </w:rPr>
      </w:pPr>
      <w:r w:rsidRPr="005D5B64">
        <w:rPr>
          <w:rFonts w:cs="Tahoma"/>
          <w:bCs/>
          <w:color w:val="000000"/>
          <w:szCs w:val="22"/>
        </w:rPr>
        <w:t xml:space="preserve">'Persistent absence' from school is defined by the Department for Education. Persistent absentees are defined as having an overall absence rate of around 15 per cent or more. As an example, this would equate to 46 or more sessions (23 days) of absence (authorised and unauthorised) during the first five half terms of the academic year. </w:t>
      </w:r>
    </w:p>
    <w:p w14:paraId="3CE6605A" w14:textId="68AAEBE5" w:rsidR="00C91695" w:rsidRPr="005D5B64" w:rsidRDefault="0000522C" w:rsidP="00C91695">
      <w:pPr>
        <w:jc w:val="left"/>
        <w:rPr>
          <w:rFonts w:cs="Tahoma"/>
          <w:bCs/>
          <w:color w:val="000000"/>
          <w:szCs w:val="22"/>
        </w:rPr>
      </w:pPr>
      <w:hyperlink r:id="rId32" w:history="1">
        <w:r w:rsidR="00A623FF" w:rsidRPr="0058433A">
          <w:rPr>
            <w:rStyle w:val="Hyperlink"/>
            <w:rFonts w:cs="Tahoma"/>
            <w:bCs/>
            <w:szCs w:val="22"/>
          </w:rPr>
          <w:t>www.gov.uk/government/publications/absence-statistics-guide</w:t>
        </w:r>
      </w:hyperlink>
      <w:r w:rsidR="00A623FF">
        <w:rPr>
          <w:rFonts w:cs="Tahoma"/>
          <w:bCs/>
          <w:color w:val="000000"/>
          <w:szCs w:val="22"/>
        </w:rPr>
        <w:t xml:space="preserve"> </w:t>
      </w:r>
      <w:r w:rsidR="00C91695" w:rsidRPr="005D5B64">
        <w:rPr>
          <w:rFonts w:cs="Tahoma"/>
          <w:bCs/>
          <w:color w:val="000000"/>
          <w:szCs w:val="22"/>
        </w:rPr>
        <w:t xml:space="preserve"> </w:t>
      </w:r>
    </w:p>
    <w:p w14:paraId="239F7472" w14:textId="77777777" w:rsidR="00C91695" w:rsidRPr="005D5B64" w:rsidRDefault="00C91695" w:rsidP="00F66EB2">
      <w:pPr>
        <w:autoSpaceDE w:val="0"/>
        <w:autoSpaceDN w:val="0"/>
        <w:adjustRightInd w:val="0"/>
        <w:spacing w:before="240"/>
        <w:contextualSpacing/>
        <w:jc w:val="left"/>
        <w:rPr>
          <w:rFonts w:cs="Tahoma"/>
          <w:b/>
          <w:color w:val="000000" w:themeColor="text1"/>
        </w:rPr>
      </w:pPr>
    </w:p>
    <w:p w14:paraId="57126CF2" w14:textId="77777777" w:rsidR="00F66EB2" w:rsidRPr="005D5B64" w:rsidRDefault="00F66EB2" w:rsidP="00F66EB2">
      <w:pPr>
        <w:autoSpaceDE w:val="0"/>
        <w:autoSpaceDN w:val="0"/>
        <w:adjustRightInd w:val="0"/>
        <w:spacing w:before="240"/>
        <w:contextualSpacing/>
        <w:jc w:val="left"/>
        <w:rPr>
          <w:rFonts w:cs="Tahoma"/>
          <w:b/>
          <w:color w:val="000000" w:themeColor="text1"/>
        </w:rPr>
      </w:pPr>
      <w:r w:rsidRPr="005D5B64">
        <w:rPr>
          <w:rFonts w:cs="Tahoma"/>
          <w:b/>
          <w:color w:val="000000" w:themeColor="text1"/>
        </w:rPr>
        <w:t>Physical restraint</w:t>
      </w:r>
    </w:p>
    <w:p w14:paraId="78EA5BA0" w14:textId="77777777" w:rsidR="00F66EB2" w:rsidRPr="005D5B64" w:rsidRDefault="00F66EB2" w:rsidP="00F66EB2">
      <w:pPr>
        <w:autoSpaceDE w:val="0"/>
        <w:autoSpaceDN w:val="0"/>
        <w:adjustRightInd w:val="0"/>
        <w:contextualSpacing/>
        <w:jc w:val="left"/>
        <w:rPr>
          <w:rFonts w:cs="Tahoma"/>
          <w:color w:val="000000" w:themeColor="text1"/>
        </w:rPr>
      </w:pPr>
      <w:r w:rsidRPr="005D5B64">
        <w:rPr>
          <w:rFonts w:cs="Tahoma"/>
          <w:color w:val="000000" w:themeColor="text1"/>
        </w:rPr>
        <w:t>Stopping a foster child/young person from doing something they appear to want to do by physical means including to stop them hurting themselves.</w:t>
      </w:r>
    </w:p>
    <w:p w14:paraId="4D39F543" w14:textId="77777777" w:rsidR="00AE43D9" w:rsidRPr="005D5B64" w:rsidRDefault="00AE43D9" w:rsidP="00F66EB2">
      <w:pPr>
        <w:autoSpaceDE w:val="0"/>
        <w:autoSpaceDN w:val="0"/>
        <w:adjustRightInd w:val="0"/>
        <w:spacing w:before="240"/>
        <w:contextualSpacing/>
        <w:jc w:val="left"/>
        <w:rPr>
          <w:rFonts w:cs="Tahoma"/>
          <w:b/>
          <w:color w:val="000000" w:themeColor="text1"/>
        </w:rPr>
      </w:pPr>
    </w:p>
    <w:p w14:paraId="32C2B751" w14:textId="7DC4A7C9" w:rsidR="00F66EB2" w:rsidRPr="005D5B64" w:rsidRDefault="00F66EB2" w:rsidP="00F66EB2">
      <w:pPr>
        <w:autoSpaceDE w:val="0"/>
        <w:autoSpaceDN w:val="0"/>
        <w:adjustRightInd w:val="0"/>
        <w:spacing w:before="240"/>
        <w:contextualSpacing/>
        <w:jc w:val="left"/>
        <w:rPr>
          <w:rFonts w:cs="Tahoma"/>
          <w:b/>
          <w:color w:val="000000" w:themeColor="text1"/>
        </w:rPr>
      </w:pPr>
      <w:r w:rsidRPr="005D5B64">
        <w:rPr>
          <w:rFonts w:cs="Tahoma"/>
          <w:b/>
          <w:color w:val="000000" w:themeColor="text1"/>
        </w:rPr>
        <w:t xml:space="preserve">Return </w:t>
      </w:r>
      <w:r w:rsidR="006D767B">
        <w:rPr>
          <w:rFonts w:cs="Tahoma"/>
          <w:b/>
          <w:color w:val="000000" w:themeColor="text1"/>
        </w:rPr>
        <w:t>h</w:t>
      </w:r>
      <w:r w:rsidRPr="005D5B64">
        <w:rPr>
          <w:rFonts w:cs="Tahoma"/>
          <w:b/>
          <w:color w:val="000000" w:themeColor="text1"/>
        </w:rPr>
        <w:t xml:space="preserve">ome </w:t>
      </w:r>
      <w:r w:rsidR="006D767B">
        <w:rPr>
          <w:rFonts w:cs="Tahoma"/>
          <w:b/>
          <w:color w:val="000000" w:themeColor="text1"/>
        </w:rPr>
        <w:t>i</w:t>
      </w:r>
      <w:r w:rsidRPr="005D5B64">
        <w:rPr>
          <w:rFonts w:cs="Tahoma"/>
          <w:b/>
          <w:color w:val="000000" w:themeColor="text1"/>
        </w:rPr>
        <w:t>nterview</w:t>
      </w:r>
    </w:p>
    <w:p w14:paraId="0701001E" w14:textId="728E4024" w:rsidR="00F66EB2" w:rsidRPr="005D5B64" w:rsidRDefault="0013525C" w:rsidP="00F66EB2">
      <w:pPr>
        <w:autoSpaceDE w:val="0"/>
        <w:autoSpaceDN w:val="0"/>
        <w:adjustRightInd w:val="0"/>
        <w:spacing w:before="240"/>
        <w:contextualSpacing/>
        <w:jc w:val="left"/>
        <w:rPr>
          <w:rFonts w:cs="Tahoma"/>
          <w:color w:val="000000" w:themeColor="text1"/>
        </w:rPr>
      </w:pPr>
      <w:r w:rsidRPr="005D5B64">
        <w:rPr>
          <w:rFonts w:cs="Tahoma"/>
          <w:color w:val="000000" w:themeColor="text1"/>
        </w:rPr>
        <w:t>An in-depth discussion of their reasons for running away offered to all children who go missing, by an independent person, usually the local authority, to try to prevent further missing episodes.</w:t>
      </w:r>
    </w:p>
    <w:p w14:paraId="193EF4E5" w14:textId="77777777" w:rsidR="00F66EB2" w:rsidRPr="005D5B64" w:rsidRDefault="00F66EB2" w:rsidP="00F66EB2">
      <w:pPr>
        <w:autoSpaceDE w:val="0"/>
        <w:autoSpaceDN w:val="0"/>
        <w:adjustRightInd w:val="0"/>
        <w:contextualSpacing/>
        <w:jc w:val="left"/>
        <w:rPr>
          <w:rFonts w:cs="Tahoma"/>
          <w:color w:val="000000" w:themeColor="text1"/>
        </w:rPr>
      </w:pPr>
    </w:p>
    <w:p w14:paraId="1F45B7CE" w14:textId="696D4E9F" w:rsidR="00F66EB2" w:rsidRPr="005D5B64" w:rsidRDefault="00F66EB2" w:rsidP="00F66EB2">
      <w:pPr>
        <w:autoSpaceDE w:val="0"/>
        <w:autoSpaceDN w:val="0"/>
        <w:adjustRightInd w:val="0"/>
        <w:contextualSpacing/>
        <w:jc w:val="left"/>
        <w:rPr>
          <w:rFonts w:cs="Tahoma"/>
          <w:b/>
          <w:color w:val="000000" w:themeColor="text1"/>
        </w:rPr>
      </w:pPr>
      <w:r w:rsidRPr="005D5B64">
        <w:rPr>
          <w:rFonts w:cs="Tahoma"/>
          <w:b/>
          <w:color w:val="000000" w:themeColor="text1"/>
        </w:rPr>
        <w:t xml:space="preserve">Staying </w:t>
      </w:r>
      <w:r w:rsidR="006D767B">
        <w:rPr>
          <w:rFonts w:cs="Tahoma"/>
          <w:b/>
          <w:color w:val="000000" w:themeColor="text1"/>
        </w:rPr>
        <w:t>p</w:t>
      </w:r>
      <w:r w:rsidRPr="005D5B64">
        <w:rPr>
          <w:rFonts w:cs="Tahoma"/>
          <w:b/>
          <w:color w:val="000000" w:themeColor="text1"/>
        </w:rPr>
        <w:t>ut</w:t>
      </w:r>
    </w:p>
    <w:p w14:paraId="50A91FAB" w14:textId="216E08FF" w:rsidR="00F66EB2" w:rsidRPr="005D5B64" w:rsidRDefault="00F66EB2" w:rsidP="00F66EB2">
      <w:pPr>
        <w:autoSpaceDE w:val="0"/>
        <w:autoSpaceDN w:val="0"/>
        <w:adjustRightInd w:val="0"/>
        <w:contextualSpacing/>
        <w:jc w:val="left"/>
        <w:rPr>
          <w:rFonts w:cs="Tahoma"/>
          <w:color w:val="000000" w:themeColor="text1"/>
        </w:rPr>
      </w:pPr>
      <w:r w:rsidRPr="005D5B64">
        <w:rPr>
          <w:rFonts w:cs="Tahoma"/>
          <w:color w:val="000000" w:themeColor="text1"/>
        </w:rPr>
        <w:t xml:space="preserve">A duty on </w:t>
      </w:r>
      <w:r w:rsidR="00415B33">
        <w:rPr>
          <w:rFonts w:cs="Tahoma"/>
          <w:color w:val="000000" w:themeColor="text1"/>
        </w:rPr>
        <w:t>LA</w:t>
      </w:r>
      <w:r w:rsidRPr="005D5B64">
        <w:rPr>
          <w:rFonts w:cs="Tahoma"/>
          <w:color w:val="000000" w:themeColor="text1"/>
        </w:rPr>
        <w:t>s to facilitate and support fostered young people remaining with their former foster carers, if this is what both parties want.</w:t>
      </w:r>
    </w:p>
    <w:p w14:paraId="0330C80E" w14:textId="77777777" w:rsidR="00F66EB2" w:rsidRPr="005D5B64" w:rsidRDefault="00F66EB2" w:rsidP="00F66EB2">
      <w:pPr>
        <w:autoSpaceDE w:val="0"/>
        <w:autoSpaceDN w:val="0"/>
        <w:adjustRightInd w:val="0"/>
        <w:contextualSpacing/>
        <w:jc w:val="left"/>
        <w:rPr>
          <w:rFonts w:cs="Tahoma"/>
          <w:b/>
          <w:color w:val="000000" w:themeColor="text1"/>
        </w:rPr>
      </w:pPr>
    </w:p>
    <w:p w14:paraId="017767E7" w14:textId="38B9AC87" w:rsidR="00F66EB2" w:rsidRPr="005D5B64" w:rsidRDefault="00F66EB2" w:rsidP="00F66EB2">
      <w:pPr>
        <w:autoSpaceDE w:val="0"/>
        <w:autoSpaceDN w:val="0"/>
        <w:adjustRightInd w:val="0"/>
        <w:spacing w:before="240"/>
        <w:contextualSpacing/>
        <w:jc w:val="left"/>
        <w:rPr>
          <w:rFonts w:cs="Tahoma"/>
          <w:b/>
          <w:color w:val="000000" w:themeColor="text1"/>
        </w:rPr>
      </w:pPr>
      <w:r w:rsidRPr="005D5B64">
        <w:rPr>
          <w:rFonts w:cs="Tahoma"/>
          <w:b/>
          <w:color w:val="000000" w:themeColor="text1"/>
        </w:rPr>
        <w:t>Subject to (</w:t>
      </w:r>
      <w:r w:rsidR="007A21C8" w:rsidRPr="005D5B64">
        <w:rPr>
          <w:rFonts w:cs="Tahoma"/>
          <w:b/>
          <w:color w:val="000000" w:themeColor="text1"/>
        </w:rPr>
        <w:t>child sexual exploitation</w:t>
      </w:r>
      <w:r w:rsidRPr="005D5B64">
        <w:rPr>
          <w:rFonts w:cs="Tahoma"/>
          <w:b/>
          <w:color w:val="000000" w:themeColor="text1"/>
        </w:rPr>
        <w:t>)</w:t>
      </w:r>
    </w:p>
    <w:p w14:paraId="5CD9BFD7" w14:textId="77777777" w:rsidR="00F66EB2" w:rsidRPr="005D5B64" w:rsidRDefault="00F66EB2" w:rsidP="00F66EB2">
      <w:pPr>
        <w:autoSpaceDE w:val="0"/>
        <w:autoSpaceDN w:val="0"/>
        <w:adjustRightInd w:val="0"/>
        <w:spacing w:before="240"/>
        <w:contextualSpacing/>
        <w:jc w:val="left"/>
        <w:rPr>
          <w:rFonts w:cs="Tahoma"/>
          <w:color w:val="000000" w:themeColor="text1"/>
        </w:rPr>
      </w:pPr>
      <w:r w:rsidRPr="005D5B64">
        <w:rPr>
          <w:rFonts w:cs="Tahoma"/>
          <w:color w:val="000000" w:themeColor="text1"/>
        </w:rPr>
        <w:t>This refers to any child considered to have experienced child sexual exploitation. This does not have to have been confirmed by other professionals.</w:t>
      </w:r>
    </w:p>
    <w:p w14:paraId="00775F3E" w14:textId="77777777" w:rsidR="00F66EB2" w:rsidRPr="005D5B64" w:rsidRDefault="00F66EB2" w:rsidP="00F66EB2">
      <w:pPr>
        <w:autoSpaceDE w:val="0"/>
        <w:autoSpaceDN w:val="0"/>
        <w:adjustRightInd w:val="0"/>
        <w:spacing w:before="240"/>
        <w:contextualSpacing/>
        <w:jc w:val="left"/>
        <w:rPr>
          <w:rFonts w:cs="Tahoma"/>
          <w:b/>
          <w:color w:val="000000" w:themeColor="text1"/>
        </w:rPr>
      </w:pPr>
    </w:p>
    <w:p w14:paraId="7E8D8AF6" w14:textId="77777777" w:rsidR="00F66EB2" w:rsidRPr="005D5B64" w:rsidRDefault="00F66EB2" w:rsidP="00F66EB2">
      <w:pPr>
        <w:autoSpaceDE w:val="0"/>
        <w:autoSpaceDN w:val="0"/>
        <w:adjustRightInd w:val="0"/>
        <w:spacing w:before="240"/>
        <w:contextualSpacing/>
        <w:jc w:val="left"/>
        <w:rPr>
          <w:rFonts w:cs="Tahoma"/>
          <w:b/>
          <w:color w:val="000000" w:themeColor="text1"/>
        </w:rPr>
      </w:pPr>
      <w:r w:rsidRPr="005D5B64">
        <w:rPr>
          <w:rFonts w:cs="Tahoma"/>
          <w:b/>
          <w:color w:val="000000" w:themeColor="text1"/>
        </w:rPr>
        <w:t>Unplanned endings</w:t>
      </w:r>
    </w:p>
    <w:p w14:paraId="1718FD7A" w14:textId="77777777" w:rsidR="00F66EB2" w:rsidRPr="005D5B64" w:rsidRDefault="00F66EB2" w:rsidP="00F66EB2">
      <w:pPr>
        <w:jc w:val="left"/>
        <w:rPr>
          <w:rFonts w:cs="Tahoma"/>
          <w:color w:val="000000" w:themeColor="text1"/>
        </w:rPr>
      </w:pPr>
      <w:r w:rsidRPr="005D5B64">
        <w:rPr>
          <w:rFonts w:cs="Tahoma"/>
          <w:color w:val="000000" w:themeColor="text1"/>
        </w:rPr>
        <w:t>This is a placement which ended earlier than the original planned end date; unplanned endings within 24 hours refers to when a child moves within 24 hours of the decision to end the placement early.</w:t>
      </w:r>
    </w:p>
    <w:p w14:paraId="34C0E4F2" w14:textId="77777777" w:rsidR="00F66EB2" w:rsidRPr="005D5B64" w:rsidRDefault="00F66EB2" w:rsidP="00F66EB2">
      <w:pPr>
        <w:jc w:val="left"/>
        <w:rPr>
          <w:rFonts w:cs="Tahoma"/>
          <w:b/>
          <w:color w:val="000000" w:themeColor="text1"/>
        </w:rPr>
      </w:pPr>
    </w:p>
    <w:p w14:paraId="671BF785" w14:textId="77777777" w:rsidR="00F66EB2" w:rsidRPr="005D5B64" w:rsidRDefault="00F66EB2" w:rsidP="00F66EB2">
      <w:pPr>
        <w:autoSpaceDE w:val="0"/>
        <w:autoSpaceDN w:val="0"/>
        <w:adjustRightInd w:val="0"/>
        <w:spacing w:before="240"/>
        <w:contextualSpacing/>
        <w:jc w:val="left"/>
        <w:rPr>
          <w:rFonts w:cs="Tahoma"/>
          <w:b/>
          <w:color w:val="000000" w:themeColor="text1"/>
        </w:rPr>
      </w:pPr>
      <w:r w:rsidRPr="005D5B64">
        <w:rPr>
          <w:rFonts w:cs="Tahoma"/>
          <w:b/>
          <w:color w:val="000000" w:themeColor="text1"/>
        </w:rPr>
        <w:t>Withdrawn</w:t>
      </w:r>
    </w:p>
    <w:p w14:paraId="36F3A0D4" w14:textId="77777777" w:rsidR="00F66EB2" w:rsidRPr="005D5B64" w:rsidRDefault="00F66EB2" w:rsidP="00F66EB2">
      <w:pPr>
        <w:autoSpaceDE w:val="0"/>
        <w:autoSpaceDN w:val="0"/>
        <w:adjustRightInd w:val="0"/>
        <w:jc w:val="left"/>
        <w:rPr>
          <w:color w:val="000000" w:themeColor="text1"/>
        </w:rPr>
      </w:pPr>
      <w:r w:rsidRPr="005D5B64">
        <w:rPr>
          <w:rFonts w:cs="Tahoma"/>
          <w:color w:val="000000" w:themeColor="text1"/>
        </w:rPr>
        <w:t>Applications which are stopped by the applicant or by the service (after a decision prior to panel that the applicant is not suitable).</w:t>
      </w:r>
    </w:p>
    <w:p w14:paraId="5C7D3FFC" w14:textId="77777777" w:rsidR="00F66EB2" w:rsidRPr="005D5B64" w:rsidRDefault="00F66EB2" w:rsidP="00F66EB2">
      <w:pPr>
        <w:jc w:val="left"/>
        <w:rPr>
          <w:rFonts w:cs="Tahoma"/>
          <w:color w:val="000000" w:themeColor="text1"/>
        </w:rPr>
      </w:pPr>
    </w:p>
    <w:p w14:paraId="46C8D23E" w14:textId="77777777" w:rsidR="003E1DDA" w:rsidRPr="005D5B64" w:rsidRDefault="003E1DDA" w:rsidP="00F66EB2">
      <w:pPr>
        <w:jc w:val="left"/>
        <w:rPr>
          <w:rFonts w:cs="Tahoma"/>
          <w:color w:val="000000" w:themeColor="text1"/>
        </w:rPr>
      </w:pPr>
    </w:p>
    <w:p w14:paraId="4C0C9477" w14:textId="77777777" w:rsidR="00F66EB2" w:rsidRPr="005D5B64" w:rsidRDefault="00F66EB2" w:rsidP="00F66EB2">
      <w:pPr>
        <w:jc w:val="left"/>
        <w:rPr>
          <w:rFonts w:cs="Tahoma"/>
          <w:color w:val="000000" w:themeColor="text1"/>
        </w:rPr>
      </w:pPr>
      <w:r w:rsidRPr="005D5B64">
        <w:rPr>
          <w:rFonts w:cs="Tahoma"/>
          <w:color w:val="000000" w:themeColor="text1"/>
        </w:rPr>
        <w:t>© Crown copyright</w:t>
      </w:r>
    </w:p>
    <w:p w14:paraId="1C59D806" w14:textId="0578B27D" w:rsidR="00B974BE" w:rsidRPr="005D5B64" w:rsidRDefault="00F66EB2" w:rsidP="00607865">
      <w:pPr>
        <w:jc w:val="left"/>
        <w:rPr>
          <w:rFonts w:cs="Tahoma"/>
          <w:color w:val="000000" w:themeColor="text1"/>
        </w:rPr>
      </w:pPr>
      <w:r w:rsidRPr="005D5B64">
        <w:rPr>
          <w:rFonts w:cs="Tahoma"/>
          <w:color w:val="000000" w:themeColor="text1"/>
          <w:sz w:val="20"/>
          <w:szCs w:val="20"/>
        </w:rPr>
        <w:t xml:space="preserve">You may re-use this information (not including logos) free of charge in any format or medium, under the terms of the Open Government Licence. To view this licence, visit </w:t>
      </w:r>
      <w:hyperlink r:id="rId33" w:history="1">
        <w:r w:rsidRPr="005D5B64">
          <w:rPr>
            <w:rStyle w:val="Hyperlink"/>
            <w:rFonts w:cs="Tahoma"/>
            <w:color w:val="000000" w:themeColor="text1"/>
            <w:sz w:val="20"/>
            <w:szCs w:val="20"/>
            <w:u w:val="none"/>
          </w:rPr>
          <w:t>www.nationalarchives.gov.uk/doc/open-government-licence/</w:t>
        </w:r>
      </w:hyperlink>
      <w:r w:rsidRPr="005D5B64">
        <w:rPr>
          <w:rFonts w:cs="Tahoma"/>
          <w:color w:val="000000" w:themeColor="text1"/>
          <w:sz w:val="20"/>
          <w:szCs w:val="20"/>
        </w:rPr>
        <w:t xml:space="preserve"> or write to the Information Policy Team, The National Archives, Kew, London, TW9 4DU or e-mail: </w:t>
      </w:r>
      <w:hyperlink r:id="rId34" w:history="1">
        <w:r w:rsidRPr="005D5B64">
          <w:rPr>
            <w:rStyle w:val="Hyperlink"/>
            <w:rFonts w:cs="Tahoma"/>
            <w:color w:val="000000" w:themeColor="text1"/>
            <w:sz w:val="20"/>
            <w:szCs w:val="20"/>
            <w:u w:val="none"/>
          </w:rPr>
          <w:t>psi@nationalarchives.gsi.gov.uk</w:t>
        </w:r>
      </w:hyperlink>
      <w:bookmarkStart w:id="99" w:name="_Methodology"/>
      <w:bookmarkEnd w:id="99"/>
    </w:p>
    <w:sectPr w:rsidR="00B974BE" w:rsidRPr="005D5B64" w:rsidSect="00FF17BC">
      <w:headerReference w:type="even" r:id="rId35"/>
      <w:headerReference w:type="default" r:id="rId36"/>
      <w:footerReference w:type="even" r:id="rId37"/>
      <w:footerReference w:type="default" r:id="rId38"/>
      <w:type w:val="continuous"/>
      <w:pgSz w:w="11906" w:h="16838" w:code="9"/>
      <w:pgMar w:top="356" w:right="1440" w:bottom="1440" w:left="144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485DB" w14:textId="77777777" w:rsidR="00423261" w:rsidRDefault="00423261">
      <w:r>
        <w:separator/>
      </w:r>
    </w:p>
    <w:p w14:paraId="00CFD417" w14:textId="77777777" w:rsidR="00423261" w:rsidRDefault="00423261"/>
    <w:p w14:paraId="40082C4E" w14:textId="77777777" w:rsidR="00423261" w:rsidRDefault="00423261"/>
  </w:endnote>
  <w:endnote w:type="continuationSeparator" w:id="0">
    <w:p w14:paraId="391E57F8" w14:textId="77777777" w:rsidR="00423261" w:rsidRDefault="00423261">
      <w:r>
        <w:continuationSeparator/>
      </w:r>
    </w:p>
    <w:p w14:paraId="5C2197AA" w14:textId="77777777" w:rsidR="00423261" w:rsidRDefault="00423261"/>
    <w:p w14:paraId="0FC4350B" w14:textId="77777777" w:rsidR="00423261" w:rsidRDefault="00423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821D4" w14:textId="77777777" w:rsidR="00423261" w:rsidRDefault="00423261">
    <w:pPr>
      <w:pStyle w:val="Footer"/>
    </w:pPr>
  </w:p>
  <w:p w14:paraId="4CC69F87" w14:textId="77777777" w:rsidR="00423261" w:rsidRDefault="004232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4DF77" w14:textId="155BF34F" w:rsidR="00423261" w:rsidRPr="001460CF" w:rsidRDefault="00423261" w:rsidP="001460CF">
    <w:pPr>
      <w:pStyle w:val="Footer-RHSOdd"/>
      <w:tabs>
        <w:tab w:val="right" w:pos="8460"/>
      </w:tabs>
      <w:rPr>
        <w:b w:val="0"/>
        <w:sz w:val="20"/>
      </w:rPr>
    </w:pPr>
    <w:r w:rsidRPr="001460CF">
      <w:rPr>
        <w:b w:val="0"/>
        <w:sz w:val="20"/>
      </w:rPr>
      <w:t xml:space="preserve">Responsible </w:t>
    </w:r>
    <w:r>
      <w:rPr>
        <w:b w:val="0"/>
        <w:sz w:val="20"/>
      </w:rPr>
      <w:t>s</w:t>
    </w:r>
    <w:r w:rsidRPr="001460CF">
      <w:rPr>
        <w:b w:val="0"/>
        <w:sz w:val="20"/>
      </w:rPr>
      <w:t xml:space="preserve">tatistician: </w:t>
    </w:r>
    <w:r>
      <w:rPr>
        <w:b w:val="0"/>
        <w:sz w:val="20"/>
      </w:rPr>
      <w:t>Adam King</w:t>
    </w:r>
    <w:r w:rsidRPr="001460CF">
      <w:rPr>
        <w:b w:val="0"/>
        <w:sz w:val="20"/>
      </w:rPr>
      <w:t xml:space="preserve">, </w:t>
    </w:r>
    <w:r>
      <w:rPr>
        <w:b w:val="0"/>
        <w:color w:val="0000FF"/>
        <w:sz w:val="20"/>
      </w:rPr>
      <w:t>socialcaredata</w:t>
    </w:r>
    <w:r w:rsidRPr="004D404F">
      <w:rPr>
        <w:b w:val="0"/>
        <w:color w:val="0000FF"/>
        <w:sz w:val="20"/>
      </w:rPr>
      <w:t>@ofsted.gov.uk</w:t>
    </w:r>
  </w:p>
  <w:p w14:paraId="5AEDB8F6" w14:textId="3A3D5105" w:rsidR="00423261" w:rsidRPr="001460CF" w:rsidRDefault="00423261" w:rsidP="001460CF">
    <w:pPr>
      <w:pStyle w:val="Footer-RHSOdd"/>
      <w:tabs>
        <w:tab w:val="right" w:pos="8460"/>
      </w:tabs>
      <w:rPr>
        <w:b w:val="0"/>
        <w:sz w:val="20"/>
      </w:rPr>
    </w:pPr>
    <w:r w:rsidRPr="001460CF">
      <w:rPr>
        <w:b w:val="0"/>
        <w:sz w:val="20"/>
      </w:rPr>
      <w:t xml:space="preserve">Published on: </w:t>
    </w:r>
    <w:r>
      <w:rPr>
        <w:b w:val="0"/>
        <w:sz w:val="20"/>
      </w:rPr>
      <w:t>29 March 2018</w:t>
    </w:r>
    <w:r w:rsidRPr="00396E73">
      <w:rPr>
        <w:b w:val="0"/>
        <w:sz w:val="20"/>
      </w:rPr>
      <w:t xml:space="preserve">. Next publication: </w:t>
    </w:r>
    <w:r w:rsidRPr="00B16531">
      <w:rPr>
        <w:b w:val="0"/>
        <w:sz w:val="20"/>
      </w:rPr>
      <w:t>Autumn 2018</w:t>
    </w:r>
    <w:r w:rsidRPr="00396E73">
      <w:rPr>
        <w:b w:val="0"/>
        <w:sz w:val="20"/>
      </w:rPr>
      <w:t>.</w:t>
    </w:r>
    <w:r>
      <w:rPr>
        <w:b w:val="0"/>
        <w:sz w:val="20"/>
      </w:rPr>
      <w:tab/>
    </w:r>
    <w:r w:rsidRPr="00243CDA">
      <w:rPr>
        <w:b w:val="0"/>
        <w:sz w:val="20"/>
      </w:rPr>
      <w:fldChar w:fldCharType="begin"/>
    </w:r>
    <w:r w:rsidRPr="00243CDA">
      <w:rPr>
        <w:b w:val="0"/>
        <w:sz w:val="20"/>
      </w:rPr>
      <w:instrText xml:space="preserve"> PAGE   \* MERGEFORMAT </w:instrText>
    </w:r>
    <w:r w:rsidRPr="00243CDA">
      <w:rPr>
        <w:b w:val="0"/>
        <w:sz w:val="20"/>
      </w:rPr>
      <w:fldChar w:fldCharType="separate"/>
    </w:r>
    <w:r w:rsidR="0000522C" w:rsidRPr="0000522C">
      <w:rPr>
        <w:b w:val="0"/>
        <w:bCs/>
        <w:noProof/>
        <w:sz w:val="20"/>
      </w:rPr>
      <w:t>1</w:t>
    </w:r>
    <w:r w:rsidRPr="00243CDA">
      <w:rPr>
        <w:b w:val="0"/>
        <w:bCs/>
        <w:noProof/>
        <w:sz w:val="20"/>
      </w:rPr>
      <w:fldChar w:fldCharType="end"/>
    </w:r>
    <w:r w:rsidRPr="00243CDA">
      <w:rPr>
        <w:b w:val="0"/>
        <w:bCs/>
        <w:sz w:val="20"/>
      </w:rPr>
      <w:t xml:space="preserve"> </w:t>
    </w:r>
    <w:r w:rsidRPr="00243CDA">
      <w:rPr>
        <w:b w:val="0"/>
        <w:sz w:val="20"/>
      </w:rPr>
      <w:t>|</w:t>
    </w:r>
    <w:r w:rsidRPr="00243CDA">
      <w:rPr>
        <w:b w:val="0"/>
        <w:bCs/>
        <w:sz w:val="20"/>
      </w:rPr>
      <w:t xml:space="preserve"> </w:t>
    </w:r>
    <w:r w:rsidRPr="00243CDA">
      <w:rPr>
        <w:b w:val="0"/>
        <w:color w:val="808080"/>
        <w:spacing w:val="60"/>
        <w:sz w:val="20"/>
      </w:rPr>
      <w:t>Page</w:t>
    </w:r>
  </w:p>
  <w:p w14:paraId="6CDDA24F" w14:textId="77777777" w:rsidR="00423261" w:rsidRDefault="004232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7CE1A" w14:textId="77777777" w:rsidR="00423261" w:rsidRDefault="00423261">
      <w:r>
        <w:separator/>
      </w:r>
    </w:p>
    <w:p w14:paraId="519A8925" w14:textId="77777777" w:rsidR="00423261" w:rsidRDefault="00423261"/>
    <w:p w14:paraId="308C3825" w14:textId="77777777" w:rsidR="00423261" w:rsidRDefault="00423261"/>
  </w:footnote>
  <w:footnote w:type="continuationSeparator" w:id="0">
    <w:p w14:paraId="13B36D2E" w14:textId="77777777" w:rsidR="00423261" w:rsidRDefault="00423261">
      <w:r>
        <w:continuationSeparator/>
      </w:r>
    </w:p>
    <w:p w14:paraId="65704484" w14:textId="77777777" w:rsidR="00423261" w:rsidRDefault="00423261"/>
    <w:p w14:paraId="1F016EBF" w14:textId="77777777" w:rsidR="00423261" w:rsidRDefault="00423261"/>
  </w:footnote>
  <w:footnote w:id="1">
    <w:p w14:paraId="6C145430" w14:textId="3C14C7FE" w:rsidR="00423261" w:rsidRPr="00597877" w:rsidRDefault="00423261" w:rsidP="005A6679">
      <w:pPr>
        <w:pStyle w:val="FootnoteText"/>
        <w:jc w:val="left"/>
        <w:rPr>
          <w:sz w:val="16"/>
          <w:szCs w:val="16"/>
        </w:rPr>
      </w:pPr>
      <w:r w:rsidRPr="00597877">
        <w:rPr>
          <w:rStyle w:val="FootnoteReference"/>
          <w:sz w:val="16"/>
          <w:szCs w:val="16"/>
        </w:rPr>
        <w:footnoteRef/>
      </w:r>
      <w:r w:rsidRPr="00597877">
        <w:rPr>
          <w:sz w:val="16"/>
          <w:szCs w:val="16"/>
        </w:rPr>
        <w:t xml:space="preserve"> </w:t>
      </w:r>
      <w:r w:rsidRPr="00597877">
        <w:rPr>
          <w:color w:val="000000" w:themeColor="text1"/>
          <w:sz w:val="16"/>
          <w:szCs w:val="16"/>
        </w:rPr>
        <w:t xml:space="preserve">‘Children looked after in England including adoption: 2016 to 2017’, Department for Education (DfE), 2017; </w:t>
      </w:r>
      <w:hyperlink r:id="rId1" w:history="1">
        <w:r w:rsidRPr="00597877">
          <w:rPr>
            <w:rStyle w:val="Hyperlink"/>
            <w:rFonts w:cs="Tahoma"/>
            <w:sz w:val="16"/>
            <w:szCs w:val="16"/>
          </w:rPr>
          <w:t>www.gov.uk/government/statistics/children-looked-after-in-england-including-adoption-2016-to-2017</w:t>
        </w:r>
      </w:hyperlink>
    </w:p>
  </w:footnote>
  <w:footnote w:id="2">
    <w:p w14:paraId="57775FCA" w14:textId="39569A29" w:rsidR="00423261" w:rsidRPr="00AF739D" w:rsidRDefault="00423261" w:rsidP="005D5B64">
      <w:pPr>
        <w:pStyle w:val="FootnoteText"/>
        <w:jc w:val="left"/>
        <w:rPr>
          <w:sz w:val="16"/>
          <w:szCs w:val="16"/>
        </w:rPr>
      </w:pPr>
      <w:r w:rsidRPr="00597877">
        <w:rPr>
          <w:rStyle w:val="FootnoteReference"/>
          <w:sz w:val="16"/>
          <w:szCs w:val="16"/>
        </w:rPr>
        <w:footnoteRef/>
      </w:r>
      <w:r w:rsidRPr="00597877">
        <w:rPr>
          <w:sz w:val="16"/>
          <w:szCs w:val="16"/>
        </w:rPr>
        <w:t xml:space="preserve"> ’ 2011 Census: Population estimates by single year of age and sex for local authorities in the United Kingdom’, ONS, 2017 ; </w:t>
      </w:r>
      <w:hyperlink r:id="rId2" w:history="1">
        <w:r w:rsidRPr="00F6110F">
          <w:rPr>
            <w:rStyle w:val="Hyperlink"/>
            <w:sz w:val="16"/>
            <w:szCs w:val="16"/>
          </w:rPr>
          <w:t>www.ons.gov.uk/peoplepopulationandcommunity/populationandmigration/populationestimates/datasets/2011censuspopulationestimatesbysingleyearofageandsexforlocalauthoritiesintheunitedkingdom</w:t>
        </w:r>
      </w:hyperlink>
      <w:r>
        <w:rPr>
          <w:sz w:val="16"/>
          <w:szCs w:val="16"/>
        </w:rPr>
        <w:t xml:space="preserve"> </w:t>
      </w:r>
    </w:p>
  </w:footnote>
  <w:footnote w:id="3">
    <w:p w14:paraId="5158EAAB" w14:textId="0B0AF5D2" w:rsidR="00423261" w:rsidRPr="00597877" w:rsidRDefault="00423261" w:rsidP="00CC054F">
      <w:pPr>
        <w:pStyle w:val="FootnoteText"/>
        <w:jc w:val="left"/>
        <w:rPr>
          <w:sz w:val="16"/>
          <w:szCs w:val="16"/>
        </w:rPr>
      </w:pPr>
      <w:r w:rsidRPr="00597877">
        <w:rPr>
          <w:rStyle w:val="FootnoteReference"/>
          <w:sz w:val="16"/>
          <w:szCs w:val="16"/>
        </w:rPr>
        <w:footnoteRef/>
      </w:r>
      <w:r w:rsidRPr="00597877">
        <w:rPr>
          <w:sz w:val="16"/>
          <w:szCs w:val="16"/>
        </w:rPr>
        <w:t xml:space="preserve"> The following sections on places, households, recruitment and carers, unless specified otherwise, include analysis of mainstream fostering households and foster carers only. The analysis of family and friends households, and short break households is provided at the end of this chapter.</w:t>
      </w:r>
    </w:p>
  </w:footnote>
  <w:footnote w:id="4">
    <w:p w14:paraId="56F22DDC" w14:textId="77777777" w:rsidR="00423261" w:rsidRPr="00597877" w:rsidRDefault="00423261" w:rsidP="00433DB0">
      <w:pPr>
        <w:jc w:val="left"/>
        <w:rPr>
          <w:sz w:val="16"/>
          <w:szCs w:val="16"/>
        </w:rPr>
      </w:pPr>
      <w:r w:rsidRPr="00597877">
        <w:rPr>
          <w:rStyle w:val="FootnoteReference"/>
          <w:sz w:val="16"/>
          <w:szCs w:val="16"/>
        </w:rPr>
        <w:footnoteRef/>
      </w:r>
      <w:r w:rsidRPr="00597877">
        <w:rPr>
          <w:sz w:val="16"/>
          <w:szCs w:val="16"/>
        </w:rPr>
        <w:t xml:space="preserve"> The 2016-17 fostering dataset collection asked for data on all fostering households registered with the agency during 2016-17 and the number of children placed in each household on 31 March 2017. This analysis includes all household types apart from short breaks only to make it comparable with last year’s figures.</w:t>
      </w:r>
    </w:p>
  </w:footnote>
  <w:footnote w:id="5">
    <w:p w14:paraId="56976CB3" w14:textId="3E9E993D" w:rsidR="00423261" w:rsidRPr="00597877" w:rsidRDefault="00423261" w:rsidP="00FF7CB7">
      <w:pPr>
        <w:pStyle w:val="FootnoteText"/>
        <w:jc w:val="left"/>
        <w:rPr>
          <w:color w:val="000000" w:themeColor="text1"/>
          <w:sz w:val="16"/>
          <w:szCs w:val="16"/>
        </w:rPr>
      </w:pPr>
      <w:r w:rsidRPr="00597877">
        <w:rPr>
          <w:rStyle w:val="FootnoteReference"/>
          <w:color w:val="000000" w:themeColor="text1"/>
          <w:sz w:val="16"/>
          <w:szCs w:val="16"/>
        </w:rPr>
        <w:footnoteRef/>
      </w:r>
      <w:r w:rsidRPr="00597877">
        <w:rPr>
          <w:color w:val="000000" w:themeColor="text1"/>
          <w:sz w:val="16"/>
          <w:szCs w:val="16"/>
        </w:rPr>
        <w:t xml:space="preserve"> Throughout the document where children in care are referred to this is the same group of children that are also referred to as children looked after.</w:t>
      </w:r>
    </w:p>
  </w:footnote>
  <w:footnote w:id="6">
    <w:p w14:paraId="7B4759AE" w14:textId="4A64DED3" w:rsidR="00423261" w:rsidRPr="00597877" w:rsidRDefault="00423261" w:rsidP="00E030C3">
      <w:pPr>
        <w:pStyle w:val="FootnoteText"/>
        <w:jc w:val="left"/>
        <w:rPr>
          <w:sz w:val="16"/>
          <w:szCs w:val="16"/>
        </w:rPr>
      </w:pPr>
      <w:r w:rsidRPr="00597877">
        <w:rPr>
          <w:rStyle w:val="FootnoteReference"/>
          <w:color w:val="000000" w:themeColor="text1"/>
          <w:sz w:val="16"/>
          <w:szCs w:val="16"/>
        </w:rPr>
        <w:footnoteRef/>
      </w:r>
      <w:r w:rsidRPr="00597877">
        <w:rPr>
          <w:color w:val="000000" w:themeColor="text1"/>
          <w:sz w:val="16"/>
          <w:szCs w:val="16"/>
        </w:rPr>
        <w:t xml:space="preserve"> ‘Children looked after in England including adoption: 2016 to 2017’, (DfE), 2017; </w:t>
      </w:r>
      <w:hyperlink r:id="rId3" w:history="1">
        <w:r w:rsidRPr="00597877">
          <w:rPr>
            <w:rStyle w:val="Hyperlink"/>
            <w:sz w:val="16"/>
            <w:szCs w:val="16"/>
          </w:rPr>
          <w:t>www.gov.uk/government/statistics/children-looked-after-in-england-including-adoption-2016-to-2017</w:t>
        </w:r>
      </w:hyperlink>
    </w:p>
  </w:footnote>
  <w:footnote w:id="7">
    <w:p w14:paraId="31651703" w14:textId="7002E4B1" w:rsidR="00423261" w:rsidRPr="00D46942" w:rsidRDefault="00423261" w:rsidP="00FF7CB7">
      <w:pPr>
        <w:pStyle w:val="FootnoteText"/>
        <w:jc w:val="left"/>
      </w:pPr>
      <w:r w:rsidRPr="00597877">
        <w:rPr>
          <w:rStyle w:val="FootnoteReference"/>
          <w:color w:val="000000" w:themeColor="text1"/>
          <w:sz w:val="16"/>
          <w:szCs w:val="16"/>
        </w:rPr>
        <w:footnoteRef/>
      </w:r>
      <w:r w:rsidRPr="00597877">
        <w:rPr>
          <w:color w:val="000000" w:themeColor="text1"/>
          <w:sz w:val="16"/>
          <w:szCs w:val="16"/>
        </w:rPr>
        <w:t xml:space="preserve"> ‘Fostering’, Commons Education Select Committee, (Fostering, Valuing Care, Capacity, paragraphs 93-95), 2017; </w:t>
      </w:r>
      <w:hyperlink r:id="rId4" w:history="1">
        <w:r w:rsidRPr="00597877">
          <w:rPr>
            <w:rStyle w:val="Hyperlink"/>
            <w:sz w:val="16"/>
            <w:szCs w:val="16"/>
          </w:rPr>
          <w:t>www.publications.parliament.uk/pa/cm201719/cmselect/cmeduc/340/34002.htm</w:t>
        </w:r>
      </w:hyperlink>
      <w:r w:rsidRPr="00597877">
        <w:rPr>
          <w:sz w:val="16"/>
          <w:szCs w:val="16"/>
        </w:rPr>
        <w:t>; ‘</w:t>
      </w:r>
      <w:r w:rsidRPr="00597877">
        <w:rPr>
          <w:color w:val="000000" w:themeColor="text1"/>
          <w:sz w:val="16"/>
          <w:szCs w:val="16"/>
        </w:rPr>
        <w:t>National fostering stocktake: call for evidence report’, DfE,</w:t>
      </w:r>
      <w:r w:rsidRPr="00597877">
        <w:rPr>
          <w:i/>
          <w:color w:val="000000" w:themeColor="text1"/>
          <w:sz w:val="16"/>
          <w:szCs w:val="16"/>
        </w:rPr>
        <w:t xml:space="preserve"> </w:t>
      </w:r>
      <w:r w:rsidRPr="00597877">
        <w:rPr>
          <w:color w:val="000000" w:themeColor="text1"/>
          <w:sz w:val="16"/>
          <w:szCs w:val="16"/>
        </w:rPr>
        <w:t xml:space="preserve">page 9, 2017; </w:t>
      </w:r>
      <w:hyperlink r:id="rId5" w:history="1">
        <w:r w:rsidRPr="00597877">
          <w:rPr>
            <w:rStyle w:val="Hyperlink"/>
            <w:sz w:val="16"/>
            <w:szCs w:val="16"/>
          </w:rPr>
          <w:t>www.gov.uk/government/consultations/national-fostering-stocktake-call-for-evidence</w:t>
        </w:r>
      </w:hyperlink>
      <w:r>
        <w:rPr>
          <w:rStyle w:val="Hyperlink"/>
          <w:sz w:val="16"/>
          <w:u w:val="none"/>
        </w:rPr>
        <w:t xml:space="preserve"> </w:t>
      </w:r>
    </w:p>
  </w:footnote>
  <w:footnote w:id="8">
    <w:p w14:paraId="23D63853" w14:textId="77777777" w:rsidR="00423261" w:rsidRPr="00597877" w:rsidRDefault="00423261" w:rsidP="00433DB0">
      <w:pPr>
        <w:pStyle w:val="FootnoteText"/>
        <w:jc w:val="left"/>
        <w:rPr>
          <w:sz w:val="16"/>
          <w:szCs w:val="16"/>
        </w:rPr>
      </w:pPr>
      <w:r w:rsidRPr="00597877">
        <w:rPr>
          <w:rStyle w:val="FootnoteReference"/>
          <w:sz w:val="16"/>
          <w:szCs w:val="16"/>
        </w:rPr>
        <w:footnoteRef/>
      </w:r>
      <w:r w:rsidRPr="00597877">
        <w:rPr>
          <w:sz w:val="16"/>
          <w:szCs w:val="16"/>
        </w:rPr>
        <w:t xml:space="preserve"> Ofsted collected data from fostering agencies at household and child level. The number of filled places reported here at household level (51,935) is slightly different to the number of children in placement reported later in this report at child level (52,005). This is because at the end of the collection Ofsted had to accept submissions from a small number of agencies in which these two figures did not match.</w:t>
      </w:r>
    </w:p>
  </w:footnote>
  <w:footnote w:id="9">
    <w:p w14:paraId="6C3B951A" w14:textId="0C8571A1" w:rsidR="00423261" w:rsidRPr="00597877" w:rsidRDefault="00423261" w:rsidP="000932A3">
      <w:pPr>
        <w:pStyle w:val="FootnoteText"/>
        <w:jc w:val="left"/>
        <w:rPr>
          <w:sz w:val="16"/>
          <w:szCs w:val="16"/>
        </w:rPr>
      </w:pPr>
      <w:r w:rsidRPr="00597877">
        <w:rPr>
          <w:rStyle w:val="FootnoteReference"/>
          <w:color w:val="000000" w:themeColor="text1"/>
          <w:sz w:val="16"/>
          <w:szCs w:val="16"/>
        </w:rPr>
        <w:footnoteRef/>
      </w:r>
      <w:r w:rsidRPr="00597877">
        <w:rPr>
          <w:color w:val="000000" w:themeColor="text1"/>
          <w:sz w:val="16"/>
          <w:szCs w:val="16"/>
        </w:rPr>
        <w:t xml:space="preserve"> The DfE reported 53,420 children in care in foster placements at 31 March 2017. ‘Children looked after in England including adoption: 2016 to 2017’, (DfE), page 8, 2017; </w:t>
      </w:r>
      <w:hyperlink r:id="rId6" w:history="1">
        <w:r w:rsidRPr="00597877">
          <w:rPr>
            <w:rStyle w:val="Hyperlink"/>
            <w:sz w:val="16"/>
            <w:szCs w:val="16"/>
          </w:rPr>
          <w:t>www.gov.uk/government/statistics/children-looked-after-in-england-including-adoption-2016-to-2017</w:t>
        </w:r>
      </w:hyperlink>
      <w:r w:rsidRPr="00597877">
        <w:rPr>
          <w:rStyle w:val="Hyperlink"/>
          <w:sz w:val="16"/>
          <w:szCs w:val="16"/>
          <w:u w:val="none"/>
        </w:rPr>
        <w:t xml:space="preserve">  </w:t>
      </w:r>
    </w:p>
  </w:footnote>
  <w:footnote w:id="10">
    <w:p w14:paraId="44D3F530" w14:textId="77777777" w:rsidR="00423261" w:rsidRPr="00597877" w:rsidRDefault="00423261" w:rsidP="00433DB0">
      <w:pPr>
        <w:pStyle w:val="FootnoteText"/>
        <w:jc w:val="left"/>
        <w:rPr>
          <w:sz w:val="16"/>
          <w:szCs w:val="16"/>
        </w:rPr>
      </w:pPr>
      <w:r w:rsidRPr="00597877">
        <w:rPr>
          <w:rStyle w:val="FootnoteReference"/>
          <w:sz w:val="16"/>
          <w:szCs w:val="16"/>
        </w:rPr>
        <w:footnoteRef/>
      </w:r>
      <w:r w:rsidRPr="00597877">
        <w:rPr>
          <w:sz w:val="16"/>
          <w:szCs w:val="16"/>
        </w:rPr>
        <w:t xml:space="preserve"> A number of households had exemptions in place which allowed them to accommodate more children than they were approved for. As a result, a slightly larger number of places were reported as filled, vacant or </w:t>
      </w:r>
      <w:r w:rsidRPr="00597877">
        <w:rPr>
          <w:color w:val="000000" w:themeColor="text1"/>
          <w:sz w:val="16"/>
          <w:szCs w:val="16"/>
        </w:rPr>
        <w:t xml:space="preserve">unavailable (84,330) than </w:t>
      </w:r>
      <w:r w:rsidRPr="00597877">
        <w:rPr>
          <w:sz w:val="16"/>
          <w:szCs w:val="16"/>
        </w:rPr>
        <w:t xml:space="preserve">the number of approved places (83,930). </w:t>
      </w:r>
    </w:p>
  </w:footnote>
  <w:footnote w:id="11">
    <w:p w14:paraId="12721E43" w14:textId="609C93A1" w:rsidR="00423261" w:rsidRPr="007F2768" w:rsidRDefault="00423261" w:rsidP="00433DB0">
      <w:pPr>
        <w:pStyle w:val="FootnoteText"/>
        <w:jc w:val="left"/>
        <w:rPr>
          <w:sz w:val="16"/>
          <w:szCs w:val="16"/>
        </w:rPr>
      </w:pPr>
      <w:r w:rsidRPr="00597877">
        <w:rPr>
          <w:rStyle w:val="FootnoteReference"/>
          <w:sz w:val="16"/>
          <w:szCs w:val="16"/>
        </w:rPr>
        <w:footnoteRef/>
      </w:r>
      <w:r w:rsidRPr="00597877">
        <w:rPr>
          <w:sz w:val="16"/>
          <w:szCs w:val="16"/>
        </w:rPr>
        <w:t xml:space="preserve"> ‘Not available’ places included those occupied by care leavers under “Staying Put” arrangements and those only available for siblings. Places were also unavailable for reasons relating to foster carers (for example, on hold due to personal and medical reasons) or the needs of children already in placement, for example, a requirement for solo placements.</w:t>
      </w:r>
    </w:p>
  </w:footnote>
  <w:footnote w:id="12">
    <w:p w14:paraId="3EFFB26D" w14:textId="5897DB62" w:rsidR="00423261" w:rsidRPr="00597877" w:rsidRDefault="00423261" w:rsidP="00433DB0">
      <w:pPr>
        <w:pStyle w:val="FootnoteText"/>
        <w:jc w:val="left"/>
        <w:rPr>
          <w:sz w:val="16"/>
          <w:szCs w:val="16"/>
        </w:rPr>
      </w:pPr>
      <w:r w:rsidRPr="00597877">
        <w:rPr>
          <w:rStyle w:val="FootnoteReference"/>
          <w:color w:val="000000" w:themeColor="text1"/>
          <w:sz w:val="16"/>
          <w:szCs w:val="16"/>
        </w:rPr>
        <w:footnoteRef/>
      </w:r>
      <w:r w:rsidRPr="00597877">
        <w:rPr>
          <w:color w:val="000000" w:themeColor="text1"/>
          <w:sz w:val="16"/>
          <w:szCs w:val="16"/>
        </w:rPr>
        <w:t xml:space="preserve"> ‘Fostering’, Commons Education Select Committee, (Fostering, Valuing Young People, Staying Put, paragraph 44), 2017; </w:t>
      </w:r>
      <w:hyperlink r:id="rId7" w:history="1">
        <w:r w:rsidRPr="00597877">
          <w:rPr>
            <w:rStyle w:val="Hyperlink"/>
            <w:sz w:val="16"/>
            <w:szCs w:val="16"/>
            <w:u w:val="none"/>
          </w:rPr>
          <w:t>www.publications.parliament.uk/pa/cm201719/cmselect/cmeduc/340/34002.htm</w:t>
        </w:r>
      </w:hyperlink>
      <w:r>
        <w:rPr>
          <w:rStyle w:val="Hyperlink"/>
          <w:sz w:val="16"/>
          <w:szCs w:val="16"/>
          <w:u w:val="none"/>
        </w:rPr>
        <w:t xml:space="preserve"> </w:t>
      </w:r>
      <w:r w:rsidRPr="00597877">
        <w:rPr>
          <w:rStyle w:val="Hyperlink"/>
          <w:sz w:val="16"/>
          <w:szCs w:val="16"/>
          <w:u w:val="none"/>
        </w:rPr>
        <w:t xml:space="preserve"> </w:t>
      </w:r>
    </w:p>
  </w:footnote>
  <w:footnote w:id="13">
    <w:p w14:paraId="497310FF" w14:textId="54B0174D" w:rsidR="00423261" w:rsidRDefault="00423261">
      <w:pPr>
        <w:pStyle w:val="FootnoteText"/>
      </w:pPr>
      <w:r w:rsidRPr="00597877">
        <w:rPr>
          <w:rStyle w:val="FootnoteReference"/>
          <w:sz w:val="16"/>
          <w:szCs w:val="16"/>
        </w:rPr>
        <w:footnoteRef/>
      </w:r>
      <w:r w:rsidRPr="00597877">
        <w:rPr>
          <w:sz w:val="16"/>
          <w:szCs w:val="16"/>
        </w:rPr>
        <w:t xml:space="preserve"> When the term ‘mainstream’ is used, it refers to all foster carers or fostering households that are not either family and friends, or short break foster carers/households.</w:t>
      </w:r>
    </w:p>
  </w:footnote>
  <w:footnote w:id="14">
    <w:p w14:paraId="32EBC17C" w14:textId="3DAC9C91" w:rsidR="00423261" w:rsidRPr="00A73A39" w:rsidRDefault="00423261">
      <w:pPr>
        <w:pStyle w:val="FootnoteText"/>
        <w:rPr>
          <w:sz w:val="16"/>
          <w:szCs w:val="16"/>
        </w:rPr>
      </w:pPr>
      <w:r w:rsidRPr="00A73A39">
        <w:rPr>
          <w:rStyle w:val="FootnoteReference"/>
          <w:sz w:val="16"/>
          <w:szCs w:val="16"/>
        </w:rPr>
        <w:footnoteRef/>
      </w:r>
      <w:r w:rsidRPr="00A73A39">
        <w:rPr>
          <w:sz w:val="16"/>
          <w:szCs w:val="16"/>
        </w:rPr>
        <w:t xml:space="preserve"> </w:t>
      </w:r>
      <w:r>
        <w:rPr>
          <w:sz w:val="16"/>
          <w:szCs w:val="16"/>
        </w:rPr>
        <w:t>These are households and carers who offer only short break care to children.</w:t>
      </w:r>
    </w:p>
  </w:footnote>
  <w:footnote w:id="15">
    <w:p w14:paraId="7513C2C9" w14:textId="680A16F2" w:rsidR="00423261" w:rsidRDefault="00423261" w:rsidP="00F502DF">
      <w:pPr>
        <w:pStyle w:val="FootnoteText"/>
        <w:jc w:val="left"/>
      </w:pPr>
      <w:r w:rsidRPr="00ED0DCB">
        <w:rPr>
          <w:rStyle w:val="FootnoteReference"/>
          <w:sz w:val="16"/>
          <w:szCs w:val="16"/>
        </w:rPr>
        <w:footnoteRef/>
      </w:r>
      <w:r>
        <w:t xml:space="preserve"> </w:t>
      </w:r>
      <w:r>
        <w:rPr>
          <w:sz w:val="16"/>
        </w:rPr>
        <w:t xml:space="preserve">Between 2013 and 2016, Ofsted collected data separately on family and friends households and </w:t>
      </w:r>
      <w:r>
        <w:rPr>
          <w:sz w:val="16"/>
          <w:szCs w:val="16"/>
        </w:rPr>
        <w:t xml:space="preserve">“connected person” households (those temporarily </w:t>
      </w:r>
      <w:r w:rsidRPr="00ED0DCB">
        <w:rPr>
          <w:sz w:val="16"/>
          <w:szCs w:val="16"/>
        </w:rPr>
        <w:t xml:space="preserve">approved to provide foster care for </w:t>
      </w:r>
      <w:r w:rsidRPr="00ED0DCB">
        <w:rPr>
          <w:rFonts w:cs="Tahoma"/>
          <w:sz w:val="16"/>
          <w:szCs w:val="16"/>
        </w:rPr>
        <w:t>particular child</w:t>
      </w:r>
      <w:r>
        <w:rPr>
          <w:rFonts w:cs="Tahoma"/>
          <w:sz w:val="16"/>
          <w:szCs w:val="16"/>
        </w:rPr>
        <w:t xml:space="preserve">ren that </w:t>
      </w:r>
      <w:r w:rsidRPr="00A135DF">
        <w:rPr>
          <w:rFonts w:cs="Tahoma"/>
          <w:sz w:val="16"/>
          <w:szCs w:val="16"/>
        </w:rPr>
        <w:t xml:space="preserve">they know for a very short time). In 2016-17, however, these two household types were recorded together as family and friends. </w:t>
      </w:r>
      <w:r w:rsidRPr="00A135DF">
        <w:rPr>
          <w:rFonts w:cs="Tahoma"/>
          <w:color w:val="000000" w:themeColor="text1"/>
          <w:sz w:val="16"/>
          <w:szCs w:val="16"/>
        </w:rPr>
        <w:t>For the purpose of comparison, historical numbers of family and friends households combines the two groups.</w:t>
      </w:r>
    </w:p>
  </w:footnote>
  <w:footnote w:id="16">
    <w:p w14:paraId="0C0C059D" w14:textId="31186376" w:rsidR="00423261" w:rsidRPr="004865F8" w:rsidRDefault="00423261" w:rsidP="008B1A70">
      <w:pPr>
        <w:pStyle w:val="FootnoteText"/>
        <w:rPr>
          <w:sz w:val="16"/>
          <w:szCs w:val="16"/>
        </w:rPr>
      </w:pPr>
      <w:r w:rsidRPr="004865F8">
        <w:rPr>
          <w:rStyle w:val="FootnoteReference"/>
          <w:sz w:val="16"/>
          <w:szCs w:val="16"/>
        </w:rPr>
        <w:footnoteRef/>
      </w:r>
      <w:r w:rsidRPr="004865F8">
        <w:rPr>
          <w:sz w:val="16"/>
          <w:szCs w:val="16"/>
        </w:rPr>
        <w:t xml:space="preserve"> For </w:t>
      </w:r>
      <w:r>
        <w:rPr>
          <w:sz w:val="16"/>
          <w:szCs w:val="16"/>
        </w:rPr>
        <w:t>seven</w:t>
      </w:r>
      <w:r w:rsidRPr="004865F8">
        <w:rPr>
          <w:sz w:val="16"/>
          <w:szCs w:val="16"/>
        </w:rPr>
        <w:t xml:space="preserve"> </w:t>
      </w:r>
      <w:r>
        <w:rPr>
          <w:sz w:val="16"/>
          <w:szCs w:val="16"/>
        </w:rPr>
        <w:t xml:space="preserve">out </w:t>
      </w:r>
      <w:r w:rsidRPr="004C1D30">
        <w:rPr>
          <w:color w:val="000000" w:themeColor="text1"/>
          <w:sz w:val="16"/>
          <w:szCs w:val="16"/>
        </w:rPr>
        <w:t xml:space="preserve">of 4,375 mainstream </w:t>
      </w:r>
      <w:r w:rsidRPr="004865F8">
        <w:rPr>
          <w:sz w:val="16"/>
          <w:szCs w:val="16"/>
        </w:rPr>
        <w:t>households approve</w:t>
      </w:r>
      <w:r>
        <w:rPr>
          <w:sz w:val="16"/>
          <w:szCs w:val="16"/>
        </w:rPr>
        <w:t>d</w:t>
      </w:r>
      <w:r w:rsidRPr="004865F8">
        <w:rPr>
          <w:sz w:val="16"/>
          <w:szCs w:val="16"/>
        </w:rPr>
        <w:t xml:space="preserve"> in 201</w:t>
      </w:r>
      <w:r>
        <w:rPr>
          <w:sz w:val="16"/>
          <w:szCs w:val="16"/>
        </w:rPr>
        <w:t>6</w:t>
      </w:r>
      <w:r w:rsidRPr="004865F8">
        <w:rPr>
          <w:sz w:val="16"/>
          <w:szCs w:val="16"/>
        </w:rPr>
        <w:t>-1</w:t>
      </w:r>
      <w:r>
        <w:rPr>
          <w:sz w:val="16"/>
          <w:szCs w:val="16"/>
        </w:rPr>
        <w:t>7,</w:t>
      </w:r>
      <w:r w:rsidRPr="004865F8">
        <w:rPr>
          <w:sz w:val="16"/>
          <w:szCs w:val="16"/>
        </w:rPr>
        <w:t xml:space="preserve"> agencies did not provide the </w:t>
      </w:r>
      <w:r>
        <w:rPr>
          <w:sz w:val="16"/>
          <w:szCs w:val="16"/>
        </w:rPr>
        <w:t xml:space="preserve">data on </w:t>
      </w:r>
      <w:r w:rsidRPr="004865F8">
        <w:rPr>
          <w:sz w:val="16"/>
          <w:szCs w:val="16"/>
        </w:rPr>
        <w:t>maximum number of children the fostering households were approved to care for.</w:t>
      </w:r>
    </w:p>
  </w:footnote>
  <w:footnote w:id="17">
    <w:p w14:paraId="07398EC2" w14:textId="07EF99B9" w:rsidR="00423261" w:rsidRPr="00597877" w:rsidRDefault="00423261" w:rsidP="00777CED">
      <w:pPr>
        <w:pStyle w:val="FootnoteText"/>
        <w:jc w:val="left"/>
        <w:rPr>
          <w:sz w:val="16"/>
          <w:szCs w:val="16"/>
        </w:rPr>
      </w:pPr>
      <w:r w:rsidRPr="00597877">
        <w:rPr>
          <w:rStyle w:val="FootnoteReference"/>
          <w:color w:val="000000" w:themeColor="text1"/>
          <w:sz w:val="16"/>
          <w:szCs w:val="16"/>
        </w:rPr>
        <w:footnoteRef/>
      </w:r>
      <w:r w:rsidRPr="00597877">
        <w:rPr>
          <w:color w:val="000000" w:themeColor="text1"/>
          <w:sz w:val="16"/>
          <w:szCs w:val="16"/>
        </w:rPr>
        <w:t xml:space="preserve"> </w:t>
      </w:r>
      <w:r w:rsidRPr="00597877">
        <w:rPr>
          <w:color w:val="000000" w:themeColor="text1"/>
          <w:sz w:val="16"/>
          <w:szCs w:val="16"/>
          <w:lang w:eastAsia="en-US"/>
        </w:rPr>
        <w:t>Seventy one agencies, the majority of which (53) were IFAs, did not submit any data on prospective households. Sixty six of these (including all but one of the LAs) had approved at least one mainstream household in 2016</w:t>
      </w:r>
      <w:r w:rsidRPr="00597877">
        <w:rPr>
          <w:sz w:val="16"/>
          <w:szCs w:val="16"/>
        </w:rPr>
        <w:t>–</w:t>
      </w:r>
      <w:r w:rsidRPr="00597877">
        <w:rPr>
          <w:color w:val="000000" w:themeColor="text1"/>
          <w:sz w:val="16"/>
          <w:szCs w:val="16"/>
          <w:lang w:eastAsia="en-US"/>
        </w:rPr>
        <w:t>17. Furthermore, in-year mainstream approvals accounted for at least 20% of all approved mainstream households in 31 of these agencies. This suggests that they were actively recruiting during the year.</w:t>
      </w:r>
    </w:p>
  </w:footnote>
  <w:footnote w:id="18">
    <w:p w14:paraId="74367476" w14:textId="0DE9091B" w:rsidR="00423261" w:rsidRPr="00597877" w:rsidRDefault="00423261" w:rsidP="00777CED">
      <w:pPr>
        <w:pStyle w:val="FootnoteText"/>
        <w:jc w:val="left"/>
        <w:rPr>
          <w:color w:val="000000" w:themeColor="text1"/>
          <w:sz w:val="16"/>
          <w:szCs w:val="16"/>
        </w:rPr>
      </w:pPr>
      <w:r w:rsidRPr="00597877">
        <w:rPr>
          <w:rStyle w:val="FootnoteReference"/>
          <w:color w:val="000000" w:themeColor="text1"/>
          <w:sz w:val="16"/>
          <w:szCs w:val="16"/>
        </w:rPr>
        <w:footnoteRef/>
      </w:r>
      <w:r w:rsidRPr="00597877">
        <w:rPr>
          <w:color w:val="000000" w:themeColor="text1"/>
          <w:sz w:val="16"/>
          <w:szCs w:val="16"/>
        </w:rPr>
        <w:t xml:space="preserve"> Although there was a net gain of 1,045 households, of any type, in 2016</w:t>
      </w:r>
      <w:r w:rsidRPr="00597877">
        <w:rPr>
          <w:sz w:val="16"/>
          <w:szCs w:val="16"/>
        </w:rPr>
        <w:t>–</w:t>
      </w:r>
      <w:r w:rsidRPr="00597877">
        <w:rPr>
          <w:color w:val="000000" w:themeColor="text1"/>
          <w:sz w:val="16"/>
          <w:szCs w:val="16"/>
        </w:rPr>
        <w:t>17, according to the data collected on approvals and de-registrations in year, there were 610 fewer fostering households reported at 31 March 2017 than at the same time last year. The reason for this difference can be accounted for by the change in the cohort of the agencies completing the survey this year: a number of agencies de-registered during the year therefore they did not complete the data collection; the other reasons are changes in the household types (for example mainstream households becoming short breaks only) as well as inconsistencies in data recording.</w:t>
      </w:r>
    </w:p>
  </w:footnote>
  <w:footnote w:id="19">
    <w:p w14:paraId="31C8F1A6" w14:textId="340F8438" w:rsidR="00423261" w:rsidRPr="00FB2109" w:rsidRDefault="00423261" w:rsidP="003C3A1A">
      <w:pPr>
        <w:pStyle w:val="FootnoteText"/>
        <w:jc w:val="left"/>
        <w:rPr>
          <w:color w:val="000000" w:themeColor="text1"/>
        </w:rPr>
      </w:pPr>
      <w:r w:rsidRPr="00FB2109">
        <w:rPr>
          <w:rStyle w:val="FootnoteReference"/>
          <w:color w:val="000000" w:themeColor="text1"/>
          <w:sz w:val="16"/>
        </w:rPr>
        <w:footnoteRef/>
      </w:r>
      <w:r w:rsidRPr="00FB2109">
        <w:rPr>
          <w:color w:val="000000" w:themeColor="text1"/>
          <w:sz w:val="16"/>
        </w:rPr>
        <w:t xml:space="preserve"> </w:t>
      </w:r>
      <w:r w:rsidRPr="00FB2109">
        <w:rPr>
          <w:color w:val="000000" w:themeColor="text1"/>
          <w:sz w:val="16"/>
          <w:szCs w:val="16"/>
        </w:rPr>
        <w:t>This analysis only looks at mainstream fostering households; family and friends, and short break households were excluded as these are single choice placements.</w:t>
      </w:r>
    </w:p>
  </w:footnote>
  <w:footnote w:id="20">
    <w:p w14:paraId="4BBDFAD1" w14:textId="77777777" w:rsidR="00423261" w:rsidRPr="002B3A62" w:rsidRDefault="00423261" w:rsidP="00AE422A">
      <w:pPr>
        <w:pStyle w:val="FootnoteText"/>
        <w:jc w:val="left"/>
        <w:rPr>
          <w:sz w:val="16"/>
          <w:szCs w:val="16"/>
        </w:rPr>
      </w:pPr>
      <w:r w:rsidRPr="00FB2109">
        <w:rPr>
          <w:rStyle w:val="FootnoteReference"/>
          <w:color w:val="000000" w:themeColor="text1"/>
          <w:sz w:val="16"/>
          <w:szCs w:val="16"/>
        </w:rPr>
        <w:footnoteRef/>
      </w:r>
      <w:r w:rsidRPr="00FB2109">
        <w:rPr>
          <w:color w:val="000000" w:themeColor="text1"/>
          <w:sz w:val="16"/>
          <w:szCs w:val="16"/>
        </w:rPr>
        <w:t xml:space="preserve"> The numbers of households offering long term placements and those offering permanent placements were combined together as those two types of placements are very </w:t>
      </w:r>
      <w:r>
        <w:rPr>
          <w:sz w:val="16"/>
          <w:szCs w:val="16"/>
        </w:rPr>
        <w:t xml:space="preserve">similar on a practical level. However, it should be noted that slightly more IFA households indicated long term fostering as a primary offer, than LA households. </w:t>
      </w:r>
    </w:p>
  </w:footnote>
  <w:footnote w:id="21">
    <w:p w14:paraId="1CA3901D" w14:textId="77777777" w:rsidR="00423261" w:rsidRPr="00062006" w:rsidRDefault="00423261" w:rsidP="00423261">
      <w:pPr>
        <w:pStyle w:val="FootnoteText"/>
        <w:jc w:val="left"/>
        <w:rPr>
          <w:color w:val="000000" w:themeColor="text1"/>
        </w:rPr>
      </w:pPr>
      <w:r w:rsidRPr="00062006">
        <w:rPr>
          <w:rStyle w:val="FootnoteReference"/>
          <w:color w:val="000000" w:themeColor="text1"/>
          <w:sz w:val="16"/>
        </w:rPr>
        <w:footnoteRef/>
      </w:r>
      <w:r w:rsidRPr="00062006">
        <w:rPr>
          <w:color w:val="000000" w:themeColor="text1"/>
          <w:sz w:val="16"/>
        </w:rPr>
        <w:t xml:space="preserve"> Between 2013 and 2016, Ofsted collected data on </w:t>
      </w:r>
      <w:r w:rsidRPr="00062006">
        <w:rPr>
          <w:color w:val="000000" w:themeColor="text1"/>
          <w:sz w:val="16"/>
          <w:szCs w:val="16"/>
        </w:rPr>
        <w:t xml:space="preserve">“connected person” households (those temporarily approved to provide foster care for </w:t>
      </w:r>
      <w:r w:rsidRPr="00062006">
        <w:rPr>
          <w:rFonts w:cs="Tahoma"/>
          <w:color w:val="000000" w:themeColor="text1"/>
          <w:sz w:val="16"/>
          <w:szCs w:val="16"/>
        </w:rPr>
        <w:t>particular children that they know for a very short time) as distinct from</w:t>
      </w:r>
      <w:r w:rsidRPr="00062006">
        <w:rPr>
          <w:color w:val="000000" w:themeColor="text1"/>
          <w:sz w:val="16"/>
        </w:rPr>
        <w:t xml:space="preserve"> family and friends households</w:t>
      </w:r>
      <w:r w:rsidRPr="00062006">
        <w:rPr>
          <w:rFonts w:cs="Tahoma"/>
          <w:color w:val="000000" w:themeColor="text1"/>
          <w:sz w:val="16"/>
          <w:szCs w:val="16"/>
        </w:rPr>
        <w:t>. In 2016-17, however, these two household types were recorded together as family and friends. For the purpose of comparison, historical numbers of family and friends households combines the two groups.</w:t>
      </w:r>
    </w:p>
  </w:footnote>
  <w:footnote w:id="22">
    <w:p w14:paraId="4255B504" w14:textId="1F43CE48" w:rsidR="00423261" w:rsidRPr="00062006" w:rsidRDefault="00423261">
      <w:pPr>
        <w:pStyle w:val="FootnoteText"/>
        <w:rPr>
          <w:color w:val="000000" w:themeColor="text1"/>
        </w:rPr>
      </w:pPr>
      <w:r w:rsidRPr="00062006">
        <w:rPr>
          <w:rStyle w:val="FootnoteReference"/>
          <w:color w:val="000000" w:themeColor="text1"/>
          <w:sz w:val="16"/>
        </w:rPr>
        <w:footnoteRef/>
      </w:r>
      <w:r w:rsidRPr="00062006">
        <w:rPr>
          <w:color w:val="000000" w:themeColor="text1"/>
          <w:sz w:val="16"/>
        </w:rPr>
        <w:t xml:space="preserve"> The ethnicity of 8% of family and friends foster carers approved as at 31 March 2017 was recorded as ‘unknown’.</w:t>
      </w:r>
    </w:p>
  </w:footnote>
  <w:footnote w:id="23">
    <w:p w14:paraId="626B0931" w14:textId="3C380270" w:rsidR="00423261" w:rsidRPr="00062006" w:rsidRDefault="00423261">
      <w:pPr>
        <w:pStyle w:val="FootnoteText"/>
        <w:rPr>
          <w:color w:val="000000" w:themeColor="text1"/>
        </w:rPr>
      </w:pPr>
      <w:r w:rsidRPr="00062006">
        <w:rPr>
          <w:rStyle w:val="FootnoteReference"/>
          <w:color w:val="000000" w:themeColor="text1"/>
          <w:sz w:val="16"/>
        </w:rPr>
        <w:footnoteRef/>
      </w:r>
      <w:r w:rsidRPr="00062006">
        <w:rPr>
          <w:color w:val="000000" w:themeColor="text1"/>
          <w:sz w:val="16"/>
        </w:rPr>
        <w:t xml:space="preserve"> The ethnicity of 1% of short breaks foster carers approved as at 31 March 2017 was recorded as ‘unknown’.</w:t>
      </w:r>
    </w:p>
  </w:footnote>
  <w:footnote w:id="24">
    <w:p w14:paraId="7B7132BE" w14:textId="60FB74B4" w:rsidR="00423261" w:rsidRPr="00597877" w:rsidRDefault="00423261" w:rsidP="001C28C0">
      <w:pPr>
        <w:pStyle w:val="FootnoteText"/>
        <w:jc w:val="left"/>
        <w:rPr>
          <w:sz w:val="16"/>
          <w:szCs w:val="16"/>
        </w:rPr>
      </w:pPr>
      <w:r w:rsidRPr="00597877">
        <w:rPr>
          <w:rStyle w:val="FootnoteReference"/>
          <w:sz w:val="16"/>
          <w:szCs w:val="16"/>
        </w:rPr>
        <w:footnoteRef/>
      </w:r>
      <w:r w:rsidRPr="00597877">
        <w:rPr>
          <w:sz w:val="16"/>
          <w:szCs w:val="16"/>
        </w:rPr>
        <w:t xml:space="preserve"> Office for National Statistics (ONS) 2011 census, </w:t>
      </w:r>
      <w:hyperlink r:id="rId8" w:history="1">
        <w:r w:rsidRPr="00597877">
          <w:rPr>
            <w:rStyle w:val="Hyperlink"/>
            <w:sz w:val="16"/>
            <w:szCs w:val="16"/>
            <w:u w:val="none"/>
          </w:rPr>
          <w:t>www.nomisweb.co.uk/census/2011/DC2101EW/view/2092957699?rows=c_age&amp;cols=c_ethpuk11</w:t>
        </w:r>
      </w:hyperlink>
      <w:r w:rsidRPr="00597877">
        <w:rPr>
          <w:sz w:val="16"/>
          <w:szCs w:val="16"/>
        </w:rPr>
        <w:t xml:space="preserve"> </w:t>
      </w:r>
    </w:p>
  </w:footnote>
  <w:footnote w:id="25">
    <w:p w14:paraId="722AF52C" w14:textId="46D85904" w:rsidR="00423261" w:rsidRPr="00597877" w:rsidRDefault="00423261" w:rsidP="00952BCE">
      <w:pPr>
        <w:pStyle w:val="FootnoteText"/>
        <w:jc w:val="left"/>
        <w:rPr>
          <w:color w:val="000000" w:themeColor="text1"/>
          <w:sz w:val="16"/>
          <w:szCs w:val="16"/>
        </w:rPr>
      </w:pPr>
      <w:r w:rsidRPr="00597877">
        <w:rPr>
          <w:rStyle w:val="FootnoteReference"/>
          <w:color w:val="000000" w:themeColor="text1"/>
          <w:sz w:val="16"/>
          <w:szCs w:val="16"/>
        </w:rPr>
        <w:footnoteRef/>
      </w:r>
      <w:r w:rsidRPr="00597877">
        <w:rPr>
          <w:color w:val="000000" w:themeColor="text1"/>
          <w:sz w:val="16"/>
          <w:szCs w:val="16"/>
        </w:rPr>
        <w:t xml:space="preserve"> One percent of all mainstream foster carers approved at 31 March 2017 had an ethnicity of ‘unknown’ recorded. As such, the percentages relating to ethnic groups do not always add up to 100%.</w:t>
      </w:r>
    </w:p>
  </w:footnote>
  <w:footnote w:id="26">
    <w:p w14:paraId="21F3DB1D" w14:textId="04921AA6" w:rsidR="00423261" w:rsidRPr="00597877" w:rsidRDefault="00423261" w:rsidP="00A4754C">
      <w:pPr>
        <w:pStyle w:val="FootnoteText"/>
        <w:jc w:val="left"/>
        <w:rPr>
          <w:sz w:val="16"/>
          <w:szCs w:val="16"/>
        </w:rPr>
      </w:pPr>
      <w:r w:rsidRPr="00597877">
        <w:rPr>
          <w:rStyle w:val="FootnoteReference"/>
          <w:sz w:val="16"/>
          <w:szCs w:val="16"/>
        </w:rPr>
        <w:footnoteRef/>
      </w:r>
      <w:r w:rsidRPr="00597877">
        <w:rPr>
          <w:sz w:val="16"/>
          <w:szCs w:val="16"/>
        </w:rPr>
        <w:t xml:space="preserve"> Blackpool, North East Lincolnshire, Redcar and Cleveland, Shropshire and St Helens. In addition, Knowsley reported 13% of carers with ethnicity marked as ‘unknown’. However, it should be noted that the proportion of minority ethnic residents in the adult (aged 25 and older) population in those LAs does not exceed 5%.</w:t>
      </w:r>
    </w:p>
  </w:footnote>
  <w:footnote w:id="27">
    <w:p w14:paraId="73FC70C8" w14:textId="18C38223" w:rsidR="00423261" w:rsidRDefault="00423261" w:rsidP="005E0DDB">
      <w:pPr>
        <w:pStyle w:val="FootnoteText"/>
        <w:jc w:val="left"/>
      </w:pPr>
      <w:r w:rsidRPr="00597877">
        <w:rPr>
          <w:rStyle w:val="FootnoteReference"/>
          <w:color w:val="000000" w:themeColor="text1"/>
          <w:sz w:val="16"/>
          <w:szCs w:val="16"/>
        </w:rPr>
        <w:footnoteRef/>
      </w:r>
      <w:r w:rsidRPr="00597877">
        <w:rPr>
          <w:color w:val="000000" w:themeColor="text1"/>
          <w:sz w:val="16"/>
          <w:szCs w:val="16"/>
        </w:rPr>
        <w:t xml:space="preserve"> It may sometimes be suitable or desirable to match placements along ethnic, religious or cultural lines.</w:t>
      </w:r>
      <w:r w:rsidRPr="00597877">
        <w:rPr>
          <w:b/>
          <w:color w:val="000000" w:themeColor="text1"/>
          <w:sz w:val="16"/>
          <w:szCs w:val="16"/>
        </w:rPr>
        <w:t xml:space="preserve"> </w:t>
      </w:r>
      <w:r w:rsidRPr="00597877">
        <w:rPr>
          <w:color w:val="000000" w:themeColor="text1"/>
          <w:sz w:val="16"/>
          <w:szCs w:val="16"/>
        </w:rPr>
        <w:t xml:space="preserve">‘Fostering’, Commons </w:t>
      </w:r>
      <w:r w:rsidRPr="00597877">
        <w:rPr>
          <w:sz w:val="16"/>
          <w:szCs w:val="16"/>
        </w:rPr>
        <w:t xml:space="preserve">Education Select Committee, (Fostering, Valuing Care, Recruitment, paragraph 109), 2017; </w:t>
      </w:r>
      <w:hyperlink r:id="rId9" w:history="1">
        <w:r w:rsidRPr="00597877">
          <w:rPr>
            <w:rStyle w:val="Hyperlink"/>
            <w:sz w:val="16"/>
            <w:szCs w:val="16"/>
            <w:u w:val="none"/>
          </w:rPr>
          <w:t>www.publications.parliament.uk/pa/cm201719/cmselect/cmeduc/340/34002.htm</w:t>
        </w:r>
      </w:hyperlink>
    </w:p>
  </w:footnote>
  <w:footnote w:id="28">
    <w:p w14:paraId="1D02857D" w14:textId="77777777" w:rsidR="00423261" w:rsidRPr="00597877" w:rsidRDefault="00423261" w:rsidP="00952BCE">
      <w:pPr>
        <w:pStyle w:val="FootnoteText"/>
        <w:jc w:val="left"/>
        <w:rPr>
          <w:sz w:val="16"/>
          <w:szCs w:val="16"/>
        </w:rPr>
      </w:pPr>
      <w:r w:rsidRPr="00597877">
        <w:rPr>
          <w:rStyle w:val="FootnoteReference"/>
          <w:sz w:val="16"/>
          <w:szCs w:val="16"/>
        </w:rPr>
        <w:footnoteRef/>
      </w:r>
      <w:r w:rsidRPr="00597877">
        <w:rPr>
          <w:sz w:val="16"/>
          <w:szCs w:val="16"/>
        </w:rPr>
        <w:t xml:space="preserve"> </w:t>
      </w:r>
      <w:r w:rsidRPr="00597877">
        <w:rPr>
          <w:sz w:val="16"/>
          <w:szCs w:val="16"/>
          <w:lang w:eastAsia="en-US"/>
        </w:rPr>
        <w:t>Two percent of new carers were reported, the majority by LA agencies, with ethnicity marked as ‘unknown’.</w:t>
      </w:r>
    </w:p>
  </w:footnote>
  <w:footnote w:id="29">
    <w:p w14:paraId="220D0D0A" w14:textId="77777777" w:rsidR="00423261" w:rsidRPr="00597877" w:rsidRDefault="00423261" w:rsidP="00F57F91">
      <w:pPr>
        <w:pStyle w:val="FootnoteText"/>
        <w:jc w:val="left"/>
        <w:rPr>
          <w:sz w:val="16"/>
          <w:szCs w:val="16"/>
        </w:rPr>
      </w:pPr>
      <w:r w:rsidRPr="00597877">
        <w:rPr>
          <w:rStyle w:val="FootnoteReference"/>
          <w:sz w:val="16"/>
          <w:szCs w:val="16"/>
        </w:rPr>
        <w:footnoteRef/>
      </w:r>
      <w:r w:rsidRPr="00597877">
        <w:rPr>
          <w:sz w:val="16"/>
          <w:szCs w:val="16"/>
        </w:rPr>
        <w:t xml:space="preserve"> The 2016-17 fostering dataset collection asked for data on all children still in placement on 31 March 2017, looking back at the 12 months before this date (or whatever portion of the year the child was in placement with the agency). </w:t>
      </w:r>
    </w:p>
  </w:footnote>
  <w:footnote w:id="30">
    <w:p w14:paraId="69B9EC8E" w14:textId="34A8C31E" w:rsidR="00423261" w:rsidRPr="00597877" w:rsidRDefault="00423261" w:rsidP="00F57F91">
      <w:pPr>
        <w:pStyle w:val="FootnoteText"/>
        <w:jc w:val="left"/>
        <w:rPr>
          <w:sz w:val="16"/>
          <w:szCs w:val="16"/>
        </w:rPr>
      </w:pPr>
      <w:r w:rsidRPr="00597877">
        <w:rPr>
          <w:rStyle w:val="FootnoteReference"/>
          <w:sz w:val="16"/>
          <w:szCs w:val="16"/>
        </w:rPr>
        <w:footnoteRef/>
      </w:r>
      <w:r w:rsidRPr="00597877">
        <w:rPr>
          <w:sz w:val="16"/>
          <w:szCs w:val="16"/>
        </w:rPr>
        <w:t xml:space="preserve"> The DfE reported that there were 72,670 children in care in total as at 31 March 2017; 74% (53,420) were fostered. Of the remainder: 11% (7,890) were in secure units, children’s homes or hostels; 6% (4,370) were placed with parents; 4% (3,090) were in other community placements; 3% (2,520) were placed for adoption; and 1% were in residential schools, other residential settings, or other placements not specified. ‘Children looked after in England including adoption: 2016 to 2017’, DfE, Table A2, 2017; </w:t>
      </w:r>
      <w:hyperlink r:id="rId10" w:history="1">
        <w:r w:rsidRPr="00597877">
          <w:rPr>
            <w:rStyle w:val="Hyperlink"/>
            <w:sz w:val="16"/>
            <w:szCs w:val="16"/>
          </w:rPr>
          <w:t>www.gov.uk\\government\\statistics\\children-looked-after-in-england-including-adoption-2016-to-2017</w:t>
        </w:r>
      </w:hyperlink>
      <w:r w:rsidRPr="00597877">
        <w:rPr>
          <w:sz w:val="16"/>
          <w:szCs w:val="16"/>
        </w:rPr>
        <w:t xml:space="preserve"> </w:t>
      </w:r>
    </w:p>
  </w:footnote>
  <w:footnote w:id="31">
    <w:p w14:paraId="1CB4FF12" w14:textId="5D2C05C1" w:rsidR="00423261" w:rsidRPr="00597877" w:rsidRDefault="00423261" w:rsidP="00F57F91">
      <w:pPr>
        <w:pStyle w:val="FootnoteText"/>
        <w:jc w:val="left"/>
        <w:rPr>
          <w:sz w:val="16"/>
          <w:szCs w:val="16"/>
        </w:rPr>
      </w:pPr>
      <w:r w:rsidRPr="00597877">
        <w:rPr>
          <w:rStyle w:val="FootnoteReference"/>
          <w:color w:val="7030A0"/>
          <w:sz w:val="16"/>
          <w:szCs w:val="16"/>
        </w:rPr>
        <w:footnoteRef/>
      </w:r>
      <w:r w:rsidRPr="00597877">
        <w:rPr>
          <w:color w:val="7030A0"/>
          <w:sz w:val="16"/>
          <w:szCs w:val="16"/>
        </w:rPr>
        <w:t xml:space="preserve"> </w:t>
      </w:r>
      <w:r w:rsidRPr="00597877">
        <w:rPr>
          <w:sz w:val="16"/>
          <w:szCs w:val="16"/>
        </w:rPr>
        <w:t xml:space="preserve">The DfE reported a slightly higher figure for 2017: 53,420. ’ Children looked after in England including adoption 2016 to 2017’ DfE, Table A2, 2017; </w:t>
      </w:r>
      <w:hyperlink r:id="rId11" w:history="1">
        <w:r w:rsidRPr="00597877">
          <w:rPr>
            <w:rStyle w:val="Hyperlink"/>
            <w:sz w:val="16"/>
            <w:szCs w:val="16"/>
          </w:rPr>
          <w:t>www.gov.uk\\government\\statistics\\children-looked-after-in-england-including-adoption-2016-to-2017</w:t>
        </w:r>
      </w:hyperlink>
      <w:r w:rsidRPr="00597877">
        <w:rPr>
          <w:rStyle w:val="Hyperlink"/>
          <w:sz w:val="16"/>
          <w:szCs w:val="16"/>
          <w:u w:val="none"/>
        </w:rPr>
        <w:t xml:space="preserve"> </w:t>
      </w:r>
    </w:p>
  </w:footnote>
  <w:footnote w:id="32">
    <w:p w14:paraId="5FA31E33" w14:textId="55F9D7EE" w:rsidR="00423261" w:rsidRDefault="00423261" w:rsidP="00952BCE">
      <w:pPr>
        <w:pStyle w:val="FootnoteText"/>
        <w:jc w:val="left"/>
      </w:pPr>
      <w:r w:rsidRPr="00597877">
        <w:rPr>
          <w:rStyle w:val="FootnoteReference"/>
          <w:sz w:val="16"/>
          <w:szCs w:val="16"/>
        </w:rPr>
        <w:footnoteRef/>
      </w:r>
      <w:r w:rsidRPr="00597877">
        <w:rPr>
          <w:sz w:val="16"/>
          <w:szCs w:val="16"/>
        </w:rPr>
        <w:t xml:space="preserve"> As not all agencies provided matching data for their numbers of fostered children and numbers of fostering places, the overall number of fostered children and number of fostering places does not match.</w:t>
      </w:r>
    </w:p>
  </w:footnote>
  <w:footnote w:id="33">
    <w:p w14:paraId="3D293D9E" w14:textId="3E44B7DD" w:rsidR="00423261" w:rsidRPr="00597877" w:rsidRDefault="00423261" w:rsidP="00F57F91">
      <w:pPr>
        <w:pStyle w:val="FootnoteText"/>
        <w:jc w:val="left"/>
        <w:rPr>
          <w:sz w:val="16"/>
          <w:szCs w:val="16"/>
        </w:rPr>
      </w:pPr>
      <w:r w:rsidRPr="00597877">
        <w:rPr>
          <w:rStyle w:val="FootnoteReference"/>
          <w:sz w:val="16"/>
          <w:szCs w:val="16"/>
        </w:rPr>
        <w:footnoteRef/>
      </w:r>
      <w:r w:rsidRPr="00597877">
        <w:rPr>
          <w:sz w:val="16"/>
          <w:szCs w:val="16"/>
        </w:rPr>
        <w:t xml:space="preserve"> Please see for the full 2011 census data breakdown: </w:t>
      </w:r>
      <w:hyperlink r:id="rId12" w:history="1">
        <w:r w:rsidRPr="00597877">
          <w:rPr>
            <w:rStyle w:val="Hyperlink"/>
            <w:sz w:val="16"/>
            <w:szCs w:val="16"/>
          </w:rPr>
          <w:t>https://ons.gov.uk/peoplepopulationandcommunity/culturalidentity/ethnicity/adhocs/005378ct05702011censussexbyagebyimd2004byethnicgroup</w:t>
        </w:r>
      </w:hyperlink>
      <w:r w:rsidRPr="00597877">
        <w:rPr>
          <w:rStyle w:val="Hyperlink"/>
          <w:color w:val="auto"/>
          <w:sz w:val="16"/>
          <w:szCs w:val="16"/>
        </w:rPr>
        <w:t xml:space="preserve"> </w:t>
      </w:r>
      <w:r w:rsidRPr="00597877">
        <w:rPr>
          <w:sz w:val="16"/>
          <w:szCs w:val="16"/>
        </w:rPr>
        <w:t xml:space="preserve"> </w:t>
      </w:r>
    </w:p>
  </w:footnote>
  <w:footnote w:id="34">
    <w:p w14:paraId="722DAE23" w14:textId="1837D14A" w:rsidR="00423261" w:rsidRPr="004D404F" w:rsidRDefault="00423261" w:rsidP="00F57F91">
      <w:pPr>
        <w:pStyle w:val="FootnoteText"/>
        <w:jc w:val="left"/>
        <w:rPr>
          <w:sz w:val="16"/>
          <w:szCs w:val="16"/>
        </w:rPr>
      </w:pPr>
      <w:r w:rsidRPr="00597877">
        <w:rPr>
          <w:rStyle w:val="FootnoteReference"/>
          <w:sz w:val="16"/>
          <w:szCs w:val="16"/>
        </w:rPr>
        <w:footnoteRef/>
      </w:r>
      <w:r w:rsidRPr="00597877">
        <w:rPr>
          <w:sz w:val="16"/>
          <w:szCs w:val="16"/>
        </w:rPr>
        <w:t xml:space="preserve"> Children looked after in England (including adoption) year ending 31 March 2017 Table A1, available here: </w:t>
      </w:r>
      <w:hyperlink r:id="rId13" w:history="1">
        <w:r w:rsidRPr="00597877">
          <w:rPr>
            <w:rStyle w:val="Hyperlink"/>
            <w:sz w:val="16"/>
            <w:szCs w:val="16"/>
          </w:rPr>
          <w:t>https://gov.uk\\government\\statistics\\children-looked-after-in-england-including-adoption-2016-to-2017</w:t>
        </w:r>
      </w:hyperlink>
    </w:p>
  </w:footnote>
  <w:footnote w:id="35">
    <w:p w14:paraId="5FFAC432" w14:textId="2622995E" w:rsidR="00423261" w:rsidRPr="00597877" w:rsidRDefault="00423261" w:rsidP="00F57F91">
      <w:pPr>
        <w:pStyle w:val="FootnoteText"/>
        <w:jc w:val="left"/>
        <w:rPr>
          <w:sz w:val="16"/>
          <w:szCs w:val="16"/>
        </w:rPr>
      </w:pPr>
      <w:r w:rsidRPr="00597877">
        <w:rPr>
          <w:rStyle w:val="FootnoteReference"/>
          <w:sz w:val="16"/>
          <w:szCs w:val="16"/>
        </w:rPr>
        <w:footnoteRef/>
      </w:r>
      <w:r w:rsidRPr="00597877">
        <w:rPr>
          <w:sz w:val="16"/>
          <w:szCs w:val="16"/>
        </w:rPr>
        <w:t xml:space="preserve"> Unplanned endings are only counted here if the child remains placed with the same agency e.g. they move from one fostering household to another, both approved by the same agency.</w:t>
      </w:r>
    </w:p>
  </w:footnote>
  <w:footnote w:id="36">
    <w:p w14:paraId="377D0489" w14:textId="500CA86E" w:rsidR="00423261" w:rsidRDefault="00423261" w:rsidP="007B3596">
      <w:pPr>
        <w:pStyle w:val="FootnoteText"/>
      </w:pPr>
      <w:r w:rsidRPr="00597877">
        <w:rPr>
          <w:rStyle w:val="FootnoteReference"/>
          <w:sz w:val="16"/>
          <w:szCs w:val="16"/>
        </w:rPr>
        <w:footnoteRef/>
      </w:r>
      <w:r w:rsidRPr="00597877">
        <w:rPr>
          <w:sz w:val="16"/>
          <w:szCs w:val="16"/>
        </w:rPr>
        <w:t xml:space="preserve"> ‘National fostering stocktake: call for evidence’, DfE, page 8</w:t>
      </w:r>
      <w:r w:rsidRPr="00597877">
        <w:rPr>
          <w:color w:val="000000" w:themeColor="text1"/>
          <w:sz w:val="16"/>
          <w:szCs w:val="16"/>
        </w:rPr>
        <w:t xml:space="preserve">, 2017; </w:t>
      </w:r>
      <w:hyperlink r:id="rId14" w:history="1">
        <w:r w:rsidRPr="00597877">
          <w:rPr>
            <w:rStyle w:val="Hyperlink"/>
            <w:sz w:val="16"/>
            <w:szCs w:val="16"/>
          </w:rPr>
          <w:t>www.gov.uk/government/consultations/national-fostering-stocktake-call-for-evidence</w:t>
        </w:r>
      </w:hyperlink>
    </w:p>
  </w:footnote>
  <w:footnote w:id="37">
    <w:p w14:paraId="52F9F9C6" w14:textId="77777777" w:rsidR="00423261" w:rsidRPr="00597877" w:rsidRDefault="00423261" w:rsidP="004D3468">
      <w:pPr>
        <w:pStyle w:val="FootnoteText"/>
        <w:jc w:val="left"/>
        <w:rPr>
          <w:sz w:val="16"/>
          <w:szCs w:val="16"/>
        </w:rPr>
      </w:pPr>
      <w:r w:rsidRPr="00597877">
        <w:rPr>
          <w:rStyle w:val="FootnoteReference"/>
          <w:sz w:val="16"/>
          <w:szCs w:val="16"/>
        </w:rPr>
        <w:footnoteRef/>
      </w:r>
      <w:r w:rsidRPr="00597877">
        <w:rPr>
          <w:sz w:val="16"/>
          <w:szCs w:val="16"/>
        </w:rPr>
        <w:t xml:space="preserve"> Please refer to the glossary for a full definition of the Staying Put scheme.</w:t>
      </w:r>
    </w:p>
  </w:footnote>
  <w:footnote w:id="38">
    <w:p w14:paraId="5AEFF659" w14:textId="5988F1B8" w:rsidR="00423261" w:rsidRPr="00597877" w:rsidRDefault="00423261" w:rsidP="004D3468">
      <w:pPr>
        <w:pStyle w:val="FootnoteText"/>
        <w:jc w:val="left"/>
        <w:rPr>
          <w:sz w:val="16"/>
          <w:szCs w:val="16"/>
        </w:rPr>
      </w:pPr>
      <w:r w:rsidRPr="00597877">
        <w:rPr>
          <w:rStyle w:val="FootnoteReference"/>
          <w:sz w:val="16"/>
          <w:szCs w:val="16"/>
        </w:rPr>
        <w:footnoteRef/>
      </w:r>
      <w:r w:rsidRPr="00597877">
        <w:rPr>
          <w:sz w:val="16"/>
          <w:szCs w:val="16"/>
        </w:rPr>
        <w:t xml:space="preserve"> ‘Fostering’, Commons Education Select Committee, (Fostering, Valuing Young People, Staying Put, paragraph 44), 2017; </w:t>
      </w:r>
      <w:hyperlink r:id="rId15" w:anchor="_idTextAnchor021" w:history="1">
        <w:r w:rsidRPr="00597877">
          <w:rPr>
            <w:rStyle w:val="Hyperlink"/>
            <w:sz w:val="16"/>
            <w:szCs w:val="16"/>
          </w:rPr>
          <w:t>www.publications.parliament.uk/pa/cm201719/cmselect/cmeduc/340/34006.htm#_idTextAnchor021</w:t>
        </w:r>
      </w:hyperlink>
    </w:p>
  </w:footnote>
  <w:footnote w:id="39">
    <w:p w14:paraId="70247AFF" w14:textId="47B4717F" w:rsidR="00423261" w:rsidRPr="00FE2B3B" w:rsidRDefault="00423261" w:rsidP="00C50EC6">
      <w:pPr>
        <w:pStyle w:val="FootnoteText"/>
        <w:jc w:val="left"/>
        <w:rPr>
          <w:sz w:val="16"/>
          <w:szCs w:val="16"/>
        </w:rPr>
      </w:pPr>
      <w:r w:rsidRPr="00597877">
        <w:rPr>
          <w:rStyle w:val="FootnoteReference"/>
          <w:sz w:val="16"/>
          <w:szCs w:val="16"/>
        </w:rPr>
        <w:footnoteRef/>
      </w:r>
      <w:r w:rsidRPr="00597877">
        <w:rPr>
          <w:sz w:val="16"/>
          <w:szCs w:val="16"/>
        </w:rPr>
        <w:t xml:space="preserve"> ‘Foster care in England’, DfE, page 120, 2017; </w:t>
      </w:r>
      <w:hyperlink r:id="rId16" w:history="1">
        <w:r w:rsidRPr="00597877">
          <w:rPr>
            <w:rStyle w:val="Hyperlink"/>
            <w:sz w:val="16"/>
            <w:szCs w:val="16"/>
          </w:rPr>
          <w:t>www.gov.uk/government/publications/foster-care-in-england</w:t>
        </w:r>
      </w:hyperlink>
    </w:p>
  </w:footnote>
  <w:footnote w:id="40">
    <w:p w14:paraId="139A527B" w14:textId="77777777" w:rsidR="00423261" w:rsidRPr="00597877" w:rsidRDefault="00423261" w:rsidP="00952BCE">
      <w:pPr>
        <w:pStyle w:val="FootnoteText"/>
        <w:jc w:val="left"/>
        <w:rPr>
          <w:sz w:val="16"/>
          <w:szCs w:val="16"/>
        </w:rPr>
      </w:pPr>
      <w:r w:rsidRPr="00597877">
        <w:rPr>
          <w:rStyle w:val="FootnoteReference"/>
          <w:sz w:val="16"/>
          <w:szCs w:val="16"/>
        </w:rPr>
        <w:footnoteRef/>
      </w:r>
      <w:r w:rsidRPr="00597877">
        <w:rPr>
          <w:sz w:val="16"/>
          <w:szCs w:val="16"/>
        </w:rPr>
        <w:t xml:space="preserve"> The last data collected on school aged children in 2014-15 showed that 63% (53,985) of all placed children in that year (85,890) were school aged.</w:t>
      </w:r>
    </w:p>
  </w:footnote>
  <w:footnote w:id="41">
    <w:p w14:paraId="3FA4C2F0" w14:textId="77777777" w:rsidR="00423261" w:rsidRPr="00597877" w:rsidRDefault="00423261" w:rsidP="00952BCE">
      <w:pPr>
        <w:pStyle w:val="FootnoteText"/>
        <w:jc w:val="left"/>
        <w:rPr>
          <w:sz w:val="16"/>
          <w:szCs w:val="16"/>
        </w:rPr>
      </w:pPr>
      <w:r w:rsidRPr="00597877">
        <w:rPr>
          <w:rStyle w:val="FootnoteReference"/>
          <w:sz w:val="16"/>
          <w:szCs w:val="16"/>
        </w:rPr>
        <w:footnoteRef/>
      </w:r>
      <w:r w:rsidRPr="00597877">
        <w:rPr>
          <w:sz w:val="16"/>
          <w:szCs w:val="16"/>
        </w:rPr>
        <w:t xml:space="preserve"> The data collected includes school aged as well as non-school aged children</w:t>
      </w:r>
      <w:r w:rsidRPr="00597877">
        <w:rPr>
          <w:color w:val="00B050"/>
          <w:sz w:val="16"/>
          <w:szCs w:val="16"/>
        </w:rPr>
        <w:t>.</w:t>
      </w:r>
    </w:p>
  </w:footnote>
  <w:footnote w:id="42">
    <w:p w14:paraId="2ED73898" w14:textId="741E2DD2" w:rsidR="00423261" w:rsidRPr="009A453F" w:rsidRDefault="00423261" w:rsidP="00B43B85">
      <w:pPr>
        <w:pStyle w:val="FootnoteText"/>
        <w:jc w:val="left"/>
        <w:rPr>
          <w:sz w:val="16"/>
          <w:szCs w:val="16"/>
        </w:rPr>
      </w:pPr>
      <w:r w:rsidRPr="00597877">
        <w:rPr>
          <w:rStyle w:val="FootnoteReference"/>
          <w:sz w:val="16"/>
          <w:szCs w:val="16"/>
        </w:rPr>
        <w:footnoteRef/>
      </w:r>
      <w:r w:rsidRPr="00597877">
        <w:rPr>
          <w:sz w:val="16"/>
          <w:szCs w:val="16"/>
        </w:rPr>
        <w:t xml:space="preserve"> ‘Pupil absence in schools in England: autumn 2016 and spring 2017’ DfE, chart 2, 2017; </w:t>
      </w:r>
      <w:hyperlink r:id="rId17" w:history="1">
        <w:r w:rsidRPr="00597877">
          <w:rPr>
            <w:rStyle w:val="Hyperlink"/>
            <w:sz w:val="16"/>
            <w:szCs w:val="16"/>
          </w:rPr>
          <w:t>www.gov.uk/government/statistics/pupil-absence-in-schools-in-england-autumn-2016-and-spring-2017</w:t>
        </w:r>
      </w:hyperlink>
      <w:r w:rsidRPr="009A453F">
        <w:rPr>
          <w:sz w:val="16"/>
          <w:szCs w:val="16"/>
        </w:rPr>
        <w:t xml:space="preserve"> </w:t>
      </w:r>
    </w:p>
  </w:footnote>
  <w:footnote w:id="43">
    <w:p w14:paraId="7C03903B" w14:textId="15979769" w:rsidR="00423261" w:rsidRPr="00597877" w:rsidRDefault="00423261" w:rsidP="00D3494D">
      <w:pPr>
        <w:pStyle w:val="FootnoteText"/>
        <w:jc w:val="left"/>
        <w:rPr>
          <w:sz w:val="16"/>
          <w:szCs w:val="16"/>
        </w:rPr>
      </w:pPr>
      <w:r w:rsidRPr="00597877">
        <w:rPr>
          <w:rStyle w:val="FootnoteReference"/>
          <w:sz w:val="16"/>
          <w:szCs w:val="16"/>
        </w:rPr>
        <w:footnoteRef/>
      </w:r>
      <w:r w:rsidRPr="00597877">
        <w:rPr>
          <w:sz w:val="16"/>
          <w:szCs w:val="16"/>
        </w:rPr>
        <w:t xml:space="preserve"> ‘Fostering’, Commons Education Select Committee, (Fostering, Valuing Young People, Matching and stability, paragraph 17), 2017; </w:t>
      </w:r>
      <w:hyperlink r:id="rId18" w:anchor="_idTextAnchor011" w:history="1">
        <w:r w:rsidRPr="00597877">
          <w:rPr>
            <w:rStyle w:val="Hyperlink"/>
            <w:sz w:val="16"/>
            <w:szCs w:val="16"/>
          </w:rPr>
          <w:t>www.publications.parliament.uk/pa/cm201719/cmselect/cmeduc/340/34006.htm#_idTextAnchor011</w:t>
        </w:r>
      </w:hyperlink>
      <w:r w:rsidRPr="00597877">
        <w:rPr>
          <w:color w:val="70AD47" w:themeColor="accent6"/>
          <w:sz w:val="16"/>
          <w:szCs w:val="16"/>
        </w:rPr>
        <w:t xml:space="preserve"> </w:t>
      </w:r>
    </w:p>
  </w:footnote>
  <w:footnote w:id="44">
    <w:p w14:paraId="1176BCCA" w14:textId="2BBEB9A3" w:rsidR="00423261" w:rsidRPr="00597877" w:rsidRDefault="00423261" w:rsidP="00952BCE">
      <w:pPr>
        <w:pStyle w:val="FootnoteText"/>
        <w:jc w:val="left"/>
        <w:rPr>
          <w:sz w:val="16"/>
          <w:szCs w:val="16"/>
        </w:rPr>
      </w:pPr>
      <w:r w:rsidRPr="00597877">
        <w:rPr>
          <w:rStyle w:val="FootnoteReference"/>
          <w:sz w:val="16"/>
          <w:szCs w:val="16"/>
        </w:rPr>
        <w:footnoteRef/>
      </w:r>
      <w:r w:rsidRPr="00597877">
        <w:rPr>
          <w:sz w:val="16"/>
          <w:szCs w:val="16"/>
        </w:rPr>
        <w:t xml:space="preserve"> Restraint data has been collected at child and fostering household level in 2017, rather than at aggregated level as in previous years, which may partially explain such an increase.</w:t>
      </w:r>
    </w:p>
  </w:footnote>
  <w:footnote w:id="45">
    <w:p w14:paraId="6B0E7FB2" w14:textId="400EFB71" w:rsidR="00423261" w:rsidRPr="00597877" w:rsidRDefault="00423261" w:rsidP="00952BCE">
      <w:pPr>
        <w:pStyle w:val="FootnoteText"/>
        <w:jc w:val="left"/>
        <w:rPr>
          <w:sz w:val="16"/>
          <w:szCs w:val="16"/>
        </w:rPr>
      </w:pPr>
      <w:r w:rsidRPr="00597877">
        <w:rPr>
          <w:rStyle w:val="FootnoteReference"/>
          <w:sz w:val="16"/>
          <w:szCs w:val="16"/>
        </w:rPr>
        <w:footnoteRef/>
      </w:r>
      <w:r w:rsidRPr="00597877">
        <w:rPr>
          <w:sz w:val="16"/>
          <w:szCs w:val="16"/>
        </w:rPr>
        <w:t xml:space="preserve"> ‘Children who run away or go missing from home or care’, DfE, 2014; www.gov.uk/government/publications/children-who-run-away-or-go-missing-from-home-or-care   </w:t>
      </w:r>
    </w:p>
  </w:footnote>
  <w:footnote w:id="46">
    <w:p w14:paraId="585EDC4E" w14:textId="684F5C04" w:rsidR="00423261" w:rsidRPr="00355EBA" w:rsidRDefault="00423261" w:rsidP="00952BCE">
      <w:pPr>
        <w:pStyle w:val="FootnoteText"/>
        <w:jc w:val="left"/>
        <w:rPr>
          <w:sz w:val="16"/>
          <w:szCs w:val="16"/>
        </w:rPr>
      </w:pPr>
      <w:r w:rsidRPr="00597877">
        <w:rPr>
          <w:rStyle w:val="FootnoteReference"/>
          <w:sz w:val="16"/>
          <w:szCs w:val="16"/>
        </w:rPr>
        <w:footnoteRef/>
      </w:r>
      <w:r w:rsidRPr="00597877">
        <w:rPr>
          <w:sz w:val="16"/>
          <w:szCs w:val="16"/>
        </w:rPr>
        <w:t xml:space="preserve"> </w:t>
      </w:r>
      <w:r w:rsidRPr="00597877">
        <w:rPr>
          <w:color w:val="000000" w:themeColor="text1"/>
          <w:sz w:val="16"/>
          <w:szCs w:val="16"/>
        </w:rPr>
        <w:t>An RHI is designed to give the child and the placing LA a chance to discuss why the child went missing and agree actions to try and prevent further instances of going missing.</w:t>
      </w:r>
    </w:p>
  </w:footnote>
  <w:footnote w:id="47">
    <w:p w14:paraId="133559D7" w14:textId="02CB0019" w:rsidR="00423261" w:rsidRPr="00597877" w:rsidRDefault="00423261" w:rsidP="007B3596">
      <w:pPr>
        <w:pStyle w:val="FootnoteText"/>
        <w:jc w:val="left"/>
        <w:rPr>
          <w:sz w:val="16"/>
          <w:szCs w:val="16"/>
        </w:rPr>
      </w:pPr>
      <w:r w:rsidRPr="00597877">
        <w:rPr>
          <w:rStyle w:val="FootnoteReference"/>
          <w:sz w:val="16"/>
          <w:szCs w:val="16"/>
        </w:rPr>
        <w:footnoteRef/>
      </w:r>
      <w:r w:rsidRPr="00597877">
        <w:rPr>
          <w:sz w:val="16"/>
          <w:szCs w:val="16"/>
        </w:rPr>
        <w:t xml:space="preserve"> The 16 LAs were: Essex, Norfolk, Bexley, Harrow, Hillingdon, Lewisham, Darlington, St Helens, Tameside, Brighton and Hove, Milton Keynes, West Berkshire, Cornwall, Telford &amp; Wrekin, Wolverhampton, Doncaster.</w:t>
      </w:r>
    </w:p>
  </w:footnote>
  <w:footnote w:id="48">
    <w:p w14:paraId="00C45963" w14:textId="740E3B3C" w:rsidR="00423261" w:rsidRPr="008E790F" w:rsidRDefault="00423261" w:rsidP="007B3596">
      <w:pPr>
        <w:pStyle w:val="FootnoteText"/>
        <w:jc w:val="left"/>
        <w:rPr>
          <w:sz w:val="16"/>
          <w:szCs w:val="16"/>
        </w:rPr>
      </w:pPr>
      <w:r w:rsidRPr="00597877">
        <w:rPr>
          <w:rStyle w:val="FootnoteReference"/>
          <w:sz w:val="16"/>
          <w:szCs w:val="16"/>
        </w:rPr>
        <w:footnoteRef/>
      </w:r>
      <w:r w:rsidRPr="00597877">
        <w:rPr>
          <w:sz w:val="16"/>
          <w:szCs w:val="16"/>
        </w:rPr>
        <w:t xml:space="preserve"> This was slightly lower than the 10% for children in care reported by the DfE; however, their figure is likely to be impacted by including all types of placements. DfE data on children missing from foster placements is ‘not available’. The DfE also reported a higher average number of incidents per missing child (5.7). ‘Children looked after in England including adoption: 2016 to 2017, DfE, Table G1, 2017; </w:t>
      </w:r>
      <w:hyperlink r:id="rId19" w:history="1">
        <w:r w:rsidRPr="00597877">
          <w:rPr>
            <w:rStyle w:val="Hyperlink"/>
            <w:sz w:val="16"/>
            <w:szCs w:val="16"/>
          </w:rPr>
          <w:t>www.gov.uk\\government\\statistics\\children-looked-after-in-england-including-adoption-2016-to-2017</w:t>
        </w:r>
      </w:hyperlink>
      <w:r>
        <w:rPr>
          <w:sz w:val="16"/>
          <w:szCs w:val="16"/>
        </w:rPr>
        <w:t xml:space="preserve">  </w:t>
      </w:r>
    </w:p>
  </w:footnote>
  <w:footnote w:id="49">
    <w:p w14:paraId="26F1A521" w14:textId="77777777" w:rsidR="00423261" w:rsidRPr="005728BE" w:rsidRDefault="00423261" w:rsidP="007B3596">
      <w:pPr>
        <w:pStyle w:val="FootnoteText"/>
        <w:jc w:val="left"/>
      </w:pPr>
      <w:r w:rsidRPr="005728BE">
        <w:rPr>
          <w:rStyle w:val="FootnoteReference"/>
          <w:sz w:val="16"/>
          <w:szCs w:val="16"/>
        </w:rPr>
        <w:footnoteRef/>
      </w:r>
      <w:r w:rsidRPr="005728BE">
        <w:rPr>
          <w:sz w:val="16"/>
          <w:szCs w:val="16"/>
        </w:rPr>
        <w:t xml:space="preserve"> These five LAs were: Buckinghamshire, Haringey, Kingston upon Thames, Lambeth, and Plymouth. </w:t>
      </w:r>
    </w:p>
  </w:footnote>
  <w:footnote w:id="50">
    <w:p w14:paraId="283036B3" w14:textId="77777777" w:rsidR="00423261" w:rsidRPr="006A786D" w:rsidRDefault="00423261" w:rsidP="00952BCE">
      <w:pPr>
        <w:pStyle w:val="FootnoteText"/>
        <w:jc w:val="left"/>
        <w:rPr>
          <w:sz w:val="16"/>
          <w:szCs w:val="16"/>
        </w:rPr>
      </w:pPr>
      <w:r w:rsidRPr="007F05B5">
        <w:rPr>
          <w:rStyle w:val="FootnoteReference"/>
          <w:sz w:val="16"/>
          <w:szCs w:val="16"/>
        </w:rPr>
        <w:footnoteRef/>
      </w:r>
      <w:r w:rsidRPr="007F05B5">
        <w:rPr>
          <w:sz w:val="16"/>
          <w:szCs w:val="16"/>
        </w:rPr>
        <w:t xml:space="preserve"> Data on complaints received, including source and whether they were upheld, is available in the underlying data tables.</w:t>
      </w:r>
    </w:p>
  </w:footnote>
  <w:footnote w:id="51">
    <w:p w14:paraId="2598C614" w14:textId="57DFFF9B" w:rsidR="00423261" w:rsidRPr="003F3D52" w:rsidRDefault="00423261" w:rsidP="00D87D8E">
      <w:pPr>
        <w:pStyle w:val="FootnoteText"/>
        <w:rPr>
          <w:sz w:val="16"/>
          <w:szCs w:val="16"/>
        </w:rPr>
      </w:pPr>
      <w:r w:rsidRPr="003F3D52">
        <w:rPr>
          <w:rStyle w:val="FootnoteReference"/>
          <w:sz w:val="16"/>
          <w:szCs w:val="16"/>
        </w:rPr>
        <w:footnoteRef/>
      </w:r>
      <w:r w:rsidRPr="003F3D52">
        <w:rPr>
          <w:sz w:val="16"/>
          <w:szCs w:val="16"/>
        </w:rPr>
        <w:t xml:space="preserve"> </w:t>
      </w:r>
      <w:r>
        <w:rPr>
          <w:sz w:val="16"/>
          <w:szCs w:val="16"/>
        </w:rPr>
        <w:t>Children</w:t>
      </w:r>
      <w:r w:rsidRPr="003F3D52">
        <w:rPr>
          <w:sz w:val="16"/>
          <w:szCs w:val="16"/>
        </w:rPr>
        <w:t xml:space="preserve"> might have returned to live with their parents or other family member, or become subject to a Special Guardianship Order, or been adopted.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2AA99" w14:textId="77777777" w:rsidR="00423261" w:rsidRDefault="00423261">
    <w:pPr>
      <w:pStyle w:val="Header"/>
    </w:pPr>
  </w:p>
  <w:p w14:paraId="19279E1B" w14:textId="77777777" w:rsidR="00423261" w:rsidRDefault="004232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6549"/>
      <w:gridCol w:w="2477"/>
    </w:tblGrid>
    <w:tr w:rsidR="00423261" w14:paraId="67D25E6C" w14:textId="77777777" w:rsidTr="00CA37DE">
      <w:trPr>
        <w:trHeight w:val="1843"/>
      </w:trPr>
      <w:tc>
        <w:tcPr>
          <w:tcW w:w="3628" w:type="pct"/>
          <w:shd w:val="clear" w:color="auto" w:fill="auto"/>
        </w:tcPr>
        <w:p w14:paraId="4DD2587E" w14:textId="77777777" w:rsidR="00423261" w:rsidRDefault="00423261" w:rsidP="00F953E2">
          <w:pPr>
            <w:pStyle w:val="Header"/>
            <w:jc w:val="left"/>
          </w:pPr>
          <w:r>
            <w:rPr>
              <w:noProof/>
            </w:rPr>
            <mc:AlternateContent>
              <mc:Choice Requires="wps">
                <w:drawing>
                  <wp:anchor distT="0" distB="0" distL="114300" distR="114300" simplePos="0" relativeHeight="251657728" behindDoc="0" locked="0" layoutInCell="1" allowOverlap="1" wp14:anchorId="4BD1CA0D" wp14:editId="4A41335B">
                    <wp:simplePos x="0" y="0"/>
                    <wp:positionH relativeFrom="column">
                      <wp:posOffset>-68580</wp:posOffset>
                    </wp:positionH>
                    <wp:positionV relativeFrom="paragraph">
                      <wp:posOffset>116840</wp:posOffset>
                    </wp:positionV>
                    <wp:extent cx="1783080" cy="347980"/>
                    <wp:effectExtent l="0" t="0" r="2667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347980"/>
                            </a:xfrm>
                            <a:prstGeom prst="rect">
                              <a:avLst/>
                            </a:prstGeom>
                            <a:solidFill>
                              <a:srgbClr val="FFFFFF"/>
                            </a:solidFill>
                            <a:ln w="12700">
                              <a:solidFill>
                                <a:srgbClr val="000000"/>
                              </a:solidFill>
                              <a:miter lim="800000"/>
                              <a:headEnd/>
                              <a:tailEnd/>
                            </a:ln>
                          </wps:spPr>
                          <wps:txbx>
                            <w:txbxContent>
                              <w:p w14:paraId="30393797" w14:textId="77777777" w:rsidR="00423261" w:rsidRPr="00033909" w:rsidRDefault="00423261" w:rsidP="00F953E2">
                                <w:pPr>
                                  <w:rPr>
                                    <w:sz w:val="32"/>
                                    <w:szCs w:val="32"/>
                                  </w:rPr>
                                </w:pPr>
                                <w:r>
                                  <w:rPr>
                                    <w:sz w:val="32"/>
                                    <w:szCs w:val="32"/>
                                  </w:rPr>
                                  <w:t>National s</w:t>
                                </w:r>
                                <w:r w:rsidRPr="00033909">
                                  <w:rPr>
                                    <w:sz w:val="32"/>
                                    <w:szCs w:val="32"/>
                                  </w:rPr>
                                  <w:t>tatistic</w:t>
                                </w:r>
                                <w:r>
                                  <w:rPr>
                                    <w:sz w:val="32"/>
                                    <w:szCs w:val="32"/>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D1CA0D" id="_x0000_t202" coordsize="21600,21600" o:spt="202" path="m,l,21600r21600,l21600,xe">
                    <v:stroke joinstyle="miter"/>
                    <v:path gradientshapeok="t" o:connecttype="rect"/>
                  </v:shapetype>
                  <v:shape id="Text Box 2" o:spid="_x0000_s1027" type="#_x0000_t202" style="position:absolute;margin-left:-5.4pt;margin-top:9.2pt;width:140.4pt;height:2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" strokeweight="1pt">
                    <v:textbox>
                      <w:txbxContent>
                        <w:p w14:paraId="30393797" w14:textId="77777777" w:rsidR="00CC4E23" w:rsidRPr="00033909" w:rsidRDefault="00CC4E23" w:rsidP="00F953E2">
                          <w:pPr>
                            <w:rPr>
                              <w:sz w:val="32"/>
                              <w:szCs w:val="32"/>
                            </w:rPr>
                          </w:pPr>
                          <w:r>
                            <w:rPr>
                              <w:sz w:val="32"/>
                              <w:szCs w:val="32"/>
                            </w:rPr>
                            <w:t>National s</w:t>
                          </w:r>
                          <w:r w:rsidRPr="00033909">
                            <w:rPr>
                              <w:sz w:val="32"/>
                              <w:szCs w:val="32"/>
                            </w:rPr>
                            <w:t>tatistic</w:t>
                          </w:r>
                          <w:r>
                            <w:rPr>
                              <w:sz w:val="32"/>
                              <w:szCs w:val="32"/>
                            </w:rPr>
                            <w:t>s</w:t>
                          </w:r>
                        </w:p>
                      </w:txbxContent>
                    </v:textbox>
                  </v:shape>
                </w:pict>
              </mc:Fallback>
            </mc:AlternateContent>
          </w:r>
        </w:p>
        <w:p w14:paraId="1999C2AD" w14:textId="77777777" w:rsidR="00423261" w:rsidRDefault="00423261" w:rsidP="00490F9F">
          <w:pPr>
            <w:pStyle w:val="Header"/>
            <w:jc w:val="right"/>
          </w:pPr>
        </w:p>
      </w:tc>
      <w:tc>
        <w:tcPr>
          <w:tcW w:w="1372" w:type="pct"/>
          <w:shd w:val="clear" w:color="auto" w:fill="auto"/>
        </w:tcPr>
        <w:p w14:paraId="3ACE25B7" w14:textId="77777777" w:rsidR="00423261" w:rsidRDefault="00423261" w:rsidP="00490F9F">
          <w:pPr>
            <w:pStyle w:val="Header"/>
            <w:jc w:val="right"/>
          </w:pPr>
        </w:p>
        <w:p w14:paraId="1189A02B" w14:textId="77777777" w:rsidR="00423261" w:rsidRDefault="00423261" w:rsidP="00490F9F">
          <w:pPr>
            <w:pStyle w:val="Header"/>
            <w:jc w:val="right"/>
          </w:pPr>
          <w:r>
            <w:rPr>
              <w:noProof/>
            </w:rPr>
            <w:drawing>
              <wp:inline distT="0" distB="0" distL="0" distR="0" wp14:anchorId="425C13B5" wp14:editId="52F89F86">
                <wp:extent cx="1075267" cy="906369"/>
                <wp:effectExtent l="0" t="0" r="0" b="8255"/>
                <wp:docPr id="4" name="Picture 4" descr="ofst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ste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472" cy="912443"/>
                        </a:xfrm>
                        <a:prstGeom prst="rect">
                          <a:avLst/>
                        </a:prstGeom>
                        <a:noFill/>
                        <a:ln>
                          <a:noFill/>
                        </a:ln>
                      </pic:spPr>
                    </pic:pic>
                  </a:graphicData>
                </a:graphic>
              </wp:inline>
            </w:drawing>
          </w:r>
        </w:p>
      </w:tc>
    </w:tr>
  </w:tbl>
  <w:p w14:paraId="0C7D360C" w14:textId="77777777" w:rsidR="00423261" w:rsidRPr="007E785D" w:rsidRDefault="00423261" w:rsidP="007E785D">
    <w:pPr>
      <w:pStyle w:val="Header"/>
      <w:rPr>
        <w:sz w:val="14"/>
        <w:szCs w:val="8"/>
      </w:rPr>
    </w:pPr>
  </w:p>
  <w:p w14:paraId="3A8F118C" w14:textId="77777777" w:rsidR="00423261" w:rsidRDefault="004232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EF6E5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600B1"/>
    <w:multiLevelType w:val="hybridMultilevel"/>
    <w:tmpl w:val="839EED24"/>
    <w:lvl w:ilvl="0" w:tplc="F06AB9D2">
      <w:start w:val="1"/>
      <w:numFmt w:val="bullet"/>
      <w:lvlText w:val=""/>
      <w:lvlJc w:val="left"/>
      <w:pPr>
        <w:ind w:left="720" w:hanging="360"/>
      </w:pPr>
      <w:rPr>
        <w:rFonts w:ascii="Wingdings" w:hAnsi="Wingdings"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C6B96"/>
    <w:multiLevelType w:val="hybridMultilevel"/>
    <w:tmpl w:val="31C482BA"/>
    <w:lvl w:ilvl="0" w:tplc="F06AB9D2">
      <w:start w:val="1"/>
      <w:numFmt w:val="bullet"/>
      <w:lvlText w:val=""/>
      <w:lvlJc w:val="left"/>
      <w:pPr>
        <w:ind w:left="720" w:hanging="360"/>
      </w:pPr>
      <w:rPr>
        <w:rFonts w:ascii="Wingdings" w:hAnsi="Wingdings"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D1037C"/>
    <w:multiLevelType w:val="hybridMultilevel"/>
    <w:tmpl w:val="ADA2963C"/>
    <w:lvl w:ilvl="0" w:tplc="F06AB9D2">
      <w:start w:val="1"/>
      <w:numFmt w:val="bullet"/>
      <w:lvlText w:val=""/>
      <w:lvlJc w:val="left"/>
      <w:pPr>
        <w:ind w:left="720" w:hanging="360"/>
      </w:pPr>
      <w:rPr>
        <w:rFonts w:ascii="Wingdings" w:hAnsi="Wingdings"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47885"/>
    <w:multiLevelType w:val="hybridMultilevel"/>
    <w:tmpl w:val="3B58EBE6"/>
    <w:lvl w:ilvl="0" w:tplc="6EFADFBC">
      <w:start w:val="1"/>
      <w:numFmt w:val="bullet"/>
      <w:pStyle w:val="Bulletsspaced"/>
      <w:lvlText w:val=""/>
      <w:lvlJc w:val="left"/>
      <w:pPr>
        <w:tabs>
          <w:tab w:val="num" w:pos="1386"/>
        </w:tabs>
        <w:ind w:left="1386" w:hanging="360"/>
      </w:pPr>
      <w:rPr>
        <w:rFonts w:ascii="Wingdings" w:hAnsi="Wingdings" w:hint="default"/>
      </w:rPr>
    </w:lvl>
    <w:lvl w:ilvl="1" w:tplc="08090003">
      <w:start w:val="1"/>
      <w:numFmt w:val="bullet"/>
      <w:lvlText w:val="o"/>
      <w:lvlJc w:val="left"/>
      <w:pPr>
        <w:tabs>
          <w:tab w:val="num" w:pos="1899"/>
        </w:tabs>
        <w:ind w:left="1899" w:hanging="360"/>
      </w:pPr>
      <w:rPr>
        <w:rFonts w:ascii="Courier New" w:hAnsi="Courier New" w:cs="Courier New" w:hint="default"/>
      </w:rPr>
    </w:lvl>
    <w:lvl w:ilvl="2" w:tplc="08090005">
      <w:start w:val="1"/>
      <w:numFmt w:val="bullet"/>
      <w:lvlText w:val=""/>
      <w:lvlJc w:val="left"/>
      <w:pPr>
        <w:tabs>
          <w:tab w:val="num" w:pos="2619"/>
        </w:tabs>
        <w:ind w:left="2619" w:hanging="360"/>
      </w:pPr>
      <w:rPr>
        <w:rFonts w:ascii="Wingdings" w:hAnsi="Wingdings" w:hint="default"/>
      </w:rPr>
    </w:lvl>
    <w:lvl w:ilvl="3" w:tplc="08090001">
      <w:start w:val="1"/>
      <w:numFmt w:val="bullet"/>
      <w:lvlText w:val=""/>
      <w:lvlJc w:val="left"/>
      <w:pPr>
        <w:tabs>
          <w:tab w:val="num" w:pos="3339"/>
        </w:tabs>
        <w:ind w:left="3339" w:hanging="360"/>
      </w:pPr>
      <w:rPr>
        <w:rFonts w:ascii="Symbol" w:hAnsi="Symbol" w:hint="default"/>
      </w:rPr>
    </w:lvl>
    <w:lvl w:ilvl="4" w:tplc="08090003" w:tentative="1">
      <w:start w:val="1"/>
      <w:numFmt w:val="bullet"/>
      <w:lvlText w:val="o"/>
      <w:lvlJc w:val="left"/>
      <w:pPr>
        <w:tabs>
          <w:tab w:val="num" w:pos="4059"/>
        </w:tabs>
        <w:ind w:left="4059" w:hanging="360"/>
      </w:pPr>
      <w:rPr>
        <w:rFonts w:ascii="Courier New" w:hAnsi="Courier New" w:cs="Courier New" w:hint="default"/>
      </w:rPr>
    </w:lvl>
    <w:lvl w:ilvl="5" w:tplc="08090005" w:tentative="1">
      <w:start w:val="1"/>
      <w:numFmt w:val="bullet"/>
      <w:lvlText w:val=""/>
      <w:lvlJc w:val="left"/>
      <w:pPr>
        <w:tabs>
          <w:tab w:val="num" w:pos="4779"/>
        </w:tabs>
        <w:ind w:left="4779" w:hanging="360"/>
      </w:pPr>
      <w:rPr>
        <w:rFonts w:ascii="Wingdings" w:hAnsi="Wingdings" w:hint="default"/>
      </w:rPr>
    </w:lvl>
    <w:lvl w:ilvl="6" w:tplc="08090001" w:tentative="1">
      <w:start w:val="1"/>
      <w:numFmt w:val="bullet"/>
      <w:lvlText w:val=""/>
      <w:lvlJc w:val="left"/>
      <w:pPr>
        <w:tabs>
          <w:tab w:val="num" w:pos="5499"/>
        </w:tabs>
        <w:ind w:left="5499" w:hanging="360"/>
      </w:pPr>
      <w:rPr>
        <w:rFonts w:ascii="Symbol" w:hAnsi="Symbol" w:hint="default"/>
      </w:rPr>
    </w:lvl>
    <w:lvl w:ilvl="7" w:tplc="08090003" w:tentative="1">
      <w:start w:val="1"/>
      <w:numFmt w:val="bullet"/>
      <w:lvlText w:val="o"/>
      <w:lvlJc w:val="left"/>
      <w:pPr>
        <w:tabs>
          <w:tab w:val="num" w:pos="6219"/>
        </w:tabs>
        <w:ind w:left="6219" w:hanging="360"/>
      </w:pPr>
      <w:rPr>
        <w:rFonts w:ascii="Courier New" w:hAnsi="Courier New" w:cs="Courier New" w:hint="default"/>
      </w:rPr>
    </w:lvl>
    <w:lvl w:ilvl="8" w:tplc="08090005" w:tentative="1">
      <w:start w:val="1"/>
      <w:numFmt w:val="bullet"/>
      <w:lvlText w:val=""/>
      <w:lvlJc w:val="left"/>
      <w:pPr>
        <w:tabs>
          <w:tab w:val="num" w:pos="6939"/>
        </w:tabs>
        <w:ind w:left="6939" w:hanging="360"/>
      </w:pPr>
      <w:rPr>
        <w:rFonts w:ascii="Wingdings" w:hAnsi="Wingdings" w:hint="default"/>
      </w:rPr>
    </w:lvl>
  </w:abstractNum>
  <w:abstractNum w:abstractNumId="5" w15:restartNumberingAfterBreak="0">
    <w:nsid w:val="0C176DEE"/>
    <w:multiLevelType w:val="hybridMultilevel"/>
    <w:tmpl w:val="366E8DC0"/>
    <w:lvl w:ilvl="0" w:tplc="F06AB9D2">
      <w:start w:val="1"/>
      <w:numFmt w:val="bullet"/>
      <w:lvlText w:val=""/>
      <w:lvlJc w:val="left"/>
      <w:pPr>
        <w:ind w:left="720" w:hanging="360"/>
      </w:pPr>
      <w:rPr>
        <w:rFonts w:ascii="Wingdings" w:hAnsi="Wingdings"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A0431"/>
    <w:multiLevelType w:val="hybridMultilevel"/>
    <w:tmpl w:val="397CC2CA"/>
    <w:lvl w:ilvl="0" w:tplc="08090005">
      <w:start w:val="1"/>
      <w:numFmt w:val="bullet"/>
      <w:lvlText w:val=""/>
      <w:lvlJc w:val="left"/>
      <w:pPr>
        <w:tabs>
          <w:tab w:val="num" w:pos="-790"/>
        </w:tabs>
        <w:ind w:left="-790" w:hanging="360"/>
      </w:pPr>
      <w:rPr>
        <w:rFonts w:ascii="Wingdings" w:hAnsi="Wingdings" w:hint="default"/>
      </w:rPr>
    </w:lvl>
    <w:lvl w:ilvl="1" w:tplc="024C9834" w:tentative="1">
      <w:start w:val="1"/>
      <w:numFmt w:val="bullet"/>
      <w:lvlText w:val=""/>
      <w:lvlJc w:val="left"/>
      <w:pPr>
        <w:tabs>
          <w:tab w:val="num" w:pos="-70"/>
        </w:tabs>
        <w:ind w:left="-70" w:hanging="360"/>
      </w:pPr>
      <w:rPr>
        <w:rFonts w:ascii="Symbol" w:hAnsi="Symbol" w:hint="default"/>
      </w:rPr>
    </w:lvl>
    <w:lvl w:ilvl="2" w:tplc="A1B64292" w:tentative="1">
      <w:start w:val="1"/>
      <w:numFmt w:val="bullet"/>
      <w:lvlText w:val=""/>
      <w:lvlJc w:val="left"/>
      <w:pPr>
        <w:tabs>
          <w:tab w:val="num" w:pos="650"/>
        </w:tabs>
        <w:ind w:left="650" w:hanging="360"/>
      </w:pPr>
      <w:rPr>
        <w:rFonts w:ascii="Symbol" w:hAnsi="Symbol" w:hint="default"/>
      </w:rPr>
    </w:lvl>
    <w:lvl w:ilvl="3" w:tplc="55841EB4" w:tentative="1">
      <w:start w:val="1"/>
      <w:numFmt w:val="bullet"/>
      <w:lvlText w:val=""/>
      <w:lvlJc w:val="left"/>
      <w:pPr>
        <w:tabs>
          <w:tab w:val="num" w:pos="1370"/>
        </w:tabs>
        <w:ind w:left="1370" w:hanging="360"/>
      </w:pPr>
      <w:rPr>
        <w:rFonts w:ascii="Symbol" w:hAnsi="Symbol" w:hint="default"/>
      </w:rPr>
    </w:lvl>
    <w:lvl w:ilvl="4" w:tplc="3D625440" w:tentative="1">
      <w:start w:val="1"/>
      <w:numFmt w:val="bullet"/>
      <w:lvlText w:val=""/>
      <w:lvlJc w:val="left"/>
      <w:pPr>
        <w:tabs>
          <w:tab w:val="num" w:pos="2090"/>
        </w:tabs>
        <w:ind w:left="2090" w:hanging="360"/>
      </w:pPr>
      <w:rPr>
        <w:rFonts w:ascii="Symbol" w:hAnsi="Symbol" w:hint="default"/>
      </w:rPr>
    </w:lvl>
    <w:lvl w:ilvl="5" w:tplc="A6FA6E18" w:tentative="1">
      <w:start w:val="1"/>
      <w:numFmt w:val="bullet"/>
      <w:lvlText w:val=""/>
      <w:lvlJc w:val="left"/>
      <w:pPr>
        <w:tabs>
          <w:tab w:val="num" w:pos="2810"/>
        </w:tabs>
        <w:ind w:left="2810" w:hanging="360"/>
      </w:pPr>
      <w:rPr>
        <w:rFonts w:ascii="Symbol" w:hAnsi="Symbol" w:hint="default"/>
      </w:rPr>
    </w:lvl>
    <w:lvl w:ilvl="6" w:tplc="070CD096" w:tentative="1">
      <w:start w:val="1"/>
      <w:numFmt w:val="bullet"/>
      <w:lvlText w:val=""/>
      <w:lvlJc w:val="left"/>
      <w:pPr>
        <w:tabs>
          <w:tab w:val="num" w:pos="3530"/>
        </w:tabs>
        <w:ind w:left="3530" w:hanging="360"/>
      </w:pPr>
      <w:rPr>
        <w:rFonts w:ascii="Symbol" w:hAnsi="Symbol" w:hint="default"/>
      </w:rPr>
    </w:lvl>
    <w:lvl w:ilvl="7" w:tplc="A76E90AA" w:tentative="1">
      <w:start w:val="1"/>
      <w:numFmt w:val="bullet"/>
      <w:lvlText w:val=""/>
      <w:lvlJc w:val="left"/>
      <w:pPr>
        <w:tabs>
          <w:tab w:val="num" w:pos="4250"/>
        </w:tabs>
        <w:ind w:left="4250" w:hanging="360"/>
      </w:pPr>
      <w:rPr>
        <w:rFonts w:ascii="Symbol" w:hAnsi="Symbol" w:hint="default"/>
      </w:rPr>
    </w:lvl>
    <w:lvl w:ilvl="8" w:tplc="6D3ABFBA" w:tentative="1">
      <w:start w:val="1"/>
      <w:numFmt w:val="bullet"/>
      <w:lvlText w:val=""/>
      <w:lvlJc w:val="left"/>
      <w:pPr>
        <w:tabs>
          <w:tab w:val="num" w:pos="4970"/>
        </w:tabs>
        <w:ind w:left="4970" w:hanging="360"/>
      </w:pPr>
      <w:rPr>
        <w:rFonts w:ascii="Symbol" w:hAnsi="Symbol" w:hint="default"/>
      </w:rPr>
    </w:lvl>
  </w:abstractNum>
  <w:abstractNum w:abstractNumId="7" w15:restartNumberingAfterBreak="0">
    <w:nsid w:val="0F600413"/>
    <w:multiLevelType w:val="hybridMultilevel"/>
    <w:tmpl w:val="F7701B2E"/>
    <w:lvl w:ilvl="0" w:tplc="F06AB9D2">
      <w:start w:val="1"/>
      <w:numFmt w:val="bullet"/>
      <w:lvlText w:val=""/>
      <w:lvlJc w:val="left"/>
      <w:pPr>
        <w:ind w:left="1077" w:hanging="360"/>
      </w:pPr>
      <w:rPr>
        <w:rFonts w:ascii="Wingdings" w:hAnsi="Wingdings" w:hint="default"/>
        <w:color w:val="auto"/>
        <w:sz w:val="3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140C502A"/>
    <w:multiLevelType w:val="hybridMultilevel"/>
    <w:tmpl w:val="79BC91AA"/>
    <w:lvl w:ilvl="0" w:tplc="C5AA9008">
      <w:start w:val="1"/>
      <w:numFmt w:val="decimal"/>
      <w:pStyle w:val="Numberedparagraph"/>
      <w:lvlText w:val="%1."/>
      <w:lvlJc w:val="left"/>
      <w:pPr>
        <w:tabs>
          <w:tab w:val="num" w:pos="1107"/>
        </w:tabs>
        <w:ind w:left="540" w:firstLine="0"/>
      </w:pPr>
      <w:rPr>
        <w:rFonts w:ascii="Tahoma" w:hAnsi="Tahoma" w:hint="default"/>
        <w:b w:val="0"/>
        <w:i w:val="0"/>
        <w:color w:val="auto"/>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6EB7B58"/>
    <w:multiLevelType w:val="hybridMultilevel"/>
    <w:tmpl w:val="56880830"/>
    <w:lvl w:ilvl="0" w:tplc="F06AB9D2">
      <w:start w:val="1"/>
      <w:numFmt w:val="bullet"/>
      <w:lvlText w:val=""/>
      <w:lvlJc w:val="left"/>
      <w:pPr>
        <w:ind w:left="720" w:hanging="360"/>
      </w:pPr>
      <w:rPr>
        <w:rFonts w:ascii="Wingdings" w:hAnsi="Wingdings"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21866"/>
    <w:multiLevelType w:val="hybridMultilevel"/>
    <w:tmpl w:val="75164A5C"/>
    <w:lvl w:ilvl="0" w:tplc="F06AB9D2">
      <w:start w:val="1"/>
      <w:numFmt w:val="bullet"/>
      <w:lvlText w:val=""/>
      <w:lvlJc w:val="left"/>
      <w:pPr>
        <w:ind w:left="1077" w:hanging="360"/>
      </w:pPr>
      <w:rPr>
        <w:rFonts w:ascii="Wingdings" w:hAnsi="Wingdings" w:hint="default"/>
        <w:color w:val="auto"/>
        <w:sz w:val="3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1EED1753"/>
    <w:multiLevelType w:val="hybridMultilevel"/>
    <w:tmpl w:val="E3E42804"/>
    <w:lvl w:ilvl="0" w:tplc="F06AB9D2">
      <w:start w:val="1"/>
      <w:numFmt w:val="bullet"/>
      <w:lvlText w:val=""/>
      <w:lvlJc w:val="left"/>
      <w:pPr>
        <w:ind w:left="720" w:hanging="360"/>
      </w:pPr>
      <w:rPr>
        <w:rFonts w:ascii="Wingdings" w:hAnsi="Wingdings"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87B91"/>
    <w:multiLevelType w:val="hybridMultilevel"/>
    <w:tmpl w:val="762AA638"/>
    <w:lvl w:ilvl="0" w:tplc="F06AB9D2">
      <w:start w:val="1"/>
      <w:numFmt w:val="bullet"/>
      <w:lvlText w:val=""/>
      <w:lvlJc w:val="left"/>
      <w:pPr>
        <w:ind w:left="720" w:hanging="360"/>
      </w:pPr>
      <w:rPr>
        <w:rFonts w:ascii="Wingdings" w:hAnsi="Wingdings"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0C3B84"/>
    <w:multiLevelType w:val="hybridMultilevel"/>
    <w:tmpl w:val="D64A58BE"/>
    <w:lvl w:ilvl="0" w:tplc="F06AB9D2">
      <w:start w:val="1"/>
      <w:numFmt w:val="bullet"/>
      <w:lvlText w:val=""/>
      <w:lvlJc w:val="left"/>
      <w:pPr>
        <w:ind w:left="720" w:hanging="360"/>
      </w:pPr>
      <w:rPr>
        <w:rFonts w:ascii="Wingdings" w:hAnsi="Wingdings"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59646C"/>
    <w:multiLevelType w:val="hybridMultilevel"/>
    <w:tmpl w:val="5C98CF0E"/>
    <w:lvl w:ilvl="0" w:tplc="F06AB9D2">
      <w:start w:val="1"/>
      <w:numFmt w:val="bullet"/>
      <w:lvlText w:val=""/>
      <w:lvlJc w:val="left"/>
      <w:pPr>
        <w:ind w:left="720" w:hanging="360"/>
      </w:pPr>
      <w:rPr>
        <w:rFonts w:ascii="Wingdings" w:hAnsi="Wingdings"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A27ED3"/>
    <w:multiLevelType w:val="hybridMultilevel"/>
    <w:tmpl w:val="82380488"/>
    <w:lvl w:ilvl="0" w:tplc="F06AB9D2">
      <w:start w:val="1"/>
      <w:numFmt w:val="bullet"/>
      <w:lvlText w:val=""/>
      <w:lvlJc w:val="left"/>
      <w:pPr>
        <w:ind w:left="720" w:hanging="360"/>
      </w:pPr>
      <w:rPr>
        <w:rFonts w:ascii="Wingdings" w:hAnsi="Wingdings"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22507E"/>
    <w:multiLevelType w:val="hybridMultilevel"/>
    <w:tmpl w:val="7E68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425E18"/>
    <w:multiLevelType w:val="hybridMultilevel"/>
    <w:tmpl w:val="249C000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0F95823"/>
    <w:multiLevelType w:val="hybridMultilevel"/>
    <w:tmpl w:val="0AF4B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344212"/>
    <w:multiLevelType w:val="hybridMultilevel"/>
    <w:tmpl w:val="E1F2A7AA"/>
    <w:lvl w:ilvl="0" w:tplc="F06AB9D2">
      <w:start w:val="1"/>
      <w:numFmt w:val="bullet"/>
      <w:lvlText w:val=""/>
      <w:lvlJc w:val="left"/>
      <w:pPr>
        <w:ind w:left="720" w:hanging="360"/>
      </w:pPr>
      <w:rPr>
        <w:rFonts w:ascii="Wingdings" w:hAnsi="Wingdings"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92447D"/>
    <w:multiLevelType w:val="hybridMultilevel"/>
    <w:tmpl w:val="09D69EBE"/>
    <w:lvl w:ilvl="0" w:tplc="F06AB9D2">
      <w:start w:val="1"/>
      <w:numFmt w:val="bullet"/>
      <w:lvlText w:val=""/>
      <w:lvlJc w:val="left"/>
      <w:pPr>
        <w:ind w:left="502" w:hanging="360"/>
      </w:pPr>
      <w:rPr>
        <w:rFonts w:ascii="Wingdings" w:hAnsi="Wingdings"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BB51E6"/>
    <w:multiLevelType w:val="hybridMultilevel"/>
    <w:tmpl w:val="E75E962C"/>
    <w:lvl w:ilvl="0" w:tplc="F06AB9D2">
      <w:start w:val="1"/>
      <w:numFmt w:val="bullet"/>
      <w:lvlText w:val=""/>
      <w:lvlJc w:val="left"/>
      <w:pPr>
        <w:ind w:left="502" w:hanging="360"/>
      </w:pPr>
      <w:rPr>
        <w:rFonts w:ascii="Wingdings" w:hAnsi="Wingdings"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9F28C6"/>
    <w:multiLevelType w:val="hybridMultilevel"/>
    <w:tmpl w:val="C92C21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4F040F"/>
    <w:multiLevelType w:val="hybridMultilevel"/>
    <w:tmpl w:val="C3AE6D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B41DFF"/>
    <w:multiLevelType w:val="hybridMultilevel"/>
    <w:tmpl w:val="D06E96B6"/>
    <w:lvl w:ilvl="0" w:tplc="F06AB9D2">
      <w:start w:val="1"/>
      <w:numFmt w:val="bullet"/>
      <w:lvlText w:val=""/>
      <w:lvlJc w:val="left"/>
      <w:pPr>
        <w:ind w:left="720" w:hanging="360"/>
      </w:pPr>
      <w:rPr>
        <w:rFonts w:ascii="Wingdings" w:hAnsi="Wingdings"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AE0144"/>
    <w:multiLevelType w:val="hybridMultilevel"/>
    <w:tmpl w:val="8F6EFBF2"/>
    <w:lvl w:ilvl="0" w:tplc="F06AB9D2">
      <w:start w:val="1"/>
      <w:numFmt w:val="bullet"/>
      <w:lvlText w:val=""/>
      <w:lvlJc w:val="left"/>
      <w:pPr>
        <w:ind w:left="720" w:hanging="360"/>
      </w:pPr>
      <w:rPr>
        <w:rFonts w:ascii="Wingdings" w:hAnsi="Wingdings"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6F3C9F"/>
    <w:multiLevelType w:val="hybridMultilevel"/>
    <w:tmpl w:val="D8C476DA"/>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56A00521"/>
    <w:multiLevelType w:val="hybridMultilevel"/>
    <w:tmpl w:val="04045428"/>
    <w:lvl w:ilvl="0" w:tplc="F06AB9D2">
      <w:start w:val="1"/>
      <w:numFmt w:val="bullet"/>
      <w:lvlText w:val=""/>
      <w:lvlJc w:val="left"/>
      <w:pPr>
        <w:ind w:left="720" w:hanging="360"/>
      </w:pPr>
      <w:rPr>
        <w:rFonts w:ascii="Wingdings" w:hAnsi="Wingdings"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ED17E0"/>
    <w:multiLevelType w:val="hybridMultilevel"/>
    <w:tmpl w:val="36EAF636"/>
    <w:lvl w:ilvl="0" w:tplc="F06AB9D2">
      <w:start w:val="1"/>
      <w:numFmt w:val="bullet"/>
      <w:lvlText w:val=""/>
      <w:lvlJc w:val="left"/>
      <w:pPr>
        <w:ind w:left="720" w:hanging="360"/>
      </w:pPr>
      <w:rPr>
        <w:rFonts w:ascii="Wingdings" w:hAnsi="Wingdings"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5859A7"/>
    <w:multiLevelType w:val="hybridMultilevel"/>
    <w:tmpl w:val="3CDC0EA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0FE2F8A"/>
    <w:multiLevelType w:val="hybridMultilevel"/>
    <w:tmpl w:val="20248A0A"/>
    <w:lvl w:ilvl="0" w:tplc="F06AB9D2">
      <w:start w:val="1"/>
      <w:numFmt w:val="bullet"/>
      <w:lvlText w:val=""/>
      <w:lvlJc w:val="left"/>
      <w:pPr>
        <w:ind w:left="502" w:hanging="360"/>
      </w:pPr>
      <w:rPr>
        <w:rFonts w:ascii="Wingdings" w:hAnsi="Wingdings"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7473DD"/>
    <w:multiLevelType w:val="hybridMultilevel"/>
    <w:tmpl w:val="A51A88D2"/>
    <w:lvl w:ilvl="0" w:tplc="F06AB9D2">
      <w:start w:val="1"/>
      <w:numFmt w:val="bullet"/>
      <w:lvlText w:val=""/>
      <w:lvlJc w:val="left"/>
      <w:pPr>
        <w:ind w:left="720" w:hanging="360"/>
      </w:pPr>
      <w:rPr>
        <w:rFonts w:ascii="Wingdings" w:hAnsi="Wingdings"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091CD6"/>
    <w:multiLevelType w:val="hybridMultilevel"/>
    <w:tmpl w:val="E9E22C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EF5512"/>
    <w:multiLevelType w:val="hybridMultilevel"/>
    <w:tmpl w:val="D2FA4674"/>
    <w:lvl w:ilvl="0" w:tplc="F06AB9D2">
      <w:start w:val="1"/>
      <w:numFmt w:val="bullet"/>
      <w:lvlText w:val=""/>
      <w:lvlJc w:val="left"/>
      <w:pPr>
        <w:ind w:left="720" w:hanging="360"/>
      </w:pPr>
      <w:rPr>
        <w:rFonts w:ascii="Wingdings" w:hAnsi="Wingdings"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2D4591"/>
    <w:multiLevelType w:val="hybridMultilevel"/>
    <w:tmpl w:val="13AADCB8"/>
    <w:lvl w:ilvl="0" w:tplc="F06AB9D2">
      <w:start w:val="1"/>
      <w:numFmt w:val="bullet"/>
      <w:lvlText w:val=""/>
      <w:lvlJc w:val="left"/>
      <w:pPr>
        <w:ind w:left="1077" w:hanging="360"/>
      </w:pPr>
      <w:rPr>
        <w:rFonts w:ascii="Wingdings" w:hAnsi="Wingdings" w:hint="default"/>
        <w:color w:val="auto"/>
        <w:sz w:val="3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5" w15:restartNumberingAfterBreak="0">
    <w:nsid w:val="6FBF3CC1"/>
    <w:multiLevelType w:val="hybridMultilevel"/>
    <w:tmpl w:val="E1482B08"/>
    <w:lvl w:ilvl="0" w:tplc="F06AB9D2">
      <w:start w:val="1"/>
      <w:numFmt w:val="bullet"/>
      <w:lvlText w:val=""/>
      <w:lvlJc w:val="left"/>
      <w:pPr>
        <w:ind w:left="720" w:hanging="360"/>
      </w:pPr>
      <w:rPr>
        <w:rFonts w:ascii="Wingdings" w:hAnsi="Wingdings"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BB0937"/>
    <w:multiLevelType w:val="hybridMultilevel"/>
    <w:tmpl w:val="45D68946"/>
    <w:lvl w:ilvl="0" w:tplc="F06AB9D2">
      <w:start w:val="1"/>
      <w:numFmt w:val="bullet"/>
      <w:lvlText w:val=""/>
      <w:lvlJc w:val="left"/>
      <w:pPr>
        <w:ind w:left="502" w:hanging="360"/>
      </w:pPr>
      <w:rPr>
        <w:rFonts w:ascii="Wingdings" w:hAnsi="Wingdings"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3C0C22"/>
    <w:multiLevelType w:val="hybridMultilevel"/>
    <w:tmpl w:val="42226182"/>
    <w:lvl w:ilvl="0" w:tplc="F06AB9D2">
      <w:start w:val="1"/>
      <w:numFmt w:val="bullet"/>
      <w:lvlText w:val=""/>
      <w:lvlJc w:val="left"/>
      <w:pPr>
        <w:ind w:left="720" w:hanging="360"/>
      </w:pPr>
      <w:rPr>
        <w:rFonts w:ascii="Wingdings" w:hAnsi="Wingdings"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17193E"/>
    <w:multiLevelType w:val="hybridMultilevel"/>
    <w:tmpl w:val="2306EF98"/>
    <w:lvl w:ilvl="0" w:tplc="F06AB9D2">
      <w:start w:val="1"/>
      <w:numFmt w:val="bullet"/>
      <w:lvlText w:val=""/>
      <w:lvlJc w:val="left"/>
      <w:pPr>
        <w:ind w:left="720" w:hanging="360"/>
      </w:pPr>
      <w:rPr>
        <w:rFonts w:ascii="Wingdings" w:hAnsi="Wingdings"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F4300E"/>
    <w:multiLevelType w:val="hybridMultilevel"/>
    <w:tmpl w:val="82543A62"/>
    <w:lvl w:ilvl="0" w:tplc="F06AB9D2">
      <w:start w:val="1"/>
      <w:numFmt w:val="bullet"/>
      <w:lvlText w:val=""/>
      <w:lvlJc w:val="left"/>
      <w:pPr>
        <w:ind w:left="720" w:hanging="360"/>
      </w:pPr>
      <w:rPr>
        <w:rFonts w:ascii="Wingdings" w:hAnsi="Wingdings"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1B6BD5"/>
    <w:multiLevelType w:val="hybridMultilevel"/>
    <w:tmpl w:val="69FA22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0"/>
  </w:num>
  <w:num w:numId="5">
    <w:abstractNumId w:val="20"/>
  </w:num>
  <w:num w:numId="6">
    <w:abstractNumId w:val="36"/>
  </w:num>
  <w:num w:numId="7">
    <w:abstractNumId w:val="14"/>
  </w:num>
  <w:num w:numId="8">
    <w:abstractNumId w:val="2"/>
  </w:num>
  <w:num w:numId="9">
    <w:abstractNumId w:val="31"/>
  </w:num>
  <w:num w:numId="10">
    <w:abstractNumId w:val="21"/>
  </w:num>
  <w:num w:numId="11">
    <w:abstractNumId w:val="19"/>
  </w:num>
  <w:num w:numId="12">
    <w:abstractNumId w:val="30"/>
  </w:num>
  <w:num w:numId="13">
    <w:abstractNumId w:val="11"/>
  </w:num>
  <w:num w:numId="14">
    <w:abstractNumId w:val="29"/>
  </w:num>
  <w:num w:numId="15">
    <w:abstractNumId w:val="5"/>
  </w:num>
  <w:num w:numId="16">
    <w:abstractNumId w:val="33"/>
  </w:num>
  <w:num w:numId="17">
    <w:abstractNumId w:val="3"/>
  </w:num>
  <w:num w:numId="18">
    <w:abstractNumId w:val="12"/>
  </w:num>
  <w:num w:numId="19">
    <w:abstractNumId w:val="7"/>
  </w:num>
  <w:num w:numId="20">
    <w:abstractNumId w:val="10"/>
  </w:num>
  <w:num w:numId="21">
    <w:abstractNumId w:val="34"/>
  </w:num>
  <w:num w:numId="22">
    <w:abstractNumId w:val="13"/>
  </w:num>
  <w:num w:numId="23">
    <w:abstractNumId w:val="1"/>
  </w:num>
  <w:num w:numId="24">
    <w:abstractNumId w:val="27"/>
  </w:num>
  <w:num w:numId="25">
    <w:abstractNumId w:val="35"/>
  </w:num>
  <w:num w:numId="26">
    <w:abstractNumId w:val="9"/>
  </w:num>
  <w:num w:numId="27">
    <w:abstractNumId w:val="25"/>
  </w:num>
  <w:num w:numId="28">
    <w:abstractNumId w:val="15"/>
  </w:num>
  <w:num w:numId="29">
    <w:abstractNumId w:val="39"/>
  </w:num>
  <w:num w:numId="30">
    <w:abstractNumId w:val="38"/>
  </w:num>
  <w:num w:numId="31">
    <w:abstractNumId w:val="37"/>
  </w:num>
  <w:num w:numId="32">
    <w:abstractNumId w:val="26"/>
  </w:num>
  <w:num w:numId="33">
    <w:abstractNumId w:val="32"/>
  </w:num>
  <w:num w:numId="34">
    <w:abstractNumId w:val="18"/>
  </w:num>
  <w:num w:numId="35">
    <w:abstractNumId w:val="24"/>
  </w:num>
  <w:num w:numId="36">
    <w:abstractNumId w:val="40"/>
  </w:num>
  <w:num w:numId="37">
    <w:abstractNumId w:val="22"/>
  </w:num>
  <w:num w:numId="38">
    <w:abstractNumId w:val="23"/>
  </w:num>
  <w:num w:numId="39">
    <w:abstractNumId w:val="17"/>
  </w:num>
  <w:num w:numId="40">
    <w:abstractNumId w:val="16"/>
  </w:num>
  <w:num w:numId="41">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72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9C"/>
    <w:rsid w:val="000019C5"/>
    <w:rsid w:val="000020F9"/>
    <w:rsid w:val="00002335"/>
    <w:rsid w:val="000037E8"/>
    <w:rsid w:val="00003FC8"/>
    <w:rsid w:val="0000509C"/>
    <w:rsid w:val="0000522C"/>
    <w:rsid w:val="000062A2"/>
    <w:rsid w:val="00006BD3"/>
    <w:rsid w:val="00006D0D"/>
    <w:rsid w:val="00007378"/>
    <w:rsid w:val="00007588"/>
    <w:rsid w:val="000101BB"/>
    <w:rsid w:val="00010456"/>
    <w:rsid w:val="00010F5F"/>
    <w:rsid w:val="0001126C"/>
    <w:rsid w:val="000117BB"/>
    <w:rsid w:val="00011E4E"/>
    <w:rsid w:val="000124BD"/>
    <w:rsid w:val="00012793"/>
    <w:rsid w:val="000133C8"/>
    <w:rsid w:val="00013403"/>
    <w:rsid w:val="000134CE"/>
    <w:rsid w:val="00013BD7"/>
    <w:rsid w:val="0001499B"/>
    <w:rsid w:val="00014B28"/>
    <w:rsid w:val="00016336"/>
    <w:rsid w:val="00016B57"/>
    <w:rsid w:val="0001752C"/>
    <w:rsid w:val="00020412"/>
    <w:rsid w:val="000206B1"/>
    <w:rsid w:val="0002189D"/>
    <w:rsid w:val="00021F1C"/>
    <w:rsid w:val="0002200B"/>
    <w:rsid w:val="000228CA"/>
    <w:rsid w:val="00022E6C"/>
    <w:rsid w:val="000232F3"/>
    <w:rsid w:val="00023D41"/>
    <w:rsid w:val="000246BA"/>
    <w:rsid w:val="00024851"/>
    <w:rsid w:val="00026926"/>
    <w:rsid w:val="00026F4E"/>
    <w:rsid w:val="00027077"/>
    <w:rsid w:val="000300AB"/>
    <w:rsid w:val="00032234"/>
    <w:rsid w:val="00032C49"/>
    <w:rsid w:val="000339BC"/>
    <w:rsid w:val="00033E4E"/>
    <w:rsid w:val="00034A89"/>
    <w:rsid w:val="00035B5F"/>
    <w:rsid w:val="00036BD5"/>
    <w:rsid w:val="00036C7B"/>
    <w:rsid w:val="00036D4B"/>
    <w:rsid w:val="0003712C"/>
    <w:rsid w:val="0003716C"/>
    <w:rsid w:val="00037A56"/>
    <w:rsid w:val="00040759"/>
    <w:rsid w:val="00040A8F"/>
    <w:rsid w:val="00040FBA"/>
    <w:rsid w:val="000414E0"/>
    <w:rsid w:val="000419A0"/>
    <w:rsid w:val="000431F4"/>
    <w:rsid w:val="00043459"/>
    <w:rsid w:val="0004366A"/>
    <w:rsid w:val="0004465E"/>
    <w:rsid w:val="00045B29"/>
    <w:rsid w:val="00046EB3"/>
    <w:rsid w:val="0004714D"/>
    <w:rsid w:val="00047E43"/>
    <w:rsid w:val="00050912"/>
    <w:rsid w:val="00050AB1"/>
    <w:rsid w:val="00050EE8"/>
    <w:rsid w:val="00052117"/>
    <w:rsid w:val="00055A57"/>
    <w:rsid w:val="0005636C"/>
    <w:rsid w:val="000576BF"/>
    <w:rsid w:val="00057CD3"/>
    <w:rsid w:val="00060405"/>
    <w:rsid w:val="00062006"/>
    <w:rsid w:val="000620CB"/>
    <w:rsid w:val="00062188"/>
    <w:rsid w:val="000634E0"/>
    <w:rsid w:val="000635E4"/>
    <w:rsid w:val="00064279"/>
    <w:rsid w:val="00064A18"/>
    <w:rsid w:val="00065820"/>
    <w:rsid w:val="00065C14"/>
    <w:rsid w:val="000674DB"/>
    <w:rsid w:val="0006764D"/>
    <w:rsid w:val="000678F1"/>
    <w:rsid w:val="000704DC"/>
    <w:rsid w:val="000704E8"/>
    <w:rsid w:val="0007232D"/>
    <w:rsid w:val="0007240C"/>
    <w:rsid w:val="00072797"/>
    <w:rsid w:val="00073038"/>
    <w:rsid w:val="00074F2D"/>
    <w:rsid w:val="00075AEC"/>
    <w:rsid w:val="00076AAF"/>
    <w:rsid w:val="00076E7B"/>
    <w:rsid w:val="000773D9"/>
    <w:rsid w:val="00077CA7"/>
    <w:rsid w:val="00081E8C"/>
    <w:rsid w:val="00081F94"/>
    <w:rsid w:val="00082CA3"/>
    <w:rsid w:val="00082E77"/>
    <w:rsid w:val="000830D8"/>
    <w:rsid w:val="00083898"/>
    <w:rsid w:val="00083D53"/>
    <w:rsid w:val="000840D4"/>
    <w:rsid w:val="00084B99"/>
    <w:rsid w:val="00084D2E"/>
    <w:rsid w:val="00084F8B"/>
    <w:rsid w:val="00085784"/>
    <w:rsid w:val="00085DBB"/>
    <w:rsid w:val="00087CCE"/>
    <w:rsid w:val="00090500"/>
    <w:rsid w:val="0009188C"/>
    <w:rsid w:val="000930D3"/>
    <w:rsid w:val="000932A3"/>
    <w:rsid w:val="00094070"/>
    <w:rsid w:val="00094BA6"/>
    <w:rsid w:val="00096AC8"/>
    <w:rsid w:val="0009754B"/>
    <w:rsid w:val="00097F29"/>
    <w:rsid w:val="00097F63"/>
    <w:rsid w:val="000A00AD"/>
    <w:rsid w:val="000A09E6"/>
    <w:rsid w:val="000A1C7C"/>
    <w:rsid w:val="000A288A"/>
    <w:rsid w:val="000A332D"/>
    <w:rsid w:val="000A4221"/>
    <w:rsid w:val="000A4824"/>
    <w:rsid w:val="000A543D"/>
    <w:rsid w:val="000A5A02"/>
    <w:rsid w:val="000A5B9E"/>
    <w:rsid w:val="000A6AA9"/>
    <w:rsid w:val="000A742E"/>
    <w:rsid w:val="000A7EFC"/>
    <w:rsid w:val="000B2490"/>
    <w:rsid w:val="000B3535"/>
    <w:rsid w:val="000B6B87"/>
    <w:rsid w:val="000B6C5F"/>
    <w:rsid w:val="000B7802"/>
    <w:rsid w:val="000B7D69"/>
    <w:rsid w:val="000C0259"/>
    <w:rsid w:val="000C122C"/>
    <w:rsid w:val="000C2159"/>
    <w:rsid w:val="000C2291"/>
    <w:rsid w:val="000C2B36"/>
    <w:rsid w:val="000C35DE"/>
    <w:rsid w:val="000C3C23"/>
    <w:rsid w:val="000C48A3"/>
    <w:rsid w:val="000C4F7F"/>
    <w:rsid w:val="000C5360"/>
    <w:rsid w:val="000C5FDC"/>
    <w:rsid w:val="000C7064"/>
    <w:rsid w:val="000C7E38"/>
    <w:rsid w:val="000D0BB9"/>
    <w:rsid w:val="000D0BC9"/>
    <w:rsid w:val="000D10C5"/>
    <w:rsid w:val="000D1353"/>
    <w:rsid w:val="000D16D5"/>
    <w:rsid w:val="000D2DF3"/>
    <w:rsid w:val="000D2FD8"/>
    <w:rsid w:val="000D3827"/>
    <w:rsid w:val="000D47A3"/>
    <w:rsid w:val="000D47EB"/>
    <w:rsid w:val="000D605F"/>
    <w:rsid w:val="000D69B3"/>
    <w:rsid w:val="000D6FA8"/>
    <w:rsid w:val="000D7820"/>
    <w:rsid w:val="000E1171"/>
    <w:rsid w:val="000E131D"/>
    <w:rsid w:val="000E2038"/>
    <w:rsid w:val="000E2B30"/>
    <w:rsid w:val="000E2E01"/>
    <w:rsid w:val="000E388B"/>
    <w:rsid w:val="000E3D6F"/>
    <w:rsid w:val="000E3FBC"/>
    <w:rsid w:val="000E4290"/>
    <w:rsid w:val="000E5040"/>
    <w:rsid w:val="000E5A94"/>
    <w:rsid w:val="000E5D39"/>
    <w:rsid w:val="000E797F"/>
    <w:rsid w:val="000E7AC6"/>
    <w:rsid w:val="000F1182"/>
    <w:rsid w:val="000F12C7"/>
    <w:rsid w:val="000F2C30"/>
    <w:rsid w:val="000F3D9B"/>
    <w:rsid w:val="000F4454"/>
    <w:rsid w:val="000F5070"/>
    <w:rsid w:val="000F5DD2"/>
    <w:rsid w:val="000F60FF"/>
    <w:rsid w:val="000F7D0F"/>
    <w:rsid w:val="00101567"/>
    <w:rsid w:val="001023CB"/>
    <w:rsid w:val="001029FB"/>
    <w:rsid w:val="00102B5A"/>
    <w:rsid w:val="00103A95"/>
    <w:rsid w:val="00103AB3"/>
    <w:rsid w:val="00103E5B"/>
    <w:rsid w:val="00103F06"/>
    <w:rsid w:val="00104698"/>
    <w:rsid w:val="001054B5"/>
    <w:rsid w:val="001056A5"/>
    <w:rsid w:val="00105CB4"/>
    <w:rsid w:val="00106622"/>
    <w:rsid w:val="001072E5"/>
    <w:rsid w:val="00107B8A"/>
    <w:rsid w:val="00107FB3"/>
    <w:rsid w:val="001103E0"/>
    <w:rsid w:val="0011080D"/>
    <w:rsid w:val="001116EF"/>
    <w:rsid w:val="00111EC2"/>
    <w:rsid w:val="001123ED"/>
    <w:rsid w:val="00114A1F"/>
    <w:rsid w:val="00114E22"/>
    <w:rsid w:val="00115050"/>
    <w:rsid w:val="001150CF"/>
    <w:rsid w:val="00115671"/>
    <w:rsid w:val="00116FD0"/>
    <w:rsid w:val="00117CFF"/>
    <w:rsid w:val="00120410"/>
    <w:rsid w:val="0012057C"/>
    <w:rsid w:val="0012090F"/>
    <w:rsid w:val="00121519"/>
    <w:rsid w:val="00121926"/>
    <w:rsid w:val="001245B9"/>
    <w:rsid w:val="00125D2E"/>
    <w:rsid w:val="00126572"/>
    <w:rsid w:val="00126A7B"/>
    <w:rsid w:val="00127679"/>
    <w:rsid w:val="00127728"/>
    <w:rsid w:val="00130C4D"/>
    <w:rsid w:val="0013101C"/>
    <w:rsid w:val="00131A47"/>
    <w:rsid w:val="00131DAB"/>
    <w:rsid w:val="00132FC1"/>
    <w:rsid w:val="00133CF9"/>
    <w:rsid w:val="00133E86"/>
    <w:rsid w:val="00133EBC"/>
    <w:rsid w:val="00134FB2"/>
    <w:rsid w:val="0013525C"/>
    <w:rsid w:val="0013565B"/>
    <w:rsid w:val="00136131"/>
    <w:rsid w:val="001361F5"/>
    <w:rsid w:val="00136668"/>
    <w:rsid w:val="00136F3D"/>
    <w:rsid w:val="0013726E"/>
    <w:rsid w:val="001373C1"/>
    <w:rsid w:val="00137744"/>
    <w:rsid w:val="00137C55"/>
    <w:rsid w:val="001401C3"/>
    <w:rsid w:val="00140B9B"/>
    <w:rsid w:val="00142792"/>
    <w:rsid w:val="00143DE2"/>
    <w:rsid w:val="00145C08"/>
    <w:rsid w:val="001460CF"/>
    <w:rsid w:val="00146CB5"/>
    <w:rsid w:val="00147CE0"/>
    <w:rsid w:val="00147DB8"/>
    <w:rsid w:val="00147F03"/>
    <w:rsid w:val="0015055C"/>
    <w:rsid w:val="00150815"/>
    <w:rsid w:val="001514E3"/>
    <w:rsid w:val="0015195B"/>
    <w:rsid w:val="00151BD6"/>
    <w:rsid w:val="001523BE"/>
    <w:rsid w:val="00152C1D"/>
    <w:rsid w:val="0015345F"/>
    <w:rsid w:val="00153DAC"/>
    <w:rsid w:val="0015618B"/>
    <w:rsid w:val="00157131"/>
    <w:rsid w:val="00157564"/>
    <w:rsid w:val="00157A7A"/>
    <w:rsid w:val="00157AEC"/>
    <w:rsid w:val="0016186A"/>
    <w:rsid w:val="001634C2"/>
    <w:rsid w:val="001637E2"/>
    <w:rsid w:val="00164BEB"/>
    <w:rsid w:val="0016524B"/>
    <w:rsid w:val="00165392"/>
    <w:rsid w:val="00165B5F"/>
    <w:rsid w:val="00166A60"/>
    <w:rsid w:val="0016772A"/>
    <w:rsid w:val="00170044"/>
    <w:rsid w:val="00170212"/>
    <w:rsid w:val="00171ECF"/>
    <w:rsid w:val="0017200D"/>
    <w:rsid w:val="00172C56"/>
    <w:rsid w:val="00173C45"/>
    <w:rsid w:val="001747C9"/>
    <w:rsid w:val="00174E1B"/>
    <w:rsid w:val="00174F0C"/>
    <w:rsid w:val="001750E1"/>
    <w:rsid w:val="0017563A"/>
    <w:rsid w:val="00175D17"/>
    <w:rsid w:val="00176843"/>
    <w:rsid w:val="00177114"/>
    <w:rsid w:val="001773FA"/>
    <w:rsid w:val="00177AB6"/>
    <w:rsid w:val="00181811"/>
    <w:rsid w:val="001827AC"/>
    <w:rsid w:val="00182A1C"/>
    <w:rsid w:val="00184023"/>
    <w:rsid w:val="00184562"/>
    <w:rsid w:val="001847F2"/>
    <w:rsid w:val="00184B1F"/>
    <w:rsid w:val="00184B5B"/>
    <w:rsid w:val="00186741"/>
    <w:rsid w:val="00186FD8"/>
    <w:rsid w:val="00187B37"/>
    <w:rsid w:val="00187EA8"/>
    <w:rsid w:val="0019100F"/>
    <w:rsid w:val="00191F32"/>
    <w:rsid w:val="00193485"/>
    <w:rsid w:val="00193538"/>
    <w:rsid w:val="00194870"/>
    <w:rsid w:val="001949D7"/>
    <w:rsid w:val="00194D27"/>
    <w:rsid w:val="00194EDD"/>
    <w:rsid w:val="0019565E"/>
    <w:rsid w:val="00197915"/>
    <w:rsid w:val="001A0F4A"/>
    <w:rsid w:val="001A1074"/>
    <w:rsid w:val="001A1D68"/>
    <w:rsid w:val="001A2FB3"/>
    <w:rsid w:val="001A4C55"/>
    <w:rsid w:val="001A5174"/>
    <w:rsid w:val="001A5E6C"/>
    <w:rsid w:val="001A6C66"/>
    <w:rsid w:val="001A6D40"/>
    <w:rsid w:val="001A74CA"/>
    <w:rsid w:val="001A7690"/>
    <w:rsid w:val="001A7A1E"/>
    <w:rsid w:val="001B0055"/>
    <w:rsid w:val="001B0D18"/>
    <w:rsid w:val="001B1345"/>
    <w:rsid w:val="001B2C55"/>
    <w:rsid w:val="001B2E99"/>
    <w:rsid w:val="001B2EF8"/>
    <w:rsid w:val="001B3A03"/>
    <w:rsid w:val="001B3DD8"/>
    <w:rsid w:val="001B3F8F"/>
    <w:rsid w:val="001B48D3"/>
    <w:rsid w:val="001B566E"/>
    <w:rsid w:val="001B5791"/>
    <w:rsid w:val="001B599A"/>
    <w:rsid w:val="001B66BD"/>
    <w:rsid w:val="001B6802"/>
    <w:rsid w:val="001B6A1C"/>
    <w:rsid w:val="001B6F28"/>
    <w:rsid w:val="001C06E9"/>
    <w:rsid w:val="001C17A1"/>
    <w:rsid w:val="001C1D56"/>
    <w:rsid w:val="001C28C0"/>
    <w:rsid w:val="001C38B6"/>
    <w:rsid w:val="001C3B27"/>
    <w:rsid w:val="001C3C2F"/>
    <w:rsid w:val="001C5127"/>
    <w:rsid w:val="001C5A46"/>
    <w:rsid w:val="001C5FE4"/>
    <w:rsid w:val="001C7879"/>
    <w:rsid w:val="001D158C"/>
    <w:rsid w:val="001D19C8"/>
    <w:rsid w:val="001D22E5"/>
    <w:rsid w:val="001D2ECF"/>
    <w:rsid w:val="001D4093"/>
    <w:rsid w:val="001D4F9E"/>
    <w:rsid w:val="001D5791"/>
    <w:rsid w:val="001D6D03"/>
    <w:rsid w:val="001D6D90"/>
    <w:rsid w:val="001E0617"/>
    <w:rsid w:val="001E2175"/>
    <w:rsid w:val="001E500B"/>
    <w:rsid w:val="001E51EE"/>
    <w:rsid w:val="001E5D6B"/>
    <w:rsid w:val="001E6390"/>
    <w:rsid w:val="001E67B2"/>
    <w:rsid w:val="001F03AC"/>
    <w:rsid w:val="001F04A6"/>
    <w:rsid w:val="001F0F18"/>
    <w:rsid w:val="001F117F"/>
    <w:rsid w:val="001F3130"/>
    <w:rsid w:val="001F31DF"/>
    <w:rsid w:val="001F33E2"/>
    <w:rsid w:val="001F364D"/>
    <w:rsid w:val="001F37D1"/>
    <w:rsid w:val="001F4063"/>
    <w:rsid w:val="001F433B"/>
    <w:rsid w:val="001F465E"/>
    <w:rsid w:val="001F56A8"/>
    <w:rsid w:val="001F6922"/>
    <w:rsid w:val="00200B9E"/>
    <w:rsid w:val="00202EB7"/>
    <w:rsid w:val="00203EB5"/>
    <w:rsid w:val="0020413B"/>
    <w:rsid w:val="00204609"/>
    <w:rsid w:val="00204791"/>
    <w:rsid w:val="00204997"/>
    <w:rsid w:val="002049F0"/>
    <w:rsid w:val="00205DBC"/>
    <w:rsid w:val="00206FF7"/>
    <w:rsid w:val="0020794B"/>
    <w:rsid w:val="00207B0C"/>
    <w:rsid w:val="00210282"/>
    <w:rsid w:val="00210AF8"/>
    <w:rsid w:val="00211793"/>
    <w:rsid w:val="00212A16"/>
    <w:rsid w:val="002131E4"/>
    <w:rsid w:val="00213322"/>
    <w:rsid w:val="00213B4A"/>
    <w:rsid w:val="0021438C"/>
    <w:rsid w:val="00214FE1"/>
    <w:rsid w:val="00215509"/>
    <w:rsid w:val="00216C14"/>
    <w:rsid w:val="002176AF"/>
    <w:rsid w:val="00220B25"/>
    <w:rsid w:val="002210C3"/>
    <w:rsid w:val="00223D44"/>
    <w:rsid w:val="00223F0C"/>
    <w:rsid w:val="00227A33"/>
    <w:rsid w:val="002314EB"/>
    <w:rsid w:val="00231CC7"/>
    <w:rsid w:val="00234B4B"/>
    <w:rsid w:val="00234E46"/>
    <w:rsid w:val="00234E8F"/>
    <w:rsid w:val="002357BC"/>
    <w:rsid w:val="00235C76"/>
    <w:rsid w:val="00236F6A"/>
    <w:rsid w:val="00237AF7"/>
    <w:rsid w:val="00240092"/>
    <w:rsid w:val="002415A2"/>
    <w:rsid w:val="0024185B"/>
    <w:rsid w:val="00241A6A"/>
    <w:rsid w:val="00242A1E"/>
    <w:rsid w:val="00243709"/>
    <w:rsid w:val="00243CDA"/>
    <w:rsid w:val="00244BC8"/>
    <w:rsid w:val="00244D4F"/>
    <w:rsid w:val="00245FE3"/>
    <w:rsid w:val="00246C22"/>
    <w:rsid w:val="00246CCB"/>
    <w:rsid w:val="00247A8E"/>
    <w:rsid w:val="00247AE3"/>
    <w:rsid w:val="00250C3C"/>
    <w:rsid w:val="00251062"/>
    <w:rsid w:val="00252421"/>
    <w:rsid w:val="00252D8E"/>
    <w:rsid w:val="00253F9A"/>
    <w:rsid w:val="00254A64"/>
    <w:rsid w:val="00254D1B"/>
    <w:rsid w:val="00254E34"/>
    <w:rsid w:val="002557DC"/>
    <w:rsid w:val="0025609B"/>
    <w:rsid w:val="00256977"/>
    <w:rsid w:val="00256A42"/>
    <w:rsid w:val="00256F63"/>
    <w:rsid w:val="002603E0"/>
    <w:rsid w:val="0026196E"/>
    <w:rsid w:val="00262534"/>
    <w:rsid w:val="0026297B"/>
    <w:rsid w:val="002629E8"/>
    <w:rsid w:val="00263D0B"/>
    <w:rsid w:val="00264832"/>
    <w:rsid w:val="00264A5F"/>
    <w:rsid w:val="00265968"/>
    <w:rsid w:val="00265E8B"/>
    <w:rsid w:val="00266CB1"/>
    <w:rsid w:val="00267413"/>
    <w:rsid w:val="00267AAE"/>
    <w:rsid w:val="00267B4C"/>
    <w:rsid w:val="0027116D"/>
    <w:rsid w:val="00271BE7"/>
    <w:rsid w:val="002721FF"/>
    <w:rsid w:val="00272AC7"/>
    <w:rsid w:val="00273B53"/>
    <w:rsid w:val="00274BD5"/>
    <w:rsid w:val="00274DF6"/>
    <w:rsid w:val="0027523F"/>
    <w:rsid w:val="0027593C"/>
    <w:rsid w:val="00275EC6"/>
    <w:rsid w:val="0028013D"/>
    <w:rsid w:val="002801CF"/>
    <w:rsid w:val="00280C2E"/>
    <w:rsid w:val="00280FAE"/>
    <w:rsid w:val="002817B1"/>
    <w:rsid w:val="00282989"/>
    <w:rsid w:val="00282AD7"/>
    <w:rsid w:val="00282E8F"/>
    <w:rsid w:val="0028321A"/>
    <w:rsid w:val="0028415D"/>
    <w:rsid w:val="00285976"/>
    <w:rsid w:val="00285C51"/>
    <w:rsid w:val="00286E47"/>
    <w:rsid w:val="00290F2B"/>
    <w:rsid w:val="002913EB"/>
    <w:rsid w:val="00291D70"/>
    <w:rsid w:val="00291D8A"/>
    <w:rsid w:val="00292AEC"/>
    <w:rsid w:val="0029399E"/>
    <w:rsid w:val="0029451E"/>
    <w:rsid w:val="002947B7"/>
    <w:rsid w:val="0029514E"/>
    <w:rsid w:val="002978A6"/>
    <w:rsid w:val="00297FAB"/>
    <w:rsid w:val="002A1F22"/>
    <w:rsid w:val="002A2129"/>
    <w:rsid w:val="002A28C4"/>
    <w:rsid w:val="002A2E83"/>
    <w:rsid w:val="002A33E7"/>
    <w:rsid w:val="002A3C45"/>
    <w:rsid w:val="002A4DA4"/>
    <w:rsid w:val="002A57E8"/>
    <w:rsid w:val="002A5AAF"/>
    <w:rsid w:val="002A6D1E"/>
    <w:rsid w:val="002B0DAD"/>
    <w:rsid w:val="002B0E60"/>
    <w:rsid w:val="002B2E10"/>
    <w:rsid w:val="002B318F"/>
    <w:rsid w:val="002B343A"/>
    <w:rsid w:val="002B358D"/>
    <w:rsid w:val="002B3783"/>
    <w:rsid w:val="002B43D2"/>
    <w:rsid w:val="002B48A0"/>
    <w:rsid w:val="002B685C"/>
    <w:rsid w:val="002B6EA1"/>
    <w:rsid w:val="002C02C1"/>
    <w:rsid w:val="002C05CF"/>
    <w:rsid w:val="002C0F28"/>
    <w:rsid w:val="002C192D"/>
    <w:rsid w:val="002C2E6B"/>
    <w:rsid w:val="002C3210"/>
    <w:rsid w:val="002C3534"/>
    <w:rsid w:val="002C36B5"/>
    <w:rsid w:val="002C4A9F"/>
    <w:rsid w:val="002C5989"/>
    <w:rsid w:val="002C716F"/>
    <w:rsid w:val="002C79A9"/>
    <w:rsid w:val="002C79E2"/>
    <w:rsid w:val="002C7E75"/>
    <w:rsid w:val="002D0CC5"/>
    <w:rsid w:val="002D229D"/>
    <w:rsid w:val="002D2911"/>
    <w:rsid w:val="002D2CC6"/>
    <w:rsid w:val="002D3099"/>
    <w:rsid w:val="002D3253"/>
    <w:rsid w:val="002D680F"/>
    <w:rsid w:val="002D6886"/>
    <w:rsid w:val="002D6DC2"/>
    <w:rsid w:val="002D7495"/>
    <w:rsid w:val="002D749D"/>
    <w:rsid w:val="002E032E"/>
    <w:rsid w:val="002E0506"/>
    <w:rsid w:val="002E0564"/>
    <w:rsid w:val="002E0928"/>
    <w:rsid w:val="002E13AD"/>
    <w:rsid w:val="002E1402"/>
    <w:rsid w:val="002E247A"/>
    <w:rsid w:val="002E2E44"/>
    <w:rsid w:val="002E31C7"/>
    <w:rsid w:val="002E3925"/>
    <w:rsid w:val="002E3AC4"/>
    <w:rsid w:val="002E47EC"/>
    <w:rsid w:val="002E530F"/>
    <w:rsid w:val="002E7970"/>
    <w:rsid w:val="002F117B"/>
    <w:rsid w:val="002F1240"/>
    <w:rsid w:val="002F1622"/>
    <w:rsid w:val="002F1871"/>
    <w:rsid w:val="002F2371"/>
    <w:rsid w:val="002F2D93"/>
    <w:rsid w:val="002F32C5"/>
    <w:rsid w:val="002F379E"/>
    <w:rsid w:val="002F37D9"/>
    <w:rsid w:val="002F4707"/>
    <w:rsid w:val="002F4945"/>
    <w:rsid w:val="002F5314"/>
    <w:rsid w:val="002F55AE"/>
    <w:rsid w:val="002F60AD"/>
    <w:rsid w:val="002F6CFF"/>
    <w:rsid w:val="002F6ED2"/>
    <w:rsid w:val="002F6F16"/>
    <w:rsid w:val="002F7BBC"/>
    <w:rsid w:val="003000A9"/>
    <w:rsid w:val="003004E6"/>
    <w:rsid w:val="003007C1"/>
    <w:rsid w:val="00300F12"/>
    <w:rsid w:val="00302190"/>
    <w:rsid w:val="00302780"/>
    <w:rsid w:val="00302DA3"/>
    <w:rsid w:val="0030329B"/>
    <w:rsid w:val="003032DC"/>
    <w:rsid w:val="00303A78"/>
    <w:rsid w:val="003042DA"/>
    <w:rsid w:val="003043A2"/>
    <w:rsid w:val="003066D2"/>
    <w:rsid w:val="003068F4"/>
    <w:rsid w:val="003113C0"/>
    <w:rsid w:val="00311B08"/>
    <w:rsid w:val="00311C80"/>
    <w:rsid w:val="00313644"/>
    <w:rsid w:val="00314FF6"/>
    <w:rsid w:val="0031561B"/>
    <w:rsid w:val="003164EF"/>
    <w:rsid w:val="00321ED5"/>
    <w:rsid w:val="00322350"/>
    <w:rsid w:val="003224A7"/>
    <w:rsid w:val="003225DA"/>
    <w:rsid w:val="00322A08"/>
    <w:rsid w:val="00322CC2"/>
    <w:rsid w:val="003248EB"/>
    <w:rsid w:val="00325C6F"/>
    <w:rsid w:val="00326678"/>
    <w:rsid w:val="0032720F"/>
    <w:rsid w:val="00327517"/>
    <w:rsid w:val="00327717"/>
    <w:rsid w:val="003304E1"/>
    <w:rsid w:val="00331700"/>
    <w:rsid w:val="00331C35"/>
    <w:rsid w:val="00332E10"/>
    <w:rsid w:val="00332F3B"/>
    <w:rsid w:val="00333F27"/>
    <w:rsid w:val="003359EC"/>
    <w:rsid w:val="00335DBD"/>
    <w:rsid w:val="003364FF"/>
    <w:rsid w:val="00340AD1"/>
    <w:rsid w:val="00340E3D"/>
    <w:rsid w:val="00341410"/>
    <w:rsid w:val="00342603"/>
    <w:rsid w:val="00342D75"/>
    <w:rsid w:val="00342FA0"/>
    <w:rsid w:val="00343007"/>
    <w:rsid w:val="00343E72"/>
    <w:rsid w:val="00344E78"/>
    <w:rsid w:val="00347676"/>
    <w:rsid w:val="003504BC"/>
    <w:rsid w:val="0035098B"/>
    <w:rsid w:val="0035115B"/>
    <w:rsid w:val="00351690"/>
    <w:rsid w:val="00352410"/>
    <w:rsid w:val="003524E9"/>
    <w:rsid w:val="003526EC"/>
    <w:rsid w:val="0035368F"/>
    <w:rsid w:val="0035544D"/>
    <w:rsid w:val="003559FA"/>
    <w:rsid w:val="00355EBA"/>
    <w:rsid w:val="00356A33"/>
    <w:rsid w:val="00356B62"/>
    <w:rsid w:val="00356C3D"/>
    <w:rsid w:val="00360C9A"/>
    <w:rsid w:val="00362B4A"/>
    <w:rsid w:val="0036371C"/>
    <w:rsid w:val="00363E91"/>
    <w:rsid w:val="0036426C"/>
    <w:rsid w:val="00365276"/>
    <w:rsid w:val="00365E34"/>
    <w:rsid w:val="0036632F"/>
    <w:rsid w:val="003668C1"/>
    <w:rsid w:val="00366F95"/>
    <w:rsid w:val="0036704B"/>
    <w:rsid w:val="00367AC5"/>
    <w:rsid w:val="0037094D"/>
    <w:rsid w:val="00371365"/>
    <w:rsid w:val="00371B1F"/>
    <w:rsid w:val="003728A7"/>
    <w:rsid w:val="00373224"/>
    <w:rsid w:val="003736F1"/>
    <w:rsid w:val="0037506E"/>
    <w:rsid w:val="003756AE"/>
    <w:rsid w:val="00376E24"/>
    <w:rsid w:val="00376E7C"/>
    <w:rsid w:val="00377032"/>
    <w:rsid w:val="00381A18"/>
    <w:rsid w:val="0038214B"/>
    <w:rsid w:val="00382389"/>
    <w:rsid w:val="00382C32"/>
    <w:rsid w:val="00383AD7"/>
    <w:rsid w:val="003846CB"/>
    <w:rsid w:val="00384956"/>
    <w:rsid w:val="00385A09"/>
    <w:rsid w:val="00385BA5"/>
    <w:rsid w:val="00386057"/>
    <w:rsid w:val="00386F0C"/>
    <w:rsid w:val="003878CE"/>
    <w:rsid w:val="00387F4F"/>
    <w:rsid w:val="00387F6C"/>
    <w:rsid w:val="00390ED8"/>
    <w:rsid w:val="0039108E"/>
    <w:rsid w:val="00391674"/>
    <w:rsid w:val="00392BBF"/>
    <w:rsid w:val="00392CF8"/>
    <w:rsid w:val="00393494"/>
    <w:rsid w:val="003939DC"/>
    <w:rsid w:val="00393CE6"/>
    <w:rsid w:val="003943C2"/>
    <w:rsid w:val="00395130"/>
    <w:rsid w:val="00395794"/>
    <w:rsid w:val="00395A74"/>
    <w:rsid w:val="00395AA4"/>
    <w:rsid w:val="00395FD5"/>
    <w:rsid w:val="003961CE"/>
    <w:rsid w:val="00396E73"/>
    <w:rsid w:val="00397807"/>
    <w:rsid w:val="0039789F"/>
    <w:rsid w:val="003978C9"/>
    <w:rsid w:val="003A03C1"/>
    <w:rsid w:val="003A0CE0"/>
    <w:rsid w:val="003A2D76"/>
    <w:rsid w:val="003A3C40"/>
    <w:rsid w:val="003A454F"/>
    <w:rsid w:val="003A548D"/>
    <w:rsid w:val="003A5E73"/>
    <w:rsid w:val="003A644C"/>
    <w:rsid w:val="003A6923"/>
    <w:rsid w:val="003A6D78"/>
    <w:rsid w:val="003A7941"/>
    <w:rsid w:val="003A7F04"/>
    <w:rsid w:val="003B0A82"/>
    <w:rsid w:val="003B2414"/>
    <w:rsid w:val="003B32DF"/>
    <w:rsid w:val="003B3526"/>
    <w:rsid w:val="003B3E99"/>
    <w:rsid w:val="003B4285"/>
    <w:rsid w:val="003B44F5"/>
    <w:rsid w:val="003B4C81"/>
    <w:rsid w:val="003B5D6A"/>
    <w:rsid w:val="003B6ECD"/>
    <w:rsid w:val="003C0D17"/>
    <w:rsid w:val="003C1A5A"/>
    <w:rsid w:val="003C2154"/>
    <w:rsid w:val="003C2BA8"/>
    <w:rsid w:val="003C3A1A"/>
    <w:rsid w:val="003C41EE"/>
    <w:rsid w:val="003D1743"/>
    <w:rsid w:val="003D207C"/>
    <w:rsid w:val="003D2BBD"/>
    <w:rsid w:val="003D2D83"/>
    <w:rsid w:val="003D43F5"/>
    <w:rsid w:val="003D4AEF"/>
    <w:rsid w:val="003D5081"/>
    <w:rsid w:val="003D5CFF"/>
    <w:rsid w:val="003D60D2"/>
    <w:rsid w:val="003D61CD"/>
    <w:rsid w:val="003D7A39"/>
    <w:rsid w:val="003D7E13"/>
    <w:rsid w:val="003E0B75"/>
    <w:rsid w:val="003E186F"/>
    <w:rsid w:val="003E18D5"/>
    <w:rsid w:val="003E1D72"/>
    <w:rsid w:val="003E1DDA"/>
    <w:rsid w:val="003E2E9A"/>
    <w:rsid w:val="003E34BF"/>
    <w:rsid w:val="003E372B"/>
    <w:rsid w:val="003E3C2E"/>
    <w:rsid w:val="003E4731"/>
    <w:rsid w:val="003E4982"/>
    <w:rsid w:val="003E51E9"/>
    <w:rsid w:val="003E5B47"/>
    <w:rsid w:val="003E5BAF"/>
    <w:rsid w:val="003E5DE8"/>
    <w:rsid w:val="003E6950"/>
    <w:rsid w:val="003E6BB4"/>
    <w:rsid w:val="003E7013"/>
    <w:rsid w:val="003E7FCE"/>
    <w:rsid w:val="003F14A0"/>
    <w:rsid w:val="003F1BFA"/>
    <w:rsid w:val="003F2737"/>
    <w:rsid w:val="003F3D52"/>
    <w:rsid w:val="003F3E68"/>
    <w:rsid w:val="003F4E20"/>
    <w:rsid w:val="003F5161"/>
    <w:rsid w:val="003F51EA"/>
    <w:rsid w:val="003F56A6"/>
    <w:rsid w:val="003F5F4A"/>
    <w:rsid w:val="003F6F13"/>
    <w:rsid w:val="003F7660"/>
    <w:rsid w:val="003F7934"/>
    <w:rsid w:val="00400012"/>
    <w:rsid w:val="004009F2"/>
    <w:rsid w:val="004010C6"/>
    <w:rsid w:val="00402E62"/>
    <w:rsid w:val="00403408"/>
    <w:rsid w:val="00404E1B"/>
    <w:rsid w:val="00405382"/>
    <w:rsid w:val="00406D07"/>
    <w:rsid w:val="00407386"/>
    <w:rsid w:val="00410386"/>
    <w:rsid w:val="00410C0B"/>
    <w:rsid w:val="0041316F"/>
    <w:rsid w:val="0041459B"/>
    <w:rsid w:val="004154DE"/>
    <w:rsid w:val="00415B33"/>
    <w:rsid w:val="00415EC4"/>
    <w:rsid w:val="00416733"/>
    <w:rsid w:val="004167AC"/>
    <w:rsid w:val="00416DE7"/>
    <w:rsid w:val="00417D99"/>
    <w:rsid w:val="00422314"/>
    <w:rsid w:val="00422DA1"/>
    <w:rsid w:val="00423261"/>
    <w:rsid w:val="00423E30"/>
    <w:rsid w:val="004244EA"/>
    <w:rsid w:val="00424615"/>
    <w:rsid w:val="00424832"/>
    <w:rsid w:val="00424FCF"/>
    <w:rsid w:val="0042575C"/>
    <w:rsid w:val="00425B46"/>
    <w:rsid w:val="00425CAE"/>
    <w:rsid w:val="00426D88"/>
    <w:rsid w:val="0042733D"/>
    <w:rsid w:val="004307DE"/>
    <w:rsid w:val="00432031"/>
    <w:rsid w:val="00432B4F"/>
    <w:rsid w:val="004333D4"/>
    <w:rsid w:val="004336D5"/>
    <w:rsid w:val="00433DB0"/>
    <w:rsid w:val="004348AE"/>
    <w:rsid w:val="00435B07"/>
    <w:rsid w:val="0043683B"/>
    <w:rsid w:val="004370C4"/>
    <w:rsid w:val="00437192"/>
    <w:rsid w:val="00441087"/>
    <w:rsid w:val="0044350F"/>
    <w:rsid w:val="00443696"/>
    <w:rsid w:val="00443AF7"/>
    <w:rsid w:val="00443B8E"/>
    <w:rsid w:val="004472FD"/>
    <w:rsid w:val="0044746B"/>
    <w:rsid w:val="00447F2C"/>
    <w:rsid w:val="0045016B"/>
    <w:rsid w:val="0045047C"/>
    <w:rsid w:val="004520FF"/>
    <w:rsid w:val="00452AF8"/>
    <w:rsid w:val="00452D8E"/>
    <w:rsid w:val="00453023"/>
    <w:rsid w:val="00453403"/>
    <w:rsid w:val="00453735"/>
    <w:rsid w:val="0045384D"/>
    <w:rsid w:val="004549E0"/>
    <w:rsid w:val="0045753A"/>
    <w:rsid w:val="00457D76"/>
    <w:rsid w:val="0046000E"/>
    <w:rsid w:val="00460307"/>
    <w:rsid w:val="00461630"/>
    <w:rsid w:val="004629C0"/>
    <w:rsid w:val="004632F4"/>
    <w:rsid w:val="004639F7"/>
    <w:rsid w:val="00463B81"/>
    <w:rsid w:val="00464020"/>
    <w:rsid w:val="0046474B"/>
    <w:rsid w:val="00465A7E"/>
    <w:rsid w:val="0046611E"/>
    <w:rsid w:val="0046647F"/>
    <w:rsid w:val="00467B2F"/>
    <w:rsid w:val="00467DC3"/>
    <w:rsid w:val="00467EC4"/>
    <w:rsid w:val="0047044B"/>
    <w:rsid w:val="00470674"/>
    <w:rsid w:val="00471BC2"/>
    <w:rsid w:val="0047236D"/>
    <w:rsid w:val="00472FC3"/>
    <w:rsid w:val="0047347C"/>
    <w:rsid w:val="00474201"/>
    <w:rsid w:val="00474C84"/>
    <w:rsid w:val="00474D2E"/>
    <w:rsid w:val="0047544D"/>
    <w:rsid w:val="00475C7E"/>
    <w:rsid w:val="004773B0"/>
    <w:rsid w:val="0047797E"/>
    <w:rsid w:val="00481807"/>
    <w:rsid w:val="00481827"/>
    <w:rsid w:val="00481E1E"/>
    <w:rsid w:val="00482720"/>
    <w:rsid w:val="00482DAF"/>
    <w:rsid w:val="004830B8"/>
    <w:rsid w:val="0048354E"/>
    <w:rsid w:val="00483B3E"/>
    <w:rsid w:val="00484F22"/>
    <w:rsid w:val="004857FD"/>
    <w:rsid w:val="00485FB1"/>
    <w:rsid w:val="004874A6"/>
    <w:rsid w:val="00490521"/>
    <w:rsid w:val="00490F9F"/>
    <w:rsid w:val="004923E8"/>
    <w:rsid w:val="0049266F"/>
    <w:rsid w:val="0049510D"/>
    <w:rsid w:val="00495258"/>
    <w:rsid w:val="00495D21"/>
    <w:rsid w:val="004967A9"/>
    <w:rsid w:val="00496E9B"/>
    <w:rsid w:val="004970A8"/>
    <w:rsid w:val="00497819"/>
    <w:rsid w:val="00497DF5"/>
    <w:rsid w:val="004A00C2"/>
    <w:rsid w:val="004A0CCF"/>
    <w:rsid w:val="004A0DE2"/>
    <w:rsid w:val="004A1543"/>
    <w:rsid w:val="004A1577"/>
    <w:rsid w:val="004A1B21"/>
    <w:rsid w:val="004A2BBE"/>
    <w:rsid w:val="004A2BC9"/>
    <w:rsid w:val="004A3875"/>
    <w:rsid w:val="004A3AE2"/>
    <w:rsid w:val="004A3B89"/>
    <w:rsid w:val="004A440D"/>
    <w:rsid w:val="004A5E5F"/>
    <w:rsid w:val="004A670B"/>
    <w:rsid w:val="004A6C99"/>
    <w:rsid w:val="004A794B"/>
    <w:rsid w:val="004B14AF"/>
    <w:rsid w:val="004B20BA"/>
    <w:rsid w:val="004B2983"/>
    <w:rsid w:val="004B2F3E"/>
    <w:rsid w:val="004B3391"/>
    <w:rsid w:val="004B360B"/>
    <w:rsid w:val="004B3FB5"/>
    <w:rsid w:val="004B4861"/>
    <w:rsid w:val="004B7EB4"/>
    <w:rsid w:val="004B7F5C"/>
    <w:rsid w:val="004C0A95"/>
    <w:rsid w:val="004C1D30"/>
    <w:rsid w:val="004C20E1"/>
    <w:rsid w:val="004C2273"/>
    <w:rsid w:val="004C2B28"/>
    <w:rsid w:val="004C2E83"/>
    <w:rsid w:val="004C3694"/>
    <w:rsid w:val="004C52C0"/>
    <w:rsid w:val="004C55FB"/>
    <w:rsid w:val="004C5D93"/>
    <w:rsid w:val="004C5EAA"/>
    <w:rsid w:val="004C64B9"/>
    <w:rsid w:val="004C6A05"/>
    <w:rsid w:val="004C6D79"/>
    <w:rsid w:val="004C713B"/>
    <w:rsid w:val="004C7B8A"/>
    <w:rsid w:val="004C7C14"/>
    <w:rsid w:val="004C7D8C"/>
    <w:rsid w:val="004D0224"/>
    <w:rsid w:val="004D0821"/>
    <w:rsid w:val="004D0DC4"/>
    <w:rsid w:val="004D1773"/>
    <w:rsid w:val="004D25C0"/>
    <w:rsid w:val="004D2DBA"/>
    <w:rsid w:val="004D3468"/>
    <w:rsid w:val="004D403D"/>
    <w:rsid w:val="004D404F"/>
    <w:rsid w:val="004D4E9D"/>
    <w:rsid w:val="004D513C"/>
    <w:rsid w:val="004D5D82"/>
    <w:rsid w:val="004D6013"/>
    <w:rsid w:val="004D6195"/>
    <w:rsid w:val="004D785F"/>
    <w:rsid w:val="004E066E"/>
    <w:rsid w:val="004E0B53"/>
    <w:rsid w:val="004E0EF7"/>
    <w:rsid w:val="004E1B55"/>
    <w:rsid w:val="004E1FAF"/>
    <w:rsid w:val="004E201B"/>
    <w:rsid w:val="004E2AA6"/>
    <w:rsid w:val="004E441B"/>
    <w:rsid w:val="004E447A"/>
    <w:rsid w:val="004E44C7"/>
    <w:rsid w:val="004E48C7"/>
    <w:rsid w:val="004E4B81"/>
    <w:rsid w:val="004E5C80"/>
    <w:rsid w:val="004E5DA5"/>
    <w:rsid w:val="004E6C9D"/>
    <w:rsid w:val="004E6F29"/>
    <w:rsid w:val="004F001B"/>
    <w:rsid w:val="004F00E8"/>
    <w:rsid w:val="004F074E"/>
    <w:rsid w:val="004F083A"/>
    <w:rsid w:val="004F1A79"/>
    <w:rsid w:val="004F32DD"/>
    <w:rsid w:val="004F4942"/>
    <w:rsid w:val="004F567C"/>
    <w:rsid w:val="004F5846"/>
    <w:rsid w:val="004F648B"/>
    <w:rsid w:val="004F7098"/>
    <w:rsid w:val="004F7565"/>
    <w:rsid w:val="00500601"/>
    <w:rsid w:val="0050246E"/>
    <w:rsid w:val="0050337D"/>
    <w:rsid w:val="00503E09"/>
    <w:rsid w:val="0050409C"/>
    <w:rsid w:val="00504434"/>
    <w:rsid w:val="005048FF"/>
    <w:rsid w:val="0050497F"/>
    <w:rsid w:val="005052F1"/>
    <w:rsid w:val="00505C59"/>
    <w:rsid w:val="0050697B"/>
    <w:rsid w:val="005069A1"/>
    <w:rsid w:val="005070BA"/>
    <w:rsid w:val="00507908"/>
    <w:rsid w:val="00507B5F"/>
    <w:rsid w:val="00507DAE"/>
    <w:rsid w:val="005115E1"/>
    <w:rsid w:val="00512197"/>
    <w:rsid w:val="005124B5"/>
    <w:rsid w:val="00512643"/>
    <w:rsid w:val="005126FE"/>
    <w:rsid w:val="00512A25"/>
    <w:rsid w:val="00512E51"/>
    <w:rsid w:val="00513C1E"/>
    <w:rsid w:val="00513DD4"/>
    <w:rsid w:val="0051593C"/>
    <w:rsid w:val="00516975"/>
    <w:rsid w:val="00516A3B"/>
    <w:rsid w:val="005178F7"/>
    <w:rsid w:val="00520239"/>
    <w:rsid w:val="00520EF8"/>
    <w:rsid w:val="0052162C"/>
    <w:rsid w:val="00521A76"/>
    <w:rsid w:val="00521B38"/>
    <w:rsid w:val="00522454"/>
    <w:rsid w:val="0052249A"/>
    <w:rsid w:val="005224D3"/>
    <w:rsid w:val="0052720B"/>
    <w:rsid w:val="00530262"/>
    <w:rsid w:val="00530E00"/>
    <w:rsid w:val="005310D8"/>
    <w:rsid w:val="00532819"/>
    <w:rsid w:val="005328AE"/>
    <w:rsid w:val="0053336C"/>
    <w:rsid w:val="00533647"/>
    <w:rsid w:val="005347B8"/>
    <w:rsid w:val="00535C7E"/>
    <w:rsid w:val="00536FE8"/>
    <w:rsid w:val="0053700F"/>
    <w:rsid w:val="005374F0"/>
    <w:rsid w:val="00537872"/>
    <w:rsid w:val="00540A93"/>
    <w:rsid w:val="00540F27"/>
    <w:rsid w:val="00541383"/>
    <w:rsid w:val="00541707"/>
    <w:rsid w:val="0054189F"/>
    <w:rsid w:val="00541A02"/>
    <w:rsid w:val="005429B9"/>
    <w:rsid w:val="00542F7F"/>
    <w:rsid w:val="005437C7"/>
    <w:rsid w:val="00544234"/>
    <w:rsid w:val="00544DD8"/>
    <w:rsid w:val="00545048"/>
    <w:rsid w:val="00545689"/>
    <w:rsid w:val="00547442"/>
    <w:rsid w:val="005515CB"/>
    <w:rsid w:val="0055288E"/>
    <w:rsid w:val="00552957"/>
    <w:rsid w:val="00552A96"/>
    <w:rsid w:val="00554985"/>
    <w:rsid w:val="00554AED"/>
    <w:rsid w:val="00555249"/>
    <w:rsid w:val="0055612F"/>
    <w:rsid w:val="005577D2"/>
    <w:rsid w:val="00557BD0"/>
    <w:rsid w:val="00561737"/>
    <w:rsid w:val="00561A20"/>
    <w:rsid w:val="00562573"/>
    <w:rsid w:val="005629C8"/>
    <w:rsid w:val="00562BB4"/>
    <w:rsid w:val="005630E9"/>
    <w:rsid w:val="00563D51"/>
    <w:rsid w:val="00564B76"/>
    <w:rsid w:val="005655A1"/>
    <w:rsid w:val="005668AD"/>
    <w:rsid w:val="00566A95"/>
    <w:rsid w:val="0056724E"/>
    <w:rsid w:val="00567476"/>
    <w:rsid w:val="005707C5"/>
    <w:rsid w:val="005709A3"/>
    <w:rsid w:val="005714D7"/>
    <w:rsid w:val="00571D61"/>
    <w:rsid w:val="005728BE"/>
    <w:rsid w:val="00572B48"/>
    <w:rsid w:val="00573D14"/>
    <w:rsid w:val="00573E4E"/>
    <w:rsid w:val="005742CC"/>
    <w:rsid w:val="00575757"/>
    <w:rsid w:val="005757BA"/>
    <w:rsid w:val="00577040"/>
    <w:rsid w:val="00577E41"/>
    <w:rsid w:val="00580BF9"/>
    <w:rsid w:val="00581441"/>
    <w:rsid w:val="0058182F"/>
    <w:rsid w:val="00581849"/>
    <w:rsid w:val="00581898"/>
    <w:rsid w:val="00581D6D"/>
    <w:rsid w:val="0058244A"/>
    <w:rsid w:val="00583980"/>
    <w:rsid w:val="00584292"/>
    <w:rsid w:val="005857A7"/>
    <w:rsid w:val="00585D1C"/>
    <w:rsid w:val="005879F7"/>
    <w:rsid w:val="005904B9"/>
    <w:rsid w:val="005907E6"/>
    <w:rsid w:val="005953D3"/>
    <w:rsid w:val="0059582F"/>
    <w:rsid w:val="00595C4E"/>
    <w:rsid w:val="0059662E"/>
    <w:rsid w:val="005967F3"/>
    <w:rsid w:val="00597877"/>
    <w:rsid w:val="005A0506"/>
    <w:rsid w:val="005A119E"/>
    <w:rsid w:val="005A292C"/>
    <w:rsid w:val="005A372B"/>
    <w:rsid w:val="005A3B90"/>
    <w:rsid w:val="005A5C17"/>
    <w:rsid w:val="005A5C72"/>
    <w:rsid w:val="005A5FDB"/>
    <w:rsid w:val="005A6243"/>
    <w:rsid w:val="005A663D"/>
    <w:rsid w:val="005A6679"/>
    <w:rsid w:val="005A673C"/>
    <w:rsid w:val="005A6985"/>
    <w:rsid w:val="005A6FC4"/>
    <w:rsid w:val="005A7185"/>
    <w:rsid w:val="005A755D"/>
    <w:rsid w:val="005A761D"/>
    <w:rsid w:val="005A7F89"/>
    <w:rsid w:val="005B1AEE"/>
    <w:rsid w:val="005B1B00"/>
    <w:rsid w:val="005B1ED3"/>
    <w:rsid w:val="005B1F0A"/>
    <w:rsid w:val="005B1F2C"/>
    <w:rsid w:val="005B362D"/>
    <w:rsid w:val="005B36CF"/>
    <w:rsid w:val="005B4AEC"/>
    <w:rsid w:val="005B52F1"/>
    <w:rsid w:val="005B644F"/>
    <w:rsid w:val="005B6BBA"/>
    <w:rsid w:val="005B7350"/>
    <w:rsid w:val="005B7DF8"/>
    <w:rsid w:val="005B7EB2"/>
    <w:rsid w:val="005C1268"/>
    <w:rsid w:val="005C1692"/>
    <w:rsid w:val="005C2D27"/>
    <w:rsid w:val="005C33E1"/>
    <w:rsid w:val="005C5548"/>
    <w:rsid w:val="005C6790"/>
    <w:rsid w:val="005C7686"/>
    <w:rsid w:val="005D0DD8"/>
    <w:rsid w:val="005D1966"/>
    <w:rsid w:val="005D2461"/>
    <w:rsid w:val="005D2EB4"/>
    <w:rsid w:val="005D3F81"/>
    <w:rsid w:val="005D559F"/>
    <w:rsid w:val="005D5B64"/>
    <w:rsid w:val="005D7036"/>
    <w:rsid w:val="005D7322"/>
    <w:rsid w:val="005D7B09"/>
    <w:rsid w:val="005D7FFE"/>
    <w:rsid w:val="005E02B8"/>
    <w:rsid w:val="005E0DDB"/>
    <w:rsid w:val="005E16A3"/>
    <w:rsid w:val="005E18A9"/>
    <w:rsid w:val="005E1954"/>
    <w:rsid w:val="005E1D11"/>
    <w:rsid w:val="005E1EB8"/>
    <w:rsid w:val="005E1FDD"/>
    <w:rsid w:val="005E2BE4"/>
    <w:rsid w:val="005E3FB2"/>
    <w:rsid w:val="005E44EB"/>
    <w:rsid w:val="005E4AA8"/>
    <w:rsid w:val="005E4D08"/>
    <w:rsid w:val="005E4E76"/>
    <w:rsid w:val="005E65AB"/>
    <w:rsid w:val="005E66ED"/>
    <w:rsid w:val="005E6AA8"/>
    <w:rsid w:val="005E71EE"/>
    <w:rsid w:val="005F0382"/>
    <w:rsid w:val="005F0D41"/>
    <w:rsid w:val="005F1120"/>
    <w:rsid w:val="005F1382"/>
    <w:rsid w:val="005F1461"/>
    <w:rsid w:val="005F24F0"/>
    <w:rsid w:val="005F2DE3"/>
    <w:rsid w:val="005F3821"/>
    <w:rsid w:val="005F4ADE"/>
    <w:rsid w:val="005F515D"/>
    <w:rsid w:val="005F600A"/>
    <w:rsid w:val="005F6E1E"/>
    <w:rsid w:val="005F6FCA"/>
    <w:rsid w:val="005F7F36"/>
    <w:rsid w:val="005F7F5A"/>
    <w:rsid w:val="00600ECF"/>
    <w:rsid w:val="0060201D"/>
    <w:rsid w:val="00602CA4"/>
    <w:rsid w:val="00602D25"/>
    <w:rsid w:val="00603C07"/>
    <w:rsid w:val="00605851"/>
    <w:rsid w:val="00606F80"/>
    <w:rsid w:val="00607865"/>
    <w:rsid w:val="006104EA"/>
    <w:rsid w:val="006106AC"/>
    <w:rsid w:val="00610ACD"/>
    <w:rsid w:val="00610BEB"/>
    <w:rsid w:val="0061232C"/>
    <w:rsid w:val="00614DFB"/>
    <w:rsid w:val="00615107"/>
    <w:rsid w:val="006159B1"/>
    <w:rsid w:val="006162F6"/>
    <w:rsid w:val="0061764E"/>
    <w:rsid w:val="00620132"/>
    <w:rsid w:val="00620960"/>
    <w:rsid w:val="00621147"/>
    <w:rsid w:val="006211D4"/>
    <w:rsid w:val="00624041"/>
    <w:rsid w:val="0062509D"/>
    <w:rsid w:val="0062652E"/>
    <w:rsid w:val="00626FB0"/>
    <w:rsid w:val="00627184"/>
    <w:rsid w:val="00627B79"/>
    <w:rsid w:val="00630B20"/>
    <w:rsid w:val="00631AAB"/>
    <w:rsid w:val="00631DF7"/>
    <w:rsid w:val="006326A1"/>
    <w:rsid w:val="00632760"/>
    <w:rsid w:val="00632A02"/>
    <w:rsid w:val="00632C37"/>
    <w:rsid w:val="00632ECB"/>
    <w:rsid w:val="006336B7"/>
    <w:rsid w:val="006352E6"/>
    <w:rsid w:val="006357CD"/>
    <w:rsid w:val="006367E4"/>
    <w:rsid w:val="00636CC5"/>
    <w:rsid w:val="00641C2A"/>
    <w:rsid w:val="006428E7"/>
    <w:rsid w:val="00643083"/>
    <w:rsid w:val="00644335"/>
    <w:rsid w:val="00644F04"/>
    <w:rsid w:val="00645559"/>
    <w:rsid w:val="006463F0"/>
    <w:rsid w:val="00646544"/>
    <w:rsid w:val="00646F69"/>
    <w:rsid w:val="006471CC"/>
    <w:rsid w:val="0064733C"/>
    <w:rsid w:val="0064736D"/>
    <w:rsid w:val="006477A1"/>
    <w:rsid w:val="006501C3"/>
    <w:rsid w:val="006505BB"/>
    <w:rsid w:val="00651894"/>
    <w:rsid w:val="00651B5C"/>
    <w:rsid w:val="00652231"/>
    <w:rsid w:val="006526E0"/>
    <w:rsid w:val="00652845"/>
    <w:rsid w:val="00652898"/>
    <w:rsid w:val="00652F01"/>
    <w:rsid w:val="00653898"/>
    <w:rsid w:val="00654759"/>
    <w:rsid w:val="00654ECA"/>
    <w:rsid w:val="006551CC"/>
    <w:rsid w:val="006568A3"/>
    <w:rsid w:val="006574E6"/>
    <w:rsid w:val="00660A4F"/>
    <w:rsid w:val="00662025"/>
    <w:rsid w:val="0066436B"/>
    <w:rsid w:val="0066482F"/>
    <w:rsid w:val="006652F3"/>
    <w:rsid w:val="00665833"/>
    <w:rsid w:val="00665F65"/>
    <w:rsid w:val="006662B0"/>
    <w:rsid w:val="00671A97"/>
    <w:rsid w:val="00671F4D"/>
    <w:rsid w:val="00672979"/>
    <w:rsid w:val="00672CEA"/>
    <w:rsid w:val="00674304"/>
    <w:rsid w:val="00674323"/>
    <w:rsid w:val="0067654E"/>
    <w:rsid w:val="00676FBD"/>
    <w:rsid w:val="006776B2"/>
    <w:rsid w:val="006801F6"/>
    <w:rsid w:val="00681244"/>
    <w:rsid w:val="0068152D"/>
    <w:rsid w:val="00683DBC"/>
    <w:rsid w:val="00684057"/>
    <w:rsid w:val="006848F2"/>
    <w:rsid w:val="0068529E"/>
    <w:rsid w:val="00685530"/>
    <w:rsid w:val="00686454"/>
    <w:rsid w:val="006869E8"/>
    <w:rsid w:val="006874B7"/>
    <w:rsid w:val="00687A0A"/>
    <w:rsid w:val="00690BB0"/>
    <w:rsid w:val="00690C9D"/>
    <w:rsid w:val="00690FB5"/>
    <w:rsid w:val="00691127"/>
    <w:rsid w:val="00691658"/>
    <w:rsid w:val="00691781"/>
    <w:rsid w:val="00691C8B"/>
    <w:rsid w:val="00692347"/>
    <w:rsid w:val="00692591"/>
    <w:rsid w:val="006927D0"/>
    <w:rsid w:val="00693610"/>
    <w:rsid w:val="00693812"/>
    <w:rsid w:val="00693AA1"/>
    <w:rsid w:val="00695181"/>
    <w:rsid w:val="00697681"/>
    <w:rsid w:val="0069785B"/>
    <w:rsid w:val="006A1265"/>
    <w:rsid w:val="006A1805"/>
    <w:rsid w:val="006A2939"/>
    <w:rsid w:val="006A2A63"/>
    <w:rsid w:val="006A2B7B"/>
    <w:rsid w:val="006A3410"/>
    <w:rsid w:val="006A36D8"/>
    <w:rsid w:val="006A3E73"/>
    <w:rsid w:val="006A406F"/>
    <w:rsid w:val="006A4F7A"/>
    <w:rsid w:val="006A55EA"/>
    <w:rsid w:val="006A77AE"/>
    <w:rsid w:val="006A786D"/>
    <w:rsid w:val="006A78D7"/>
    <w:rsid w:val="006B138C"/>
    <w:rsid w:val="006B1DEA"/>
    <w:rsid w:val="006B4AB2"/>
    <w:rsid w:val="006B4D10"/>
    <w:rsid w:val="006B540C"/>
    <w:rsid w:val="006B5561"/>
    <w:rsid w:val="006B5630"/>
    <w:rsid w:val="006B61D1"/>
    <w:rsid w:val="006B6FD6"/>
    <w:rsid w:val="006B7B44"/>
    <w:rsid w:val="006C0232"/>
    <w:rsid w:val="006C0ED6"/>
    <w:rsid w:val="006C1D97"/>
    <w:rsid w:val="006C21D9"/>
    <w:rsid w:val="006C2727"/>
    <w:rsid w:val="006C351E"/>
    <w:rsid w:val="006C3BE6"/>
    <w:rsid w:val="006C5307"/>
    <w:rsid w:val="006C555E"/>
    <w:rsid w:val="006C6608"/>
    <w:rsid w:val="006C6C3A"/>
    <w:rsid w:val="006C7620"/>
    <w:rsid w:val="006C79C2"/>
    <w:rsid w:val="006C7A94"/>
    <w:rsid w:val="006C7AB2"/>
    <w:rsid w:val="006C7E53"/>
    <w:rsid w:val="006C7F2C"/>
    <w:rsid w:val="006D1752"/>
    <w:rsid w:val="006D1BBF"/>
    <w:rsid w:val="006D21E5"/>
    <w:rsid w:val="006D23A6"/>
    <w:rsid w:val="006D4F90"/>
    <w:rsid w:val="006D5796"/>
    <w:rsid w:val="006D5B18"/>
    <w:rsid w:val="006D665A"/>
    <w:rsid w:val="006D67CC"/>
    <w:rsid w:val="006D7101"/>
    <w:rsid w:val="006D721F"/>
    <w:rsid w:val="006D7460"/>
    <w:rsid w:val="006D767B"/>
    <w:rsid w:val="006D7BBB"/>
    <w:rsid w:val="006E05D6"/>
    <w:rsid w:val="006E0ED2"/>
    <w:rsid w:val="006E3A59"/>
    <w:rsid w:val="006E40FB"/>
    <w:rsid w:val="006E4756"/>
    <w:rsid w:val="006E53F3"/>
    <w:rsid w:val="006E7798"/>
    <w:rsid w:val="006E79C6"/>
    <w:rsid w:val="006F0AEE"/>
    <w:rsid w:val="006F18B4"/>
    <w:rsid w:val="006F1DF6"/>
    <w:rsid w:val="006F23FB"/>
    <w:rsid w:val="006F27B7"/>
    <w:rsid w:val="006F2973"/>
    <w:rsid w:val="006F30C7"/>
    <w:rsid w:val="006F3779"/>
    <w:rsid w:val="006F3B6D"/>
    <w:rsid w:val="006F4154"/>
    <w:rsid w:val="006F4962"/>
    <w:rsid w:val="006F7641"/>
    <w:rsid w:val="006F76ED"/>
    <w:rsid w:val="006F7AA8"/>
    <w:rsid w:val="006F7B15"/>
    <w:rsid w:val="007005C8"/>
    <w:rsid w:val="00700E3F"/>
    <w:rsid w:val="00702379"/>
    <w:rsid w:val="0070258A"/>
    <w:rsid w:val="00702ACA"/>
    <w:rsid w:val="00703E3E"/>
    <w:rsid w:val="007045C1"/>
    <w:rsid w:val="00705F74"/>
    <w:rsid w:val="00706452"/>
    <w:rsid w:val="007064D6"/>
    <w:rsid w:val="007067E3"/>
    <w:rsid w:val="007070E4"/>
    <w:rsid w:val="00707F67"/>
    <w:rsid w:val="007103AA"/>
    <w:rsid w:val="0071043F"/>
    <w:rsid w:val="00710A77"/>
    <w:rsid w:val="007126E3"/>
    <w:rsid w:val="007136DA"/>
    <w:rsid w:val="00713B61"/>
    <w:rsid w:val="00714722"/>
    <w:rsid w:val="007149D5"/>
    <w:rsid w:val="00717A4A"/>
    <w:rsid w:val="00717D94"/>
    <w:rsid w:val="00722BAD"/>
    <w:rsid w:val="00723F66"/>
    <w:rsid w:val="00724519"/>
    <w:rsid w:val="00724CAB"/>
    <w:rsid w:val="00724D6B"/>
    <w:rsid w:val="007257D6"/>
    <w:rsid w:val="00725878"/>
    <w:rsid w:val="00726708"/>
    <w:rsid w:val="00726912"/>
    <w:rsid w:val="00730187"/>
    <w:rsid w:val="00730743"/>
    <w:rsid w:val="00731CBD"/>
    <w:rsid w:val="007333C8"/>
    <w:rsid w:val="007337A0"/>
    <w:rsid w:val="007342B2"/>
    <w:rsid w:val="007346E3"/>
    <w:rsid w:val="0073487C"/>
    <w:rsid w:val="00734BE1"/>
    <w:rsid w:val="00734DE5"/>
    <w:rsid w:val="0073565A"/>
    <w:rsid w:val="007358F1"/>
    <w:rsid w:val="007419A8"/>
    <w:rsid w:val="00743409"/>
    <w:rsid w:val="007441CE"/>
    <w:rsid w:val="007448B3"/>
    <w:rsid w:val="00745825"/>
    <w:rsid w:val="0074669A"/>
    <w:rsid w:val="00750A3B"/>
    <w:rsid w:val="00751881"/>
    <w:rsid w:val="00751A37"/>
    <w:rsid w:val="00751F24"/>
    <w:rsid w:val="00752502"/>
    <w:rsid w:val="00755240"/>
    <w:rsid w:val="0075695E"/>
    <w:rsid w:val="00757362"/>
    <w:rsid w:val="0076052E"/>
    <w:rsid w:val="0076158D"/>
    <w:rsid w:val="00762E33"/>
    <w:rsid w:val="00762ED2"/>
    <w:rsid w:val="0076510C"/>
    <w:rsid w:val="0076792C"/>
    <w:rsid w:val="007702F1"/>
    <w:rsid w:val="007705B8"/>
    <w:rsid w:val="00770D25"/>
    <w:rsid w:val="00771A3A"/>
    <w:rsid w:val="00771CE6"/>
    <w:rsid w:val="00771E6A"/>
    <w:rsid w:val="0077251E"/>
    <w:rsid w:val="007728DF"/>
    <w:rsid w:val="00772CB9"/>
    <w:rsid w:val="00772FCF"/>
    <w:rsid w:val="00773095"/>
    <w:rsid w:val="007733C6"/>
    <w:rsid w:val="007741D8"/>
    <w:rsid w:val="0077483D"/>
    <w:rsid w:val="00775812"/>
    <w:rsid w:val="00775D55"/>
    <w:rsid w:val="007764D2"/>
    <w:rsid w:val="00776932"/>
    <w:rsid w:val="00776AAD"/>
    <w:rsid w:val="00776D6D"/>
    <w:rsid w:val="00777103"/>
    <w:rsid w:val="00777701"/>
    <w:rsid w:val="00777815"/>
    <w:rsid w:val="00777854"/>
    <w:rsid w:val="007778D9"/>
    <w:rsid w:val="00777CED"/>
    <w:rsid w:val="00780435"/>
    <w:rsid w:val="00780DAD"/>
    <w:rsid w:val="00781776"/>
    <w:rsid w:val="00781792"/>
    <w:rsid w:val="00781F86"/>
    <w:rsid w:val="00782A21"/>
    <w:rsid w:val="00783D42"/>
    <w:rsid w:val="00783FBE"/>
    <w:rsid w:val="007851D2"/>
    <w:rsid w:val="0078569A"/>
    <w:rsid w:val="0078678C"/>
    <w:rsid w:val="00786BC1"/>
    <w:rsid w:val="00787CFC"/>
    <w:rsid w:val="00790BD4"/>
    <w:rsid w:val="00791203"/>
    <w:rsid w:val="00791299"/>
    <w:rsid w:val="00791575"/>
    <w:rsid w:val="007919A2"/>
    <w:rsid w:val="007926F7"/>
    <w:rsid w:val="00792ED0"/>
    <w:rsid w:val="0079430F"/>
    <w:rsid w:val="00794C4A"/>
    <w:rsid w:val="00795C45"/>
    <w:rsid w:val="00795DBD"/>
    <w:rsid w:val="007977B6"/>
    <w:rsid w:val="007A0034"/>
    <w:rsid w:val="007A03EB"/>
    <w:rsid w:val="007A102E"/>
    <w:rsid w:val="007A21C8"/>
    <w:rsid w:val="007A2B92"/>
    <w:rsid w:val="007A3655"/>
    <w:rsid w:val="007A492E"/>
    <w:rsid w:val="007A54D2"/>
    <w:rsid w:val="007A5CD9"/>
    <w:rsid w:val="007A6344"/>
    <w:rsid w:val="007A6507"/>
    <w:rsid w:val="007A69E0"/>
    <w:rsid w:val="007A7707"/>
    <w:rsid w:val="007B002C"/>
    <w:rsid w:val="007B0B83"/>
    <w:rsid w:val="007B10C2"/>
    <w:rsid w:val="007B26FA"/>
    <w:rsid w:val="007B33DD"/>
    <w:rsid w:val="007B3596"/>
    <w:rsid w:val="007B3BFE"/>
    <w:rsid w:val="007B41BD"/>
    <w:rsid w:val="007B42A8"/>
    <w:rsid w:val="007B4B1B"/>
    <w:rsid w:val="007B4C67"/>
    <w:rsid w:val="007B4DC8"/>
    <w:rsid w:val="007B76F7"/>
    <w:rsid w:val="007C01EA"/>
    <w:rsid w:val="007C18C0"/>
    <w:rsid w:val="007C2A22"/>
    <w:rsid w:val="007C3391"/>
    <w:rsid w:val="007C3735"/>
    <w:rsid w:val="007C3DF4"/>
    <w:rsid w:val="007C437A"/>
    <w:rsid w:val="007C5968"/>
    <w:rsid w:val="007C6692"/>
    <w:rsid w:val="007D0B46"/>
    <w:rsid w:val="007D14A7"/>
    <w:rsid w:val="007D279A"/>
    <w:rsid w:val="007D3046"/>
    <w:rsid w:val="007D49E8"/>
    <w:rsid w:val="007D4B7E"/>
    <w:rsid w:val="007D5242"/>
    <w:rsid w:val="007D572A"/>
    <w:rsid w:val="007D58C7"/>
    <w:rsid w:val="007D6401"/>
    <w:rsid w:val="007D65D2"/>
    <w:rsid w:val="007D7A06"/>
    <w:rsid w:val="007E0B82"/>
    <w:rsid w:val="007E0C6D"/>
    <w:rsid w:val="007E239E"/>
    <w:rsid w:val="007E4402"/>
    <w:rsid w:val="007E4EFA"/>
    <w:rsid w:val="007E4F49"/>
    <w:rsid w:val="007E637A"/>
    <w:rsid w:val="007E672B"/>
    <w:rsid w:val="007E6F05"/>
    <w:rsid w:val="007E785D"/>
    <w:rsid w:val="007F0C23"/>
    <w:rsid w:val="007F10AA"/>
    <w:rsid w:val="007F1B4E"/>
    <w:rsid w:val="007F2768"/>
    <w:rsid w:val="007F2CD6"/>
    <w:rsid w:val="007F3651"/>
    <w:rsid w:val="007F486B"/>
    <w:rsid w:val="007F50DD"/>
    <w:rsid w:val="007F54F3"/>
    <w:rsid w:val="007F6B60"/>
    <w:rsid w:val="007F756B"/>
    <w:rsid w:val="00800A8C"/>
    <w:rsid w:val="00801B1E"/>
    <w:rsid w:val="0080256D"/>
    <w:rsid w:val="00802E80"/>
    <w:rsid w:val="008031C1"/>
    <w:rsid w:val="00803CA7"/>
    <w:rsid w:val="008056ED"/>
    <w:rsid w:val="0080635D"/>
    <w:rsid w:val="00806C05"/>
    <w:rsid w:val="00806DE0"/>
    <w:rsid w:val="008071CA"/>
    <w:rsid w:val="00807856"/>
    <w:rsid w:val="00807D3D"/>
    <w:rsid w:val="008103C9"/>
    <w:rsid w:val="00810AB4"/>
    <w:rsid w:val="0081262B"/>
    <w:rsid w:val="00812948"/>
    <w:rsid w:val="00813001"/>
    <w:rsid w:val="008139A5"/>
    <w:rsid w:val="008154B9"/>
    <w:rsid w:val="00816124"/>
    <w:rsid w:val="00816686"/>
    <w:rsid w:val="00816F57"/>
    <w:rsid w:val="008174B0"/>
    <w:rsid w:val="00817730"/>
    <w:rsid w:val="00820841"/>
    <w:rsid w:val="0082112B"/>
    <w:rsid w:val="00821E8F"/>
    <w:rsid w:val="0082227C"/>
    <w:rsid w:val="008239A6"/>
    <w:rsid w:val="00823EAD"/>
    <w:rsid w:val="00825DC2"/>
    <w:rsid w:val="00826611"/>
    <w:rsid w:val="008270F7"/>
    <w:rsid w:val="00827653"/>
    <w:rsid w:val="008303CB"/>
    <w:rsid w:val="00830565"/>
    <w:rsid w:val="00832099"/>
    <w:rsid w:val="00832E0A"/>
    <w:rsid w:val="00835421"/>
    <w:rsid w:val="00835718"/>
    <w:rsid w:val="00835B13"/>
    <w:rsid w:val="00835F0A"/>
    <w:rsid w:val="00836040"/>
    <w:rsid w:val="00836627"/>
    <w:rsid w:val="00836778"/>
    <w:rsid w:val="008414CE"/>
    <w:rsid w:val="00841804"/>
    <w:rsid w:val="0084225B"/>
    <w:rsid w:val="008429BE"/>
    <w:rsid w:val="00842CD2"/>
    <w:rsid w:val="00843289"/>
    <w:rsid w:val="0084370B"/>
    <w:rsid w:val="00843F01"/>
    <w:rsid w:val="00844E5F"/>
    <w:rsid w:val="00845750"/>
    <w:rsid w:val="008461B8"/>
    <w:rsid w:val="00846660"/>
    <w:rsid w:val="00847CAC"/>
    <w:rsid w:val="008501FF"/>
    <w:rsid w:val="00851441"/>
    <w:rsid w:val="00851EBC"/>
    <w:rsid w:val="00851FA3"/>
    <w:rsid w:val="00851FB7"/>
    <w:rsid w:val="008538AB"/>
    <w:rsid w:val="008539FC"/>
    <w:rsid w:val="008557B4"/>
    <w:rsid w:val="00856E01"/>
    <w:rsid w:val="00857965"/>
    <w:rsid w:val="0086024F"/>
    <w:rsid w:val="00861330"/>
    <w:rsid w:val="0086166B"/>
    <w:rsid w:val="00862454"/>
    <w:rsid w:val="008626BF"/>
    <w:rsid w:val="00863350"/>
    <w:rsid w:val="0086447C"/>
    <w:rsid w:val="00864842"/>
    <w:rsid w:val="00866613"/>
    <w:rsid w:val="0086719C"/>
    <w:rsid w:val="008715E1"/>
    <w:rsid w:val="00871E22"/>
    <w:rsid w:val="00872459"/>
    <w:rsid w:val="0087248B"/>
    <w:rsid w:val="008729C4"/>
    <w:rsid w:val="00872C80"/>
    <w:rsid w:val="00873330"/>
    <w:rsid w:val="008744A8"/>
    <w:rsid w:val="00874BF2"/>
    <w:rsid w:val="00874F95"/>
    <w:rsid w:val="00874FA6"/>
    <w:rsid w:val="00874FE7"/>
    <w:rsid w:val="008760B6"/>
    <w:rsid w:val="00876290"/>
    <w:rsid w:val="0087651C"/>
    <w:rsid w:val="00876AAD"/>
    <w:rsid w:val="00876DF6"/>
    <w:rsid w:val="00880A4A"/>
    <w:rsid w:val="00880D85"/>
    <w:rsid w:val="00883D10"/>
    <w:rsid w:val="00883DC2"/>
    <w:rsid w:val="00884AF0"/>
    <w:rsid w:val="00884C69"/>
    <w:rsid w:val="00884F9B"/>
    <w:rsid w:val="00891255"/>
    <w:rsid w:val="008916D5"/>
    <w:rsid w:val="00891840"/>
    <w:rsid w:val="00892019"/>
    <w:rsid w:val="00892C78"/>
    <w:rsid w:val="00895882"/>
    <w:rsid w:val="008960CD"/>
    <w:rsid w:val="00896932"/>
    <w:rsid w:val="0089713F"/>
    <w:rsid w:val="00897382"/>
    <w:rsid w:val="00897608"/>
    <w:rsid w:val="008A1482"/>
    <w:rsid w:val="008A174D"/>
    <w:rsid w:val="008A289F"/>
    <w:rsid w:val="008A5950"/>
    <w:rsid w:val="008A5D0B"/>
    <w:rsid w:val="008A6861"/>
    <w:rsid w:val="008A6A9B"/>
    <w:rsid w:val="008A74DB"/>
    <w:rsid w:val="008A7E63"/>
    <w:rsid w:val="008B0F04"/>
    <w:rsid w:val="008B1537"/>
    <w:rsid w:val="008B1A70"/>
    <w:rsid w:val="008B2D70"/>
    <w:rsid w:val="008B2F00"/>
    <w:rsid w:val="008B3829"/>
    <w:rsid w:val="008B52B3"/>
    <w:rsid w:val="008B60E9"/>
    <w:rsid w:val="008B6403"/>
    <w:rsid w:val="008B6A94"/>
    <w:rsid w:val="008B6DB8"/>
    <w:rsid w:val="008B7872"/>
    <w:rsid w:val="008B7992"/>
    <w:rsid w:val="008B7CD9"/>
    <w:rsid w:val="008C06DC"/>
    <w:rsid w:val="008C076F"/>
    <w:rsid w:val="008C109D"/>
    <w:rsid w:val="008C12E4"/>
    <w:rsid w:val="008C15F3"/>
    <w:rsid w:val="008C19C3"/>
    <w:rsid w:val="008C210C"/>
    <w:rsid w:val="008C3327"/>
    <w:rsid w:val="008C40C4"/>
    <w:rsid w:val="008C4DB0"/>
    <w:rsid w:val="008C6404"/>
    <w:rsid w:val="008C65F2"/>
    <w:rsid w:val="008C7274"/>
    <w:rsid w:val="008C73BC"/>
    <w:rsid w:val="008C7454"/>
    <w:rsid w:val="008C77C2"/>
    <w:rsid w:val="008C77C4"/>
    <w:rsid w:val="008C78D4"/>
    <w:rsid w:val="008D014D"/>
    <w:rsid w:val="008D0657"/>
    <w:rsid w:val="008D26DC"/>
    <w:rsid w:val="008D2DFC"/>
    <w:rsid w:val="008D38EF"/>
    <w:rsid w:val="008D3F40"/>
    <w:rsid w:val="008D4484"/>
    <w:rsid w:val="008D4B21"/>
    <w:rsid w:val="008D5116"/>
    <w:rsid w:val="008D51D3"/>
    <w:rsid w:val="008D6012"/>
    <w:rsid w:val="008D64EB"/>
    <w:rsid w:val="008E0FF0"/>
    <w:rsid w:val="008E16EA"/>
    <w:rsid w:val="008E1C8C"/>
    <w:rsid w:val="008E24F6"/>
    <w:rsid w:val="008E31B3"/>
    <w:rsid w:val="008E31DC"/>
    <w:rsid w:val="008E35BB"/>
    <w:rsid w:val="008E3E56"/>
    <w:rsid w:val="008E4653"/>
    <w:rsid w:val="008E5D72"/>
    <w:rsid w:val="008E6656"/>
    <w:rsid w:val="008E667D"/>
    <w:rsid w:val="008E790F"/>
    <w:rsid w:val="008F1079"/>
    <w:rsid w:val="008F2833"/>
    <w:rsid w:val="008F4E09"/>
    <w:rsid w:val="008F657A"/>
    <w:rsid w:val="009004B8"/>
    <w:rsid w:val="00900A4D"/>
    <w:rsid w:val="0090163F"/>
    <w:rsid w:val="00902496"/>
    <w:rsid w:val="00903A9D"/>
    <w:rsid w:val="00904101"/>
    <w:rsid w:val="00904DB4"/>
    <w:rsid w:val="00906EE8"/>
    <w:rsid w:val="009073CC"/>
    <w:rsid w:val="009075F0"/>
    <w:rsid w:val="00910D2E"/>
    <w:rsid w:val="00910ECA"/>
    <w:rsid w:val="00910F4C"/>
    <w:rsid w:val="009110FE"/>
    <w:rsid w:val="00911305"/>
    <w:rsid w:val="00911676"/>
    <w:rsid w:val="009118E4"/>
    <w:rsid w:val="00912934"/>
    <w:rsid w:val="00914301"/>
    <w:rsid w:val="0091473D"/>
    <w:rsid w:val="00914DF9"/>
    <w:rsid w:val="00916E97"/>
    <w:rsid w:val="009204AC"/>
    <w:rsid w:val="009205FF"/>
    <w:rsid w:val="00920AF1"/>
    <w:rsid w:val="0092126C"/>
    <w:rsid w:val="00923560"/>
    <w:rsid w:val="0092381E"/>
    <w:rsid w:val="00923826"/>
    <w:rsid w:val="00924057"/>
    <w:rsid w:val="00924393"/>
    <w:rsid w:val="009252F2"/>
    <w:rsid w:val="0092552C"/>
    <w:rsid w:val="00926DBD"/>
    <w:rsid w:val="00930EA9"/>
    <w:rsid w:val="009310B3"/>
    <w:rsid w:val="009312F7"/>
    <w:rsid w:val="00931913"/>
    <w:rsid w:val="009329C8"/>
    <w:rsid w:val="009331A4"/>
    <w:rsid w:val="00934303"/>
    <w:rsid w:val="0093463E"/>
    <w:rsid w:val="009352B4"/>
    <w:rsid w:val="00935ABA"/>
    <w:rsid w:val="00935C35"/>
    <w:rsid w:val="0093763A"/>
    <w:rsid w:val="00937C0D"/>
    <w:rsid w:val="00940854"/>
    <w:rsid w:val="00940D0A"/>
    <w:rsid w:val="00941AAC"/>
    <w:rsid w:val="00941D13"/>
    <w:rsid w:val="00941D37"/>
    <w:rsid w:val="00943248"/>
    <w:rsid w:val="00943E45"/>
    <w:rsid w:val="00945ADB"/>
    <w:rsid w:val="00945AF7"/>
    <w:rsid w:val="00945E01"/>
    <w:rsid w:val="009467C9"/>
    <w:rsid w:val="009474CB"/>
    <w:rsid w:val="0094761E"/>
    <w:rsid w:val="00947B90"/>
    <w:rsid w:val="00950B5C"/>
    <w:rsid w:val="00951450"/>
    <w:rsid w:val="009519DF"/>
    <w:rsid w:val="009521ED"/>
    <w:rsid w:val="0095259B"/>
    <w:rsid w:val="00952754"/>
    <w:rsid w:val="00952BCE"/>
    <w:rsid w:val="00952E70"/>
    <w:rsid w:val="009537CB"/>
    <w:rsid w:val="00953C52"/>
    <w:rsid w:val="00954027"/>
    <w:rsid w:val="009543BA"/>
    <w:rsid w:val="0095456A"/>
    <w:rsid w:val="009547B0"/>
    <w:rsid w:val="00955B0B"/>
    <w:rsid w:val="00955D0D"/>
    <w:rsid w:val="009577E0"/>
    <w:rsid w:val="00957DED"/>
    <w:rsid w:val="009601CD"/>
    <w:rsid w:val="009602A9"/>
    <w:rsid w:val="00960352"/>
    <w:rsid w:val="009607BA"/>
    <w:rsid w:val="009608B7"/>
    <w:rsid w:val="00960B96"/>
    <w:rsid w:val="00964CB1"/>
    <w:rsid w:val="00964F6E"/>
    <w:rsid w:val="00965D18"/>
    <w:rsid w:val="00966F1F"/>
    <w:rsid w:val="00966FD6"/>
    <w:rsid w:val="009671F0"/>
    <w:rsid w:val="009675D2"/>
    <w:rsid w:val="009678A3"/>
    <w:rsid w:val="0097040E"/>
    <w:rsid w:val="0097114A"/>
    <w:rsid w:val="0097215C"/>
    <w:rsid w:val="00972F33"/>
    <w:rsid w:val="00974025"/>
    <w:rsid w:val="00975355"/>
    <w:rsid w:val="00975C28"/>
    <w:rsid w:val="009769B6"/>
    <w:rsid w:val="00976AB7"/>
    <w:rsid w:val="00976FC1"/>
    <w:rsid w:val="009774A5"/>
    <w:rsid w:val="0097764C"/>
    <w:rsid w:val="0098031A"/>
    <w:rsid w:val="0098137A"/>
    <w:rsid w:val="00981621"/>
    <w:rsid w:val="009834D1"/>
    <w:rsid w:val="00984C52"/>
    <w:rsid w:val="00985A2C"/>
    <w:rsid w:val="0098689D"/>
    <w:rsid w:val="00986DD1"/>
    <w:rsid w:val="00987A0B"/>
    <w:rsid w:val="00987F15"/>
    <w:rsid w:val="009906BD"/>
    <w:rsid w:val="009910BC"/>
    <w:rsid w:val="00991A92"/>
    <w:rsid w:val="00992663"/>
    <w:rsid w:val="00993307"/>
    <w:rsid w:val="009934A8"/>
    <w:rsid w:val="009937EA"/>
    <w:rsid w:val="00993899"/>
    <w:rsid w:val="00994711"/>
    <w:rsid w:val="00994C2C"/>
    <w:rsid w:val="009A00FE"/>
    <w:rsid w:val="009A0128"/>
    <w:rsid w:val="009A0C27"/>
    <w:rsid w:val="009A0DD3"/>
    <w:rsid w:val="009A1321"/>
    <w:rsid w:val="009A208E"/>
    <w:rsid w:val="009A26F2"/>
    <w:rsid w:val="009A29ED"/>
    <w:rsid w:val="009A34C0"/>
    <w:rsid w:val="009A4000"/>
    <w:rsid w:val="009A4E9F"/>
    <w:rsid w:val="009A6631"/>
    <w:rsid w:val="009A6708"/>
    <w:rsid w:val="009A6870"/>
    <w:rsid w:val="009B0037"/>
    <w:rsid w:val="009B0284"/>
    <w:rsid w:val="009B0E14"/>
    <w:rsid w:val="009B0E55"/>
    <w:rsid w:val="009B1AD4"/>
    <w:rsid w:val="009B242B"/>
    <w:rsid w:val="009B2435"/>
    <w:rsid w:val="009B291A"/>
    <w:rsid w:val="009B2F1E"/>
    <w:rsid w:val="009B3B88"/>
    <w:rsid w:val="009B47DD"/>
    <w:rsid w:val="009C00D0"/>
    <w:rsid w:val="009C03C3"/>
    <w:rsid w:val="009C0A83"/>
    <w:rsid w:val="009C1770"/>
    <w:rsid w:val="009C18CC"/>
    <w:rsid w:val="009C1A6F"/>
    <w:rsid w:val="009C1E09"/>
    <w:rsid w:val="009C2323"/>
    <w:rsid w:val="009C2BBF"/>
    <w:rsid w:val="009C602D"/>
    <w:rsid w:val="009C678A"/>
    <w:rsid w:val="009C67A3"/>
    <w:rsid w:val="009C67C0"/>
    <w:rsid w:val="009C6D49"/>
    <w:rsid w:val="009C6E86"/>
    <w:rsid w:val="009C794A"/>
    <w:rsid w:val="009C7A3B"/>
    <w:rsid w:val="009C7DE9"/>
    <w:rsid w:val="009D0533"/>
    <w:rsid w:val="009D1413"/>
    <w:rsid w:val="009D1445"/>
    <w:rsid w:val="009D1487"/>
    <w:rsid w:val="009D18CC"/>
    <w:rsid w:val="009D1A2E"/>
    <w:rsid w:val="009D1F2D"/>
    <w:rsid w:val="009D2BFB"/>
    <w:rsid w:val="009D30B6"/>
    <w:rsid w:val="009D39CE"/>
    <w:rsid w:val="009D43EF"/>
    <w:rsid w:val="009D45C3"/>
    <w:rsid w:val="009D45EA"/>
    <w:rsid w:val="009D5DFB"/>
    <w:rsid w:val="009D60F3"/>
    <w:rsid w:val="009D6172"/>
    <w:rsid w:val="009D76EF"/>
    <w:rsid w:val="009E11B8"/>
    <w:rsid w:val="009E1B3B"/>
    <w:rsid w:val="009E1CF4"/>
    <w:rsid w:val="009E1D06"/>
    <w:rsid w:val="009E2368"/>
    <w:rsid w:val="009E3299"/>
    <w:rsid w:val="009E3979"/>
    <w:rsid w:val="009E412F"/>
    <w:rsid w:val="009E4A75"/>
    <w:rsid w:val="009E50FE"/>
    <w:rsid w:val="009E555B"/>
    <w:rsid w:val="009E5674"/>
    <w:rsid w:val="009E60E4"/>
    <w:rsid w:val="009E6327"/>
    <w:rsid w:val="009E681F"/>
    <w:rsid w:val="009E6893"/>
    <w:rsid w:val="009E6F79"/>
    <w:rsid w:val="009E7484"/>
    <w:rsid w:val="009E7825"/>
    <w:rsid w:val="009F130C"/>
    <w:rsid w:val="009F24F5"/>
    <w:rsid w:val="009F2F66"/>
    <w:rsid w:val="009F40A5"/>
    <w:rsid w:val="009F4AE9"/>
    <w:rsid w:val="009F5BDF"/>
    <w:rsid w:val="009F6289"/>
    <w:rsid w:val="009F66D4"/>
    <w:rsid w:val="009F74B1"/>
    <w:rsid w:val="009F776B"/>
    <w:rsid w:val="00A005D6"/>
    <w:rsid w:val="00A00BB9"/>
    <w:rsid w:val="00A01941"/>
    <w:rsid w:val="00A021A7"/>
    <w:rsid w:val="00A027F4"/>
    <w:rsid w:val="00A0303C"/>
    <w:rsid w:val="00A0405E"/>
    <w:rsid w:val="00A04A3E"/>
    <w:rsid w:val="00A05039"/>
    <w:rsid w:val="00A0522A"/>
    <w:rsid w:val="00A0576B"/>
    <w:rsid w:val="00A05BD8"/>
    <w:rsid w:val="00A06463"/>
    <w:rsid w:val="00A06807"/>
    <w:rsid w:val="00A06B33"/>
    <w:rsid w:val="00A06CDE"/>
    <w:rsid w:val="00A07972"/>
    <w:rsid w:val="00A10264"/>
    <w:rsid w:val="00A10434"/>
    <w:rsid w:val="00A10FFB"/>
    <w:rsid w:val="00A11415"/>
    <w:rsid w:val="00A117FA"/>
    <w:rsid w:val="00A11E27"/>
    <w:rsid w:val="00A135DF"/>
    <w:rsid w:val="00A14BE7"/>
    <w:rsid w:val="00A167B2"/>
    <w:rsid w:val="00A17310"/>
    <w:rsid w:val="00A17710"/>
    <w:rsid w:val="00A177B8"/>
    <w:rsid w:val="00A17971"/>
    <w:rsid w:val="00A20534"/>
    <w:rsid w:val="00A206DE"/>
    <w:rsid w:val="00A21880"/>
    <w:rsid w:val="00A22B8A"/>
    <w:rsid w:val="00A22C14"/>
    <w:rsid w:val="00A2346A"/>
    <w:rsid w:val="00A23542"/>
    <w:rsid w:val="00A23A35"/>
    <w:rsid w:val="00A2566A"/>
    <w:rsid w:val="00A26F99"/>
    <w:rsid w:val="00A27CE6"/>
    <w:rsid w:val="00A30828"/>
    <w:rsid w:val="00A30A4F"/>
    <w:rsid w:val="00A30EDC"/>
    <w:rsid w:val="00A31B57"/>
    <w:rsid w:val="00A324CA"/>
    <w:rsid w:val="00A32CEF"/>
    <w:rsid w:val="00A334FF"/>
    <w:rsid w:val="00A335FB"/>
    <w:rsid w:val="00A338C4"/>
    <w:rsid w:val="00A33E71"/>
    <w:rsid w:val="00A3400B"/>
    <w:rsid w:val="00A3425C"/>
    <w:rsid w:val="00A34576"/>
    <w:rsid w:val="00A349F2"/>
    <w:rsid w:val="00A35023"/>
    <w:rsid w:val="00A35BD7"/>
    <w:rsid w:val="00A36747"/>
    <w:rsid w:val="00A40986"/>
    <w:rsid w:val="00A416B9"/>
    <w:rsid w:val="00A41CDA"/>
    <w:rsid w:val="00A41D46"/>
    <w:rsid w:val="00A42291"/>
    <w:rsid w:val="00A43351"/>
    <w:rsid w:val="00A43A70"/>
    <w:rsid w:val="00A44BFB"/>
    <w:rsid w:val="00A4754C"/>
    <w:rsid w:val="00A5059B"/>
    <w:rsid w:val="00A5130F"/>
    <w:rsid w:val="00A515E8"/>
    <w:rsid w:val="00A51694"/>
    <w:rsid w:val="00A529BF"/>
    <w:rsid w:val="00A53A40"/>
    <w:rsid w:val="00A5452B"/>
    <w:rsid w:val="00A551C0"/>
    <w:rsid w:val="00A554F8"/>
    <w:rsid w:val="00A566D6"/>
    <w:rsid w:val="00A56DA3"/>
    <w:rsid w:val="00A56E19"/>
    <w:rsid w:val="00A573AE"/>
    <w:rsid w:val="00A57DED"/>
    <w:rsid w:val="00A6125B"/>
    <w:rsid w:val="00A613AB"/>
    <w:rsid w:val="00A61622"/>
    <w:rsid w:val="00A623FF"/>
    <w:rsid w:val="00A6362C"/>
    <w:rsid w:val="00A6472A"/>
    <w:rsid w:val="00A64B2C"/>
    <w:rsid w:val="00A65127"/>
    <w:rsid w:val="00A6549C"/>
    <w:rsid w:val="00A657C4"/>
    <w:rsid w:val="00A6591F"/>
    <w:rsid w:val="00A65F5A"/>
    <w:rsid w:val="00A66441"/>
    <w:rsid w:val="00A67425"/>
    <w:rsid w:val="00A70022"/>
    <w:rsid w:val="00A7023F"/>
    <w:rsid w:val="00A70517"/>
    <w:rsid w:val="00A706FB"/>
    <w:rsid w:val="00A70DB1"/>
    <w:rsid w:val="00A71A23"/>
    <w:rsid w:val="00A735D7"/>
    <w:rsid w:val="00A73614"/>
    <w:rsid w:val="00A73A39"/>
    <w:rsid w:val="00A73FDB"/>
    <w:rsid w:val="00A7435E"/>
    <w:rsid w:val="00A74B89"/>
    <w:rsid w:val="00A74CD5"/>
    <w:rsid w:val="00A74FD6"/>
    <w:rsid w:val="00A753F1"/>
    <w:rsid w:val="00A75537"/>
    <w:rsid w:val="00A75F7C"/>
    <w:rsid w:val="00A778BC"/>
    <w:rsid w:val="00A77C34"/>
    <w:rsid w:val="00A804DB"/>
    <w:rsid w:val="00A80AAC"/>
    <w:rsid w:val="00A81920"/>
    <w:rsid w:val="00A81BA6"/>
    <w:rsid w:val="00A8268B"/>
    <w:rsid w:val="00A84063"/>
    <w:rsid w:val="00A84EA8"/>
    <w:rsid w:val="00A86AFA"/>
    <w:rsid w:val="00A86E4E"/>
    <w:rsid w:val="00A90112"/>
    <w:rsid w:val="00A904D1"/>
    <w:rsid w:val="00A90E67"/>
    <w:rsid w:val="00A90EA0"/>
    <w:rsid w:val="00A910F6"/>
    <w:rsid w:val="00A926A7"/>
    <w:rsid w:val="00A93D27"/>
    <w:rsid w:val="00A94A89"/>
    <w:rsid w:val="00A94AB4"/>
    <w:rsid w:val="00A94BF4"/>
    <w:rsid w:val="00A96900"/>
    <w:rsid w:val="00A97664"/>
    <w:rsid w:val="00A978C2"/>
    <w:rsid w:val="00AA05C2"/>
    <w:rsid w:val="00AA21D4"/>
    <w:rsid w:val="00AA4573"/>
    <w:rsid w:val="00AA4759"/>
    <w:rsid w:val="00AA59B7"/>
    <w:rsid w:val="00AA5A3C"/>
    <w:rsid w:val="00AA601D"/>
    <w:rsid w:val="00AA6CD8"/>
    <w:rsid w:val="00AA7B1F"/>
    <w:rsid w:val="00AB0572"/>
    <w:rsid w:val="00AB1190"/>
    <w:rsid w:val="00AB16DC"/>
    <w:rsid w:val="00AB315F"/>
    <w:rsid w:val="00AB4A1A"/>
    <w:rsid w:val="00AB507F"/>
    <w:rsid w:val="00AB6709"/>
    <w:rsid w:val="00AB6865"/>
    <w:rsid w:val="00AB7FCC"/>
    <w:rsid w:val="00AC034C"/>
    <w:rsid w:val="00AC1D8A"/>
    <w:rsid w:val="00AC22CB"/>
    <w:rsid w:val="00AC2B49"/>
    <w:rsid w:val="00AC2C10"/>
    <w:rsid w:val="00AC2E94"/>
    <w:rsid w:val="00AC3770"/>
    <w:rsid w:val="00AC4091"/>
    <w:rsid w:val="00AC4C46"/>
    <w:rsid w:val="00AC5171"/>
    <w:rsid w:val="00AC5372"/>
    <w:rsid w:val="00AC57F9"/>
    <w:rsid w:val="00AC7BD8"/>
    <w:rsid w:val="00AD0250"/>
    <w:rsid w:val="00AD0DBF"/>
    <w:rsid w:val="00AD1B07"/>
    <w:rsid w:val="00AD1DC3"/>
    <w:rsid w:val="00AD2499"/>
    <w:rsid w:val="00AD3916"/>
    <w:rsid w:val="00AD3A62"/>
    <w:rsid w:val="00AD55D3"/>
    <w:rsid w:val="00AD69B4"/>
    <w:rsid w:val="00AD70D4"/>
    <w:rsid w:val="00AD7B2A"/>
    <w:rsid w:val="00AE0EA8"/>
    <w:rsid w:val="00AE14E2"/>
    <w:rsid w:val="00AE2118"/>
    <w:rsid w:val="00AE2E8D"/>
    <w:rsid w:val="00AE2EB4"/>
    <w:rsid w:val="00AE3260"/>
    <w:rsid w:val="00AE3A96"/>
    <w:rsid w:val="00AE422A"/>
    <w:rsid w:val="00AE43D9"/>
    <w:rsid w:val="00AE46D3"/>
    <w:rsid w:val="00AE5077"/>
    <w:rsid w:val="00AE5581"/>
    <w:rsid w:val="00AE58B6"/>
    <w:rsid w:val="00AE6CD5"/>
    <w:rsid w:val="00AE7D0D"/>
    <w:rsid w:val="00AF0076"/>
    <w:rsid w:val="00AF0293"/>
    <w:rsid w:val="00AF03FC"/>
    <w:rsid w:val="00AF0C19"/>
    <w:rsid w:val="00AF0E6E"/>
    <w:rsid w:val="00AF1810"/>
    <w:rsid w:val="00AF205E"/>
    <w:rsid w:val="00AF25AA"/>
    <w:rsid w:val="00AF27A4"/>
    <w:rsid w:val="00AF3F2C"/>
    <w:rsid w:val="00AF5235"/>
    <w:rsid w:val="00AF563B"/>
    <w:rsid w:val="00AF5707"/>
    <w:rsid w:val="00AF5AAE"/>
    <w:rsid w:val="00AF739D"/>
    <w:rsid w:val="00AF74C0"/>
    <w:rsid w:val="00B00BAD"/>
    <w:rsid w:val="00B02298"/>
    <w:rsid w:val="00B03315"/>
    <w:rsid w:val="00B034F3"/>
    <w:rsid w:val="00B03F46"/>
    <w:rsid w:val="00B03F5E"/>
    <w:rsid w:val="00B0420E"/>
    <w:rsid w:val="00B0472A"/>
    <w:rsid w:val="00B04B44"/>
    <w:rsid w:val="00B057D2"/>
    <w:rsid w:val="00B06A6B"/>
    <w:rsid w:val="00B06C4E"/>
    <w:rsid w:val="00B0728F"/>
    <w:rsid w:val="00B07683"/>
    <w:rsid w:val="00B104A2"/>
    <w:rsid w:val="00B108CC"/>
    <w:rsid w:val="00B109E2"/>
    <w:rsid w:val="00B1101C"/>
    <w:rsid w:val="00B11857"/>
    <w:rsid w:val="00B12253"/>
    <w:rsid w:val="00B12403"/>
    <w:rsid w:val="00B12D63"/>
    <w:rsid w:val="00B147A5"/>
    <w:rsid w:val="00B16531"/>
    <w:rsid w:val="00B173E7"/>
    <w:rsid w:val="00B177D5"/>
    <w:rsid w:val="00B1786A"/>
    <w:rsid w:val="00B20695"/>
    <w:rsid w:val="00B20861"/>
    <w:rsid w:val="00B20CC7"/>
    <w:rsid w:val="00B211F3"/>
    <w:rsid w:val="00B21294"/>
    <w:rsid w:val="00B22A96"/>
    <w:rsid w:val="00B22B0B"/>
    <w:rsid w:val="00B243D9"/>
    <w:rsid w:val="00B248B4"/>
    <w:rsid w:val="00B25C42"/>
    <w:rsid w:val="00B25DF5"/>
    <w:rsid w:val="00B270D2"/>
    <w:rsid w:val="00B27822"/>
    <w:rsid w:val="00B30CC4"/>
    <w:rsid w:val="00B326E5"/>
    <w:rsid w:val="00B328FE"/>
    <w:rsid w:val="00B32C8C"/>
    <w:rsid w:val="00B32E41"/>
    <w:rsid w:val="00B33291"/>
    <w:rsid w:val="00B334AC"/>
    <w:rsid w:val="00B345C2"/>
    <w:rsid w:val="00B35B53"/>
    <w:rsid w:val="00B3648D"/>
    <w:rsid w:val="00B36BFA"/>
    <w:rsid w:val="00B36EE7"/>
    <w:rsid w:val="00B370DF"/>
    <w:rsid w:val="00B3711F"/>
    <w:rsid w:val="00B41207"/>
    <w:rsid w:val="00B416DC"/>
    <w:rsid w:val="00B4271E"/>
    <w:rsid w:val="00B42D18"/>
    <w:rsid w:val="00B43B85"/>
    <w:rsid w:val="00B44938"/>
    <w:rsid w:val="00B451AF"/>
    <w:rsid w:val="00B45F75"/>
    <w:rsid w:val="00B46327"/>
    <w:rsid w:val="00B46442"/>
    <w:rsid w:val="00B502FF"/>
    <w:rsid w:val="00B5064F"/>
    <w:rsid w:val="00B525D5"/>
    <w:rsid w:val="00B53040"/>
    <w:rsid w:val="00B538C1"/>
    <w:rsid w:val="00B54092"/>
    <w:rsid w:val="00B54332"/>
    <w:rsid w:val="00B54763"/>
    <w:rsid w:val="00B564FC"/>
    <w:rsid w:val="00B56A3B"/>
    <w:rsid w:val="00B56C4D"/>
    <w:rsid w:val="00B56F6A"/>
    <w:rsid w:val="00B602AC"/>
    <w:rsid w:val="00B604A2"/>
    <w:rsid w:val="00B61403"/>
    <w:rsid w:val="00B61D4E"/>
    <w:rsid w:val="00B61FFD"/>
    <w:rsid w:val="00B63213"/>
    <w:rsid w:val="00B633D1"/>
    <w:rsid w:val="00B63986"/>
    <w:rsid w:val="00B63D8C"/>
    <w:rsid w:val="00B64296"/>
    <w:rsid w:val="00B643AA"/>
    <w:rsid w:val="00B6472F"/>
    <w:rsid w:val="00B65164"/>
    <w:rsid w:val="00B6551A"/>
    <w:rsid w:val="00B6554D"/>
    <w:rsid w:val="00B656C0"/>
    <w:rsid w:val="00B656F5"/>
    <w:rsid w:val="00B65BF1"/>
    <w:rsid w:val="00B666FF"/>
    <w:rsid w:val="00B67D7F"/>
    <w:rsid w:val="00B67EA6"/>
    <w:rsid w:val="00B70196"/>
    <w:rsid w:val="00B71D3F"/>
    <w:rsid w:val="00B7213F"/>
    <w:rsid w:val="00B727A6"/>
    <w:rsid w:val="00B73BD8"/>
    <w:rsid w:val="00B747BA"/>
    <w:rsid w:val="00B74DB3"/>
    <w:rsid w:val="00B75556"/>
    <w:rsid w:val="00B757B4"/>
    <w:rsid w:val="00B75F3D"/>
    <w:rsid w:val="00B76E00"/>
    <w:rsid w:val="00B7730A"/>
    <w:rsid w:val="00B77A46"/>
    <w:rsid w:val="00B804B0"/>
    <w:rsid w:val="00B81E56"/>
    <w:rsid w:val="00B82441"/>
    <w:rsid w:val="00B8291E"/>
    <w:rsid w:val="00B843DB"/>
    <w:rsid w:val="00B844DE"/>
    <w:rsid w:val="00B8468E"/>
    <w:rsid w:val="00B84ABA"/>
    <w:rsid w:val="00B871FD"/>
    <w:rsid w:val="00B87820"/>
    <w:rsid w:val="00B909BA"/>
    <w:rsid w:val="00B912F8"/>
    <w:rsid w:val="00B914A1"/>
    <w:rsid w:val="00B925D8"/>
    <w:rsid w:val="00B9288B"/>
    <w:rsid w:val="00B939D5"/>
    <w:rsid w:val="00B9567A"/>
    <w:rsid w:val="00B96D9B"/>
    <w:rsid w:val="00B9738E"/>
    <w:rsid w:val="00B974BE"/>
    <w:rsid w:val="00BA0C1A"/>
    <w:rsid w:val="00BA0FBD"/>
    <w:rsid w:val="00BA1041"/>
    <w:rsid w:val="00BA2429"/>
    <w:rsid w:val="00BA2767"/>
    <w:rsid w:val="00BA283F"/>
    <w:rsid w:val="00BA3FB7"/>
    <w:rsid w:val="00BA628A"/>
    <w:rsid w:val="00BA7D2F"/>
    <w:rsid w:val="00BB09CD"/>
    <w:rsid w:val="00BB1219"/>
    <w:rsid w:val="00BB160F"/>
    <w:rsid w:val="00BB1CE8"/>
    <w:rsid w:val="00BB22DA"/>
    <w:rsid w:val="00BB244F"/>
    <w:rsid w:val="00BB2904"/>
    <w:rsid w:val="00BB3E06"/>
    <w:rsid w:val="00BB4251"/>
    <w:rsid w:val="00BB427D"/>
    <w:rsid w:val="00BB548C"/>
    <w:rsid w:val="00BB5710"/>
    <w:rsid w:val="00BB6DB9"/>
    <w:rsid w:val="00BB6EED"/>
    <w:rsid w:val="00BB73C7"/>
    <w:rsid w:val="00BB7452"/>
    <w:rsid w:val="00BB7B04"/>
    <w:rsid w:val="00BB7E81"/>
    <w:rsid w:val="00BC03E2"/>
    <w:rsid w:val="00BC075F"/>
    <w:rsid w:val="00BC0DFD"/>
    <w:rsid w:val="00BC1047"/>
    <w:rsid w:val="00BC23E8"/>
    <w:rsid w:val="00BC274B"/>
    <w:rsid w:val="00BC2819"/>
    <w:rsid w:val="00BC299B"/>
    <w:rsid w:val="00BC370A"/>
    <w:rsid w:val="00BC441D"/>
    <w:rsid w:val="00BC453A"/>
    <w:rsid w:val="00BC4F01"/>
    <w:rsid w:val="00BC5B1D"/>
    <w:rsid w:val="00BC5C7F"/>
    <w:rsid w:val="00BC607B"/>
    <w:rsid w:val="00BD0C49"/>
    <w:rsid w:val="00BD29E2"/>
    <w:rsid w:val="00BD302F"/>
    <w:rsid w:val="00BD49C7"/>
    <w:rsid w:val="00BD4DAE"/>
    <w:rsid w:val="00BD4FBC"/>
    <w:rsid w:val="00BD5754"/>
    <w:rsid w:val="00BD57D5"/>
    <w:rsid w:val="00BD603F"/>
    <w:rsid w:val="00BD60A5"/>
    <w:rsid w:val="00BD660A"/>
    <w:rsid w:val="00BD6C6C"/>
    <w:rsid w:val="00BD7F2F"/>
    <w:rsid w:val="00BE1168"/>
    <w:rsid w:val="00BE1C8B"/>
    <w:rsid w:val="00BE1CC8"/>
    <w:rsid w:val="00BE1F6D"/>
    <w:rsid w:val="00BE2021"/>
    <w:rsid w:val="00BE2292"/>
    <w:rsid w:val="00BE46A1"/>
    <w:rsid w:val="00BE49CD"/>
    <w:rsid w:val="00BE56E3"/>
    <w:rsid w:val="00BE5D8A"/>
    <w:rsid w:val="00BE6DBC"/>
    <w:rsid w:val="00BE7E71"/>
    <w:rsid w:val="00BF02B6"/>
    <w:rsid w:val="00BF02BC"/>
    <w:rsid w:val="00BF03D0"/>
    <w:rsid w:val="00BF1915"/>
    <w:rsid w:val="00BF2403"/>
    <w:rsid w:val="00BF26E3"/>
    <w:rsid w:val="00BF3E43"/>
    <w:rsid w:val="00BF4498"/>
    <w:rsid w:val="00BF452A"/>
    <w:rsid w:val="00BF4825"/>
    <w:rsid w:val="00BF5865"/>
    <w:rsid w:val="00BF5FA7"/>
    <w:rsid w:val="00BF7954"/>
    <w:rsid w:val="00C009EB"/>
    <w:rsid w:val="00C00FCB"/>
    <w:rsid w:val="00C020EF"/>
    <w:rsid w:val="00C03F15"/>
    <w:rsid w:val="00C04449"/>
    <w:rsid w:val="00C048BC"/>
    <w:rsid w:val="00C04C7D"/>
    <w:rsid w:val="00C06748"/>
    <w:rsid w:val="00C07D1C"/>
    <w:rsid w:val="00C108E0"/>
    <w:rsid w:val="00C10C10"/>
    <w:rsid w:val="00C10F72"/>
    <w:rsid w:val="00C11313"/>
    <w:rsid w:val="00C126FE"/>
    <w:rsid w:val="00C133A4"/>
    <w:rsid w:val="00C149BD"/>
    <w:rsid w:val="00C1602A"/>
    <w:rsid w:val="00C16FD9"/>
    <w:rsid w:val="00C179F3"/>
    <w:rsid w:val="00C17A54"/>
    <w:rsid w:val="00C17C32"/>
    <w:rsid w:val="00C17C9F"/>
    <w:rsid w:val="00C2014C"/>
    <w:rsid w:val="00C2029A"/>
    <w:rsid w:val="00C20594"/>
    <w:rsid w:val="00C20896"/>
    <w:rsid w:val="00C21211"/>
    <w:rsid w:val="00C22375"/>
    <w:rsid w:val="00C23765"/>
    <w:rsid w:val="00C23C99"/>
    <w:rsid w:val="00C24294"/>
    <w:rsid w:val="00C243D5"/>
    <w:rsid w:val="00C24718"/>
    <w:rsid w:val="00C25629"/>
    <w:rsid w:val="00C256AE"/>
    <w:rsid w:val="00C25C0D"/>
    <w:rsid w:val="00C278FE"/>
    <w:rsid w:val="00C27A6E"/>
    <w:rsid w:val="00C30E37"/>
    <w:rsid w:val="00C31064"/>
    <w:rsid w:val="00C31F17"/>
    <w:rsid w:val="00C32705"/>
    <w:rsid w:val="00C32D1A"/>
    <w:rsid w:val="00C330BD"/>
    <w:rsid w:val="00C344FF"/>
    <w:rsid w:val="00C345D5"/>
    <w:rsid w:val="00C351D6"/>
    <w:rsid w:val="00C361E1"/>
    <w:rsid w:val="00C36205"/>
    <w:rsid w:val="00C3630B"/>
    <w:rsid w:val="00C36457"/>
    <w:rsid w:val="00C36C4F"/>
    <w:rsid w:val="00C37796"/>
    <w:rsid w:val="00C37B5C"/>
    <w:rsid w:val="00C37F79"/>
    <w:rsid w:val="00C40840"/>
    <w:rsid w:val="00C41091"/>
    <w:rsid w:val="00C411F5"/>
    <w:rsid w:val="00C4149D"/>
    <w:rsid w:val="00C41EBE"/>
    <w:rsid w:val="00C41F05"/>
    <w:rsid w:val="00C429E5"/>
    <w:rsid w:val="00C430B7"/>
    <w:rsid w:val="00C45682"/>
    <w:rsid w:val="00C45757"/>
    <w:rsid w:val="00C459AA"/>
    <w:rsid w:val="00C45CEC"/>
    <w:rsid w:val="00C4628A"/>
    <w:rsid w:val="00C469CF"/>
    <w:rsid w:val="00C476EE"/>
    <w:rsid w:val="00C47920"/>
    <w:rsid w:val="00C50285"/>
    <w:rsid w:val="00C502E7"/>
    <w:rsid w:val="00C503C2"/>
    <w:rsid w:val="00C50EC6"/>
    <w:rsid w:val="00C515D2"/>
    <w:rsid w:val="00C51661"/>
    <w:rsid w:val="00C517DC"/>
    <w:rsid w:val="00C52321"/>
    <w:rsid w:val="00C5509E"/>
    <w:rsid w:val="00C55E33"/>
    <w:rsid w:val="00C5624C"/>
    <w:rsid w:val="00C608B7"/>
    <w:rsid w:val="00C60AD6"/>
    <w:rsid w:val="00C61382"/>
    <w:rsid w:val="00C63004"/>
    <w:rsid w:val="00C638A9"/>
    <w:rsid w:val="00C63CE8"/>
    <w:rsid w:val="00C63D63"/>
    <w:rsid w:val="00C646CA"/>
    <w:rsid w:val="00C652B4"/>
    <w:rsid w:val="00C658D6"/>
    <w:rsid w:val="00C65D9A"/>
    <w:rsid w:val="00C67436"/>
    <w:rsid w:val="00C67C40"/>
    <w:rsid w:val="00C67F4B"/>
    <w:rsid w:val="00C707BF"/>
    <w:rsid w:val="00C70F5A"/>
    <w:rsid w:val="00C71AAC"/>
    <w:rsid w:val="00C71B99"/>
    <w:rsid w:val="00C71DAF"/>
    <w:rsid w:val="00C724AC"/>
    <w:rsid w:val="00C733A3"/>
    <w:rsid w:val="00C73441"/>
    <w:rsid w:val="00C74033"/>
    <w:rsid w:val="00C741D6"/>
    <w:rsid w:val="00C74212"/>
    <w:rsid w:val="00C76073"/>
    <w:rsid w:val="00C76C09"/>
    <w:rsid w:val="00C76CDD"/>
    <w:rsid w:val="00C77B71"/>
    <w:rsid w:val="00C80481"/>
    <w:rsid w:val="00C80A23"/>
    <w:rsid w:val="00C810BC"/>
    <w:rsid w:val="00C81434"/>
    <w:rsid w:val="00C8148F"/>
    <w:rsid w:val="00C821C1"/>
    <w:rsid w:val="00C82ED8"/>
    <w:rsid w:val="00C82F80"/>
    <w:rsid w:val="00C86039"/>
    <w:rsid w:val="00C86717"/>
    <w:rsid w:val="00C86799"/>
    <w:rsid w:val="00C86A97"/>
    <w:rsid w:val="00C8733B"/>
    <w:rsid w:val="00C87593"/>
    <w:rsid w:val="00C91695"/>
    <w:rsid w:val="00C91CAF"/>
    <w:rsid w:val="00C9320B"/>
    <w:rsid w:val="00C9392A"/>
    <w:rsid w:val="00C93AF0"/>
    <w:rsid w:val="00C94841"/>
    <w:rsid w:val="00C955E8"/>
    <w:rsid w:val="00C95DDD"/>
    <w:rsid w:val="00C96603"/>
    <w:rsid w:val="00C971F6"/>
    <w:rsid w:val="00CA122D"/>
    <w:rsid w:val="00CA16D9"/>
    <w:rsid w:val="00CA1B2B"/>
    <w:rsid w:val="00CA20F0"/>
    <w:rsid w:val="00CA245F"/>
    <w:rsid w:val="00CA2987"/>
    <w:rsid w:val="00CA329A"/>
    <w:rsid w:val="00CA37DE"/>
    <w:rsid w:val="00CA3A59"/>
    <w:rsid w:val="00CA3F22"/>
    <w:rsid w:val="00CA3FEA"/>
    <w:rsid w:val="00CA4D72"/>
    <w:rsid w:val="00CA528B"/>
    <w:rsid w:val="00CA5F65"/>
    <w:rsid w:val="00CA6BC0"/>
    <w:rsid w:val="00CA70E1"/>
    <w:rsid w:val="00CA7796"/>
    <w:rsid w:val="00CB011B"/>
    <w:rsid w:val="00CB0352"/>
    <w:rsid w:val="00CB0983"/>
    <w:rsid w:val="00CB1A55"/>
    <w:rsid w:val="00CB1AF3"/>
    <w:rsid w:val="00CB1CEA"/>
    <w:rsid w:val="00CB2C78"/>
    <w:rsid w:val="00CB335A"/>
    <w:rsid w:val="00CB3A11"/>
    <w:rsid w:val="00CB3E0A"/>
    <w:rsid w:val="00CB405E"/>
    <w:rsid w:val="00CB4B19"/>
    <w:rsid w:val="00CB5267"/>
    <w:rsid w:val="00CB546F"/>
    <w:rsid w:val="00CB70D5"/>
    <w:rsid w:val="00CB7249"/>
    <w:rsid w:val="00CB79C3"/>
    <w:rsid w:val="00CB7D65"/>
    <w:rsid w:val="00CC051A"/>
    <w:rsid w:val="00CC054F"/>
    <w:rsid w:val="00CC0F50"/>
    <w:rsid w:val="00CC18FC"/>
    <w:rsid w:val="00CC1999"/>
    <w:rsid w:val="00CC1B00"/>
    <w:rsid w:val="00CC21A3"/>
    <w:rsid w:val="00CC22B6"/>
    <w:rsid w:val="00CC2F61"/>
    <w:rsid w:val="00CC3CAF"/>
    <w:rsid w:val="00CC4051"/>
    <w:rsid w:val="00CC4E23"/>
    <w:rsid w:val="00CC5FEB"/>
    <w:rsid w:val="00CC6154"/>
    <w:rsid w:val="00CC7F28"/>
    <w:rsid w:val="00CD00D7"/>
    <w:rsid w:val="00CD0320"/>
    <w:rsid w:val="00CD045F"/>
    <w:rsid w:val="00CD0AA4"/>
    <w:rsid w:val="00CD22DD"/>
    <w:rsid w:val="00CD2888"/>
    <w:rsid w:val="00CD38D0"/>
    <w:rsid w:val="00CD3B4E"/>
    <w:rsid w:val="00CD3F24"/>
    <w:rsid w:val="00CD53F8"/>
    <w:rsid w:val="00CD784F"/>
    <w:rsid w:val="00CE082B"/>
    <w:rsid w:val="00CE23EF"/>
    <w:rsid w:val="00CE290A"/>
    <w:rsid w:val="00CE31B5"/>
    <w:rsid w:val="00CE39D2"/>
    <w:rsid w:val="00CE40A4"/>
    <w:rsid w:val="00CE416D"/>
    <w:rsid w:val="00CE431B"/>
    <w:rsid w:val="00CE4BF7"/>
    <w:rsid w:val="00CE5793"/>
    <w:rsid w:val="00CE588B"/>
    <w:rsid w:val="00CE59B0"/>
    <w:rsid w:val="00CE6459"/>
    <w:rsid w:val="00CE7328"/>
    <w:rsid w:val="00CF045E"/>
    <w:rsid w:val="00CF05BD"/>
    <w:rsid w:val="00CF11A8"/>
    <w:rsid w:val="00CF139D"/>
    <w:rsid w:val="00CF2910"/>
    <w:rsid w:val="00CF33F4"/>
    <w:rsid w:val="00CF33F7"/>
    <w:rsid w:val="00CF409F"/>
    <w:rsid w:val="00CF4658"/>
    <w:rsid w:val="00CF65FF"/>
    <w:rsid w:val="00CF669C"/>
    <w:rsid w:val="00CF72BF"/>
    <w:rsid w:val="00CF7E3E"/>
    <w:rsid w:val="00D04363"/>
    <w:rsid w:val="00D045D2"/>
    <w:rsid w:val="00D053E1"/>
    <w:rsid w:val="00D056B3"/>
    <w:rsid w:val="00D05B41"/>
    <w:rsid w:val="00D0631C"/>
    <w:rsid w:val="00D0661F"/>
    <w:rsid w:val="00D06CF6"/>
    <w:rsid w:val="00D07515"/>
    <w:rsid w:val="00D076F0"/>
    <w:rsid w:val="00D07737"/>
    <w:rsid w:val="00D1089B"/>
    <w:rsid w:val="00D109B2"/>
    <w:rsid w:val="00D11B91"/>
    <w:rsid w:val="00D11E41"/>
    <w:rsid w:val="00D132AB"/>
    <w:rsid w:val="00D15472"/>
    <w:rsid w:val="00D16D9B"/>
    <w:rsid w:val="00D16F5C"/>
    <w:rsid w:val="00D172BB"/>
    <w:rsid w:val="00D20FDA"/>
    <w:rsid w:val="00D214B1"/>
    <w:rsid w:val="00D223B8"/>
    <w:rsid w:val="00D22936"/>
    <w:rsid w:val="00D22DEB"/>
    <w:rsid w:val="00D22EAA"/>
    <w:rsid w:val="00D23F2C"/>
    <w:rsid w:val="00D24880"/>
    <w:rsid w:val="00D24C0E"/>
    <w:rsid w:val="00D258E2"/>
    <w:rsid w:val="00D25EF9"/>
    <w:rsid w:val="00D261F5"/>
    <w:rsid w:val="00D264E9"/>
    <w:rsid w:val="00D2720C"/>
    <w:rsid w:val="00D278B5"/>
    <w:rsid w:val="00D2792F"/>
    <w:rsid w:val="00D27A92"/>
    <w:rsid w:val="00D3120B"/>
    <w:rsid w:val="00D312CB"/>
    <w:rsid w:val="00D31586"/>
    <w:rsid w:val="00D32673"/>
    <w:rsid w:val="00D32750"/>
    <w:rsid w:val="00D333D5"/>
    <w:rsid w:val="00D34402"/>
    <w:rsid w:val="00D34923"/>
    <w:rsid w:val="00D3494D"/>
    <w:rsid w:val="00D35327"/>
    <w:rsid w:val="00D35501"/>
    <w:rsid w:val="00D36F92"/>
    <w:rsid w:val="00D37C8A"/>
    <w:rsid w:val="00D402CC"/>
    <w:rsid w:val="00D41060"/>
    <w:rsid w:val="00D41E7B"/>
    <w:rsid w:val="00D428C6"/>
    <w:rsid w:val="00D42DA2"/>
    <w:rsid w:val="00D44071"/>
    <w:rsid w:val="00D444E3"/>
    <w:rsid w:val="00D44711"/>
    <w:rsid w:val="00D449F5"/>
    <w:rsid w:val="00D44F6C"/>
    <w:rsid w:val="00D451AA"/>
    <w:rsid w:val="00D46071"/>
    <w:rsid w:val="00D463B3"/>
    <w:rsid w:val="00D46942"/>
    <w:rsid w:val="00D46C14"/>
    <w:rsid w:val="00D47381"/>
    <w:rsid w:val="00D502C6"/>
    <w:rsid w:val="00D51CCB"/>
    <w:rsid w:val="00D521BE"/>
    <w:rsid w:val="00D541ED"/>
    <w:rsid w:val="00D54B53"/>
    <w:rsid w:val="00D56FFB"/>
    <w:rsid w:val="00D6091D"/>
    <w:rsid w:val="00D60D3A"/>
    <w:rsid w:val="00D60FE7"/>
    <w:rsid w:val="00D615EF"/>
    <w:rsid w:val="00D61BD4"/>
    <w:rsid w:val="00D625DF"/>
    <w:rsid w:val="00D62DB6"/>
    <w:rsid w:val="00D63D80"/>
    <w:rsid w:val="00D648B2"/>
    <w:rsid w:val="00D64ABF"/>
    <w:rsid w:val="00D64C14"/>
    <w:rsid w:val="00D65A15"/>
    <w:rsid w:val="00D662FF"/>
    <w:rsid w:val="00D66559"/>
    <w:rsid w:val="00D66848"/>
    <w:rsid w:val="00D66906"/>
    <w:rsid w:val="00D66D49"/>
    <w:rsid w:val="00D676DD"/>
    <w:rsid w:val="00D70E92"/>
    <w:rsid w:val="00D716C1"/>
    <w:rsid w:val="00D71828"/>
    <w:rsid w:val="00D71C11"/>
    <w:rsid w:val="00D72BA5"/>
    <w:rsid w:val="00D736CC"/>
    <w:rsid w:val="00D73848"/>
    <w:rsid w:val="00D74128"/>
    <w:rsid w:val="00D74360"/>
    <w:rsid w:val="00D74CA6"/>
    <w:rsid w:val="00D75454"/>
    <w:rsid w:val="00D75C61"/>
    <w:rsid w:val="00D76908"/>
    <w:rsid w:val="00D76B4A"/>
    <w:rsid w:val="00D8053C"/>
    <w:rsid w:val="00D81720"/>
    <w:rsid w:val="00D825A3"/>
    <w:rsid w:val="00D83A99"/>
    <w:rsid w:val="00D84302"/>
    <w:rsid w:val="00D84949"/>
    <w:rsid w:val="00D8496E"/>
    <w:rsid w:val="00D853C3"/>
    <w:rsid w:val="00D8541E"/>
    <w:rsid w:val="00D87C50"/>
    <w:rsid w:val="00D87D8E"/>
    <w:rsid w:val="00D87EE7"/>
    <w:rsid w:val="00D900DE"/>
    <w:rsid w:val="00D90D85"/>
    <w:rsid w:val="00D91D47"/>
    <w:rsid w:val="00D92C43"/>
    <w:rsid w:val="00D92EEA"/>
    <w:rsid w:val="00D94108"/>
    <w:rsid w:val="00D94E62"/>
    <w:rsid w:val="00D957AC"/>
    <w:rsid w:val="00D95D9D"/>
    <w:rsid w:val="00D95F31"/>
    <w:rsid w:val="00D96325"/>
    <w:rsid w:val="00D965F8"/>
    <w:rsid w:val="00DA0E64"/>
    <w:rsid w:val="00DA17A8"/>
    <w:rsid w:val="00DA1EA2"/>
    <w:rsid w:val="00DA252A"/>
    <w:rsid w:val="00DA28A9"/>
    <w:rsid w:val="00DA3CEB"/>
    <w:rsid w:val="00DA47F5"/>
    <w:rsid w:val="00DA58CD"/>
    <w:rsid w:val="00DA5F1E"/>
    <w:rsid w:val="00DA6143"/>
    <w:rsid w:val="00DA79F8"/>
    <w:rsid w:val="00DA7F7F"/>
    <w:rsid w:val="00DB0E2C"/>
    <w:rsid w:val="00DB1BBF"/>
    <w:rsid w:val="00DB2D35"/>
    <w:rsid w:val="00DB30E2"/>
    <w:rsid w:val="00DB37BF"/>
    <w:rsid w:val="00DB399F"/>
    <w:rsid w:val="00DB42C3"/>
    <w:rsid w:val="00DB48B3"/>
    <w:rsid w:val="00DB4B20"/>
    <w:rsid w:val="00DB6404"/>
    <w:rsid w:val="00DB6FD1"/>
    <w:rsid w:val="00DB7D3B"/>
    <w:rsid w:val="00DC0C08"/>
    <w:rsid w:val="00DC161D"/>
    <w:rsid w:val="00DC1DB0"/>
    <w:rsid w:val="00DC223F"/>
    <w:rsid w:val="00DC3215"/>
    <w:rsid w:val="00DC45A4"/>
    <w:rsid w:val="00DC576F"/>
    <w:rsid w:val="00DD2319"/>
    <w:rsid w:val="00DD25BA"/>
    <w:rsid w:val="00DD3DCD"/>
    <w:rsid w:val="00DD608C"/>
    <w:rsid w:val="00DD6358"/>
    <w:rsid w:val="00DD63F0"/>
    <w:rsid w:val="00DD6724"/>
    <w:rsid w:val="00DD67EC"/>
    <w:rsid w:val="00DD7383"/>
    <w:rsid w:val="00DD7564"/>
    <w:rsid w:val="00DD783A"/>
    <w:rsid w:val="00DD7AC6"/>
    <w:rsid w:val="00DE022C"/>
    <w:rsid w:val="00DE0C53"/>
    <w:rsid w:val="00DE123A"/>
    <w:rsid w:val="00DE1F0B"/>
    <w:rsid w:val="00DE20D5"/>
    <w:rsid w:val="00DE31FC"/>
    <w:rsid w:val="00DE3C27"/>
    <w:rsid w:val="00DE44C2"/>
    <w:rsid w:val="00DE4D9E"/>
    <w:rsid w:val="00DE598F"/>
    <w:rsid w:val="00DE633E"/>
    <w:rsid w:val="00DE6852"/>
    <w:rsid w:val="00DE75C1"/>
    <w:rsid w:val="00DF01BE"/>
    <w:rsid w:val="00DF0A66"/>
    <w:rsid w:val="00DF0B58"/>
    <w:rsid w:val="00DF1304"/>
    <w:rsid w:val="00DF1EBF"/>
    <w:rsid w:val="00DF20CA"/>
    <w:rsid w:val="00DF22BB"/>
    <w:rsid w:val="00DF297D"/>
    <w:rsid w:val="00DF3180"/>
    <w:rsid w:val="00DF3314"/>
    <w:rsid w:val="00DF33D4"/>
    <w:rsid w:val="00DF3BB3"/>
    <w:rsid w:val="00DF6DCB"/>
    <w:rsid w:val="00DF7DD9"/>
    <w:rsid w:val="00E004D4"/>
    <w:rsid w:val="00E00FEC"/>
    <w:rsid w:val="00E02E2E"/>
    <w:rsid w:val="00E030C3"/>
    <w:rsid w:val="00E037D6"/>
    <w:rsid w:val="00E05E03"/>
    <w:rsid w:val="00E064F9"/>
    <w:rsid w:val="00E065BB"/>
    <w:rsid w:val="00E104B0"/>
    <w:rsid w:val="00E10971"/>
    <w:rsid w:val="00E11B0C"/>
    <w:rsid w:val="00E12A65"/>
    <w:rsid w:val="00E12BB6"/>
    <w:rsid w:val="00E12FA9"/>
    <w:rsid w:val="00E138DB"/>
    <w:rsid w:val="00E14875"/>
    <w:rsid w:val="00E15955"/>
    <w:rsid w:val="00E15F98"/>
    <w:rsid w:val="00E15FCD"/>
    <w:rsid w:val="00E16D86"/>
    <w:rsid w:val="00E16EAD"/>
    <w:rsid w:val="00E20649"/>
    <w:rsid w:val="00E208FF"/>
    <w:rsid w:val="00E211C5"/>
    <w:rsid w:val="00E21DDB"/>
    <w:rsid w:val="00E240A6"/>
    <w:rsid w:val="00E252A2"/>
    <w:rsid w:val="00E26342"/>
    <w:rsid w:val="00E26DD6"/>
    <w:rsid w:val="00E305BA"/>
    <w:rsid w:val="00E30CBD"/>
    <w:rsid w:val="00E30D9A"/>
    <w:rsid w:val="00E318B7"/>
    <w:rsid w:val="00E321BC"/>
    <w:rsid w:val="00E32365"/>
    <w:rsid w:val="00E33126"/>
    <w:rsid w:val="00E336C4"/>
    <w:rsid w:val="00E33772"/>
    <w:rsid w:val="00E34CE1"/>
    <w:rsid w:val="00E35AA9"/>
    <w:rsid w:val="00E37403"/>
    <w:rsid w:val="00E37881"/>
    <w:rsid w:val="00E40747"/>
    <w:rsid w:val="00E40B8B"/>
    <w:rsid w:val="00E414AD"/>
    <w:rsid w:val="00E42AED"/>
    <w:rsid w:val="00E43068"/>
    <w:rsid w:val="00E430A0"/>
    <w:rsid w:val="00E43577"/>
    <w:rsid w:val="00E44987"/>
    <w:rsid w:val="00E44D84"/>
    <w:rsid w:val="00E45451"/>
    <w:rsid w:val="00E46039"/>
    <w:rsid w:val="00E46748"/>
    <w:rsid w:val="00E473C3"/>
    <w:rsid w:val="00E4788A"/>
    <w:rsid w:val="00E50124"/>
    <w:rsid w:val="00E50292"/>
    <w:rsid w:val="00E502B1"/>
    <w:rsid w:val="00E50973"/>
    <w:rsid w:val="00E516FC"/>
    <w:rsid w:val="00E51997"/>
    <w:rsid w:val="00E52497"/>
    <w:rsid w:val="00E524A6"/>
    <w:rsid w:val="00E52E8D"/>
    <w:rsid w:val="00E54284"/>
    <w:rsid w:val="00E54E12"/>
    <w:rsid w:val="00E5552A"/>
    <w:rsid w:val="00E556AE"/>
    <w:rsid w:val="00E55C10"/>
    <w:rsid w:val="00E56087"/>
    <w:rsid w:val="00E561B3"/>
    <w:rsid w:val="00E56BA1"/>
    <w:rsid w:val="00E57127"/>
    <w:rsid w:val="00E5748F"/>
    <w:rsid w:val="00E57E36"/>
    <w:rsid w:val="00E6003D"/>
    <w:rsid w:val="00E63218"/>
    <w:rsid w:val="00E64065"/>
    <w:rsid w:val="00E6435B"/>
    <w:rsid w:val="00E6436B"/>
    <w:rsid w:val="00E64501"/>
    <w:rsid w:val="00E65322"/>
    <w:rsid w:val="00E65FF0"/>
    <w:rsid w:val="00E665F3"/>
    <w:rsid w:val="00E66F6A"/>
    <w:rsid w:val="00E67F1C"/>
    <w:rsid w:val="00E7016C"/>
    <w:rsid w:val="00E704F7"/>
    <w:rsid w:val="00E70694"/>
    <w:rsid w:val="00E710DB"/>
    <w:rsid w:val="00E71319"/>
    <w:rsid w:val="00E725CC"/>
    <w:rsid w:val="00E72BA8"/>
    <w:rsid w:val="00E73399"/>
    <w:rsid w:val="00E74939"/>
    <w:rsid w:val="00E74A78"/>
    <w:rsid w:val="00E767CC"/>
    <w:rsid w:val="00E80BF6"/>
    <w:rsid w:val="00E80E6D"/>
    <w:rsid w:val="00E81486"/>
    <w:rsid w:val="00E81588"/>
    <w:rsid w:val="00E819DF"/>
    <w:rsid w:val="00E81E53"/>
    <w:rsid w:val="00E82C34"/>
    <w:rsid w:val="00E82F22"/>
    <w:rsid w:val="00E83091"/>
    <w:rsid w:val="00E83CDF"/>
    <w:rsid w:val="00E83E2F"/>
    <w:rsid w:val="00E85108"/>
    <w:rsid w:val="00E8636D"/>
    <w:rsid w:val="00E86464"/>
    <w:rsid w:val="00E87060"/>
    <w:rsid w:val="00E87912"/>
    <w:rsid w:val="00E87C79"/>
    <w:rsid w:val="00E87CD8"/>
    <w:rsid w:val="00E90452"/>
    <w:rsid w:val="00E909A6"/>
    <w:rsid w:val="00E90C9F"/>
    <w:rsid w:val="00E911D9"/>
    <w:rsid w:val="00E9125E"/>
    <w:rsid w:val="00E91580"/>
    <w:rsid w:val="00E917D2"/>
    <w:rsid w:val="00E91A73"/>
    <w:rsid w:val="00E927FF"/>
    <w:rsid w:val="00E92BF0"/>
    <w:rsid w:val="00E92C48"/>
    <w:rsid w:val="00E93247"/>
    <w:rsid w:val="00E9340A"/>
    <w:rsid w:val="00E938C0"/>
    <w:rsid w:val="00E94091"/>
    <w:rsid w:val="00E941AE"/>
    <w:rsid w:val="00E968BE"/>
    <w:rsid w:val="00E970F7"/>
    <w:rsid w:val="00E97D64"/>
    <w:rsid w:val="00EA037C"/>
    <w:rsid w:val="00EA1971"/>
    <w:rsid w:val="00EA4840"/>
    <w:rsid w:val="00EA7677"/>
    <w:rsid w:val="00EA7D9B"/>
    <w:rsid w:val="00EB18C1"/>
    <w:rsid w:val="00EB195C"/>
    <w:rsid w:val="00EB1FBE"/>
    <w:rsid w:val="00EB276E"/>
    <w:rsid w:val="00EB2A87"/>
    <w:rsid w:val="00EB31E8"/>
    <w:rsid w:val="00EB568C"/>
    <w:rsid w:val="00EB6336"/>
    <w:rsid w:val="00EB6388"/>
    <w:rsid w:val="00EB700B"/>
    <w:rsid w:val="00EB7FD4"/>
    <w:rsid w:val="00EC0484"/>
    <w:rsid w:val="00EC0549"/>
    <w:rsid w:val="00EC0CD6"/>
    <w:rsid w:val="00EC15D6"/>
    <w:rsid w:val="00EC1956"/>
    <w:rsid w:val="00EC1B4F"/>
    <w:rsid w:val="00EC3425"/>
    <w:rsid w:val="00EC39F4"/>
    <w:rsid w:val="00EC4DFB"/>
    <w:rsid w:val="00EC4FB6"/>
    <w:rsid w:val="00EC6243"/>
    <w:rsid w:val="00EC6311"/>
    <w:rsid w:val="00EC773B"/>
    <w:rsid w:val="00EC77E9"/>
    <w:rsid w:val="00ED0784"/>
    <w:rsid w:val="00ED0F93"/>
    <w:rsid w:val="00ED13A1"/>
    <w:rsid w:val="00ED14A9"/>
    <w:rsid w:val="00ED1CCF"/>
    <w:rsid w:val="00ED20D9"/>
    <w:rsid w:val="00ED28ED"/>
    <w:rsid w:val="00ED418B"/>
    <w:rsid w:val="00ED5E36"/>
    <w:rsid w:val="00ED5E89"/>
    <w:rsid w:val="00ED676D"/>
    <w:rsid w:val="00ED68BC"/>
    <w:rsid w:val="00ED75A7"/>
    <w:rsid w:val="00ED7A2C"/>
    <w:rsid w:val="00ED7D7E"/>
    <w:rsid w:val="00EE15B4"/>
    <w:rsid w:val="00EE1CCE"/>
    <w:rsid w:val="00EE207F"/>
    <w:rsid w:val="00EE2B45"/>
    <w:rsid w:val="00EE2E4E"/>
    <w:rsid w:val="00EE3860"/>
    <w:rsid w:val="00EE5ABE"/>
    <w:rsid w:val="00EE5D89"/>
    <w:rsid w:val="00EE5F06"/>
    <w:rsid w:val="00EE6D11"/>
    <w:rsid w:val="00EF04E1"/>
    <w:rsid w:val="00EF1307"/>
    <w:rsid w:val="00EF1FF1"/>
    <w:rsid w:val="00EF20EA"/>
    <w:rsid w:val="00EF351B"/>
    <w:rsid w:val="00EF3D8D"/>
    <w:rsid w:val="00EF4710"/>
    <w:rsid w:val="00EF4822"/>
    <w:rsid w:val="00EF57E1"/>
    <w:rsid w:val="00EF64DD"/>
    <w:rsid w:val="00EF65DF"/>
    <w:rsid w:val="00EF6C3E"/>
    <w:rsid w:val="00EF7C9A"/>
    <w:rsid w:val="00F00B5B"/>
    <w:rsid w:val="00F02746"/>
    <w:rsid w:val="00F03940"/>
    <w:rsid w:val="00F03DD1"/>
    <w:rsid w:val="00F0415F"/>
    <w:rsid w:val="00F04ADC"/>
    <w:rsid w:val="00F05046"/>
    <w:rsid w:val="00F053B4"/>
    <w:rsid w:val="00F05610"/>
    <w:rsid w:val="00F0598C"/>
    <w:rsid w:val="00F05C00"/>
    <w:rsid w:val="00F075E5"/>
    <w:rsid w:val="00F10985"/>
    <w:rsid w:val="00F10B44"/>
    <w:rsid w:val="00F10B7E"/>
    <w:rsid w:val="00F1155A"/>
    <w:rsid w:val="00F128AD"/>
    <w:rsid w:val="00F1310A"/>
    <w:rsid w:val="00F143C1"/>
    <w:rsid w:val="00F158AC"/>
    <w:rsid w:val="00F15AA6"/>
    <w:rsid w:val="00F1766B"/>
    <w:rsid w:val="00F2020F"/>
    <w:rsid w:val="00F2125E"/>
    <w:rsid w:val="00F2142E"/>
    <w:rsid w:val="00F21C82"/>
    <w:rsid w:val="00F21E30"/>
    <w:rsid w:val="00F2486D"/>
    <w:rsid w:val="00F24E59"/>
    <w:rsid w:val="00F26352"/>
    <w:rsid w:val="00F26EC4"/>
    <w:rsid w:val="00F270BF"/>
    <w:rsid w:val="00F27609"/>
    <w:rsid w:val="00F27D88"/>
    <w:rsid w:val="00F302C2"/>
    <w:rsid w:val="00F313DD"/>
    <w:rsid w:val="00F31734"/>
    <w:rsid w:val="00F321F6"/>
    <w:rsid w:val="00F330B2"/>
    <w:rsid w:val="00F33207"/>
    <w:rsid w:val="00F33347"/>
    <w:rsid w:val="00F3349C"/>
    <w:rsid w:val="00F34DE2"/>
    <w:rsid w:val="00F36269"/>
    <w:rsid w:val="00F37244"/>
    <w:rsid w:val="00F40446"/>
    <w:rsid w:val="00F41098"/>
    <w:rsid w:val="00F416F5"/>
    <w:rsid w:val="00F43FD4"/>
    <w:rsid w:val="00F45083"/>
    <w:rsid w:val="00F457C7"/>
    <w:rsid w:val="00F46C77"/>
    <w:rsid w:val="00F502DF"/>
    <w:rsid w:val="00F51AD4"/>
    <w:rsid w:val="00F52E1E"/>
    <w:rsid w:val="00F532B3"/>
    <w:rsid w:val="00F53D08"/>
    <w:rsid w:val="00F53FE2"/>
    <w:rsid w:val="00F540AE"/>
    <w:rsid w:val="00F5419F"/>
    <w:rsid w:val="00F552C9"/>
    <w:rsid w:val="00F55B4E"/>
    <w:rsid w:val="00F55E9D"/>
    <w:rsid w:val="00F57228"/>
    <w:rsid w:val="00F572C0"/>
    <w:rsid w:val="00F57F91"/>
    <w:rsid w:val="00F605FA"/>
    <w:rsid w:val="00F61C81"/>
    <w:rsid w:val="00F62911"/>
    <w:rsid w:val="00F6386D"/>
    <w:rsid w:val="00F649E5"/>
    <w:rsid w:val="00F649FB"/>
    <w:rsid w:val="00F65CC4"/>
    <w:rsid w:val="00F65CCB"/>
    <w:rsid w:val="00F66011"/>
    <w:rsid w:val="00F661F4"/>
    <w:rsid w:val="00F66EB2"/>
    <w:rsid w:val="00F67784"/>
    <w:rsid w:val="00F67D9F"/>
    <w:rsid w:val="00F67F46"/>
    <w:rsid w:val="00F70CCC"/>
    <w:rsid w:val="00F70E71"/>
    <w:rsid w:val="00F71D3C"/>
    <w:rsid w:val="00F72C44"/>
    <w:rsid w:val="00F73237"/>
    <w:rsid w:val="00F73A5A"/>
    <w:rsid w:val="00F73E9A"/>
    <w:rsid w:val="00F73FE4"/>
    <w:rsid w:val="00F747E6"/>
    <w:rsid w:val="00F7546E"/>
    <w:rsid w:val="00F75B3F"/>
    <w:rsid w:val="00F763AB"/>
    <w:rsid w:val="00F76F7D"/>
    <w:rsid w:val="00F770F8"/>
    <w:rsid w:val="00F770FA"/>
    <w:rsid w:val="00F779A5"/>
    <w:rsid w:val="00F8028A"/>
    <w:rsid w:val="00F80E76"/>
    <w:rsid w:val="00F81084"/>
    <w:rsid w:val="00F8109E"/>
    <w:rsid w:val="00F825ED"/>
    <w:rsid w:val="00F8268C"/>
    <w:rsid w:val="00F827D2"/>
    <w:rsid w:val="00F83151"/>
    <w:rsid w:val="00F833D0"/>
    <w:rsid w:val="00F83897"/>
    <w:rsid w:val="00F84A31"/>
    <w:rsid w:val="00F8501C"/>
    <w:rsid w:val="00F854B3"/>
    <w:rsid w:val="00F85C94"/>
    <w:rsid w:val="00F860C0"/>
    <w:rsid w:val="00F8683E"/>
    <w:rsid w:val="00F869E3"/>
    <w:rsid w:val="00F86E80"/>
    <w:rsid w:val="00F8736C"/>
    <w:rsid w:val="00F8749C"/>
    <w:rsid w:val="00F87983"/>
    <w:rsid w:val="00F90F48"/>
    <w:rsid w:val="00F916BB"/>
    <w:rsid w:val="00F91AFF"/>
    <w:rsid w:val="00F92362"/>
    <w:rsid w:val="00F92A65"/>
    <w:rsid w:val="00F935F1"/>
    <w:rsid w:val="00F937DF"/>
    <w:rsid w:val="00F948AE"/>
    <w:rsid w:val="00F94DC1"/>
    <w:rsid w:val="00F953E2"/>
    <w:rsid w:val="00F955EE"/>
    <w:rsid w:val="00F9571D"/>
    <w:rsid w:val="00F957D0"/>
    <w:rsid w:val="00F9617E"/>
    <w:rsid w:val="00F964E6"/>
    <w:rsid w:val="00F97890"/>
    <w:rsid w:val="00FA1543"/>
    <w:rsid w:val="00FA2727"/>
    <w:rsid w:val="00FA2C80"/>
    <w:rsid w:val="00FA2CB9"/>
    <w:rsid w:val="00FA2CEC"/>
    <w:rsid w:val="00FA3A01"/>
    <w:rsid w:val="00FA3ABF"/>
    <w:rsid w:val="00FA43E7"/>
    <w:rsid w:val="00FA52C0"/>
    <w:rsid w:val="00FA52FB"/>
    <w:rsid w:val="00FA532D"/>
    <w:rsid w:val="00FA59F1"/>
    <w:rsid w:val="00FA6995"/>
    <w:rsid w:val="00FA6AE5"/>
    <w:rsid w:val="00FA7641"/>
    <w:rsid w:val="00FB06F9"/>
    <w:rsid w:val="00FB1150"/>
    <w:rsid w:val="00FB12F1"/>
    <w:rsid w:val="00FB135A"/>
    <w:rsid w:val="00FB16A9"/>
    <w:rsid w:val="00FB1B79"/>
    <w:rsid w:val="00FB2109"/>
    <w:rsid w:val="00FB3A02"/>
    <w:rsid w:val="00FB4B71"/>
    <w:rsid w:val="00FB5CF8"/>
    <w:rsid w:val="00FC0815"/>
    <w:rsid w:val="00FC0B63"/>
    <w:rsid w:val="00FC0CB7"/>
    <w:rsid w:val="00FC0F2F"/>
    <w:rsid w:val="00FC1F87"/>
    <w:rsid w:val="00FC2971"/>
    <w:rsid w:val="00FC4238"/>
    <w:rsid w:val="00FC49B8"/>
    <w:rsid w:val="00FC5157"/>
    <w:rsid w:val="00FC5E2A"/>
    <w:rsid w:val="00FC61B3"/>
    <w:rsid w:val="00FC6369"/>
    <w:rsid w:val="00FC7CA3"/>
    <w:rsid w:val="00FD03D2"/>
    <w:rsid w:val="00FD0B10"/>
    <w:rsid w:val="00FD0EB4"/>
    <w:rsid w:val="00FD1CAA"/>
    <w:rsid w:val="00FD2467"/>
    <w:rsid w:val="00FD516F"/>
    <w:rsid w:val="00FD788F"/>
    <w:rsid w:val="00FD7B0A"/>
    <w:rsid w:val="00FD7DCC"/>
    <w:rsid w:val="00FE029A"/>
    <w:rsid w:val="00FE088E"/>
    <w:rsid w:val="00FE09B3"/>
    <w:rsid w:val="00FE0DB7"/>
    <w:rsid w:val="00FE12D2"/>
    <w:rsid w:val="00FE1504"/>
    <w:rsid w:val="00FE1CBF"/>
    <w:rsid w:val="00FE2B3B"/>
    <w:rsid w:val="00FE4B22"/>
    <w:rsid w:val="00FE5002"/>
    <w:rsid w:val="00FE63A6"/>
    <w:rsid w:val="00FE67F3"/>
    <w:rsid w:val="00FE7595"/>
    <w:rsid w:val="00FE76B6"/>
    <w:rsid w:val="00FE7EBF"/>
    <w:rsid w:val="00FF07D4"/>
    <w:rsid w:val="00FF0FCD"/>
    <w:rsid w:val="00FF17BC"/>
    <w:rsid w:val="00FF18B6"/>
    <w:rsid w:val="00FF2DCE"/>
    <w:rsid w:val="00FF2E28"/>
    <w:rsid w:val="00FF3210"/>
    <w:rsid w:val="00FF3A1B"/>
    <w:rsid w:val="00FF3A1C"/>
    <w:rsid w:val="00FF488B"/>
    <w:rsid w:val="00FF4900"/>
    <w:rsid w:val="00FF4964"/>
    <w:rsid w:val="00FF5034"/>
    <w:rsid w:val="00FF60C9"/>
    <w:rsid w:val="00FF7053"/>
    <w:rsid w:val="00FF7119"/>
    <w:rsid w:val="00FF76F1"/>
    <w:rsid w:val="00FF7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2385"/>
    <o:shapelayout v:ext="edit">
      <o:idmap v:ext="edit" data="1"/>
    </o:shapelayout>
  </w:shapeDefaults>
  <w:decimalSymbol w:val="."/>
  <w:listSeparator w:val=","/>
  <w14:docId w14:val="2A2544C6"/>
  <w15:chartTrackingRefBased/>
  <w15:docId w15:val="{B7993D68-3BC3-46A8-8D78-201C2AA2F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9D5"/>
    <w:pPr>
      <w:jc w:val="both"/>
    </w:pPr>
    <w:rPr>
      <w:rFonts w:ascii="Tahoma" w:hAnsi="Tahoma"/>
      <w:sz w:val="24"/>
      <w:szCs w:val="24"/>
    </w:rPr>
  </w:style>
  <w:style w:type="paragraph" w:styleId="Heading1">
    <w:name w:val="heading 1"/>
    <w:basedOn w:val="Normal"/>
    <w:next w:val="Normal"/>
    <w:qFormat/>
    <w:rsid w:val="007B26FA"/>
    <w:pPr>
      <w:keepNext/>
      <w:spacing w:after="240"/>
      <w:jc w:val="left"/>
      <w:outlineLvl w:val="0"/>
    </w:pPr>
    <w:rPr>
      <w:b/>
      <w:kern w:val="28"/>
      <w:sz w:val="32"/>
    </w:rPr>
  </w:style>
  <w:style w:type="paragraph" w:styleId="Heading2">
    <w:name w:val="heading 2"/>
    <w:basedOn w:val="Normal"/>
    <w:next w:val="Normal"/>
    <w:link w:val="Heading2Char"/>
    <w:qFormat/>
    <w:rsid w:val="002C192D"/>
    <w:pPr>
      <w:keepNext/>
      <w:spacing w:after="240"/>
      <w:outlineLvl w:val="1"/>
    </w:pPr>
    <w:rPr>
      <w:b/>
      <w:sz w:val="28"/>
    </w:rPr>
  </w:style>
  <w:style w:type="paragraph" w:styleId="Heading3">
    <w:name w:val="heading 3"/>
    <w:basedOn w:val="Heading2"/>
    <w:next w:val="Normal"/>
    <w:link w:val="Heading3Char"/>
    <w:qFormat/>
    <w:rsid w:val="00E6436B"/>
    <w:pPr>
      <w:spacing w:after="120"/>
      <w:jc w:val="left"/>
      <w:outlineLvl w:val="2"/>
    </w:pPr>
    <w:rPr>
      <w:rFonts w:cs="Tahoma"/>
      <w:bCs/>
      <w:sz w:val="24"/>
    </w:rPr>
  </w:style>
  <w:style w:type="paragraph" w:styleId="Heading4">
    <w:name w:val="heading 4"/>
    <w:basedOn w:val="Normal"/>
    <w:next w:val="Normal"/>
    <w:link w:val="Heading4Char"/>
    <w:qFormat/>
    <w:rsid w:val="00B0728F"/>
    <w:pPr>
      <w:keepNext/>
      <w:spacing w:after="240"/>
      <w:outlineLvl w:val="3"/>
    </w:pPr>
    <w:rPr>
      <w:b/>
    </w:rPr>
  </w:style>
  <w:style w:type="paragraph" w:styleId="Heading5">
    <w:name w:val="heading 5"/>
    <w:basedOn w:val="Normal"/>
    <w:next w:val="Normal"/>
    <w:qFormat/>
    <w:rsid w:val="00B0728F"/>
    <w:pPr>
      <w:keepNext/>
      <w:spacing w:after="240"/>
      <w:ind w:left="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728F"/>
    <w:pPr>
      <w:tabs>
        <w:tab w:val="center" w:pos="4320"/>
        <w:tab w:val="right" w:pos="8640"/>
      </w:tabs>
    </w:pPr>
  </w:style>
  <w:style w:type="paragraph" w:styleId="Footer">
    <w:name w:val="footer"/>
    <w:basedOn w:val="Normal"/>
    <w:link w:val="FooterChar"/>
    <w:uiPriority w:val="99"/>
    <w:rsid w:val="00B0728F"/>
    <w:pPr>
      <w:tabs>
        <w:tab w:val="center" w:pos="4320"/>
        <w:tab w:val="right" w:pos="8640"/>
      </w:tabs>
    </w:pPr>
  </w:style>
  <w:style w:type="table" w:styleId="TableGrid">
    <w:name w:val="Table Grid"/>
    <w:basedOn w:val="TableNormal"/>
    <w:rsid w:val="0000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0509C"/>
    <w:rPr>
      <w:color w:val="0000FF"/>
      <w:u w:val="single"/>
    </w:rPr>
  </w:style>
  <w:style w:type="paragraph" w:customStyle="1" w:styleId="Heading1SFR">
    <w:name w:val="Heading 1 SFR"/>
    <w:basedOn w:val="Heading3"/>
    <w:next w:val="Heading1"/>
    <w:link w:val="Heading1SFRChar"/>
    <w:rsid w:val="0000509C"/>
    <w:pPr>
      <w:outlineLvl w:val="0"/>
    </w:pPr>
    <w:rPr>
      <w:bCs w:val="0"/>
    </w:rPr>
  </w:style>
  <w:style w:type="paragraph" w:styleId="TOC1">
    <w:name w:val="toc 1"/>
    <w:basedOn w:val="Normal"/>
    <w:next w:val="Normal"/>
    <w:autoRedefine/>
    <w:uiPriority w:val="39"/>
    <w:qFormat/>
    <w:rsid w:val="0078569A"/>
    <w:pPr>
      <w:tabs>
        <w:tab w:val="right" w:pos="9016"/>
      </w:tabs>
    </w:pPr>
  </w:style>
  <w:style w:type="paragraph" w:styleId="Caption">
    <w:name w:val="caption"/>
    <w:basedOn w:val="Normal"/>
    <w:next w:val="Normal"/>
    <w:link w:val="CaptionChar"/>
    <w:uiPriority w:val="35"/>
    <w:qFormat/>
    <w:rsid w:val="006B6FD6"/>
    <w:pPr>
      <w:jc w:val="left"/>
    </w:pPr>
    <w:rPr>
      <w:b/>
      <w:bCs/>
      <w:noProof/>
      <w:sz w:val="20"/>
      <w:szCs w:val="20"/>
      <w:lang w:eastAsia="en-US"/>
    </w:rPr>
  </w:style>
  <w:style w:type="character" w:styleId="FollowedHyperlink">
    <w:name w:val="FollowedHyperlink"/>
    <w:rsid w:val="00F779A5"/>
    <w:rPr>
      <w:color w:val="800080"/>
      <w:u w:val="single"/>
    </w:rPr>
  </w:style>
  <w:style w:type="character" w:styleId="CommentReference">
    <w:name w:val="annotation reference"/>
    <w:uiPriority w:val="99"/>
    <w:semiHidden/>
    <w:rsid w:val="00C87593"/>
    <w:rPr>
      <w:sz w:val="16"/>
      <w:szCs w:val="16"/>
    </w:rPr>
  </w:style>
  <w:style w:type="paragraph" w:styleId="CommentText">
    <w:name w:val="annotation text"/>
    <w:basedOn w:val="Normal"/>
    <w:link w:val="CommentTextChar"/>
    <w:uiPriority w:val="99"/>
    <w:semiHidden/>
    <w:rsid w:val="00C87593"/>
    <w:rPr>
      <w:sz w:val="20"/>
      <w:szCs w:val="20"/>
    </w:rPr>
  </w:style>
  <w:style w:type="paragraph" w:styleId="CommentSubject">
    <w:name w:val="annotation subject"/>
    <w:basedOn w:val="CommentText"/>
    <w:next w:val="CommentText"/>
    <w:semiHidden/>
    <w:rsid w:val="00C87593"/>
    <w:rPr>
      <w:b/>
      <w:bCs/>
    </w:rPr>
  </w:style>
  <w:style w:type="paragraph" w:styleId="BalloonText">
    <w:name w:val="Balloon Text"/>
    <w:basedOn w:val="Normal"/>
    <w:semiHidden/>
    <w:rsid w:val="00C87593"/>
    <w:rPr>
      <w:rFonts w:cs="Tahoma"/>
      <w:sz w:val="16"/>
      <w:szCs w:val="16"/>
    </w:rPr>
  </w:style>
  <w:style w:type="paragraph" w:styleId="NormalWeb">
    <w:name w:val="Normal (Web)"/>
    <w:basedOn w:val="Normal"/>
    <w:uiPriority w:val="99"/>
    <w:rsid w:val="00512A25"/>
  </w:style>
  <w:style w:type="paragraph" w:styleId="Title">
    <w:name w:val="Title"/>
    <w:basedOn w:val="Normal"/>
    <w:qFormat/>
    <w:rsid w:val="002C3210"/>
    <w:pPr>
      <w:spacing w:before="240" w:after="60"/>
      <w:jc w:val="center"/>
      <w:outlineLvl w:val="0"/>
    </w:pPr>
    <w:rPr>
      <w:rFonts w:ascii="Arial" w:hAnsi="Arial" w:cs="Arial"/>
      <w:b/>
      <w:bCs/>
      <w:kern w:val="28"/>
      <w:sz w:val="32"/>
      <w:szCs w:val="32"/>
    </w:rPr>
  </w:style>
  <w:style w:type="character" w:styleId="FootnoteReference">
    <w:name w:val="footnote reference"/>
    <w:uiPriority w:val="99"/>
    <w:rsid w:val="002C3210"/>
    <w:rPr>
      <w:vertAlign w:val="superscript"/>
    </w:rPr>
  </w:style>
  <w:style w:type="paragraph" w:styleId="FootnoteText">
    <w:name w:val="footnote text"/>
    <w:basedOn w:val="Normal"/>
    <w:link w:val="FootnoteTextChar"/>
    <w:rsid w:val="007B42A8"/>
    <w:rPr>
      <w:sz w:val="20"/>
      <w:szCs w:val="20"/>
    </w:rPr>
  </w:style>
  <w:style w:type="character" w:customStyle="1" w:styleId="NumberedparagraphChar">
    <w:name w:val="Numbered paragraph Char"/>
    <w:link w:val="Numberedparagraph"/>
    <w:locked/>
    <w:rsid w:val="007B42A8"/>
    <w:rPr>
      <w:rFonts w:ascii="Tahoma" w:hAnsi="Tahoma"/>
      <w:color w:val="000000"/>
      <w:sz w:val="24"/>
      <w:szCs w:val="24"/>
      <w:lang w:eastAsia="en-US"/>
    </w:rPr>
  </w:style>
  <w:style w:type="paragraph" w:customStyle="1" w:styleId="Bulletsspaced">
    <w:name w:val="Bullets (spaced)"/>
    <w:basedOn w:val="Normal"/>
    <w:link w:val="BulletsspacedChar"/>
    <w:autoRedefine/>
    <w:rsid w:val="00231CC7"/>
    <w:pPr>
      <w:numPr>
        <w:numId w:val="2"/>
      </w:numPr>
      <w:tabs>
        <w:tab w:val="clear" w:pos="1386"/>
        <w:tab w:val="left" w:pos="709"/>
        <w:tab w:val="num" w:pos="993"/>
      </w:tabs>
      <w:spacing w:after="120"/>
      <w:ind w:left="993" w:hanging="284"/>
      <w:jc w:val="left"/>
    </w:pPr>
    <w:rPr>
      <w:color w:val="000000"/>
      <w:lang w:eastAsia="en-US"/>
    </w:rPr>
  </w:style>
  <w:style w:type="paragraph" w:customStyle="1" w:styleId="Bulletsspaced-lastbullet">
    <w:name w:val="Bullets (spaced) - last bullet"/>
    <w:basedOn w:val="Bulletsspaced"/>
    <w:next w:val="Numberedparagraph"/>
    <w:link w:val="Bulletsspaced-lastbulletChar"/>
    <w:rsid w:val="007B42A8"/>
    <w:pPr>
      <w:spacing w:after="240"/>
    </w:pPr>
  </w:style>
  <w:style w:type="paragraph" w:customStyle="1" w:styleId="Numberedparagraph">
    <w:name w:val="Numbered paragraph"/>
    <w:basedOn w:val="Normal"/>
    <w:link w:val="NumberedparagraphChar"/>
    <w:rsid w:val="007B42A8"/>
    <w:pPr>
      <w:numPr>
        <w:numId w:val="1"/>
      </w:numPr>
      <w:spacing w:after="240"/>
    </w:pPr>
    <w:rPr>
      <w:color w:val="000000"/>
      <w:lang w:eastAsia="en-US"/>
    </w:rPr>
  </w:style>
  <w:style w:type="character" w:customStyle="1" w:styleId="BulletsspacedChar">
    <w:name w:val="Bullets (spaced) Char"/>
    <w:link w:val="Bulletsspaced"/>
    <w:rsid w:val="00231CC7"/>
    <w:rPr>
      <w:rFonts w:ascii="Tahoma" w:hAnsi="Tahoma"/>
      <w:color w:val="000000"/>
      <w:sz w:val="24"/>
      <w:szCs w:val="24"/>
      <w:lang w:eastAsia="en-US"/>
    </w:rPr>
  </w:style>
  <w:style w:type="character" w:customStyle="1" w:styleId="Bulletsspaced-lastbulletChar">
    <w:name w:val="Bullets (spaced) - last bullet Char"/>
    <w:basedOn w:val="BulletsspacedChar"/>
    <w:link w:val="Bulletsspaced-lastbullet"/>
    <w:rsid w:val="007B42A8"/>
    <w:rPr>
      <w:rFonts w:ascii="Tahoma" w:hAnsi="Tahoma"/>
      <w:color w:val="000000"/>
      <w:sz w:val="24"/>
      <w:szCs w:val="24"/>
      <w:lang w:eastAsia="en-US"/>
    </w:rPr>
  </w:style>
  <w:style w:type="paragraph" w:styleId="BodyText">
    <w:name w:val="Body Text"/>
    <w:basedOn w:val="Normal"/>
    <w:rsid w:val="00B0728F"/>
    <w:pPr>
      <w:spacing w:after="120"/>
    </w:pPr>
  </w:style>
  <w:style w:type="paragraph" w:styleId="TOC9">
    <w:name w:val="toc 9"/>
    <w:basedOn w:val="Normal"/>
    <w:next w:val="Normal"/>
    <w:autoRedefine/>
    <w:semiHidden/>
    <w:rsid w:val="004336D5"/>
    <w:pPr>
      <w:ind w:left="1920"/>
    </w:pPr>
  </w:style>
  <w:style w:type="paragraph" w:customStyle="1" w:styleId="LetterBodyText">
    <w:name w:val="Letter Body Text"/>
    <w:basedOn w:val="LetterText"/>
    <w:rsid w:val="00B0728F"/>
    <w:pPr>
      <w:spacing w:after="120"/>
    </w:pPr>
  </w:style>
  <w:style w:type="paragraph" w:customStyle="1" w:styleId="LetterText">
    <w:name w:val="Letter Text"/>
    <w:basedOn w:val="Normal"/>
    <w:rsid w:val="00B0728F"/>
  </w:style>
  <w:style w:type="paragraph" w:styleId="PlainText">
    <w:name w:val="Plain Text"/>
    <w:basedOn w:val="Normal"/>
    <w:rsid w:val="00B0728F"/>
    <w:rPr>
      <w:rFonts w:ascii="Courier New" w:hAnsi="Courier New"/>
    </w:rPr>
  </w:style>
  <w:style w:type="paragraph" w:customStyle="1" w:styleId="Unnumberedparagraph">
    <w:name w:val="Unnumbered paragraph"/>
    <w:basedOn w:val="Normal"/>
    <w:link w:val="UnnumberedparagraphChar"/>
    <w:rsid w:val="00F10985"/>
    <w:pPr>
      <w:spacing w:after="240"/>
      <w:jc w:val="left"/>
    </w:pPr>
    <w:rPr>
      <w:color w:val="000000"/>
      <w:lang w:eastAsia="en-US"/>
    </w:rPr>
  </w:style>
  <w:style w:type="character" w:customStyle="1" w:styleId="UnnumberedparagraphChar">
    <w:name w:val="Unnumbered paragraph Char"/>
    <w:link w:val="Unnumberedparagraph"/>
    <w:rsid w:val="00F10985"/>
    <w:rPr>
      <w:rFonts w:ascii="Tahoma" w:hAnsi="Tahoma"/>
      <w:color w:val="000000"/>
      <w:sz w:val="24"/>
      <w:szCs w:val="24"/>
      <w:lang w:val="en-GB" w:eastAsia="en-US" w:bidi="ar-SA"/>
    </w:rPr>
  </w:style>
  <w:style w:type="character" w:styleId="PageNumber">
    <w:name w:val="page number"/>
    <w:basedOn w:val="DefaultParagraphFont"/>
    <w:rsid w:val="00CB7D65"/>
  </w:style>
  <w:style w:type="character" w:customStyle="1" w:styleId="Heading1SFRChar">
    <w:name w:val="Heading 1 SFR Char"/>
    <w:link w:val="Heading1SFR"/>
    <w:rsid w:val="00F43FD4"/>
    <w:rPr>
      <w:rFonts w:ascii="Tahoma" w:hAnsi="Tahoma"/>
      <w:b/>
      <w:bCs/>
      <w:caps/>
      <w:sz w:val="24"/>
      <w:szCs w:val="24"/>
      <w:lang w:val="en-GB" w:eastAsia="en-GB" w:bidi="ar-SA"/>
    </w:rPr>
  </w:style>
  <w:style w:type="paragraph" w:customStyle="1" w:styleId="Default">
    <w:name w:val="Default"/>
    <w:rsid w:val="003526EC"/>
    <w:pPr>
      <w:autoSpaceDE w:val="0"/>
      <w:autoSpaceDN w:val="0"/>
      <w:adjustRightInd w:val="0"/>
    </w:pPr>
    <w:rPr>
      <w:rFonts w:ascii="Tahoma" w:hAnsi="Tahoma" w:cs="Tahoma"/>
      <w:color w:val="000000"/>
      <w:sz w:val="24"/>
      <w:szCs w:val="24"/>
    </w:rPr>
  </w:style>
  <w:style w:type="paragraph" w:customStyle="1" w:styleId="xmsonormal">
    <w:name w:val="x_msonormal"/>
    <w:basedOn w:val="Normal"/>
    <w:rsid w:val="009F66D4"/>
    <w:pPr>
      <w:spacing w:before="100" w:beforeAutospacing="1" w:after="100" w:afterAutospacing="1"/>
      <w:jc w:val="left"/>
    </w:pPr>
    <w:rPr>
      <w:rFonts w:ascii="Times New Roman" w:hAnsi="Times New Roman"/>
    </w:rPr>
  </w:style>
  <w:style w:type="paragraph" w:customStyle="1" w:styleId="xbulletsspaced">
    <w:name w:val="x_bulletsspaced"/>
    <w:basedOn w:val="Normal"/>
    <w:rsid w:val="009F66D4"/>
    <w:pPr>
      <w:spacing w:before="100" w:beforeAutospacing="1" w:after="100" w:afterAutospacing="1"/>
      <w:jc w:val="left"/>
    </w:pPr>
    <w:rPr>
      <w:rFonts w:ascii="Times New Roman" w:hAnsi="Times New Roman"/>
    </w:rPr>
  </w:style>
  <w:style w:type="character" w:styleId="Emphasis">
    <w:name w:val="Emphasis"/>
    <w:qFormat/>
    <w:rsid w:val="009F66D4"/>
    <w:rPr>
      <w:i/>
      <w:iCs/>
    </w:rPr>
  </w:style>
  <w:style w:type="paragraph" w:styleId="ListParagraph">
    <w:name w:val="List Paragraph"/>
    <w:basedOn w:val="Normal"/>
    <w:uiPriority w:val="34"/>
    <w:qFormat/>
    <w:rsid w:val="00F8749C"/>
    <w:pPr>
      <w:ind w:left="720"/>
    </w:pPr>
  </w:style>
  <w:style w:type="character" w:customStyle="1" w:styleId="FootnoteTextChar">
    <w:name w:val="Footnote Text Char"/>
    <w:link w:val="FootnoteText"/>
    <w:rsid w:val="008538AB"/>
    <w:rPr>
      <w:rFonts w:ascii="Tahoma" w:hAnsi="Tahoma"/>
    </w:rPr>
  </w:style>
  <w:style w:type="paragraph" w:styleId="Revision">
    <w:name w:val="Revision"/>
    <w:hidden/>
    <w:uiPriority w:val="99"/>
    <w:semiHidden/>
    <w:rsid w:val="00545689"/>
    <w:rPr>
      <w:rFonts w:ascii="Tahoma" w:hAnsi="Tahoma"/>
      <w:sz w:val="24"/>
      <w:szCs w:val="24"/>
    </w:rPr>
  </w:style>
  <w:style w:type="paragraph" w:styleId="NoSpacing">
    <w:name w:val="No Spacing"/>
    <w:uiPriority w:val="1"/>
    <w:qFormat/>
    <w:rsid w:val="00690C9D"/>
    <w:pPr>
      <w:jc w:val="both"/>
    </w:pPr>
    <w:rPr>
      <w:rFonts w:ascii="Tahoma" w:hAnsi="Tahoma"/>
      <w:sz w:val="24"/>
      <w:szCs w:val="24"/>
    </w:rPr>
  </w:style>
  <w:style w:type="paragraph" w:customStyle="1" w:styleId="Footer-RHSOdd">
    <w:name w:val="Footer - RHS Odd"/>
    <w:basedOn w:val="Normal"/>
    <w:rsid w:val="001460CF"/>
    <w:pPr>
      <w:pBdr>
        <w:top w:val="single" w:sz="4" w:space="6" w:color="auto"/>
      </w:pBdr>
      <w:tabs>
        <w:tab w:val="left" w:pos="567"/>
      </w:tabs>
      <w:jc w:val="left"/>
    </w:pPr>
    <w:rPr>
      <w:b/>
      <w:color w:val="000000"/>
      <w:sz w:val="16"/>
      <w:szCs w:val="20"/>
      <w:lang w:eastAsia="en-US"/>
    </w:rPr>
  </w:style>
  <w:style w:type="character" w:customStyle="1" w:styleId="FooterChar">
    <w:name w:val="Footer Char"/>
    <w:link w:val="Footer"/>
    <w:uiPriority w:val="99"/>
    <w:rsid w:val="00243CDA"/>
    <w:rPr>
      <w:rFonts w:ascii="Tahoma" w:hAnsi="Tahoma"/>
      <w:sz w:val="24"/>
      <w:szCs w:val="24"/>
    </w:rPr>
  </w:style>
  <w:style w:type="paragraph" w:styleId="TOCHeading">
    <w:name w:val="TOC Heading"/>
    <w:basedOn w:val="Heading1"/>
    <w:next w:val="Normal"/>
    <w:uiPriority w:val="39"/>
    <w:unhideWhenUsed/>
    <w:qFormat/>
    <w:rsid w:val="00B109E2"/>
    <w:pPr>
      <w:keepLines/>
      <w:spacing w:before="480" w:after="0" w:line="276" w:lineRule="auto"/>
      <w:outlineLvl w:val="9"/>
    </w:pPr>
    <w:rPr>
      <w:rFonts w:ascii="Cambria" w:eastAsia="MS Gothic" w:hAnsi="Cambria"/>
      <w:bCs/>
      <w:color w:val="365F91"/>
      <w:kern w:val="0"/>
      <w:sz w:val="28"/>
      <w:szCs w:val="28"/>
      <w:lang w:val="en-US" w:eastAsia="ja-JP"/>
    </w:rPr>
  </w:style>
  <w:style w:type="paragraph" w:styleId="TOC2">
    <w:name w:val="toc 2"/>
    <w:basedOn w:val="Normal"/>
    <w:next w:val="Normal"/>
    <w:autoRedefine/>
    <w:uiPriority w:val="39"/>
    <w:unhideWhenUsed/>
    <w:qFormat/>
    <w:rsid w:val="00C93AF0"/>
    <w:pPr>
      <w:tabs>
        <w:tab w:val="right" w:leader="dot" w:pos="9016"/>
      </w:tabs>
      <w:spacing w:after="100" w:line="276" w:lineRule="auto"/>
      <w:jc w:val="left"/>
    </w:pPr>
    <w:rPr>
      <w:rFonts w:eastAsia="MS Mincho" w:cs="Tahoma"/>
      <w:noProof/>
      <w:lang w:val="en-US" w:eastAsia="ja-JP"/>
    </w:rPr>
  </w:style>
  <w:style w:type="paragraph" w:styleId="TOC3">
    <w:name w:val="toc 3"/>
    <w:basedOn w:val="Normal"/>
    <w:next w:val="Normal"/>
    <w:autoRedefine/>
    <w:uiPriority w:val="39"/>
    <w:unhideWhenUsed/>
    <w:qFormat/>
    <w:rsid w:val="001E2175"/>
    <w:pPr>
      <w:tabs>
        <w:tab w:val="right" w:leader="dot" w:pos="9016"/>
      </w:tabs>
      <w:spacing w:after="100" w:line="276" w:lineRule="auto"/>
      <w:ind w:left="567"/>
      <w:jc w:val="left"/>
    </w:pPr>
    <w:rPr>
      <w:rFonts w:ascii="Calibri" w:eastAsia="MS Mincho" w:hAnsi="Calibri" w:cs="Arial"/>
      <w:sz w:val="22"/>
      <w:szCs w:val="22"/>
      <w:lang w:val="en-US" w:eastAsia="ja-JP"/>
    </w:rPr>
  </w:style>
  <w:style w:type="character" w:customStyle="1" w:styleId="Heading4Char">
    <w:name w:val="Heading 4 Char"/>
    <w:link w:val="Heading4"/>
    <w:rsid w:val="00A206DE"/>
    <w:rPr>
      <w:rFonts w:ascii="Tahoma" w:hAnsi="Tahoma"/>
      <w:b/>
      <w:sz w:val="24"/>
      <w:szCs w:val="24"/>
    </w:rPr>
  </w:style>
  <w:style w:type="character" w:customStyle="1" w:styleId="CommentTextChar">
    <w:name w:val="Comment Text Char"/>
    <w:link w:val="CommentText"/>
    <w:uiPriority w:val="99"/>
    <w:semiHidden/>
    <w:rsid w:val="00A206DE"/>
    <w:rPr>
      <w:rFonts w:ascii="Tahoma" w:hAnsi="Tahoma"/>
    </w:rPr>
  </w:style>
  <w:style w:type="paragraph" w:styleId="Subtitle">
    <w:name w:val="Subtitle"/>
    <w:basedOn w:val="Normal"/>
    <w:next w:val="Normal"/>
    <w:link w:val="SubtitleChar"/>
    <w:qFormat/>
    <w:rsid w:val="00FB3A02"/>
    <w:pPr>
      <w:spacing w:after="60"/>
      <w:jc w:val="center"/>
      <w:outlineLvl w:val="1"/>
    </w:pPr>
    <w:rPr>
      <w:rFonts w:ascii="Cambria" w:hAnsi="Cambria"/>
    </w:rPr>
  </w:style>
  <w:style w:type="paragraph" w:styleId="TableofFigures">
    <w:name w:val="table of figures"/>
    <w:basedOn w:val="Normal"/>
    <w:next w:val="Normal"/>
    <w:uiPriority w:val="99"/>
    <w:rsid w:val="00CF65FF"/>
    <w:rPr>
      <w:rFonts w:ascii="Arial" w:hAnsi="Arial"/>
      <w:sz w:val="22"/>
    </w:rPr>
  </w:style>
  <w:style w:type="character" w:customStyle="1" w:styleId="SubtitleChar">
    <w:name w:val="Subtitle Char"/>
    <w:link w:val="Subtitle"/>
    <w:rsid w:val="00FB3A02"/>
    <w:rPr>
      <w:rFonts w:ascii="Cambria" w:eastAsia="Times New Roman" w:hAnsi="Cambria" w:cs="Times New Roman"/>
      <w:sz w:val="24"/>
      <w:szCs w:val="24"/>
    </w:rPr>
  </w:style>
  <w:style w:type="paragraph" w:customStyle="1" w:styleId="Table">
    <w:name w:val="Table"/>
    <w:basedOn w:val="Caption"/>
    <w:link w:val="TableChar"/>
    <w:qFormat/>
    <w:rsid w:val="00211793"/>
  </w:style>
  <w:style w:type="character" w:customStyle="1" w:styleId="FootnoteCharacters">
    <w:name w:val="Footnote Characters"/>
    <w:rsid w:val="00C23765"/>
    <w:rPr>
      <w:vertAlign w:val="superscript"/>
    </w:rPr>
  </w:style>
  <w:style w:type="character" w:customStyle="1" w:styleId="CaptionChar">
    <w:name w:val="Caption Char"/>
    <w:link w:val="Caption"/>
    <w:uiPriority w:val="35"/>
    <w:rsid w:val="00211793"/>
    <w:rPr>
      <w:rFonts w:ascii="Tahoma" w:hAnsi="Tahoma"/>
      <w:b/>
      <w:bCs/>
      <w:noProof/>
      <w:lang w:eastAsia="en-US"/>
    </w:rPr>
  </w:style>
  <w:style w:type="character" w:customStyle="1" w:styleId="TableChar">
    <w:name w:val="Table Char"/>
    <w:basedOn w:val="CaptionChar"/>
    <w:link w:val="Table"/>
    <w:rsid w:val="00211793"/>
    <w:rPr>
      <w:rFonts w:ascii="Tahoma" w:hAnsi="Tahoma"/>
      <w:b/>
      <w:bCs/>
      <w:noProof/>
      <w:lang w:eastAsia="en-US"/>
    </w:rPr>
  </w:style>
  <w:style w:type="paragraph" w:styleId="ListBullet">
    <w:name w:val="List Bullet"/>
    <w:basedOn w:val="Normal"/>
    <w:rsid w:val="000C4F7F"/>
    <w:pPr>
      <w:numPr>
        <w:numId w:val="4"/>
      </w:numPr>
      <w:contextualSpacing/>
    </w:pPr>
  </w:style>
  <w:style w:type="paragraph" w:styleId="EndnoteText">
    <w:name w:val="endnote text"/>
    <w:basedOn w:val="Normal"/>
    <w:link w:val="EndnoteTextChar"/>
    <w:rsid w:val="00F6386D"/>
    <w:rPr>
      <w:sz w:val="20"/>
      <w:szCs w:val="20"/>
    </w:rPr>
  </w:style>
  <w:style w:type="character" w:customStyle="1" w:styleId="EndnoteTextChar">
    <w:name w:val="Endnote Text Char"/>
    <w:basedOn w:val="DefaultParagraphFont"/>
    <w:link w:val="EndnoteText"/>
    <w:rsid w:val="00F6386D"/>
    <w:rPr>
      <w:rFonts w:ascii="Tahoma" w:hAnsi="Tahoma"/>
    </w:rPr>
  </w:style>
  <w:style w:type="character" w:styleId="EndnoteReference">
    <w:name w:val="endnote reference"/>
    <w:basedOn w:val="DefaultParagraphFont"/>
    <w:rsid w:val="00F6386D"/>
    <w:rPr>
      <w:vertAlign w:val="superscript"/>
    </w:rPr>
  </w:style>
  <w:style w:type="character" w:customStyle="1" w:styleId="Heading2Char">
    <w:name w:val="Heading 2 Char"/>
    <w:basedOn w:val="DefaultParagraphFont"/>
    <w:link w:val="Heading2"/>
    <w:rsid w:val="004F32DD"/>
    <w:rPr>
      <w:rFonts w:ascii="Tahoma" w:hAnsi="Tahoma"/>
      <w:b/>
      <w:sz w:val="28"/>
      <w:szCs w:val="24"/>
    </w:rPr>
  </w:style>
  <w:style w:type="character" w:customStyle="1" w:styleId="Heading3Char">
    <w:name w:val="Heading 3 Char"/>
    <w:basedOn w:val="DefaultParagraphFont"/>
    <w:link w:val="Heading3"/>
    <w:rsid w:val="004F32DD"/>
    <w:rPr>
      <w:rFonts w:ascii="Tahoma" w:hAnsi="Tahoma" w:cs="Tahom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4849">
      <w:bodyDiv w:val="1"/>
      <w:marLeft w:val="0"/>
      <w:marRight w:val="0"/>
      <w:marTop w:val="0"/>
      <w:marBottom w:val="0"/>
      <w:divBdr>
        <w:top w:val="none" w:sz="0" w:space="0" w:color="auto"/>
        <w:left w:val="none" w:sz="0" w:space="0" w:color="auto"/>
        <w:bottom w:val="none" w:sz="0" w:space="0" w:color="auto"/>
        <w:right w:val="none" w:sz="0" w:space="0" w:color="auto"/>
      </w:divBdr>
    </w:div>
    <w:div w:id="18825559">
      <w:bodyDiv w:val="1"/>
      <w:marLeft w:val="0"/>
      <w:marRight w:val="0"/>
      <w:marTop w:val="0"/>
      <w:marBottom w:val="0"/>
      <w:divBdr>
        <w:top w:val="none" w:sz="0" w:space="0" w:color="auto"/>
        <w:left w:val="none" w:sz="0" w:space="0" w:color="auto"/>
        <w:bottom w:val="none" w:sz="0" w:space="0" w:color="auto"/>
        <w:right w:val="none" w:sz="0" w:space="0" w:color="auto"/>
      </w:divBdr>
    </w:div>
    <w:div w:id="30543941">
      <w:bodyDiv w:val="1"/>
      <w:marLeft w:val="0"/>
      <w:marRight w:val="0"/>
      <w:marTop w:val="0"/>
      <w:marBottom w:val="0"/>
      <w:divBdr>
        <w:top w:val="none" w:sz="0" w:space="0" w:color="auto"/>
        <w:left w:val="none" w:sz="0" w:space="0" w:color="auto"/>
        <w:bottom w:val="none" w:sz="0" w:space="0" w:color="auto"/>
        <w:right w:val="none" w:sz="0" w:space="0" w:color="auto"/>
      </w:divBdr>
    </w:div>
    <w:div w:id="60711335">
      <w:bodyDiv w:val="1"/>
      <w:marLeft w:val="0"/>
      <w:marRight w:val="0"/>
      <w:marTop w:val="0"/>
      <w:marBottom w:val="0"/>
      <w:divBdr>
        <w:top w:val="none" w:sz="0" w:space="0" w:color="auto"/>
        <w:left w:val="none" w:sz="0" w:space="0" w:color="auto"/>
        <w:bottom w:val="none" w:sz="0" w:space="0" w:color="auto"/>
        <w:right w:val="none" w:sz="0" w:space="0" w:color="auto"/>
      </w:divBdr>
    </w:div>
    <w:div w:id="88817126">
      <w:bodyDiv w:val="1"/>
      <w:marLeft w:val="0"/>
      <w:marRight w:val="0"/>
      <w:marTop w:val="0"/>
      <w:marBottom w:val="0"/>
      <w:divBdr>
        <w:top w:val="none" w:sz="0" w:space="0" w:color="auto"/>
        <w:left w:val="none" w:sz="0" w:space="0" w:color="auto"/>
        <w:bottom w:val="none" w:sz="0" w:space="0" w:color="auto"/>
        <w:right w:val="none" w:sz="0" w:space="0" w:color="auto"/>
      </w:divBdr>
    </w:div>
    <w:div w:id="91515366">
      <w:bodyDiv w:val="1"/>
      <w:marLeft w:val="0"/>
      <w:marRight w:val="0"/>
      <w:marTop w:val="0"/>
      <w:marBottom w:val="0"/>
      <w:divBdr>
        <w:top w:val="none" w:sz="0" w:space="0" w:color="auto"/>
        <w:left w:val="none" w:sz="0" w:space="0" w:color="auto"/>
        <w:bottom w:val="none" w:sz="0" w:space="0" w:color="auto"/>
        <w:right w:val="none" w:sz="0" w:space="0" w:color="auto"/>
      </w:divBdr>
    </w:div>
    <w:div w:id="100734219">
      <w:bodyDiv w:val="1"/>
      <w:marLeft w:val="0"/>
      <w:marRight w:val="0"/>
      <w:marTop w:val="0"/>
      <w:marBottom w:val="0"/>
      <w:divBdr>
        <w:top w:val="none" w:sz="0" w:space="0" w:color="auto"/>
        <w:left w:val="none" w:sz="0" w:space="0" w:color="auto"/>
        <w:bottom w:val="none" w:sz="0" w:space="0" w:color="auto"/>
        <w:right w:val="none" w:sz="0" w:space="0" w:color="auto"/>
      </w:divBdr>
    </w:div>
    <w:div w:id="127018654">
      <w:bodyDiv w:val="1"/>
      <w:marLeft w:val="0"/>
      <w:marRight w:val="0"/>
      <w:marTop w:val="0"/>
      <w:marBottom w:val="0"/>
      <w:divBdr>
        <w:top w:val="none" w:sz="0" w:space="0" w:color="auto"/>
        <w:left w:val="none" w:sz="0" w:space="0" w:color="auto"/>
        <w:bottom w:val="none" w:sz="0" w:space="0" w:color="auto"/>
        <w:right w:val="none" w:sz="0" w:space="0" w:color="auto"/>
      </w:divBdr>
    </w:div>
    <w:div w:id="146361949">
      <w:bodyDiv w:val="1"/>
      <w:marLeft w:val="0"/>
      <w:marRight w:val="0"/>
      <w:marTop w:val="0"/>
      <w:marBottom w:val="0"/>
      <w:divBdr>
        <w:top w:val="none" w:sz="0" w:space="0" w:color="auto"/>
        <w:left w:val="none" w:sz="0" w:space="0" w:color="auto"/>
        <w:bottom w:val="none" w:sz="0" w:space="0" w:color="auto"/>
        <w:right w:val="none" w:sz="0" w:space="0" w:color="auto"/>
      </w:divBdr>
    </w:div>
    <w:div w:id="219749313">
      <w:bodyDiv w:val="1"/>
      <w:marLeft w:val="0"/>
      <w:marRight w:val="0"/>
      <w:marTop w:val="0"/>
      <w:marBottom w:val="0"/>
      <w:divBdr>
        <w:top w:val="none" w:sz="0" w:space="0" w:color="auto"/>
        <w:left w:val="none" w:sz="0" w:space="0" w:color="auto"/>
        <w:bottom w:val="none" w:sz="0" w:space="0" w:color="auto"/>
        <w:right w:val="none" w:sz="0" w:space="0" w:color="auto"/>
      </w:divBdr>
    </w:div>
    <w:div w:id="248200340">
      <w:bodyDiv w:val="1"/>
      <w:marLeft w:val="0"/>
      <w:marRight w:val="0"/>
      <w:marTop w:val="0"/>
      <w:marBottom w:val="0"/>
      <w:divBdr>
        <w:top w:val="none" w:sz="0" w:space="0" w:color="auto"/>
        <w:left w:val="none" w:sz="0" w:space="0" w:color="auto"/>
        <w:bottom w:val="none" w:sz="0" w:space="0" w:color="auto"/>
        <w:right w:val="none" w:sz="0" w:space="0" w:color="auto"/>
      </w:divBdr>
    </w:div>
    <w:div w:id="256184175">
      <w:bodyDiv w:val="1"/>
      <w:marLeft w:val="0"/>
      <w:marRight w:val="0"/>
      <w:marTop w:val="0"/>
      <w:marBottom w:val="0"/>
      <w:divBdr>
        <w:top w:val="none" w:sz="0" w:space="0" w:color="auto"/>
        <w:left w:val="none" w:sz="0" w:space="0" w:color="auto"/>
        <w:bottom w:val="none" w:sz="0" w:space="0" w:color="auto"/>
        <w:right w:val="none" w:sz="0" w:space="0" w:color="auto"/>
      </w:divBdr>
    </w:div>
    <w:div w:id="274168492">
      <w:bodyDiv w:val="1"/>
      <w:marLeft w:val="0"/>
      <w:marRight w:val="0"/>
      <w:marTop w:val="0"/>
      <w:marBottom w:val="0"/>
      <w:divBdr>
        <w:top w:val="none" w:sz="0" w:space="0" w:color="auto"/>
        <w:left w:val="none" w:sz="0" w:space="0" w:color="auto"/>
        <w:bottom w:val="none" w:sz="0" w:space="0" w:color="auto"/>
        <w:right w:val="none" w:sz="0" w:space="0" w:color="auto"/>
      </w:divBdr>
    </w:div>
    <w:div w:id="283272970">
      <w:bodyDiv w:val="1"/>
      <w:marLeft w:val="0"/>
      <w:marRight w:val="0"/>
      <w:marTop w:val="0"/>
      <w:marBottom w:val="0"/>
      <w:divBdr>
        <w:top w:val="none" w:sz="0" w:space="0" w:color="auto"/>
        <w:left w:val="none" w:sz="0" w:space="0" w:color="auto"/>
        <w:bottom w:val="none" w:sz="0" w:space="0" w:color="auto"/>
        <w:right w:val="none" w:sz="0" w:space="0" w:color="auto"/>
      </w:divBdr>
    </w:div>
    <w:div w:id="284235607">
      <w:bodyDiv w:val="1"/>
      <w:marLeft w:val="0"/>
      <w:marRight w:val="0"/>
      <w:marTop w:val="0"/>
      <w:marBottom w:val="0"/>
      <w:divBdr>
        <w:top w:val="none" w:sz="0" w:space="0" w:color="auto"/>
        <w:left w:val="none" w:sz="0" w:space="0" w:color="auto"/>
        <w:bottom w:val="none" w:sz="0" w:space="0" w:color="auto"/>
        <w:right w:val="none" w:sz="0" w:space="0" w:color="auto"/>
      </w:divBdr>
    </w:div>
    <w:div w:id="300886813">
      <w:bodyDiv w:val="1"/>
      <w:marLeft w:val="0"/>
      <w:marRight w:val="0"/>
      <w:marTop w:val="0"/>
      <w:marBottom w:val="0"/>
      <w:divBdr>
        <w:top w:val="none" w:sz="0" w:space="0" w:color="auto"/>
        <w:left w:val="none" w:sz="0" w:space="0" w:color="auto"/>
        <w:bottom w:val="none" w:sz="0" w:space="0" w:color="auto"/>
        <w:right w:val="none" w:sz="0" w:space="0" w:color="auto"/>
      </w:divBdr>
    </w:div>
    <w:div w:id="310788621">
      <w:bodyDiv w:val="1"/>
      <w:marLeft w:val="0"/>
      <w:marRight w:val="0"/>
      <w:marTop w:val="0"/>
      <w:marBottom w:val="0"/>
      <w:divBdr>
        <w:top w:val="none" w:sz="0" w:space="0" w:color="auto"/>
        <w:left w:val="none" w:sz="0" w:space="0" w:color="auto"/>
        <w:bottom w:val="none" w:sz="0" w:space="0" w:color="auto"/>
        <w:right w:val="none" w:sz="0" w:space="0" w:color="auto"/>
      </w:divBdr>
    </w:div>
    <w:div w:id="314991378">
      <w:bodyDiv w:val="1"/>
      <w:marLeft w:val="0"/>
      <w:marRight w:val="0"/>
      <w:marTop w:val="0"/>
      <w:marBottom w:val="0"/>
      <w:divBdr>
        <w:top w:val="none" w:sz="0" w:space="0" w:color="auto"/>
        <w:left w:val="none" w:sz="0" w:space="0" w:color="auto"/>
        <w:bottom w:val="none" w:sz="0" w:space="0" w:color="auto"/>
        <w:right w:val="none" w:sz="0" w:space="0" w:color="auto"/>
      </w:divBdr>
    </w:div>
    <w:div w:id="315842134">
      <w:bodyDiv w:val="1"/>
      <w:marLeft w:val="0"/>
      <w:marRight w:val="0"/>
      <w:marTop w:val="0"/>
      <w:marBottom w:val="0"/>
      <w:divBdr>
        <w:top w:val="none" w:sz="0" w:space="0" w:color="auto"/>
        <w:left w:val="none" w:sz="0" w:space="0" w:color="auto"/>
        <w:bottom w:val="none" w:sz="0" w:space="0" w:color="auto"/>
        <w:right w:val="none" w:sz="0" w:space="0" w:color="auto"/>
      </w:divBdr>
    </w:div>
    <w:div w:id="326330372">
      <w:bodyDiv w:val="1"/>
      <w:marLeft w:val="0"/>
      <w:marRight w:val="0"/>
      <w:marTop w:val="0"/>
      <w:marBottom w:val="0"/>
      <w:divBdr>
        <w:top w:val="none" w:sz="0" w:space="0" w:color="auto"/>
        <w:left w:val="none" w:sz="0" w:space="0" w:color="auto"/>
        <w:bottom w:val="none" w:sz="0" w:space="0" w:color="auto"/>
        <w:right w:val="none" w:sz="0" w:space="0" w:color="auto"/>
      </w:divBdr>
    </w:div>
    <w:div w:id="340620846">
      <w:bodyDiv w:val="1"/>
      <w:marLeft w:val="0"/>
      <w:marRight w:val="0"/>
      <w:marTop w:val="0"/>
      <w:marBottom w:val="0"/>
      <w:divBdr>
        <w:top w:val="none" w:sz="0" w:space="0" w:color="auto"/>
        <w:left w:val="none" w:sz="0" w:space="0" w:color="auto"/>
        <w:bottom w:val="none" w:sz="0" w:space="0" w:color="auto"/>
        <w:right w:val="none" w:sz="0" w:space="0" w:color="auto"/>
      </w:divBdr>
    </w:div>
    <w:div w:id="387997311">
      <w:bodyDiv w:val="1"/>
      <w:marLeft w:val="0"/>
      <w:marRight w:val="0"/>
      <w:marTop w:val="0"/>
      <w:marBottom w:val="0"/>
      <w:divBdr>
        <w:top w:val="none" w:sz="0" w:space="0" w:color="auto"/>
        <w:left w:val="none" w:sz="0" w:space="0" w:color="auto"/>
        <w:bottom w:val="none" w:sz="0" w:space="0" w:color="auto"/>
        <w:right w:val="none" w:sz="0" w:space="0" w:color="auto"/>
      </w:divBdr>
    </w:div>
    <w:div w:id="391004890">
      <w:bodyDiv w:val="1"/>
      <w:marLeft w:val="0"/>
      <w:marRight w:val="0"/>
      <w:marTop w:val="0"/>
      <w:marBottom w:val="0"/>
      <w:divBdr>
        <w:top w:val="none" w:sz="0" w:space="0" w:color="auto"/>
        <w:left w:val="none" w:sz="0" w:space="0" w:color="auto"/>
        <w:bottom w:val="none" w:sz="0" w:space="0" w:color="auto"/>
        <w:right w:val="none" w:sz="0" w:space="0" w:color="auto"/>
      </w:divBdr>
    </w:div>
    <w:div w:id="418864901">
      <w:bodyDiv w:val="1"/>
      <w:marLeft w:val="0"/>
      <w:marRight w:val="0"/>
      <w:marTop w:val="0"/>
      <w:marBottom w:val="0"/>
      <w:divBdr>
        <w:top w:val="none" w:sz="0" w:space="0" w:color="auto"/>
        <w:left w:val="none" w:sz="0" w:space="0" w:color="auto"/>
        <w:bottom w:val="none" w:sz="0" w:space="0" w:color="auto"/>
        <w:right w:val="none" w:sz="0" w:space="0" w:color="auto"/>
      </w:divBdr>
    </w:div>
    <w:div w:id="446004394">
      <w:bodyDiv w:val="1"/>
      <w:marLeft w:val="0"/>
      <w:marRight w:val="0"/>
      <w:marTop w:val="0"/>
      <w:marBottom w:val="0"/>
      <w:divBdr>
        <w:top w:val="none" w:sz="0" w:space="0" w:color="auto"/>
        <w:left w:val="none" w:sz="0" w:space="0" w:color="auto"/>
        <w:bottom w:val="none" w:sz="0" w:space="0" w:color="auto"/>
        <w:right w:val="none" w:sz="0" w:space="0" w:color="auto"/>
      </w:divBdr>
    </w:div>
    <w:div w:id="446042314">
      <w:bodyDiv w:val="1"/>
      <w:marLeft w:val="0"/>
      <w:marRight w:val="0"/>
      <w:marTop w:val="0"/>
      <w:marBottom w:val="0"/>
      <w:divBdr>
        <w:top w:val="none" w:sz="0" w:space="0" w:color="auto"/>
        <w:left w:val="none" w:sz="0" w:space="0" w:color="auto"/>
        <w:bottom w:val="none" w:sz="0" w:space="0" w:color="auto"/>
        <w:right w:val="none" w:sz="0" w:space="0" w:color="auto"/>
      </w:divBdr>
    </w:div>
    <w:div w:id="453259616">
      <w:bodyDiv w:val="1"/>
      <w:marLeft w:val="0"/>
      <w:marRight w:val="0"/>
      <w:marTop w:val="0"/>
      <w:marBottom w:val="0"/>
      <w:divBdr>
        <w:top w:val="none" w:sz="0" w:space="0" w:color="auto"/>
        <w:left w:val="none" w:sz="0" w:space="0" w:color="auto"/>
        <w:bottom w:val="none" w:sz="0" w:space="0" w:color="auto"/>
        <w:right w:val="none" w:sz="0" w:space="0" w:color="auto"/>
      </w:divBdr>
    </w:div>
    <w:div w:id="490685099">
      <w:bodyDiv w:val="1"/>
      <w:marLeft w:val="0"/>
      <w:marRight w:val="0"/>
      <w:marTop w:val="0"/>
      <w:marBottom w:val="0"/>
      <w:divBdr>
        <w:top w:val="none" w:sz="0" w:space="0" w:color="auto"/>
        <w:left w:val="none" w:sz="0" w:space="0" w:color="auto"/>
        <w:bottom w:val="none" w:sz="0" w:space="0" w:color="auto"/>
        <w:right w:val="none" w:sz="0" w:space="0" w:color="auto"/>
      </w:divBdr>
    </w:div>
    <w:div w:id="506335059">
      <w:bodyDiv w:val="1"/>
      <w:marLeft w:val="0"/>
      <w:marRight w:val="0"/>
      <w:marTop w:val="0"/>
      <w:marBottom w:val="0"/>
      <w:divBdr>
        <w:top w:val="none" w:sz="0" w:space="0" w:color="auto"/>
        <w:left w:val="none" w:sz="0" w:space="0" w:color="auto"/>
        <w:bottom w:val="none" w:sz="0" w:space="0" w:color="auto"/>
        <w:right w:val="none" w:sz="0" w:space="0" w:color="auto"/>
      </w:divBdr>
    </w:div>
    <w:div w:id="522206620">
      <w:bodyDiv w:val="1"/>
      <w:marLeft w:val="0"/>
      <w:marRight w:val="0"/>
      <w:marTop w:val="0"/>
      <w:marBottom w:val="0"/>
      <w:divBdr>
        <w:top w:val="none" w:sz="0" w:space="0" w:color="auto"/>
        <w:left w:val="none" w:sz="0" w:space="0" w:color="auto"/>
        <w:bottom w:val="none" w:sz="0" w:space="0" w:color="auto"/>
        <w:right w:val="none" w:sz="0" w:space="0" w:color="auto"/>
      </w:divBdr>
    </w:div>
    <w:div w:id="531115818">
      <w:bodyDiv w:val="1"/>
      <w:marLeft w:val="0"/>
      <w:marRight w:val="0"/>
      <w:marTop w:val="0"/>
      <w:marBottom w:val="0"/>
      <w:divBdr>
        <w:top w:val="none" w:sz="0" w:space="0" w:color="auto"/>
        <w:left w:val="none" w:sz="0" w:space="0" w:color="auto"/>
        <w:bottom w:val="none" w:sz="0" w:space="0" w:color="auto"/>
        <w:right w:val="none" w:sz="0" w:space="0" w:color="auto"/>
      </w:divBdr>
    </w:div>
    <w:div w:id="543446553">
      <w:bodyDiv w:val="1"/>
      <w:marLeft w:val="0"/>
      <w:marRight w:val="0"/>
      <w:marTop w:val="0"/>
      <w:marBottom w:val="0"/>
      <w:divBdr>
        <w:top w:val="none" w:sz="0" w:space="0" w:color="auto"/>
        <w:left w:val="none" w:sz="0" w:space="0" w:color="auto"/>
        <w:bottom w:val="none" w:sz="0" w:space="0" w:color="auto"/>
        <w:right w:val="none" w:sz="0" w:space="0" w:color="auto"/>
      </w:divBdr>
    </w:div>
    <w:div w:id="571551666">
      <w:bodyDiv w:val="1"/>
      <w:marLeft w:val="0"/>
      <w:marRight w:val="0"/>
      <w:marTop w:val="0"/>
      <w:marBottom w:val="0"/>
      <w:divBdr>
        <w:top w:val="none" w:sz="0" w:space="0" w:color="auto"/>
        <w:left w:val="none" w:sz="0" w:space="0" w:color="auto"/>
        <w:bottom w:val="none" w:sz="0" w:space="0" w:color="auto"/>
        <w:right w:val="none" w:sz="0" w:space="0" w:color="auto"/>
      </w:divBdr>
    </w:div>
    <w:div w:id="587233708">
      <w:bodyDiv w:val="1"/>
      <w:marLeft w:val="0"/>
      <w:marRight w:val="0"/>
      <w:marTop w:val="0"/>
      <w:marBottom w:val="0"/>
      <w:divBdr>
        <w:top w:val="none" w:sz="0" w:space="0" w:color="auto"/>
        <w:left w:val="none" w:sz="0" w:space="0" w:color="auto"/>
        <w:bottom w:val="none" w:sz="0" w:space="0" w:color="auto"/>
        <w:right w:val="none" w:sz="0" w:space="0" w:color="auto"/>
      </w:divBdr>
    </w:div>
    <w:div w:id="629634967">
      <w:bodyDiv w:val="1"/>
      <w:marLeft w:val="0"/>
      <w:marRight w:val="0"/>
      <w:marTop w:val="0"/>
      <w:marBottom w:val="0"/>
      <w:divBdr>
        <w:top w:val="none" w:sz="0" w:space="0" w:color="auto"/>
        <w:left w:val="none" w:sz="0" w:space="0" w:color="auto"/>
        <w:bottom w:val="none" w:sz="0" w:space="0" w:color="auto"/>
        <w:right w:val="none" w:sz="0" w:space="0" w:color="auto"/>
      </w:divBdr>
    </w:div>
    <w:div w:id="644159306">
      <w:bodyDiv w:val="1"/>
      <w:marLeft w:val="0"/>
      <w:marRight w:val="0"/>
      <w:marTop w:val="0"/>
      <w:marBottom w:val="0"/>
      <w:divBdr>
        <w:top w:val="none" w:sz="0" w:space="0" w:color="auto"/>
        <w:left w:val="none" w:sz="0" w:space="0" w:color="auto"/>
        <w:bottom w:val="none" w:sz="0" w:space="0" w:color="auto"/>
        <w:right w:val="none" w:sz="0" w:space="0" w:color="auto"/>
      </w:divBdr>
    </w:div>
    <w:div w:id="650866534">
      <w:bodyDiv w:val="1"/>
      <w:marLeft w:val="0"/>
      <w:marRight w:val="0"/>
      <w:marTop w:val="0"/>
      <w:marBottom w:val="0"/>
      <w:divBdr>
        <w:top w:val="none" w:sz="0" w:space="0" w:color="auto"/>
        <w:left w:val="none" w:sz="0" w:space="0" w:color="auto"/>
        <w:bottom w:val="none" w:sz="0" w:space="0" w:color="auto"/>
        <w:right w:val="none" w:sz="0" w:space="0" w:color="auto"/>
      </w:divBdr>
    </w:div>
    <w:div w:id="671493627">
      <w:bodyDiv w:val="1"/>
      <w:marLeft w:val="0"/>
      <w:marRight w:val="0"/>
      <w:marTop w:val="0"/>
      <w:marBottom w:val="0"/>
      <w:divBdr>
        <w:top w:val="none" w:sz="0" w:space="0" w:color="auto"/>
        <w:left w:val="none" w:sz="0" w:space="0" w:color="auto"/>
        <w:bottom w:val="none" w:sz="0" w:space="0" w:color="auto"/>
        <w:right w:val="none" w:sz="0" w:space="0" w:color="auto"/>
      </w:divBdr>
    </w:div>
    <w:div w:id="675109712">
      <w:bodyDiv w:val="1"/>
      <w:marLeft w:val="0"/>
      <w:marRight w:val="0"/>
      <w:marTop w:val="0"/>
      <w:marBottom w:val="0"/>
      <w:divBdr>
        <w:top w:val="none" w:sz="0" w:space="0" w:color="auto"/>
        <w:left w:val="none" w:sz="0" w:space="0" w:color="auto"/>
        <w:bottom w:val="none" w:sz="0" w:space="0" w:color="auto"/>
        <w:right w:val="none" w:sz="0" w:space="0" w:color="auto"/>
      </w:divBdr>
    </w:div>
    <w:div w:id="679087218">
      <w:bodyDiv w:val="1"/>
      <w:marLeft w:val="0"/>
      <w:marRight w:val="0"/>
      <w:marTop w:val="0"/>
      <w:marBottom w:val="0"/>
      <w:divBdr>
        <w:top w:val="none" w:sz="0" w:space="0" w:color="auto"/>
        <w:left w:val="none" w:sz="0" w:space="0" w:color="auto"/>
        <w:bottom w:val="none" w:sz="0" w:space="0" w:color="auto"/>
        <w:right w:val="none" w:sz="0" w:space="0" w:color="auto"/>
      </w:divBdr>
    </w:div>
    <w:div w:id="682171733">
      <w:bodyDiv w:val="1"/>
      <w:marLeft w:val="0"/>
      <w:marRight w:val="0"/>
      <w:marTop w:val="0"/>
      <w:marBottom w:val="0"/>
      <w:divBdr>
        <w:top w:val="none" w:sz="0" w:space="0" w:color="auto"/>
        <w:left w:val="none" w:sz="0" w:space="0" w:color="auto"/>
        <w:bottom w:val="none" w:sz="0" w:space="0" w:color="auto"/>
        <w:right w:val="none" w:sz="0" w:space="0" w:color="auto"/>
      </w:divBdr>
    </w:div>
    <w:div w:id="682518674">
      <w:bodyDiv w:val="1"/>
      <w:marLeft w:val="0"/>
      <w:marRight w:val="0"/>
      <w:marTop w:val="0"/>
      <w:marBottom w:val="0"/>
      <w:divBdr>
        <w:top w:val="none" w:sz="0" w:space="0" w:color="auto"/>
        <w:left w:val="none" w:sz="0" w:space="0" w:color="auto"/>
        <w:bottom w:val="none" w:sz="0" w:space="0" w:color="auto"/>
        <w:right w:val="none" w:sz="0" w:space="0" w:color="auto"/>
      </w:divBdr>
    </w:div>
    <w:div w:id="697000497">
      <w:bodyDiv w:val="1"/>
      <w:marLeft w:val="0"/>
      <w:marRight w:val="0"/>
      <w:marTop w:val="0"/>
      <w:marBottom w:val="0"/>
      <w:divBdr>
        <w:top w:val="none" w:sz="0" w:space="0" w:color="auto"/>
        <w:left w:val="none" w:sz="0" w:space="0" w:color="auto"/>
        <w:bottom w:val="none" w:sz="0" w:space="0" w:color="auto"/>
        <w:right w:val="none" w:sz="0" w:space="0" w:color="auto"/>
      </w:divBdr>
    </w:div>
    <w:div w:id="698356553">
      <w:bodyDiv w:val="1"/>
      <w:marLeft w:val="0"/>
      <w:marRight w:val="0"/>
      <w:marTop w:val="0"/>
      <w:marBottom w:val="0"/>
      <w:divBdr>
        <w:top w:val="none" w:sz="0" w:space="0" w:color="auto"/>
        <w:left w:val="none" w:sz="0" w:space="0" w:color="auto"/>
        <w:bottom w:val="none" w:sz="0" w:space="0" w:color="auto"/>
        <w:right w:val="none" w:sz="0" w:space="0" w:color="auto"/>
      </w:divBdr>
    </w:div>
    <w:div w:id="710500951">
      <w:bodyDiv w:val="1"/>
      <w:marLeft w:val="0"/>
      <w:marRight w:val="0"/>
      <w:marTop w:val="0"/>
      <w:marBottom w:val="0"/>
      <w:divBdr>
        <w:top w:val="none" w:sz="0" w:space="0" w:color="auto"/>
        <w:left w:val="none" w:sz="0" w:space="0" w:color="auto"/>
        <w:bottom w:val="none" w:sz="0" w:space="0" w:color="auto"/>
        <w:right w:val="none" w:sz="0" w:space="0" w:color="auto"/>
      </w:divBdr>
    </w:div>
    <w:div w:id="721291240">
      <w:bodyDiv w:val="1"/>
      <w:marLeft w:val="0"/>
      <w:marRight w:val="0"/>
      <w:marTop w:val="0"/>
      <w:marBottom w:val="0"/>
      <w:divBdr>
        <w:top w:val="none" w:sz="0" w:space="0" w:color="auto"/>
        <w:left w:val="none" w:sz="0" w:space="0" w:color="auto"/>
        <w:bottom w:val="none" w:sz="0" w:space="0" w:color="auto"/>
        <w:right w:val="none" w:sz="0" w:space="0" w:color="auto"/>
      </w:divBdr>
    </w:div>
    <w:div w:id="742945761">
      <w:bodyDiv w:val="1"/>
      <w:marLeft w:val="0"/>
      <w:marRight w:val="0"/>
      <w:marTop w:val="0"/>
      <w:marBottom w:val="0"/>
      <w:divBdr>
        <w:top w:val="none" w:sz="0" w:space="0" w:color="auto"/>
        <w:left w:val="none" w:sz="0" w:space="0" w:color="auto"/>
        <w:bottom w:val="none" w:sz="0" w:space="0" w:color="auto"/>
        <w:right w:val="none" w:sz="0" w:space="0" w:color="auto"/>
      </w:divBdr>
    </w:div>
    <w:div w:id="753284088">
      <w:bodyDiv w:val="1"/>
      <w:marLeft w:val="0"/>
      <w:marRight w:val="0"/>
      <w:marTop w:val="0"/>
      <w:marBottom w:val="0"/>
      <w:divBdr>
        <w:top w:val="none" w:sz="0" w:space="0" w:color="auto"/>
        <w:left w:val="none" w:sz="0" w:space="0" w:color="auto"/>
        <w:bottom w:val="none" w:sz="0" w:space="0" w:color="auto"/>
        <w:right w:val="none" w:sz="0" w:space="0" w:color="auto"/>
      </w:divBdr>
    </w:div>
    <w:div w:id="767966479">
      <w:bodyDiv w:val="1"/>
      <w:marLeft w:val="0"/>
      <w:marRight w:val="0"/>
      <w:marTop w:val="0"/>
      <w:marBottom w:val="0"/>
      <w:divBdr>
        <w:top w:val="none" w:sz="0" w:space="0" w:color="auto"/>
        <w:left w:val="none" w:sz="0" w:space="0" w:color="auto"/>
        <w:bottom w:val="none" w:sz="0" w:space="0" w:color="auto"/>
        <w:right w:val="none" w:sz="0" w:space="0" w:color="auto"/>
      </w:divBdr>
    </w:div>
    <w:div w:id="815099890">
      <w:bodyDiv w:val="1"/>
      <w:marLeft w:val="0"/>
      <w:marRight w:val="0"/>
      <w:marTop w:val="0"/>
      <w:marBottom w:val="0"/>
      <w:divBdr>
        <w:top w:val="none" w:sz="0" w:space="0" w:color="auto"/>
        <w:left w:val="none" w:sz="0" w:space="0" w:color="auto"/>
        <w:bottom w:val="none" w:sz="0" w:space="0" w:color="auto"/>
        <w:right w:val="none" w:sz="0" w:space="0" w:color="auto"/>
      </w:divBdr>
    </w:div>
    <w:div w:id="840588518">
      <w:bodyDiv w:val="1"/>
      <w:marLeft w:val="0"/>
      <w:marRight w:val="0"/>
      <w:marTop w:val="0"/>
      <w:marBottom w:val="0"/>
      <w:divBdr>
        <w:top w:val="none" w:sz="0" w:space="0" w:color="auto"/>
        <w:left w:val="none" w:sz="0" w:space="0" w:color="auto"/>
        <w:bottom w:val="none" w:sz="0" w:space="0" w:color="auto"/>
        <w:right w:val="none" w:sz="0" w:space="0" w:color="auto"/>
      </w:divBdr>
    </w:div>
    <w:div w:id="845094289">
      <w:bodyDiv w:val="1"/>
      <w:marLeft w:val="0"/>
      <w:marRight w:val="0"/>
      <w:marTop w:val="0"/>
      <w:marBottom w:val="0"/>
      <w:divBdr>
        <w:top w:val="none" w:sz="0" w:space="0" w:color="auto"/>
        <w:left w:val="none" w:sz="0" w:space="0" w:color="auto"/>
        <w:bottom w:val="none" w:sz="0" w:space="0" w:color="auto"/>
        <w:right w:val="none" w:sz="0" w:space="0" w:color="auto"/>
      </w:divBdr>
    </w:div>
    <w:div w:id="876743931">
      <w:bodyDiv w:val="1"/>
      <w:marLeft w:val="0"/>
      <w:marRight w:val="0"/>
      <w:marTop w:val="0"/>
      <w:marBottom w:val="0"/>
      <w:divBdr>
        <w:top w:val="none" w:sz="0" w:space="0" w:color="auto"/>
        <w:left w:val="none" w:sz="0" w:space="0" w:color="auto"/>
        <w:bottom w:val="none" w:sz="0" w:space="0" w:color="auto"/>
        <w:right w:val="none" w:sz="0" w:space="0" w:color="auto"/>
      </w:divBdr>
    </w:div>
    <w:div w:id="886070930">
      <w:bodyDiv w:val="1"/>
      <w:marLeft w:val="0"/>
      <w:marRight w:val="0"/>
      <w:marTop w:val="0"/>
      <w:marBottom w:val="0"/>
      <w:divBdr>
        <w:top w:val="none" w:sz="0" w:space="0" w:color="auto"/>
        <w:left w:val="none" w:sz="0" w:space="0" w:color="auto"/>
        <w:bottom w:val="none" w:sz="0" w:space="0" w:color="auto"/>
        <w:right w:val="none" w:sz="0" w:space="0" w:color="auto"/>
      </w:divBdr>
    </w:div>
    <w:div w:id="897322513">
      <w:bodyDiv w:val="1"/>
      <w:marLeft w:val="0"/>
      <w:marRight w:val="0"/>
      <w:marTop w:val="0"/>
      <w:marBottom w:val="0"/>
      <w:divBdr>
        <w:top w:val="none" w:sz="0" w:space="0" w:color="auto"/>
        <w:left w:val="none" w:sz="0" w:space="0" w:color="auto"/>
        <w:bottom w:val="none" w:sz="0" w:space="0" w:color="auto"/>
        <w:right w:val="none" w:sz="0" w:space="0" w:color="auto"/>
      </w:divBdr>
    </w:div>
    <w:div w:id="929971280">
      <w:bodyDiv w:val="1"/>
      <w:marLeft w:val="0"/>
      <w:marRight w:val="0"/>
      <w:marTop w:val="0"/>
      <w:marBottom w:val="0"/>
      <w:divBdr>
        <w:top w:val="none" w:sz="0" w:space="0" w:color="auto"/>
        <w:left w:val="none" w:sz="0" w:space="0" w:color="auto"/>
        <w:bottom w:val="none" w:sz="0" w:space="0" w:color="auto"/>
        <w:right w:val="none" w:sz="0" w:space="0" w:color="auto"/>
      </w:divBdr>
    </w:div>
    <w:div w:id="937710563">
      <w:bodyDiv w:val="1"/>
      <w:marLeft w:val="0"/>
      <w:marRight w:val="0"/>
      <w:marTop w:val="0"/>
      <w:marBottom w:val="0"/>
      <w:divBdr>
        <w:top w:val="none" w:sz="0" w:space="0" w:color="auto"/>
        <w:left w:val="none" w:sz="0" w:space="0" w:color="auto"/>
        <w:bottom w:val="none" w:sz="0" w:space="0" w:color="auto"/>
        <w:right w:val="none" w:sz="0" w:space="0" w:color="auto"/>
      </w:divBdr>
    </w:div>
    <w:div w:id="957107460">
      <w:bodyDiv w:val="1"/>
      <w:marLeft w:val="0"/>
      <w:marRight w:val="0"/>
      <w:marTop w:val="0"/>
      <w:marBottom w:val="0"/>
      <w:divBdr>
        <w:top w:val="none" w:sz="0" w:space="0" w:color="auto"/>
        <w:left w:val="none" w:sz="0" w:space="0" w:color="auto"/>
        <w:bottom w:val="none" w:sz="0" w:space="0" w:color="auto"/>
        <w:right w:val="none" w:sz="0" w:space="0" w:color="auto"/>
      </w:divBdr>
    </w:div>
    <w:div w:id="962539678">
      <w:bodyDiv w:val="1"/>
      <w:marLeft w:val="0"/>
      <w:marRight w:val="0"/>
      <w:marTop w:val="0"/>
      <w:marBottom w:val="0"/>
      <w:divBdr>
        <w:top w:val="none" w:sz="0" w:space="0" w:color="auto"/>
        <w:left w:val="none" w:sz="0" w:space="0" w:color="auto"/>
        <w:bottom w:val="none" w:sz="0" w:space="0" w:color="auto"/>
        <w:right w:val="none" w:sz="0" w:space="0" w:color="auto"/>
      </w:divBdr>
    </w:div>
    <w:div w:id="971135273">
      <w:bodyDiv w:val="1"/>
      <w:marLeft w:val="0"/>
      <w:marRight w:val="0"/>
      <w:marTop w:val="0"/>
      <w:marBottom w:val="0"/>
      <w:divBdr>
        <w:top w:val="none" w:sz="0" w:space="0" w:color="auto"/>
        <w:left w:val="none" w:sz="0" w:space="0" w:color="auto"/>
        <w:bottom w:val="none" w:sz="0" w:space="0" w:color="auto"/>
        <w:right w:val="none" w:sz="0" w:space="0" w:color="auto"/>
      </w:divBdr>
    </w:div>
    <w:div w:id="983120263">
      <w:bodyDiv w:val="1"/>
      <w:marLeft w:val="0"/>
      <w:marRight w:val="0"/>
      <w:marTop w:val="0"/>
      <w:marBottom w:val="0"/>
      <w:divBdr>
        <w:top w:val="none" w:sz="0" w:space="0" w:color="auto"/>
        <w:left w:val="none" w:sz="0" w:space="0" w:color="auto"/>
        <w:bottom w:val="none" w:sz="0" w:space="0" w:color="auto"/>
        <w:right w:val="none" w:sz="0" w:space="0" w:color="auto"/>
      </w:divBdr>
    </w:div>
    <w:div w:id="983924011">
      <w:bodyDiv w:val="1"/>
      <w:marLeft w:val="0"/>
      <w:marRight w:val="0"/>
      <w:marTop w:val="0"/>
      <w:marBottom w:val="0"/>
      <w:divBdr>
        <w:top w:val="none" w:sz="0" w:space="0" w:color="auto"/>
        <w:left w:val="none" w:sz="0" w:space="0" w:color="auto"/>
        <w:bottom w:val="none" w:sz="0" w:space="0" w:color="auto"/>
        <w:right w:val="none" w:sz="0" w:space="0" w:color="auto"/>
      </w:divBdr>
    </w:div>
    <w:div w:id="1001084795">
      <w:bodyDiv w:val="1"/>
      <w:marLeft w:val="0"/>
      <w:marRight w:val="0"/>
      <w:marTop w:val="0"/>
      <w:marBottom w:val="0"/>
      <w:divBdr>
        <w:top w:val="none" w:sz="0" w:space="0" w:color="auto"/>
        <w:left w:val="none" w:sz="0" w:space="0" w:color="auto"/>
        <w:bottom w:val="none" w:sz="0" w:space="0" w:color="auto"/>
        <w:right w:val="none" w:sz="0" w:space="0" w:color="auto"/>
      </w:divBdr>
    </w:div>
    <w:div w:id="1027146149">
      <w:bodyDiv w:val="1"/>
      <w:marLeft w:val="0"/>
      <w:marRight w:val="0"/>
      <w:marTop w:val="0"/>
      <w:marBottom w:val="0"/>
      <w:divBdr>
        <w:top w:val="none" w:sz="0" w:space="0" w:color="auto"/>
        <w:left w:val="none" w:sz="0" w:space="0" w:color="auto"/>
        <w:bottom w:val="none" w:sz="0" w:space="0" w:color="auto"/>
        <w:right w:val="none" w:sz="0" w:space="0" w:color="auto"/>
      </w:divBdr>
    </w:div>
    <w:div w:id="1030758711">
      <w:bodyDiv w:val="1"/>
      <w:marLeft w:val="0"/>
      <w:marRight w:val="0"/>
      <w:marTop w:val="0"/>
      <w:marBottom w:val="0"/>
      <w:divBdr>
        <w:top w:val="none" w:sz="0" w:space="0" w:color="auto"/>
        <w:left w:val="none" w:sz="0" w:space="0" w:color="auto"/>
        <w:bottom w:val="none" w:sz="0" w:space="0" w:color="auto"/>
        <w:right w:val="none" w:sz="0" w:space="0" w:color="auto"/>
      </w:divBdr>
    </w:div>
    <w:div w:id="1037782650">
      <w:bodyDiv w:val="1"/>
      <w:marLeft w:val="0"/>
      <w:marRight w:val="0"/>
      <w:marTop w:val="0"/>
      <w:marBottom w:val="0"/>
      <w:divBdr>
        <w:top w:val="none" w:sz="0" w:space="0" w:color="auto"/>
        <w:left w:val="none" w:sz="0" w:space="0" w:color="auto"/>
        <w:bottom w:val="none" w:sz="0" w:space="0" w:color="auto"/>
        <w:right w:val="none" w:sz="0" w:space="0" w:color="auto"/>
      </w:divBdr>
    </w:div>
    <w:div w:id="1075787770">
      <w:bodyDiv w:val="1"/>
      <w:marLeft w:val="0"/>
      <w:marRight w:val="0"/>
      <w:marTop w:val="0"/>
      <w:marBottom w:val="0"/>
      <w:divBdr>
        <w:top w:val="none" w:sz="0" w:space="0" w:color="auto"/>
        <w:left w:val="none" w:sz="0" w:space="0" w:color="auto"/>
        <w:bottom w:val="none" w:sz="0" w:space="0" w:color="auto"/>
        <w:right w:val="none" w:sz="0" w:space="0" w:color="auto"/>
      </w:divBdr>
    </w:div>
    <w:div w:id="1091898186">
      <w:bodyDiv w:val="1"/>
      <w:marLeft w:val="0"/>
      <w:marRight w:val="0"/>
      <w:marTop w:val="0"/>
      <w:marBottom w:val="0"/>
      <w:divBdr>
        <w:top w:val="none" w:sz="0" w:space="0" w:color="auto"/>
        <w:left w:val="none" w:sz="0" w:space="0" w:color="auto"/>
        <w:bottom w:val="none" w:sz="0" w:space="0" w:color="auto"/>
        <w:right w:val="none" w:sz="0" w:space="0" w:color="auto"/>
      </w:divBdr>
    </w:div>
    <w:div w:id="1101222890">
      <w:bodyDiv w:val="1"/>
      <w:marLeft w:val="0"/>
      <w:marRight w:val="0"/>
      <w:marTop w:val="0"/>
      <w:marBottom w:val="0"/>
      <w:divBdr>
        <w:top w:val="none" w:sz="0" w:space="0" w:color="auto"/>
        <w:left w:val="none" w:sz="0" w:space="0" w:color="auto"/>
        <w:bottom w:val="none" w:sz="0" w:space="0" w:color="auto"/>
        <w:right w:val="none" w:sz="0" w:space="0" w:color="auto"/>
      </w:divBdr>
    </w:div>
    <w:div w:id="1105033807">
      <w:bodyDiv w:val="1"/>
      <w:marLeft w:val="0"/>
      <w:marRight w:val="0"/>
      <w:marTop w:val="0"/>
      <w:marBottom w:val="0"/>
      <w:divBdr>
        <w:top w:val="none" w:sz="0" w:space="0" w:color="auto"/>
        <w:left w:val="none" w:sz="0" w:space="0" w:color="auto"/>
        <w:bottom w:val="none" w:sz="0" w:space="0" w:color="auto"/>
        <w:right w:val="none" w:sz="0" w:space="0" w:color="auto"/>
      </w:divBdr>
    </w:div>
    <w:div w:id="1107848673">
      <w:bodyDiv w:val="1"/>
      <w:marLeft w:val="0"/>
      <w:marRight w:val="0"/>
      <w:marTop w:val="0"/>
      <w:marBottom w:val="0"/>
      <w:divBdr>
        <w:top w:val="none" w:sz="0" w:space="0" w:color="auto"/>
        <w:left w:val="none" w:sz="0" w:space="0" w:color="auto"/>
        <w:bottom w:val="none" w:sz="0" w:space="0" w:color="auto"/>
        <w:right w:val="none" w:sz="0" w:space="0" w:color="auto"/>
      </w:divBdr>
    </w:div>
    <w:div w:id="1123690090">
      <w:bodyDiv w:val="1"/>
      <w:marLeft w:val="0"/>
      <w:marRight w:val="0"/>
      <w:marTop w:val="0"/>
      <w:marBottom w:val="0"/>
      <w:divBdr>
        <w:top w:val="none" w:sz="0" w:space="0" w:color="auto"/>
        <w:left w:val="none" w:sz="0" w:space="0" w:color="auto"/>
        <w:bottom w:val="none" w:sz="0" w:space="0" w:color="auto"/>
        <w:right w:val="none" w:sz="0" w:space="0" w:color="auto"/>
      </w:divBdr>
    </w:div>
    <w:div w:id="1127821390">
      <w:bodyDiv w:val="1"/>
      <w:marLeft w:val="0"/>
      <w:marRight w:val="0"/>
      <w:marTop w:val="0"/>
      <w:marBottom w:val="0"/>
      <w:divBdr>
        <w:top w:val="none" w:sz="0" w:space="0" w:color="auto"/>
        <w:left w:val="none" w:sz="0" w:space="0" w:color="auto"/>
        <w:bottom w:val="none" w:sz="0" w:space="0" w:color="auto"/>
        <w:right w:val="none" w:sz="0" w:space="0" w:color="auto"/>
      </w:divBdr>
    </w:div>
    <w:div w:id="1131902339">
      <w:bodyDiv w:val="1"/>
      <w:marLeft w:val="0"/>
      <w:marRight w:val="0"/>
      <w:marTop w:val="0"/>
      <w:marBottom w:val="0"/>
      <w:divBdr>
        <w:top w:val="none" w:sz="0" w:space="0" w:color="auto"/>
        <w:left w:val="none" w:sz="0" w:space="0" w:color="auto"/>
        <w:bottom w:val="none" w:sz="0" w:space="0" w:color="auto"/>
        <w:right w:val="none" w:sz="0" w:space="0" w:color="auto"/>
      </w:divBdr>
    </w:div>
    <w:div w:id="1132864241">
      <w:bodyDiv w:val="1"/>
      <w:marLeft w:val="0"/>
      <w:marRight w:val="0"/>
      <w:marTop w:val="0"/>
      <w:marBottom w:val="0"/>
      <w:divBdr>
        <w:top w:val="none" w:sz="0" w:space="0" w:color="auto"/>
        <w:left w:val="none" w:sz="0" w:space="0" w:color="auto"/>
        <w:bottom w:val="none" w:sz="0" w:space="0" w:color="auto"/>
        <w:right w:val="none" w:sz="0" w:space="0" w:color="auto"/>
      </w:divBdr>
    </w:div>
    <w:div w:id="1153446285">
      <w:bodyDiv w:val="1"/>
      <w:marLeft w:val="0"/>
      <w:marRight w:val="0"/>
      <w:marTop w:val="0"/>
      <w:marBottom w:val="0"/>
      <w:divBdr>
        <w:top w:val="none" w:sz="0" w:space="0" w:color="auto"/>
        <w:left w:val="none" w:sz="0" w:space="0" w:color="auto"/>
        <w:bottom w:val="none" w:sz="0" w:space="0" w:color="auto"/>
        <w:right w:val="none" w:sz="0" w:space="0" w:color="auto"/>
      </w:divBdr>
    </w:div>
    <w:div w:id="1154032161">
      <w:bodyDiv w:val="1"/>
      <w:marLeft w:val="0"/>
      <w:marRight w:val="0"/>
      <w:marTop w:val="0"/>
      <w:marBottom w:val="0"/>
      <w:divBdr>
        <w:top w:val="none" w:sz="0" w:space="0" w:color="auto"/>
        <w:left w:val="none" w:sz="0" w:space="0" w:color="auto"/>
        <w:bottom w:val="none" w:sz="0" w:space="0" w:color="auto"/>
        <w:right w:val="none" w:sz="0" w:space="0" w:color="auto"/>
      </w:divBdr>
    </w:div>
    <w:div w:id="1155880794">
      <w:bodyDiv w:val="1"/>
      <w:marLeft w:val="0"/>
      <w:marRight w:val="0"/>
      <w:marTop w:val="0"/>
      <w:marBottom w:val="0"/>
      <w:divBdr>
        <w:top w:val="none" w:sz="0" w:space="0" w:color="auto"/>
        <w:left w:val="none" w:sz="0" w:space="0" w:color="auto"/>
        <w:bottom w:val="none" w:sz="0" w:space="0" w:color="auto"/>
        <w:right w:val="none" w:sz="0" w:space="0" w:color="auto"/>
      </w:divBdr>
    </w:div>
    <w:div w:id="1171263282">
      <w:bodyDiv w:val="1"/>
      <w:marLeft w:val="0"/>
      <w:marRight w:val="0"/>
      <w:marTop w:val="0"/>
      <w:marBottom w:val="0"/>
      <w:divBdr>
        <w:top w:val="none" w:sz="0" w:space="0" w:color="auto"/>
        <w:left w:val="none" w:sz="0" w:space="0" w:color="auto"/>
        <w:bottom w:val="none" w:sz="0" w:space="0" w:color="auto"/>
        <w:right w:val="none" w:sz="0" w:space="0" w:color="auto"/>
      </w:divBdr>
    </w:div>
    <w:div w:id="1182281884">
      <w:bodyDiv w:val="1"/>
      <w:marLeft w:val="0"/>
      <w:marRight w:val="0"/>
      <w:marTop w:val="0"/>
      <w:marBottom w:val="0"/>
      <w:divBdr>
        <w:top w:val="none" w:sz="0" w:space="0" w:color="auto"/>
        <w:left w:val="none" w:sz="0" w:space="0" w:color="auto"/>
        <w:bottom w:val="none" w:sz="0" w:space="0" w:color="auto"/>
        <w:right w:val="none" w:sz="0" w:space="0" w:color="auto"/>
      </w:divBdr>
    </w:div>
    <w:div w:id="1185053841">
      <w:bodyDiv w:val="1"/>
      <w:marLeft w:val="0"/>
      <w:marRight w:val="0"/>
      <w:marTop w:val="0"/>
      <w:marBottom w:val="0"/>
      <w:divBdr>
        <w:top w:val="none" w:sz="0" w:space="0" w:color="auto"/>
        <w:left w:val="none" w:sz="0" w:space="0" w:color="auto"/>
        <w:bottom w:val="none" w:sz="0" w:space="0" w:color="auto"/>
        <w:right w:val="none" w:sz="0" w:space="0" w:color="auto"/>
      </w:divBdr>
    </w:div>
    <w:div w:id="1223516602">
      <w:bodyDiv w:val="1"/>
      <w:marLeft w:val="0"/>
      <w:marRight w:val="0"/>
      <w:marTop w:val="0"/>
      <w:marBottom w:val="0"/>
      <w:divBdr>
        <w:top w:val="none" w:sz="0" w:space="0" w:color="auto"/>
        <w:left w:val="none" w:sz="0" w:space="0" w:color="auto"/>
        <w:bottom w:val="none" w:sz="0" w:space="0" w:color="auto"/>
        <w:right w:val="none" w:sz="0" w:space="0" w:color="auto"/>
      </w:divBdr>
    </w:div>
    <w:div w:id="1225531361">
      <w:bodyDiv w:val="1"/>
      <w:marLeft w:val="0"/>
      <w:marRight w:val="0"/>
      <w:marTop w:val="0"/>
      <w:marBottom w:val="0"/>
      <w:divBdr>
        <w:top w:val="none" w:sz="0" w:space="0" w:color="auto"/>
        <w:left w:val="none" w:sz="0" w:space="0" w:color="auto"/>
        <w:bottom w:val="none" w:sz="0" w:space="0" w:color="auto"/>
        <w:right w:val="none" w:sz="0" w:space="0" w:color="auto"/>
      </w:divBdr>
    </w:div>
    <w:div w:id="1236815921">
      <w:bodyDiv w:val="1"/>
      <w:marLeft w:val="0"/>
      <w:marRight w:val="0"/>
      <w:marTop w:val="0"/>
      <w:marBottom w:val="0"/>
      <w:divBdr>
        <w:top w:val="none" w:sz="0" w:space="0" w:color="auto"/>
        <w:left w:val="none" w:sz="0" w:space="0" w:color="auto"/>
        <w:bottom w:val="none" w:sz="0" w:space="0" w:color="auto"/>
        <w:right w:val="none" w:sz="0" w:space="0" w:color="auto"/>
      </w:divBdr>
    </w:div>
    <w:div w:id="1258096695">
      <w:bodyDiv w:val="1"/>
      <w:marLeft w:val="0"/>
      <w:marRight w:val="0"/>
      <w:marTop w:val="0"/>
      <w:marBottom w:val="0"/>
      <w:divBdr>
        <w:top w:val="none" w:sz="0" w:space="0" w:color="auto"/>
        <w:left w:val="none" w:sz="0" w:space="0" w:color="auto"/>
        <w:bottom w:val="none" w:sz="0" w:space="0" w:color="auto"/>
        <w:right w:val="none" w:sz="0" w:space="0" w:color="auto"/>
      </w:divBdr>
    </w:div>
    <w:div w:id="1279406613">
      <w:bodyDiv w:val="1"/>
      <w:marLeft w:val="0"/>
      <w:marRight w:val="0"/>
      <w:marTop w:val="0"/>
      <w:marBottom w:val="0"/>
      <w:divBdr>
        <w:top w:val="none" w:sz="0" w:space="0" w:color="auto"/>
        <w:left w:val="none" w:sz="0" w:space="0" w:color="auto"/>
        <w:bottom w:val="none" w:sz="0" w:space="0" w:color="auto"/>
        <w:right w:val="none" w:sz="0" w:space="0" w:color="auto"/>
      </w:divBdr>
    </w:div>
    <w:div w:id="1296714149">
      <w:bodyDiv w:val="1"/>
      <w:marLeft w:val="0"/>
      <w:marRight w:val="0"/>
      <w:marTop w:val="0"/>
      <w:marBottom w:val="0"/>
      <w:divBdr>
        <w:top w:val="none" w:sz="0" w:space="0" w:color="auto"/>
        <w:left w:val="none" w:sz="0" w:space="0" w:color="auto"/>
        <w:bottom w:val="none" w:sz="0" w:space="0" w:color="auto"/>
        <w:right w:val="none" w:sz="0" w:space="0" w:color="auto"/>
      </w:divBdr>
    </w:div>
    <w:div w:id="1320160316">
      <w:bodyDiv w:val="1"/>
      <w:marLeft w:val="0"/>
      <w:marRight w:val="0"/>
      <w:marTop w:val="0"/>
      <w:marBottom w:val="0"/>
      <w:divBdr>
        <w:top w:val="none" w:sz="0" w:space="0" w:color="auto"/>
        <w:left w:val="none" w:sz="0" w:space="0" w:color="auto"/>
        <w:bottom w:val="none" w:sz="0" w:space="0" w:color="auto"/>
        <w:right w:val="none" w:sz="0" w:space="0" w:color="auto"/>
      </w:divBdr>
    </w:div>
    <w:div w:id="1381707409">
      <w:bodyDiv w:val="1"/>
      <w:marLeft w:val="0"/>
      <w:marRight w:val="0"/>
      <w:marTop w:val="0"/>
      <w:marBottom w:val="0"/>
      <w:divBdr>
        <w:top w:val="none" w:sz="0" w:space="0" w:color="auto"/>
        <w:left w:val="none" w:sz="0" w:space="0" w:color="auto"/>
        <w:bottom w:val="none" w:sz="0" w:space="0" w:color="auto"/>
        <w:right w:val="none" w:sz="0" w:space="0" w:color="auto"/>
      </w:divBdr>
    </w:div>
    <w:div w:id="1401517820">
      <w:bodyDiv w:val="1"/>
      <w:marLeft w:val="0"/>
      <w:marRight w:val="0"/>
      <w:marTop w:val="0"/>
      <w:marBottom w:val="0"/>
      <w:divBdr>
        <w:top w:val="none" w:sz="0" w:space="0" w:color="auto"/>
        <w:left w:val="none" w:sz="0" w:space="0" w:color="auto"/>
        <w:bottom w:val="none" w:sz="0" w:space="0" w:color="auto"/>
        <w:right w:val="none" w:sz="0" w:space="0" w:color="auto"/>
      </w:divBdr>
    </w:div>
    <w:div w:id="1434086872">
      <w:bodyDiv w:val="1"/>
      <w:marLeft w:val="0"/>
      <w:marRight w:val="0"/>
      <w:marTop w:val="0"/>
      <w:marBottom w:val="0"/>
      <w:divBdr>
        <w:top w:val="none" w:sz="0" w:space="0" w:color="auto"/>
        <w:left w:val="none" w:sz="0" w:space="0" w:color="auto"/>
        <w:bottom w:val="none" w:sz="0" w:space="0" w:color="auto"/>
        <w:right w:val="none" w:sz="0" w:space="0" w:color="auto"/>
      </w:divBdr>
    </w:div>
    <w:div w:id="1442608445">
      <w:bodyDiv w:val="1"/>
      <w:marLeft w:val="0"/>
      <w:marRight w:val="0"/>
      <w:marTop w:val="0"/>
      <w:marBottom w:val="0"/>
      <w:divBdr>
        <w:top w:val="none" w:sz="0" w:space="0" w:color="auto"/>
        <w:left w:val="none" w:sz="0" w:space="0" w:color="auto"/>
        <w:bottom w:val="none" w:sz="0" w:space="0" w:color="auto"/>
        <w:right w:val="none" w:sz="0" w:space="0" w:color="auto"/>
      </w:divBdr>
    </w:div>
    <w:div w:id="1458254180">
      <w:bodyDiv w:val="1"/>
      <w:marLeft w:val="0"/>
      <w:marRight w:val="0"/>
      <w:marTop w:val="0"/>
      <w:marBottom w:val="0"/>
      <w:divBdr>
        <w:top w:val="none" w:sz="0" w:space="0" w:color="auto"/>
        <w:left w:val="none" w:sz="0" w:space="0" w:color="auto"/>
        <w:bottom w:val="none" w:sz="0" w:space="0" w:color="auto"/>
        <w:right w:val="none" w:sz="0" w:space="0" w:color="auto"/>
      </w:divBdr>
    </w:div>
    <w:div w:id="1480269289">
      <w:bodyDiv w:val="1"/>
      <w:marLeft w:val="0"/>
      <w:marRight w:val="0"/>
      <w:marTop w:val="0"/>
      <w:marBottom w:val="0"/>
      <w:divBdr>
        <w:top w:val="none" w:sz="0" w:space="0" w:color="auto"/>
        <w:left w:val="none" w:sz="0" w:space="0" w:color="auto"/>
        <w:bottom w:val="none" w:sz="0" w:space="0" w:color="auto"/>
        <w:right w:val="none" w:sz="0" w:space="0" w:color="auto"/>
      </w:divBdr>
    </w:div>
    <w:div w:id="1509055880">
      <w:bodyDiv w:val="1"/>
      <w:marLeft w:val="0"/>
      <w:marRight w:val="0"/>
      <w:marTop w:val="0"/>
      <w:marBottom w:val="0"/>
      <w:divBdr>
        <w:top w:val="none" w:sz="0" w:space="0" w:color="auto"/>
        <w:left w:val="none" w:sz="0" w:space="0" w:color="auto"/>
        <w:bottom w:val="none" w:sz="0" w:space="0" w:color="auto"/>
        <w:right w:val="none" w:sz="0" w:space="0" w:color="auto"/>
      </w:divBdr>
    </w:div>
    <w:div w:id="1554776092">
      <w:bodyDiv w:val="1"/>
      <w:marLeft w:val="0"/>
      <w:marRight w:val="0"/>
      <w:marTop w:val="0"/>
      <w:marBottom w:val="0"/>
      <w:divBdr>
        <w:top w:val="none" w:sz="0" w:space="0" w:color="auto"/>
        <w:left w:val="none" w:sz="0" w:space="0" w:color="auto"/>
        <w:bottom w:val="none" w:sz="0" w:space="0" w:color="auto"/>
        <w:right w:val="none" w:sz="0" w:space="0" w:color="auto"/>
      </w:divBdr>
    </w:div>
    <w:div w:id="1571887699">
      <w:bodyDiv w:val="1"/>
      <w:marLeft w:val="0"/>
      <w:marRight w:val="0"/>
      <w:marTop w:val="0"/>
      <w:marBottom w:val="0"/>
      <w:divBdr>
        <w:top w:val="none" w:sz="0" w:space="0" w:color="auto"/>
        <w:left w:val="none" w:sz="0" w:space="0" w:color="auto"/>
        <w:bottom w:val="none" w:sz="0" w:space="0" w:color="auto"/>
        <w:right w:val="none" w:sz="0" w:space="0" w:color="auto"/>
      </w:divBdr>
    </w:div>
    <w:div w:id="1575511891">
      <w:bodyDiv w:val="1"/>
      <w:marLeft w:val="0"/>
      <w:marRight w:val="0"/>
      <w:marTop w:val="0"/>
      <w:marBottom w:val="0"/>
      <w:divBdr>
        <w:top w:val="none" w:sz="0" w:space="0" w:color="auto"/>
        <w:left w:val="none" w:sz="0" w:space="0" w:color="auto"/>
        <w:bottom w:val="none" w:sz="0" w:space="0" w:color="auto"/>
        <w:right w:val="none" w:sz="0" w:space="0" w:color="auto"/>
      </w:divBdr>
    </w:div>
    <w:div w:id="1576428620">
      <w:bodyDiv w:val="1"/>
      <w:marLeft w:val="0"/>
      <w:marRight w:val="0"/>
      <w:marTop w:val="0"/>
      <w:marBottom w:val="0"/>
      <w:divBdr>
        <w:top w:val="none" w:sz="0" w:space="0" w:color="auto"/>
        <w:left w:val="none" w:sz="0" w:space="0" w:color="auto"/>
        <w:bottom w:val="none" w:sz="0" w:space="0" w:color="auto"/>
        <w:right w:val="none" w:sz="0" w:space="0" w:color="auto"/>
      </w:divBdr>
    </w:div>
    <w:div w:id="1577200739">
      <w:bodyDiv w:val="1"/>
      <w:marLeft w:val="0"/>
      <w:marRight w:val="0"/>
      <w:marTop w:val="0"/>
      <w:marBottom w:val="0"/>
      <w:divBdr>
        <w:top w:val="none" w:sz="0" w:space="0" w:color="auto"/>
        <w:left w:val="none" w:sz="0" w:space="0" w:color="auto"/>
        <w:bottom w:val="none" w:sz="0" w:space="0" w:color="auto"/>
        <w:right w:val="none" w:sz="0" w:space="0" w:color="auto"/>
      </w:divBdr>
    </w:div>
    <w:div w:id="1581254497">
      <w:bodyDiv w:val="1"/>
      <w:marLeft w:val="0"/>
      <w:marRight w:val="0"/>
      <w:marTop w:val="0"/>
      <w:marBottom w:val="0"/>
      <w:divBdr>
        <w:top w:val="none" w:sz="0" w:space="0" w:color="auto"/>
        <w:left w:val="none" w:sz="0" w:space="0" w:color="auto"/>
        <w:bottom w:val="none" w:sz="0" w:space="0" w:color="auto"/>
        <w:right w:val="none" w:sz="0" w:space="0" w:color="auto"/>
      </w:divBdr>
    </w:div>
    <w:div w:id="1615138947">
      <w:bodyDiv w:val="1"/>
      <w:marLeft w:val="0"/>
      <w:marRight w:val="0"/>
      <w:marTop w:val="0"/>
      <w:marBottom w:val="0"/>
      <w:divBdr>
        <w:top w:val="none" w:sz="0" w:space="0" w:color="auto"/>
        <w:left w:val="none" w:sz="0" w:space="0" w:color="auto"/>
        <w:bottom w:val="none" w:sz="0" w:space="0" w:color="auto"/>
        <w:right w:val="none" w:sz="0" w:space="0" w:color="auto"/>
      </w:divBdr>
    </w:div>
    <w:div w:id="1620650435">
      <w:bodyDiv w:val="1"/>
      <w:marLeft w:val="0"/>
      <w:marRight w:val="0"/>
      <w:marTop w:val="0"/>
      <w:marBottom w:val="0"/>
      <w:divBdr>
        <w:top w:val="none" w:sz="0" w:space="0" w:color="auto"/>
        <w:left w:val="none" w:sz="0" w:space="0" w:color="auto"/>
        <w:bottom w:val="none" w:sz="0" w:space="0" w:color="auto"/>
        <w:right w:val="none" w:sz="0" w:space="0" w:color="auto"/>
      </w:divBdr>
    </w:div>
    <w:div w:id="1629898123">
      <w:bodyDiv w:val="1"/>
      <w:marLeft w:val="0"/>
      <w:marRight w:val="0"/>
      <w:marTop w:val="0"/>
      <w:marBottom w:val="0"/>
      <w:divBdr>
        <w:top w:val="none" w:sz="0" w:space="0" w:color="auto"/>
        <w:left w:val="none" w:sz="0" w:space="0" w:color="auto"/>
        <w:bottom w:val="none" w:sz="0" w:space="0" w:color="auto"/>
        <w:right w:val="none" w:sz="0" w:space="0" w:color="auto"/>
      </w:divBdr>
    </w:div>
    <w:div w:id="1630011631">
      <w:bodyDiv w:val="1"/>
      <w:marLeft w:val="0"/>
      <w:marRight w:val="0"/>
      <w:marTop w:val="0"/>
      <w:marBottom w:val="0"/>
      <w:divBdr>
        <w:top w:val="none" w:sz="0" w:space="0" w:color="auto"/>
        <w:left w:val="none" w:sz="0" w:space="0" w:color="auto"/>
        <w:bottom w:val="none" w:sz="0" w:space="0" w:color="auto"/>
        <w:right w:val="none" w:sz="0" w:space="0" w:color="auto"/>
      </w:divBdr>
    </w:div>
    <w:div w:id="1654406951">
      <w:bodyDiv w:val="1"/>
      <w:marLeft w:val="0"/>
      <w:marRight w:val="0"/>
      <w:marTop w:val="0"/>
      <w:marBottom w:val="0"/>
      <w:divBdr>
        <w:top w:val="none" w:sz="0" w:space="0" w:color="auto"/>
        <w:left w:val="none" w:sz="0" w:space="0" w:color="auto"/>
        <w:bottom w:val="none" w:sz="0" w:space="0" w:color="auto"/>
        <w:right w:val="none" w:sz="0" w:space="0" w:color="auto"/>
      </w:divBdr>
    </w:div>
    <w:div w:id="1661736571">
      <w:bodyDiv w:val="1"/>
      <w:marLeft w:val="0"/>
      <w:marRight w:val="0"/>
      <w:marTop w:val="0"/>
      <w:marBottom w:val="0"/>
      <w:divBdr>
        <w:top w:val="none" w:sz="0" w:space="0" w:color="auto"/>
        <w:left w:val="none" w:sz="0" w:space="0" w:color="auto"/>
        <w:bottom w:val="none" w:sz="0" w:space="0" w:color="auto"/>
        <w:right w:val="none" w:sz="0" w:space="0" w:color="auto"/>
      </w:divBdr>
    </w:div>
    <w:div w:id="1676151716">
      <w:bodyDiv w:val="1"/>
      <w:marLeft w:val="0"/>
      <w:marRight w:val="0"/>
      <w:marTop w:val="0"/>
      <w:marBottom w:val="0"/>
      <w:divBdr>
        <w:top w:val="none" w:sz="0" w:space="0" w:color="auto"/>
        <w:left w:val="none" w:sz="0" w:space="0" w:color="auto"/>
        <w:bottom w:val="none" w:sz="0" w:space="0" w:color="auto"/>
        <w:right w:val="none" w:sz="0" w:space="0" w:color="auto"/>
      </w:divBdr>
    </w:div>
    <w:div w:id="1721975846">
      <w:bodyDiv w:val="1"/>
      <w:marLeft w:val="0"/>
      <w:marRight w:val="0"/>
      <w:marTop w:val="0"/>
      <w:marBottom w:val="0"/>
      <w:divBdr>
        <w:top w:val="none" w:sz="0" w:space="0" w:color="auto"/>
        <w:left w:val="none" w:sz="0" w:space="0" w:color="auto"/>
        <w:bottom w:val="none" w:sz="0" w:space="0" w:color="auto"/>
        <w:right w:val="none" w:sz="0" w:space="0" w:color="auto"/>
      </w:divBdr>
    </w:div>
    <w:div w:id="1750805336">
      <w:bodyDiv w:val="1"/>
      <w:marLeft w:val="0"/>
      <w:marRight w:val="0"/>
      <w:marTop w:val="0"/>
      <w:marBottom w:val="0"/>
      <w:divBdr>
        <w:top w:val="none" w:sz="0" w:space="0" w:color="auto"/>
        <w:left w:val="none" w:sz="0" w:space="0" w:color="auto"/>
        <w:bottom w:val="none" w:sz="0" w:space="0" w:color="auto"/>
        <w:right w:val="none" w:sz="0" w:space="0" w:color="auto"/>
      </w:divBdr>
      <w:divsChild>
        <w:div w:id="557865873">
          <w:marLeft w:val="0"/>
          <w:marRight w:val="0"/>
          <w:marTop w:val="0"/>
          <w:marBottom w:val="0"/>
          <w:divBdr>
            <w:top w:val="none" w:sz="0" w:space="0" w:color="auto"/>
            <w:left w:val="none" w:sz="0" w:space="0" w:color="auto"/>
            <w:bottom w:val="none" w:sz="0" w:space="0" w:color="auto"/>
            <w:right w:val="none" w:sz="0" w:space="0" w:color="auto"/>
          </w:divBdr>
          <w:divsChild>
            <w:div w:id="7756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66895">
      <w:bodyDiv w:val="1"/>
      <w:marLeft w:val="0"/>
      <w:marRight w:val="0"/>
      <w:marTop w:val="0"/>
      <w:marBottom w:val="0"/>
      <w:divBdr>
        <w:top w:val="none" w:sz="0" w:space="0" w:color="auto"/>
        <w:left w:val="none" w:sz="0" w:space="0" w:color="auto"/>
        <w:bottom w:val="none" w:sz="0" w:space="0" w:color="auto"/>
        <w:right w:val="none" w:sz="0" w:space="0" w:color="auto"/>
      </w:divBdr>
      <w:divsChild>
        <w:div w:id="700864364">
          <w:marLeft w:val="0"/>
          <w:marRight w:val="0"/>
          <w:marTop w:val="0"/>
          <w:marBottom w:val="0"/>
          <w:divBdr>
            <w:top w:val="none" w:sz="0" w:space="0" w:color="auto"/>
            <w:left w:val="none" w:sz="0" w:space="0" w:color="auto"/>
            <w:bottom w:val="none" w:sz="0" w:space="0" w:color="auto"/>
            <w:right w:val="none" w:sz="0" w:space="0" w:color="auto"/>
          </w:divBdr>
          <w:divsChild>
            <w:div w:id="75321184">
              <w:marLeft w:val="0"/>
              <w:marRight w:val="0"/>
              <w:marTop w:val="0"/>
              <w:marBottom w:val="0"/>
              <w:divBdr>
                <w:top w:val="none" w:sz="0" w:space="0" w:color="auto"/>
                <w:left w:val="none" w:sz="0" w:space="0" w:color="auto"/>
                <w:bottom w:val="none" w:sz="0" w:space="0" w:color="auto"/>
                <w:right w:val="none" w:sz="0" w:space="0" w:color="auto"/>
              </w:divBdr>
              <w:divsChild>
                <w:div w:id="1589462141">
                  <w:marLeft w:val="0"/>
                  <w:marRight w:val="0"/>
                  <w:marTop w:val="0"/>
                  <w:marBottom w:val="300"/>
                  <w:divBdr>
                    <w:top w:val="none" w:sz="0" w:space="0" w:color="auto"/>
                    <w:left w:val="none" w:sz="0" w:space="0" w:color="auto"/>
                    <w:bottom w:val="none" w:sz="0" w:space="0" w:color="auto"/>
                    <w:right w:val="none" w:sz="0" w:space="0" w:color="auto"/>
                  </w:divBdr>
                  <w:divsChild>
                    <w:div w:id="7863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35559">
      <w:bodyDiv w:val="1"/>
      <w:marLeft w:val="0"/>
      <w:marRight w:val="0"/>
      <w:marTop w:val="0"/>
      <w:marBottom w:val="0"/>
      <w:divBdr>
        <w:top w:val="none" w:sz="0" w:space="0" w:color="auto"/>
        <w:left w:val="none" w:sz="0" w:space="0" w:color="auto"/>
        <w:bottom w:val="none" w:sz="0" w:space="0" w:color="auto"/>
        <w:right w:val="none" w:sz="0" w:space="0" w:color="auto"/>
      </w:divBdr>
    </w:div>
    <w:div w:id="1770003221">
      <w:bodyDiv w:val="1"/>
      <w:marLeft w:val="0"/>
      <w:marRight w:val="0"/>
      <w:marTop w:val="0"/>
      <w:marBottom w:val="0"/>
      <w:divBdr>
        <w:top w:val="none" w:sz="0" w:space="0" w:color="auto"/>
        <w:left w:val="none" w:sz="0" w:space="0" w:color="auto"/>
        <w:bottom w:val="none" w:sz="0" w:space="0" w:color="auto"/>
        <w:right w:val="none" w:sz="0" w:space="0" w:color="auto"/>
      </w:divBdr>
    </w:div>
    <w:div w:id="1772621712">
      <w:bodyDiv w:val="1"/>
      <w:marLeft w:val="0"/>
      <w:marRight w:val="0"/>
      <w:marTop w:val="0"/>
      <w:marBottom w:val="0"/>
      <w:divBdr>
        <w:top w:val="none" w:sz="0" w:space="0" w:color="auto"/>
        <w:left w:val="none" w:sz="0" w:space="0" w:color="auto"/>
        <w:bottom w:val="none" w:sz="0" w:space="0" w:color="auto"/>
        <w:right w:val="none" w:sz="0" w:space="0" w:color="auto"/>
      </w:divBdr>
    </w:div>
    <w:div w:id="1791782574">
      <w:bodyDiv w:val="1"/>
      <w:marLeft w:val="0"/>
      <w:marRight w:val="0"/>
      <w:marTop w:val="0"/>
      <w:marBottom w:val="0"/>
      <w:divBdr>
        <w:top w:val="none" w:sz="0" w:space="0" w:color="auto"/>
        <w:left w:val="none" w:sz="0" w:space="0" w:color="auto"/>
        <w:bottom w:val="none" w:sz="0" w:space="0" w:color="auto"/>
        <w:right w:val="none" w:sz="0" w:space="0" w:color="auto"/>
      </w:divBdr>
    </w:div>
    <w:div w:id="1803301560">
      <w:bodyDiv w:val="1"/>
      <w:marLeft w:val="0"/>
      <w:marRight w:val="0"/>
      <w:marTop w:val="0"/>
      <w:marBottom w:val="0"/>
      <w:divBdr>
        <w:top w:val="none" w:sz="0" w:space="0" w:color="auto"/>
        <w:left w:val="none" w:sz="0" w:space="0" w:color="auto"/>
        <w:bottom w:val="none" w:sz="0" w:space="0" w:color="auto"/>
        <w:right w:val="none" w:sz="0" w:space="0" w:color="auto"/>
      </w:divBdr>
    </w:div>
    <w:div w:id="1820226029">
      <w:bodyDiv w:val="1"/>
      <w:marLeft w:val="0"/>
      <w:marRight w:val="0"/>
      <w:marTop w:val="0"/>
      <w:marBottom w:val="0"/>
      <w:divBdr>
        <w:top w:val="none" w:sz="0" w:space="0" w:color="auto"/>
        <w:left w:val="none" w:sz="0" w:space="0" w:color="auto"/>
        <w:bottom w:val="none" w:sz="0" w:space="0" w:color="auto"/>
        <w:right w:val="none" w:sz="0" w:space="0" w:color="auto"/>
      </w:divBdr>
    </w:div>
    <w:div w:id="1824155117">
      <w:bodyDiv w:val="1"/>
      <w:marLeft w:val="0"/>
      <w:marRight w:val="0"/>
      <w:marTop w:val="0"/>
      <w:marBottom w:val="0"/>
      <w:divBdr>
        <w:top w:val="none" w:sz="0" w:space="0" w:color="auto"/>
        <w:left w:val="none" w:sz="0" w:space="0" w:color="auto"/>
        <w:bottom w:val="none" w:sz="0" w:space="0" w:color="auto"/>
        <w:right w:val="none" w:sz="0" w:space="0" w:color="auto"/>
      </w:divBdr>
    </w:div>
    <w:div w:id="1852137719">
      <w:bodyDiv w:val="1"/>
      <w:marLeft w:val="0"/>
      <w:marRight w:val="0"/>
      <w:marTop w:val="0"/>
      <w:marBottom w:val="0"/>
      <w:divBdr>
        <w:top w:val="none" w:sz="0" w:space="0" w:color="auto"/>
        <w:left w:val="none" w:sz="0" w:space="0" w:color="auto"/>
        <w:bottom w:val="none" w:sz="0" w:space="0" w:color="auto"/>
        <w:right w:val="none" w:sz="0" w:space="0" w:color="auto"/>
      </w:divBdr>
    </w:div>
    <w:div w:id="1870677011">
      <w:bodyDiv w:val="1"/>
      <w:marLeft w:val="0"/>
      <w:marRight w:val="0"/>
      <w:marTop w:val="0"/>
      <w:marBottom w:val="0"/>
      <w:divBdr>
        <w:top w:val="none" w:sz="0" w:space="0" w:color="auto"/>
        <w:left w:val="none" w:sz="0" w:space="0" w:color="auto"/>
        <w:bottom w:val="none" w:sz="0" w:space="0" w:color="auto"/>
        <w:right w:val="none" w:sz="0" w:space="0" w:color="auto"/>
      </w:divBdr>
    </w:div>
    <w:div w:id="1877236617">
      <w:bodyDiv w:val="1"/>
      <w:marLeft w:val="0"/>
      <w:marRight w:val="0"/>
      <w:marTop w:val="0"/>
      <w:marBottom w:val="0"/>
      <w:divBdr>
        <w:top w:val="none" w:sz="0" w:space="0" w:color="auto"/>
        <w:left w:val="none" w:sz="0" w:space="0" w:color="auto"/>
        <w:bottom w:val="none" w:sz="0" w:space="0" w:color="auto"/>
        <w:right w:val="none" w:sz="0" w:space="0" w:color="auto"/>
      </w:divBdr>
    </w:div>
    <w:div w:id="1879732433">
      <w:bodyDiv w:val="1"/>
      <w:marLeft w:val="0"/>
      <w:marRight w:val="0"/>
      <w:marTop w:val="0"/>
      <w:marBottom w:val="0"/>
      <w:divBdr>
        <w:top w:val="none" w:sz="0" w:space="0" w:color="auto"/>
        <w:left w:val="none" w:sz="0" w:space="0" w:color="auto"/>
        <w:bottom w:val="none" w:sz="0" w:space="0" w:color="auto"/>
        <w:right w:val="none" w:sz="0" w:space="0" w:color="auto"/>
      </w:divBdr>
    </w:div>
    <w:div w:id="1880702920">
      <w:bodyDiv w:val="1"/>
      <w:marLeft w:val="0"/>
      <w:marRight w:val="0"/>
      <w:marTop w:val="0"/>
      <w:marBottom w:val="0"/>
      <w:divBdr>
        <w:top w:val="none" w:sz="0" w:space="0" w:color="auto"/>
        <w:left w:val="none" w:sz="0" w:space="0" w:color="auto"/>
        <w:bottom w:val="none" w:sz="0" w:space="0" w:color="auto"/>
        <w:right w:val="none" w:sz="0" w:space="0" w:color="auto"/>
      </w:divBdr>
    </w:div>
    <w:div w:id="1886136587">
      <w:bodyDiv w:val="1"/>
      <w:marLeft w:val="0"/>
      <w:marRight w:val="0"/>
      <w:marTop w:val="0"/>
      <w:marBottom w:val="0"/>
      <w:divBdr>
        <w:top w:val="none" w:sz="0" w:space="0" w:color="auto"/>
        <w:left w:val="none" w:sz="0" w:space="0" w:color="auto"/>
        <w:bottom w:val="none" w:sz="0" w:space="0" w:color="auto"/>
        <w:right w:val="none" w:sz="0" w:space="0" w:color="auto"/>
      </w:divBdr>
      <w:divsChild>
        <w:div w:id="646669712">
          <w:marLeft w:val="547"/>
          <w:marRight w:val="0"/>
          <w:marTop w:val="0"/>
          <w:marBottom w:val="0"/>
          <w:divBdr>
            <w:top w:val="none" w:sz="0" w:space="0" w:color="auto"/>
            <w:left w:val="none" w:sz="0" w:space="0" w:color="auto"/>
            <w:bottom w:val="none" w:sz="0" w:space="0" w:color="auto"/>
            <w:right w:val="none" w:sz="0" w:space="0" w:color="auto"/>
          </w:divBdr>
        </w:div>
        <w:div w:id="829054688">
          <w:marLeft w:val="547"/>
          <w:marRight w:val="0"/>
          <w:marTop w:val="0"/>
          <w:marBottom w:val="0"/>
          <w:divBdr>
            <w:top w:val="none" w:sz="0" w:space="0" w:color="auto"/>
            <w:left w:val="none" w:sz="0" w:space="0" w:color="auto"/>
            <w:bottom w:val="none" w:sz="0" w:space="0" w:color="auto"/>
            <w:right w:val="none" w:sz="0" w:space="0" w:color="auto"/>
          </w:divBdr>
        </w:div>
        <w:div w:id="1239897844">
          <w:marLeft w:val="547"/>
          <w:marRight w:val="0"/>
          <w:marTop w:val="0"/>
          <w:marBottom w:val="0"/>
          <w:divBdr>
            <w:top w:val="none" w:sz="0" w:space="0" w:color="auto"/>
            <w:left w:val="none" w:sz="0" w:space="0" w:color="auto"/>
            <w:bottom w:val="none" w:sz="0" w:space="0" w:color="auto"/>
            <w:right w:val="none" w:sz="0" w:space="0" w:color="auto"/>
          </w:divBdr>
        </w:div>
      </w:divsChild>
    </w:div>
    <w:div w:id="1904487882">
      <w:bodyDiv w:val="1"/>
      <w:marLeft w:val="0"/>
      <w:marRight w:val="0"/>
      <w:marTop w:val="0"/>
      <w:marBottom w:val="0"/>
      <w:divBdr>
        <w:top w:val="none" w:sz="0" w:space="0" w:color="auto"/>
        <w:left w:val="none" w:sz="0" w:space="0" w:color="auto"/>
        <w:bottom w:val="none" w:sz="0" w:space="0" w:color="auto"/>
        <w:right w:val="none" w:sz="0" w:space="0" w:color="auto"/>
      </w:divBdr>
    </w:div>
    <w:div w:id="1915818021">
      <w:bodyDiv w:val="1"/>
      <w:marLeft w:val="0"/>
      <w:marRight w:val="0"/>
      <w:marTop w:val="0"/>
      <w:marBottom w:val="0"/>
      <w:divBdr>
        <w:top w:val="none" w:sz="0" w:space="0" w:color="auto"/>
        <w:left w:val="none" w:sz="0" w:space="0" w:color="auto"/>
        <w:bottom w:val="none" w:sz="0" w:space="0" w:color="auto"/>
        <w:right w:val="none" w:sz="0" w:space="0" w:color="auto"/>
      </w:divBdr>
    </w:div>
    <w:div w:id="1926262016">
      <w:bodyDiv w:val="1"/>
      <w:marLeft w:val="0"/>
      <w:marRight w:val="0"/>
      <w:marTop w:val="0"/>
      <w:marBottom w:val="0"/>
      <w:divBdr>
        <w:top w:val="none" w:sz="0" w:space="0" w:color="auto"/>
        <w:left w:val="none" w:sz="0" w:space="0" w:color="auto"/>
        <w:bottom w:val="none" w:sz="0" w:space="0" w:color="auto"/>
        <w:right w:val="none" w:sz="0" w:space="0" w:color="auto"/>
      </w:divBdr>
    </w:div>
    <w:div w:id="1956406391">
      <w:bodyDiv w:val="1"/>
      <w:marLeft w:val="0"/>
      <w:marRight w:val="0"/>
      <w:marTop w:val="0"/>
      <w:marBottom w:val="0"/>
      <w:divBdr>
        <w:top w:val="none" w:sz="0" w:space="0" w:color="auto"/>
        <w:left w:val="none" w:sz="0" w:space="0" w:color="auto"/>
        <w:bottom w:val="none" w:sz="0" w:space="0" w:color="auto"/>
        <w:right w:val="none" w:sz="0" w:space="0" w:color="auto"/>
      </w:divBdr>
    </w:div>
    <w:div w:id="2008483306">
      <w:bodyDiv w:val="1"/>
      <w:marLeft w:val="0"/>
      <w:marRight w:val="0"/>
      <w:marTop w:val="0"/>
      <w:marBottom w:val="0"/>
      <w:divBdr>
        <w:top w:val="none" w:sz="0" w:space="0" w:color="auto"/>
        <w:left w:val="none" w:sz="0" w:space="0" w:color="auto"/>
        <w:bottom w:val="none" w:sz="0" w:space="0" w:color="auto"/>
        <w:right w:val="none" w:sz="0" w:space="0" w:color="auto"/>
      </w:divBdr>
    </w:div>
    <w:div w:id="2010207492">
      <w:bodyDiv w:val="1"/>
      <w:marLeft w:val="0"/>
      <w:marRight w:val="0"/>
      <w:marTop w:val="0"/>
      <w:marBottom w:val="0"/>
      <w:divBdr>
        <w:top w:val="none" w:sz="0" w:space="0" w:color="auto"/>
        <w:left w:val="none" w:sz="0" w:space="0" w:color="auto"/>
        <w:bottom w:val="none" w:sz="0" w:space="0" w:color="auto"/>
        <w:right w:val="none" w:sz="0" w:space="0" w:color="auto"/>
      </w:divBdr>
    </w:div>
    <w:div w:id="2011635278">
      <w:bodyDiv w:val="1"/>
      <w:marLeft w:val="0"/>
      <w:marRight w:val="0"/>
      <w:marTop w:val="0"/>
      <w:marBottom w:val="0"/>
      <w:divBdr>
        <w:top w:val="none" w:sz="0" w:space="0" w:color="auto"/>
        <w:left w:val="none" w:sz="0" w:space="0" w:color="auto"/>
        <w:bottom w:val="none" w:sz="0" w:space="0" w:color="auto"/>
        <w:right w:val="none" w:sz="0" w:space="0" w:color="auto"/>
      </w:divBdr>
    </w:div>
    <w:div w:id="2023706041">
      <w:bodyDiv w:val="1"/>
      <w:marLeft w:val="0"/>
      <w:marRight w:val="0"/>
      <w:marTop w:val="0"/>
      <w:marBottom w:val="0"/>
      <w:divBdr>
        <w:top w:val="none" w:sz="0" w:space="0" w:color="auto"/>
        <w:left w:val="none" w:sz="0" w:space="0" w:color="auto"/>
        <w:bottom w:val="none" w:sz="0" w:space="0" w:color="auto"/>
        <w:right w:val="none" w:sz="0" w:space="0" w:color="auto"/>
      </w:divBdr>
      <w:divsChild>
        <w:div w:id="332268327">
          <w:marLeft w:val="0"/>
          <w:marRight w:val="0"/>
          <w:marTop w:val="0"/>
          <w:marBottom w:val="0"/>
          <w:divBdr>
            <w:top w:val="none" w:sz="0" w:space="0" w:color="auto"/>
            <w:left w:val="none" w:sz="0" w:space="0" w:color="auto"/>
            <w:bottom w:val="none" w:sz="0" w:space="0" w:color="auto"/>
            <w:right w:val="none" w:sz="0" w:space="0" w:color="auto"/>
          </w:divBdr>
          <w:divsChild>
            <w:div w:id="8447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35882">
      <w:bodyDiv w:val="1"/>
      <w:marLeft w:val="0"/>
      <w:marRight w:val="0"/>
      <w:marTop w:val="0"/>
      <w:marBottom w:val="0"/>
      <w:divBdr>
        <w:top w:val="none" w:sz="0" w:space="0" w:color="auto"/>
        <w:left w:val="none" w:sz="0" w:space="0" w:color="auto"/>
        <w:bottom w:val="none" w:sz="0" w:space="0" w:color="auto"/>
        <w:right w:val="none" w:sz="0" w:space="0" w:color="auto"/>
      </w:divBdr>
    </w:div>
    <w:div w:id="2026201144">
      <w:bodyDiv w:val="1"/>
      <w:marLeft w:val="0"/>
      <w:marRight w:val="0"/>
      <w:marTop w:val="0"/>
      <w:marBottom w:val="0"/>
      <w:divBdr>
        <w:top w:val="none" w:sz="0" w:space="0" w:color="auto"/>
        <w:left w:val="none" w:sz="0" w:space="0" w:color="auto"/>
        <w:bottom w:val="none" w:sz="0" w:space="0" w:color="auto"/>
        <w:right w:val="none" w:sz="0" w:space="0" w:color="auto"/>
      </w:divBdr>
    </w:div>
    <w:div w:id="2034068946">
      <w:bodyDiv w:val="1"/>
      <w:marLeft w:val="0"/>
      <w:marRight w:val="0"/>
      <w:marTop w:val="0"/>
      <w:marBottom w:val="0"/>
      <w:divBdr>
        <w:top w:val="none" w:sz="0" w:space="0" w:color="auto"/>
        <w:left w:val="none" w:sz="0" w:space="0" w:color="auto"/>
        <w:bottom w:val="none" w:sz="0" w:space="0" w:color="auto"/>
        <w:right w:val="none" w:sz="0" w:space="0" w:color="auto"/>
      </w:divBdr>
    </w:div>
    <w:div w:id="2058624414">
      <w:bodyDiv w:val="1"/>
      <w:marLeft w:val="0"/>
      <w:marRight w:val="0"/>
      <w:marTop w:val="0"/>
      <w:marBottom w:val="0"/>
      <w:divBdr>
        <w:top w:val="none" w:sz="0" w:space="0" w:color="auto"/>
        <w:left w:val="none" w:sz="0" w:space="0" w:color="auto"/>
        <w:bottom w:val="none" w:sz="0" w:space="0" w:color="auto"/>
        <w:right w:val="none" w:sz="0" w:space="0" w:color="auto"/>
      </w:divBdr>
    </w:div>
    <w:div w:id="2059815377">
      <w:bodyDiv w:val="1"/>
      <w:marLeft w:val="0"/>
      <w:marRight w:val="0"/>
      <w:marTop w:val="0"/>
      <w:marBottom w:val="0"/>
      <w:divBdr>
        <w:top w:val="none" w:sz="0" w:space="0" w:color="auto"/>
        <w:left w:val="none" w:sz="0" w:space="0" w:color="auto"/>
        <w:bottom w:val="none" w:sz="0" w:space="0" w:color="auto"/>
        <w:right w:val="none" w:sz="0" w:space="0" w:color="auto"/>
      </w:divBdr>
    </w:div>
    <w:div w:id="2077362707">
      <w:bodyDiv w:val="1"/>
      <w:marLeft w:val="0"/>
      <w:marRight w:val="0"/>
      <w:marTop w:val="0"/>
      <w:marBottom w:val="0"/>
      <w:divBdr>
        <w:top w:val="none" w:sz="0" w:space="0" w:color="auto"/>
        <w:left w:val="none" w:sz="0" w:space="0" w:color="auto"/>
        <w:bottom w:val="none" w:sz="0" w:space="0" w:color="auto"/>
        <w:right w:val="none" w:sz="0" w:space="0" w:color="auto"/>
      </w:divBdr>
    </w:div>
    <w:div w:id="2079277795">
      <w:bodyDiv w:val="1"/>
      <w:marLeft w:val="0"/>
      <w:marRight w:val="0"/>
      <w:marTop w:val="0"/>
      <w:marBottom w:val="0"/>
      <w:divBdr>
        <w:top w:val="none" w:sz="0" w:space="0" w:color="auto"/>
        <w:left w:val="none" w:sz="0" w:space="0" w:color="auto"/>
        <w:bottom w:val="none" w:sz="0" w:space="0" w:color="auto"/>
        <w:right w:val="none" w:sz="0" w:space="0" w:color="auto"/>
      </w:divBdr>
    </w:div>
    <w:div w:id="2101634344">
      <w:bodyDiv w:val="1"/>
      <w:marLeft w:val="0"/>
      <w:marRight w:val="0"/>
      <w:marTop w:val="0"/>
      <w:marBottom w:val="0"/>
      <w:divBdr>
        <w:top w:val="none" w:sz="0" w:space="0" w:color="auto"/>
        <w:left w:val="none" w:sz="0" w:space="0" w:color="auto"/>
        <w:bottom w:val="none" w:sz="0" w:space="0" w:color="auto"/>
        <w:right w:val="none" w:sz="0" w:space="0" w:color="auto"/>
      </w:divBdr>
    </w:div>
    <w:div w:id="2103404601">
      <w:bodyDiv w:val="1"/>
      <w:marLeft w:val="0"/>
      <w:marRight w:val="0"/>
      <w:marTop w:val="0"/>
      <w:marBottom w:val="0"/>
      <w:divBdr>
        <w:top w:val="none" w:sz="0" w:space="0" w:color="auto"/>
        <w:left w:val="none" w:sz="0" w:space="0" w:color="auto"/>
        <w:bottom w:val="none" w:sz="0" w:space="0" w:color="auto"/>
        <w:right w:val="none" w:sz="0" w:space="0" w:color="auto"/>
      </w:divBdr>
    </w:div>
    <w:div w:id="2117869220">
      <w:bodyDiv w:val="1"/>
      <w:marLeft w:val="0"/>
      <w:marRight w:val="0"/>
      <w:marTop w:val="0"/>
      <w:marBottom w:val="0"/>
      <w:divBdr>
        <w:top w:val="none" w:sz="0" w:space="0" w:color="auto"/>
        <w:left w:val="none" w:sz="0" w:space="0" w:color="auto"/>
        <w:bottom w:val="none" w:sz="0" w:space="0" w:color="auto"/>
        <w:right w:val="none" w:sz="0" w:space="0" w:color="auto"/>
      </w:divBdr>
    </w:div>
    <w:div w:id="2129160174">
      <w:bodyDiv w:val="1"/>
      <w:marLeft w:val="0"/>
      <w:marRight w:val="0"/>
      <w:marTop w:val="0"/>
      <w:marBottom w:val="0"/>
      <w:divBdr>
        <w:top w:val="none" w:sz="0" w:space="0" w:color="auto"/>
        <w:left w:val="none" w:sz="0" w:space="0" w:color="auto"/>
        <w:bottom w:val="none" w:sz="0" w:space="0" w:color="auto"/>
        <w:right w:val="none" w:sz="0" w:space="0" w:color="auto"/>
      </w:divBdr>
    </w:div>
    <w:div w:id="2129617771">
      <w:bodyDiv w:val="1"/>
      <w:marLeft w:val="0"/>
      <w:marRight w:val="0"/>
      <w:marTop w:val="0"/>
      <w:marBottom w:val="0"/>
      <w:divBdr>
        <w:top w:val="none" w:sz="0" w:space="0" w:color="auto"/>
        <w:left w:val="none" w:sz="0" w:space="0" w:color="auto"/>
        <w:bottom w:val="none" w:sz="0" w:space="0" w:color="auto"/>
        <w:right w:val="none" w:sz="0" w:space="0" w:color="auto"/>
      </w:divBdr>
    </w:div>
    <w:div w:id="2141192321">
      <w:bodyDiv w:val="1"/>
      <w:marLeft w:val="0"/>
      <w:marRight w:val="0"/>
      <w:marTop w:val="0"/>
      <w:marBottom w:val="0"/>
      <w:divBdr>
        <w:top w:val="none" w:sz="0" w:space="0" w:color="auto"/>
        <w:left w:val="none" w:sz="0" w:space="0" w:color="auto"/>
        <w:bottom w:val="none" w:sz="0" w:space="0" w:color="auto"/>
        <w:right w:val="none" w:sz="0" w:space="0" w:color="auto"/>
      </w:divBdr>
    </w:div>
    <w:div w:id="214584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3.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hyperlink" Target="mailto:psi@nationalarchives.gsi.gov.uk" TargetMode="External"/><Relationship Id="rId7" Type="http://schemas.openxmlformats.org/officeDocument/2006/relationships/styles" Target="styles.xml"/><Relationship Id="rId12" Type="http://schemas.openxmlformats.org/officeDocument/2006/relationships/hyperlink" Target="mailto:socialcaredata@ofsted.gov.uk" TargetMode="External"/><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hyperlink" Target="http://www.nationalarchives.gov.uk/doc/open-government-licence/"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s://www.gov.uk/government/collections/childrens-social-care-statistic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1.xml"/><Relationship Id="rId32" Type="http://schemas.openxmlformats.org/officeDocument/2006/relationships/hyperlink" Target="http://www.gov.uk/government/publications/absence-statistics-guide"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5.png"/><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7.emf"/><Relationship Id="rId31" Type="http://schemas.openxmlformats.org/officeDocument/2006/relationships/hyperlink" Target="http://www.gov.uk/government/statistics/fostering-in-england-1-april-2016-to-31-march-201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hyperlink" Target="https://www.gov.uk/government/collections/childrens-social-care-statistics"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nomisweb.co.uk/census/2011/DC2101EW/view/2092957699?rows=c_age&amp;cols=c_ethpuk11" TargetMode="External"/><Relationship Id="rId13" Type="http://schemas.openxmlformats.org/officeDocument/2006/relationships/hyperlink" Target="https://gov.uk\\government\\statistics\\children-looked-after-in-england-including-adoption-2016-to-2017" TargetMode="External"/><Relationship Id="rId18" Type="http://schemas.openxmlformats.org/officeDocument/2006/relationships/hyperlink" Target="https://publications.parliament.uk/pa/cm201719/cmselect/cmeduc/340/34006.htm" TargetMode="External"/><Relationship Id="rId3" Type="http://schemas.openxmlformats.org/officeDocument/2006/relationships/hyperlink" Target="https://gov.uk/government/statistics/children-looked-after-in-england-including-adoption-2016-to-2017" TargetMode="External"/><Relationship Id="rId7" Type="http://schemas.openxmlformats.org/officeDocument/2006/relationships/hyperlink" Target="https://publications.parliament.uk/pa/cm201719/cmselect/cmeduc/340/34002.htm" TargetMode="External"/><Relationship Id="rId12" Type="http://schemas.openxmlformats.org/officeDocument/2006/relationships/hyperlink" Target="https://ons.gov.uk/peoplepopulationandcommunity/culturalidentity/ethnicity/adhocs/005378ct05702011censussexbyagebyimd2004byethnicgroup" TargetMode="External"/><Relationship Id="rId17" Type="http://schemas.openxmlformats.org/officeDocument/2006/relationships/hyperlink" Target="file:///\\FP5HQ\RestrictedSocialCare$\SFRs%20and%20published%20MI\Fostering\2017\QA\www.gov.uk\government\statistics\pupil-absence-in-schools-in-england-autumn-2016-and-spring-2017" TargetMode="External"/><Relationship Id="rId2" Type="http://schemas.openxmlformats.org/officeDocument/2006/relationships/hyperlink" Target="http://www.ons.gov.uk/peoplepopulationandcommunity/populationandmigration/populationestimates/datasets/2011censuspopulationestimatesbysingleyearofageandsexforlocalauthoritiesintheunitedkingdom" TargetMode="External"/><Relationship Id="rId16" Type="http://schemas.openxmlformats.org/officeDocument/2006/relationships/hyperlink" Target="file:///\\FP5HQ\RestrictedSocialCare$\SFRs%20and%20published%20MI\Fostering\2017\QA\www.gov.uk\government\publications\foster-care-in-england" TargetMode="External"/><Relationship Id="rId1" Type="http://schemas.openxmlformats.org/officeDocument/2006/relationships/hyperlink" Target="file:///\\FP5HQ\RestrictedSocialCare$\SFRs%20and%20published%20MI\Fostering\2017\QA\www.gov.uk\government\statistics\children-looked-after-in-england-including-adoption-2016-to-2017" TargetMode="External"/><Relationship Id="rId6" Type="http://schemas.openxmlformats.org/officeDocument/2006/relationships/hyperlink" Target="http://www.gov.uk/government/statistics/children-looked-after-in-england-including-adoption-2016-to-2017" TargetMode="External"/><Relationship Id="rId11" Type="http://schemas.openxmlformats.org/officeDocument/2006/relationships/hyperlink" Target="http://www.gov.uk\\government\\statistics\\children-looked-after-in-england-including-adoption-2016-to-2017" TargetMode="External"/><Relationship Id="rId5" Type="http://schemas.openxmlformats.org/officeDocument/2006/relationships/hyperlink" Target="http://www.gov.uk/government/consultations/national-fostering-stocktake-call-for-evidence" TargetMode="External"/><Relationship Id="rId15" Type="http://schemas.openxmlformats.org/officeDocument/2006/relationships/hyperlink" Target="https://publications.parliament.uk/pa/cm201719/cmselect/cmeduc/340/34006.htm" TargetMode="External"/><Relationship Id="rId10" Type="http://schemas.openxmlformats.org/officeDocument/2006/relationships/hyperlink" Target="http://www.gov.uk\\government\\statistics\\children-looked-after-in-england-including-adoption-2016-to-2017" TargetMode="External"/><Relationship Id="rId19" Type="http://schemas.openxmlformats.org/officeDocument/2006/relationships/hyperlink" Target="http://www.gov.uk\\government\\statistics\\children-looked-after-in-england-including-adoption-2016-to-2017" TargetMode="External"/><Relationship Id="rId4" Type="http://schemas.openxmlformats.org/officeDocument/2006/relationships/hyperlink" Target="http://www.publications.parliament.uk/pa/cm201719/cmselect/cmeduc/340/34002.htm" TargetMode="External"/><Relationship Id="rId9" Type="http://schemas.openxmlformats.org/officeDocument/2006/relationships/hyperlink" Target="https://publications.parliament.uk/pa/cm201719/cmselect/cmeduc/340/34002.htm" TargetMode="External"/><Relationship Id="rId14" Type="http://schemas.openxmlformats.org/officeDocument/2006/relationships/hyperlink" Target="file:///\\FP5HQ\RestrictedSocialCare$\SFRs%20and%20published%20MI\Fostering\2017\QA\www.gov.uk\government\consultations\national-fostering-stocktake-call-for-eviden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charts/_rels/chart1.xml.rels><?xml version="1.0" encoding="UTF-8" standalone="yes"?>
<Relationships xmlns="http://schemas.openxmlformats.org/package/2006/relationships"><Relationship Id="rId3" Type="http://schemas.openxmlformats.org/officeDocument/2006/relationships/oleObject" Target="file:///\\FP5HQ\RestrictedSocialCare$\SFRs%20and%20published%20MI\Fostering\2017\CYP%20trend%20and%20workings%20(with%20chart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'2-CYP endings and absence chart'!$J$6</c:f>
              <c:strCache>
                <c:ptCount val="1"/>
                <c:pt idx="0">
                  <c:v>CYP with no unplanned endings</c:v>
                </c:pt>
              </c:strCache>
            </c:strRef>
          </c:tx>
          <c:spPr>
            <a:solidFill>
              <a:srgbClr val="8AB23E"/>
            </a:solidFill>
            <a:ln w="9525" cap="flat" cmpd="sng" algn="ctr">
              <a:solidFill>
                <a:srgbClr val="8AB23E"/>
              </a:solidFill>
              <a:round/>
            </a:ln>
            <a:effectLst/>
          </c:spPr>
          <c:invertIfNegative val="0"/>
          <c:dLbls>
            <c:dLbl>
              <c:idx val="0"/>
              <c:layout>
                <c:manualLayout>
                  <c:x val="0"/>
                  <c:y val="0.190692395005675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Tahoma" panose="020B0604030504040204" pitchFamily="34" charset="0"/>
                    <a:ea typeface="Tahoma" panose="020B0604030504040204" pitchFamily="34" charset="0"/>
                    <a:cs typeface="Tahoma" panose="020B060403050404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'2-CYP endings and absence chart'!$K$5</c:f>
              <c:strCache>
                <c:ptCount val="1"/>
                <c:pt idx="0">
                  <c:v>Persistent absence</c:v>
                </c:pt>
              </c:strCache>
            </c:strRef>
          </c:cat>
          <c:val>
            <c:numRef>
              <c:f>'2-CYP endings and absence chart'!$K$6</c:f>
              <c:numCache>
                <c:formatCode>0%</c:formatCode>
                <c:ptCount val="1"/>
                <c:pt idx="0">
                  <c:v>5.3931614712544498E-2</c:v>
                </c:pt>
              </c:numCache>
            </c:numRef>
          </c:val>
        </c:ser>
        <c:ser>
          <c:idx val="1"/>
          <c:order val="1"/>
          <c:tx>
            <c:strRef>
              <c:f>'2-CYP endings and absence chart'!$J$7</c:f>
              <c:strCache>
                <c:ptCount val="1"/>
                <c:pt idx="0">
                  <c:v>CYP with at least one unplanned ending</c:v>
                </c:pt>
              </c:strCache>
            </c:strRef>
          </c:tx>
          <c:spPr>
            <a:solidFill>
              <a:srgbClr val="F9B44D"/>
            </a:solidFill>
            <a:ln w="9525" cap="flat" cmpd="sng" algn="ctr">
              <a:solidFill>
                <a:srgbClr val="F9B44D"/>
              </a:solidFill>
              <a:round/>
            </a:ln>
            <a:effectLst/>
          </c:spPr>
          <c:invertIfNegative val="0"/>
          <c:dLbls>
            <c:dLbl>
              <c:idx val="0"/>
              <c:layout>
                <c:manualLayout>
                  <c:x val="-2.8797696184305254E-3"/>
                  <c:y val="0.41770715096481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Tahoma" panose="020B0604030504040204" pitchFamily="34" charset="0"/>
                    <a:ea typeface="Tahoma" panose="020B0604030504040204" pitchFamily="34" charset="0"/>
                    <a:cs typeface="Tahoma" panose="020B060403050404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'2-CYP endings and absence chart'!$K$5</c:f>
              <c:strCache>
                <c:ptCount val="1"/>
                <c:pt idx="0">
                  <c:v>Persistent absence</c:v>
                </c:pt>
              </c:strCache>
            </c:strRef>
          </c:cat>
          <c:val>
            <c:numRef>
              <c:f>'2-CYP endings and absence chart'!$K$7</c:f>
              <c:numCache>
                <c:formatCode>0%</c:formatCode>
                <c:ptCount val="1"/>
                <c:pt idx="0">
                  <c:v>0.13082039911308205</c:v>
                </c:pt>
              </c:numCache>
            </c:numRef>
          </c:val>
        </c:ser>
        <c:dLbls>
          <c:dLblPos val="outEnd"/>
          <c:showLegendKey val="0"/>
          <c:showVal val="1"/>
          <c:showCatName val="0"/>
          <c:showSerName val="0"/>
          <c:showPercent val="0"/>
          <c:showBubbleSize val="0"/>
        </c:dLbls>
        <c:gapWidth val="100"/>
        <c:overlap val="-24"/>
        <c:axId val="126146344"/>
        <c:axId val="126148304"/>
      </c:barChart>
      <c:dateAx>
        <c:axId val="126146344"/>
        <c:scaling>
          <c:orientation val="minMax"/>
        </c:scaling>
        <c:delete val="0"/>
        <c:axPos val="b"/>
        <c:numFmt formatCode="General" sourceLinked="1"/>
        <c:majorTickMark val="none"/>
        <c:minorTickMark val="none"/>
        <c:tickLblPos val="none"/>
        <c:spPr>
          <a:noFill/>
          <a:ln w="9525" cap="flat" cmpd="sng" algn="ctr">
            <a:solidFill>
              <a:srgbClr val="808083"/>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US"/>
          </a:p>
        </c:txPr>
        <c:crossAx val="126148304"/>
        <c:crosses val="autoZero"/>
        <c:auto val="0"/>
        <c:lblOffset val="100"/>
        <c:baseTimeUnit val="days"/>
      </c:dateAx>
      <c:valAx>
        <c:axId val="126148304"/>
        <c:scaling>
          <c:orientation val="minMax"/>
        </c:scaling>
        <c:delete val="0"/>
        <c:axPos val="l"/>
        <c:numFmt formatCode="0%" sourceLinked="1"/>
        <c:majorTickMark val="none"/>
        <c:minorTickMark val="none"/>
        <c:tickLblPos val="nextTo"/>
        <c:spPr>
          <a:noFill/>
          <a:ln>
            <a:solidFill>
              <a:srgbClr val="808083"/>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US"/>
          </a:p>
        </c:txPr>
        <c:crossAx val="1261463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A3CE4FBE6E640B97C2EF975045949" ma:contentTypeVersion="1" ma:contentTypeDescription="Create a new document." ma:contentTypeScope="" ma:versionID="28b7fd17e8afe378b6fa854b24d5e079">
  <xsd:schema xmlns:xsd="http://www.w3.org/2001/XMLSchema" xmlns:p="http://schemas.microsoft.com/office/2006/metadata/properties" xmlns:ns2="82e30443-e738-45d7-be93-4e56ed5da66c" targetNamespace="http://schemas.microsoft.com/office/2006/metadata/properties" ma:root="true" ma:fieldsID="54c4cf72048c4f0fe38a457cb648c94b" ns2:_="">
    <xsd:import namespace="82e30443-e738-45d7-be93-4e56ed5da66c"/>
    <xsd:element name="properties">
      <xsd:complexType>
        <xsd:sequence>
          <xsd:element name="documentManagement">
            <xsd:complexType>
              <xsd:all>
                <xsd:element ref="ns2:Section" minOccurs="0"/>
              </xsd:all>
            </xsd:complexType>
          </xsd:element>
        </xsd:sequence>
      </xsd:complexType>
    </xsd:element>
  </xsd:schema>
  <xsd:schema xmlns:xsd="http://www.w3.org/2001/XMLSchema" xmlns:dms="http://schemas.microsoft.com/office/2006/documentManagement/types" targetNamespace="82e30443-e738-45d7-be93-4e56ed5da66c" elementFormDefault="qualified">
    <xsd:import namespace="http://schemas.microsoft.com/office/2006/documentManagement/types"/>
    <xsd:element name="Section" ma:index="8" nillable="true" ma:displayName="Section" ma:default="PLEASE SELECT" ma:format="Dropdown" ma:internalName="Section">
      <xsd:simpleType>
        <xsd:restriction base="dms:Choice">
          <xsd:enumeration value="PLEASE SELECT"/>
          <xsd:enumeration value="Desk Instructions and Checklists"/>
          <xsd:enumeration value="Project Templates"/>
          <xsd:enumeration value="Document Control Frontpage"/>
          <xsd:enumeration value="Sign- Off templates"/>
          <xsd:enumeration value="Customer Questionnaires"/>
          <xsd:enumeration value="Error Report"/>
          <xsd:enumeration value="StatisticsAuthority Code of Practice"/>
          <xsd:enumeration value="European Statistical system of Quality"/>
          <xsd:enumeration value="FOI,PQ,Lilac Cover QA Checklist"/>
          <xsd:enumeration value="Annual Report"/>
          <xsd:enumeration value="Briefing Note"/>
          <xsd:enumeration value="Service Level Agreement"/>
          <xsd:enumeration value="Data Sharing request form"/>
          <xsd:enumeration value="Terms of Reference"/>
          <xsd:enumeration value="Defect Log"/>
          <xsd:enumeration value="Official statistics"/>
          <xsd:enumeration value="Engaging with users"/>
          <xsd:enumeration value="Configuration manage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ection xmlns="82e30443-e738-45d7-be93-4e56ed5da66c">Official statistics</Sec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52C01-9954-4C30-B23C-9CBCEC116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30443-e738-45d7-be93-4e56ed5da6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530257B-9BFE-4DE9-8564-BC6E3EDA0F12}">
  <ds:schemaRefs>
    <ds:schemaRef ds:uri="http://schemas.microsoft.com/sharepoint/v3/contenttype/forms"/>
  </ds:schemaRefs>
</ds:datastoreItem>
</file>

<file path=customXml/itemProps3.xml><?xml version="1.0" encoding="utf-8"?>
<ds:datastoreItem xmlns:ds="http://schemas.openxmlformats.org/officeDocument/2006/customXml" ds:itemID="{09AD6E5F-F098-4143-8D80-1590E9B2014B}">
  <ds:schemaRefs>
    <ds:schemaRef ds:uri="http://schemas.microsoft.com/office/2006/metadata/longProperties"/>
  </ds:schemaRefs>
</ds:datastoreItem>
</file>

<file path=customXml/itemProps4.xml><?xml version="1.0" encoding="utf-8"?>
<ds:datastoreItem xmlns:ds="http://schemas.openxmlformats.org/officeDocument/2006/customXml" ds:itemID="{449D7C02-BB8B-4623-9F97-351754495D4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2e30443-e738-45d7-be93-4e56ed5da66c"/>
    <ds:schemaRef ds:uri="http://www.w3.org/XML/1998/namespace"/>
    <ds:schemaRef ds:uri="http://purl.org/dc/dcmitype/"/>
  </ds:schemaRefs>
</ds:datastoreItem>
</file>

<file path=customXml/itemProps5.xml><?xml version="1.0" encoding="utf-8"?>
<ds:datastoreItem xmlns:ds="http://schemas.openxmlformats.org/officeDocument/2006/customXml" ds:itemID="{E8A14F35-8F33-469A-B2F7-667ABA6D7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7450</Words>
  <Characters>42112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Official statistics - SFR release template</vt:lpstr>
    </vt:vector>
  </TitlesOfParts>
  <Company>Ofsted</Company>
  <LinksUpToDate>false</LinksUpToDate>
  <CharactersWithSpaces>49464</CharactersWithSpaces>
  <SharedDoc>false</SharedDoc>
  <HLinks>
    <vt:vector size="456" baseType="variant">
      <vt:variant>
        <vt:i4>3670022</vt:i4>
      </vt:variant>
      <vt:variant>
        <vt:i4>384</vt:i4>
      </vt:variant>
      <vt:variant>
        <vt:i4>0</vt:i4>
      </vt:variant>
      <vt:variant>
        <vt:i4>5</vt:i4>
      </vt:variant>
      <vt:variant>
        <vt:lpwstr>mailto:psi@nationalarchives.gsi.gov.uk</vt:lpwstr>
      </vt:variant>
      <vt:variant>
        <vt:lpwstr/>
      </vt:variant>
      <vt:variant>
        <vt:i4>6553714</vt:i4>
      </vt:variant>
      <vt:variant>
        <vt:i4>381</vt:i4>
      </vt:variant>
      <vt:variant>
        <vt:i4>0</vt:i4>
      </vt:variant>
      <vt:variant>
        <vt:i4>5</vt:i4>
      </vt:variant>
      <vt:variant>
        <vt:lpwstr>http://www.nationalarchives.gov.uk/doc/open-government-licence/</vt:lpwstr>
      </vt:variant>
      <vt:variant>
        <vt:lpwstr/>
      </vt:variant>
      <vt:variant>
        <vt:i4>4194354</vt:i4>
      </vt:variant>
      <vt:variant>
        <vt:i4>378</vt:i4>
      </vt:variant>
      <vt:variant>
        <vt:i4>0</vt:i4>
      </vt:variant>
      <vt:variant>
        <vt:i4>5</vt:i4>
      </vt:variant>
      <vt:variant>
        <vt:lpwstr>mailto:socialcaredata@ofsted.gov.uk</vt:lpwstr>
      </vt:variant>
      <vt:variant>
        <vt:lpwstr/>
      </vt:variant>
      <vt:variant>
        <vt:i4>4915244</vt:i4>
      </vt:variant>
      <vt:variant>
        <vt:i4>375</vt:i4>
      </vt:variant>
      <vt:variant>
        <vt:i4>0</vt:i4>
      </vt:variant>
      <vt:variant>
        <vt:i4>5</vt:i4>
      </vt:variant>
      <vt:variant>
        <vt:lpwstr>http://www.ncb.org.uk/media/1154341/staying_put.pdf</vt:lpwstr>
      </vt:variant>
      <vt:variant>
        <vt:lpwstr/>
      </vt:variant>
      <vt:variant>
        <vt:i4>3407909</vt:i4>
      </vt:variant>
      <vt:variant>
        <vt:i4>372</vt:i4>
      </vt:variant>
      <vt:variant>
        <vt:i4>0</vt:i4>
      </vt:variant>
      <vt:variant>
        <vt:i4>5</vt:i4>
      </vt:variant>
      <vt:variant>
        <vt:lpwstr>https://www.fostering.net/all-about-fostering/providers/staying-put-update</vt:lpwstr>
      </vt:variant>
      <vt:variant>
        <vt:lpwstr>.VknTO9LhCUk</vt:lpwstr>
      </vt:variant>
      <vt:variant>
        <vt:i4>6357046</vt:i4>
      </vt:variant>
      <vt:variant>
        <vt:i4>369</vt:i4>
      </vt:variant>
      <vt:variant>
        <vt:i4>0</vt:i4>
      </vt:variant>
      <vt:variant>
        <vt:i4>5</vt:i4>
      </vt:variant>
      <vt:variant>
        <vt:lpwstr>https://www.gov.uk/government/publications/2010-to-2015-government-policy-young-people/2010-to-2015-government-policy-young-people</vt:lpwstr>
      </vt:variant>
      <vt:variant>
        <vt:lpwstr>appendix-3-raising-the-participation-age</vt:lpwstr>
      </vt:variant>
      <vt:variant>
        <vt:i4>7733346</vt:i4>
      </vt:variant>
      <vt:variant>
        <vt:i4>366</vt:i4>
      </vt:variant>
      <vt:variant>
        <vt:i4>0</vt:i4>
      </vt:variant>
      <vt:variant>
        <vt:i4>5</vt:i4>
      </vt:variant>
      <vt:variant>
        <vt:lpwstr>https://www.gov.uk/government/publications/absence-statistics-guide</vt:lpwstr>
      </vt:variant>
      <vt:variant>
        <vt:lpwstr/>
      </vt:variant>
      <vt:variant>
        <vt:i4>7274544</vt:i4>
      </vt:variant>
      <vt:variant>
        <vt:i4>363</vt:i4>
      </vt:variant>
      <vt:variant>
        <vt:i4>0</vt:i4>
      </vt:variant>
      <vt:variant>
        <vt:i4>5</vt:i4>
      </vt:variant>
      <vt:variant>
        <vt:lpwstr>https://www.gov.uk/government/collections/childrens-social-care-statistics</vt:lpwstr>
      </vt:variant>
      <vt:variant>
        <vt:lpwstr/>
      </vt:variant>
      <vt:variant>
        <vt:i4>7274544</vt:i4>
      </vt:variant>
      <vt:variant>
        <vt:i4>360</vt:i4>
      </vt:variant>
      <vt:variant>
        <vt:i4>0</vt:i4>
      </vt:variant>
      <vt:variant>
        <vt:i4>5</vt:i4>
      </vt:variant>
      <vt:variant>
        <vt:lpwstr>https://www.gov.uk/government/collections/childrens-social-care-statistics</vt:lpwstr>
      </vt:variant>
      <vt:variant>
        <vt:lpwstr/>
      </vt:variant>
      <vt:variant>
        <vt:i4>1310782</vt:i4>
      </vt:variant>
      <vt:variant>
        <vt:i4>353</vt:i4>
      </vt:variant>
      <vt:variant>
        <vt:i4>0</vt:i4>
      </vt:variant>
      <vt:variant>
        <vt:i4>5</vt:i4>
      </vt:variant>
      <vt:variant>
        <vt:lpwstr/>
      </vt:variant>
      <vt:variant>
        <vt:lpwstr>_Toc436643855</vt:lpwstr>
      </vt:variant>
      <vt:variant>
        <vt:i4>1966133</vt:i4>
      </vt:variant>
      <vt:variant>
        <vt:i4>344</vt:i4>
      </vt:variant>
      <vt:variant>
        <vt:i4>0</vt:i4>
      </vt:variant>
      <vt:variant>
        <vt:i4>5</vt:i4>
      </vt:variant>
      <vt:variant>
        <vt:lpwstr/>
      </vt:variant>
      <vt:variant>
        <vt:lpwstr>_Toc437260089</vt:lpwstr>
      </vt:variant>
      <vt:variant>
        <vt:i4>1966133</vt:i4>
      </vt:variant>
      <vt:variant>
        <vt:i4>338</vt:i4>
      </vt:variant>
      <vt:variant>
        <vt:i4>0</vt:i4>
      </vt:variant>
      <vt:variant>
        <vt:i4>5</vt:i4>
      </vt:variant>
      <vt:variant>
        <vt:lpwstr/>
      </vt:variant>
      <vt:variant>
        <vt:lpwstr>_Toc437260088</vt:lpwstr>
      </vt:variant>
      <vt:variant>
        <vt:i4>1966133</vt:i4>
      </vt:variant>
      <vt:variant>
        <vt:i4>332</vt:i4>
      </vt:variant>
      <vt:variant>
        <vt:i4>0</vt:i4>
      </vt:variant>
      <vt:variant>
        <vt:i4>5</vt:i4>
      </vt:variant>
      <vt:variant>
        <vt:lpwstr/>
      </vt:variant>
      <vt:variant>
        <vt:lpwstr>_Toc437260087</vt:lpwstr>
      </vt:variant>
      <vt:variant>
        <vt:i4>1966133</vt:i4>
      </vt:variant>
      <vt:variant>
        <vt:i4>326</vt:i4>
      </vt:variant>
      <vt:variant>
        <vt:i4>0</vt:i4>
      </vt:variant>
      <vt:variant>
        <vt:i4>5</vt:i4>
      </vt:variant>
      <vt:variant>
        <vt:lpwstr/>
      </vt:variant>
      <vt:variant>
        <vt:lpwstr>_Toc437260086</vt:lpwstr>
      </vt:variant>
      <vt:variant>
        <vt:i4>1966133</vt:i4>
      </vt:variant>
      <vt:variant>
        <vt:i4>320</vt:i4>
      </vt:variant>
      <vt:variant>
        <vt:i4>0</vt:i4>
      </vt:variant>
      <vt:variant>
        <vt:i4>5</vt:i4>
      </vt:variant>
      <vt:variant>
        <vt:lpwstr/>
      </vt:variant>
      <vt:variant>
        <vt:lpwstr>_Toc437260085</vt:lpwstr>
      </vt:variant>
      <vt:variant>
        <vt:i4>1966133</vt:i4>
      </vt:variant>
      <vt:variant>
        <vt:i4>314</vt:i4>
      </vt:variant>
      <vt:variant>
        <vt:i4>0</vt:i4>
      </vt:variant>
      <vt:variant>
        <vt:i4>5</vt:i4>
      </vt:variant>
      <vt:variant>
        <vt:lpwstr/>
      </vt:variant>
      <vt:variant>
        <vt:lpwstr>_Toc437260084</vt:lpwstr>
      </vt:variant>
      <vt:variant>
        <vt:i4>1966133</vt:i4>
      </vt:variant>
      <vt:variant>
        <vt:i4>308</vt:i4>
      </vt:variant>
      <vt:variant>
        <vt:i4>0</vt:i4>
      </vt:variant>
      <vt:variant>
        <vt:i4>5</vt:i4>
      </vt:variant>
      <vt:variant>
        <vt:lpwstr/>
      </vt:variant>
      <vt:variant>
        <vt:lpwstr>_Toc437260083</vt:lpwstr>
      </vt:variant>
      <vt:variant>
        <vt:i4>1966133</vt:i4>
      </vt:variant>
      <vt:variant>
        <vt:i4>302</vt:i4>
      </vt:variant>
      <vt:variant>
        <vt:i4>0</vt:i4>
      </vt:variant>
      <vt:variant>
        <vt:i4>5</vt:i4>
      </vt:variant>
      <vt:variant>
        <vt:lpwstr/>
      </vt:variant>
      <vt:variant>
        <vt:lpwstr>_Toc437260082</vt:lpwstr>
      </vt:variant>
      <vt:variant>
        <vt:i4>1966133</vt:i4>
      </vt:variant>
      <vt:variant>
        <vt:i4>296</vt:i4>
      </vt:variant>
      <vt:variant>
        <vt:i4>0</vt:i4>
      </vt:variant>
      <vt:variant>
        <vt:i4>5</vt:i4>
      </vt:variant>
      <vt:variant>
        <vt:lpwstr/>
      </vt:variant>
      <vt:variant>
        <vt:lpwstr>_Toc437260081</vt:lpwstr>
      </vt:variant>
      <vt:variant>
        <vt:i4>1966133</vt:i4>
      </vt:variant>
      <vt:variant>
        <vt:i4>290</vt:i4>
      </vt:variant>
      <vt:variant>
        <vt:i4>0</vt:i4>
      </vt:variant>
      <vt:variant>
        <vt:i4>5</vt:i4>
      </vt:variant>
      <vt:variant>
        <vt:lpwstr/>
      </vt:variant>
      <vt:variant>
        <vt:lpwstr>_Toc437260080</vt:lpwstr>
      </vt:variant>
      <vt:variant>
        <vt:i4>1114165</vt:i4>
      </vt:variant>
      <vt:variant>
        <vt:i4>284</vt:i4>
      </vt:variant>
      <vt:variant>
        <vt:i4>0</vt:i4>
      </vt:variant>
      <vt:variant>
        <vt:i4>5</vt:i4>
      </vt:variant>
      <vt:variant>
        <vt:lpwstr/>
      </vt:variant>
      <vt:variant>
        <vt:lpwstr>_Toc437260079</vt:lpwstr>
      </vt:variant>
      <vt:variant>
        <vt:i4>1114165</vt:i4>
      </vt:variant>
      <vt:variant>
        <vt:i4>278</vt:i4>
      </vt:variant>
      <vt:variant>
        <vt:i4>0</vt:i4>
      </vt:variant>
      <vt:variant>
        <vt:i4>5</vt:i4>
      </vt:variant>
      <vt:variant>
        <vt:lpwstr/>
      </vt:variant>
      <vt:variant>
        <vt:lpwstr>_Toc437260078</vt:lpwstr>
      </vt:variant>
      <vt:variant>
        <vt:i4>1114165</vt:i4>
      </vt:variant>
      <vt:variant>
        <vt:i4>272</vt:i4>
      </vt:variant>
      <vt:variant>
        <vt:i4>0</vt:i4>
      </vt:variant>
      <vt:variant>
        <vt:i4>5</vt:i4>
      </vt:variant>
      <vt:variant>
        <vt:lpwstr/>
      </vt:variant>
      <vt:variant>
        <vt:lpwstr>_Toc437260077</vt:lpwstr>
      </vt:variant>
      <vt:variant>
        <vt:i4>1114165</vt:i4>
      </vt:variant>
      <vt:variant>
        <vt:i4>266</vt:i4>
      </vt:variant>
      <vt:variant>
        <vt:i4>0</vt:i4>
      </vt:variant>
      <vt:variant>
        <vt:i4>5</vt:i4>
      </vt:variant>
      <vt:variant>
        <vt:lpwstr/>
      </vt:variant>
      <vt:variant>
        <vt:lpwstr>_Toc437260076</vt:lpwstr>
      </vt:variant>
      <vt:variant>
        <vt:i4>1114165</vt:i4>
      </vt:variant>
      <vt:variant>
        <vt:i4>260</vt:i4>
      </vt:variant>
      <vt:variant>
        <vt:i4>0</vt:i4>
      </vt:variant>
      <vt:variant>
        <vt:i4>5</vt:i4>
      </vt:variant>
      <vt:variant>
        <vt:lpwstr/>
      </vt:variant>
      <vt:variant>
        <vt:lpwstr>_Toc437260075</vt:lpwstr>
      </vt:variant>
      <vt:variant>
        <vt:i4>1114165</vt:i4>
      </vt:variant>
      <vt:variant>
        <vt:i4>254</vt:i4>
      </vt:variant>
      <vt:variant>
        <vt:i4>0</vt:i4>
      </vt:variant>
      <vt:variant>
        <vt:i4>5</vt:i4>
      </vt:variant>
      <vt:variant>
        <vt:lpwstr/>
      </vt:variant>
      <vt:variant>
        <vt:lpwstr>_Toc437260074</vt:lpwstr>
      </vt:variant>
      <vt:variant>
        <vt:i4>1114165</vt:i4>
      </vt:variant>
      <vt:variant>
        <vt:i4>248</vt:i4>
      </vt:variant>
      <vt:variant>
        <vt:i4>0</vt:i4>
      </vt:variant>
      <vt:variant>
        <vt:i4>5</vt:i4>
      </vt:variant>
      <vt:variant>
        <vt:lpwstr/>
      </vt:variant>
      <vt:variant>
        <vt:lpwstr>_Toc437260073</vt:lpwstr>
      </vt:variant>
      <vt:variant>
        <vt:i4>1114165</vt:i4>
      </vt:variant>
      <vt:variant>
        <vt:i4>242</vt:i4>
      </vt:variant>
      <vt:variant>
        <vt:i4>0</vt:i4>
      </vt:variant>
      <vt:variant>
        <vt:i4>5</vt:i4>
      </vt:variant>
      <vt:variant>
        <vt:lpwstr/>
      </vt:variant>
      <vt:variant>
        <vt:lpwstr>_Toc437260072</vt:lpwstr>
      </vt:variant>
      <vt:variant>
        <vt:i4>1114165</vt:i4>
      </vt:variant>
      <vt:variant>
        <vt:i4>236</vt:i4>
      </vt:variant>
      <vt:variant>
        <vt:i4>0</vt:i4>
      </vt:variant>
      <vt:variant>
        <vt:i4>5</vt:i4>
      </vt:variant>
      <vt:variant>
        <vt:lpwstr/>
      </vt:variant>
      <vt:variant>
        <vt:lpwstr>_Toc437260071</vt:lpwstr>
      </vt:variant>
      <vt:variant>
        <vt:i4>1114165</vt:i4>
      </vt:variant>
      <vt:variant>
        <vt:i4>230</vt:i4>
      </vt:variant>
      <vt:variant>
        <vt:i4>0</vt:i4>
      </vt:variant>
      <vt:variant>
        <vt:i4>5</vt:i4>
      </vt:variant>
      <vt:variant>
        <vt:lpwstr/>
      </vt:variant>
      <vt:variant>
        <vt:lpwstr>_Toc437260070</vt:lpwstr>
      </vt:variant>
      <vt:variant>
        <vt:i4>1048629</vt:i4>
      </vt:variant>
      <vt:variant>
        <vt:i4>224</vt:i4>
      </vt:variant>
      <vt:variant>
        <vt:i4>0</vt:i4>
      </vt:variant>
      <vt:variant>
        <vt:i4>5</vt:i4>
      </vt:variant>
      <vt:variant>
        <vt:lpwstr/>
      </vt:variant>
      <vt:variant>
        <vt:lpwstr>_Toc437260069</vt:lpwstr>
      </vt:variant>
      <vt:variant>
        <vt:i4>1048629</vt:i4>
      </vt:variant>
      <vt:variant>
        <vt:i4>218</vt:i4>
      </vt:variant>
      <vt:variant>
        <vt:i4>0</vt:i4>
      </vt:variant>
      <vt:variant>
        <vt:i4>5</vt:i4>
      </vt:variant>
      <vt:variant>
        <vt:lpwstr/>
      </vt:variant>
      <vt:variant>
        <vt:lpwstr>_Toc437260068</vt:lpwstr>
      </vt:variant>
      <vt:variant>
        <vt:i4>1048629</vt:i4>
      </vt:variant>
      <vt:variant>
        <vt:i4>212</vt:i4>
      </vt:variant>
      <vt:variant>
        <vt:i4>0</vt:i4>
      </vt:variant>
      <vt:variant>
        <vt:i4>5</vt:i4>
      </vt:variant>
      <vt:variant>
        <vt:lpwstr/>
      </vt:variant>
      <vt:variant>
        <vt:lpwstr>_Toc437260067</vt:lpwstr>
      </vt:variant>
      <vt:variant>
        <vt:i4>1048629</vt:i4>
      </vt:variant>
      <vt:variant>
        <vt:i4>206</vt:i4>
      </vt:variant>
      <vt:variant>
        <vt:i4>0</vt:i4>
      </vt:variant>
      <vt:variant>
        <vt:i4>5</vt:i4>
      </vt:variant>
      <vt:variant>
        <vt:lpwstr/>
      </vt:variant>
      <vt:variant>
        <vt:lpwstr>_Toc437260066</vt:lpwstr>
      </vt:variant>
      <vt:variant>
        <vt:i4>1638455</vt:i4>
      </vt:variant>
      <vt:variant>
        <vt:i4>197</vt:i4>
      </vt:variant>
      <vt:variant>
        <vt:i4>0</vt:i4>
      </vt:variant>
      <vt:variant>
        <vt:i4>5</vt:i4>
      </vt:variant>
      <vt:variant>
        <vt:lpwstr/>
      </vt:variant>
      <vt:variant>
        <vt:lpwstr>_Toc436837625</vt:lpwstr>
      </vt:variant>
      <vt:variant>
        <vt:i4>1638455</vt:i4>
      </vt:variant>
      <vt:variant>
        <vt:i4>191</vt:i4>
      </vt:variant>
      <vt:variant>
        <vt:i4>0</vt:i4>
      </vt:variant>
      <vt:variant>
        <vt:i4>5</vt:i4>
      </vt:variant>
      <vt:variant>
        <vt:lpwstr/>
      </vt:variant>
      <vt:variant>
        <vt:lpwstr>_Toc436837624</vt:lpwstr>
      </vt:variant>
      <vt:variant>
        <vt:i4>1638455</vt:i4>
      </vt:variant>
      <vt:variant>
        <vt:i4>185</vt:i4>
      </vt:variant>
      <vt:variant>
        <vt:i4>0</vt:i4>
      </vt:variant>
      <vt:variant>
        <vt:i4>5</vt:i4>
      </vt:variant>
      <vt:variant>
        <vt:lpwstr/>
      </vt:variant>
      <vt:variant>
        <vt:lpwstr>_Toc436837623</vt:lpwstr>
      </vt:variant>
      <vt:variant>
        <vt:i4>1638455</vt:i4>
      </vt:variant>
      <vt:variant>
        <vt:i4>179</vt:i4>
      </vt:variant>
      <vt:variant>
        <vt:i4>0</vt:i4>
      </vt:variant>
      <vt:variant>
        <vt:i4>5</vt:i4>
      </vt:variant>
      <vt:variant>
        <vt:lpwstr/>
      </vt:variant>
      <vt:variant>
        <vt:lpwstr>_Toc436837622</vt:lpwstr>
      </vt:variant>
      <vt:variant>
        <vt:i4>1638455</vt:i4>
      </vt:variant>
      <vt:variant>
        <vt:i4>173</vt:i4>
      </vt:variant>
      <vt:variant>
        <vt:i4>0</vt:i4>
      </vt:variant>
      <vt:variant>
        <vt:i4>5</vt:i4>
      </vt:variant>
      <vt:variant>
        <vt:lpwstr/>
      </vt:variant>
      <vt:variant>
        <vt:lpwstr>_Toc436837621</vt:lpwstr>
      </vt:variant>
      <vt:variant>
        <vt:i4>1638455</vt:i4>
      </vt:variant>
      <vt:variant>
        <vt:i4>167</vt:i4>
      </vt:variant>
      <vt:variant>
        <vt:i4>0</vt:i4>
      </vt:variant>
      <vt:variant>
        <vt:i4>5</vt:i4>
      </vt:variant>
      <vt:variant>
        <vt:lpwstr/>
      </vt:variant>
      <vt:variant>
        <vt:lpwstr>_Toc436837620</vt:lpwstr>
      </vt:variant>
      <vt:variant>
        <vt:i4>1703991</vt:i4>
      </vt:variant>
      <vt:variant>
        <vt:i4>161</vt:i4>
      </vt:variant>
      <vt:variant>
        <vt:i4>0</vt:i4>
      </vt:variant>
      <vt:variant>
        <vt:i4>5</vt:i4>
      </vt:variant>
      <vt:variant>
        <vt:lpwstr/>
      </vt:variant>
      <vt:variant>
        <vt:lpwstr>_Toc436837619</vt:lpwstr>
      </vt:variant>
      <vt:variant>
        <vt:i4>1703991</vt:i4>
      </vt:variant>
      <vt:variant>
        <vt:i4>155</vt:i4>
      </vt:variant>
      <vt:variant>
        <vt:i4>0</vt:i4>
      </vt:variant>
      <vt:variant>
        <vt:i4>5</vt:i4>
      </vt:variant>
      <vt:variant>
        <vt:lpwstr/>
      </vt:variant>
      <vt:variant>
        <vt:lpwstr>_Toc436837618</vt:lpwstr>
      </vt:variant>
      <vt:variant>
        <vt:i4>1703991</vt:i4>
      </vt:variant>
      <vt:variant>
        <vt:i4>149</vt:i4>
      </vt:variant>
      <vt:variant>
        <vt:i4>0</vt:i4>
      </vt:variant>
      <vt:variant>
        <vt:i4>5</vt:i4>
      </vt:variant>
      <vt:variant>
        <vt:lpwstr/>
      </vt:variant>
      <vt:variant>
        <vt:lpwstr>_Toc436837617</vt:lpwstr>
      </vt:variant>
      <vt:variant>
        <vt:i4>1703991</vt:i4>
      </vt:variant>
      <vt:variant>
        <vt:i4>143</vt:i4>
      </vt:variant>
      <vt:variant>
        <vt:i4>0</vt:i4>
      </vt:variant>
      <vt:variant>
        <vt:i4>5</vt:i4>
      </vt:variant>
      <vt:variant>
        <vt:lpwstr/>
      </vt:variant>
      <vt:variant>
        <vt:lpwstr>_Toc436837616</vt:lpwstr>
      </vt:variant>
      <vt:variant>
        <vt:i4>1703991</vt:i4>
      </vt:variant>
      <vt:variant>
        <vt:i4>137</vt:i4>
      </vt:variant>
      <vt:variant>
        <vt:i4>0</vt:i4>
      </vt:variant>
      <vt:variant>
        <vt:i4>5</vt:i4>
      </vt:variant>
      <vt:variant>
        <vt:lpwstr/>
      </vt:variant>
      <vt:variant>
        <vt:lpwstr>_Toc436837615</vt:lpwstr>
      </vt:variant>
      <vt:variant>
        <vt:i4>1703991</vt:i4>
      </vt:variant>
      <vt:variant>
        <vt:i4>131</vt:i4>
      </vt:variant>
      <vt:variant>
        <vt:i4>0</vt:i4>
      </vt:variant>
      <vt:variant>
        <vt:i4>5</vt:i4>
      </vt:variant>
      <vt:variant>
        <vt:lpwstr/>
      </vt:variant>
      <vt:variant>
        <vt:lpwstr>_Toc436837614</vt:lpwstr>
      </vt:variant>
      <vt:variant>
        <vt:i4>1703991</vt:i4>
      </vt:variant>
      <vt:variant>
        <vt:i4>125</vt:i4>
      </vt:variant>
      <vt:variant>
        <vt:i4>0</vt:i4>
      </vt:variant>
      <vt:variant>
        <vt:i4>5</vt:i4>
      </vt:variant>
      <vt:variant>
        <vt:lpwstr/>
      </vt:variant>
      <vt:variant>
        <vt:lpwstr>_Toc436837613</vt:lpwstr>
      </vt:variant>
      <vt:variant>
        <vt:i4>1703991</vt:i4>
      </vt:variant>
      <vt:variant>
        <vt:i4>119</vt:i4>
      </vt:variant>
      <vt:variant>
        <vt:i4>0</vt:i4>
      </vt:variant>
      <vt:variant>
        <vt:i4>5</vt:i4>
      </vt:variant>
      <vt:variant>
        <vt:lpwstr/>
      </vt:variant>
      <vt:variant>
        <vt:lpwstr>_Toc436837612</vt:lpwstr>
      </vt:variant>
      <vt:variant>
        <vt:i4>1703991</vt:i4>
      </vt:variant>
      <vt:variant>
        <vt:i4>113</vt:i4>
      </vt:variant>
      <vt:variant>
        <vt:i4>0</vt:i4>
      </vt:variant>
      <vt:variant>
        <vt:i4>5</vt:i4>
      </vt:variant>
      <vt:variant>
        <vt:lpwstr/>
      </vt:variant>
      <vt:variant>
        <vt:lpwstr>_Toc436837611</vt:lpwstr>
      </vt:variant>
      <vt:variant>
        <vt:i4>1703991</vt:i4>
      </vt:variant>
      <vt:variant>
        <vt:i4>107</vt:i4>
      </vt:variant>
      <vt:variant>
        <vt:i4>0</vt:i4>
      </vt:variant>
      <vt:variant>
        <vt:i4>5</vt:i4>
      </vt:variant>
      <vt:variant>
        <vt:lpwstr/>
      </vt:variant>
      <vt:variant>
        <vt:lpwstr>_Toc436837610</vt:lpwstr>
      </vt:variant>
      <vt:variant>
        <vt:i4>1769527</vt:i4>
      </vt:variant>
      <vt:variant>
        <vt:i4>101</vt:i4>
      </vt:variant>
      <vt:variant>
        <vt:i4>0</vt:i4>
      </vt:variant>
      <vt:variant>
        <vt:i4>5</vt:i4>
      </vt:variant>
      <vt:variant>
        <vt:lpwstr/>
      </vt:variant>
      <vt:variant>
        <vt:lpwstr>_Toc436837609</vt:lpwstr>
      </vt:variant>
      <vt:variant>
        <vt:i4>1769527</vt:i4>
      </vt:variant>
      <vt:variant>
        <vt:i4>95</vt:i4>
      </vt:variant>
      <vt:variant>
        <vt:i4>0</vt:i4>
      </vt:variant>
      <vt:variant>
        <vt:i4>5</vt:i4>
      </vt:variant>
      <vt:variant>
        <vt:lpwstr/>
      </vt:variant>
      <vt:variant>
        <vt:lpwstr>_Toc436837608</vt:lpwstr>
      </vt:variant>
      <vt:variant>
        <vt:i4>1769527</vt:i4>
      </vt:variant>
      <vt:variant>
        <vt:i4>89</vt:i4>
      </vt:variant>
      <vt:variant>
        <vt:i4>0</vt:i4>
      </vt:variant>
      <vt:variant>
        <vt:i4>5</vt:i4>
      </vt:variant>
      <vt:variant>
        <vt:lpwstr/>
      </vt:variant>
      <vt:variant>
        <vt:lpwstr>_Toc436837607</vt:lpwstr>
      </vt:variant>
      <vt:variant>
        <vt:i4>1769527</vt:i4>
      </vt:variant>
      <vt:variant>
        <vt:i4>83</vt:i4>
      </vt:variant>
      <vt:variant>
        <vt:i4>0</vt:i4>
      </vt:variant>
      <vt:variant>
        <vt:i4>5</vt:i4>
      </vt:variant>
      <vt:variant>
        <vt:lpwstr/>
      </vt:variant>
      <vt:variant>
        <vt:lpwstr>_Toc436837606</vt:lpwstr>
      </vt:variant>
      <vt:variant>
        <vt:i4>1769527</vt:i4>
      </vt:variant>
      <vt:variant>
        <vt:i4>77</vt:i4>
      </vt:variant>
      <vt:variant>
        <vt:i4>0</vt:i4>
      </vt:variant>
      <vt:variant>
        <vt:i4>5</vt:i4>
      </vt:variant>
      <vt:variant>
        <vt:lpwstr/>
      </vt:variant>
      <vt:variant>
        <vt:lpwstr>_Toc436837605</vt:lpwstr>
      </vt:variant>
      <vt:variant>
        <vt:i4>1769527</vt:i4>
      </vt:variant>
      <vt:variant>
        <vt:i4>71</vt:i4>
      </vt:variant>
      <vt:variant>
        <vt:i4>0</vt:i4>
      </vt:variant>
      <vt:variant>
        <vt:i4>5</vt:i4>
      </vt:variant>
      <vt:variant>
        <vt:lpwstr/>
      </vt:variant>
      <vt:variant>
        <vt:lpwstr>_Toc436837604</vt:lpwstr>
      </vt:variant>
      <vt:variant>
        <vt:i4>1769527</vt:i4>
      </vt:variant>
      <vt:variant>
        <vt:i4>65</vt:i4>
      </vt:variant>
      <vt:variant>
        <vt:i4>0</vt:i4>
      </vt:variant>
      <vt:variant>
        <vt:i4>5</vt:i4>
      </vt:variant>
      <vt:variant>
        <vt:lpwstr/>
      </vt:variant>
      <vt:variant>
        <vt:lpwstr>_Toc436837603</vt:lpwstr>
      </vt:variant>
      <vt:variant>
        <vt:i4>1769527</vt:i4>
      </vt:variant>
      <vt:variant>
        <vt:i4>59</vt:i4>
      </vt:variant>
      <vt:variant>
        <vt:i4>0</vt:i4>
      </vt:variant>
      <vt:variant>
        <vt:i4>5</vt:i4>
      </vt:variant>
      <vt:variant>
        <vt:lpwstr/>
      </vt:variant>
      <vt:variant>
        <vt:lpwstr>_Toc436837602</vt:lpwstr>
      </vt:variant>
      <vt:variant>
        <vt:i4>1769527</vt:i4>
      </vt:variant>
      <vt:variant>
        <vt:i4>53</vt:i4>
      </vt:variant>
      <vt:variant>
        <vt:i4>0</vt:i4>
      </vt:variant>
      <vt:variant>
        <vt:i4>5</vt:i4>
      </vt:variant>
      <vt:variant>
        <vt:lpwstr/>
      </vt:variant>
      <vt:variant>
        <vt:lpwstr>_Toc436837601</vt:lpwstr>
      </vt:variant>
      <vt:variant>
        <vt:i4>1769527</vt:i4>
      </vt:variant>
      <vt:variant>
        <vt:i4>47</vt:i4>
      </vt:variant>
      <vt:variant>
        <vt:i4>0</vt:i4>
      </vt:variant>
      <vt:variant>
        <vt:i4>5</vt:i4>
      </vt:variant>
      <vt:variant>
        <vt:lpwstr/>
      </vt:variant>
      <vt:variant>
        <vt:lpwstr>_Toc436837600</vt:lpwstr>
      </vt:variant>
      <vt:variant>
        <vt:i4>1179700</vt:i4>
      </vt:variant>
      <vt:variant>
        <vt:i4>41</vt:i4>
      </vt:variant>
      <vt:variant>
        <vt:i4>0</vt:i4>
      </vt:variant>
      <vt:variant>
        <vt:i4>5</vt:i4>
      </vt:variant>
      <vt:variant>
        <vt:lpwstr/>
      </vt:variant>
      <vt:variant>
        <vt:lpwstr>_Toc436837599</vt:lpwstr>
      </vt:variant>
      <vt:variant>
        <vt:i4>1179700</vt:i4>
      </vt:variant>
      <vt:variant>
        <vt:i4>35</vt:i4>
      </vt:variant>
      <vt:variant>
        <vt:i4>0</vt:i4>
      </vt:variant>
      <vt:variant>
        <vt:i4>5</vt:i4>
      </vt:variant>
      <vt:variant>
        <vt:lpwstr/>
      </vt:variant>
      <vt:variant>
        <vt:lpwstr>_Toc436837598</vt:lpwstr>
      </vt:variant>
      <vt:variant>
        <vt:i4>1179700</vt:i4>
      </vt:variant>
      <vt:variant>
        <vt:i4>29</vt:i4>
      </vt:variant>
      <vt:variant>
        <vt:i4>0</vt:i4>
      </vt:variant>
      <vt:variant>
        <vt:i4>5</vt:i4>
      </vt:variant>
      <vt:variant>
        <vt:lpwstr/>
      </vt:variant>
      <vt:variant>
        <vt:lpwstr>_Toc436837597</vt:lpwstr>
      </vt:variant>
      <vt:variant>
        <vt:i4>1179700</vt:i4>
      </vt:variant>
      <vt:variant>
        <vt:i4>23</vt:i4>
      </vt:variant>
      <vt:variant>
        <vt:i4>0</vt:i4>
      </vt:variant>
      <vt:variant>
        <vt:i4>5</vt:i4>
      </vt:variant>
      <vt:variant>
        <vt:lpwstr/>
      </vt:variant>
      <vt:variant>
        <vt:lpwstr>_Toc436837596</vt:lpwstr>
      </vt:variant>
      <vt:variant>
        <vt:i4>1179700</vt:i4>
      </vt:variant>
      <vt:variant>
        <vt:i4>17</vt:i4>
      </vt:variant>
      <vt:variant>
        <vt:i4>0</vt:i4>
      </vt:variant>
      <vt:variant>
        <vt:i4>5</vt:i4>
      </vt:variant>
      <vt:variant>
        <vt:lpwstr/>
      </vt:variant>
      <vt:variant>
        <vt:lpwstr>_Toc436837595</vt:lpwstr>
      </vt:variant>
      <vt:variant>
        <vt:i4>1179700</vt:i4>
      </vt:variant>
      <vt:variant>
        <vt:i4>11</vt:i4>
      </vt:variant>
      <vt:variant>
        <vt:i4>0</vt:i4>
      </vt:variant>
      <vt:variant>
        <vt:i4>5</vt:i4>
      </vt:variant>
      <vt:variant>
        <vt:lpwstr/>
      </vt:variant>
      <vt:variant>
        <vt:lpwstr>_Toc436837594</vt:lpwstr>
      </vt:variant>
      <vt:variant>
        <vt:i4>1179700</vt:i4>
      </vt:variant>
      <vt:variant>
        <vt:i4>5</vt:i4>
      </vt:variant>
      <vt:variant>
        <vt:i4>0</vt:i4>
      </vt:variant>
      <vt:variant>
        <vt:i4>5</vt:i4>
      </vt:variant>
      <vt:variant>
        <vt:lpwstr/>
      </vt:variant>
      <vt:variant>
        <vt:lpwstr>_Toc436837593</vt:lpwstr>
      </vt:variant>
      <vt:variant>
        <vt:i4>7078011</vt:i4>
      </vt:variant>
      <vt:variant>
        <vt:i4>24</vt:i4>
      </vt:variant>
      <vt:variant>
        <vt:i4>0</vt:i4>
      </vt:variant>
      <vt:variant>
        <vt:i4>5</vt:i4>
      </vt:variant>
      <vt:variant>
        <vt:lpwstr>http://www.nomisweb.co.uk/census/2011/DC2101EW/view/2092957699?rows=c_age&amp;cols=c_ethpuk11</vt:lpwstr>
      </vt:variant>
      <vt:variant>
        <vt:lpwstr/>
      </vt:variant>
      <vt:variant>
        <vt:i4>2687008</vt:i4>
      </vt:variant>
      <vt:variant>
        <vt:i4>21</vt:i4>
      </vt:variant>
      <vt:variant>
        <vt:i4>0</vt:i4>
      </vt:variant>
      <vt:variant>
        <vt:i4>5</vt:i4>
      </vt:variant>
      <vt:variant>
        <vt:lpwstr>http://www.ecpat.org.uk/sites/default/files/trafficked_children_and_missing_2.pdf</vt:lpwstr>
      </vt:variant>
      <vt:variant>
        <vt:lpwstr/>
      </vt:variant>
      <vt:variant>
        <vt:i4>1310733</vt:i4>
      </vt:variant>
      <vt:variant>
        <vt:i4>18</vt:i4>
      </vt:variant>
      <vt:variant>
        <vt:i4>0</vt:i4>
      </vt:variant>
      <vt:variant>
        <vt:i4>5</vt:i4>
      </vt:variant>
      <vt:variant>
        <vt:lpwstr>https://www.gov.uk/government/statistics/children-looked-after-in-england-including-adoption-2014-to-2015</vt:lpwstr>
      </vt:variant>
      <vt:variant>
        <vt:lpwstr/>
      </vt:variant>
      <vt:variant>
        <vt:i4>8061024</vt:i4>
      </vt:variant>
      <vt:variant>
        <vt:i4>15</vt:i4>
      </vt:variant>
      <vt:variant>
        <vt:i4>0</vt:i4>
      </vt:variant>
      <vt:variant>
        <vt:i4>5</vt:i4>
      </vt:variant>
      <vt:variant>
        <vt:lpwstr>https://www.gov.uk/government/statistics/children-looked-after-in-england-including-adoption--2</vt:lpwstr>
      </vt:variant>
      <vt:variant>
        <vt:lpwstr/>
      </vt:variant>
      <vt:variant>
        <vt:i4>1245261</vt:i4>
      </vt:variant>
      <vt:variant>
        <vt:i4>12</vt:i4>
      </vt:variant>
      <vt:variant>
        <vt:i4>0</vt:i4>
      </vt:variant>
      <vt:variant>
        <vt:i4>5</vt:i4>
      </vt:variant>
      <vt:variant>
        <vt:lpwstr>http://www.nomisweb.co.uk/census/2011/LC3101EWLS/view/2092957699?rows=c_disability&amp;cols=c_age</vt:lpwstr>
      </vt:variant>
      <vt:variant>
        <vt:lpwstr/>
      </vt:variant>
      <vt:variant>
        <vt:i4>2293861</vt:i4>
      </vt:variant>
      <vt:variant>
        <vt:i4>9</vt:i4>
      </vt:variant>
      <vt:variant>
        <vt:i4>0</vt:i4>
      </vt:variant>
      <vt:variant>
        <vt:i4>5</vt:i4>
      </vt:variant>
      <vt:variant>
        <vt:lpwstr>https://www.nomisweb.co.uk/census/2011/lc1203ew</vt:lpwstr>
      </vt:variant>
      <vt:variant>
        <vt:lpwstr/>
      </vt:variant>
      <vt:variant>
        <vt:i4>1310733</vt:i4>
      </vt:variant>
      <vt:variant>
        <vt:i4>6</vt:i4>
      </vt:variant>
      <vt:variant>
        <vt:i4>0</vt:i4>
      </vt:variant>
      <vt:variant>
        <vt:i4>5</vt:i4>
      </vt:variant>
      <vt:variant>
        <vt:lpwstr>https://www.gov.uk/government/statistics/children-looked-after-in-england-including-adoption-2014-to-2015</vt:lpwstr>
      </vt:variant>
      <vt:variant>
        <vt:lpwstr/>
      </vt:variant>
      <vt:variant>
        <vt:i4>3080225</vt:i4>
      </vt:variant>
      <vt:variant>
        <vt:i4>3</vt:i4>
      </vt:variant>
      <vt:variant>
        <vt:i4>0</vt:i4>
      </vt:variant>
      <vt:variant>
        <vt:i4>5</vt:i4>
      </vt:variant>
      <vt:variant>
        <vt:lpwstr>https://www.nomisweb.co.uk/census/2011/qs103ew</vt:lpwstr>
      </vt:variant>
      <vt:variant>
        <vt:lpwstr/>
      </vt:variant>
      <vt:variant>
        <vt:i4>1310733</vt:i4>
      </vt:variant>
      <vt:variant>
        <vt:i4>0</vt:i4>
      </vt:variant>
      <vt:variant>
        <vt:i4>0</vt:i4>
      </vt:variant>
      <vt:variant>
        <vt:i4>5</vt:i4>
      </vt:variant>
      <vt:variant>
        <vt:lpwstr>https://www.gov.uk/government/statistics/children-looked-after-in-england-including-adoption-2014-to-2015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statistics - SFR release template</dc:title>
  <dc:subject/>
  <dc:creator>Alison Edwards (London)</dc:creator>
  <cp:keywords/>
  <dc:description/>
  <cp:lastModifiedBy>Nilly El Khatib</cp:lastModifiedBy>
  <cp:revision>2</cp:revision>
  <cp:lastPrinted>2017-02-13T15:03:00Z</cp:lastPrinted>
  <dcterms:created xsi:type="dcterms:W3CDTF">2018-03-27T17:13:00Z</dcterms:created>
  <dcterms:modified xsi:type="dcterms:W3CDTF">2018-03-27T17:13:00Z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
  </property>
  <property fmtid="{D5CDD505-2E9C-101B-9397-08002B2CF9AE}" pid="3" name="OfstedESD">
    <vt:lpwstr/>
  </property>
  <property fmtid="{D5CDD505-2E9C-101B-9397-08002B2CF9AE}" pid="4" name="ContentType">
    <vt:lpwstr>Document</vt:lpwstr>
  </property>
  <property fmtid="{D5CDD505-2E9C-101B-9397-08002B2CF9AE}" pid="5" name="DatePublished">
    <vt:lpwstr>2012-06-01T18:00:00Z</vt:lpwstr>
  </property>
  <property fmtid="{D5CDD505-2E9C-101B-9397-08002B2CF9AE}" pid="6" name="RetentionPolicy">
    <vt:lpwstr>3</vt:lpwstr>
  </property>
  <property fmtid="{D5CDD505-2E9C-101B-9397-08002B2CF9AE}" pid="7" name="RightsManagementText">
    <vt:lpwstr>NOT PROTECTIVELY MARKED</vt:lpwstr>
  </property>
  <property fmtid="{D5CDD505-2E9C-101B-9397-08002B2CF9AE}" pid="8" name="Language">
    <vt:lpwstr>English</vt:lpwstr>
  </property>
  <property fmtid="{D5CDD505-2E9C-101B-9397-08002B2CF9AE}" pid="9" name="Subject">
    <vt:lpwstr/>
  </property>
  <property fmtid="{D5CDD505-2E9C-101B-9397-08002B2CF9AE}" pid="10" name="Keywords">
    <vt:lpwstr/>
  </property>
  <property fmtid="{D5CDD505-2E9C-101B-9397-08002B2CF9AE}" pid="11" name="_Author">
    <vt:lpwstr>opapps</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tistical content">
    <vt:lpwstr>Children's centres</vt:lpwstr>
  </property>
  <property fmtid="{D5CDD505-2E9C-101B-9397-08002B2CF9AE}" pid="18" name="Quarter">
    <vt:lpwstr>31 March 2012</vt:lpwstr>
  </property>
  <property fmtid="{D5CDD505-2E9C-101B-9397-08002B2CF9AE}" pid="19" name="Document type">
    <vt:lpwstr>Pre-release data</vt:lpwstr>
  </property>
  <property fmtid="{D5CDD505-2E9C-101B-9397-08002B2CF9AE}" pid="20" name="_DCDateModified">
    <vt:lpwstr/>
  </property>
  <property fmtid="{D5CDD505-2E9C-101B-9397-08002B2CF9AE}" pid="21" name="_DCDateCreated">
    <vt:lpwstr/>
  </property>
  <property fmtid="{D5CDD505-2E9C-101B-9397-08002B2CF9AE}" pid="22" name="_DocHome">
    <vt:lpwstr/>
  </property>
</Properties>
</file>