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EF" w:rsidRDefault="004E01EF">
      <w:pPr>
        <w:ind w:left="-540"/>
        <w:jc w:val="right"/>
        <w:rPr>
          <w:rFonts w:ascii="Arial" w:eastAsia="Arial" w:hAnsi="Arial" w:cs="Arial"/>
          <w:sz w:val="22"/>
          <w:szCs w:val="22"/>
        </w:rPr>
      </w:pPr>
    </w:p>
    <w:p w:rsidR="004E01EF" w:rsidRDefault="004E01EF">
      <w:pPr>
        <w:ind w:left="-540"/>
        <w:jc w:val="center"/>
        <w:rPr>
          <w:rFonts w:ascii="Arial" w:eastAsia="Arial" w:hAnsi="Arial" w:cs="Arial"/>
        </w:rPr>
      </w:pPr>
    </w:p>
    <w:p w:rsidR="004E01EF" w:rsidRDefault="004226A7">
      <w:pPr>
        <w:ind w:left="-540"/>
        <w:jc w:val="center"/>
        <w:rPr>
          <w:rFonts w:ascii="Arial" w:eastAsia="Arial" w:hAnsi="Arial" w:cs="Arial"/>
        </w:rPr>
      </w:pPr>
      <w:r>
        <w:rPr>
          <w:rFonts w:ascii="Arial" w:eastAsia="Arial" w:hAnsi="Arial" w:cs="Arial"/>
          <w:b/>
        </w:rPr>
        <w:t>PRO FORMA FOR TRANSPARENCY INFORMATION ABOUT OUTSIDE APPOINTMENTS OR EMPLOYMENT TAKEN UP BY FORMER MEMBERS OF THE DEPARTMENT AT SCS1 AND SCS2 LEVEL AND EQUIVALENTS INCLUDING SPECIAL ADVISERS OF EQUIVALENT STANDING</w:t>
      </w:r>
    </w:p>
    <w:p w:rsidR="004E01EF" w:rsidRDefault="004E01EF">
      <w:pPr>
        <w:ind w:left="-540"/>
        <w:jc w:val="center"/>
      </w:pPr>
    </w:p>
    <w:p w:rsidR="004E01EF" w:rsidRDefault="004E01EF">
      <w:pPr>
        <w:ind w:hanging="540"/>
      </w:pPr>
    </w:p>
    <w:p w:rsidR="004E01EF" w:rsidRDefault="004226A7">
      <w:pPr>
        <w:numPr>
          <w:ilvl w:val="0"/>
          <w:numId w:val="1"/>
        </w:numPr>
        <w:ind w:left="360"/>
        <w:jc w:val="both"/>
      </w:pPr>
      <w:r>
        <w:rPr>
          <w:rFonts w:ascii="Arial" w:eastAsia="Arial" w:hAnsi="Arial" w:cs="Arial"/>
        </w:rPr>
        <w:t xml:space="preserve">Transparency about the advice given on individual applications under the Business Appointment Rules helps to ensure the maintenance of a high level of compliance.  </w:t>
      </w:r>
    </w:p>
    <w:p w:rsidR="004E01EF" w:rsidRDefault="004E01EF">
      <w:pPr>
        <w:jc w:val="both"/>
        <w:rPr>
          <w:rFonts w:ascii="Arial" w:eastAsia="Arial" w:hAnsi="Arial" w:cs="Arial"/>
        </w:rPr>
      </w:pPr>
    </w:p>
    <w:p w:rsidR="004E01EF" w:rsidRDefault="004226A7">
      <w:pPr>
        <w:numPr>
          <w:ilvl w:val="0"/>
          <w:numId w:val="1"/>
        </w:numPr>
        <w:ind w:left="360"/>
        <w:jc w:val="both"/>
      </w:pPr>
      <w:r>
        <w:rPr>
          <w:rFonts w:ascii="Arial" w:eastAsia="Arial" w:hAnsi="Arial" w:cs="Arial"/>
        </w:rPr>
        <w:t>The Rules require departments to publish on their websites summary information about the a</w:t>
      </w:r>
      <w:r>
        <w:rPr>
          <w:rFonts w:ascii="Arial" w:eastAsia="Arial" w:hAnsi="Arial" w:cs="Arial"/>
        </w:rPr>
        <w:t xml:space="preserve">dvice they give to applicants at SCS2 and SCS1 level and equivalents, including special advisers of equivalent standing.  </w:t>
      </w:r>
    </w:p>
    <w:p w:rsidR="004E01EF" w:rsidRDefault="004E01EF">
      <w:pPr>
        <w:jc w:val="both"/>
        <w:rPr>
          <w:rFonts w:ascii="Arial" w:eastAsia="Arial" w:hAnsi="Arial" w:cs="Arial"/>
        </w:rPr>
      </w:pPr>
    </w:p>
    <w:p w:rsidR="004E01EF" w:rsidRDefault="004226A7">
      <w:pPr>
        <w:numPr>
          <w:ilvl w:val="0"/>
          <w:numId w:val="1"/>
        </w:numPr>
        <w:ind w:left="360"/>
        <w:jc w:val="both"/>
      </w:pPr>
      <w:bookmarkStart w:id="0" w:name="_gjdgxs" w:colFirst="0" w:colLast="0"/>
      <w:bookmarkEnd w:id="0"/>
      <w:r>
        <w:rPr>
          <w:rFonts w:ascii="Arial" w:eastAsia="Arial" w:hAnsi="Arial" w:cs="Arial"/>
        </w:rPr>
        <w:t>This follows the approach adopted by the Advisory Committee on Business Appointments which publishes information on the advice it gi</w:t>
      </w:r>
      <w:r>
        <w:rPr>
          <w:rFonts w:ascii="Arial" w:eastAsia="Arial" w:hAnsi="Arial" w:cs="Arial"/>
        </w:rPr>
        <w:t xml:space="preserve">ves on applications from SCS3 level and above and equivalents, including special advisers of equivalent standing – see  </w:t>
      </w:r>
      <w:hyperlink r:id="rId8">
        <w:r>
          <w:rPr>
            <w:rFonts w:ascii="Arial" w:eastAsia="Arial" w:hAnsi="Arial" w:cs="Arial"/>
            <w:color w:val="0000FF"/>
            <w:u w:val="single"/>
          </w:rPr>
          <w:t>http://acoba.independent.gov.uk/</w:t>
        </w:r>
      </w:hyperlink>
    </w:p>
    <w:p w:rsidR="004E01EF" w:rsidRDefault="004E01EF">
      <w:pPr>
        <w:jc w:val="both"/>
        <w:rPr>
          <w:rFonts w:ascii="Arial" w:eastAsia="Arial" w:hAnsi="Arial" w:cs="Arial"/>
        </w:rPr>
      </w:pPr>
    </w:p>
    <w:p w:rsidR="004E01EF" w:rsidRDefault="004226A7">
      <w:pPr>
        <w:numPr>
          <w:ilvl w:val="0"/>
          <w:numId w:val="1"/>
        </w:numPr>
        <w:ind w:left="360"/>
        <w:jc w:val="both"/>
      </w:pPr>
      <w:r>
        <w:rPr>
          <w:rFonts w:ascii="Arial" w:eastAsia="Arial" w:hAnsi="Arial" w:cs="Arial"/>
        </w:rPr>
        <w:t>Published information should include the following</w:t>
      </w:r>
      <w:r>
        <w:rPr>
          <w:rFonts w:ascii="Arial" w:eastAsia="Arial" w:hAnsi="Arial" w:cs="Arial"/>
        </w:rPr>
        <w:t xml:space="preserve"> details:</w:t>
      </w:r>
    </w:p>
    <w:p w:rsidR="004E01EF" w:rsidRDefault="004E01EF">
      <w:pPr>
        <w:jc w:val="both"/>
        <w:rPr>
          <w:rFonts w:ascii="Arial" w:eastAsia="Arial" w:hAnsi="Arial" w:cs="Arial"/>
        </w:rPr>
      </w:pPr>
    </w:p>
    <w:p w:rsidR="004E01EF" w:rsidRDefault="004226A7">
      <w:pPr>
        <w:numPr>
          <w:ilvl w:val="1"/>
          <w:numId w:val="1"/>
        </w:numPr>
        <w:ind w:left="1080"/>
        <w:jc w:val="both"/>
      </w:pPr>
      <w:r>
        <w:rPr>
          <w:rFonts w:ascii="Arial" w:eastAsia="Arial" w:hAnsi="Arial" w:cs="Arial"/>
        </w:rPr>
        <w:t>Full name of the applicant, and title of their former Civil Service role;</w:t>
      </w:r>
    </w:p>
    <w:p w:rsidR="004E01EF" w:rsidRDefault="004226A7">
      <w:pPr>
        <w:numPr>
          <w:ilvl w:val="1"/>
          <w:numId w:val="1"/>
        </w:numPr>
        <w:ind w:left="1080"/>
        <w:jc w:val="both"/>
      </w:pPr>
      <w:r>
        <w:rPr>
          <w:rFonts w:ascii="Arial" w:eastAsia="Arial" w:hAnsi="Arial" w:cs="Arial"/>
        </w:rPr>
        <w:t>Date applicant left/retired from the Civil Service;</w:t>
      </w:r>
    </w:p>
    <w:p w:rsidR="004E01EF" w:rsidRDefault="004226A7">
      <w:pPr>
        <w:numPr>
          <w:ilvl w:val="1"/>
          <w:numId w:val="1"/>
        </w:numPr>
        <w:ind w:left="1080"/>
        <w:jc w:val="both"/>
      </w:pPr>
      <w:r>
        <w:rPr>
          <w:rFonts w:ascii="Arial" w:eastAsia="Arial" w:hAnsi="Arial" w:cs="Arial"/>
        </w:rPr>
        <w:t>The applicant’s new employment or appointment, including when taken up;</w:t>
      </w:r>
    </w:p>
    <w:p w:rsidR="004E01EF" w:rsidRDefault="004226A7">
      <w:pPr>
        <w:numPr>
          <w:ilvl w:val="1"/>
          <w:numId w:val="1"/>
        </w:numPr>
        <w:ind w:left="1080"/>
        <w:jc w:val="both"/>
      </w:pPr>
      <w:r>
        <w:rPr>
          <w:rFonts w:ascii="Arial" w:eastAsia="Arial" w:hAnsi="Arial" w:cs="Arial"/>
        </w:rPr>
        <w:t>Summary of the department’s decision on the app</w:t>
      </w:r>
      <w:r>
        <w:rPr>
          <w:rFonts w:ascii="Arial" w:eastAsia="Arial" w:hAnsi="Arial" w:cs="Arial"/>
        </w:rPr>
        <w:t>licant’s application, including details of any waiting period or other conditions or restrictions applied.</w:t>
      </w:r>
    </w:p>
    <w:p w:rsidR="004E01EF" w:rsidRDefault="004E01EF">
      <w:pPr>
        <w:jc w:val="both"/>
        <w:rPr>
          <w:rFonts w:ascii="Arial" w:eastAsia="Arial" w:hAnsi="Arial" w:cs="Arial"/>
        </w:rPr>
      </w:pPr>
    </w:p>
    <w:p w:rsidR="004E01EF" w:rsidRDefault="004226A7">
      <w:pPr>
        <w:numPr>
          <w:ilvl w:val="0"/>
          <w:numId w:val="1"/>
        </w:numPr>
        <w:ind w:left="360"/>
        <w:jc w:val="both"/>
      </w:pPr>
      <w:r>
        <w:rPr>
          <w:rFonts w:ascii="Arial" w:eastAsia="Arial" w:hAnsi="Arial" w:cs="Arial"/>
        </w:rPr>
        <w:t>Departments may wish to use the pro forma overleaf for this purpose.</w:t>
      </w:r>
    </w:p>
    <w:p w:rsidR="004E01EF" w:rsidRDefault="004E01EF">
      <w:pPr>
        <w:jc w:val="both"/>
        <w:rPr>
          <w:rFonts w:ascii="Arial" w:eastAsia="Arial" w:hAnsi="Arial" w:cs="Arial"/>
        </w:rPr>
      </w:pPr>
    </w:p>
    <w:p w:rsidR="004E01EF" w:rsidRDefault="004226A7">
      <w:pPr>
        <w:numPr>
          <w:ilvl w:val="0"/>
          <w:numId w:val="1"/>
        </w:numPr>
        <w:ind w:left="360"/>
        <w:jc w:val="both"/>
      </w:pPr>
      <w:r>
        <w:rPr>
          <w:rFonts w:ascii="Arial" w:eastAsia="Arial" w:hAnsi="Arial" w:cs="Arial"/>
        </w:rPr>
        <w:t xml:space="preserve">It is important that departments do </w:t>
      </w:r>
      <w:r>
        <w:rPr>
          <w:rFonts w:ascii="Arial" w:eastAsia="Arial" w:hAnsi="Arial" w:cs="Arial"/>
          <w:u w:val="single"/>
        </w:rPr>
        <w:t>not</w:t>
      </w:r>
      <w:r>
        <w:rPr>
          <w:rFonts w:ascii="Arial" w:eastAsia="Arial" w:hAnsi="Arial" w:cs="Arial"/>
        </w:rPr>
        <w:t xml:space="preserve"> publish any information until the appl</w:t>
      </w:r>
      <w:r>
        <w:rPr>
          <w:rFonts w:ascii="Arial" w:eastAsia="Arial" w:hAnsi="Arial" w:cs="Arial"/>
        </w:rPr>
        <w:t xml:space="preserve">icant has taken up the appointment or employment, or it has been publicly announced. </w:t>
      </w:r>
    </w:p>
    <w:p w:rsidR="004E01EF" w:rsidRDefault="004E01EF">
      <w:pPr>
        <w:jc w:val="both"/>
        <w:rPr>
          <w:rFonts w:ascii="Arial" w:eastAsia="Arial" w:hAnsi="Arial" w:cs="Arial"/>
        </w:rPr>
      </w:pPr>
    </w:p>
    <w:p w:rsidR="004E01EF" w:rsidRDefault="004226A7">
      <w:pPr>
        <w:numPr>
          <w:ilvl w:val="0"/>
          <w:numId w:val="1"/>
        </w:numPr>
        <w:ind w:left="360"/>
        <w:jc w:val="both"/>
      </w:pPr>
      <w:r>
        <w:rPr>
          <w:rFonts w:ascii="Arial" w:eastAsia="Arial" w:hAnsi="Arial" w:cs="Arial"/>
        </w:rPr>
        <w:t xml:space="preserve">No information should be published where the applicant does not take up a proposed appointment or employment. </w:t>
      </w:r>
    </w:p>
    <w:p w:rsidR="004E01EF" w:rsidRDefault="004E01EF">
      <w:pPr>
        <w:jc w:val="both"/>
        <w:rPr>
          <w:rFonts w:ascii="Arial" w:eastAsia="Arial" w:hAnsi="Arial" w:cs="Arial"/>
        </w:rPr>
      </w:pPr>
    </w:p>
    <w:p w:rsidR="004E01EF" w:rsidRDefault="004226A7">
      <w:pPr>
        <w:numPr>
          <w:ilvl w:val="0"/>
          <w:numId w:val="1"/>
        </w:numPr>
        <w:ind w:left="360"/>
        <w:jc w:val="both"/>
      </w:pPr>
      <w:r>
        <w:rPr>
          <w:rFonts w:ascii="Arial" w:eastAsia="Arial" w:hAnsi="Arial" w:cs="Arial"/>
        </w:rPr>
        <w:t xml:space="preserve">Applicants should be informed about publication and be given the opportunity to check the text before it goes live on the website. </w:t>
      </w:r>
    </w:p>
    <w:p w:rsidR="004E01EF" w:rsidRDefault="004E01EF">
      <w:pPr>
        <w:jc w:val="both"/>
        <w:rPr>
          <w:rFonts w:ascii="Arial" w:eastAsia="Arial" w:hAnsi="Arial" w:cs="Arial"/>
        </w:rPr>
      </w:pPr>
    </w:p>
    <w:p w:rsidR="004E01EF" w:rsidRDefault="004E01EF">
      <w:pPr>
        <w:jc w:val="both"/>
        <w:rPr>
          <w:rFonts w:ascii="Arial" w:eastAsia="Arial" w:hAnsi="Arial" w:cs="Arial"/>
        </w:rPr>
      </w:pPr>
    </w:p>
    <w:p w:rsidR="004E01EF" w:rsidRDefault="004E01EF">
      <w:pPr>
        <w:jc w:val="both"/>
        <w:rPr>
          <w:rFonts w:ascii="Arial" w:eastAsia="Arial" w:hAnsi="Arial" w:cs="Arial"/>
        </w:rPr>
      </w:pPr>
    </w:p>
    <w:p w:rsidR="004E01EF" w:rsidRDefault="004E01EF">
      <w:pPr>
        <w:jc w:val="both"/>
        <w:rPr>
          <w:rFonts w:ascii="Arial" w:eastAsia="Arial" w:hAnsi="Arial" w:cs="Arial"/>
        </w:rPr>
      </w:pPr>
    </w:p>
    <w:p w:rsidR="004E01EF" w:rsidRDefault="004E01EF">
      <w:pPr>
        <w:jc w:val="both"/>
        <w:rPr>
          <w:rFonts w:ascii="Arial" w:eastAsia="Arial" w:hAnsi="Arial" w:cs="Arial"/>
        </w:rPr>
      </w:pPr>
    </w:p>
    <w:p w:rsidR="004E01EF" w:rsidRDefault="004E01EF">
      <w:pPr>
        <w:ind w:left="-540"/>
        <w:rPr>
          <w:rFonts w:ascii="Arial" w:eastAsia="Arial" w:hAnsi="Arial" w:cs="Arial"/>
        </w:rPr>
      </w:pPr>
    </w:p>
    <w:p w:rsidR="004E01EF" w:rsidRDefault="004E01EF">
      <w:pPr>
        <w:ind w:left="-540"/>
        <w:rPr>
          <w:rFonts w:ascii="Arial" w:eastAsia="Arial" w:hAnsi="Arial" w:cs="Arial"/>
        </w:rPr>
      </w:pPr>
    </w:p>
    <w:p w:rsidR="004E01EF" w:rsidRDefault="004E01EF">
      <w:pPr>
        <w:ind w:left="-540"/>
        <w:rPr>
          <w:rFonts w:ascii="Arial" w:eastAsia="Arial" w:hAnsi="Arial" w:cs="Arial"/>
        </w:rPr>
      </w:pPr>
    </w:p>
    <w:p w:rsidR="004E01EF" w:rsidRDefault="004E01EF">
      <w:pPr>
        <w:ind w:left="-540"/>
        <w:rPr>
          <w:rFonts w:ascii="Arial" w:eastAsia="Arial" w:hAnsi="Arial" w:cs="Arial"/>
        </w:rPr>
      </w:pPr>
    </w:p>
    <w:p w:rsidR="004E01EF" w:rsidRDefault="004E01EF">
      <w:pPr>
        <w:ind w:left="-540"/>
        <w:rPr>
          <w:rFonts w:ascii="Arial" w:eastAsia="Arial" w:hAnsi="Arial" w:cs="Arial"/>
        </w:rPr>
      </w:pPr>
    </w:p>
    <w:p w:rsidR="004E01EF" w:rsidRDefault="004E01EF">
      <w:pPr>
        <w:ind w:left="-540"/>
        <w:rPr>
          <w:rFonts w:ascii="Arial" w:eastAsia="Arial" w:hAnsi="Arial" w:cs="Arial"/>
        </w:rPr>
      </w:pPr>
    </w:p>
    <w:p w:rsidR="004E01EF" w:rsidRDefault="004226A7">
      <w:pPr>
        <w:ind w:left="-540"/>
        <w:jc w:val="center"/>
        <w:rPr>
          <w:rFonts w:ascii="Arial" w:eastAsia="Arial" w:hAnsi="Arial" w:cs="Arial"/>
        </w:rPr>
      </w:pPr>
      <w:r>
        <w:rPr>
          <w:rFonts w:ascii="Arial" w:eastAsia="Arial" w:hAnsi="Arial" w:cs="Arial"/>
          <w:b/>
        </w:rPr>
        <w:lastRenderedPageBreak/>
        <w:t>PRO FORMA FOR TRANSPARENCY INFORMATION ABOUT OUTSIDE APPOINTMENTS OR EMPLOYMENT TAKEN UP BY FORMER MEMBERS OF THE</w:t>
      </w:r>
      <w:r>
        <w:rPr>
          <w:rFonts w:ascii="Arial" w:eastAsia="Arial" w:hAnsi="Arial" w:cs="Arial"/>
          <w:b/>
        </w:rPr>
        <w:t xml:space="preserve"> DEPARTMENT AT SCS1 AND SCS2 LEVEL AND EQUIVALENTS (INCLUDING SPECIAL ADVISERS OF EQUIVALENT STANDING)</w:t>
      </w:r>
    </w:p>
    <w:p w:rsidR="004E01EF" w:rsidRDefault="004E01EF">
      <w:pPr>
        <w:ind w:left="-540"/>
        <w:jc w:val="center"/>
        <w:rPr>
          <w:rFonts w:ascii="Arial" w:eastAsia="Arial" w:hAnsi="Arial" w:cs="Arial"/>
        </w:rPr>
      </w:pPr>
    </w:p>
    <w:p w:rsidR="004E01EF" w:rsidRDefault="004E01EF">
      <w:pPr>
        <w:ind w:left="-540"/>
        <w:rPr>
          <w:rFonts w:ascii="Arial" w:eastAsia="Arial" w:hAnsi="Arial" w:cs="Arial"/>
        </w:rPr>
      </w:pPr>
    </w:p>
    <w:p w:rsidR="004E01EF" w:rsidRDefault="004E01EF">
      <w:pPr>
        <w:ind w:left="-540"/>
        <w:rPr>
          <w:rFonts w:ascii="Arial" w:eastAsia="Arial" w:hAnsi="Arial" w:cs="Arial"/>
        </w:rPr>
      </w:pPr>
    </w:p>
    <w:p w:rsidR="004E01EF" w:rsidRDefault="004E01EF">
      <w:pPr>
        <w:ind w:hanging="540"/>
        <w:rPr>
          <w:rFonts w:ascii="Arial" w:eastAsia="Arial" w:hAnsi="Arial" w:cs="Arial"/>
        </w:rPr>
      </w:pPr>
    </w:p>
    <w:tbl>
      <w:tblPr>
        <w:tblStyle w:val="a"/>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0"/>
        <w:gridCol w:w="4816"/>
      </w:tblGrid>
      <w:tr w:rsidR="004E01EF">
        <w:tc>
          <w:tcPr>
            <w:tcW w:w="4220" w:type="dxa"/>
          </w:tcPr>
          <w:p w:rsidR="004E01EF" w:rsidRDefault="004226A7">
            <w:pPr>
              <w:spacing w:before="240" w:after="240"/>
              <w:rPr>
                <w:rFonts w:ascii="Arial" w:eastAsia="Arial" w:hAnsi="Arial" w:cs="Arial"/>
              </w:rPr>
            </w:pPr>
            <w:r>
              <w:rPr>
                <w:rFonts w:ascii="Arial" w:eastAsia="Arial" w:hAnsi="Arial" w:cs="Arial"/>
              </w:rPr>
              <w:t xml:space="preserve">Full Name of Applicant </w:t>
            </w:r>
          </w:p>
          <w:p w:rsidR="004E01EF" w:rsidRDefault="004E01EF">
            <w:pPr>
              <w:spacing w:before="240" w:after="240"/>
              <w:rPr>
                <w:rFonts w:ascii="Arial" w:eastAsia="Arial" w:hAnsi="Arial" w:cs="Arial"/>
              </w:rPr>
            </w:pPr>
          </w:p>
        </w:tc>
        <w:tc>
          <w:tcPr>
            <w:tcW w:w="4816" w:type="dxa"/>
          </w:tcPr>
          <w:p w:rsidR="004E01EF" w:rsidRDefault="004226A7">
            <w:pPr>
              <w:spacing w:before="240" w:after="240"/>
              <w:rPr>
                <w:rFonts w:ascii="Arial" w:eastAsia="Arial" w:hAnsi="Arial" w:cs="Arial"/>
              </w:rPr>
            </w:pPr>
            <w:r>
              <w:rPr>
                <w:rFonts w:ascii="Arial" w:eastAsia="Arial" w:hAnsi="Arial" w:cs="Arial"/>
              </w:rPr>
              <w:t xml:space="preserve">Mr Timothy David </w:t>
            </w:r>
            <w:proofErr w:type="spellStart"/>
            <w:r>
              <w:rPr>
                <w:rFonts w:ascii="Arial" w:eastAsia="Arial" w:hAnsi="Arial" w:cs="Arial"/>
              </w:rPr>
              <w:t>Rossington</w:t>
            </w:r>
            <w:proofErr w:type="spellEnd"/>
          </w:p>
        </w:tc>
      </w:tr>
      <w:tr w:rsidR="004E01EF">
        <w:tc>
          <w:tcPr>
            <w:tcW w:w="4220" w:type="dxa"/>
          </w:tcPr>
          <w:p w:rsidR="004E01EF" w:rsidRDefault="004226A7">
            <w:pPr>
              <w:spacing w:before="240" w:after="240"/>
              <w:rPr>
                <w:rFonts w:ascii="Arial" w:eastAsia="Arial" w:hAnsi="Arial" w:cs="Arial"/>
              </w:rPr>
            </w:pPr>
            <w:r>
              <w:rPr>
                <w:rFonts w:ascii="Arial" w:eastAsia="Arial" w:hAnsi="Arial" w:cs="Arial"/>
              </w:rPr>
              <w:t xml:space="preserve">Title of Former Civil Service Role </w:t>
            </w:r>
          </w:p>
          <w:p w:rsidR="004E01EF" w:rsidRDefault="004E01EF">
            <w:pPr>
              <w:spacing w:before="240" w:after="240"/>
              <w:rPr>
                <w:rFonts w:ascii="Arial" w:eastAsia="Arial" w:hAnsi="Arial" w:cs="Arial"/>
              </w:rPr>
            </w:pPr>
          </w:p>
        </w:tc>
        <w:tc>
          <w:tcPr>
            <w:tcW w:w="4816" w:type="dxa"/>
          </w:tcPr>
          <w:p w:rsidR="004E01EF" w:rsidRDefault="004226A7">
            <w:pPr>
              <w:spacing w:before="240" w:after="240"/>
              <w:rPr>
                <w:rFonts w:ascii="Arial" w:eastAsia="Arial" w:hAnsi="Arial" w:cs="Arial"/>
              </w:rPr>
            </w:pPr>
            <w:r>
              <w:rPr>
                <w:rFonts w:ascii="Arial" w:eastAsia="Arial" w:hAnsi="Arial" w:cs="Arial"/>
              </w:rPr>
              <w:t>Director of Office for Civil Society (SCS2)</w:t>
            </w:r>
          </w:p>
          <w:p w:rsidR="004E01EF" w:rsidRDefault="004226A7">
            <w:pPr>
              <w:spacing w:before="240" w:after="240"/>
              <w:rPr>
                <w:rFonts w:ascii="Arial" w:eastAsia="Arial" w:hAnsi="Arial" w:cs="Arial"/>
              </w:rPr>
            </w:pPr>
            <w:r>
              <w:rPr>
                <w:rFonts w:ascii="Arial" w:eastAsia="Arial" w:hAnsi="Arial" w:cs="Arial"/>
              </w:rPr>
              <w:t>Director in charge of Office for Civil Society, Gambling and Lotteries and Blythe House project</w:t>
            </w:r>
          </w:p>
          <w:p w:rsidR="004E01EF" w:rsidRDefault="004226A7">
            <w:pPr>
              <w:spacing w:before="240" w:after="240"/>
              <w:rPr>
                <w:rFonts w:ascii="Arial" w:eastAsia="Arial" w:hAnsi="Arial" w:cs="Arial"/>
              </w:rPr>
            </w:pPr>
            <w:r>
              <w:rPr>
                <w:rFonts w:ascii="Arial" w:eastAsia="Arial" w:hAnsi="Arial" w:cs="Arial"/>
              </w:rPr>
              <w:t xml:space="preserve">June 2017 - February 2018 </w:t>
            </w:r>
          </w:p>
        </w:tc>
      </w:tr>
      <w:tr w:rsidR="004E01EF">
        <w:tc>
          <w:tcPr>
            <w:tcW w:w="4220" w:type="dxa"/>
          </w:tcPr>
          <w:p w:rsidR="004E01EF" w:rsidRDefault="004226A7">
            <w:pPr>
              <w:spacing w:before="240" w:after="240"/>
              <w:rPr>
                <w:rFonts w:ascii="Arial" w:eastAsia="Arial" w:hAnsi="Arial" w:cs="Arial"/>
              </w:rPr>
            </w:pPr>
            <w:r>
              <w:rPr>
                <w:rFonts w:ascii="Arial" w:eastAsia="Arial" w:hAnsi="Arial" w:cs="Arial"/>
              </w:rPr>
              <w:t xml:space="preserve">Date Left/Retired from the Civil Service </w:t>
            </w:r>
          </w:p>
          <w:p w:rsidR="004E01EF" w:rsidRDefault="004E01EF">
            <w:pPr>
              <w:spacing w:before="240" w:after="240"/>
              <w:rPr>
                <w:rFonts w:ascii="Arial" w:eastAsia="Arial" w:hAnsi="Arial" w:cs="Arial"/>
              </w:rPr>
            </w:pPr>
          </w:p>
        </w:tc>
        <w:tc>
          <w:tcPr>
            <w:tcW w:w="4816" w:type="dxa"/>
          </w:tcPr>
          <w:p w:rsidR="004E01EF" w:rsidRDefault="004226A7">
            <w:pPr>
              <w:spacing w:before="240" w:after="240"/>
              <w:rPr>
                <w:rFonts w:ascii="Arial" w:eastAsia="Arial" w:hAnsi="Arial" w:cs="Arial"/>
              </w:rPr>
            </w:pPr>
            <w:r>
              <w:rPr>
                <w:rFonts w:ascii="Arial" w:eastAsia="Arial" w:hAnsi="Arial" w:cs="Arial"/>
              </w:rPr>
              <w:t xml:space="preserve">8 February 2018 </w:t>
            </w:r>
          </w:p>
        </w:tc>
      </w:tr>
      <w:tr w:rsidR="004E01EF">
        <w:tc>
          <w:tcPr>
            <w:tcW w:w="4220" w:type="dxa"/>
          </w:tcPr>
          <w:p w:rsidR="004E01EF" w:rsidRDefault="004226A7">
            <w:pPr>
              <w:spacing w:before="240" w:after="240"/>
              <w:rPr>
                <w:rFonts w:ascii="Arial" w:eastAsia="Arial" w:hAnsi="Arial" w:cs="Arial"/>
              </w:rPr>
            </w:pPr>
            <w:r>
              <w:rPr>
                <w:rFonts w:ascii="Arial" w:eastAsia="Arial" w:hAnsi="Arial" w:cs="Arial"/>
              </w:rPr>
              <w:t>New Employer</w:t>
            </w:r>
          </w:p>
          <w:p w:rsidR="004E01EF" w:rsidRDefault="004E01EF">
            <w:pPr>
              <w:spacing w:before="240" w:after="240"/>
              <w:rPr>
                <w:rFonts w:ascii="Arial" w:eastAsia="Arial" w:hAnsi="Arial" w:cs="Arial"/>
              </w:rPr>
            </w:pPr>
          </w:p>
        </w:tc>
        <w:tc>
          <w:tcPr>
            <w:tcW w:w="4816" w:type="dxa"/>
          </w:tcPr>
          <w:p w:rsidR="004E01EF" w:rsidRDefault="004226A7">
            <w:pPr>
              <w:spacing w:before="240" w:after="240"/>
              <w:rPr>
                <w:rFonts w:ascii="Arial" w:eastAsia="Arial" w:hAnsi="Arial" w:cs="Arial"/>
              </w:rPr>
            </w:pPr>
            <w:r>
              <w:rPr>
                <w:rFonts w:ascii="Arial" w:eastAsia="Arial" w:hAnsi="Arial" w:cs="Arial"/>
              </w:rPr>
              <w:t xml:space="preserve">Gambling Commission </w:t>
            </w:r>
          </w:p>
        </w:tc>
      </w:tr>
      <w:tr w:rsidR="004E01EF">
        <w:tc>
          <w:tcPr>
            <w:tcW w:w="4220" w:type="dxa"/>
          </w:tcPr>
          <w:p w:rsidR="004E01EF" w:rsidRDefault="004226A7">
            <w:pPr>
              <w:spacing w:before="240" w:after="240"/>
              <w:rPr>
                <w:rFonts w:ascii="Arial" w:eastAsia="Arial" w:hAnsi="Arial" w:cs="Arial"/>
              </w:rPr>
            </w:pPr>
            <w:r>
              <w:rPr>
                <w:rFonts w:ascii="Arial" w:eastAsia="Arial" w:hAnsi="Arial" w:cs="Arial"/>
              </w:rPr>
              <w:t>New Appointment/Employment (includ</w:t>
            </w:r>
            <w:r>
              <w:rPr>
                <w:rFonts w:ascii="Arial" w:eastAsia="Arial" w:hAnsi="Arial" w:cs="Arial"/>
              </w:rPr>
              <w:t>ing when taken up)</w:t>
            </w:r>
          </w:p>
          <w:p w:rsidR="004E01EF" w:rsidRDefault="004E01EF">
            <w:pPr>
              <w:spacing w:before="240" w:after="240"/>
              <w:rPr>
                <w:rFonts w:ascii="Arial" w:eastAsia="Arial" w:hAnsi="Arial" w:cs="Arial"/>
              </w:rPr>
            </w:pPr>
          </w:p>
        </w:tc>
        <w:tc>
          <w:tcPr>
            <w:tcW w:w="4816" w:type="dxa"/>
          </w:tcPr>
          <w:p w:rsidR="004E01EF" w:rsidRDefault="004226A7">
            <w:pPr>
              <w:rPr>
                <w:rFonts w:ascii="Arial" w:eastAsia="Arial" w:hAnsi="Arial" w:cs="Arial"/>
              </w:rPr>
            </w:pPr>
            <w:r>
              <w:rPr>
                <w:rFonts w:ascii="Arial" w:eastAsia="Arial" w:hAnsi="Arial" w:cs="Arial"/>
              </w:rPr>
              <w:t>February 2018.</w:t>
            </w:r>
          </w:p>
          <w:p w:rsidR="004E01EF" w:rsidRDefault="004E01EF">
            <w:pPr>
              <w:rPr>
                <w:rFonts w:ascii="Arial" w:eastAsia="Arial" w:hAnsi="Arial" w:cs="Arial"/>
              </w:rPr>
            </w:pPr>
          </w:p>
          <w:p w:rsidR="004E01EF" w:rsidRDefault="004226A7">
            <w:pPr>
              <w:rPr>
                <w:rFonts w:ascii="Arial" w:eastAsia="Arial" w:hAnsi="Arial" w:cs="Arial"/>
              </w:rPr>
            </w:pPr>
            <w:r>
              <w:rPr>
                <w:rFonts w:ascii="Arial" w:eastAsia="Arial" w:hAnsi="Arial" w:cs="Arial"/>
              </w:rPr>
              <w:t>12-16 days per year, for one year.</w:t>
            </w:r>
          </w:p>
          <w:p w:rsidR="004E01EF" w:rsidRDefault="004E01EF">
            <w:pPr>
              <w:rPr>
                <w:rFonts w:ascii="Arial" w:eastAsia="Arial" w:hAnsi="Arial" w:cs="Arial"/>
              </w:rPr>
            </w:pPr>
          </w:p>
          <w:p w:rsidR="004E01EF" w:rsidRDefault="004226A7">
            <w:pPr>
              <w:rPr>
                <w:rFonts w:ascii="Arial" w:eastAsia="Arial" w:hAnsi="Arial" w:cs="Arial"/>
              </w:rPr>
            </w:pPr>
            <w:r>
              <w:rPr>
                <w:rFonts w:ascii="Arial" w:eastAsia="Arial" w:hAnsi="Arial" w:cs="Arial"/>
              </w:rPr>
              <w:t>This is appointment to a</w:t>
            </w:r>
            <w:r>
              <w:rPr>
                <w:rFonts w:ascii="Arial" w:eastAsia="Arial" w:hAnsi="Arial" w:cs="Arial"/>
              </w:rPr>
              <w:t>n expert advisory</w:t>
            </w:r>
            <w:r>
              <w:rPr>
                <w:rFonts w:ascii="Arial" w:eastAsia="Arial" w:hAnsi="Arial" w:cs="Arial"/>
              </w:rPr>
              <w:t xml:space="preserve"> panel</w:t>
            </w:r>
            <w:r>
              <w:rPr>
                <w:rFonts w:ascii="Arial" w:eastAsia="Arial" w:hAnsi="Arial" w:cs="Arial"/>
              </w:rPr>
              <w:t>, to help shape early policy thinking.  It does not constitute</w:t>
            </w:r>
            <w:r w:rsidR="00654662">
              <w:rPr>
                <w:rFonts w:ascii="Arial" w:eastAsia="Arial" w:hAnsi="Arial" w:cs="Arial"/>
              </w:rPr>
              <w:t xml:space="preserve"> </w:t>
            </w:r>
            <w:r>
              <w:rPr>
                <w:rFonts w:ascii="Arial" w:eastAsia="Arial" w:hAnsi="Arial" w:cs="Arial"/>
              </w:rPr>
              <w:t>employment.</w:t>
            </w:r>
          </w:p>
          <w:p w:rsidR="004E01EF" w:rsidRDefault="004E01EF">
            <w:pPr>
              <w:rPr>
                <w:rFonts w:ascii="Arial" w:eastAsia="Arial" w:hAnsi="Arial" w:cs="Arial"/>
              </w:rPr>
            </w:pPr>
          </w:p>
          <w:p w:rsidR="004E01EF" w:rsidRDefault="004226A7">
            <w:pPr>
              <w:rPr>
                <w:rFonts w:ascii="Arial" w:eastAsia="Arial" w:hAnsi="Arial" w:cs="Arial"/>
              </w:rPr>
            </w:pPr>
            <w:r>
              <w:rPr>
                <w:rFonts w:ascii="Arial" w:eastAsia="Arial" w:hAnsi="Arial" w:cs="Arial"/>
              </w:rPr>
              <w:t xml:space="preserve">The Expert Advisory Panel will </w:t>
            </w:r>
            <w:r w:rsidR="00654662">
              <w:rPr>
                <w:rFonts w:ascii="Arial" w:eastAsia="Arial" w:hAnsi="Arial" w:cs="Arial"/>
              </w:rPr>
              <w:t>consist</w:t>
            </w:r>
            <w:r>
              <w:rPr>
                <w:rFonts w:ascii="Arial" w:eastAsia="Arial" w:hAnsi="Arial" w:cs="Arial"/>
              </w:rPr>
              <w:t xml:space="preserve"> of 4 - 5 people each with a different</w:t>
            </w:r>
            <w:r>
              <w:rPr>
                <w:rFonts w:ascii="Arial" w:eastAsia="Arial" w:hAnsi="Arial" w:cs="Arial"/>
              </w:rPr>
              <w:t xml:space="preserve"> specialism to add expertise to Competition design. </w:t>
            </w:r>
          </w:p>
          <w:p w:rsidR="004E01EF" w:rsidRDefault="004E01EF">
            <w:pPr>
              <w:rPr>
                <w:rFonts w:ascii="Arial" w:eastAsia="Arial" w:hAnsi="Arial" w:cs="Arial"/>
              </w:rPr>
            </w:pPr>
          </w:p>
        </w:tc>
      </w:tr>
      <w:tr w:rsidR="004E01EF">
        <w:tc>
          <w:tcPr>
            <w:tcW w:w="4220" w:type="dxa"/>
          </w:tcPr>
          <w:p w:rsidR="004E01EF" w:rsidRDefault="004226A7">
            <w:pPr>
              <w:spacing w:before="240" w:after="240"/>
              <w:rPr>
                <w:rFonts w:ascii="Arial" w:eastAsia="Arial" w:hAnsi="Arial" w:cs="Arial"/>
              </w:rPr>
            </w:pPr>
            <w:r>
              <w:rPr>
                <w:rFonts w:ascii="Arial" w:eastAsia="Arial" w:hAnsi="Arial" w:cs="Arial"/>
              </w:rPr>
              <w:t>Department’s Decision on Application (including details of any waiting period or other conditions or restrictions applied)</w:t>
            </w:r>
          </w:p>
        </w:tc>
        <w:tc>
          <w:tcPr>
            <w:tcW w:w="4816" w:type="dxa"/>
          </w:tcPr>
          <w:p w:rsidR="004E01EF" w:rsidRDefault="004226A7">
            <w:pPr>
              <w:rPr>
                <w:rFonts w:ascii="Arial" w:eastAsia="Arial" w:hAnsi="Arial" w:cs="Arial"/>
              </w:rPr>
            </w:pPr>
            <w:r>
              <w:rPr>
                <w:rFonts w:ascii="Arial" w:eastAsia="Arial" w:hAnsi="Arial" w:cs="Arial"/>
              </w:rPr>
              <w:t>Approved, subject to the following conditions:</w:t>
            </w:r>
          </w:p>
          <w:p w:rsidR="004E01EF" w:rsidRDefault="004E01EF">
            <w:pPr>
              <w:rPr>
                <w:rFonts w:ascii="Arial" w:eastAsia="Arial" w:hAnsi="Arial" w:cs="Arial"/>
              </w:rPr>
            </w:pPr>
          </w:p>
          <w:p w:rsidR="004E01EF" w:rsidRDefault="004226A7">
            <w:pPr>
              <w:rPr>
                <w:rFonts w:ascii="Arial" w:eastAsia="Arial" w:hAnsi="Arial" w:cs="Arial"/>
              </w:rPr>
            </w:pPr>
            <w:r>
              <w:rPr>
                <w:rFonts w:ascii="Arial" w:eastAsia="Arial" w:hAnsi="Arial" w:cs="Arial"/>
              </w:rPr>
              <w:br/>
            </w:r>
            <w:r>
              <w:rPr>
                <w:rFonts w:ascii="Arial" w:eastAsia="Arial" w:hAnsi="Arial" w:cs="Arial"/>
              </w:rPr>
              <w:br/>
              <w:t>It is recommended that the individual would not be prevented from taking up a position based on the current information, ho</w:t>
            </w:r>
            <w:r>
              <w:rPr>
                <w:rFonts w:ascii="Arial" w:eastAsia="Arial" w:hAnsi="Arial" w:cs="Arial"/>
              </w:rPr>
              <w:t xml:space="preserve">wever if anything further emerges in </w:t>
            </w:r>
            <w:r>
              <w:rPr>
                <w:rFonts w:ascii="Arial" w:eastAsia="Arial" w:hAnsi="Arial" w:cs="Arial"/>
              </w:rPr>
              <w:lastRenderedPageBreak/>
              <w:t>relat</w:t>
            </w:r>
            <w:bookmarkStart w:id="1" w:name="_GoBack"/>
            <w:bookmarkEnd w:id="1"/>
            <w:r>
              <w:rPr>
                <w:rFonts w:ascii="Arial" w:eastAsia="Arial" w:hAnsi="Arial" w:cs="Arial"/>
              </w:rPr>
              <w:t>ion to the post which could be viewed as out of line with the Business Appointment rules, the situation should be revisited.</w:t>
            </w:r>
            <w:r>
              <w:rPr>
                <w:rFonts w:ascii="Arial" w:eastAsia="Arial" w:hAnsi="Arial" w:cs="Arial"/>
              </w:rPr>
              <w:br/>
            </w:r>
          </w:p>
        </w:tc>
      </w:tr>
    </w:tbl>
    <w:p w:rsidR="004E01EF" w:rsidRDefault="004E01EF">
      <w:pPr>
        <w:rPr>
          <w:rFonts w:ascii="Arial" w:eastAsia="Arial" w:hAnsi="Arial" w:cs="Arial"/>
        </w:rPr>
      </w:pPr>
    </w:p>
    <w:sectPr w:rsidR="004E01EF">
      <w:headerReference w:type="even" r:id="rId9"/>
      <w:headerReference w:type="default" r:id="rId10"/>
      <w:footerReference w:type="even" r:id="rId11"/>
      <w:footerReference w:type="default" r:id="rId12"/>
      <w:headerReference w:type="first" r:id="rId13"/>
      <w:footerReference w:type="first" r:id="rId14"/>
      <w:pgSz w:w="11906" w:h="16838"/>
      <w:pgMar w:top="899" w:right="1286" w:bottom="1079"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A7" w:rsidRDefault="004226A7">
      <w:r>
        <w:separator/>
      </w:r>
    </w:p>
  </w:endnote>
  <w:endnote w:type="continuationSeparator" w:id="0">
    <w:p w:rsidR="004226A7" w:rsidRDefault="0042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EF" w:rsidRDefault="004E01EF">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EF" w:rsidRDefault="004E01EF">
    <w:pPr>
      <w:tabs>
        <w:tab w:val="center" w:pos="4513"/>
        <w:tab w:val="right"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EF" w:rsidRDefault="004E01EF">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A7" w:rsidRDefault="004226A7">
      <w:r>
        <w:separator/>
      </w:r>
    </w:p>
  </w:footnote>
  <w:footnote w:type="continuationSeparator" w:id="0">
    <w:p w:rsidR="004226A7" w:rsidRDefault="0042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EF" w:rsidRDefault="004E01EF">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EF" w:rsidRDefault="004E01EF">
    <w:pPr>
      <w:tabs>
        <w:tab w:val="center" w:pos="4513"/>
        <w:tab w:val="right" w:pos="902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EF" w:rsidRDefault="004E01EF">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55EC"/>
    <w:multiLevelType w:val="multilevel"/>
    <w:tmpl w:val="32CAD4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01EF"/>
    <w:rsid w:val="004226A7"/>
    <w:rsid w:val="004E01EF"/>
    <w:rsid w:val="0065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AE74"/>
  <w15:docId w15:val="{9D4BCF15-131D-458C-B72A-9A1ED9FB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coba.independent.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CBD5-8A68-4603-AAAE-7B2DD1B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2759</Characters>
  <Application>Microsoft Office Word</Application>
  <DocSecurity>0</DocSecurity>
  <Lines>22</Lines>
  <Paragraphs>6</Paragraphs>
  <ScaleCrop>false</ScaleCrop>
  <Company>Cabinet Office</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Rhys Jones</cp:lastModifiedBy>
  <cp:revision>2</cp:revision>
  <dcterms:created xsi:type="dcterms:W3CDTF">2018-03-23T10:32:00Z</dcterms:created>
  <dcterms:modified xsi:type="dcterms:W3CDTF">2018-03-23T10:33:00Z</dcterms:modified>
</cp:coreProperties>
</file>