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DB15" w14:textId="77777777" w:rsidR="00810AB4" w:rsidRDefault="00620483" w:rsidP="00101922">
      <w:pPr>
        <w:ind w:hanging="142"/>
        <w:jc w:val="left"/>
        <w:rPr>
          <w:color w:val="000000"/>
        </w:rPr>
      </w:pPr>
      <w:r>
        <w:rPr>
          <w:bCs/>
          <w:noProof/>
        </w:rPr>
        <mc:AlternateContent>
          <mc:Choice Requires="wps">
            <w:drawing>
              <wp:inline distT="0" distB="0" distL="0" distR="0" wp14:anchorId="144DD20D" wp14:editId="0880057B">
                <wp:extent cx="5774055" cy="1550504"/>
                <wp:effectExtent l="0" t="0" r="17145" b="12065"/>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550504"/>
                        </a:xfrm>
                        <a:prstGeom prst="rect">
                          <a:avLst/>
                        </a:prstGeom>
                        <a:solidFill>
                          <a:srgbClr val="FFFFFF"/>
                        </a:solidFill>
                        <a:ln w="12700">
                          <a:solidFill>
                            <a:srgbClr val="000000"/>
                          </a:solidFill>
                          <a:miter lim="800000"/>
                          <a:headEnd/>
                          <a:tailEnd/>
                        </a:ln>
                      </wps:spPr>
                      <wps:txbx>
                        <w:txbxContent>
                          <w:p w14:paraId="35552B38" w14:textId="77777777" w:rsidR="002A6A31" w:rsidRPr="00EE3B33" w:rsidRDefault="002A6A31" w:rsidP="00B326E5">
                            <w:pPr>
                              <w:pStyle w:val="NormalWeb"/>
                              <w:rPr>
                                <w:rFonts w:ascii="Calibri" w:hAnsi="Calibri"/>
                                <w:b/>
                                <w:bCs/>
                                <w:color w:val="000000"/>
                                <w:sz w:val="28"/>
                                <w:szCs w:val="28"/>
                              </w:rPr>
                            </w:pPr>
                            <w:r>
                              <w:rPr>
                                <w:b/>
                                <w:bCs/>
                                <w:color w:val="000000"/>
                                <w:sz w:val="28"/>
                                <w:szCs w:val="28"/>
                              </w:rPr>
                              <w:t>M</w:t>
                            </w:r>
                            <w:r w:rsidRPr="00EE3B33">
                              <w:rPr>
                                <w:b/>
                                <w:bCs/>
                                <w:color w:val="000000"/>
                                <w:sz w:val="28"/>
                                <w:szCs w:val="28"/>
                              </w:rPr>
                              <w:t>aintained schools and academies inspection</w:t>
                            </w:r>
                            <w:r>
                              <w:rPr>
                                <w:b/>
                                <w:bCs/>
                                <w:color w:val="000000"/>
                                <w:sz w:val="28"/>
                                <w:szCs w:val="28"/>
                              </w:rPr>
                              <w:t>s and</w:t>
                            </w:r>
                            <w:r w:rsidRPr="00EE3B33">
                              <w:rPr>
                                <w:b/>
                                <w:bCs/>
                                <w:color w:val="000000"/>
                                <w:sz w:val="28"/>
                                <w:szCs w:val="28"/>
                              </w:rPr>
                              <w:t xml:space="preserve"> outcomes as at 31 </w:t>
                            </w:r>
                            <w:r>
                              <w:rPr>
                                <w:b/>
                                <w:bCs/>
                                <w:color w:val="000000"/>
                                <w:sz w:val="28"/>
                                <w:szCs w:val="28"/>
                              </w:rPr>
                              <w:t>December</w:t>
                            </w:r>
                            <w:r w:rsidRPr="00EE3B33">
                              <w:rPr>
                                <w:b/>
                                <w:bCs/>
                                <w:color w:val="000000"/>
                                <w:sz w:val="28"/>
                                <w:szCs w:val="28"/>
                              </w:rPr>
                              <w:t xml:space="preserve"> 2017</w:t>
                            </w:r>
                          </w:p>
                          <w:p w14:paraId="1F67CFEC" w14:textId="77777777" w:rsidR="002A6A31" w:rsidRPr="00D04363" w:rsidRDefault="002A6A31" w:rsidP="00771A3A">
                            <w:pPr>
                              <w:pStyle w:val="NormalWeb"/>
                              <w:jc w:val="left"/>
                              <w:rPr>
                                <w:sz w:val="4"/>
                                <w:szCs w:val="4"/>
                              </w:rPr>
                            </w:pPr>
                          </w:p>
                          <w:p w14:paraId="6CA05CA2" w14:textId="77777777" w:rsidR="002A6A31" w:rsidRDefault="002A6A31" w:rsidP="00771A3A">
                            <w:pPr>
                              <w:jc w:val="left"/>
                            </w:pPr>
                            <w:r w:rsidRPr="00771A3A">
                              <w:rPr>
                                <w:color w:val="000000"/>
                                <w:sz w:val="20"/>
                                <w:szCs w:val="20"/>
                              </w:rPr>
                              <w:t>This release contains:</w:t>
                            </w:r>
                          </w:p>
                          <w:p w14:paraId="5F0EB321" w14:textId="389352B6" w:rsidR="002A6A31" w:rsidRPr="00771A3A" w:rsidRDefault="002A6A31" w:rsidP="00997F5C">
                            <w:pPr>
                              <w:numPr>
                                <w:ilvl w:val="0"/>
                                <w:numId w:val="3"/>
                              </w:numPr>
                              <w:ind w:left="1267" w:hanging="841"/>
                              <w:contextualSpacing/>
                              <w:jc w:val="left"/>
                              <w:rPr>
                                <w:rFonts w:ascii="Times New Roman" w:hAnsi="Times New Roman"/>
                                <w:sz w:val="20"/>
                                <w:szCs w:val="20"/>
                              </w:rPr>
                            </w:pPr>
                            <w:r w:rsidRPr="00771A3A">
                              <w:rPr>
                                <w:rFonts w:eastAsia="Tahoma"/>
                                <w:color w:val="000000"/>
                                <w:sz w:val="20"/>
                                <w:szCs w:val="20"/>
                              </w:rPr>
                              <w:t>m</w:t>
                            </w:r>
                            <w:r w:rsidRPr="00771A3A">
                              <w:rPr>
                                <w:rFonts w:eastAsia="Tahoma" w:cs="Tahoma"/>
                                <w:color w:val="000000"/>
                                <w:sz w:val="20"/>
                                <w:szCs w:val="20"/>
                              </w:rPr>
                              <w:t>ost recen</w:t>
                            </w:r>
                            <w:r>
                              <w:rPr>
                                <w:rFonts w:eastAsia="Tahoma" w:cs="Tahoma"/>
                                <w:color w:val="000000"/>
                                <w:sz w:val="20"/>
                                <w:szCs w:val="20"/>
                              </w:rPr>
                              <w:t>t inspection</w:t>
                            </w:r>
                            <w:r w:rsidR="00F76E26">
                              <w:rPr>
                                <w:rFonts w:eastAsia="Tahoma" w:cs="Tahoma"/>
                                <w:color w:val="000000"/>
                                <w:sz w:val="20"/>
                                <w:szCs w:val="20"/>
                              </w:rPr>
                              <w:t>s and</w:t>
                            </w:r>
                            <w:r>
                              <w:rPr>
                                <w:rFonts w:eastAsia="Tahoma" w:cs="Tahoma"/>
                                <w:color w:val="000000"/>
                                <w:sz w:val="20"/>
                                <w:szCs w:val="20"/>
                              </w:rPr>
                              <w:t xml:space="preserve"> outcomes </w:t>
                            </w:r>
                            <w:r w:rsidRPr="00771A3A">
                              <w:rPr>
                                <w:rFonts w:eastAsia="Tahoma" w:cs="Tahoma"/>
                                <w:color w:val="000000"/>
                                <w:sz w:val="20"/>
                                <w:szCs w:val="20"/>
                              </w:rPr>
                              <w:t xml:space="preserve">as at </w:t>
                            </w:r>
                            <w:r>
                              <w:rPr>
                                <w:rFonts w:eastAsia="Tahoma" w:cs="Tahoma"/>
                                <w:color w:val="000000"/>
                                <w:sz w:val="20"/>
                                <w:szCs w:val="20"/>
                              </w:rPr>
                              <w:t>31 December 2017</w:t>
                            </w:r>
                          </w:p>
                          <w:p w14:paraId="51FAD1A1" w14:textId="77777777" w:rsidR="002A6A31" w:rsidRPr="00EE3B33" w:rsidRDefault="002A6A31" w:rsidP="00997F5C">
                            <w:pPr>
                              <w:numPr>
                                <w:ilvl w:val="0"/>
                                <w:numId w:val="3"/>
                              </w:numPr>
                              <w:ind w:left="1267" w:hanging="841"/>
                              <w:contextualSpacing/>
                              <w:jc w:val="left"/>
                              <w:rPr>
                                <w:rFonts w:ascii="Times New Roman" w:hAnsi="Times New Roman"/>
                                <w:sz w:val="20"/>
                                <w:szCs w:val="20"/>
                              </w:rPr>
                            </w:pPr>
                            <w:r w:rsidRPr="00771A3A">
                              <w:rPr>
                                <w:color w:val="000000"/>
                                <w:sz w:val="20"/>
                                <w:szCs w:val="20"/>
                              </w:rPr>
                              <w:t>provisional data for inspect</w:t>
                            </w:r>
                            <w:r>
                              <w:rPr>
                                <w:color w:val="000000"/>
                                <w:sz w:val="20"/>
                                <w:szCs w:val="20"/>
                              </w:rPr>
                              <w:t xml:space="preserve">ions completed between </w:t>
                            </w:r>
                            <w:r>
                              <w:rPr>
                                <w:rFonts w:eastAsia="Tahoma" w:cs="Tahoma"/>
                                <w:color w:val="000000"/>
                                <w:sz w:val="20"/>
                                <w:szCs w:val="20"/>
                              </w:rPr>
                              <w:t>1 September 2017</w:t>
                            </w:r>
                            <w:r>
                              <w:rPr>
                                <w:color w:val="000000"/>
                                <w:sz w:val="20"/>
                                <w:szCs w:val="20"/>
                              </w:rPr>
                              <w:t xml:space="preserve"> and 31 December 2017</w:t>
                            </w:r>
                          </w:p>
                          <w:p w14:paraId="1E48E2C2" w14:textId="77777777" w:rsidR="002A6A31" w:rsidRPr="00771A3A" w:rsidRDefault="002A6A31" w:rsidP="00997F5C">
                            <w:pPr>
                              <w:numPr>
                                <w:ilvl w:val="0"/>
                                <w:numId w:val="3"/>
                              </w:numPr>
                              <w:ind w:left="1267" w:hanging="841"/>
                              <w:contextualSpacing/>
                              <w:jc w:val="left"/>
                              <w:rPr>
                                <w:rFonts w:ascii="Times New Roman" w:hAnsi="Times New Roman"/>
                                <w:sz w:val="20"/>
                                <w:szCs w:val="20"/>
                              </w:rPr>
                            </w:pPr>
                            <w:r w:rsidRPr="00771A3A">
                              <w:rPr>
                                <w:color w:val="000000"/>
                                <w:sz w:val="20"/>
                                <w:szCs w:val="20"/>
                              </w:rPr>
                              <w:t>revised data for inspection</w:t>
                            </w:r>
                            <w:r>
                              <w:rPr>
                                <w:color w:val="000000"/>
                                <w:sz w:val="20"/>
                                <w:szCs w:val="20"/>
                              </w:rPr>
                              <w:t>s completed between 1 September 2016 and 31 August 2017</w:t>
                            </w:r>
                          </w:p>
                          <w:p w14:paraId="6D2FFB13" w14:textId="77777777" w:rsidR="002A6A31" w:rsidRDefault="002A6A31" w:rsidP="00771A3A">
                            <w:pPr>
                              <w:pStyle w:val="NormalWeb"/>
                              <w:jc w:val="left"/>
                              <w:rPr>
                                <w:color w:val="000000"/>
                              </w:rPr>
                            </w:pPr>
                          </w:p>
                          <w:p w14:paraId="64BFF67F" w14:textId="77777777" w:rsidR="002A6A31" w:rsidRDefault="002A6A31" w:rsidP="00B604A2">
                            <w:pPr>
                              <w:pStyle w:val="NormalWeb"/>
                            </w:pPr>
                          </w:p>
                        </w:txbxContent>
                      </wps:txbx>
                      <wps:bodyPr rot="0" vert="horz" wrap="square" lIns="91440" tIns="45720" rIns="91440" bIns="45720" anchor="t" anchorCtr="0" upright="1">
                        <a:noAutofit/>
                      </wps:bodyPr>
                    </wps:wsp>
                  </a:graphicData>
                </a:graphic>
              </wp:inline>
            </w:drawing>
          </mc:Choice>
          <mc:Fallback>
            <w:pict>
              <v:shapetype w14:anchorId="144DD20D" id="_x0000_t202" coordsize="21600,21600" o:spt="202" path="m,l,21600r21600,l21600,xe">
                <v:stroke joinstyle="miter"/>
                <v:path gradientshapeok="t" o:connecttype="rect"/>
              </v:shapetype>
              <v:shape id="TextBox 1" o:spid="_x0000_s1026" type="#_x0000_t202" style="width:454.65pt;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" strokeweight="1pt">
                <v:textbox>
                  <w:txbxContent>
                    <w:p w14:paraId="35552B38" w14:textId="77777777" w:rsidR="002A6A31" w:rsidRPr="00EE3B33" w:rsidRDefault="002A6A31" w:rsidP="00B326E5">
                      <w:pPr>
                        <w:pStyle w:val="NormalWeb"/>
                        <w:rPr>
                          <w:rFonts w:ascii="Calibri" w:hAnsi="Calibri"/>
                          <w:b/>
                          <w:bCs/>
                          <w:color w:val="000000"/>
                          <w:sz w:val="28"/>
                          <w:szCs w:val="28"/>
                        </w:rPr>
                      </w:pPr>
                      <w:r>
                        <w:rPr>
                          <w:b/>
                          <w:bCs/>
                          <w:color w:val="000000"/>
                          <w:sz w:val="28"/>
                          <w:szCs w:val="28"/>
                        </w:rPr>
                        <w:t>M</w:t>
                      </w:r>
                      <w:r w:rsidRPr="00EE3B33">
                        <w:rPr>
                          <w:b/>
                          <w:bCs/>
                          <w:color w:val="000000"/>
                          <w:sz w:val="28"/>
                          <w:szCs w:val="28"/>
                        </w:rPr>
                        <w:t>aintained schools and academies inspection</w:t>
                      </w:r>
                      <w:r>
                        <w:rPr>
                          <w:b/>
                          <w:bCs/>
                          <w:color w:val="000000"/>
                          <w:sz w:val="28"/>
                          <w:szCs w:val="28"/>
                        </w:rPr>
                        <w:t>s and</w:t>
                      </w:r>
                      <w:r w:rsidRPr="00EE3B33">
                        <w:rPr>
                          <w:b/>
                          <w:bCs/>
                          <w:color w:val="000000"/>
                          <w:sz w:val="28"/>
                          <w:szCs w:val="28"/>
                        </w:rPr>
                        <w:t xml:space="preserve"> outcomes as at 31 </w:t>
                      </w:r>
                      <w:r>
                        <w:rPr>
                          <w:b/>
                          <w:bCs/>
                          <w:color w:val="000000"/>
                          <w:sz w:val="28"/>
                          <w:szCs w:val="28"/>
                        </w:rPr>
                        <w:t>December</w:t>
                      </w:r>
                      <w:r w:rsidRPr="00EE3B33">
                        <w:rPr>
                          <w:b/>
                          <w:bCs/>
                          <w:color w:val="000000"/>
                          <w:sz w:val="28"/>
                          <w:szCs w:val="28"/>
                        </w:rPr>
                        <w:t xml:space="preserve"> 2017</w:t>
                      </w:r>
                    </w:p>
                    <w:p w14:paraId="1F67CFEC" w14:textId="77777777" w:rsidR="002A6A31" w:rsidRPr="00D04363" w:rsidRDefault="002A6A31" w:rsidP="00771A3A">
                      <w:pPr>
                        <w:pStyle w:val="NormalWeb"/>
                        <w:jc w:val="left"/>
                        <w:rPr>
                          <w:sz w:val="4"/>
                          <w:szCs w:val="4"/>
                        </w:rPr>
                      </w:pPr>
                    </w:p>
                    <w:p w14:paraId="6CA05CA2" w14:textId="77777777" w:rsidR="002A6A31" w:rsidRDefault="002A6A31" w:rsidP="00771A3A">
                      <w:pPr>
                        <w:jc w:val="left"/>
                      </w:pPr>
                      <w:r w:rsidRPr="00771A3A">
                        <w:rPr>
                          <w:color w:val="000000"/>
                          <w:sz w:val="20"/>
                          <w:szCs w:val="20"/>
                        </w:rPr>
                        <w:t>This release contains:</w:t>
                      </w:r>
                    </w:p>
                    <w:p w14:paraId="5F0EB321" w14:textId="389352B6" w:rsidR="002A6A31" w:rsidRPr="00771A3A" w:rsidRDefault="002A6A31" w:rsidP="00997F5C">
                      <w:pPr>
                        <w:numPr>
                          <w:ilvl w:val="0"/>
                          <w:numId w:val="3"/>
                        </w:numPr>
                        <w:ind w:left="1267" w:hanging="841"/>
                        <w:contextualSpacing/>
                        <w:jc w:val="left"/>
                        <w:rPr>
                          <w:rFonts w:ascii="Times New Roman" w:hAnsi="Times New Roman"/>
                          <w:sz w:val="20"/>
                          <w:szCs w:val="20"/>
                        </w:rPr>
                      </w:pPr>
                      <w:r w:rsidRPr="00771A3A">
                        <w:rPr>
                          <w:rFonts w:eastAsia="Tahoma"/>
                          <w:color w:val="000000"/>
                          <w:sz w:val="20"/>
                          <w:szCs w:val="20"/>
                        </w:rPr>
                        <w:t>m</w:t>
                      </w:r>
                      <w:r w:rsidRPr="00771A3A">
                        <w:rPr>
                          <w:rFonts w:eastAsia="Tahoma" w:cs="Tahoma"/>
                          <w:color w:val="000000"/>
                          <w:sz w:val="20"/>
                          <w:szCs w:val="20"/>
                        </w:rPr>
                        <w:t>ost recen</w:t>
                      </w:r>
                      <w:r>
                        <w:rPr>
                          <w:rFonts w:eastAsia="Tahoma" w:cs="Tahoma"/>
                          <w:color w:val="000000"/>
                          <w:sz w:val="20"/>
                          <w:szCs w:val="20"/>
                        </w:rPr>
                        <w:t>t inspection</w:t>
                      </w:r>
                      <w:r w:rsidR="00F76E26">
                        <w:rPr>
                          <w:rFonts w:eastAsia="Tahoma" w:cs="Tahoma"/>
                          <w:color w:val="000000"/>
                          <w:sz w:val="20"/>
                          <w:szCs w:val="20"/>
                        </w:rPr>
                        <w:t>s and</w:t>
                      </w:r>
                      <w:r>
                        <w:rPr>
                          <w:rFonts w:eastAsia="Tahoma" w:cs="Tahoma"/>
                          <w:color w:val="000000"/>
                          <w:sz w:val="20"/>
                          <w:szCs w:val="20"/>
                        </w:rPr>
                        <w:t xml:space="preserve"> outcomes </w:t>
                      </w:r>
                      <w:r w:rsidRPr="00771A3A">
                        <w:rPr>
                          <w:rFonts w:eastAsia="Tahoma" w:cs="Tahoma"/>
                          <w:color w:val="000000"/>
                          <w:sz w:val="20"/>
                          <w:szCs w:val="20"/>
                        </w:rPr>
                        <w:t xml:space="preserve">as at </w:t>
                      </w:r>
                      <w:r>
                        <w:rPr>
                          <w:rFonts w:eastAsia="Tahoma" w:cs="Tahoma"/>
                          <w:color w:val="000000"/>
                          <w:sz w:val="20"/>
                          <w:szCs w:val="20"/>
                        </w:rPr>
                        <w:t>31 December 2017</w:t>
                      </w:r>
                    </w:p>
                    <w:p w14:paraId="51FAD1A1" w14:textId="77777777" w:rsidR="002A6A31" w:rsidRPr="00EE3B33" w:rsidRDefault="002A6A31" w:rsidP="00997F5C">
                      <w:pPr>
                        <w:numPr>
                          <w:ilvl w:val="0"/>
                          <w:numId w:val="3"/>
                        </w:numPr>
                        <w:ind w:left="1267" w:hanging="841"/>
                        <w:contextualSpacing/>
                        <w:jc w:val="left"/>
                        <w:rPr>
                          <w:rFonts w:ascii="Times New Roman" w:hAnsi="Times New Roman"/>
                          <w:sz w:val="20"/>
                          <w:szCs w:val="20"/>
                        </w:rPr>
                      </w:pPr>
                      <w:r w:rsidRPr="00771A3A">
                        <w:rPr>
                          <w:color w:val="000000"/>
                          <w:sz w:val="20"/>
                          <w:szCs w:val="20"/>
                        </w:rPr>
                        <w:t>provisional data for inspect</w:t>
                      </w:r>
                      <w:r>
                        <w:rPr>
                          <w:color w:val="000000"/>
                          <w:sz w:val="20"/>
                          <w:szCs w:val="20"/>
                        </w:rPr>
                        <w:t xml:space="preserve">ions completed between </w:t>
                      </w:r>
                      <w:r>
                        <w:rPr>
                          <w:rFonts w:eastAsia="Tahoma" w:cs="Tahoma"/>
                          <w:color w:val="000000"/>
                          <w:sz w:val="20"/>
                          <w:szCs w:val="20"/>
                        </w:rPr>
                        <w:t>1 September 2017</w:t>
                      </w:r>
                      <w:r>
                        <w:rPr>
                          <w:color w:val="000000"/>
                          <w:sz w:val="20"/>
                          <w:szCs w:val="20"/>
                        </w:rPr>
                        <w:t xml:space="preserve"> and 31 December 2017</w:t>
                      </w:r>
                    </w:p>
                    <w:p w14:paraId="1E48E2C2" w14:textId="77777777" w:rsidR="002A6A31" w:rsidRPr="00771A3A" w:rsidRDefault="002A6A31" w:rsidP="00997F5C">
                      <w:pPr>
                        <w:numPr>
                          <w:ilvl w:val="0"/>
                          <w:numId w:val="3"/>
                        </w:numPr>
                        <w:ind w:left="1267" w:hanging="841"/>
                        <w:contextualSpacing/>
                        <w:jc w:val="left"/>
                        <w:rPr>
                          <w:rFonts w:ascii="Times New Roman" w:hAnsi="Times New Roman"/>
                          <w:sz w:val="20"/>
                          <w:szCs w:val="20"/>
                        </w:rPr>
                      </w:pPr>
                      <w:r w:rsidRPr="00771A3A">
                        <w:rPr>
                          <w:color w:val="000000"/>
                          <w:sz w:val="20"/>
                          <w:szCs w:val="20"/>
                        </w:rPr>
                        <w:t>revised data for inspection</w:t>
                      </w:r>
                      <w:r>
                        <w:rPr>
                          <w:color w:val="000000"/>
                          <w:sz w:val="20"/>
                          <w:szCs w:val="20"/>
                        </w:rPr>
                        <w:t>s completed between 1 September 2016 and 31 August 2017</w:t>
                      </w:r>
                    </w:p>
                    <w:p w14:paraId="6D2FFB13" w14:textId="77777777" w:rsidR="002A6A31" w:rsidRDefault="002A6A31" w:rsidP="00771A3A">
                      <w:pPr>
                        <w:pStyle w:val="NormalWeb"/>
                        <w:jc w:val="left"/>
                        <w:rPr>
                          <w:color w:val="000000"/>
                        </w:rPr>
                      </w:pPr>
                    </w:p>
                    <w:p w14:paraId="64BFF67F" w14:textId="77777777" w:rsidR="002A6A31" w:rsidRDefault="002A6A31" w:rsidP="00B604A2">
                      <w:pPr>
                        <w:pStyle w:val="NormalWeb"/>
                      </w:pPr>
                    </w:p>
                  </w:txbxContent>
                </v:textbox>
                <w10:anchorlock/>
              </v:shape>
            </w:pict>
          </mc:Fallback>
        </mc:AlternateContent>
      </w:r>
    </w:p>
    <w:p w14:paraId="0ABE8841" w14:textId="77777777" w:rsidR="00810AB4" w:rsidRDefault="00810AB4" w:rsidP="009010F8">
      <w:pPr>
        <w:jc w:val="left"/>
        <w:rPr>
          <w:color w:val="000000"/>
          <w:sz w:val="8"/>
          <w:szCs w:val="8"/>
        </w:rPr>
      </w:pPr>
    </w:p>
    <w:p w14:paraId="4A7DCE00" w14:textId="77777777" w:rsidR="00AE4A0B" w:rsidRPr="00AE4A0B" w:rsidRDefault="00AE4A0B" w:rsidP="009010F8">
      <w:pPr>
        <w:jc w:val="left"/>
        <w:rPr>
          <w:color w:val="000000"/>
          <w:sz w:val="2"/>
          <w:szCs w:val="2"/>
        </w:rPr>
      </w:pPr>
    </w:p>
    <w:p w14:paraId="5754AC2B" w14:textId="77777777" w:rsidR="00AE4A0B" w:rsidRPr="00AE4A0B" w:rsidRDefault="00AE4A0B" w:rsidP="009010F8">
      <w:pPr>
        <w:jc w:val="left"/>
        <w:rPr>
          <w:color w:val="000000"/>
          <w:sz w:val="2"/>
          <w:szCs w:val="2"/>
        </w:rPr>
      </w:pPr>
    </w:p>
    <w:p w14:paraId="665DC31D" w14:textId="77777777" w:rsidR="00AE4A0B" w:rsidRPr="00AE4A0B" w:rsidRDefault="00AE4A0B" w:rsidP="009010F8">
      <w:pPr>
        <w:jc w:val="left"/>
        <w:rPr>
          <w:color w:val="000000"/>
          <w:sz w:val="2"/>
          <w:szCs w:val="2"/>
        </w:rPr>
      </w:pPr>
    </w:p>
    <w:p w14:paraId="3613130A" w14:textId="77777777" w:rsidR="00AE4A0B" w:rsidRPr="00AE4A0B" w:rsidRDefault="00AE4A0B" w:rsidP="009010F8">
      <w:pPr>
        <w:jc w:val="left"/>
        <w:rPr>
          <w:color w:val="000000"/>
          <w:sz w:val="2"/>
          <w:szCs w:val="2"/>
        </w:rPr>
      </w:pPr>
    </w:p>
    <w:p w14:paraId="14CE48DE" w14:textId="77777777" w:rsidR="00AE4A0B" w:rsidRPr="00AE4A0B" w:rsidRDefault="00AE4A0B" w:rsidP="009010F8">
      <w:pPr>
        <w:jc w:val="left"/>
        <w:rPr>
          <w:color w:val="000000"/>
          <w:sz w:val="2"/>
          <w:szCs w:val="2"/>
        </w:rPr>
      </w:pPr>
    </w:p>
    <w:p w14:paraId="48CE2525" w14:textId="77777777" w:rsidR="00AE4A0B" w:rsidRPr="007E785D" w:rsidRDefault="00AE4A0B" w:rsidP="009010F8">
      <w:pPr>
        <w:jc w:val="left"/>
        <w:rPr>
          <w:color w:val="000000"/>
          <w:sz w:val="8"/>
          <w:szCs w:val="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237"/>
      </w:tblGrid>
      <w:tr w:rsidR="004E201B" w:rsidRPr="007B33DD" w14:paraId="291C75B9" w14:textId="77777777" w:rsidTr="0093010C">
        <w:trPr>
          <w:trHeight w:val="1951"/>
        </w:trPr>
        <w:tc>
          <w:tcPr>
            <w:tcW w:w="2694" w:type="dxa"/>
            <w:tcBorders>
              <w:top w:val="single" w:sz="12" w:space="0" w:color="A6A6A6"/>
              <w:left w:val="single" w:sz="12" w:space="0" w:color="FFFFFF"/>
              <w:bottom w:val="single" w:sz="8" w:space="0" w:color="000000"/>
              <w:right w:val="single" w:sz="12" w:space="0" w:color="FFFFFF"/>
            </w:tcBorders>
            <w:shd w:val="clear" w:color="auto" w:fill="auto"/>
          </w:tcPr>
          <w:p w14:paraId="2773D4A2" w14:textId="77777777" w:rsidR="00FC5157" w:rsidRPr="002D58AE" w:rsidRDefault="00FC5157" w:rsidP="009010F8">
            <w:pPr>
              <w:jc w:val="left"/>
              <w:rPr>
                <w:rFonts w:cs="Tahoma"/>
                <w:color w:val="FF0000"/>
                <w:sz w:val="8"/>
                <w:szCs w:val="8"/>
              </w:rPr>
            </w:pPr>
          </w:p>
          <w:p w14:paraId="21B11CAD" w14:textId="323EC1FE" w:rsidR="00FC5157" w:rsidRPr="002D58AE" w:rsidRDefault="00101922" w:rsidP="009010F8">
            <w:pPr>
              <w:jc w:val="left"/>
              <w:rPr>
                <w:rFonts w:cs="Tahoma"/>
                <w:color w:val="000000"/>
                <w:szCs w:val="26"/>
                <w:highlight w:val="yellow"/>
              </w:rPr>
            </w:pPr>
            <w:r w:rsidRPr="002D58AE">
              <w:rPr>
                <w:rFonts w:cs="Tahoma"/>
                <w:color w:val="000000"/>
                <w:szCs w:val="26"/>
              </w:rPr>
              <w:t>The</w:t>
            </w:r>
            <w:r w:rsidR="00D06C86" w:rsidRPr="002D58AE">
              <w:rPr>
                <w:rFonts w:cs="Tahoma"/>
                <w:color w:val="000000"/>
                <w:szCs w:val="26"/>
              </w:rPr>
              <w:t>re ha</w:t>
            </w:r>
            <w:r w:rsidR="009E26DD" w:rsidRPr="002D58AE">
              <w:rPr>
                <w:rFonts w:cs="Tahoma"/>
                <w:color w:val="000000"/>
                <w:szCs w:val="26"/>
              </w:rPr>
              <w:t>s</w:t>
            </w:r>
            <w:r w:rsidR="00D06C86" w:rsidRPr="002D58AE">
              <w:rPr>
                <w:rFonts w:cs="Tahoma"/>
                <w:color w:val="000000"/>
                <w:szCs w:val="26"/>
              </w:rPr>
              <w:t xml:space="preserve"> been</w:t>
            </w:r>
            <w:r w:rsidR="009E26DD" w:rsidRPr="002D58AE">
              <w:rPr>
                <w:rFonts w:cs="Tahoma"/>
                <w:color w:val="000000"/>
                <w:szCs w:val="26"/>
              </w:rPr>
              <w:t xml:space="preserve"> </w:t>
            </w:r>
            <w:r w:rsidR="007939B0" w:rsidRPr="002D58AE">
              <w:rPr>
                <w:rFonts w:cs="Tahoma"/>
                <w:color w:val="000000"/>
                <w:szCs w:val="26"/>
              </w:rPr>
              <w:t>very little change</w:t>
            </w:r>
            <w:r w:rsidR="009E26DD" w:rsidRPr="002D58AE">
              <w:rPr>
                <w:rFonts w:cs="Tahoma"/>
                <w:color w:val="000000"/>
                <w:szCs w:val="26"/>
              </w:rPr>
              <w:t xml:space="preserve"> in</w:t>
            </w:r>
            <w:r w:rsidR="00D06C86" w:rsidRPr="002D58AE">
              <w:rPr>
                <w:rFonts w:cs="Tahoma"/>
                <w:color w:val="000000"/>
                <w:szCs w:val="26"/>
              </w:rPr>
              <w:t xml:space="preserve"> the </w:t>
            </w:r>
            <w:r w:rsidR="005B112C" w:rsidRPr="002D58AE">
              <w:rPr>
                <w:rFonts w:cs="Tahoma"/>
                <w:color w:val="000000"/>
                <w:szCs w:val="26"/>
              </w:rPr>
              <w:t xml:space="preserve">overall effectiveness </w:t>
            </w:r>
            <w:r w:rsidR="00D06C86" w:rsidRPr="002D58AE">
              <w:rPr>
                <w:rFonts w:cs="Tahoma"/>
                <w:color w:val="000000"/>
                <w:szCs w:val="26"/>
              </w:rPr>
              <w:t>grade</w:t>
            </w:r>
            <w:r w:rsidR="00A23701" w:rsidRPr="002D58AE">
              <w:rPr>
                <w:rFonts w:cs="Tahoma"/>
                <w:color w:val="000000"/>
                <w:szCs w:val="26"/>
              </w:rPr>
              <w:t>s</w:t>
            </w:r>
            <w:r w:rsidR="009E26DD" w:rsidRPr="002D58AE">
              <w:rPr>
                <w:rFonts w:cs="Tahoma"/>
                <w:color w:val="000000"/>
                <w:szCs w:val="26"/>
              </w:rPr>
              <w:t xml:space="preserve"> </w:t>
            </w:r>
            <w:r w:rsidR="00580DDD" w:rsidRPr="002D58AE">
              <w:rPr>
                <w:rFonts w:cs="Tahoma"/>
                <w:color w:val="000000"/>
                <w:szCs w:val="26"/>
              </w:rPr>
              <w:t xml:space="preserve">for schools </w:t>
            </w:r>
            <w:r w:rsidR="009E26DD" w:rsidRPr="002D58AE">
              <w:rPr>
                <w:rFonts w:cs="Tahoma"/>
                <w:color w:val="000000"/>
                <w:szCs w:val="26"/>
              </w:rPr>
              <w:t xml:space="preserve">at </w:t>
            </w:r>
            <w:r w:rsidR="00D06C86" w:rsidRPr="002D58AE">
              <w:rPr>
                <w:rFonts w:cs="Tahoma"/>
                <w:color w:val="000000"/>
                <w:szCs w:val="26"/>
              </w:rPr>
              <w:t>their most recent inspection</w:t>
            </w:r>
          </w:p>
          <w:p w14:paraId="22A5D9D0" w14:textId="77777777" w:rsidR="00FA3A01" w:rsidRPr="002D58AE" w:rsidRDefault="00FA3A01" w:rsidP="009010F8">
            <w:pPr>
              <w:jc w:val="left"/>
              <w:rPr>
                <w:rFonts w:cs="Tahoma"/>
                <w:color w:val="FF0000"/>
                <w:sz w:val="16"/>
                <w:szCs w:val="16"/>
              </w:rPr>
            </w:pPr>
          </w:p>
        </w:tc>
        <w:tc>
          <w:tcPr>
            <w:tcW w:w="6237" w:type="dxa"/>
            <w:tcBorders>
              <w:top w:val="single" w:sz="12" w:space="0" w:color="A6A6A6"/>
              <w:left w:val="single" w:sz="12" w:space="0" w:color="FFFFFF"/>
              <w:bottom w:val="single" w:sz="8" w:space="0" w:color="000000"/>
              <w:right w:val="single" w:sz="12" w:space="0" w:color="FFFFFF"/>
            </w:tcBorders>
            <w:shd w:val="clear" w:color="auto" w:fill="auto"/>
          </w:tcPr>
          <w:p w14:paraId="4FA1C68B" w14:textId="77777777" w:rsidR="007E785D" w:rsidRPr="002D58AE" w:rsidRDefault="007E785D" w:rsidP="009010F8">
            <w:pPr>
              <w:jc w:val="left"/>
              <w:rPr>
                <w:color w:val="FF0000"/>
                <w:sz w:val="8"/>
                <w:szCs w:val="8"/>
              </w:rPr>
            </w:pPr>
          </w:p>
          <w:p w14:paraId="0C4AB55D" w14:textId="161AD23E" w:rsidR="00DC161D" w:rsidRPr="002D58AE" w:rsidRDefault="005B112C" w:rsidP="005B112C">
            <w:pPr>
              <w:jc w:val="left"/>
              <w:rPr>
                <w:rFonts w:cs="Tahoma"/>
                <w:color w:val="FF0000"/>
                <w:sz w:val="8"/>
                <w:szCs w:val="8"/>
              </w:rPr>
            </w:pPr>
            <w:r w:rsidRPr="002D58AE">
              <w:rPr>
                <w:color w:val="000000"/>
              </w:rPr>
              <w:t xml:space="preserve">Overall the picture has remained broadly consistent. </w:t>
            </w:r>
            <w:r w:rsidR="00211321" w:rsidRPr="002D58AE">
              <w:rPr>
                <w:color w:val="000000"/>
              </w:rPr>
              <w:t xml:space="preserve">The proportion of outstanding schools has increased </w:t>
            </w:r>
            <w:r w:rsidR="00545211" w:rsidRPr="002D58AE">
              <w:rPr>
                <w:color w:val="000000"/>
              </w:rPr>
              <w:t xml:space="preserve">very </w:t>
            </w:r>
            <w:r w:rsidR="00211321" w:rsidRPr="002D58AE">
              <w:rPr>
                <w:color w:val="000000"/>
              </w:rPr>
              <w:t xml:space="preserve">slightly, to 22%, although the proportion of schools judged to be good </w:t>
            </w:r>
            <w:r w:rsidRPr="002D58AE">
              <w:rPr>
                <w:color w:val="000000"/>
              </w:rPr>
              <w:t xml:space="preserve">has decreased from 68% to 67%. </w:t>
            </w:r>
            <w:r w:rsidR="00545211" w:rsidRPr="002D58AE">
              <w:rPr>
                <w:color w:val="000000"/>
              </w:rPr>
              <w:t>There has been gradual improvement in inspection outcomes over a number of years.</w:t>
            </w:r>
          </w:p>
        </w:tc>
      </w:tr>
      <w:tr w:rsidR="00EB700B" w:rsidRPr="007B33DD" w14:paraId="19BD8828" w14:textId="77777777" w:rsidTr="00E534C6">
        <w:trPr>
          <w:trHeight w:val="4876"/>
        </w:trPr>
        <w:tc>
          <w:tcPr>
            <w:tcW w:w="89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3DCF1E1" w14:textId="5B3B064C" w:rsidR="000A0C19" w:rsidRPr="00177241" w:rsidRDefault="00C877A3" w:rsidP="00177241">
            <w:pPr>
              <w:pStyle w:val="NormalWeb"/>
              <w:rPr>
                <w:b/>
                <w:bCs/>
                <w:color w:val="000000"/>
                <w:szCs w:val="28"/>
              </w:rPr>
            </w:pPr>
            <w:r w:rsidRPr="00177241">
              <w:rPr>
                <w:b/>
                <w:bCs/>
                <w:color w:val="000000"/>
                <w:szCs w:val="28"/>
              </w:rPr>
              <w:t>Figure</w:t>
            </w:r>
            <w:r w:rsidR="00E17EDC" w:rsidRPr="00177241">
              <w:rPr>
                <w:b/>
                <w:bCs/>
                <w:color w:val="000000"/>
                <w:szCs w:val="28"/>
              </w:rPr>
              <w:t xml:space="preserve"> 1: </w:t>
            </w:r>
            <w:r w:rsidR="00660460" w:rsidRPr="00177241">
              <w:rPr>
                <w:b/>
                <w:bCs/>
                <w:color w:val="000000"/>
                <w:szCs w:val="28"/>
              </w:rPr>
              <w:t>Overall effectiveness of maintained schools and academies at their most recent inspection</w:t>
            </w:r>
          </w:p>
          <w:p w14:paraId="0E381D02" w14:textId="0198CD70" w:rsidR="00A6591F" w:rsidRPr="001A2C87" w:rsidRDefault="00E534C6" w:rsidP="000A0C19">
            <w:pPr>
              <w:jc w:val="left"/>
              <w:rPr>
                <w:rFonts w:cs="Tahoma"/>
                <w:b/>
                <w:bCs/>
              </w:rPr>
            </w:pPr>
            <w:r>
              <w:rPr>
                <w:rFonts w:cs="Tahoma"/>
                <w:b/>
                <w:bCs/>
                <w:noProof/>
              </w:rPr>
              <w:drawing>
                <wp:inline distT="0" distB="0" distL="0" distR="0" wp14:anchorId="0901B661" wp14:editId="0CC358E7">
                  <wp:extent cx="5535930" cy="2444750"/>
                  <wp:effectExtent l="0" t="0" r="7620" b="0"/>
                  <wp:docPr id="4" name="Picture 4" descr="There has been gradual improvement in inspection outcomes over a number of years" title="Overall effectiveness of maintained schools and academies at their most recent insp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5930" cy="2444750"/>
                          </a:xfrm>
                          <a:prstGeom prst="rect">
                            <a:avLst/>
                          </a:prstGeom>
                          <a:noFill/>
                        </pic:spPr>
                      </pic:pic>
                    </a:graphicData>
                  </a:graphic>
                </wp:inline>
              </w:drawing>
            </w:r>
          </w:p>
        </w:tc>
      </w:tr>
      <w:tr w:rsidR="005262A0" w:rsidRPr="005262A0" w14:paraId="29F976FD" w14:textId="77777777" w:rsidTr="00B86241">
        <w:trPr>
          <w:trHeight w:val="1794"/>
        </w:trPr>
        <w:tc>
          <w:tcPr>
            <w:tcW w:w="2694" w:type="dxa"/>
            <w:tcBorders>
              <w:top w:val="single" w:sz="8" w:space="0" w:color="000000"/>
              <w:left w:val="single" w:sz="12" w:space="0" w:color="FFFFFF"/>
              <w:bottom w:val="single" w:sz="12" w:space="0" w:color="A6A6A6"/>
              <w:right w:val="single" w:sz="12" w:space="0" w:color="FFFFFF"/>
            </w:tcBorders>
            <w:shd w:val="clear" w:color="auto" w:fill="auto"/>
          </w:tcPr>
          <w:p w14:paraId="6E032092" w14:textId="77777777" w:rsidR="005262A0" w:rsidRPr="005262A0" w:rsidRDefault="005262A0" w:rsidP="002D4290">
            <w:pPr>
              <w:jc w:val="left"/>
              <w:rPr>
                <w:rFonts w:cs="Tahoma"/>
                <w:sz w:val="8"/>
                <w:szCs w:val="8"/>
              </w:rPr>
            </w:pPr>
          </w:p>
          <w:p w14:paraId="53E2E03B" w14:textId="453C3077" w:rsidR="00730187" w:rsidRPr="005262A0" w:rsidRDefault="002D4290" w:rsidP="002D4290">
            <w:pPr>
              <w:jc w:val="left"/>
              <w:rPr>
                <w:rFonts w:cs="Tahoma"/>
                <w:szCs w:val="8"/>
              </w:rPr>
            </w:pPr>
            <w:r w:rsidRPr="005262A0">
              <w:rPr>
                <w:rFonts w:cs="Tahoma"/>
                <w:szCs w:val="8"/>
              </w:rPr>
              <w:t>A lower proportion of short inspections converted to a full inspection this year</w:t>
            </w:r>
            <w:r w:rsidR="00DF7DCE">
              <w:rPr>
                <w:rFonts w:cs="Tahoma"/>
                <w:szCs w:val="8"/>
              </w:rPr>
              <w:t xml:space="preserve"> following a change of policy</w:t>
            </w:r>
          </w:p>
        </w:tc>
        <w:tc>
          <w:tcPr>
            <w:tcW w:w="6237" w:type="dxa"/>
            <w:tcBorders>
              <w:top w:val="single" w:sz="8" w:space="0" w:color="000000"/>
              <w:left w:val="single" w:sz="12" w:space="0" w:color="FFFFFF"/>
              <w:bottom w:val="single" w:sz="12" w:space="0" w:color="A6A6A6"/>
              <w:right w:val="single" w:sz="12" w:space="0" w:color="FFFFFF"/>
            </w:tcBorders>
            <w:shd w:val="clear" w:color="auto" w:fill="auto"/>
          </w:tcPr>
          <w:p w14:paraId="09056BD1" w14:textId="77777777" w:rsidR="005262A0" w:rsidRPr="005262A0" w:rsidRDefault="005262A0" w:rsidP="005262A0">
            <w:pPr>
              <w:jc w:val="left"/>
              <w:rPr>
                <w:rFonts w:cs="Tahoma"/>
                <w:sz w:val="8"/>
                <w:szCs w:val="8"/>
              </w:rPr>
            </w:pPr>
          </w:p>
          <w:p w14:paraId="3005DE42" w14:textId="69D7D3CD" w:rsidR="00730187" w:rsidRDefault="002D4290" w:rsidP="005262A0">
            <w:pPr>
              <w:jc w:val="left"/>
              <w:rPr>
                <w:rFonts w:cs="Tahoma"/>
                <w:szCs w:val="8"/>
              </w:rPr>
            </w:pPr>
            <w:r w:rsidRPr="005262A0">
              <w:rPr>
                <w:rFonts w:cs="Tahoma"/>
                <w:szCs w:val="8"/>
              </w:rPr>
              <w:t xml:space="preserve">Only 21% of short inspections converted to a full inspection </w:t>
            </w:r>
            <w:r w:rsidR="004F6844">
              <w:rPr>
                <w:rFonts w:cs="Tahoma"/>
                <w:szCs w:val="8"/>
              </w:rPr>
              <w:t xml:space="preserve">in </w:t>
            </w:r>
            <w:r w:rsidRPr="005262A0">
              <w:rPr>
                <w:rFonts w:cs="Tahoma"/>
                <w:szCs w:val="8"/>
              </w:rPr>
              <w:t xml:space="preserve">this </w:t>
            </w:r>
            <w:r w:rsidR="004F6844">
              <w:rPr>
                <w:rFonts w:cs="Tahoma"/>
                <w:szCs w:val="8"/>
              </w:rPr>
              <w:t xml:space="preserve">academic </w:t>
            </w:r>
            <w:r w:rsidRPr="005262A0">
              <w:rPr>
                <w:rFonts w:cs="Tahoma"/>
                <w:szCs w:val="8"/>
              </w:rPr>
              <w:t xml:space="preserve">year </w:t>
            </w:r>
            <w:r w:rsidR="004F6844">
              <w:rPr>
                <w:rFonts w:cs="Tahoma"/>
                <w:szCs w:val="8"/>
              </w:rPr>
              <w:t xml:space="preserve">so far </w:t>
            </w:r>
            <w:r w:rsidRPr="005262A0">
              <w:rPr>
                <w:rFonts w:cs="Tahoma"/>
                <w:szCs w:val="8"/>
              </w:rPr>
              <w:t xml:space="preserve">(compared with 29% </w:t>
            </w:r>
            <w:r w:rsidR="004F6844">
              <w:rPr>
                <w:rFonts w:cs="Tahoma"/>
                <w:szCs w:val="8"/>
              </w:rPr>
              <w:t>last year</w:t>
            </w:r>
            <w:r w:rsidRPr="005262A0">
              <w:rPr>
                <w:rFonts w:cs="Tahoma"/>
                <w:szCs w:val="8"/>
              </w:rPr>
              <w:t>). This fall is due in part to changes to the way we carry out inspections, where around 20% of previously good schools now receive a full inspection instead of a short inspection.</w:t>
            </w:r>
          </w:p>
          <w:p w14:paraId="41C126C7" w14:textId="03831C9A" w:rsidR="005262A0" w:rsidRPr="005262A0" w:rsidRDefault="005262A0" w:rsidP="005262A0">
            <w:pPr>
              <w:jc w:val="left"/>
              <w:rPr>
                <w:rFonts w:cs="Tahoma"/>
                <w:sz w:val="8"/>
                <w:szCs w:val="8"/>
              </w:rPr>
            </w:pPr>
          </w:p>
        </w:tc>
      </w:tr>
    </w:tbl>
    <w:p w14:paraId="62568174" w14:textId="77777777" w:rsidR="002C192D" w:rsidRPr="00BB7E81" w:rsidRDefault="00BE5896" w:rsidP="00DB4988">
      <w:pPr>
        <w:pStyle w:val="Heading4"/>
        <w:rPr>
          <w:noProof/>
          <w:lang w:eastAsia="en-US"/>
        </w:rPr>
      </w:pPr>
      <w:bookmarkStart w:id="0" w:name="_Toc280878080"/>
      <w:bookmarkStart w:id="1" w:name="_Toc296347484"/>
      <w:bookmarkStart w:id="2" w:name="_Toc327345065"/>
      <w:r>
        <w:rPr>
          <w:noProof/>
          <w:lang w:eastAsia="en-US"/>
        </w:rPr>
        <w:br w:type="column"/>
      </w:r>
      <w:r w:rsidR="00CC5FEB" w:rsidRPr="00BB7E81">
        <w:rPr>
          <w:noProof/>
          <w:lang w:eastAsia="en-US"/>
        </w:rPr>
        <w:lastRenderedPageBreak/>
        <w:t>Contents</w:t>
      </w:r>
    </w:p>
    <w:p w14:paraId="3C2412CE" w14:textId="77777777" w:rsidR="00660A8D" w:rsidRDefault="002C192D">
      <w:pPr>
        <w:pStyle w:val="TOC2"/>
        <w:rPr>
          <w:rFonts w:asciiTheme="minorHAnsi" w:eastAsiaTheme="minorEastAsia" w:hAnsiTheme="minorHAnsi" w:cstheme="minorBidi"/>
          <w:sz w:val="22"/>
          <w:szCs w:val="22"/>
          <w:lang w:val="en-GB" w:eastAsia="en-GB"/>
        </w:rPr>
      </w:pPr>
      <w:r w:rsidRPr="002C192D">
        <w:fldChar w:fldCharType="begin"/>
      </w:r>
      <w:r w:rsidRPr="002C192D">
        <w:instrText xml:space="preserve"> TOC \o "1-3" \h \z \u </w:instrText>
      </w:r>
      <w:r w:rsidRPr="002C192D">
        <w:fldChar w:fldCharType="separate"/>
      </w:r>
      <w:hyperlink w:anchor="_Toc508870200" w:history="1">
        <w:r w:rsidR="00660A8D" w:rsidRPr="00A5759A">
          <w:rPr>
            <w:rStyle w:val="Hyperlink"/>
          </w:rPr>
          <w:t>Inspections between 1 September 2017 and 31 December 2017</w:t>
        </w:r>
        <w:r w:rsidR="00660A8D">
          <w:rPr>
            <w:webHidden/>
          </w:rPr>
          <w:tab/>
        </w:r>
        <w:r w:rsidR="00660A8D">
          <w:rPr>
            <w:webHidden/>
          </w:rPr>
          <w:fldChar w:fldCharType="begin"/>
        </w:r>
        <w:r w:rsidR="00660A8D">
          <w:rPr>
            <w:webHidden/>
          </w:rPr>
          <w:instrText xml:space="preserve"> PAGEREF _Toc508870200 \h </w:instrText>
        </w:r>
        <w:r w:rsidR="00660A8D">
          <w:rPr>
            <w:webHidden/>
          </w:rPr>
        </w:r>
        <w:r w:rsidR="00660A8D">
          <w:rPr>
            <w:webHidden/>
          </w:rPr>
          <w:fldChar w:fldCharType="separate"/>
        </w:r>
        <w:r w:rsidR="00D77361">
          <w:rPr>
            <w:webHidden/>
          </w:rPr>
          <w:t>3</w:t>
        </w:r>
        <w:r w:rsidR="00660A8D">
          <w:rPr>
            <w:webHidden/>
          </w:rPr>
          <w:fldChar w:fldCharType="end"/>
        </w:r>
      </w:hyperlink>
    </w:p>
    <w:p w14:paraId="4EF22E5E" w14:textId="77777777" w:rsidR="00660A8D" w:rsidRDefault="00D77361">
      <w:pPr>
        <w:pStyle w:val="TOC2"/>
        <w:rPr>
          <w:rFonts w:asciiTheme="minorHAnsi" w:eastAsiaTheme="minorEastAsia" w:hAnsiTheme="minorHAnsi" w:cstheme="minorBidi"/>
          <w:sz w:val="22"/>
          <w:szCs w:val="22"/>
          <w:lang w:val="en-GB" w:eastAsia="en-GB"/>
        </w:rPr>
      </w:pPr>
      <w:hyperlink w:anchor="_Toc508870201" w:history="1">
        <w:r w:rsidR="00660A8D" w:rsidRPr="00A5759A">
          <w:rPr>
            <w:rStyle w:val="Hyperlink"/>
          </w:rPr>
          <w:t>Short inspections</w:t>
        </w:r>
        <w:r w:rsidR="00660A8D">
          <w:rPr>
            <w:webHidden/>
          </w:rPr>
          <w:tab/>
        </w:r>
        <w:r w:rsidR="00660A8D">
          <w:rPr>
            <w:webHidden/>
          </w:rPr>
          <w:fldChar w:fldCharType="begin"/>
        </w:r>
        <w:r w:rsidR="00660A8D">
          <w:rPr>
            <w:webHidden/>
          </w:rPr>
          <w:instrText xml:space="preserve"> PAGEREF _Toc508870201 \h </w:instrText>
        </w:r>
        <w:r w:rsidR="00660A8D">
          <w:rPr>
            <w:webHidden/>
          </w:rPr>
        </w:r>
        <w:r w:rsidR="00660A8D">
          <w:rPr>
            <w:webHidden/>
          </w:rPr>
          <w:fldChar w:fldCharType="separate"/>
        </w:r>
        <w:r>
          <w:rPr>
            <w:webHidden/>
          </w:rPr>
          <w:t>5</w:t>
        </w:r>
        <w:r w:rsidR="00660A8D">
          <w:rPr>
            <w:webHidden/>
          </w:rPr>
          <w:fldChar w:fldCharType="end"/>
        </w:r>
      </w:hyperlink>
    </w:p>
    <w:p w14:paraId="3BE9BB91" w14:textId="77777777" w:rsidR="00660A8D" w:rsidRDefault="00D77361">
      <w:pPr>
        <w:pStyle w:val="TOC2"/>
        <w:rPr>
          <w:rFonts w:asciiTheme="minorHAnsi" w:eastAsiaTheme="minorEastAsia" w:hAnsiTheme="minorHAnsi" w:cstheme="minorBidi"/>
          <w:sz w:val="22"/>
          <w:szCs w:val="22"/>
          <w:lang w:val="en-GB" w:eastAsia="en-GB"/>
        </w:rPr>
      </w:pPr>
      <w:hyperlink w:anchor="_Toc508870202" w:history="1">
        <w:r w:rsidR="00660A8D" w:rsidRPr="00A5759A">
          <w:rPr>
            <w:rStyle w:val="Hyperlink"/>
          </w:rPr>
          <w:t>Schools at their most recent inspection</w:t>
        </w:r>
        <w:r w:rsidR="00660A8D">
          <w:rPr>
            <w:webHidden/>
          </w:rPr>
          <w:tab/>
        </w:r>
        <w:r w:rsidR="00660A8D">
          <w:rPr>
            <w:webHidden/>
          </w:rPr>
          <w:fldChar w:fldCharType="begin"/>
        </w:r>
        <w:r w:rsidR="00660A8D">
          <w:rPr>
            <w:webHidden/>
          </w:rPr>
          <w:instrText xml:space="preserve"> PAGEREF _Toc508870202 \h </w:instrText>
        </w:r>
        <w:r w:rsidR="00660A8D">
          <w:rPr>
            <w:webHidden/>
          </w:rPr>
        </w:r>
        <w:r w:rsidR="00660A8D">
          <w:rPr>
            <w:webHidden/>
          </w:rPr>
          <w:fldChar w:fldCharType="separate"/>
        </w:r>
        <w:r>
          <w:rPr>
            <w:webHidden/>
          </w:rPr>
          <w:t>5</w:t>
        </w:r>
        <w:r w:rsidR="00660A8D">
          <w:rPr>
            <w:webHidden/>
          </w:rPr>
          <w:fldChar w:fldCharType="end"/>
        </w:r>
      </w:hyperlink>
    </w:p>
    <w:p w14:paraId="10CD8757" w14:textId="77777777" w:rsidR="00660A8D" w:rsidRDefault="00D77361">
      <w:pPr>
        <w:pStyle w:val="TOC2"/>
        <w:rPr>
          <w:rFonts w:asciiTheme="minorHAnsi" w:eastAsiaTheme="minorEastAsia" w:hAnsiTheme="minorHAnsi" w:cstheme="minorBidi"/>
          <w:sz w:val="22"/>
          <w:szCs w:val="22"/>
          <w:lang w:val="en-GB" w:eastAsia="en-GB"/>
        </w:rPr>
      </w:pPr>
      <w:hyperlink w:anchor="_Toc508870203" w:history="1">
        <w:r w:rsidR="00660A8D" w:rsidRPr="00A5759A">
          <w:rPr>
            <w:rStyle w:val="Hyperlink"/>
          </w:rPr>
          <w:t>The relationship between the inspection judgements</w:t>
        </w:r>
        <w:r w:rsidR="00660A8D">
          <w:rPr>
            <w:webHidden/>
          </w:rPr>
          <w:tab/>
        </w:r>
        <w:r w:rsidR="00660A8D">
          <w:rPr>
            <w:webHidden/>
          </w:rPr>
          <w:fldChar w:fldCharType="begin"/>
        </w:r>
        <w:r w:rsidR="00660A8D">
          <w:rPr>
            <w:webHidden/>
          </w:rPr>
          <w:instrText xml:space="preserve"> PAGEREF _Toc508870203 \h </w:instrText>
        </w:r>
        <w:r w:rsidR="00660A8D">
          <w:rPr>
            <w:webHidden/>
          </w:rPr>
        </w:r>
        <w:r w:rsidR="00660A8D">
          <w:rPr>
            <w:webHidden/>
          </w:rPr>
          <w:fldChar w:fldCharType="separate"/>
        </w:r>
        <w:r>
          <w:rPr>
            <w:webHidden/>
          </w:rPr>
          <w:t>7</w:t>
        </w:r>
        <w:r w:rsidR="00660A8D">
          <w:rPr>
            <w:webHidden/>
          </w:rPr>
          <w:fldChar w:fldCharType="end"/>
        </w:r>
      </w:hyperlink>
    </w:p>
    <w:p w14:paraId="37CDCA08" w14:textId="77777777" w:rsidR="00660A8D" w:rsidRDefault="00D77361">
      <w:pPr>
        <w:pStyle w:val="TOC2"/>
        <w:rPr>
          <w:rFonts w:asciiTheme="minorHAnsi" w:eastAsiaTheme="minorEastAsia" w:hAnsiTheme="minorHAnsi" w:cstheme="minorBidi"/>
          <w:sz w:val="22"/>
          <w:szCs w:val="22"/>
          <w:lang w:val="en-GB" w:eastAsia="en-GB"/>
        </w:rPr>
      </w:pPr>
      <w:hyperlink w:anchor="_Toc508870204" w:history="1">
        <w:r w:rsidR="00660A8D" w:rsidRPr="00A5759A">
          <w:rPr>
            <w:rStyle w:val="Hyperlink"/>
          </w:rPr>
          <w:t>Revisions to previous release</w:t>
        </w:r>
        <w:r w:rsidR="00660A8D">
          <w:rPr>
            <w:webHidden/>
          </w:rPr>
          <w:tab/>
        </w:r>
        <w:r w:rsidR="00660A8D">
          <w:rPr>
            <w:webHidden/>
          </w:rPr>
          <w:fldChar w:fldCharType="begin"/>
        </w:r>
        <w:r w:rsidR="00660A8D">
          <w:rPr>
            <w:webHidden/>
          </w:rPr>
          <w:instrText xml:space="preserve"> PAGEREF _Toc508870204 \h </w:instrText>
        </w:r>
        <w:r w:rsidR="00660A8D">
          <w:rPr>
            <w:webHidden/>
          </w:rPr>
        </w:r>
        <w:r w:rsidR="00660A8D">
          <w:rPr>
            <w:webHidden/>
          </w:rPr>
          <w:fldChar w:fldCharType="separate"/>
        </w:r>
        <w:r>
          <w:rPr>
            <w:webHidden/>
          </w:rPr>
          <w:t>9</w:t>
        </w:r>
        <w:r w:rsidR="00660A8D">
          <w:rPr>
            <w:webHidden/>
          </w:rPr>
          <w:fldChar w:fldCharType="end"/>
        </w:r>
      </w:hyperlink>
    </w:p>
    <w:p w14:paraId="6CCC5BF0" w14:textId="77777777" w:rsidR="00660A8D" w:rsidRDefault="00D77361">
      <w:pPr>
        <w:pStyle w:val="TOC2"/>
        <w:rPr>
          <w:rFonts w:asciiTheme="minorHAnsi" w:eastAsiaTheme="minorEastAsia" w:hAnsiTheme="minorHAnsi" w:cstheme="minorBidi"/>
          <w:sz w:val="22"/>
          <w:szCs w:val="22"/>
          <w:lang w:val="en-GB" w:eastAsia="en-GB"/>
        </w:rPr>
      </w:pPr>
      <w:hyperlink w:anchor="_Toc508870205" w:history="1">
        <w:r w:rsidR="00660A8D" w:rsidRPr="00A5759A">
          <w:rPr>
            <w:rStyle w:val="Hyperlink"/>
          </w:rPr>
          <w:t>Response to the consultation on changes to Ofsted’s statistical reporting of inspection outcomes for maintained schools and academies</w:t>
        </w:r>
        <w:r w:rsidR="00660A8D">
          <w:rPr>
            <w:webHidden/>
          </w:rPr>
          <w:tab/>
        </w:r>
        <w:r w:rsidR="00660A8D">
          <w:rPr>
            <w:webHidden/>
          </w:rPr>
          <w:fldChar w:fldCharType="begin"/>
        </w:r>
        <w:r w:rsidR="00660A8D">
          <w:rPr>
            <w:webHidden/>
          </w:rPr>
          <w:instrText xml:space="preserve"> PAGEREF _Toc508870205 \h </w:instrText>
        </w:r>
        <w:r w:rsidR="00660A8D">
          <w:rPr>
            <w:webHidden/>
          </w:rPr>
        </w:r>
        <w:r w:rsidR="00660A8D">
          <w:rPr>
            <w:webHidden/>
          </w:rPr>
          <w:fldChar w:fldCharType="separate"/>
        </w:r>
        <w:r>
          <w:rPr>
            <w:webHidden/>
          </w:rPr>
          <w:t>10</w:t>
        </w:r>
        <w:r w:rsidR="00660A8D">
          <w:rPr>
            <w:webHidden/>
          </w:rPr>
          <w:fldChar w:fldCharType="end"/>
        </w:r>
      </w:hyperlink>
    </w:p>
    <w:p w14:paraId="76EFE784" w14:textId="77777777" w:rsidR="00660A8D" w:rsidRDefault="00D77361">
      <w:pPr>
        <w:pStyle w:val="TOC2"/>
        <w:rPr>
          <w:rFonts w:asciiTheme="minorHAnsi" w:eastAsiaTheme="minorEastAsia" w:hAnsiTheme="minorHAnsi" w:cstheme="minorBidi"/>
          <w:sz w:val="22"/>
          <w:szCs w:val="22"/>
          <w:lang w:val="en-GB" w:eastAsia="en-GB"/>
        </w:rPr>
      </w:pPr>
      <w:hyperlink w:anchor="_Toc508870206" w:history="1">
        <w:r w:rsidR="00660A8D" w:rsidRPr="00A5759A">
          <w:rPr>
            <w:rStyle w:val="Hyperlink"/>
          </w:rPr>
          <w:t>Notes</w:t>
        </w:r>
        <w:r w:rsidR="00660A8D">
          <w:rPr>
            <w:webHidden/>
          </w:rPr>
          <w:tab/>
        </w:r>
        <w:r w:rsidR="00660A8D">
          <w:rPr>
            <w:webHidden/>
          </w:rPr>
          <w:fldChar w:fldCharType="begin"/>
        </w:r>
        <w:r w:rsidR="00660A8D">
          <w:rPr>
            <w:webHidden/>
          </w:rPr>
          <w:instrText xml:space="preserve"> PAGEREF _Toc508870206 \h </w:instrText>
        </w:r>
        <w:r w:rsidR="00660A8D">
          <w:rPr>
            <w:webHidden/>
          </w:rPr>
        </w:r>
        <w:r w:rsidR="00660A8D">
          <w:rPr>
            <w:webHidden/>
          </w:rPr>
          <w:fldChar w:fldCharType="separate"/>
        </w:r>
        <w:r>
          <w:rPr>
            <w:webHidden/>
          </w:rPr>
          <w:t>11</w:t>
        </w:r>
        <w:r w:rsidR="00660A8D">
          <w:rPr>
            <w:webHidden/>
          </w:rPr>
          <w:fldChar w:fldCharType="end"/>
        </w:r>
      </w:hyperlink>
    </w:p>
    <w:p w14:paraId="6C91B15B" w14:textId="77777777" w:rsidR="00660A8D" w:rsidRDefault="00D77361">
      <w:pPr>
        <w:pStyle w:val="TOC2"/>
        <w:rPr>
          <w:rFonts w:asciiTheme="minorHAnsi" w:eastAsiaTheme="minorEastAsia" w:hAnsiTheme="minorHAnsi" w:cstheme="minorBidi"/>
          <w:sz w:val="22"/>
          <w:szCs w:val="22"/>
          <w:lang w:val="en-GB" w:eastAsia="en-GB"/>
        </w:rPr>
      </w:pPr>
      <w:hyperlink w:anchor="_Toc508870207" w:history="1">
        <w:r w:rsidR="00660A8D" w:rsidRPr="00A5759A">
          <w:rPr>
            <w:rStyle w:val="Hyperlink"/>
          </w:rPr>
          <w:t>Glossary</w:t>
        </w:r>
        <w:r w:rsidR="00660A8D">
          <w:rPr>
            <w:webHidden/>
          </w:rPr>
          <w:tab/>
        </w:r>
        <w:r w:rsidR="00660A8D">
          <w:rPr>
            <w:webHidden/>
          </w:rPr>
          <w:fldChar w:fldCharType="begin"/>
        </w:r>
        <w:r w:rsidR="00660A8D">
          <w:rPr>
            <w:webHidden/>
          </w:rPr>
          <w:instrText xml:space="preserve"> PAGEREF _Toc508870207 \h </w:instrText>
        </w:r>
        <w:r w:rsidR="00660A8D">
          <w:rPr>
            <w:webHidden/>
          </w:rPr>
        </w:r>
        <w:r w:rsidR="00660A8D">
          <w:rPr>
            <w:webHidden/>
          </w:rPr>
          <w:fldChar w:fldCharType="separate"/>
        </w:r>
        <w:r>
          <w:rPr>
            <w:webHidden/>
          </w:rPr>
          <w:t>12</w:t>
        </w:r>
        <w:r w:rsidR="00660A8D">
          <w:rPr>
            <w:webHidden/>
          </w:rPr>
          <w:fldChar w:fldCharType="end"/>
        </w:r>
      </w:hyperlink>
    </w:p>
    <w:p w14:paraId="268872D5" w14:textId="5BF6E089" w:rsidR="00724D6B" w:rsidRDefault="002C192D" w:rsidP="00C16219">
      <w:pPr>
        <w:spacing w:after="120"/>
        <w:jc w:val="left"/>
        <w:rPr>
          <w:noProof/>
        </w:rPr>
      </w:pPr>
      <w:r w:rsidRPr="002C192D">
        <w:rPr>
          <w:noProof/>
        </w:rPr>
        <w:fldChar w:fldCharType="end"/>
      </w:r>
      <w:bookmarkEnd w:id="0"/>
      <w:bookmarkEnd w:id="1"/>
      <w:bookmarkEnd w:id="2"/>
    </w:p>
    <w:p w14:paraId="5BAA1C8F" w14:textId="77777777" w:rsidR="00724D6B" w:rsidRDefault="00724D6B" w:rsidP="00C16219">
      <w:pPr>
        <w:spacing w:after="120"/>
        <w:jc w:val="left"/>
        <w:rPr>
          <w:noProof/>
        </w:rPr>
      </w:pPr>
    </w:p>
    <w:p w14:paraId="28168938" w14:textId="77777777" w:rsidR="00724D6B" w:rsidRDefault="00724D6B" w:rsidP="00C16219">
      <w:pPr>
        <w:spacing w:after="120"/>
        <w:jc w:val="left"/>
        <w:rPr>
          <w:noProof/>
        </w:rPr>
      </w:pPr>
    </w:p>
    <w:p w14:paraId="039AF912" w14:textId="77777777" w:rsidR="00724D6B" w:rsidRDefault="00724D6B" w:rsidP="00C16219">
      <w:pPr>
        <w:spacing w:after="120"/>
        <w:jc w:val="left"/>
        <w:rPr>
          <w:noProof/>
        </w:rPr>
      </w:pPr>
    </w:p>
    <w:p w14:paraId="6B51E534" w14:textId="77777777" w:rsidR="00724D6B" w:rsidRDefault="00724D6B" w:rsidP="00C16219">
      <w:pPr>
        <w:spacing w:after="120"/>
        <w:jc w:val="left"/>
        <w:rPr>
          <w:noProof/>
        </w:rPr>
      </w:pPr>
    </w:p>
    <w:p w14:paraId="3FD2E889" w14:textId="77777777" w:rsidR="00724D6B" w:rsidRDefault="00724D6B" w:rsidP="00C16219">
      <w:pPr>
        <w:spacing w:after="120"/>
        <w:jc w:val="left"/>
        <w:rPr>
          <w:noProof/>
        </w:rPr>
      </w:pPr>
    </w:p>
    <w:p w14:paraId="192FB84C" w14:textId="77777777" w:rsidR="00724D6B" w:rsidRDefault="00724D6B" w:rsidP="00C16219">
      <w:pPr>
        <w:spacing w:after="120"/>
        <w:jc w:val="left"/>
        <w:rPr>
          <w:noProof/>
        </w:rPr>
      </w:pPr>
    </w:p>
    <w:p w14:paraId="56BDFDFF" w14:textId="77777777" w:rsidR="00724D6B" w:rsidRDefault="00724D6B" w:rsidP="00C16219">
      <w:pPr>
        <w:spacing w:after="120"/>
        <w:jc w:val="left"/>
        <w:rPr>
          <w:noProof/>
        </w:rPr>
      </w:pPr>
    </w:p>
    <w:p w14:paraId="6230A021" w14:textId="77777777" w:rsidR="00493D07" w:rsidRDefault="00493D07" w:rsidP="00C16219">
      <w:pPr>
        <w:spacing w:after="120"/>
        <w:jc w:val="left"/>
        <w:rPr>
          <w:noProof/>
        </w:rPr>
      </w:pPr>
    </w:p>
    <w:p w14:paraId="7E7C0B67" w14:textId="77777777" w:rsidR="00500DD2" w:rsidRDefault="00500DD2" w:rsidP="00C16219">
      <w:pPr>
        <w:spacing w:after="120"/>
        <w:jc w:val="left"/>
        <w:rPr>
          <w:noProof/>
        </w:rPr>
      </w:pPr>
    </w:p>
    <w:p w14:paraId="77CE6134" w14:textId="77777777" w:rsidR="00500DD2" w:rsidRDefault="00500DD2" w:rsidP="00C16219">
      <w:pPr>
        <w:spacing w:after="120"/>
        <w:jc w:val="left"/>
        <w:rPr>
          <w:noProof/>
        </w:rPr>
      </w:pPr>
    </w:p>
    <w:p w14:paraId="4640C5BE" w14:textId="77777777" w:rsidR="006405E2" w:rsidRDefault="006405E2" w:rsidP="00C16219">
      <w:pPr>
        <w:spacing w:after="120"/>
        <w:jc w:val="left"/>
        <w:rPr>
          <w:noProof/>
        </w:rPr>
      </w:pPr>
    </w:p>
    <w:p w14:paraId="1384CCE7" w14:textId="77777777" w:rsidR="006405E2" w:rsidRDefault="006405E2" w:rsidP="00C16219">
      <w:pPr>
        <w:spacing w:after="120"/>
        <w:jc w:val="left"/>
        <w:rPr>
          <w:noProof/>
        </w:rPr>
      </w:pPr>
    </w:p>
    <w:p w14:paraId="6426253B" w14:textId="77777777" w:rsidR="006405E2" w:rsidRDefault="006405E2" w:rsidP="00C16219">
      <w:pPr>
        <w:spacing w:after="120"/>
        <w:jc w:val="left"/>
        <w:rPr>
          <w:noProof/>
        </w:rPr>
      </w:pPr>
    </w:p>
    <w:p w14:paraId="704BFF98" w14:textId="77777777" w:rsidR="00482057" w:rsidRDefault="00482057" w:rsidP="00C16219">
      <w:pPr>
        <w:spacing w:after="120"/>
        <w:jc w:val="left"/>
        <w:rPr>
          <w:noProof/>
        </w:rPr>
      </w:pPr>
    </w:p>
    <w:p w14:paraId="73652992" w14:textId="77777777" w:rsidR="00482057" w:rsidRDefault="00482057" w:rsidP="00C16219">
      <w:pPr>
        <w:spacing w:after="120"/>
        <w:jc w:val="left"/>
        <w:rPr>
          <w:noProof/>
        </w:rPr>
      </w:pPr>
    </w:p>
    <w:p w14:paraId="43741295" w14:textId="77777777" w:rsidR="009A6870" w:rsidRPr="009A6870" w:rsidRDefault="009A6870" w:rsidP="00C16219">
      <w:pPr>
        <w:spacing w:after="120"/>
        <w:jc w:val="left"/>
        <w:rPr>
          <w:b/>
          <w:sz w:val="28"/>
        </w:rPr>
      </w:pPr>
      <w:r w:rsidRPr="009A6870">
        <w:rPr>
          <w:b/>
          <w:sz w:val="28"/>
        </w:rPr>
        <w:t>Acknowledgements</w:t>
      </w:r>
    </w:p>
    <w:p w14:paraId="56F9C05C" w14:textId="77777777" w:rsidR="009A6870" w:rsidRPr="00C16219" w:rsidRDefault="009A6870" w:rsidP="00C16219">
      <w:pPr>
        <w:jc w:val="left"/>
        <w:rPr>
          <w:color w:val="000000"/>
        </w:rPr>
      </w:pPr>
      <w:r w:rsidRPr="00C16219">
        <w:rPr>
          <w:color w:val="000000"/>
        </w:rPr>
        <w:t xml:space="preserve">Thanks to the following for their contribution to this statistical release: </w:t>
      </w:r>
      <w:r w:rsidR="00D03CD4" w:rsidRPr="00C16219">
        <w:rPr>
          <w:color w:val="000000"/>
        </w:rPr>
        <w:t>John Wil</w:t>
      </w:r>
      <w:r w:rsidR="00DD66C5" w:rsidRPr="00DB628F">
        <w:rPr>
          <w:color w:val="000000"/>
        </w:rPr>
        <w:t>l</w:t>
      </w:r>
      <w:r w:rsidR="00D03CD4" w:rsidRPr="00C16219">
        <w:rPr>
          <w:color w:val="000000"/>
        </w:rPr>
        <w:t>man</w:t>
      </w:r>
      <w:r w:rsidR="00777FE3" w:rsidRPr="00C16219">
        <w:rPr>
          <w:color w:val="000000"/>
        </w:rPr>
        <w:t xml:space="preserve">, James Jordan, </w:t>
      </w:r>
      <w:r w:rsidR="00A5362C">
        <w:rPr>
          <w:color w:val="000000"/>
        </w:rPr>
        <w:t>Michael Taylor</w:t>
      </w:r>
      <w:r w:rsidR="00D03CD4" w:rsidRPr="00C16219">
        <w:rPr>
          <w:color w:val="000000"/>
        </w:rPr>
        <w:t xml:space="preserve"> and Chris Foley</w:t>
      </w:r>
      <w:r w:rsidR="005636AC" w:rsidRPr="00C16219">
        <w:rPr>
          <w:color w:val="000000"/>
        </w:rPr>
        <w:t>.</w:t>
      </w:r>
      <w:r w:rsidR="00777FE3" w:rsidRPr="00C16219">
        <w:rPr>
          <w:color w:val="000000"/>
        </w:rPr>
        <w:t xml:space="preserve"> </w:t>
      </w:r>
    </w:p>
    <w:p w14:paraId="46556848" w14:textId="75AAECA5" w:rsidR="00F158AC" w:rsidRPr="003B1DCE" w:rsidRDefault="00416DE7" w:rsidP="00C16219">
      <w:pPr>
        <w:pStyle w:val="Heading2"/>
        <w:spacing w:after="120"/>
        <w:jc w:val="left"/>
        <w:rPr>
          <w:color w:val="000000"/>
        </w:rPr>
      </w:pPr>
      <w:r w:rsidRPr="009A6870">
        <w:br w:type="page"/>
      </w:r>
      <w:bookmarkStart w:id="3" w:name="_Toc508870200"/>
      <w:r w:rsidR="00E735EC" w:rsidRPr="003B1DCE">
        <w:rPr>
          <w:color w:val="000000"/>
        </w:rPr>
        <w:lastRenderedPageBreak/>
        <w:t>Inspections between 1 September 201</w:t>
      </w:r>
      <w:r w:rsidR="00563B0B">
        <w:rPr>
          <w:color w:val="000000"/>
        </w:rPr>
        <w:t>7</w:t>
      </w:r>
      <w:r w:rsidR="00E735EC" w:rsidRPr="003B1DCE">
        <w:rPr>
          <w:color w:val="000000"/>
        </w:rPr>
        <w:t xml:space="preserve"> and 31 </w:t>
      </w:r>
      <w:r w:rsidR="00563B0B">
        <w:rPr>
          <w:color w:val="000000"/>
        </w:rPr>
        <w:t xml:space="preserve">December </w:t>
      </w:r>
      <w:r w:rsidR="00E735EC" w:rsidRPr="003B1DCE">
        <w:rPr>
          <w:color w:val="000000"/>
        </w:rPr>
        <w:t>2017</w:t>
      </w:r>
      <w:bookmarkEnd w:id="3"/>
      <w:r w:rsidR="002C192D" w:rsidRPr="003B1DCE">
        <w:rPr>
          <w:color w:val="000000"/>
        </w:rPr>
        <w:t xml:space="preserve"> </w:t>
      </w:r>
    </w:p>
    <w:p w14:paraId="377502C0" w14:textId="77777777" w:rsidR="00D51DB1" w:rsidRDefault="00A23701" w:rsidP="00A23701">
      <w:pPr>
        <w:spacing w:after="120"/>
        <w:jc w:val="left"/>
        <w:rPr>
          <w:color w:val="000000"/>
        </w:rPr>
      </w:pPr>
      <w:r w:rsidRPr="002D58AE">
        <w:rPr>
          <w:color w:val="000000"/>
        </w:rPr>
        <w:t xml:space="preserve">Between 1 September 2017 </w:t>
      </w:r>
      <w:r w:rsidR="009610B1" w:rsidRPr="002D58AE">
        <w:rPr>
          <w:color w:val="000000"/>
        </w:rPr>
        <w:t>and</w:t>
      </w:r>
      <w:r w:rsidRPr="002D58AE">
        <w:rPr>
          <w:color w:val="000000"/>
        </w:rPr>
        <w:t xml:space="preserve"> 31 December 2017, there were 974 </w:t>
      </w:r>
      <w:r w:rsidR="009610B1" w:rsidRPr="002D58AE">
        <w:rPr>
          <w:color w:val="000000"/>
        </w:rPr>
        <w:t xml:space="preserve">inspections </w:t>
      </w:r>
      <w:r w:rsidRPr="002D58AE">
        <w:rPr>
          <w:color w:val="000000"/>
        </w:rPr>
        <w:t>which resulted in an overall effectiveness judgement being made</w:t>
      </w:r>
      <w:r w:rsidR="009610B1" w:rsidRPr="002D58AE">
        <w:rPr>
          <w:color w:val="000000"/>
        </w:rPr>
        <w:t xml:space="preserve"> for the school</w:t>
      </w:r>
      <w:r w:rsidRPr="002D58AE">
        <w:rPr>
          <w:color w:val="000000"/>
        </w:rPr>
        <w:t xml:space="preserve">. </w:t>
      </w:r>
      <w:r w:rsidR="009610B1" w:rsidRPr="002D58AE">
        <w:rPr>
          <w:color w:val="000000"/>
        </w:rPr>
        <w:t>These consisted of</w:t>
      </w:r>
      <w:r w:rsidR="00D51DB1">
        <w:rPr>
          <w:color w:val="000000"/>
        </w:rPr>
        <w:t>:</w:t>
      </w:r>
    </w:p>
    <w:p w14:paraId="6BCCB617" w14:textId="77777777" w:rsidR="00D51DB1" w:rsidRDefault="005B112C" w:rsidP="00D51DB1">
      <w:pPr>
        <w:pStyle w:val="ListParagraph"/>
        <w:numPr>
          <w:ilvl w:val="0"/>
          <w:numId w:val="36"/>
        </w:numPr>
        <w:spacing w:after="120"/>
        <w:jc w:val="left"/>
        <w:rPr>
          <w:color w:val="000000"/>
        </w:rPr>
      </w:pPr>
      <w:r w:rsidRPr="00D51DB1">
        <w:rPr>
          <w:color w:val="000000"/>
        </w:rPr>
        <w:t>inspections which were planned to be full inspections (conducted under section 5</w:t>
      </w:r>
      <w:r w:rsidR="0080469D" w:rsidRPr="00D51DB1">
        <w:rPr>
          <w:color w:val="000000"/>
        </w:rPr>
        <w:t xml:space="preserve"> of the Education Act 2005</w:t>
      </w:r>
      <w:r w:rsidRPr="00D51DB1">
        <w:rPr>
          <w:color w:val="000000"/>
        </w:rPr>
        <w:t>)</w:t>
      </w:r>
    </w:p>
    <w:p w14:paraId="5050115C" w14:textId="4785513B" w:rsidR="00A23701" w:rsidRPr="00D51DB1" w:rsidRDefault="005B112C" w:rsidP="00D51DB1">
      <w:pPr>
        <w:pStyle w:val="ListParagraph"/>
        <w:numPr>
          <w:ilvl w:val="0"/>
          <w:numId w:val="36"/>
        </w:numPr>
        <w:spacing w:after="120"/>
        <w:jc w:val="left"/>
        <w:rPr>
          <w:color w:val="000000"/>
        </w:rPr>
      </w:pPr>
      <w:r w:rsidRPr="00D51DB1">
        <w:rPr>
          <w:color w:val="000000"/>
        </w:rPr>
        <w:t xml:space="preserve">inspections </w:t>
      </w:r>
      <w:r w:rsidR="009610B1" w:rsidRPr="00D51DB1">
        <w:rPr>
          <w:color w:val="000000"/>
        </w:rPr>
        <w:t xml:space="preserve">conducted under section </w:t>
      </w:r>
      <w:r w:rsidRPr="00D51DB1">
        <w:rPr>
          <w:color w:val="000000"/>
        </w:rPr>
        <w:t>8</w:t>
      </w:r>
      <w:r w:rsidR="0080469D" w:rsidRPr="00D51DB1">
        <w:rPr>
          <w:color w:val="000000"/>
        </w:rPr>
        <w:t xml:space="preserve"> of the act</w:t>
      </w:r>
      <w:r w:rsidR="00545211" w:rsidRPr="00D51DB1">
        <w:rPr>
          <w:color w:val="000000"/>
        </w:rPr>
        <w:t xml:space="preserve"> which became full inspections </w:t>
      </w:r>
      <w:r w:rsidR="00580C8B" w:rsidRPr="00D51DB1">
        <w:rPr>
          <w:color w:val="000000"/>
        </w:rPr>
        <w:t xml:space="preserve">part way through the inspection </w:t>
      </w:r>
      <w:r w:rsidR="00D97087" w:rsidRPr="00D51DB1">
        <w:rPr>
          <w:color w:val="000000"/>
        </w:rPr>
        <w:t xml:space="preserve">(through Ofsted’s power to convert section 8 to section 5), </w:t>
      </w:r>
      <w:r w:rsidR="00580C8B" w:rsidRPr="00D51DB1">
        <w:rPr>
          <w:color w:val="000000"/>
        </w:rPr>
        <w:t>in order</w:t>
      </w:r>
      <w:r w:rsidR="0080469D" w:rsidRPr="00D51DB1">
        <w:rPr>
          <w:color w:val="000000"/>
        </w:rPr>
        <w:t xml:space="preserve"> to </w:t>
      </w:r>
      <w:r w:rsidR="00580C8B" w:rsidRPr="00D51DB1">
        <w:rPr>
          <w:color w:val="000000"/>
        </w:rPr>
        <w:t>gather further evidence and make an overall effectiveness judgement.</w:t>
      </w:r>
    </w:p>
    <w:p w14:paraId="66C4A09D" w14:textId="3D5B4927" w:rsidR="004A5F88" w:rsidRDefault="00A23701" w:rsidP="00A23701">
      <w:pPr>
        <w:spacing w:after="120"/>
        <w:jc w:val="left"/>
        <w:rPr>
          <w:color w:val="000000"/>
        </w:rPr>
      </w:pPr>
      <w:r w:rsidRPr="002D58AE">
        <w:rPr>
          <w:color w:val="000000"/>
        </w:rPr>
        <w:t>The</w:t>
      </w:r>
      <w:r w:rsidR="00545211" w:rsidRPr="002D58AE">
        <w:rPr>
          <w:color w:val="000000"/>
        </w:rPr>
        <w:t>re were</w:t>
      </w:r>
      <w:r w:rsidRPr="002D58AE">
        <w:rPr>
          <w:color w:val="000000"/>
        </w:rPr>
        <w:t xml:space="preserve"> 625 scheduled full section 5 inspections</w:t>
      </w:r>
      <w:r w:rsidR="00545211" w:rsidRPr="002D58AE">
        <w:rPr>
          <w:color w:val="000000"/>
        </w:rPr>
        <w:t>, and</w:t>
      </w:r>
      <w:r w:rsidRPr="002D58AE">
        <w:rPr>
          <w:color w:val="000000"/>
        </w:rPr>
        <w:t xml:space="preserve"> 66 section 8 </w:t>
      </w:r>
      <w:r w:rsidR="009610B1" w:rsidRPr="002D58AE">
        <w:rPr>
          <w:color w:val="000000"/>
        </w:rPr>
        <w:t xml:space="preserve">inspections which were </w:t>
      </w:r>
      <w:r w:rsidRPr="002D58AE">
        <w:rPr>
          <w:color w:val="000000"/>
        </w:rPr>
        <w:t>deemed section 5 inspections (</w:t>
      </w:r>
      <w:r w:rsidR="009610B1" w:rsidRPr="002D58AE">
        <w:rPr>
          <w:color w:val="000000"/>
        </w:rPr>
        <w:t>for instance</w:t>
      </w:r>
      <w:r w:rsidRPr="002D58AE">
        <w:rPr>
          <w:color w:val="000000"/>
        </w:rPr>
        <w:t xml:space="preserve"> monitoring inspection</w:t>
      </w:r>
      <w:r w:rsidR="009610B1" w:rsidRPr="002D58AE">
        <w:rPr>
          <w:color w:val="000000"/>
        </w:rPr>
        <w:t>s</w:t>
      </w:r>
      <w:r w:rsidRPr="002D58AE">
        <w:rPr>
          <w:color w:val="000000"/>
        </w:rPr>
        <w:t xml:space="preserve"> where </w:t>
      </w:r>
      <w:r w:rsidR="009610B1" w:rsidRPr="002D58AE">
        <w:rPr>
          <w:color w:val="000000"/>
        </w:rPr>
        <w:t xml:space="preserve">the school had made </w:t>
      </w:r>
      <w:r w:rsidRPr="002D58AE">
        <w:rPr>
          <w:color w:val="000000"/>
        </w:rPr>
        <w:t>progress since the last inspection</w:t>
      </w:r>
      <w:r w:rsidR="009610B1" w:rsidRPr="002D58AE">
        <w:rPr>
          <w:color w:val="000000"/>
        </w:rPr>
        <w:t xml:space="preserve"> so the inspection became a full inspection</w:t>
      </w:r>
      <w:r w:rsidRPr="002D58AE">
        <w:rPr>
          <w:color w:val="000000"/>
        </w:rPr>
        <w:t>)</w:t>
      </w:r>
      <w:r w:rsidR="00545211" w:rsidRPr="002D58AE">
        <w:rPr>
          <w:color w:val="000000"/>
        </w:rPr>
        <w:t>. In addition there were</w:t>
      </w:r>
      <w:r w:rsidRPr="002D58AE">
        <w:rPr>
          <w:color w:val="000000"/>
        </w:rPr>
        <w:t xml:space="preserve"> 283 short inspections which converted to a full section 5 inspection where more evidence was needed to confirm the original judgement</w:t>
      </w:r>
      <w:r w:rsidR="00943212" w:rsidRPr="002D58AE">
        <w:rPr>
          <w:color w:val="000000"/>
        </w:rPr>
        <w:t>,</w:t>
      </w:r>
      <w:r w:rsidRPr="002D58AE">
        <w:rPr>
          <w:color w:val="000000"/>
        </w:rPr>
        <w:t xml:space="preserve"> or where there were serious concerns on safeguarding, behaviour or the quality of education.</w:t>
      </w:r>
      <w:r w:rsidRPr="00A23701">
        <w:rPr>
          <w:color w:val="000000"/>
        </w:rPr>
        <w:t xml:space="preserve"> Of the 1,344 short inspections conducted, 1,061 did not convert, and confirmed the grade given at the school’s previous section 5 inspection.</w:t>
      </w:r>
    </w:p>
    <w:p w14:paraId="170D7437" w14:textId="77777777" w:rsidR="000A0C19" w:rsidRDefault="00F7155F" w:rsidP="00C56A48">
      <w:pPr>
        <w:spacing w:after="120"/>
        <w:jc w:val="left"/>
        <w:rPr>
          <w:rFonts w:cs="Tahoma"/>
          <w:b/>
          <w:bCs/>
        </w:rPr>
      </w:pPr>
      <w:r w:rsidRPr="0094208D">
        <w:rPr>
          <w:rFonts w:cs="Tahoma"/>
          <w:b/>
          <w:bCs/>
        </w:rPr>
        <w:t xml:space="preserve">Figure </w:t>
      </w:r>
      <w:r>
        <w:rPr>
          <w:rFonts w:cs="Tahoma"/>
          <w:b/>
          <w:bCs/>
        </w:rPr>
        <w:t>2</w:t>
      </w:r>
      <w:r w:rsidRPr="0094208D">
        <w:rPr>
          <w:rFonts w:cs="Tahoma"/>
          <w:b/>
          <w:bCs/>
        </w:rPr>
        <w:t xml:space="preserve">: </w:t>
      </w:r>
      <w:r w:rsidRPr="00907A66">
        <w:rPr>
          <w:rFonts w:cs="Tahoma"/>
          <w:b/>
          <w:bCs/>
        </w:rPr>
        <w:t xml:space="preserve">Overall effectiveness of schools inspected </w:t>
      </w:r>
      <w:r>
        <w:rPr>
          <w:rFonts w:cs="Tahoma"/>
          <w:b/>
          <w:bCs/>
        </w:rPr>
        <w:t xml:space="preserve">in </w:t>
      </w:r>
      <w:r w:rsidR="00A5362C">
        <w:rPr>
          <w:rFonts w:cs="Tahoma"/>
          <w:b/>
          <w:bCs/>
        </w:rPr>
        <w:t>between 1 September 2017 and 31 December 2017</w:t>
      </w:r>
      <w:r w:rsidRPr="00907A66">
        <w:rPr>
          <w:rFonts w:cs="Tahoma"/>
          <w:b/>
          <w:bCs/>
        </w:rPr>
        <w:t xml:space="preserve">, by </w:t>
      </w:r>
      <w:r>
        <w:rPr>
          <w:rFonts w:cs="Tahoma"/>
          <w:b/>
          <w:bCs/>
        </w:rPr>
        <w:t>phase</w:t>
      </w:r>
      <w:r w:rsidRPr="0094208D" w:rsidDel="00907A66">
        <w:rPr>
          <w:rFonts w:cs="Tahoma"/>
          <w:b/>
          <w:bCs/>
        </w:rPr>
        <w:t xml:space="preserve"> </w:t>
      </w:r>
      <w:r w:rsidRPr="00907A66">
        <w:rPr>
          <w:rFonts w:cs="Tahoma"/>
          <w:b/>
          <w:bCs/>
        </w:rPr>
        <w:t>(includes most recent outcome for short inspections which did not convert</w:t>
      </w:r>
      <w:r w:rsidR="00ED2F69">
        <w:rPr>
          <w:rStyle w:val="FootnoteReference"/>
          <w:rFonts w:cs="Tahoma"/>
          <w:b/>
          <w:bCs/>
        </w:rPr>
        <w:footnoteReference w:id="1"/>
      </w:r>
      <w:r w:rsidRPr="00907A66">
        <w:rPr>
          <w:rFonts w:cs="Tahoma"/>
          <w:b/>
          <w:bCs/>
        </w:rPr>
        <w:t>)</w:t>
      </w:r>
    </w:p>
    <w:p w14:paraId="7A30209E" w14:textId="3A796333" w:rsidR="008F3E48" w:rsidRDefault="000A0A13">
      <w:pPr>
        <w:jc w:val="left"/>
        <w:rPr>
          <w:color w:val="000000"/>
        </w:rPr>
      </w:pPr>
      <w:r>
        <w:rPr>
          <w:noProof/>
          <w:color w:val="000000"/>
        </w:rPr>
        <w:drawing>
          <wp:inline distT="0" distB="0" distL="0" distR="0" wp14:anchorId="2DC364C5" wp14:editId="42EE205C">
            <wp:extent cx="5736590" cy="2670175"/>
            <wp:effectExtent l="0" t="0" r="0" b="0"/>
            <wp:docPr id="9" name="Picture 9" descr="Seventy-nine per cent of schools were judged good or outstanding over the period with a majority of schools being judged good, across each phase of education" title="Overall effectiveness of schools inspected in between 1 September 2017 and 31 December 2017, by phase (includes most recent outcome for short inspections which did not co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590" cy="2670175"/>
                    </a:xfrm>
                    <a:prstGeom prst="rect">
                      <a:avLst/>
                    </a:prstGeom>
                    <a:noFill/>
                  </pic:spPr>
                </pic:pic>
              </a:graphicData>
            </a:graphic>
          </wp:inline>
        </w:drawing>
      </w:r>
    </w:p>
    <w:p w14:paraId="6B309A3B" w14:textId="77777777" w:rsidR="008940B6" w:rsidRDefault="008940B6" w:rsidP="008940B6">
      <w:pPr>
        <w:jc w:val="left"/>
        <w:rPr>
          <w:color w:val="000000"/>
        </w:rPr>
      </w:pPr>
    </w:p>
    <w:p w14:paraId="56C21A10" w14:textId="77777777" w:rsidR="008940B6" w:rsidRDefault="008940B6" w:rsidP="008940B6">
      <w:pPr>
        <w:jc w:val="left"/>
        <w:rPr>
          <w:color w:val="000000"/>
        </w:rPr>
      </w:pPr>
      <w:r w:rsidRPr="0027265A">
        <w:rPr>
          <w:color w:val="000000"/>
        </w:rPr>
        <w:lastRenderedPageBreak/>
        <w:t>Seventy-</w:t>
      </w:r>
      <w:r>
        <w:rPr>
          <w:color w:val="000000"/>
        </w:rPr>
        <w:t>nine</w:t>
      </w:r>
      <w:r w:rsidRPr="0027265A">
        <w:rPr>
          <w:color w:val="000000"/>
        </w:rPr>
        <w:t xml:space="preserve"> per cent of </w:t>
      </w:r>
      <w:r>
        <w:rPr>
          <w:color w:val="000000"/>
        </w:rPr>
        <w:t xml:space="preserve">the 2,035 </w:t>
      </w:r>
      <w:r w:rsidRPr="0027265A">
        <w:rPr>
          <w:color w:val="000000"/>
        </w:rPr>
        <w:t xml:space="preserve">schools </w:t>
      </w:r>
      <w:r>
        <w:rPr>
          <w:color w:val="000000"/>
        </w:rPr>
        <w:t xml:space="preserve">receiving a full or short inspection </w:t>
      </w:r>
      <w:r w:rsidRPr="0027265A">
        <w:rPr>
          <w:color w:val="000000"/>
        </w:rPr>
        <w:t>were judged good or outstanding</w:t>
      </w:r>
      <w:r>
        <w:rPr>
          <w:color w:val="000000"/>
        </w:rPr>
        <w:t xml:space="preserve"> over the period. The majority of schools were judged good, across each phase of education, except for nursery schools where nearly two thirds were judged outstanding (Figure 2). Pupil referral units (11%) and secondary schools (6%) had the highest proportion of schools judged inadequate.</w:t>
      </w:r>
    </w:p>
    <w:p w14:paraId="613814B3" w14:textId="16098D22" w:rsidR="00364D06" w:rsidRDefault="007A5E5B" w:rsidP="00DD2E19">
      <w:pPr>
        <w:spacing w:before="120"/>
        <w:jc w:val="left"/>
        <w:rPr>
          <w:rFonts w:cs="Tahoma"/>
          <w:bCs/>
        </w:rPr>
      </w:pPr>
      <w:r>
        <w:rPr>
          <w:rFonts w:cs="Tahoma"/>
          <w:bCs/>
        </w:rPr>
        <w:t>Out o</w:t>
      </w:r>
      <w:r w:rsidR="006A496A" w:rsidRPr="006C73A2">
        <w:rPr>
          <w:rFonts w:cs="Tahoma"/>
          <w:bCs/>
        </w:rPr>
        <w:t xml:space="preserve">f </w:t>
      </w:r>
      <w:r>
        <w:rPr>
          <w:rFonts w:cs="Tahoma"/>
          <w:bCs/>
        </w:rPr>
        <w:t>these</w:t>
      </w:r>
      <w:r w:rsidR="006A496A" w:rsidRPr="006C73A2">
        <w:rPr>
          <w:rFonts w:cs="Tahoma"/>
          <w:bCs/>
        </w:rPr>
        <w:t xml:space="preserve"> 2,035 inspections, </w:t>
      </w:r>
      <w:r w:rsidR="00DD2E19" w:rsidRPr="006129E0">
        <w:rPr>
          <w:rFonts w:cs="Tahoma"/>
          <w:bCs/>
        </w:rPr>
        <w:t>1,9</w:t>
      </w:r>
      <w:r w:rsidR="006129E0" w:rsidRPr="006129E0">
        <w:rPr>
          <w:rFonts w:cs="Tahoma"/>
          <w:bCs/>
        </w:rPr>
        <w:t>23</w:t>
      </w:r>
      <w:r w:rsidR="00DD2E19" w:rsidRPr="006129E0">
        <w:rPr>
          <w:rFonts w:cs="Tahoma"/>
          <w:bCs/>
        </w:rPr>
        <w:t xml:space="preserve"> w</w:t>
      </w:r>
      <w:r w:rsidR="00DD2E19" w:rsidRPr="006C73A2">
        <w:rPr>
          <w:rFonts w:cs="Tahoma"/>
          <w:bCs/>
        </w:rPr>
        <w:t>ere of schools that had been inspected before.</w:t>
      </w:r>
      <w:r w:rsidR="0000544D">
        <w:rPr>
          <w:rFonts w:cs="Tahoma"/>
          <w:bCs/>
        </w:rPr>
        <w:t xml:space="preserve"> The remaining 112 were mainly sponsor-led academ</w:t>
      </w:r>
      <w:r>
        <w:rPr>
          <w:rFonts w:cs="Tahoma"/>
          <w:bCs/>
        </w:rPr>
        <w:t>ies</w:t>
      </w:r>
      <w:r w:rsidR="0000544D">
        <w:rPr>
          <w:rFonts w:cs="Tahoma"/>
          <w:bCs/>
        </w:rPr>
        <w:t xml:space="preserve"> </w:t>
      </w:r>
      <w:r w:rsidR="00584190">
        <w:rPr>
          <w:rFonts w:cs="Tahoma"/>
          <w:bCs/>
        </w:rPr>
        <w:t>receiving</w:t>
      </w:r>
      <w:r w:rsidR="0000544D">
        <w:rPr>
          <w:rFonts w:cs="Tahoma"/>
          <w:bCs/>
        </w:rPr>
        <w:t xml:space="preserve"> their first inspection as an academy</w:t>
      </w:r>
      <w:r w:rsidR="00820AA4">
        <w:rPr>
          <w:rFonts w:cs="Tahoma"/>
          <w:bCs/>
        </w:rPr>
        <w:t>.</w:t>
      </w:r>
      <w:r w:rsidR="00820AA4" w:rsidDel="00820AA4">
        <w:rPr>
          <w:rFonts w:cs="Tahoma"/>
          <w:bCs/>
        </w:rPr>
        <w:t xml:space="preserve"> </w:t>
      </w:r>
    </w:p>
    <w:p w14:paraId="070D1A72" w14:textId="1BBB20A7" w:rsidR="00E3736E" w:rsidRDefault="0000544D" w:rsidP="00221F99">
      <w:pPr>
        <w:spacing w:before="120"/>
        <w:jc w:val="left"/>
        <w:rPr>
          <w:rFonts w:cs="Tahoma"/>
          <w:bCs/>
        </w:rPr>
      </w:pPr>
      <w:r>
        <w:rPr>
          <w:rFonts w:cs="Tahoma"/>
          <w:bCs/>
        </w:rPr>
        <w:t xml:space="preserve">Of the schools with a previous inspection, </w:t>
      </w:r>
      <w:r w:rsidR="00D6117C" w:rsidRPr="006C73A2">
        <w:rPr>
          <w:rFonts w:cs="Tahoma"/>
          <w:bCs/>
        </w:rPr>
        <w:t>71%</w:t>
      </w:r>
      <w:r w:rsidR="00DF7DCE">
        <w:rPr>
          <w:rFonts w:cs="Tahoma"/>
          <w:bCs/>
        </w:rPr>
        <w:t xml:space="preserve"> </w:t>
      </w:r>
      <w:r w:rsidR="00D6117C" w:rsidRPr="006C73A2">
        <w:rPr>
          <w:rFonts w:cs="Tahoma"/>
          <w:bCs/>
        </w:rPr>
        <w:t xml:space="preserve">retained their previous grade, </w:t>
      </w:r>
      <w:r w:rsidR="00E115CA">
        <w:rPr>
          <w:rFonts w:cs="Tahoma"/>
          <w:bCs/>
        </w:rPr>
        <w:t>whilst</w:t>
      </w:r>
      <w:r w:rsidR="00820AA4">
        <w:rPr>
          <w:rFonts w:cs="Tahoma"/>
          <w:bCs/>
        </w:rPr>
        <w:t xml:space="preserve"> </w:t>
      </w:r>
      <w:r w:rsidR="00D6117C" w:rsidRPr="006C73A2">
        <w:rPr>
          <w:rFonts w:cs="Tahoma"/>
          <w:bCs/>
        </w:rPr>
        <w:t xml:space="preserve">more </w:t>
      </w:r>
      <w:r w:rsidR="00D6117C">
        <w:rPr>
          <w:rFonts w:cs="Tahoma"/>
          <w:bCs/>
        </w:rPr>
        <w:t xml:space="preserve">schools </w:t>
      </w:r>
      <w:r w:rsidR="00D6117C" w:rsidRPr="006C73A2">
        <w:rPr>
          <w:rFonts w:cs="Tahoma"/>
          <w:bCs/>
        </w:rPr>
        <w:t xml:space="preserve">declined than improved; 17% compared with 12%. </w:t>
      </w:r>
    </w:p>
    <w:p w14:paraId="3684A863" w14:textId="77777777" w:rsidR="00D74B83" w:rsidRDefault="00D74B83" w:rsidP="00221F99">
      <w:pPr>
        <w:spacing w:before="120"/>
        <w:jc w:val="left"/>
        <w:rPr>
          <w:rFonts w:cs="Tahoma"/>
          <w:bCs/>
        </w:rPr>
      </w:pPr>
    </w:p>
    <w:p w14:paraId="69030D7B" w14:textId="77777777" w:rsidR="00364D06" w:rsidRDefault="00364D06" w:rsidP="00364D06">
      <w:pPr>
        <w:spacing w:after="120"/>
        <w:jc w:val="left"/>
        <w:rPr>
          <w:rFonts w:cs="Tahoma"/>
          <w:b/>
          <w:bCs/>
        </w:rPr>
      </w:pPr>
      <w:r w:rsidRPr="0094208D">
        <w:rPr>
          <w:rFonts w:cs="Tahoma"/>
          <w:b/>
          <w:bCs/>
        </w:rPr>
        <w:t xml:space="preserve">Figure </w:t>
      </w:r>
      <w:r>
        <w:rPr>
          <w:rFonts w:cs="Tahoma"/>
          <w:b/>
          <w:bCs/>
        </w:rPr>
        <w:t>3</w:t>
      </w:r>
      <w:r w:rsidRPr="0094208D">
        <w:rPr>
          <w:rFonts w:cs="Tahoma"/>
          <w:b/>
          <w:bCs/>
        </w:rPr>
        <w:t xml:space="preserve">: </w:t>
      </w:r>
      <w:r w:rsidRPr="00907A66">
        <w:rPr>
          <w:rFonts w:cs="Tahoma"/>
          <w:b/>
          <w:bCs/>
        </w:rPr>
        <w:t xml:space="preserve">Overall effectiveness of schools inspected </w:t>
      </w:r>
      <w:r w:rsidRPr="008E656D">
        <w:rPr>
          <w:rFonts w:cs="Tahoma"/>
          <w:b/>
          <w:bCs/>
        </w:rPr>
        <w:t>between 1 September 2017 and 31 December 2017</w:t>
      </w:r>
      <w:r w:rsidRPr="00907A66">
        <w:rPr>
          <w:rFonts w:cs="Tahoma"/>
          <w:b/>
          <w:bCs/>
        </w:rPr>
        <w:t xml:space="preserve">, by </w:t>
      </w:r>
      <w:r>
        <w:rPr>
          <w:rFonts w:cs="Tahoma"/>
          <w:b/>
          <w:bCs/>
        </w:rPr>
        <w:t>previous inspection outcome</w:t>
      </w:r>
      <w:r w:rsidRPr="0094208D" w:rsidDel="00907A66">
        <w:rPr>
          <w:rFonts w:cs="Tahoma"/>
          <w:b/>
          <w:bCs/>
        </w:rPr>
        <w:t xml:space="preserve"> </w:t>
      </w:r>
      <w:r w:rsidRPr="00907A66">
        <w:rPr>
          <w:rFonts w:cs="Tahoma"/>
          <w:b/>
          <w:bCs/>
        </w:rPr>
        <w:t>(includes most recent outcome for short inspections which did not convert</w:t>
      </w:r>
      <w:r>
        <w:rPr>
          <w:rStyle w:val="FootnoteReference"/>
          <w:rFonts w:cs="Tahoma"/>
          <w:b/>
          <w:bCs/>
        </w:rPr>
        <w:footnoteReference w:id="2"/>
      </w:r>
      <w:r w:rsidRPr="00907A66">
        <w:rPr>
          <w:rFonts w:cs="Tahoma"/>
          <w:b/>
          <w:bCs/>
        </w:rPr>
        <w:t>)</w:t>
      </w:r>
    </w:p>
    <w:p w14:paraId="029F12AC" w14:textId="30F61090" w:rsidR="00364D06" w:rsidRDefault="00DF7DCE" w:rsidP="00DD2E19">
      <w:pPr>
        <w:spacing w:before="120"/>
        <w:jc w:val="left"/>
        <w:rPr>
          <w:rFonts w:cs="Tahoma"/>
          <w:bCs/>
        </w:rPr>
      </w:pPr>
      <w:r>
        <w:rPr>
          <w:rFonts w:cs="Tahoma"/>
          <w:bCs/>
          <w:noProof/>
        </w:rPr>
        <w:drawing>
          <wp:inline distT="0" distB="0" distL="0" distR="0" wp14:anchorId="471C3CEB" wp14:editId="7C1C232B">
            <wp:extent cx="5414010" cy="2707005"/>
            <wp:effectExtent l="0" t="0" r="0" b="0"/>
            <wp:docPr id="8" name="Picture 8" descr="Between 1 September 2017 and 31 December 2017 there were 1,680 inspections of schools that were good or outstanding at their previous inspection and 77% of these remained at the same grade. &#10;&#10;Of the schools previously judged requires improvement or inadequate, both groups have seen improvement (62% and 91% respectively).&#10;&#10;" title="Overall effectiveness of schools inspected between 1 September 2017 and 31 December 2017, by previous inspection outcome (includes most recent outcome for short inspections which did not co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4010" cy="2707005"/>
                    </a:xfrm>
                    <a:prstGeom prst="rect">
                      <a:avLst/>
                    </a:prstGeom>
                    <a:noFill/>
                  </pic:spPr>
                </pic:pic>
              </a:graphicData>
            </a:graphic>
          </wp:inline>
        </w:drawing>
      </w:r>
    </w:p>
    <w:p w14:paraId="1C115D61" w14:textId="261B06B8" w:rsidR="00364D06" w:rsidRDefault="008C3BFB" w:rsidP="00DD2E19">
      <w:pPr>
        <w:spacing w:before="120"/>
        <w:jc w:val="left"/>
        <w:rPr>
          <w:rFonts w:cs="Tahoma"/>
          <w:bCs/>
        </w:rPr>
      </w:pPr>
      <w:r>
        <w:rPr>
          <w:rFonts w:cs="Tahoma"/>
          <w:bCs/>
        </w:rPr>
        <w:t>Between</w:t>
      </w:r>
      <w:r w:rsidR="00DF0C84">
        <w:rPr>
          <w:rFonts w:cs="Tahoma"/>
          <w:bCs/>
        </w:rPr>
        <w:t xml:space="preserve"> </w:t>
      </w:r>
      <w:r w:rsidR="007939B0">
        <w:rPr>
          <w:rFonts w:cs="Tahoma"/>
          <w:bCs/>
        </w:rPr>
        <w:t>1 September 2017</w:t>
      </w:r>
      <w:r w:rsidR="00DF0C84">
        <w:rPr>
          <w:rFonts w:cs="Tahoma"/>
          <w:bCs/>
        </w:rPr>
        <w:t xml:space="preserve"> </w:t>
      </w:r>
      <w:r w:rsidR="00943212" w:rsidRPr="002D58AE">
        <w:rPr>
          <w:rFonts w:cs="Tahoma"/>
          <w:bCs/>
        </w:rPr>
        <w:t>and</w:t>
      </w:r>
      <w:r w:rsidR="00DF0C84">
        <w:rPr>
          <w:rFonts w:cs="Tahoma"/>
          <w:bCs/>
        </w:rPr>
        <w:t xml:space="preserve"> </w:t>
      </w:r>
      <w:r w:rsidR="007939B0">
        <w:rPr>
          <w:rFonts w:cs="Tahoma"/>
          <w:bCs/>
        </w:rPr>
        <w:t>31 December 2017</w:t>
      </w:r>
      <w:r w:rsidR="00DF0C84">
        <w:rPr>
          <w:rFonts w:cs="Tahoma"/>
          <w:bCs/>
        </w:rPr>
        <w:t xml:space="preserve"> t</w:t>
      </w:r>
      <w:r w:rsidR="00E3736E" w:rsidRPr="00E3736E">
        <w:rPr>
          <w:rFonts w:cs="Tahoma"/>
          <w:bCs/>
        </w:rPr>
        <w:t xml:space="preserve">here were 1,680 inspections of schools that were good or outstanding at their previous inspection and </w:t>
      </w:r>
      <w:r w:rsidR="00812845">
        <w:rPr>
          <w:rFonts w:cs="Tahoma"/>
          <w:bCs/>
        </w:rPr>
        <w:t>77%</w:t>
      </w:r>
      <w:r w:rsidR="00E3736E" w:rsidRPr="00E3736E">
        <w:rPr>
          <w:rFonts w:cs="Tahoma"/>
          <w:bCs/>
        </w:rPr>
        <w:t xml:space="preserve"> of these remained at the same grade. Of these, 1,344 were short inspections, where 8 out of 10 inspections confirmed the grade of the previous inspection. Of the schools previously judged requires improvement or inadequate, both </w:t>
      </w:r>
      <w:r w:rsidR="00812845">
        <w:rPr>
          <w:rFonts w:cs="Tahoma"/>
          <w:bCs/>
        </w:rPr>
        <w:t xml:space="preserve">groups </w:t>
      </w:r>
      <w:r w:rsidR="00E3736E" w:rsidRPr="00E3736E">
        <w:rPr>
          <w:rFonts w:cs="Tahoma"/>
          <w:bCs/>
        </w:rPr>
        <w:t>have seen improvement (62% and 91% respectively).</w:t>
      </w:r>
    </w:p>
    <w:p w14:paraId="32C93C66" w14:textId="225B8571" w:rsidR="00D74B83" w:rsidRDefault="00D74B83">
      <w:pPr>
        <w:jc w:val="left"/>
        <w:rPr>
          <w:b/>
          <w:color w:val="000000"/>
          <w:sz w:val="28"/>
        </w:rPr>
      </w:pPr>
    </w:p>
    <w:p w14:paraId="2CF6A09E" w14:textId="3A7B99D4" w:rsidR="006A496A" w:rsidRPr="00A92C60" w:rsidRDefault="006A496A" w:rsidP="00A92C60">
      <w:pPr>
        <w:pStyle w:val="Heading2"/>
        <w:spacing w:after="120"/>
        <w:jc w:val="left"/>
        <w:rPr>
          <w:color w:val="000000"/>
        </w:rPr>
      </w:pPr>
      <w:bookmarkStart w:id="4" w:name="_Toc508870201"/>
      <w:r w:rsidRPr="00A92C60">
        <w:rPr>
          <w:color w:val="000000"/>
        </w:rPr>
        <w:lastRenderedPageBreak/>
        <w:t>Short inspections</w:t>
      </w:r>
      <w:bookmarkEnd w:id="4"/>
    </w:p>
    <w:p w14:paraId="09A18871" w14:textId="46230941" w:rsidR="00DD6E66" w:rsidRDefault="006A496A" w:rsidP="006A496A">
      <w:pPr>
        <w:spacing w:after="120"/>
        <w:jc w:val="left"/>
        <w:rPr>
          <w:rFonts w:cs="Tahoma"/>
        </w:rPr>
      </w:pPr>
      <w:r>
        <w:rPr>
          <w:color w:val="000000"/>
        </w:rPr>
        <w:t xml:space="preserve">Between </w:t>
      </w:r>
      <w:r w:rsidRPr="00F116DC">
        <w:rPr>
          <w:color w:val="000000"/>
        </w:rPr>
        <w:t>1 September 201</w:t>
      </w:r>
      <w:r>
        <w:rPr>
          <w:color w:val="000000"/>
        </w:rPr>
        <w:t xml:space="preserve">7 </w:t>
      </w:r>
      <w:r w:rsidR="00812845">
        <w:rPr>
          <w:color w:val="000000"/>
        </w:rPr>
        <w:t xml:space="preserve">and </w:t>
      </w:r>
      <w:r>
        <w:rPr>
          <w:color w:val="000000"/>
        </w:rPr>
        <w:t>31 December 2017</w:t>
      </w:r>
      <w:r w:rsidRPr="00F116DC">
        <w:rPr>
          <w:color w:val="000000"/>
        </w:rPr>
        <w:t xml:space="preserve"> </w:t>
      </w:r>
      <w:r w:rsidRPr="00C16219">
        <w:rPr>
          <w:rFonts w:cs="Tahoma"/>
        </w:rPr>
        <w:t xml:space="preserve">we carried out </w:t>
      </w:r>
      <w:r>
        <w:rPr>
          <w:rFonts w:cs="Tahoma"/>
        </w:rPr>
        <w:t xml:space="preserve">1,344 </w:t>
      </w:r>
      <w:r w:rsidRPr="00C16219">
        <w:rPr>
          <w:rFonts w:cs="Tahoma"/>
        </w:rPr>
        <w:t xml:space="preserve">short inspections of schools judged to be good </w:t>
      </w:r>
      <w:r>
        <w:rPr>
          <w:rFonts w:cs="Tahoma"/>
        </w:rPr>
        <w:t xml:space="preserve">or outstanding </w:t>
      </w:r>
      <w:r w:rsidRPr="00C16219">
        <w:rPr>
          <w:rFonts w:cs="Tahoma"/>
        </w:rPr>
        <w:t xml:space="preserve">at their previous inspection. </w:t>
      </w:r>
    </w:p>
    <w:p w14:paraId="55C21485" w14:textId="5386EA7A" w:rsidR="006A496A" w:rsidRDefault="006A496A" w:rsidP="006A496A">
      <w:pPr>
        <w:spacing w:after="120"/>
        <w:jc w:val="left"/>
        <w:rPr>
          <w:rFonts w:cs="Tahoma"/>
        </w:rPr>
      </w:pPr>
      <w:r>
        <w:rPr>
          <w:rFonts w:cs="Tahoma"/>
        </w:rPr>
        <w:t>Overall</w:t>
      </w:r>
      <w:r w:rsidR="00CF2003">
        <w:rPr>
          <w:rFonts w:cs="Tahoma"/>
        </w:rPr>
        <w:t>,</w:t>
      </w:r>
      <w:r>
        <w:rPr>
          <w:rFonts w:cs="Tahoma"/>
        </w:rPr>
        <w:t xml:space="preserve"> </w:t>
      </w:r>
      <w:r w:rsidR="003E536E">
        <w:rPr>
          <w:rFonts w:cs="Tahoma"/>
        </w:rPr>
        <w:t>90</w:t>
      </w:r>
      <w:r>
        <w:rPr>
          <w:rFonts w:cs="Tahoma"/>
        </w:rPr>
        <w:t xml:space="preserve">% of schools </w:t>
      </w:r>
      <w:r w:rsidR="003C0788">
        <w:rPr>
          <w:rFonts w:cs="Tahoma"/>
        </w:rPr>
        <w:t xml:space="preserve">confirmed </w:t>
      </w:r>
      <w:r w:rsidR="00812845">
        <w:rPr>
          <w:rFonts w:cs="Tahoma"/>
        </w:rPr>
        <w:t xml:space="preserve">or improved on </w:t>
      </w:r>
      <w:r w:rsidR="003C0788">
        <w:rPr>
          <w:rFonts w:cs="Tahoma"/>
        </w:rPr>
        <w:t>the grade of the</w:t>
      </w:r>
      <w:r w:rsidR="00D36828">
        <w:rPr>
          <w:rFonts w:cs="Tahoma"/>
        </w:rPr>
        <w:t>ir</w:t>
      </w:r>
      <w:r w:rsidR="003C0788">
        <w:rPr>
          <w:rFonts w:cs="Tahoma"/>
        </w:rPr>
        <w:t xml:space="preserve"> previous inspection (good or outstanding)</w:t>
      </w:r>
      <w:r>
        <w:rPr>
          <w:rFonts w:cs="Tahoma"/>
        </w:rPr>
        <w:t xml:space="preserve">. Some </w:t>
      </w:r>
      <w:r w:rsidR="00482057">
        <w:rPr>
          <w:rFonts w:cs="Tahoma"/>
        </w:rPr>
        <w:t>of these were of schools which</w:t>
      </w:r>
      <w:r>
        <w:rPr>
          <w:rFonts w:cs="Tahoma"/>
        </w:rPr>
        <w:t xml:space="preserve"> remained </w:t>
      </w:r>
      <w:r w:rsidR="003C0788">
        <w:rPr>
          <w:rFonts w:cs="Tahoma"/>
        </w:rPr>
        <w:t xml:space="preserve">the same grade </w:t>
      </w:r>
      <w:r w:rsidR="00482057">
        <w:rPr>
          <w:rFonts w:cs="Tahoma"/>
        </w:rPr>
        <w:t xml:space="preserve">following </w:t>
      </w:r>
      <w:r>
        <w:rPr>
          <w:rFonts w:cs="Tahoma"/>
        </w:rPr>
        <w:t xml:space="preserve">a short inspection that did not convert. In other cases, </w:t>
      </w:r>
      <w:r w:rsidR="00482057">
        <w:rPr>
          <w:rFonts w:cs="Tahoma"/>
        </w:rPr>
        <w:t>short inspections converted to a ful</w:t>
      </w:r>
      <w:r w:rsidR="00DF462F">
        <w:rPr>
          <w:rFonts w:cs="Tahoma"/>
        </w:rPr>
        <w:t>l</w:t>
      </w:r>
      <w:r w:rsidR="00482057">
        <w:rPr>
          <w:rFonts w:cs="Tahoma"/>
        </w:rPr>
        <w:t xml:space="preserve"> inspection and</w:t>
      </w:r>
      <w:r w:rsidR="00971C16">
        <w:rPr>
          <w:rFonts w:cs="Tahoma"/>
        </w:rPr>
        <w:t xml:space="preserve"> just over half confirmed or improved on the previous judgement.</w:t>
      </w:r>
      <w:r w:rsidR="00971C16" w:rsidRPr="003A4669">
        <w:rPr>
          <w:rFonts w:cs="Tahoma"/>
        </w:rPr>
        <w:t xml:space="preserve"> </w:t>
      </w:r>
    </w:p>
    <w:p w14:paraId="00884089" w14:textId="77777777" w:rsidR="009C5996" w:rsidRDefault="009C5996" w:rsidP="006A496A">
      <w:pPr>
        <w:spacing w:after="120"/>
        <w:jc w:val="left"/>
        <w:rPr>
          <w:rFonts w:cs="Tahoma"/>
        </w:rPr>
      </w:pPr>
      <w:r>
        <w:rPr>
          <w:rFonts w:cs="Tahoma"/>
        </w:rPr>
        <w:t xml:space="preserve">Primary schools were more likely to retain their good grade or improve to outstanding than secondary schools. Ninety per cent </w:t>
      </w:r>
      <w:r w:rsidRPr="000B01AA">
        <w:rPr>
          <w:rFonts w:cs="Tahoma"/>
        </w:rPr>
        <w:t xml:space="preserve">of primary schools stayed good or improved to outstanding </w:t>
      </w:r>
      <w:r w:rsidRPr="00C16219">
        <w:rPr>
          <w:rFonts w:cs="Tahoma"/>
        </w:rPr>
        <w:t>following a short inspection</w:t>
      </w:r>
      <w:r>
        <w:rPr>
          <w:rFonts w:cs="Tahoma"/>
        </w:rPr>
        <w:t xml:space="preserve">, </w:t>
      </w:r>
      <w:r w:rsidRPr="000B01AA">
        <w:rPr>
          <w:rFonts w:cs="Tahoma"/>
        </w:rPr>
        <w:t xml:space="preserve">compared </w:t>
      </w:r>
      <w:r>
        <w:rPr>
          <w:rFonts w:cs="Tahoma"/>
        </w:rPr>
        <w:t>with</w:t>
      </w:r>
      <w:r w:rsidRPr="000B01AA">
        <w:rPr>
          <w:rFonts w:cs="Tahoma"/>
        </w:rPr>
        <w:t xml:space="preserve"> </w:t>
      </w:r>
      <w:r>
        <w:rPr>
          <w:rFonts w:cs="Tahoma"/>
        </w:rPr>
        <w:t>86</w:t>
      </w:r>
      <w:r w:rsidRPr="000B01AA">
        <w:rPr>
          <w:rFonts w:cs="Tahoma"/>
        </w:rPr>
        <w:t>% of secondary schools</w:t>
      </w:r>
      <w:r>
        <w:rPr>
          <w:rFonts w:cs="Tahoma"/>
        </w:rPr>
        <w:t xml:space="preserve">. </w:t>
      </w:r>
    </w:p>
    <w:p w14:paraId="31D5110A" w14:textId="62CA0DEE" w:rsidR="00B534ED" w:rsidRDefault="00DC0C0B" w:rsidP="006A496A">
      <w:pPr>
        <w:spacing w:after="120"/>
        <w:jc w:val="left"/>
        <w:rPr>
          <w:rFonts w:cs="Tahoma"/>
        </w:rPr>
      </w:pPr>
      <w:r>
        <w:rPr>
          <w:rFonts w:cs="Tahoma"/>
        </w:rPr>
        <w:t>Only 21%</w:t>
      </w:r>
      <w:r w:rsidR="00B534ED" w:rsidRPr="00B0755E">
        <w:rPr>
          <w:rFonts w:cs="Tahoma"/>
        </w:rPr>
        <w:t xml:space="preserve"> of short inspections</w:t>
      </w:r>
      <w:r>
        <w:rPr>
          <w:rFonts w:cs="Tahoma"/>
        </w:rPr>
        <w:t xml:space="preserve"> have</w:t>
      </w:r>
      <w:r w:rsidR="00B534ED" w:rsidRPr="00B0755E">
        <w:rPr>
          <w:rFonts w:cs="Tahoma"/>
        </w:rPr>
        <w:t xml:space="preserve"> converted to a full inspection</w:t>
      </w:r>
      <w:r>
        <w:rPr>
          <w:rFonts w:cs="Tahoma"/>
        </w:rPr>
        <w:t>. This was lower</w:t>
      </w:r>
      <w:r w:rsidR="00B534ED" w:rsidRPr="00B0755E">
        <w:rPr>
          <w:rFonts w:cs="Tahoma"/>
        </w:rPr>
        <w:t xml:space="preserve"> </w:t>
      </w:r>
      <w:r>
        <w:rPr>
          <w:rFonts w:cs="Tahoma"/>
        </w:rPr>
        <w:t>than those</w:t>
      </w:r>
      <w:r w:rsidR="007E199E">
        <w:rPr>
          <w:rFonts w:cs="Tahoma"/>
        </w:rPr>
        <w:t xml:space="preserve"> </w:t>
      </w:r>
      <w:r w:rsidR="00A36D7F">
        <w:rPr>
          <w:rFonts w:cs="Tahoma"/>
        </w:rPr>
        <w:t>that converted between 1 September 2016 and 31 August 2017</w:t>
      </w:r>
      <w:r>
        <w:rPr>
          <w:rFonts w:cs="Tahoma"/>
        </w:rPr>
        <w:t>, where 29% converted to a full inspection</w:t>
      </w:r>
      <w:r w:rsidR="00B534ED" w:rsidRPr="00B0755E">
        <w:rPr>
          <w:rFonts w:cs="Tahoma"/>
        </w:rPr>
        <w:t>.</w:t>
      </w:r>
      <w:r w:rsidR="003E536E">
        <w:rPr>
          <w:rFonts w:cs="Tahoma"/>
        </w:rPr>
        <w:t xml:space="preserve"> </w:t>
      </w:r>
      <w:r>
        <w:rPr>
          <w:rFonts w:cs="Tahoma"/>
        </w:rPr>
        <w:t>O</w:t>
      </w:r>
      <w:r w:rsidRPr="00C16219">
        <w:rPr>
          <w:rFonts w:cs="Tahoma"/>
        </w:rPr>
        <w:t xml:space="preserve">f the </w:t>
      </w:r>
      <w:r>
        <w:rPr>
          <w:rFonts w:cs="Tahoma"/>
        </w:rPr>
        <w:t xml:space="preserve">283 </w:t>
      </w:r>
      <w:r w:rsidRPr="00C16219">
        <w:rPr>
          <w:rFonts w:cs="Tahoma"/>
        </w:rPr>
        <w:t>inspections that converted</w:t>
      </w:r>
      <w:r>
        <w:rPr>
          <w:rFonts w:cs="Tahoma"/>
        </w:rPr>
        <w:t xml:space="preserve">, </w:t>
      </w:r>
      <w:r w:rsidR="00F86B45">
        <w:rPr>
          <w:rFonts w:cs="Tahoma"/>
        </w:rPr>
        <w:t>nearly half (</w:t>
      </w:r>
      <w:r>
        <w:rPr>
          <w:rFonts w:cs="Tahoma"/>
        </w:rPr>
        <w:t>48%</w:t>
      </w:r>
      <w:r w:rsidR="00F86B45">
        <w:rPr>
          <w:rFonts w:cs="Tahoma"/>
        </w:rPr>
        <w:t>)</w:t>
      </w:r>
      <w:r>
        <w:rPr>
          <w:rFonts w:cs="Tahoma"/>
        </w:rPr>
        <w:t xml:space="preserve"> </w:t>
      </w:r>
      <w:r w:rsidRPr="00C16219">
        <w:rPr>
          <w:rFonts w:cs="Tahoma"/>
        </w:rPr>
        <w:t>then resulted in the school declining to requires improvement or inadequate</w:t>
      </w:r>
      <w:r>
        <w:rPr>
          <w:rFonts w:cs="Tahoma"/>
        </w:rPr>
        <w:t>, compared to 58</w:t>
      </w:r>
      <w:r w:rsidRPr="00C16219">
        <w:rPr>
          <w:rFonts w:cs="Tahoma"/>
        </w:rPr>
        <w:t xml:space="preserve">% </w:t>
      </w:r>
      <w:r w:rsidRPr="00A36D7F">
        <w:rPr>
          <w:rFonts w:cs="Tahoma"/>
        </w:rPr>
        <w:t>between 1 Se</w:t>
      </w:r>
      <w:r>
        <w:rPr>
          <w:rFonts w:cs="Tahoma"/>
        </w:rPr>
        <w:t>ptember 2016 and 31 August 2017</w:t>
      </w:r>
      <w:r w:rsidRPr="00C16219">
        <w:rPr>
          <w:rFonts w:cs="Tahoma"/>
        </w:rPr>
        <w:t>.</w:t>
      </w:r>
    </w:p>
    <w:p w14:paraId="0D29EFB3" w14:textId="082AE9D2" w:rsidR="0065452F" w:rsidRPr="007F05ED" w:rsidRDefault="006A496A" w:rsidP="00045172">
      <w:pPr>
        <w:spacing w:after="120"/>
        <w:jc w:val="left"/>
        <w:rPr>
          <w:rFonts w:cs="Tahoma"/>
        </w:rPr>
      </w:pPr>
      <w:r>
        <w:rPr>
          <w:rFonts w:cs="Tahoma"/>
        </w:rPr>
        <w:t>This</w:t>
      </w:r>
      <w:r w:rsidR="0065452F">
        <w:rPr>
          <w:rFonts w:cs="Tahoma"/>
        </w:rPr>
        <w:t xml:space="preserve"> </w:t>
      </w:r>
      <w:r w:rsidR="00DD6E66">
        <w:rPr>
          <w:rFonts w:cs="Tahoma"/>
        </w:rPr>
        <w:t>fall</w:t>
      </w:r>
      <w:r w:rsidR="0065452F">
        <w:rPr>
          <w:rFonts w:cs="Tahoma"/>
        </w:rPr>
        <w:t xml:space="preserve"> in the conversion rate</w:t>
      </w:r>
      <w:r>
        <w:rPr>
          <w:rFonts w:cs="Tahoma"/>
        </w:rPr>
        <w:t xml:space="preserve"> is </w:t>
      </w:r>
      <w:r w:rsidRPr="007F05ED">
        <w:rPr>
          <w:rFonts w:cs="Tahoma"/>
        </w:rPr>
        <w:t xml:space="preserve">due </w:t>
      </w:r>
      <w:r w:rsidR="0054663E" w:rsidRPr="007F05ED">
        <w:rPr>
          <w:rFonts w:cs="Tahoma"/>
        </w:rPr>
        <w:t xml:space="preserve">in </w:t>
      </w:r>
      <w:r w:rsidRPr="007F05ED">
        <w:rPr>
          <w:rFonts w:cs="Tahoma"/>
        </w:rPr>
        <w:t xml:space="preserve">part to changes to the way </w:t>
      </w:r>
      <w:r w:rsidR="0065452F" w:rsidRPr="007F05ED">
        <w:rPr>
          <w:rFonts w:cs="Tahoma"/>
        </w:rPr>
        <w:t xml:space="preserve">we carry out short inspections of </w:t>
      </w:r>
      <w:r w:rsidRPr="007F05ED">
        <w:rPr>
          <w:rFonts w:cs="Tahoma"/>
        </w:rPr>
        <w:t>previously good or outstanding schools</w:t>
      </w:r>
      <w:r w:rsidR="0065452F" w:rsidRPr="007F05ED">
        <w:rPr>
          <w:rFonts w:cs="Tahoma"/>
        </w:rPr>
        <w:t xml:space="preserve">. </w:t>
      </w:r>
      <w:r w:rsidR="00045172" w:rsidRPr="007F05ED">
        <w:rPr>
          <w:rFonts w:cs="Tahoma"/>
        </w:rPr>
        <w:t xml:space="preserve">From </w:t>
      </w:r>
      <w:r w:rsidR="00403716">
        <w:rPr>
          <w:rFonts w:cs="Tahoma"/>
        </w:rPr>
        <w:t>November 2017</w:t>
      </w:r>
      <w:r w:rsidR="00045172" w:rsidRPr="007F05ED">
        <w:rPr>
          <w:rFonts w:cs="Tahoma"/>
        </w:rPr>
        <w:t>,</w:t>
      </w:r>
      <w:r w:rsidR="00403716">
        <w:rPr>
          <w:rFonts w:cs="Tahoma"/>
        </w:rPr>
        <w:t xml:space="preserve"> </w:t>
      </w:r>
      <w:r w:rsidR="00812845">
        <w:rPr>
          <w:rFonts w:cs="Tahoma"/>
        </w:rPr>
        <w:t>following a public</w:t>
      </w:r>
      <w:r w:rsidR="00403716">
        <w:rPr>
          <w:rFonts w:cs="Tahoma"/>
        </w:rPr>
        <w:t xml:space="preserve"> consultation</w:t>
      </w:r>
      <w:r w:rsidR="00403716">
        <w:rPr>
          <w:rStyle w:val="FootnoteReference"/>
          <w:rFonts w:cs="Tahoma"/>
        </w:rPr>
        <w:footnoteReference w:id="3"/>
      </w:r>
      <w:r w:rsidR="00403716">
        <w:rPr>
          <w:rFonts w:cs="Tahoma"/>
        </w:rPr>
        <w:t>,</w:t>
      </w:r>
      <w:r w:rsidR="00045172" w:rsidRPr="007F05ED">
        <w:rPr>
          <w:rFonts w:cs="Tahoma"/>
        </w:rPr>
        <w:t xml:space="preserve"> around 20% of previously good schools now receive a full inspection instead of a short inspection, where our risk assessment tells us that a short inspection would be highly likely to convert. </w:t>
      </w:r>
      <w:r w:rsidR="0065452F" w:rsidRPr="007F05ED">
        <w:rPr>
          <w:rFonts w:cs="Tahoma"/>
        </w:rPr>
        <w:t xml:space="preserve">As these schools are no longer part of the short inspection process, we would expect a lower proportion of those still having </w:t>
      </w:r>
      <w:r w:rsidR="00943212" w:rsidRPr="002D58AE">
        <w:rPr>
          <w:rFonts w:cs="Tahoma"/>
        </w:rPr>
        <w:t>a</w:t>
      </w:r>
      <w:r w:rsidR="00943212">
        <w:rPr>
          <w:rFonts w:cs="Tahoma"/>
        </w:rPr>
        <w:t xml:space="preserve"> </w:t>
      </w:r>
      <w:r w:rsidR="00880EE4" w:rsidRPr="007F05ED">
        <w:rPr>
          <w:rFonts w:cs="Tahoma"/>
        </w:rPr>
        <w:t>short inspection to</w:t>
      </w:r>
      <w:r w:rsidR="0065452F" w:rsidRPr="007F05ED">
        <w:rPr>
          <w:rFonts w:cs="Tahoma"/>
        </w:rPr>
        <w:t xml:space="preserve"> convert</w:t>
      </w:r>
      <w:r w:rsidR="00880EE4" w:rsidRPr="007F05ED">
        <w:rPr>
          <w:rFonts w:cs="Tahoma"/>
        </w:rPr>
        <w:t xml:space="preserve"> </w:t>
      </w:r>
      <w:r w:rsidR="0065452F" w:rsidRPr="007F05ED">
        <w:rPr>
          <w:rFonts w:cs="Tahoma"/>
        </w:rPr>
        <w:t>to a full inspection.</w:t>
      </w:r>
    </w:p>
    <w:p w14:paraId="452D801E" w14:textId="2284F8ED" w:rsidR="006A496A" w:rsidRDefault="00ED7196" w:rsidP="006A496A">
      <w:pPr>
        <w:spacing w:after="120"/>
        <w:jc w:val="left"/>
        <w:rPr>
          <w:rFonts w:cs="Tahoma"/>
        </w:rPr>
      </w:pPr>
      <w:r>
        <w:rPr>
          <w:rFonts w:cs="Tahoma"/>
        </w:rPr>
        <w:t xml:space="preserve">Conversion rates </w:t>
      </w:r>
      <w:r w:rsidR="00A36D7F">
        <w:rPr>
          <w:rFonts w:cs="Tahoma"/>
        </w:rPr>
        <w:t>b</w:t>
      </w:r>
      <w:r w:rsidR="00A36D7F" w:rsidRPr="00A36D7F">
        <w:rPr>
          <w:rFonts w:cs="Tahoma"/>
        </w:rPr>
        <w:t>etween 1 September 2017 and 31 December 2017</w:t>
      </w:r>
      <w:r>
        <w:rPr>
          <w:rFonts w:cs="Tahoma"/>
        </w:rPr>
        <w:t xml:space="preserve"> are </w:t>
      </w:r>
      <w:r w:rsidRPr="006A496A">
        <w:rPr>
          <w:rFonts w:cs="Tahoma"/>
        </w:rPr>
        <w:t xml:space="preserve">higher for secondary schools than primary schools: </w:t>
      </w:r>
      <w:r>
        <w:rPr>
          <w:rFonts w:cs="Tahoma"/>
        </w:rPr>
        <w:t>37</w:t>
      </w:r>
      <w:r w:rsidRPr="006A496A">
        <w:rPr>
          <w:rFonts w:cs="Tahoma"/>
        </w:rPr>
        <w:t xml:space="preserve">% compared with </w:t>
      </w:r>
      <w:r>
        <w:rPr>
          <w:rFonts w:cs="Tahoma"/>
        </w:rPr>
        <w:t>19</w:t>
      </w:r>
      <w:r w:rsidRPr="006A496A">
        <w:rPr>
          <w:rFonts w:cs="Tahoma"/>
        </w:rPr>
        <w:t xml:space="preserve">%. </w:t>
      </w:r>
      <w:r w:rsidR="00DC0C0B">
        <w:rPr>
          <w:rFonts w:cs="Tahoma"/>
        </w:rPr>
        <w:t>However, w</w:t>
      </w:r>
      <w:r w:rsidR="00A36D7F">
        <w:rPr>
          <w:rFonts w:cs="Tahoma"/>
        </w:rPr>
        <w:t>here conversion took place</w:t>
      </w:r>
      <w:r w:rsidR="000E0217">
        <w:rPr>
          <w:rFonts w:cs="Tahoma"/>
        </w:rPr>
        <w:t>,</w:t>
      </w:r>
      <w:r w:rsidR="004A26E6">
        <w:rPr>
          <w:rFonts w:cs="Tahoma"/>
        </w:rPr>
        <w:t xml:space="preserve"> primary schools were more likely to decline than secondary schools (52% compared to 39%).</w:t>
      </w:r>
    </w:p>
    <w:p w14:paraId="6ACE2731" w14:textId="4212EEA3" w:rsidR="006A496A" w:rsidRDefault="006A496A">
      <w:pPr>
        <w:jc w:val="left"/>
        <w:rPr>
          <w:rFonts w:cs="Tahoma"/>
        </w:rPr>
      </w:pPr>
    </w:p>
    <w:p w14:paraId="22367B0A" w14:textId="7D98D271" w:rsidR="006856CA" w:rsidRPr="00A92C60" w:rsidRDefault="006856CA" w:rsidP="00A92C60">
      <w:pPr>
        <w:pStyle w:val="Heading2"/>
        <w:spacing w:after="120"/>
        <w:jc w:val="left"/>
        <w:rPr>
          <w:color w:val="000000"/>
        </w:rPr>
      </w:pPr>
      <w:bookmarkStart w:id="5" w:name="_Toc508870202"/>
      <w:r w:rsidRPr="006E3F9B">
        <w:rPr>
          <w:color w:val="000000"/>
        </w:rPr>
        <w:t>Schools at their most recent inspection</w:t>
      </w:r>
      <w:bookmarkEnd w:id="5"/>
    </w:p>
    <w:p w14:paraId="1F1AF691" w14:textId="46501F5C" w:rsidR="0032045A" w:rsidRDefault="000766FC" w:rsidP="00C16219">
      <w:pPr>
        <w:jc w:val="left"/>
        <w:rPr>
          <w:color w:val="000000"/>
        </w:rPr>
      </w:pPr>
      <w:r w:rsidRPr="003B1DCE">
        <w:rPr>
          <w:color w:val="000000"/>
        </w:rPr>
        <w:t xml:space="preserve">At the end of </w:t>
      </w:r>
      <w:r w:rsidR="00113442">
        <w:rPr>
          <w:color w:val="000000"/>
        </w:rPr>
        <w:t>December</w:t>
      </w:r>
      <w:r w:rsidR="00113442" w:rsidRPr="003B1DCE">
        <w:rPr>
          <w:color w:val="000000"/>
        </w:rPr>
        <w:t xml:space="preserve"> </w:t>
      </w:r>
      <w:r w:rsidRPr="003B1DCE">
        <w:rPr>
          <w:color w:val="000000"/>
        </w:rPr>
        <w:t xml:space="preserve">2017, </w:t>
      </w:r>
      <w:r w:rsidR="00113442">
        <w:rPr>
          <w:color w:val="000000"/>
        </w:rPr>
        <w:t xml:space="preserve">the proportion of schools </w:t>
      </w:r>
      <w:r w:rsidRPr="003B1DCE">
        <w:rPr>
          <w:color w:val="000000"/>
        </w:rPr>
        <w:t>judged to be good or outstanding at their most recent inspection</w:t>
      </w:r>
      <w:r w:rsidR="00113442">
        <w:rPr>
          <w:color w:val="000000"/>
        </w:rPr>
        <w:t xml:space="preserve"> remained </w:t>
      </w:r>
      <w:r w:rsidR="008C3BFB">
        <w:rPr>
          <w:color w:val="000000"/>
        </w:rPr>
        <w:t xml:space="preserve">the same, </w:t>
      </w:r>
      <w:r w:rsidR="00113442">
        <w:rPr>
          <w:color w:val="000000"/>
        </w:rPr>
        <w:t>at 89%</w:t>
      </w:r>
      <w:r w:rsidR="00DD1FCF">
        <w:rPr>
          <w:color w:val="000000"/>
        </w:rPr>
        <w:t>:</w:t>
      </w:r>
      <w:r w:rsidRPr="003B1DCE">
        <w:rPr>
          <w:color w:val="000000"/>
        </w:rPr>
        <w:t xml:space="preserve"> the same proportion </w:t>
      </w:r>
      <w:r w:rsidR="00AD256D">
        <w:rPr>
          <w:color w:val="000000"/>
        </w:rPr>
        <w:t>seen since August 2016</w:t>
      </w:r>
      <w:r w:rsidR="00EA787B">
        <w:rPr>
          <w:color w:val="000000"/>
        </w:rPr>
        <w:t>. However</w:t>
      </w:r>
      <w:r w:rsidR="00AD256D">
        <w:rPr>
          <w:color w:val="000000"/>
        </w:rPr>
        <w:t xml:space="preserve"> </w:t>
      </w:r>
      <w:r w:rsidR="004B2BEF">
        <w:rPr>
          <w:color w:val="000000"/>
        </w:rPr>
        <w:t>within this</w:t>
      </w:r>
      <w:r w:rsidR="007939B0">
        <w:rPr>
          <w:color w:val="000000"/>
        </w:rPr>
        <w:t xml:space="preserve"> there has been a marginal increase in</w:t>
      </w:r>
      <w:r w:rsidR="004B2BEF">
        <w:rPr>
          <w:color w:val="000000"/>
        </w:rPr>
        <w:t xml:space="preserve"> </w:t>
      </w:r>
      <w:r w:rsidR="00AD256D">
        <w:rPr>
          <w:color w:val="000000"/>
        </w:rPr>
        <w:t xml:space="preserve">the proportion of </w:t>
      </w:r>
      <w:r w:rsidR="00D36828">
        <w:rPr>
          <w:color w:val="000000"/>
        </w:rPr>
        <w:t xml:space="preserve">schools that are </w:t>
      </w:r>
      <w:r w:rsidR="007939B0">
        <w:rPr>
          <w:color w:val="000000"/>
        </w:rPr>
        <w:t xml:space="preserve">judged </w:t>
      </w:r>
      <w:r w:rsidR="00AD256D">
        <w:rPr>
          <w:color w:val="000000"/>
        </w:rPr>
        <w:t>outstanding</w:t>
      </w:r>
      <w:r w:rsidR="007939B0">
        <w:rPr>
          <w:color w:val="000000"/>
        </w:rPr>
        <w:t>,</w:t>
      </w:r>
      <w:r w:rsidR="00AD256D">
        <w:rPr>
          <w:color w:val="000000"/>
        </w:rPr>
        <w:t xml:space="preserve"> to 22%</w:t>
      </w:r>
      <w:r w:rsidR="004B2BEF">
        <w:rPr>
          <w:color w:val="000000"/>
        </w:rPr>
        <w:t>, while</w:t>
      </w:r>
      <w:r w:rsidR="00EA787B">
        <w:rPr>
          <w:color w:val="000000"/>
        </w:rPr>
        <w:t xml:space="preserve"> </w:t>
      </w:r>
      <w:r w:rsidR="004B2BEF">
        <w:rPr>
          <w:color w:val="000000"/>
        </w:rPr>
        <w:t xml:space="preserve">the proportion that are judged </w:t>
      </w:r>
      <w:r w:rsidR="00EA787B">
        <w:rPr>
          <w:color w:val="000000"/>
        </w:rPr>
        <w:t>good ha</w:t>
      </w:r>
      <w:r w:rsidR="004B2BEF">
        <w:rPr>
          <w:color w:val="000000"/>
        </w:rPr>
        <w:t>s</w:t>
      </w:r>
      <w:r w:rsidR="00EA787B">
        <w:rPr>
          <w:color w:val="000000"/>
        </w:rPr>
        <w:t xml:space="preserve"> </w:t>
      </w:r>
      <w:r w:rsidR="004B2BEF">
        <w:rPr>
          <w:color w:val="000000"/>
        </w:rPr>
        <w:t>red</w:t>
      </w:r>
      <w:r w:rsidR="00F86B45">
        <w:rPr>
          <w:color w:val="000000"/>
        </w:rPr>
        <w:t>u</w:t>
      </w:r>
      <w:r w:rsidR="004B2BEF">
        <w:rPr>
          <w:color w:val="000000"/>
        </w:rPr>
        <w:t>ced</w:t>
      </w:r>
      <w:r w:rsidR="00EA787B">
        <w:rPr>
          <w:color w:val="000000"/>
        </w:rPr>
        <w:t xml:space="preserve"> </w:t>
      </w:r>
      <w:r w:rsidR="004B2BEF">
        <w:rPr>
          <w:color w:val="000000"/>
        </w:rPr>
        <w:t xml:space="preserve">slightly </w:t>
      </w:r>
      <w:r w:rsidR="00EA787B">
        <w:rPr>
          <w:color w:val="000000"/>
        </w:rPr>
        <w:t>to 67%</w:t>
      </w:r>
      <w:r w:rsidRPr="003B1DCE">
        <w:rPr>
          <w:color w:val="000000"/>
        </w:rPr>
        <w:t xml:space="preserve">. Grades remain higher </w:t>
      </w:r>
      <w:r w:rsidRPr="003B1DCE">
        <w:rPr>
          <w:color w:val="000000"/>
        </w:rPr>
        <w:lastRenderedPageBreak/>
        <w:t>for primary schools (90% good or outstanding) than for secondary schools (</w:t>
      </w:r>
      <w:r w:rsidR="00612784">
        <w:rPr>
          <w:color w:val="000000"/>
        </w:rPr>
        <w:t>80</w:t>
      </w:r>
      <w:r w:rsidRPr="003B1DCE">
        <w:rPr>
          <w:color w:val="000000"/>
        </w:rPr>
        <w:t>% good or outstanding).</w:t>
      </w:r>
    </w:p>
    <w:p w14:paraId="5EDA6D31" w14:textId="77777777" w:rsidR="00472A4E" w:rsidRDefault="00472A4E" w:rsidP="00C16219">
      <w:pPr>
        <w:jc w:val="left"/>
        <w:rPr>
          <w:color w:val="000000"/>
        </w:rPr>
      </w:pPr>
    </w:p>
    <w:p w14:paraId="69A31906" w14:textId="77777777" w:rsidR="00472A4E" w:rsidRPr="00D17C10" w:rsidRDefault="00472A4E" w:rsidP="00472A4E">
      <w:pPr>
        <w:spacing w:after="120"/>
        <w:jc w:val="left"/>
        <w:rPr>
          <w:rFonts w:cs="Tahoma"/>
        </w:rPr>
      </w:pPr>
      <w:r w:rsidRPr="00D17C10">
        <w:rPr>
          <w:rFonts w:cs="Tahoma"/>
        </w:rPr>
        <w:t xml:space="preserve">For some </w:t>
      </w:r>
      <w:r>
        <w:rPr>
          <w:rFonts w:cs="Tahoma"/>
        </w:rPr>
        <w:t>phases</w:t>
      </w:r>
      <w:r w:rsidRPr="00D17C10">
        <w:rPr>
          <w:rFonts w:cs="Tahoma"/>
        </w:rPr>
        <w:t xml:space="preserve"> of education there have been small changes to the proportion</w:t>
      </w:r>
      <w:r w:rsidRPr="00D17C10">
        <w:rPr>
          <w:rStyle w:val="FootnoteReference"/>
          <w:rFonts w:cs="Tahoma"/>
        </w:rPr>
        <w:footnoteReference w:id="4"/>
      </w:r>
      <w:r>
        <w:rPr>
          <w:rFonts w:cs="Tahoma"/>
        </w:rPr>
        <w:t xml:space="preserve"> of schools judged good</w:t>
      </w:r>
      <w:r w:rsidRPr="00D17C10">
        <w:rPr>
          <w:rFonts w:cs="Tahoma"/>
        </w:rPr>
        <w:t xml:space="preserve"> or </w:t>
      </w:r>
      <w:r>
        <w:rPr>
          <w:rFonts w:cs="Tahoma"/>
        </w:rPr>
        <w:t>outstanding</w:t>
      </w:r>
      <w:r w:rsidRPr="00D17C10">
        <w:rPr>
          <w:rFonts w:cs="Tahoma"/>
        </w:rPr>
        <w:t xml:space="preserve"> at their most recent inspection, when compared </w:t>
      </w:r>
      <w:r>
        <w:rPr>
          <w:rFonts w:cs="Tahoma"/>
        </w:rPr>
        <w:t>with</w:t>
      </w:r>
      <w:r w:rsidRPr="00D17C10">
        <w:rPr>
          <w:rFonts w:cs="Tahoma"/>
        </w:rPr>
        <w:t xml:space="preserve"> </w:t>
      </w:r>
      <w:r>
        <w:rPr>
          <w:rFonts w:cs="Tahoma"/>
        </w:rPr>
        <w:t>August 2017</w:t>
      </w:r>
      <w:r w:rsidRPr="00D17C10">
        <w:rPr>
          <w:rFonts w:cs="Tahoma"/>
        </w:rPr>
        <w:t xml:space="preserve">: </w:t>
      </w:r>
    </w:p>
    <w:p w14:paraId="3103FB4F" w14:textId="1FB9CA36" w:rsidR="00472A4E" w:rsidRPr="00D17C10" w:rsidRDefault="00472A4E" w:rsidP="0017416C">
      <w:pPr>
        <w:pStyle w:val="ListParagraph"/>
        <w:numPr>
          <w:ilvl w:val="0"/>
          <w:numId w:val="35"/>
        </w:numPr>
        <w:spacing w:after="120"/>
        <w:jc w:val="left"/>
        <w:rPr>
          <w:rFonts w:cs="Tahoma"/>
        </w:rPr>
      </w:pPr>
      <w:r w:rsidRPr="00D17C10">
        <w:rPr>
          <w:rFonts w:cs="Tahoma"/>
        </w:rPr>
        <w:t>Secondary schools</w:t>
      </w:r>
      <w:r w:rsidR="008C3BFB">
        <w:rPr>
          <w:rFonts w:cs="Tahoma"/>
        </w:rPr>
        <w:t xml:space="preserve"> remained </w:t>
      </w:r>
      <w:r w:rsidR="00580DDD" w:rsidRPr="002D58AE">
        <w:rPr>
          <w:rFonts w:cs="Tahoma"/>
        </w:rPr>
        <w:t>broadly</w:t>
      </w:r>
      <w:r w:rsidR="008C3BFB">
        <w:rPr>
          <w:rFonts w:cs="Tahoma"/>
        </w:rPr>
        <w:t xml:space="preserve"> the same</w:t>
      </w:r>
      <w:r>
        <w:rPr>
          <w:rFonts w:cs="Tahoma"/>
        </w:rPr>
        <w:t>,</w:t>
      </w:r>
      <w:r w:rsidR="008C3BFB">
        <w:rPr>
          <w:rFonts w:cs="Tahoma"/>
        </w:rPr>
        <w:t xml:space="preserve"> with a marginal increase to </w:t>
      </w:r>
      <w:r>
        <w:rPr>
          <w:rFonts w:cs="Tahoma"/>
        </w:rPr>
        <w:t>80</w:t>
      </w:r>
      <w:r w:rsidRPr="00D17C10">
        <w:rPr>
          <w:rFonts w:cs="Tahoma"/>
        </w:rPr>
        <w:t>%, from 7</w:t>
      </w:r>
      <w:r>
        <w:rPr>
          <w:rFonts w:cs="Tahoma"/>
        </w:rPr>
        <w:t>9</w:t>
      </w:r>
      <w:r w:rsidRPr="00D17C10">
        <w:rPr>
          <w:rFonts w:cs="Tahoma"/>
        </w:rPr>
        <w:t>%</w:t>
      </w:r>
      <w:r>
        <w:rPr>
          <w:rFonts w:cs="Tahoma"/>
        </w:rPr>
        <w:t xml:space="preserve"> in August 2017;</w:t>
      </w:r>
      <w:r w:rsidRPr="00D17C10">
        <w:rPr>
          <w:rFonts w:cs="Tahoma"/>
        </w:rPr>
        <w:t xml:space="preserve">  </w:t>
      </w:r>
    </w:p>
    <w:p w14:paraId="00CCD068" w14:textId="77777777" w:rsidR="00472A4E" w:rsidRDefault="00472A4E" w:rsidP="0017416C">
      <w:pPr>
        <w:pStyle w:val="ListParagraph"/>
        <w:numPr>
          <w:ilvl w:val="0"/>
          <w:numId w:val="35"/>
        </w:numPr>
        <w:spacing w:after="120"/>
        <w:jc w:val="left"/>
        <w:rPr>
          <w:rFonts w:cs="Tahoma"/>
        </w:rPr>
      </w:pPr>
      <w:r w:rsidRPr="00D17C10">
        <w:rPr>
          <w:rFonts w:cs="Tahoma"/>
        </w:rPr>
        <w:t xml:space="preserve">Pupil referral units </w:t>
      </w:r>
      <w:r>
        <w:rPr>
          <w:rFonts w:cs="Tahoma"/>
        </w:rPr>
        <w:t>are</w:t>
      </w:r>
      <w:r w:rsidRPr="00D17C10">
        <w:rPr>
          <w:rFonts w:cs="Tahoma"/>
        </w:rPr>
        <w:t xml:space="preserve"> 8</w:t>
      </w:r>
      <w:r>
        <w:rPr>
          <w:rFonts w:cs="Tahoma"/>
        </w:rPr>
        <w:t>5</w:t>
      </w:r>
      <w:r w:rsidRPr="00D17C10">
        <w:rPr>
          <w:rFonts w:cs="Tahoma"/>
        </w:rPr>
        <w:t>%</w:t>
      </w:r>
      <w:r>
        <w:rPr>
          <w:rFonts w:cs="Tahoma"/>
        </w:rPr>
        <w:t>, a decrease</w:t>
      </w:r>
      <w:r w:rsidRPr="00D17C10">
        <w:rPr>
          <w:rFonts w:cs="Tahoma"/>
        </w:rPr>
        <w:t xml:space="preserve"> from 8</w:t>
      </w:r>
      <w:r>
        <w:rPr>
          <w:rFonts w:cs="Tahoma"/>
        </w:rPr>
        <w:t>8</w:t>
      </w:r>
      <w:r w:rsidRPr="00D17C10">
        <w:rPr>
          <w:rFonts w:cs="Tahoma"/>
        </w:rPr>
        <w:t>%</w:t>
      </w:r>
      <w:r>
        <w:rPr>
          <w:rFonts w:cs="Tahoma"/>
        </w:rPr>
        <w:t>;</w:t>
      </w:r>
    </w:p>
    <w:p w14:paraId="29FDBC44" w14:textId="1A747FAE" w:rsidR="000760AA" w:rsidRDefault="00472A4E" w:rsidP="000760AA">
      <w:pPr>
        <w:pStyle w:val="ListParagraph"/>
        <w:numPr>
          <w:ilvl w:val="0"/>
          <w:numId w:val="35"/>
        </w:numPr>
        <w:spacing w:after="120"/>
        <w:jc w:val="left"/>
        <w:rPr>
          <w:rFonts w:cs="Tahoma"/>
        </w:rPr>
      </w:pPr>
      <w:r w:rsidRPr="009E26DD">
        <w:rPr>
          <w:rFonts w:cs="Tahoma"/>
        </w:rPr>
        <w:t>Nursery schools are 98%, a small decrease from 99%.</w:t>
      </w:r>
    </w:p>
    <w:p w14:paraId="025305A4" w14:textId="77777777" w:rsidR="000760AA" w:rsidRPr="000760AA" w:rsidRDefault="000760AA" w:rsidP="000760AA">
      <w:pPr>
        <w:pStyle w:val="ListParagraph"/>
        <w:spacing w:after="120"/>
        <w:jc w:val="left"/>
        <w:rPr>
          <w:rFonts w:cs="Tahoma"/>
        </w:rPr>
      </w:pPr>
    </w:p>
    <w:p w14:paraId="72D9AD02" w14:textId="11AC275D" w:rsidR="00AD256D" w:rsidRDefault="00AE60CD" w:rsidP="00C16219">
      <w:pPr>
        <w:spacing w:after="120"/>
        <w:jc w:val="left"/>
        <w:rPr>
          <w:rFonts w:cs="Tahoma"/>
          <w:b/>
          <w:bCs/>
        </w:rPr>
      </w:pPr>
      <w:r w:rsidRPr="00C16219">
        <w:rPr>
          <w:rFonts w:cs="Tahoma"/>
          <w:b/>
          <w:bCs/>
        </w:rPr>
        <w:t xml:space="preserve">Figure </w:t>
      </w:r>
      <w:r>
        <w:rPr>
          <w:rFonts w:cs="Tahoma"/>
          <w:b/>
          <w:bCs/>
        </w:rPr>
        <w:t>4</w:t>
      </w:r>
      <w:r w:rsidRPr="00C16219">
        <w:rPr>
          <w:rFonts w:cs="Tahoma"/>
          <w:b/>
          <w:bCs/>
        </w:rPr>
        <w:t xml:space="preserve">: Overall effectiveness of maintained schools and academies at their most recent inspection, 31 </w:t>
      </w:r>
      <w:r w:rsidR="00211321">
        <w:rPr>
          <w:rFonts w:cs="Tahoma"/>
          <w:b/>
          <w:bCs/>
        </w:rPr>
        <w:t>December 2017</w:t>
      </w:r>
      <w:r w:rsidR="000766FC" w:rsidRPr="00C16219">
        <w:rPr>
          <w:rFonts w:cs="Tahoma"/>
          <w:b/>
          <w:bCs/>
        </w:rPr>
        <w:t xml:space="preserve"> </w:t>
      </w:r>
    </w:p>
    <w:p w14:paraId="627EAD0A" w14:textId="5A03B0AC" w:rsidR="000766FC" w:rsidRPr="00D17C10" w:rsidRDefault="000A0A13" w:rsidP="00FC58B7">
      <w:pPr>
        <w:jc w:val="left"/>
        <w:rPr>
          <w:rFonts w:cs="Tahoma"/>
        </w:rPr>
      </w:pPr>
      <w:r>
        <w:rPr>
          <w:noProof/>
          <w:color w:val="000000"/>
        </w:rPr>
        <w:drawing>
          <wp:inline distT="0" distB="0" distL="0" distR="0" wp14:anchorId="5A9DAB39" wp14:editId="223FAD82">
            <wp:extent cx="5731510" cy="2631647"/>
            <wp:effectExtent l="0" t="0" r="2540" b="0"/>
            <wp:docPr id="5" name="Picture 5" descr="Proportion of schools good or outstanding remained at 89%. The proportion of outstanding schools has increased very slightly to 22%.&#10;" title="Figure 4: Overall effectiveness of maintained schools and academies at their most recent inspection, 31 December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631647"/>
                    </a:xfrm>
                    <a:prstGeom prst="rect">
                      <a:avLst/>
                    </a:prstGeom>
                    <a:noFill/>
                  </pic:spPr>
                </pic:pic>
              </a:graphicData>
            </a:graphic>
          </wp:inline>
        </w:drawing>
      </w:r>
    </w:p>
    <w:p w14:paraId="1CF23B2E" w14:textId="77777777" w:rsidR="000A0A13" w:rsidRDefault="000A0A13" w:rsidP="00DD6E66">
      <w:pPr>
        <w:jc w:val="left"/>
        <w:rPr>
          <w:rFonts w:cs="Tahoma"/>
        </w:rPr>
      </w:pPr>
    </w:p>
    <w:p w14:paraId="11E4CFC7" w14:textId="585AD30A" w:rsidR="007A5E5B" w:rsidRPr="0017416C" w:rsidRDefault="007A5E5B" w:rsidP="0017416C">
      <w:pPr>
        <w:spacing w:after="120"/>
        <w:jc w:val="left"/>
        <w:rPr>
          <w:rFonts w:cs="Tahoma"/>
        </w:rPr>
      </w:pPr>
      <w:r w:rsidRPr="0017416C">
        <w:rPr>
          <w:rFonts w:cs="Tahoma"/>
        </w:rPr>
        <w:t>However there has been no overall change in the proportion of schools judged good and outstanding for:</w:t>
      </w:r>
    </w:p>
    <w:p w14:paraId="5EB36A14" w14:textId="145FC9D1" w:rsidR="007A5E5B" w:rsidRPr="0017416C" w:rsidRDefault="007A5E5B" w:rsidP="0017416C">
      <w:pPr>
        <w:pStyle w:val="ListParagraph"/>
        <w:numPr>
          <w:ilvl w:val="0"/>
          <w:numId w:val="35"/>
        </w:numPr>
        <w:spacing w:after="120"/>
        <w:jc w:val="left"/>
        <w:rPr>
          <w:rFonts w:cs="Tahoma"/>
        </w:rPr>
      </w:pPr>
      <w:r w:rsidRPr="0017416C">
        <w:rPr>
          <w:rFonts w:cs="Tahoma"/>
        </w:rPr>
        <w:t>P</w:t>
      </w:r>
      <w:r w:rsidR="00DD6E66" w:rsidRPr="0017416C">
        <w:rPr>
          <w:rFonts w:cs="Tahoma"/>
        </w:rPr>
        <w:t>rimary schools</w:t>
      </w:r>
      <w:r w:rsidRPr="0017416C">
        <w:rPr>
          <w:rFonts w:cs="Tahoma"/>
        </w:rPr>
        <w:t xml:space="preserve"> </w:t>
      </w:r>
      <w:r w:rsidR="00221F99" w:rsidRPr="0017416C">
        <w:rPr>
          <w:rFonts w:cs="Tahoma"/>
        </w:rPr>
        <w:t>are still</w:t>
      </w:r>
      <w:r w:rsidRPr="0017416C">
        <w:rPr>
          <w:rFonts w:cs="Tahoma"/>
        </w:rPr>
        <w:t xml:space="preserve"> 90%, the same position as in August 2017</w:t>
      </w:r>
      <w:r w:rsidR="00221F99" w:rsidRPr="0017416C">
        <w:rPr>
          <w:rFonts w:cs="Tahoma"/>
        </w:rPr>
        <w:t>; and</w:t>
      </w:r>
    </w:p>
    <w:p w14:paraId="5C780F2C" w14:textId="39CE03F6" w:rsidR="00DD6E66" w:rsidRDefault="007A5E5B" w:rsidP="0017416C">
      <w:pPr>
        <w:pStyle w:val="ListParagraph"/>
        <w:numPr>
          <w:ilvl w:val="0"/>
          <w:numId w:val="35"/>
        </w:numPr>
        <w:spacing w:after="120"/>
        <w:jc w:val="left"/>
        <w:rPr>
          <w:rFonts w:cs="Tahoma"/>
        </w:rPr>
      </w:pPr>
      <w:r>
        <w:rPr>
          <w:rFonts w:cs="Tahoma"/>
        </w:rPr>
        <w:t xml:space="preserve">Special schools </w:t>
      </w:r>
      <w:r w:rsidR="00221F99">
        <w:rPr>
          <w:rFonts w:cs="Tahoma"/>
        </w:rPr>
        <w:t>are</w:t>
      </w:r>
      <w:r>
        <w:rPr>
          <w:rFonts w:cs="Tahoma"/>
        </w:rPr>
        <w:t xml:space="preserve"> still 94%.</w:t>
      </w:r>
      <w:r w:rsidDel="007A5E5B">
        <w:rPr>
          <w:rFonts w:cs="Tahoma"/>
        </w:rPr>
        <w:t xml:space="preserve"> </w:t>
      </w:r>
    </w:p>
    <w:p w14:paraId="06C397B8" w14:textId="5E5B762F" w:rsidR="002A6A31" w:rsidRDefault="00C55F7C" w:rsidP="00FC58B7">
      <w:pPr>
        <w:jc w:val="left"/>
        <w:rPr>
          <w:rFonts w:cs="Tahoma"/>
        </w:rPr>
      </w:pPr>
      <w:r w:rsidRPr="00C54F39">
        <w:rPr>
          <w:rFonts w:cs="Tahoma"/>
        </w:rPr>
        <w:t>For secondary schools</w:t>
      </w:r>
      <w:r w:rsidR="00A23701" w:rsidRPr="00C54F39">
        <w:rPr>
          <w:rFonts w:cs="Tahoma"/>
        </w:rPr>
        <w:t>,</w:t>
      </w:r>
      <w:r w:rsidRPr="00C54F39">
        <w:rPr>
          <w:rFonts w:cs="Tahoma"/>
        </w:rPr>
        <w:t xml:space="preserve"> the</w:t>
      </w:r>
      <w:r w:rsidR="00A23701" w:rsidRPr="00C54F39">
        <w:rPr>
          <w:rFonts w:cs="Tahoma"/>
        </w:rPr>
        <w:t xml:space="preserve"> small</w:t>
      </w:r>
      <w:r w:rsidRPr="00C54F39">
        <w:rPr>
          <w:rFonts w:cs="Tahoma"/>
        </w:rPr>
        <w:t xml:space="preserve"> improvement seen is </w:t>
      </w:r>
      <w:r w:rsidR="00D952E4" w:rsidRPr="00C54F39">
        <w:rPr>
          <w:rFonts w:cs="Tahoma"/>
        </w:rPr>
        <w:t xml:space="preserve">driven by </w:t>
      </w:r>
      <w:r w:rsidRPr="00C54F39">
        <w:rPr>
          <w:rFonts w:cs="Tahoma"/>
        </w:rPr>
        <w:t xml:space="preserve">school closures. While inspections during this academic year showed that more schools improved than declined, more schools actually declined from good or outstanding to requires </w:t>
      </w:r>
      <w:r w:rsidRPr="00C54F39">
        <w:rPr>
          <w:rFonts w:cs="Tahoma"/>
        </w:rPr>
        <w:lastRenderedPageBreak/>
        <w:t xml:space="preserve">improvement or inadequate, than improved from requires improvement or inadequate to good or outstanding. Overall, this </w:t>
      </w:r>
      <w:r w:rsidR="00D952E4" w:rsidRPr="00C54F39">
        <w:rPr>
          <w:rFonts w:cs="Tahoma"/>
        </w:rPr>
        <w:t>sh</w:t>
      </w:r>
      <w:r w:rsidRPr="00C54F39">
        <w:rPr>
          <w:rFonts w:cs="Tahoma"/>
        </w:rPr>
        <w:t xml:space="preserve">ould have a downward impact on the </w:t>
      </w:r>
      <w:r w:rsidR="00D952E4" w:rsidRPr="00C54F39">
        <w:rPr>
          <w:rFonts w:cs="Tahoma"/>
        </w:rPr>
        <w:t>proportion of a</w:t>
      </w:r>
      <w:r w:rsidRPr="00C54F39">
        <w:rPr>
          <w:rFonts w:cs="Tahoma"/>
        </w:rPr>
        <w:t>ll secondary schools</w:t>
      </w:r>
      <w:r w:rsidR="00D952E4" w:rsidRPr="00C54F39">
        <w:rPr>
          <w:rFonts w:cs="Tahoma"/>
        </w:rPr>
        <w:t xml:space="preserve"> that are good or outstanding</w:t>
      </w:r>
      <w:r w:rsidRPr="00C54F39">
        <w:rPr>
          <w:rFonts w:cs="Tahoma"/>
        </w:rPr>
        <w:t xml:space="preserve">. </w:t>
      </w:r>
    </w:p>
    <w:p w14:paraId="735C38FE" w14:textId="77777777" w:rsidR="002A6A31" w:rsidRDefault="002A6A31" w:rsidP="00FC58B7">
      <w:pPr>
        <w:jc w:val="left"/>
        <w:rPr>
          <w:rFonts w:cs="Tahoma"/>
        </w:rPr>
      </w:pPr>
    </w:p>
    <w:p w14:paraId="150C65EF" w14:textId="798EF262" w:rsidR="00F7008B" w:rsidRPr="00CD4DB9" w:rsidRDefault="00D952E4" w:rsidP="00E56100">
      <w:pPr>
        <w:jc w:val="left"/>
        <w:rPr>
          <w:rFonts w:cs="Tahoma"/>
        </w:rPr>
      </w:pPr>
      <w:r w:rsidRPr="00CD4DB9">
        <w:rPr>
          <w:rFonts w:cs="Tahoma"/>
        </w:rPr>
        <w:t>However, in the same period</w:t>
      </w:r>
      <w:r w:rsidR="00DB5E81" w:rsidRPr="00CD4DB9">
        <w:rPr>
          <w:rFonts w:cs="Tahoma"/>
        </w:rPr>
        <w:t xml:space="preserve"> 106</w:t>
      </w:r>
      <w:r w:rsidR="00C4002D" w:rsidRPr="00CD4DB9">
        <w:rPr>
          <w:rFonts w:cs="Tahoma"/>
        </w:rPr>
        <w:t xml:space="preserve"> secondary</w:t>
      </w:r>
      <w:r w:rsidR="00DB5E81" w:rsidRPr="00CD4DB9">
        <w:rPr>
          <w:rFonts w:cs="Tahoma"/>
        </w:rPr>
        <w:t xml:space="preserve"> schools closed</w:t>
      </w:r>
      <w:r w:rsidR="002A6A31" w:rsidRPr="00CD4DB9">
        <w:rPr>
          <w:rFonts w:cs="Tahoma"/>
        </w:rPr>
        <w:t xml:space="preserve">. A third of these </w:t>
      </w:r>
      <w:r w:rsidR="00C4002D" w:rsidRPr="00CD4DB9">
        <w:rPr>
          <w:rFonts w:cs="Tahoma"/>
        </w:rPr>
        <w:t xml:space="preserve">schools </w:t>
      </w:r>
      <w:r w:rsidR="002A6A31" w:rsidRPr="00CD4DB9">
        <w:rPr>
          <w:rFonts w:cs="Tahoma"/>
        </w:rPr>
        <w:t>clos</w:t>
      </w:r>
      <w:r w:rsidR="00E56100" w:rsidRPr="00CD4DB9">
        <w:rPr>
          <w:rFonts w:cs="Tahoma"/>
        </w:rPr>
        <w:t xml:space="preserve">ed and </w:t>
      </w:r>
      <w:r w:rsidR="00144690" w:rsidRPr="00CD4DB9">
        <w:rPr>
          <w:rFonts w:cs="Tahoma"/>
        </w:rPr>
        <w:t>reopened as converter academ</w:t>
      </w:r>
      <w:r w:rsidR="00C4002D" w:rsidRPr="00CD4DB9">
        <w:rPr>
          <w:rFonts w:cs="Tahoma"/>
        </w:rPr>
        <w:t>ies</w:t>
      </w:r>
      <w:r w:rsidRPr="00CD4DB9">
        <w:rPr>
          <w:rFonts w:cs="Tahoma"/>
        </w:rPr>
        <w:t>,</w:t>
      </w:r>
      <w:r w:rsidR="002A6A31" w:rsidRPr="00CD4DB9">
        <w:rPr>
          <w:rFonts w:cs="Tahoma"/>
        </w:rPr>
        <w:t xml:space="preserve"> which</w:t>
      </w:r>
      <w:r w:rsidR="00C4002D" w:rsidRPr="00CD4DB9">
        <w:rPr>
          <w:rFonts w:cs="Tahoma"/>
        </w:rPr>
        <w:t>,</w:t>
      </w:r>
      <w:r w:rsidR="002A6A31" w:rsidRPr="00CD4DB9">
        <w:rPr>
          <w:rFonts w:cs="Tahoma"/>
        </w:rPr>
        <w:t xml:space="preserve"> </w:t>
      </w:r>
      <w:r w:rsidR="00E56100" w:rsidRPr="00CD4DB9">
        <w:rPr>
          <w:rFonts w:cs="Tahoma"/>
        </w:rPr>
        <w:t xml:space="preserve">under </w:t>
      </w:r>
      <w:r w:rsidR="004524BF" w:rsidRPr="00CD4DB9">
        <w:rPr>
          <w:rFonts w:cs="Tahoma"/>
        </w:rPr>
        <w:t>our</w:t>
      </w:r>
      <w:r w:rsidR="00E56100" w:rsidRPr="00CD4DB9">
        <w:rPr>
          <w:rFonts w:cs="Tahoma"/>
        </w:rPr>
        <w:t xml:space="preserve"> statistical methodology, </w:t>
      </w:r>
      <w:r w:rsidR="002A6A31" w:rsidRPr="00CD4DB9">
        <w:rPr>
          <w:rFonts w:cs="Tahoma"/>
        </w:rPr>
        <w:t>keep the inspection history of the</w:t>
      </w:r>
      <w:r w:rsidR="00144690" w:rsidRPr="00CD4DB9">
        <w:rPr>
          <w:rFonts w:cs="Tahoma"/>
        </w:rPr>
        <w:t>ir</w:t>
      </w:r>
      <w:r w:rsidR="002A6A31" w:rsidRPr="00CD4DB9">
        <w:rPr>
          <w:rFonts w:cs="Tahoma"/>
        </w:rPr>
        <w:t xml:space="preserve"> predecessor school</w:t>
      </w:r>
      <w:r w:rsidR="00C4002D" w:rsidRPr="00CD4DB9">
        <w:rPr>
          <w:rFonts w:cs="Tahoma"/>
        </w:rPr>
        <w:t xml:space="preserve"> in the dataset</w:t>
      </w:r>
      <w:r w:rsidR="002A6A31" w:rsidRPr="00CD4DB9">
        <w:rPr>
          <w:rFonts w:cs="Tahoma"/>
        </w:rPr>
        <w:t>.</w:t>
      </w:r>
      <w:r w:rsidRPr="00CD4DB9">
        <w:rPr>
          <w:rFonts w:cs="Tahoma"/>
        </w:rPr>
        <w:t xml:space="preserve"> </w:t>
      </w:r>
      <w:r w:rsidR="00C4002D" w:rsidRPr="00CD4DB9">
        <w:rPr>
          <w:rFonts w:cs="Tahoma"/>
        </w:rPr>
        <w:t>T</w:t>
      </w:r>
      <w:r w:rsidR="00E56100" w:rsidRPr="00CD4DB9">
        <w:rPr>
          <w:rFonts w:cs="Tahoma"/>
        </w:rPr>
        <w:t>he</w:t>
      </w:r>
      <w:r w:rsidR="002A6A31" w:rsidRPr="00CD4DB9">
        <w:rPr>
          <w:rFonts w:cs="Tahoma"/>
        </w:rPr>
        <w:t xml:space="preserve"> two thirds</w:t>
      </w:r>
      <w:r w:rsidR="00E56100" w:rsidRPr="00CD4DB9">
        <w:rPr>
          <w:rFonts w:cs="Tahoma"/>
        </w:rPr>
        <w:t xml:space="preserve"> of schools which closed for other reasons</w:t>
      </w:r>
      <w:r w:rsidR="00144690" w:rsidRPr="00CD4DB9">
        <w:rPr>
          <w:rFonts w:cs="Tahoma"/>
        </w:rPr>
        <w:t xml:space="preserve">, including </w:t>
      </w:r>
      <w:r w:rsidR="00C4002D" w:rsidRPr="00CD4DB9">
        <w:rPr>
          <w:rFonts w:cs="Tahoma"/>
        </w:rPr>
        <w:t xml:space="preserve">to become </w:t>
      </w:r>
      <w:r w:rsidR="00144690" w:rsidRPr="00CD4DB9">
        <w:rPr>
          <w:rFonts w:cs="Tahoma"/>
        </w:rPr>
        <w:t>sponsor-led academ</w:t>
      </w:r>
      <w:r w:rsidR="00C4002D" w:rsidRPr="00CD4DB9">
        <w:rPr>
          <w:rFonts w:cs="Tahoma"/>
        </w:rPr>
        <w:t>ies</w:t>
      </w:r>
      <w:r w:rsidR="002A6A31" w:rsidRPr="00CD4DB9">
        <w:rPr>
          <w:rFonts w:cs="Tahoma"/>
        </w:rPr>
        <w:t xml:space="preserve">, </w:t>
      </w:r>
      <w:r w:rsidR="00C4002D" w:rsidRPr="00CD4DB9">
        <w:rPr>
          <w:rFonts w:cs="Tahoma"/>
        </w:rPr>
        <w:t xml:space="preserve">currently </w:t>
      </w:r>
      <w:r w:rsidR="00F74C5A" w:rsidRPr="00CD4DB9">
        <w:rPr>
          <w:rFonts w:cs="Tahoma"/>
        </w:rPr>
        <w:t>lose their inspection history</w:t>
      </w:r>
      <w:r w:rsidR="00E64119" w:rsidRPr="00CD4DB9">
        <w:rPr>
          <w:rFonts w:cs="Tahoma"/>
        </w:rPr>
        <w:t xml:space="preserve"> and </w:t>
      </w:r>
      <w:r w:rsidR="00EB06EC" w:rsidRPr="00CD4DB9">
        <w:rPr>
          <w:rFonts w:cs="Tahoma"/>
        </w:rPr>
        <w:t xml:space="preserve">their grades are </w:t>
      </w:r>
      <w:r w:rsidR="00E64119" w:rsidRPr="00CD4DB9">
        <w:rPr>
          <w:rFonts w:cs="Tahoma"/>
        </w:rPr>
        <w:t>no longer included in the dataset</w:t>
      </w:r>
      <w:r w:rsidRPr="00CD4DB9">
        <w:rPr>
          <w:rFonts w:cs="Tahoma"/>
        </w:rPr>
        <w:t>.</w:t>
      </w:r>
      <w:r w:rsidR="00E64119" w:rsidRPr="00CD4DB9">
        <w:rPr>
          <w:rFonts w:cs="Tahoma"/>
        </w:rPr>
        <w:t xml:space="preserve"> </w:t>
      </w:r>
      <w:r w:rsidR="00C4002D" w:rsidRPr="00CD4DB9">
        <w:rPr>
          <w:rFonts w:cs="Tahoma"/>
        </w:rPr>
        <w:t xml:space="preserve">Nearly 8 out of ten of these schools were judged to be less than good at their most recent inspection. </w:t>
      </w:r>
      <w:r w:rsidR="00E56100" w:rsidRPr="00CD4DB9">
        <w:rPr>
          <w:rFonts w:cs="Tahoma"/>
        </w:rPr>
        <w:t>Therefore the percentage of schools that are outstanding or good can increase as a proportion of all schools inspected</w:t>
      </w:r>
      <w:r w:rsidR="00C4002D" w:rsidRPr="00CD4DB9">
        <w:rPr>
          <w:rFonts w:cs="Tahoma"/>
        </w:rPr>
        <w:t>,</w:t>
      </w:r>
      <w:r w:rsidR="00E56100" w:rsidRPr="00CD4DB9">
        <w:rPr>
          <w:rFonts w:cs="Tahoma"/>
        </w:rPr>
        <w:t xml:space="preserve"> simply because of </w:t>
      </w:r>
      <w:r w:rsidR="00144690" w:rsidRPr="00CD4DB9">
        <w:rPr>
          <w:rFonts w:cs="Tahoma"/>
        </w:rPr>
        <w:t>schools closing.</w:t>
      </w:r>
      <w:r w:rsidR="00E56100" w:rsidRPr="00CD4DB9">
        <w:rPr>
          <w:rFonts w:cs="Tahoma"/>
        </w:rPr>
        <w:t xml:space="preserve"> </w:t>
      </w:r>
    </w:p>
    <w:p w14:paraId="1BDC3201" w14:textId="77777777" w:rsidR="00F7008B" w:rsidRPr="00CD4DB9" w:rsidRDefault="00F7008B" w:rsidP="00E56100">
      <w:pPr>
        <w:jc w:val="left"/>
        <w:rPr>
          <w:rFonts w:cs="Tahoma"/>
        </w:rPr>
      </w:pPr>
    </w:p>
    <w:p w14:paraId="272B6E97" w14:textId="2F48EB85" w:rsidR="00DD6E66" w:rsidRDefault="00E56100" w:rsidP="00E56100">
      <w:pPr>
        <w:jc w:val="left"/>
        <w:rPr>
          <w:rFonts w:cs="Tahoma"/>
        </w:rPr>
      </w:pPr>
      <w:r w:rsidRPr="00CD4DB9">
        <w:rPr>
          <w:rFonts w:cs="Tahoma"/>
        </w:rPr>
        <w:t>Foll</w:t>
      </w:r>
      <w:r w:rsidR="00E64119" w:rsidRPr="00CD4DB9">
        <w:rPr>
          <w:rFonts w:cs="Tahoma"/>
        </w:rPr>
        <w:t xml:space="preserve">owing our recent consultation on </w:t>
      </w:r>
      <w:r w:rsidR="00221F99" w:rsidRPr="00CD4DB9">
        <w:rPr>
          <w:rFonts w:cs="Tahoma"/>
        </w:rPr>
        <w:t xml:space="preserve">proposals to </w:t>
      </w:r>
      <w:r w:rsidR="00E64119" w:rsidRPr="00CD4DB9">
        <w:rPr>
          <w:rFonts w:cs="Tahoma"/>
        </w:rPr>
        <w:t>change this methodology</w:t>
      </w:r>
      <w:r w:rsidR="00E64119" w:rsidRPr="00CD4DB9">
        <w:rPr>
          <w:rStyle w:val="FootnoteReference"/>
          <w:rFonts w:cs="Tahoma"/>
        </w:rPr>
        <w:footnoteReference w:id="5"/>
      </w:r>
      <w:r w:rsidR="00E64119" w:rsidRPr="00CD4DB9">
        <w:rPr>
          <w:rFonts w:cs="Tahoma"/>
        </w:rPr>
        <w:t xml:space="preserve">, </w:t>
      </w:r>
      <w:r w:rsidR="00144690" w:rsidRPr="00CD4DB9">
        <w:rPr>
          <w:rFonts w:cs="Tahoma"/>
        </w:rPr>
        <w:t>all schools which close and then reopen as an academy</w:t>
      </w:r>
      <w:r w:rsidR="00E64119" w:rsidRPr="00CD4DB9">
        <w:rPr>
          <w:rFonts w:cs="Tahoma"/>
        </w:rPr>
        <w:t xml:space="preserve"> will be included in our statistical releases from June 2018.</w:t>
      </w:r>
      <w:r w:rsidR="00E64119" w:rsidDel="00E64119">
        <w:rPr>
          <w:rFonts w:cs="Tahoma"/>
        </w:rPr>
        <w:t xml:space="preserve"> </w:t>
      </w:r>
    </w:p>
    <w:p w14:paraId="1E130DB3" w14:textId="77777777" w:rsidR="00A23701" w:rsidRDefault="00A23701" w:rsidP="00FC58B7">
      <w:pPr>
        <w:jc w:val="left"/>
        <w:rPr>
          <w:rFonts w:cs="Tahoma"/>
        </w:rPr>
      </w:pPr>
    </w:p>
    <w:p w14:paraId="7747455B" w14:textId="1D43B535" w:rsidR="000766FC" w:rsidRPr="00A92C60" w:rsidRDefault="00F74C5A" w:rsidP="00A92C60">
      <w:pPr>
        <w:pStyle w:val="Heading2"/>
        <w:spacing w:after="120"/>
        <w:jc w:val="left"/>
        <w:rPr>
          <w:color w:val="000000"/>
        </w:rPr>
      </w:pPr>
      <w:bookmarkStart w:id="6" w:name="_Toc508870203"/>
      <w:r>
        <w:rPr>
          <w:color w:val="000000"/>
        </w:rPr>
        <w:t>The r</w:t>
      </w:r>
      <w:r w:rsidR="00E3270A" w:rsidRPr="00A92C60">
        <w:rPr>
          <w:color w:val="000000"/>
        </w:rPr>
        <w:t>elationship between</w:t>
      </w:r>
      <w:r>
        <w:rPr>
          <w:color w:val="000000"/>
        </w:rPr>
        <w:t xml:space="preserve"> the inspection</w:t>
      </w:r>
      <w:r w:rsidR="00E3270A" w:rsidRPr="00A92C60">
        <w:rPr>
          <w:color w:val="000000"/>
        </w:rPr>
        <w:t xml:space="preserve"> judgements</w:t>
      </w:r>
      <w:bookmarkEnd w:id="6"/>
    </w:p>
    <w:p w14:paraId="2804D03D" w14:textId="4814C86F" w:rsidR="00241E30" w:rsidRDefault="004B2BEF" w:rsidP="00122DA6">
      <w:pPr>
        <w:jc w:val="left"/>
        <w:rPr>
          <w:rFonts w:cs="Tahoma"/>
        </w:rPr>
      </w:pPr>
      <w:r>
        <w:rPr>
          <w:rFonts w:cs="Tahoma"/>
        </w:rPr>
        <w:t>In addition to overall effectiveness, t</w:t>
      </w:r>
      <w:r w:rsidR="00241E30">
        <w:rPr>
          <w:rFonts w:cs="Tahoma"/>
        </w:rPr>
        <w:t xml:space="preserve">here are four </w:t>
      </w:r>
      <w:r>
        <w:rPr>
          <w:rFonts w:cs="Tahoma"/>
        </w:rPr>
        <w:t xml:space="preserve">other </w:t>
      </w:r>
      <w:r w:rsidR="00241E30">
        <w:rPr>
          <w:rFonts w:cs="Tahoma"/>
        </w:rPr>
        <w:t>judgements made on</w:t>
      </w:r>
      <w:r w:rsidR="00F74C5A">
        <w:rPr>
          <w:rFonts w:cs="Tahoma"/>
        </w:rPr>
        <w:t xml:space="preserve"> all full</w:t>
      </w:r>
      <w:r w:rsidR="00241E30">
        <w:rPr>
          <w:rFonts w:cs="Tahoma"/>
        </w:rPr>
        <w:t xml:space="preserve"> </w:t>
      </w:r>
      <w:r>
        <w:rPr>
          <w:rFonts w:cs="Tahoma"/>
        </w:rPr>
        <w:t xml:space="preserve">(section 5) school </w:t>
      </w:r>
      <w:r w:rsidR="00241E30">
        <w:rPr>
          <w:rFonts w:cs="Tahoma"/>
        </w:rPr>
        <w:t>inspection</w:t>
      </w:r>
      <w:r w:rsidR="00F74C5A">
        <w:rPr>
          <w:rFonts w:cs="Tahoma"/>
        </w:rPr>
        <w:t>s</w:t>
      </w:r>
      <w:r>
        <w:rPr>
          <w:rFonts w:cs="Tahoma"/>
        </w:rPr>
        <w:t>. T</w:t>
      </w:r>
      <w:r w:rsidR="006F7710">
        <w:rPr>
          <w:rFonts w:cs="Tahoma"/>
        </w:rPr>
        <w:t>he grade</w:t>
      </w:r>
      <w:r>
        <w:rPr>
          <w:rFonts w:cs="Tahoma"/>
        </w:rPr>
        <w:t xml:space="preserve">s given for </w:t>
      </w:r>
      <w:r w:rsidR="006F7710">
        <w:rPr>
          <w:rFonts w:cs="Tahoma"/>
        </w:rPr>
        <w:t>these judgements</w:t>
      </w:r>
      <w:r w:rsidR="006C1277">
        <w:rPr>
          <w:rFonts w:cs="Tahoma"/>
        </w:rPr>
        <w:t xml:space="preserve"> are</w:t>
      </w:r>
      <w:r w:rsidR="00C84257">
        <w:rPr>
          <w:rFonts w:cs="Tahoma"/>
        </w:rPr>
        <w:t xml:space="preserve"> often</w:t>
      </w:r>
      <w:r w:rsidR="00FD2FB5">
        <w:rPr>
          <w:rFonts w:cs="Tahoma"/>
        </w:rPr>
        <w:t xml:space="preserve"> </w:t>
      </w:r>
      <w:r w:rsidR="004E501E">
        <w:rPr>
          <w:rFonts w:cs="Tahoma"/>
        </w:rPr>
        <w:t>the same as</w:t>
      </w:r>
      <w:r w:rsidR="00BD3B5B">
        <w:rPr>
          <w:rFonts w:cs="Tahoma"/>
        </w:rPr>
        <w:t xml:space="preserve"> </w:t>
      </w:r>
      <w:r w:rsidR="006F7710">
        <w:rPr>
          <w:rFonts w:cs="Tahoma"/>
        </w:rPr>
        <w:t xml:space="preserve">the grade given for </w:t>
      </w:r>
      <w:r w:rsidR="003F6C94">
        <w:rPr>
          <w:rFonts w:cs="Tahoma"/>
        </w:rPr>
        <w:t>the</w:t>
      </w:r>
      <w:r w:rsidR="00DF462F">
        <w:rPr>
          <w:rFonts w:cs="Tahoma"/>
        </w:rPr>
        <w:t xml:space="preserve"> </w:t>
      </w:r>
      <w:r w:rsidR="00BD3B5B">
        <w:rPr>
          <w:rFonts w:cs="Tahoma"/>
        </w:rPr>
        <w:t>school</w:t>
      </w:r>
      <w:r w:rsidR="003F6C94">
        <w:rPr>
          <w:rFonts w:cs="Tahoma"/>
        </w:rPr>
        <w:t>’</w:t>
      </w:r>
      <w:r w:rsidR="00BD3B5B">
        <w:rPr>
          <w:rFonts w:cs="Tahoma"/>
        </w:rPr>
        <w:t>s overall effectiveness judgement.</w:t>
      </w:r>
    </w:p>
    <w:p w14:paraId="6412F2BF" w14:textId="77777777" w:rsidR="00FD2FB5" w:rsidRDefault="00FD2FB5" w:rsidP="00122DA6">
      <w:pPr>
        <w:jc w:val="left"/>
        <w:rPr>
          <w:rFonts w:cs="Tahoma"/>
        </w:rPr>
      </w:pPr>
    </w:p>
    <w:p w14:paraId="403327E5" w14:textId="378B0009" w:rsidR="00FD2FB5" w:rsidRDefault="00FD2FB5" w:rsidP="00122DA6">
      <w:pPr>
        <w:jc w:val="left"/>
        <w:rPr>
          <w:rFonts w:cs="Tahoma"/>
        </w:rPr>
      </w:pPr>
      <w:r>
        <w:rPr>
          <w:rFonts w:cs="Tahoma"/>
        </w:rPr>
        <w:t xml:space="preserve">Looking at </w:t>
      </w:r>
      <w:r w:rsidR="003F6C94">
        <w:rPr>
          <w:rFonts w:cs="Tahoma"/>
        </w:rPr>
        <w:t xml:space="preserve">the </w:t>
      </w:r>
      <w:r w:rsidR="00730970">
        <w:rPr>
          <w:rFonts w:cs="Tahoma"/>
        </w:rPr>
        <w:t>6,231</w:t>
      </w:r>
      <w:r w:rsidR="003F6C94">
        <w:rPr>
          <w:rFonts w:cs="Tahoma"/>
        </w:rPr>
        <w:t xml:space="preserve"> full </w:t>
      </w:r>
      <w:r>
        <w:rPr>
          <w:rFonts w:cs="Tahoma"/>
        </w:rPr>
        <w:t xml:space="preserve">inspections </w:t>
      </w:r>
      <w:r w:rsidR="003F6C94">
        <w:rPr>
          <w:rFonts w:cs="Tahoma"/>
        </w:rPr>
        <w:t xml:space="preserve">conducted </w:t>
      </w:r>
      <w:r>
        <w:rPr>
          <w:rFonts w:cs="Tahoma"/>
        </w:rPr>
        <w:t>since the common inspection framework was introduced in September 2015</w:t>
      </w:r>
      <w:r w:rsidR="00F74C5A">
        <w:rPr>
          <w:rStyle w:val="FootnoteReference"/>
          <w:rFonts w:cs="Tahoma"/>
        </w:rPr>
        <w:footnoteReference w:id="6"/>
      </w:r>
      <w:r w:rsidR="00211321">
        <w:rPr>
          <w:rFonts w:cs="Tahoma"/>
        </w:rPr>
        <w:t>,</w:t>
      </w:r>
      <w:r>
        <w:rPr>
          <w:rFonts w:cs="Tahoma"/>
        </w:rPr>
        <w:t xml:space="preserve"> </w:t>
      </w:r>
      <w:r w:rsidR="003F6C94">
        <w:rPr>
          <w:rFonts w:cs="Tahoma"/>
        </w:rPr>
        <w:t>Table 1</w:t>
      </w:r>
      <w:r>
        <w:rPr>
          <w:rFonts w:cs="Tahoma"/>
        </w:rPr>
        <w:t xml:space="preserve"> shows the proportion</w:t>
      </w:r>
      <w:r w:rsidR="00BD3B5B">
        <w:rPr>
          <w:rFonts w:cs="Tahoma"/>
        </w:rPr>
        <w:t xml:space="preserve"> of inspections </w:t>
      </w:r>
      <w:r>
        <w:rPr>
          <w:rFonts w:cs="Tahoma"/>
        </w:rPr>
        <w:t>where the grades</w:t>
      </w:r>
      <w:r w:rsidR="00DF462F">
        <w:rPr>
          <w:rFonts w:cs="Tahoma"/>
        </w:rPr>
        <w:t xml:space="preserve"> for each judgement</w:t>
      </w:r>
      <w:r>
        <w:rPr>
          <w:rFonts w:cs="Tahoma"/>
        </w:rPr>
        <w:t xml:space="preserve"> were the same </w:t>
      </w:r>
      <w:r w:rsidR="00BD3B5B">
        <w:rPr>
          <w:rFonts w:cs="Tahoma"/>
        </w:rPr>
        <w:t xml:space="preserve">as </w:t>
      </w:r>
      <w:r w:rsidR="003F6C94">
        <w:rPr>
          <w:rFonts w:cs="Tahoma"/>
        </w:rPr>
        <w:t>the</w:t>
      </w:r>
      <w:r w:rsidR="00DF462F">
        <w:rPr>
          <w:rFonts w:cs="Tahoma"/>
        </w:rPr>
        <w:t xml:space="preserve"> </w:t>
      </w:r>
      <w:r w:rsidR="00BD3B5B">
        <w:rPr>
          <w:rFonts w:cs="Tahoma"/>
        </w:rPr>
        <w:t>overall effectiv</w:t>
      </w:r>
      <w:r w:rsidR="00F4546A">
        <w:rPr>
          <w:rFonts w:cs="Tahoma"/>
        </w:rPr>
        <w:t>e</w:t>
      </w:r>
      <w:r w:rsidR="00BD3B5B">
        <w:rPr>
          <w:rFonts w:cs="Tahoma"/>
        </w:rPr>
        <w:t>ness</w:t>
      </w:r>
      <w:r w:rsidR="003F6C94">
        <w:rPr>
          <w:rFonts w:cs="Tahoma"/>
        </w:rPr>
        <w:t xml:space="preserve"> grade</w:t>
      </w:r>
      <w:r>
        <w:rPr>
          <w:rFonts w:cs="Tahoma"/>
        </w:rPr>
        <w:t>.</w:t>
      </w:r>
    </w:p>
    <w:p w14:paraId="0971491B" w14:textId="77777777" w:rsidR="008940B6" w:rsidRDefault="008940B6" w:rsidP="008940B6">
      <w:pPr>
        <w:jc w:val="left"/>
        <w:rPr>
          <w:rFonts w:cs="Tahoma"/>
        </w:rPr>
      </w:pPr>
    </w:p>
    <w:p w14:paraId="5A0E3AC4" w14:textId="77777777" w:rsidR="008940B6" w:rsidRDefault="008940B6" w:rsidP="008940B6">
      <w:pPr>
        <w:jc w:val="left"/>
        <w:rPr>
          <w:rFonts w:cs="Tahoma"/>
        </w:rPr>
      </w:pPr>
      <w:r>
        <w:rPr>
          <w:rFonts w:cs="Tahoma"/>
        </w:rPr>
        <w:t xml:space="preserve">Outcomes for children and learners and the quality of teaching and assessment have the highest proportions of inspections with the same grade as the overall effectiveness grade. The effectiveness of leadership and management also has a strong relationship with the overall effectiveness grade, but to a lesser degree. The reasons for this, such as how </w:t>
      </w:r>
      <w:r w:rsidRPr="008C5D54">
        <w:rPr>
          <w:rFonts w:cs="Tahoma"/>
        </w:rPr>
        <w:t>inspectors take</w:t>
      </w:r>
      <w:r>
        <w:rPr>
          <w:rFonts w:cs="Tahoma"/>
        </w:rPr>
        <w:t xml:space="preserve"> </w:t>
      </w:r>
      <w:r w:rsidRPr="008C5D54">
        <w:rPr>
          <w:rFonts w:cs="Tahoma"/>
        </w:rPr>
        <w:t xml:space="preserve">account of the challenges that leaders </w:t>
      </w:r>
      <w:r w:rsidRPr="008C5D54">
        <w:rPr>
          <w:rFonts w:cs="Tahoma"/>
        </w:rPr>
        <w:lastRenderedPageBreak/>
        <w:t>face in schools with high proportions of disadvantaged pupils</w:t>
      </w:r>
      <w:r>
        <w:rPr>
          <w:rFonts w:cs="Tahoma"/>
        </w:rPr>
        <w:t>, were explored in Ofsted’s Annual Report 2017</w:t>
      </w:r>
      <w:r>
        <w:rPr>
          <w:rStyle w:val="FootnoteReference"/>
          <w:rFonts w:cs="Tahoma"/>
        </w:rPr>
        <w:footnoteReference w:id="7"/>
      </w:r>
      <w:r>
        <w:rPr>
          <w:rFonts w:cs="Tahoma"/>
        </w:rPr>
        <w:t xml:space="preserve">. </w:t>
      </w:r>
    </w:p>
    <w:p w14:paraId="7A5448F8" w14:textId="77777777" w:rsidR="00C6724C" w:rsidRDefault="00C6724C" w:rsidP="00122DA6">
      <w:pPr>
        <w:jc w:val="left"/>
        <w:rPr>
          <w:rFonts w:cs="Tahoma"/>
        </w:rPr>
      </w:pPr>
    </w:p>
    <w:p w14:paraId="02CD7ACB" w14:textId="784611C1" w:rsidR="00FD2FB5" w:rsidRDefault="00C6724C" w:rsidP="00122DA6">
      <w:pPr>
        <w:jc w:val="left"/>
        <w:rPr>
          <w:rFonts w:cs="Tahoma"/>
          <w:b/>
          <w:bCs/>
        </w:rPr>
      </w:pPr>
      <w:r>
        <w:rPr>
          <w:rFonts w:cs="Tahoma"/>
          <w:b/>
          <w:bCs/>
        </w:rPr>
        <w:t>Table 1:</w:t>
      </w:r>
      <w:r w:rsidRPr="00C16219">
        <w:rPr>
          <w:rFonts w:cs="Tahoma"/>
          <w:b/>
          <w:bCs/>
        </w:rPr>
        <w:t xml:space="preserve"> </w:t>
      </w:r>
      <w:r>
        <w:rPr>
          <w:rFonts w:cs="Tahoma"/>
          <w:b/>
          <w:bCs/>
        </w:rPr>
        <w:t xml:space="preserve">The proportion of inspections where </w:t>
      </w:r>
      <w:r w:rsidR="00311848">
        <w:rPr>
          <w:rFonts w:cs="Tahoma"/>
          <w:b/>
          <w:bCs/>
        </w:rPr>
        <w:t xml:space="preserve">the </w:t>
      </w:r>
      <w:r>
        <w:rPr>
          <w:rFonts w:cs="Tahoma"/>
          <w:b/>
          <w:bCs/>
        </w:rPr>
        <w:t>o</w:t>
      </w:r>
      <w:r w:rsidRPr="00C16219">
        <w:rPr>
          <w:rFonts w:cs="Tahoma"/>
          <w:b/>
          <w:bCs/>
        </w:rPr>
        <w:t>verall effectiveness</w:t>
      </w:r>
      <w:r w:rsidR="00311848">
        <w:rPr>
          <w:rFonts w:cs="Tahoma"/>
          <w:b/>
          <w:bCs/>
        </w:rPr>
        <w:t xml:space="preserve"> grade</w:t>
      </w:r>
      <w:r w:rsidRPr="00C16219">
        <w:rPr>
          <w:rFonts w:cs="Tahoma"/>
          <w:b/>
          <w:bCs/>
        </w:rPr>
        <w:t xml:space="preserve"> </w:t>
      </w:r>
      <w:r>
        <w:rPr>
          <w:rFonts w:cs="Tahoma"/>
          <w:b/>
          <w:bCs/>
        </w:rPr>
        <w:t xml:space="preserve">is the same </w:t>
      </w:r>
      <w:r w:rsidR="003F6C94">
        <w:rPr>
          <w:rFonts w:cs="Tahoma"/>
          <w:b/>
          <w:bCs/>
        </w:rPr>
        <w:t>as the grade for the other</w:t>
      </w:r>
      <w:r w:rsidR="00311848">
        <w:rPr>
          <w:rFonts w:cs="Tahoma"/>
          <w:b/>
          <w:bCs/>
        </w:rPr>
        <w:t xml:space="preserve"> </w:t>
      </w:r>
      <w:r>
        <w:rPr>
          <w:rFonts w:cs="Tahoma"/>
          <w:b/>
          <w:bCs/>
        </w:rPr>
        <w:t>judgements</w:t>
      </w:r>
      <w:r w:rsidR="003F6C94">
        <w:rPr>
          <w:rFonts w:cs="Tahoma"/>
          <w:b/>
          <w:bCs/>
        </w:rPr>
        <w:t>, at</w:t>
      </w:r>
      <w:r w:rsidRPr="00C16219">
        <w:rPr>
          <w:rFonts w:cs="Tahoma"/>
          <w:b/>
          <w:bCs/>
        </w:rPr>
        <w:t xml:space="preserve"> </w:t>
      </w:r>
      <w:r>
        <w:rPr>
          <w:rFonts w:cs="Tahoma"/>
          <w:b/>
          <w:bCs/>
        </w:rPr>
        <w:t xml:space="preserve">inspections between 1 September 2015 and </w:t>
      </w:r>
      <w:r w:rsidRPr="00C16219">
        <w:rPr>
          <w:rFonts w:cs="Tahoma"/>
          <w:b/>
          <w:bCs/>
        </w:rPr>
        <w:t xml:space="preserve">31 </w:t>
      </w:r>
      <w:r>
        <w:rPr>
          <w:rFonts w:cs="Tahoma"/>
          <w:b/>
          <w:bCs/>
        </w:rPr>
        <w:t>December 2017</w:t>
      </w:r>
    </w:p>
    <w:tbl>
      <w:tblPr>
        <w:tblW w:w="8755" w:type="dxa"/>
        <w:tblInd w:w="-108" w:type="dxa"/>
        <w:tblLayout w:type="fixed"/>
        <w:tblLook w:val="04A0" w:firstRow="1" w:lastRow="0" w:firstColumn="1" w:lastColumn="0" w:noHBand="0" w:noVBand="1"/>
        <w:tblCaption w:val="Table 1: The proportion of inspections where the overall effectiveness grade is the same as the grade for the other judgements, at inspections between 1 September 2015 and 31 December 2017"/>
        <w:tblDescription w:val="There is a high proportion of inspections where the grades for each judgement were the same as the overall effectiveness grade."/>
      </w:tblPr>
      <w:tblGrid>
        <w:gridCol w:w="108"/>
        <w:gridCol w:w="2586"/>
        <w:gridCol w:w="108"/>
        <w:gridCol w:w="1876"/>
        <w:gridCol w:w="108"/>
        <w:gridCol w:w="1876"/>
        <w:gridCol w:w="108"/>
        <w:gridCol w:w="1877"/>
        <w:gridCol w:w="108"/>
      </w:tblGrid>
      <w:tr w:rsidR="00F9551E" w:rsidRPr="00F9551E" w14:paraId="792A7027" w14:textId="77777777" w:rsidTr="003903D6">
        <w:trPr>
          <w:gridBefore w:val="1"/>
          <w:wBefore w:w="108" w:type="dxa"/>
          <w:trHeight w:val="1140"/>
        </w:trPr>
        <w:tc>
          <w:tcPr>
            <w:tcW w:w="2694" w:type="dxa"/>
            <w:gridSpan w:val="2"/>
            <w:tcBorders>
              <w:top w:val="nil"/>
              <w:left w:val="nil"/>
              <w:bottom w:val="nil"/>
              <w:right w:val="nil"/>
            </w:tcBorders>
            <w:shd w:val="clear" w:color="auto" w:fill="auto"/>
            <w:hideMark/>
          </w:tcPr>
          <w:p w14:paraId="30F5C693" w14:textId="77777777" w:rsidR="00F9551E" w:rsidRPr="00F9551E" w:rsidRDefault="00F9551E" w:rsidP="00F9551E">
            <w:pPr>
              <w:jc w:val="left"/>
              <w:rPr>
                <w:rFonts w:cs="Tahoma"/>
                <w:szCs w:val="20"/>
              </w:rPr>
            </w:pPr>
          </w:p>
        </w:tc>
        <w:tc>
          <w:tcPr>
            <w:tcW w:w="1984" w:type="dxa"/>
            <w:gridSpan w:val="2"/>
            <w:tcBorders>
              <w:top w:val="nil"/>
              <w:left w:val="nil"/>
              <w:bottom w:val="nil"/>
              <w:right w:val="nil"/>
            </w:tcBorders>
            <w:shd w:val="clear" w:color="auto" w:fill="auto"/>
            <w:vAlign w:val="bottom"/>
            <w:hideMark/>
          </w:tcPr>
          <w:p w14:paraId="5FCFBB4F" w14:textId="067DD687" w:rsidR="00F9551E" w:rsidRPr="00F9551E" w:rsidRDefault="00F9551E" w:rsidP="003903D6">
            <w:pPr>
              <w:jc w:val="left"/>
              <w:rPr>
                <w:rFonts w:cs="Tahoma"/>
                <w:bCs/>
                <w:color w:val="000000"/>
                <w:sz w:val="20"/>
                <w:szCs w:val="20"/>
              </w:rPr>
            </w:pPr>
            <w:r w:rsidRPr="00F9551E">
              <w:rPr>
                <w:rFonts w:cs="Tahoma"/>
                <w:bCs/>
                <w:color w:val="000000"/>
                <w:sz w:val="20"/>
                <w:szCs w:val="20"/>
              </w:rPr>
              <w:t>Overall effectiveness of all schools</w:t>
            </w:r>
            <w:r w:rsidR="00D51DB1">
              <w:rPr>
                <w:rStyle w:val="FootnoteReference"/>
                <w:rFonts w:cs="Tahoma"/>
                <w:bCs/>
                <w:color w:val="000000"/>
                <w:sz w:val="20"/>
                <w:szCs w:val="20"/>
              </w:rPr>
              <w:footnoteReference w:id="8"/>
            </w:r>
          </w:p>
        </w:tc>
        <w:tc>
          <w:tcPr>
            <w:tcW w:w="1984" w:type="dxa"/>
            <w:gridSpan w:val="2"/>
            <w:tcBorders>
              <w:top w:val="nil"/>
              <w:left w:val="nil"/>
              <w:bottom w:val="nil"/>
              <w:right w:val="nil"/>
            </w:tcBorders>
            <w:shd w:val="clear" w:color="auto" w:fill="auto"/>
            <w:vAlign w:val="bottom"/>
            <w:hideMark/>
          </w:tcPr>
          <w:p w14:paraId="3F51BD19" w14:textId="77777777" w:rsidR="00F9551E" w:rsidRPr="00F9551E" w:rsidRDefault="00F9551E" w:rsidP="003903D6">
            <w:pPr>
              <w:jc w:val="left"/>
              <w:rPr>
                <w:rFonts w:cs="Tahoma"/>
                <w:bCs/>
                <w:color w:val="000000"/>
                <w:sz w:val="20"/>
                <w:szCs w:val="20"/>
              </w:rPr>
            </w:pPr>
            <w:r w:rsidRPr="00F9551E">
              <w:rPr>
                <w:rFonts w:cs="Tahoma"/>
                <w:bCs/>
                <w:color w:val="000000"/>
                <w:sz w:val="20"/>
                <w:szCs w:val="20"/>
              </w:rPr>
              <w:t>Overall effectiveness of primary schools</w:t>
            </w:r>
          </w:p>
        </w:tc>
        <w:tc>
          <w:tcPr>
            <w:tcW w:w="1985" w:type="dxa"/>
            <w:gridSpan w:val="2"/>
            <w:tcBorders>
              <w:top w:val="nil"/>
              <w:left w:val="nil"/>
              <w:bottom w:val="nil"/>
              <w:right w:val="nil"/>
            </w:tcBorders>
            <w:shd w:val="clear" w:color="auto" w:fill="auto"/>
            <w:vAlign w:val="bottom"/>
            <w:hideMark/>
          </w:tcPr>
          <w:p w14:paraId="3DD03FC0" w14:textId="77777777" w:rsidR="00F9551E" w:rsidRPr="00F9551E" w:rsidRDefault="00F9551E" w:rsidP="003903D6">
            <w:pPr>
              <w:jc w:val="left"/>
              <w:rPr>
                <w:rFonts w:cs="Tahoma"/>
                <w:bCs/>
                <w:color w:val="000000"/>
                <w:sz w:val="20"/>
                <w:szCs w:val="20"/>
              </w:rPr>
            </w:pPr>
            <w:r w:rsidRPr="00F9551E">
              <w:rPr>
                <w:rFonts w:cs="Tahoma"/>
                <w:bCs/>
                <w:color w:val="000000"/>
                <w:sz w:val="20"/>
                <w:szCs w:val="20"/>
              </w:rPr>
              <w:t>Overall effectiveness of secondary schools</w:t>
            </w:r>
          </w:p>
        </w:tc>
      </w:tr>
      <w:tr w:rsidR="003903D6" w:rsidRPr="00F9551E" w14:paraId="3741DDDB" w14:textId="77777777" w:rsidTr="003D71A1">
        <w:trPr>
          <w:gridAfter w:val="1"/>
          <w:wAfter w:w="108" w:type="dxa"/>
          <w:trHeight w:val="615"/>
        </w:trPr>
        <w:tc>
          <w:tcPr>
            <w:tcW w:w="2694" w:type="dxa"/>
            <w:gridSpan w:val="2"/>
            <w:tcBorders>
              <w:top w:val="single" w:sz="4" w:space="0" w:color="auto"/>
              <w:left w:val="nil"/>
              <w:bottom w:val="single" w:sz="4" w:space="0" w:color="auto"/>
              <w:right w:val="nil"/>
            </w:tcBorders>
            <w:shd w:val="clear" w:color="auto" w:fill="auto"/>
            <w:vAlign w:val="center"/>
            <w:hideMark/>
          </w:tcPr>
          <w:p w14:paraId="6C1D8C57" w14:textId="7999F667" w:rsidR="003903D6" w:rsidRPr="00F9551E" w:rsidRDefault="003903D6" w:rsidP="003903D6">
            <w:pPr>
              <w:jc w:val="left"/>
              <w:rPr>
                <w:rFonts w:cs="Tahoma"/>
                <w:color w:val="000000"/>
                <w:sz w:val="20"/>
                <w:szCs w:val="20"/>
              </w:rPr>
            </w:pPr>
            <w:r>
              <w:rPr>
                <w:rFonts w:cs="Tahoma"/>
                <w:color w:val="000000"/>
                <w:sz w:val="20"/>
                <w:szCs w:val="20"/>
              </w:rPr>
              <w:t>Outcomes for children and learners</w:t>
            </w:r>
          </w:p>
        </w:tc>
        <w:tc>
          <w:tcPr>
            <w:tcW w:w="1984" w:type="dxa"/>
            <w:gridSpan w:val="2"/>
            <w:tcBorders>
              <w:top w:val="single" w:sz="4" w:space="0" w:color="auto"/>
              <w:left w:val="nil"/>
              <w:bottom w:val="single" w:sz="4" w:space="0" w:color="auto"/>
              <w:right w:val="nil"/>
            </w:tcBorders>
            <w:shd w:val="clear" w:color="auto" w:fill="auto"/>
            <w:noWrap/>
            <w:vAlign w:val="center"/>
            <w:hideMark/>
          </w:tcPr>
          <w:p w14:paraId="449DCF54" w14:textId="77777777" w:rsidR="003903D6" w:rsidRPr="00F9551E" w:rsidRDefault="003903D6" w:rsidP="003903D6">
            <w:pPr>
              <w:jc w:val="center"/>
              <w:rPr>
                <w:rFonts w:cs="Tahoma"/>
                <w:color w:val="000000"/>
                <w:sz w:val="20"/>
                <w:szCs w:val="20"/>
              </w:rPr>
            </w:pPr>
            <w:r w:rsidRPr="00F9551E">
              <w:rPr>
                <w:rFonts w:cs="Tahoma"/>
                <w:color w:val="000000"/>
                <w:sz w:val="20"/>
                <w:szCs w:val="20"/>
              </w:rPr>
              <w:t>96%</w:t>
            </w:r>
          </w:p>
        </w:tc>
        <w:tc>
          <w:tcPr>
            <w:tcW w:w="1984" w:type="dxa"/>
            <w:gridSpan w:val="2"/>
            <w:tcBorders>
              <w:top w:val="single" w:sz="4" w:space="0" w:color="auto"/>
              <w:left w:val="nil"/>
              <w:bottom w:val="single" w:sz="4" w:space="0" w:color="auto"/>
              <w:right w:val="nil"/>
            </w:tcBorders>
            <w:shd w:val="clear" w:color="auto" w:fill="auto"/>
            <w:noWrap/>
            <w:vAlign w:val="center"/>
            <w:hideMark/>
          </w:tcPr>
          <w:p w14:paraId="7527AEBE" w14:textId="77777777" w:rsidR="003903D6" w:rsidRPr="00F9551E" w:rsidRDefault="003903D6" w:rsidP="003903D6">
            <w:pPr>
              <w:jc w:val="center"/>
              <w:rPr>
                <w:rFonts w:cs="Tahoma"/>
                <w:color w:val="000000"/>
                <w:sz w:val="20"/>
                <w:szCs w:val="20"/>
              </w:rPr>
            </w:pPr>
            <w:r w:rsidRPr="00F9551E">
              <w:rPr>
                <w:rFonts w:cs="Tahoma"/>
                <w:color w:val="000000"/>
                <w:sz w:val="20"/>
                <w:szCs w:val="20"/>
              </w:rPr>
              <w:t>97%</w:t>
            </w:r>
          </w:p>
        </w:tc>
        <w:tc>
          <w:tcPr>
            <w:tcW w:w="1985" w:type="dxa"/>
            <w:gridSpan w:val="2"/>
            <w:tcBorders>
              <w:top w:val="single" w:sz="4" w:space="0" w:color="auto"/>
              <w:left w:val="nil"/>
              <w:bottom w:val="single" w:sz="4" w:space="0" w:color="auto"/>
              <w:right w:val="nil"/>
            </w:tcBorders>
            <w:shd w:val="clear" w:color="auto" w:fill="auto"/>
            <w:noWrap/>
            <w:vAlign w:val="center"/>
            <w:hideMark/>
          </w:tcPr>
          <w:p w14:paraId="0E679814" w14:textId="77777777" w:rsidR="003903D6" w:rsidRPr="00F9551E" w:rsidRDefault="003903D6" w:rsidP="003903D6">
            <w:pPr>
              <w:jc w:val="center"/>
              <w:rPr>
                <w:rFonts w:cs="Tahoma"/>
                <w:color w:val="000000"/>
                <w:sz w:val="20"/>
                <w:szCs w:val="20"/>
              </w:rPr>
            </w:pPr>
            <w:r w:rsidRPr="00F9551E">
              <w:rPr>
                <w:rFonts w:cs="Tahoma"/>
                <w:color w:val="000000"/>
                <w:sz w:val="20"/>
                <w:szCs w:val="20"/>
              </w:rPr>
              <w:t>94%</w:t>
            </w:r>
          </w:p>
        </w:tc>
      </w:tr>
      <w:tr w:rsidR="003903D6" w:rsidRPr="00F9551E" w14:paraId="027B44E4" w14:textId="77777777" w:rsidTr="003D71A1">
        <w:trPr>
          <w:gridAfter w:val="1"/>
          <w:wAfter w:w="108" w:type="dxa"/>
          <w:trHeight w:val="615"/>
        </w:trPr>
        <w:tc>
          <w:tcPr>
            <w:tcW w:w="2694" w:type="dxa"/>
            <w:gridSpan w:val="2"/>
            <w:tcBorders>
              <w:top w:val="nil"/>
              <w:left w:val="nil"/>
              <w:bottom w:val="single" w:sz="4" w:space="0" w:color="auto"/>
              <w:right w:val="nil"/>
            </w:tcBorders>
            <w:shd w:val="clear" w:color="auto" w:fill="auto"/>
            <w:vAlign w:val="center"/>
            <w:hideMark/>
          </w:tcPr>
          <w:p w14:paraId="74E8E2F0" w14:textId="5B2E219C" w:rsidR="003903D6" w:rsidRPr="00F9551E" w:rsidRDefault="003903D6" w:rsidP="003903D6">
            <w:pPr>
              <w:jc w:val="left"/>
              <w:rPr>
                <w:rFonts w:cs="Tahoma"/>
                <w:color w:val="000000"/>
                <w:sz w:val="20"/>
                <w:szCs w:val="20"/>
              </w:rPr>
            </w:pPr>
            <w:r>
              <w:rPr>
                <w:rFonts w:cs="Tahoma"/>
                <w:color w:val="000000"/>
                <w:sz w:val="20"/>
                <w:szCs w:val="20"/>
              </w:rPr>
              <w:t>Quality of teaching, learning and assessment</w:t>
            </w:r>
          </w:p>
        </w:tc>
        <w:tc>
          <w:tcPr>
            <w:tcW w:w="1984" w:type="dxa"/>
            <w:gridSpan w:val="2"/>
            <w:tcBorders>
              <w:top w:val="nil"/>
              <w:left w:val="nil"/>
              <w:bottom w:val="single" w:sz="4" w:space="0" w:color="auto"/>
              <w:right w:val="nil"/>
            </w:tcBorders>
            <w:shd w:val="clear" w:color="auto" w:fill="auto"/>
            <w:noWrap/>
            <w:vAlign w:val="center"/>
            <w:hideMark/>
          </w:tcPr>
          <w:p w14:paraId="2556FCDD" w14:textId="77777777" w:rsidR="003903D6" w:rsidRPr="00F9551E" w:rsidRDefault="003903D6" w:rsidP="003903D6">
            <w:pPr>
              <w:jc w:val="center"/>
              <w:rPr>
                <w:rFonts w:cs="Tahoma"/>
                <w:color w:val="000000"/>
                <w:sz w:val="20"/>
                <w:szCs w:val="20"/>
              </w:rPr>
            </w:pPr>
            <w:r w:rsidRPr="00F9551E">
              <w:rPr>
                <w:rFonts w:cs="Tahoma"/>
                <w:color w:val="000000"/>
                <w:sz w:val="20"/>
                <w:szCs w:val="20"/>
              </w:rPr>
              <w:t>96%</w:t>
            </w:r>
          </w:p>
        </w:tc>
        <w:tc>
          <w:tcPr>
            <w:tcW w:w="1984" w:type="dxa"/>
            <w:gridSpan w:val="2"/>
            <w:tcBorders>
              <w:top w:val="nil"/>
              <w:left w:val="nil"/>
              <w:bottom w:val="single" w:sz="4" w:space="0" w:color="auto"/>
              <w:right w:val="nil"/>
            </w:tcBorders>
            <w:shd w:val="clear" w:color="auto" w:fill="auto"/>
            <w:noWrap/>
            <w:vAlign w:val="center"/>
            <w:hideMark/>
          </w:tcPr>
          <w:p w14:paraId="152F5E83" w14:textId="77777777" w:rsidR="003903D6" w:rsidRPr="00F9551E" w:rsidRDefault="003903D6" w:rsidP="003903D6">
            <w:pPr>
              <w:jc w:val="center"/>
              <w:rPr>
                <w:rFonts w:cs="Tahoma"/>
                <w:color w:val="000000"/>
                <w:sz w:val="20"/>
                <w:szCs w:val="20"/>
              </w:rPr>
            </w:pPr>
            <w:r w:rsidRPr="00F9551E">
              <w:rPr>
                <w:rFonts w:cs="Tahoma"/>
                <w:color w:val="000000"/>
                <w:sz w:val="20"/>
                <w:szCs w:val="20"/>
              </w:rPr>
              <w:t>97%</w:t>
            </w:r>
          </w:p>
        </w:tc>
        <w:tc>
          <w:tcPr>
            <w:tcW w:w="1985" w:type="dxa"/>
            <w:gridSpan w:val="2"/>
            <w:tcBorders>
              <w:top w:val="nil"/>
              <w:left w:val="nil"/>
              <w:bottom w:val="single" w:sz="4" w:space="0" w:color="auto"/>
              <w:right w:val="nil"/>
            </w:tcBorders>
            <w:shd w:val="clear" w:color="auto" w:fill="auto"/>
            <w:noWrap/>
            <w:vAlign w:val="center"/>
            <w:hideMark/>
          </w:tcPr>
          <w:p w14:paraId="55499238" w14:textId="77777777" w:rsidR="003903D6" w:rsidRPr="00F9551E" w:rsidRDefault="003903D6" w:rsidP="003903D6">
            <w:pPr>
              <w:jc w:val="center"/>
              <w:rPr>
                <w:rFonts w:cs="Tahoma"/>
                <w:color w:val="000000"/>
                <w:sz w:val="20"/>
                <w:szCs w:val="20"/>
              </w:rPr>
            </w:pPr>
            <w:r w:rsidRPr="00F9551E">
              <w:rPr>
                <w:rFonts w:cs="Tahoma"/>
                <w:color w:val="000000"/>
                <w:sz w:val="20"/>
                <w:szCs w:val="20"/>
              </w:rPr>
              <w:t>94%</w:t>
            </w:r>
          </w:p>
        </w:tc>
      </w:tr>
      <w:tr w:rsidR="003903D6" w:rsidRPr="00F9551E" w14:paraId="7E4FC910" w14:textId="77777777" w:rsidTr="003D71A1">
        <w:trPr>
          <w:gridAfter w:val="1"/>
          <w:wAfter w:w="108" w:type="dxa"/>
          <w:trHeight w:val="615"/>
        </w:trPr>
        <w:tc>
          <w:tcPr>
            <w:tcW w:w="2694" w:type="dxa"/>
            <w:gridSpan w:val="2"/>
            <w:tcBorders>
              <w:top w:val="nil"/>
              <w:left w:val="nil"/>
              <w:bottom w:val="single" w:sz="4" w:space="0" w:color="auto"/>
              <w:right w:val="nil"/>
            </w:tcBorders>
            <w:shd w:val="clear" w:color="auto" w:fill="auto"/>
            <w:vAlign w:val="center"/>
            <w:hideMark/>
          </w:tcPr>
          <w:p w14:paraId="4E0E8A70" w14:textId="20C75CBB" w:rsidR="003903D6" w:rsidRPr="00F9551E" w:rsidRDefault="003903D6" w:rsidP="003903D6">
            <w:pPr>
              <w:jc w:val="left"/>
              <w:rPr>
                <w:rFonts w:cs="Tahoma"/>
                <w:color w:val="000000"/>
                <w:sz w:val="20"/>
                <w:szCs w:val="20"/>
              </w:rPr>
            </w:pPr>
            <w:r>
              <w:rPr>
                <w:rFonts w:cs="Tahoma"/>
                <w:color w:val="000000"/>
                <w:sz w:val="20"/>
                <w:szCs w:val="20"/>
              </w:rPr>
              <w:t>Effectiveness of leadership and management</w:t>
            </w:r>
          </w:p>
        </w:tc>
        <w:tc>
          <w:tcPr>
            <w:tcW w:w="1984" w:type="dxa"/>
            <w:gridSpan w:val="2"/>
            <w:tcBorders>
              <w:top w:val="nil"/>
              <w:left w:val="nil"/>
              <w:bottom w:val="single" w:sz="4" w:space="0" w:color="auto"/>
              <w:right w:val="nil"/>
            </w:tcBorders>
            <w:shd w:val="clear" w:color="auto" w:fill="auto"/>
            <w:noWrap/>
            <w:vAlign w:val="center"/>
            <w:hideMark/>
          </w:tcPr>
          <w:p w14:paraId="1EE1B997" w14:textId="77777777" w:rsidR="003903D6" w:rsidRPr="00F9551E" w:rsidRDefault="003903D6" w:rsidP="003903D6">
            <w:pPr>
              <w:jc w:val="center"/>
              <w:rPr>
                <w:rFonts w:cs="Tahoma"/>
                <w:color w:val="000000"/>
                <w:sz w:val="20"/>
                <w:szCs w:val="20"/>
              </w:rPr>
            </w:pPr>
            <w:r w:rsidRPr="00F9551E">
              <w:rPr>
                <w:rFonts w:cs="Tahoma"/>
                <w:color w:val="000000"/>
                <w:sz w:val="20"/>
                <w:szCs w:val="20"/>
              </w:rPr>
              <w:t>90%</w:t>
            </w:r>
          </w:p>
        </w:tc>
        <w:tc>
          <w:tcPr>
            <w:tcW w:w="1984" w:type="dxa"/>
            <w:gridSpan w:val="2"/>
            <w:tcBorders>
              <w:top w:val="nil"/>
              <w:left w:val="nil"/>
              <w:bottom w:val="single" w:sz="4" w:space="0" w:color="auto"/>
              <w:right w:val="nil"/>
            </w:tcBorders>
            <w:shd w:val="clear" w:color="auto" w:fill="auto"/>
            <w:noWrap/>
            <w:vAlign w:val="center"/>
            <w:hideMark/>
          </w:tcPr>
          <w:p w14:paraId="5499AA99" w14:textId="77777777" w:rsidR="003903D6" w:rsidRPr="00F9551E" w:rsidRDefault="003903D6" w:rsidP="003903D6">
            <w:pPr>
              <w:jc w:val="center"/>
              <w:rPr>
                <w:rFonts w:cs="Tahoma"/>
                <w:color w:val="000000"/>
                <w:sz w:val="20"/>
                <w:szCs w:val="20"/>
              </w:rPr>
            </w:pPr>
            <w:r w:rsidRPr="00F9551E">
              <w:rPr>
                <w:rFonts w:cs="Tahoma"/>
                <w:color w:val="000000"/>
                <w:sz w:val="20"/>
                <w:szCs w:val="20"/>
              </w:rPr>
              <w:t>91%</w:t>
            </w:r>
          </w:p>
        </w:tc>
        <w:tc>
          <w:tcPr>
            <w:tcW w:w="1985" w:type="dxa"/>
            <w:gridSpan w:val="2"/>
            <w:tcBorders>
              <w:top w:val="nil"/>
              <w:left w:val="nil"/>
              <w:bottom w:val="single" w:sz="4" w:space="0" w:color="auto"/>
              <w:right w:val="nil"/>
            </w:tcBorders>
            <w:shd w:val="clear" w:color="auto" w:fill="auto"/>
            <w:noWrap/>
            <w:vAlign w:val="center"/>
            <w:hideMark/>
          </w:tcPr>
          <w:p w14:paraId="26329A22" w14:textId="77777777" w:rsidR="003903D6" w:rsidRPr="00F9551E" w:rsidRDefault="003903D6" w:rsidP="003903D6">
            <w:pPr>
              <w:jc w:val="center"/>
              <w:rPr>
                <w:rFonts w:cs="Tahoma"/>
                <w:color w:val="000000"/>
                <w:sz w:val="20"/>
                <w:szCs w:val="20"/>
              </w:rPr>
            </w:pPr>
            <w:r w:rsidRPr="00F9551E">
              <w:rPr>
                <w:rFonts w:cs="Tahoma"/>
                <w:color w:val="000000"/>
                <w:sz w:val="20"/>
                <w:szCs w:val="20"/>
              </w:rPr>
              <w:t>84%</w:t>
            </w:r>
          </w:p>
        </w:tc>
      </w:tr>
      <w:tr w:rsidR="003903D6" w:rsidRPr="00F9551E" w14:paraId="22999650" w14:textId="77777777" w:rsidTr="003D71A1">
        <w:trPr>
          <w:gridAfter w:val="1"/>
          <w:wAfter w:w="108" w:type="dxa"/>
          <w:trHeight w:val="615"/>
        </w:trPr>
        <w:tc>
          <w:tcPr>
            <w:tcW w:w="2694" w:type="dxa"/>
            <w:gridSpan w:val="2"/>
            <w:tcBorders>
              <w:top w:val="nil"/>
              <w:left w:val="nil"/>
              <w:bottom w:val="single" w:sz="4" w:space="0" w:color="auto"/>
              <w:right w:val="nil"/>
            </w:tcBorders>
            <w:shd w:val="clear" w:color="auto" w:fill="auto"/>
            <w:vAlign w:val="center"/>
            <w:hideMark/>
          </w:tcPr>
          <w:p w14:paraId="55E16C4A" w14:textId="18ADA6D2" w:rsidR="003903D6" w:rsidRPr="00F9551E" w:rsidRDefault="003903D6" w:rsidP="003903D6">
            <w:pPr>
              <w:jc w:val="left"/>
              <w:rPr>
                <w:rFonts w:cs="Tahoma"/>
                <w:color w:val="000000"/>
                <w:sz w:val="20"/>
                <w:szCs w:val="20"/>
              </w:rPr>
            </w:pPr>
            <w:r>
              <w:rPr>
                <w:rFonts w:cs="Tahoma"/>
                <w:color w:val="000000"/>
                <w:sz w:val="20"/>
                <w:szCs w:val="20"/>
              </w:rPr>
              <w:t>Personal development, behaviour and welfare</w:t>
            </w:r>
          </w:p>
        </w:tc>
        <w:tc>
          <w:tcPr>
            <w:tcW w:w="1984" w:type="dxa"/>
            <w:gridSpan w:val="2"/>
            <w:tcBorders>
              <w:top w:val="nil"/>
              <w:left w:val="nil"/>
              <w:bottom w:val="single" w:sz="4" w:space="0" w:color="auto"/>
              <w:right w:val="nil"/>
            </w:tcBorders>
            <w:shd w:val="clear" w:color="auto" w:fill="auto"/>
            <w:noWrap/>
            <w:vAlign w:val="center"/>
            <w:hideMark/>
          </w:tcPr>
          <w:p w14:paraId="440427ED" w14:textId="77777777" w:rsidR="003903D6" w:rsidRPr="00F9551E" w:rsidRDefault="003903D6" w:rsidP="003903D6">
            <w:pPr>
              <w:jc w:val="center"/>
              <w:rPr>
                <w:rFonts w:cs="Tahoma"/>
                <w:color w:val="000000"/>
                <w:sz w:val="20"/>
                <w:szCs w:val="20"/>
              </w:rPr>
            </w:pPr>
            <w:r w:rsidRPr="00F9551E">
              <w:rPr>
                <w:rFonts w:cs="Tahoma"/>
                <w:color w:val="000000"/>
                <w:sz w:val="20"/>
                <w:szCs w:val="20"/>
              </w:rPr>
              <w:t>68%</w:t>
            </w:r>
          </w:p>
        </w:tc>
        <w:tc>
          <w:tcPr>
            <w:tcW w:w="1984" w:type="dxa"/>
            <w:gridSpan w:val="2"/>
            <w:tcBorders>
              <w:top w:val="nil"/>
              <w:left w:val="nil"/>
              <w:bottom w:val="single" w:sz="4" w:space="0" w:color="auto"/>
              <w:right w:val="nil"/>
            </w:tcBorders>
            <w:shd w:val="clear" w:color="auto" w:fill="auto"/>
            <w:noWrap/>
            <w:vAlign w:val="center"/>
            <w:hideMark/>
          </w:tcPr>
          <w:p w14:paraId="6E7C8F27" w14:textId="77777777" w:rsidR="003903D6" w:rsidRPr="00F9551E" w:rsidRDefault="003903D6" w:rsidP="003903D6">
            <w:pPr>
              <w:jc w:val="center"/>
              <w:rPr>
                <w:rFonts w:cs="Tahoma"/>
                <w:color w:val="000000"/>
                <w:sz w:val="20"/>
                <w:szCs w:val="20"/>
              </w:rPr>
            </w:pPr>
            <w:r w:rsidRPr="00F9551E">
              <w:rPr>
                <w:rFonts w:cs="Tahoma"/>
                <w:color w:val="000000"/>
                <w:sz w:val="20"/>
                <w:szCs w:val="20"/>
              </w:rPr>
              <w:t>65%</w:t>
            </w:r>
          </w:p>
        </w:tc>
        <w:tc>
          <w:tcPr>
            <w:tcW w:w="1985" w:type="dxa"/>
            <w:gridSpan w:val="2"/>
            <w:tcBorders>
              <w:top w:val="nil"/>
              <w:left w:val="nil"/>
              <w:bottom w:val="single" w:sz="4" w:space="0" w:color="auto"/>
              <w:right w:val="nil"/>
            </w:tcBorders>
            <w:shd w:val="clear" w:color="auto" w:fill="auto"/>
            <w:noWrap/>
            <w:vAlign w:val="center"/>
            <w:hideMark/>
          </w:tcPr>
          <w:p w14:paraId="3B8CC620" w14:textId="77777777" w:rsidR="003903D6" w:rsidRPr="00F9551E" w:rsidRDefault="003903D6" w:rsidP="003903D6">
            <w:pPr>
              <w:jc w:val="center"/>
              <w:rPr>
                <w:rFonts w:cs="Tahoma"/>
                <w:color w:val="000000"/>
                <w:sz w:val="20"/>
                <w:szCs w:val="20"/>
              </w:rPr>
            </w:pPr>
            <w:r w:rsidRPr="00F9551E">
              <w:rPr>
                <w:rFonts w:cs="Tahoma"/>
                <w:color w:val="000000"/>
                <w:sz w:val="20"/>
                <w:szCs w:val="20"/>
              </w:rPr>
              <w:t>73%</w:t>
            </w:r>
          </w:p>
        </w:tc>
      </w:tr>
    </w:tbl>
    <w:p w14:paraId="792848FC" w14:textId="77777777" w:rsidR="00F9551E" w:rsidRDefault="00F9551E" w:rsidP="004E501E">
      <w:pPr>
        <w:jc w:val="left"/>
        <w:rPr>
          <w:rFonts w:cs="Tahoma"/>
        </w:rPr>
      </w:pPr>
    </w:p>
    <w:p w14:paraId="1722C26D" w14:textId="68B84F64" w:rsidR="004E501E" w:rsidRDefault="004E501E" w:rsidP="004E501E">
      <w:pPr>
        <w:jc w:val="left"/>
        <w:rPr>
          <w:rFonts w:cs="Tahoma"/>
        </w:rPr>
      </w:pPr>
      <w:r>
        <w:rPr>
          <w:rFonts w:cs="Tahoma"/>
        </w:rPr>
        <w:t>Primary schools show the highest proportion of schools with the same grade in comparison with secondary schools. This is true of all judgements except personal development, behaviour and welfare, where it is lower than secondary school inspections.</w:t>
      </w:r>
    </w:p>
    <w:p w14:paraId="28CC057B" w14:textId="77777777" w:rsidR="000760AA" w:rsidRDefault="000760AA" w:rsidP="004E501E">
      <w:pPr>
        <w:jc w:val="left"/>
        <w:rPr>
          <w:rFonts w:cs="Tahoma"/>
        </w:rPr>
      </w:pPr>
    </w:p>
    <w:p w14:paraId="5F1662F4" w14:textId="77777777" w:rsidR="000760AA" w:rsidRDefault="000760AA" w:rsidP="000760AA">
      <w:pPr>
        <w:jc w:val="left"/>
        <w:rPr>
          <w:rFonts w:cs="Tahoma"/>
        </w:rPr>
      </w:pPr>
      <w:r>
        <w:rPr>
          <w:rFonts w:cs="Tahoma"/>
        </w:rPr>
        <w:t>For the personal development, behaviour and welfare judgement, the relationship with the overall effectiveness judgement is far less strong than that seen for the other judgements.</w:t>
      </w:r>
    </w:p>
    <w:p w14:paraId="1F0F109B" w14:textId="77777777" w:rsidR="000760AA" w:rsidRDefault="000760AA" w:rsidP="000760AA">
      <w:pPr>
        <w:jc w:val="left"/>
        <w:rPr>
          <w:rFonts w:cs="Tahoma"/>
        </w:rPr>
      </w:pPr>
    </w:p>
    <w:p w14:paraId="52CCF355" w14:textId="7D20041A" w:rsidR="000760AA" w:rsidRDefault="000760AA" w:rsidP="00122DA6">
      <w:pPr>
        <w:jc w:val="left"/>
        <w:rPr>
          <w:rFonts w:cs="Tahoma"/>
        </w:rPr>
      </w:pPr>
      <w:r>
        <w:rPr>
          <w:rFonts w:cs="Tahoma"/>
        </w:rPr>
        <w:t>The differences between the personal development, behaviour and welfare judgement and the overall effectiveness judgement are mainly where the personal development, behaviour and welfare grade is higher than the overall effectiveness grade. This is true for all phases of education and across all grades of overall effectiveness except where overall effectiveness is outstanding.</w:t>
      </w:r>
    </w:p>
    <w:p w14:paraId="504A5A2C" w14:textId="77777777" w:rsidR="000760AA" w:rsidRDefault="000760AA">
      <w:pPr>
        <w:jc w:val="left"/>
        <w:rPr>
          <w:rFonts w:cs="Tahoma"/>
        </w:rPr>
      </w:pPr>
      <w:r>
        <w:rPr>
          <w:rFonts w:cs="Tahoma"/>
        </w:rPr>
        <w:br w:type="page"/>
      </w:r>
    </w:p>
    <w:p w14:paraId="519DB4A6" w14:textId="53F0B97E" w:rsidR="00C6724C" w:rsidRDefault="00C6724C" w:rsidP="00C6724C">
      <w:pPr>
        <w:jc w:val="left"/>
        <w:rPr>
          <w:rFonts w:cs="Tahoma"/>
          <w:b/>
          <w:bCs/>
        </w:rPr>
      </w:pPr>
      <w:r>
        <w:rPr>
          <w:rFonts w:cs="Tahoma"/>
          <w:b/>
          <w:bCs/>
        </w:rPr>
        <w:lastRenderedPageBreak/>
        <w:t>Table 2:</w:t>
      </w:r>
      <w:r w:rsidRPr="00C16219">
        <w:rPr>
          <w:rFonts w:cs="Tahoma"/>
          <w:b/>
          <w:bCs/>
        </w:rPr>
        <w:t xml:space="preserve"> </w:t>
      </w:r>
      <w:r w:rsidR="00F15572">
        <w:rPr>
          <w:rFonts w:cs="Tahoma"/>
          <w:b/>
          <w:bCs/>
        </w:rPr>
        <w:t>Comparison of outcomes</w:t>
      </w:r>
      <w:r>
        <w:rPr>
          <w:rFonts w:cs="Tahoma"/>
          <w:b/>
          <w:bCs/>
        </w:rPr>
        <w:t xml:space="preserve"> </w:t>
      </w:r>
      <w:r w:rsidR="00F15572">
        <w:rPr>
          <w:rFonts w:cs="Tahoma"/>
          <w:b/>
          <w:bCs/>
        </w:rPr>
        <w:t xml:space="preserve">for </w:t>
      </w:r>
      <w:r w:rsidR="00E06F02">
        <w:rPr>
          <w:rFonts w:cs="Tahoma"/>
          <w:b/>
          <w:bCs/>
        </w:rPr>
        <w:t>personal development, behaviour and welfare</w:t>
      </w:r>
      <w:r w:rsidR="00640B45">
        <w:rPr>
          <w:rFonts w:cs="Tahoma"/>
          <w:b/>
          <w:bCs/>
        </w:rPr>
        <w:t xml:space="preserve"> and overall effectiveness</w:t>
      </w:r>
      <w:r w:rsidRPr="00C16219">
        <w:rPr>
          <w:rFonts w:cs="Tahoma"/>
          <w:b/>
          <w:bCs/>
        </w:rPr>
        <w:t>,</w:t>
      </w:r>
      <w:r w:rsidR="00E06F02">
        <w:rPr>
          <w:rFonts w:cs="Tahoma"/>
          <w:b/>
          <w:bCs/>
        </w:rPr>
        <w:t xml:space="preserve"> </w:t>
      </w:r>
      <w:r w:rsidR="00F85CD2">
        <w:rPr>
          <w:rFonts w:cs="Tahoma"/>
          <w:b/>
          <w:bCs/>
        </w:rPr>
        <w:t xml:space="preserve">at </w:t>
      </w:r>
      <w:r>
        <w:rPr>
          <w:rFonts w:cs="Tahoma"/>
          <w:b/>
          <w:bCs/>
        </w:rPr>
        <w:t xml:space="preserve">inspections between 1 September 2015 and </w:t>
      </w:r>
      <w:r w:rsidRPr="00C16219">
        <w:rPr>
          <w:rFonts w:cs="Tahoma"/>
          <w:b/>
          <w:bCs/>
        </w:rPr>
        <w:t xml:space="preserve">31 </w:t>
      </w:r>
      <w:r>
        <w:rPr>
          <w:rFonts w:cs="Tahoma"/>
          <w:b/>
          <w:bCs/>
        </w:rPr>
        <w:t>December 2017</w:t>
      </w:r>
    </w:p>
    <w:p w14:paraId="766081BF" w14:textId="77777777" w:rsidR="003903D6" w:rsidRDefault="003903D6" w:rsidP="00C6724C">
      <w:pPr>
        <w:jc w:val="left"/>
        <w:rPr>
          <w:rFonts w:cs="Tahoma"/>
          <w:b/>
          <w:bCs/>
        </w:rPr>
      </w:pPr>
    </w:p>
    <w:tbl>
      <w:tblPr>
        <w:tblW w:w="8505" w:type="dxa"/>
        <w:tblLayout w:type="fixed"/>
        <w:tblLook w:val="04A0" w:firstRow="1" w:lastRow="0" w:firstColumn="1" w:lastColumn="0" w:noHBand="0" w:noVBand="1"/>
        <w:tblCaption w:val="Comparison of outcomes for personal development, behaviour and welfare and overall effectiveness, at inspections between 1 September 2015 and 31 December 2017"/>
        <w:tblDescription w:val="The differences between the personal development, behaviour and welfare judgement and the overall effectiveness judgement are mainly where the personal development, behaviour and welfare grade is higher than the overall effectiveness grade. "/>
      </w:tblPr>
      <w:tblGrid>
        <w:gridCol w:w="1701"/>
        <w:gridCol w:w="2268"/>
        <w:gridCol w:w="2268"/>
        <w:gridCol w:w="2268"/>
      </w:tblGrid>
      <w:tr w:rsidR="003903D6" w:rsidRPr="003903D6" w14:paraId="02B4BF49" w14:textId="77777777" w:rsidTr="003903D6">
        <w:trPr>
          <w:trHeight w:val="1140"/>
        </w:trPr>
        <w:tc>
          <w:tcPr>
            <w:tcW w:w="1701" w:type="dxa"/>
            <w:tcBorders>
              <w:top w:val="nil"/>
              <w:left w:val="nil"/>
              <w:bottom w:val="nil"/>
              <w:right w:val="nil"/>
            </w:tcBorders>
            <w:shd w:val="clear" w:color="auto" w:fill="auto"/>
            <w:hideMark/>
          </w:tcPr>
          <w:p w14:paraId="3198350C" w14:textId="77777777" w:rsidR="003903D6" w:rsidRPr="003903D6" w:rsidRDefault="003903D6" w:rsidP="003903D6">
            <w:pPr>
              <w:jc w:val="left"/>
              <w:rPr>
                <w:rFonts w:cs="Tahoma"/>
                <w:bCs/>
                <w:color w:val="000000"/>
                <w:sz w:val="20"/>
                <w:szCs w:val="20"/>
              </w:rPr>
            </w:pPr>
            <w:r w:rsidRPr="003903D6">
              <w:rPr>
                <w:rFonts w:cs="Tahoma"/>
                <w:bCs/>
                <w:color w:val="000000"/>
                <w:sz w:val="20"/>
                <w:szCs w:val="20"/>
              </w:rPr>
              <w:t>Overall effectiveness judgement</w:t>
            </w:r>
          </w:p>
        </w:tc>
        <w:tc>
          <w:tcPr>
            <w:tcW w:w="2268" w:type="dxa"/>
            <w:tcBorders>
              <w:top w:val="nil"/>
              <w:left w:val="nil"/>
              <w:bottom w:val="nil"/>
              <w:right w:val="nil"/>
            </w:tcBorders>
            <w:shd w:val="clear" w:color="auto" w:fill="auto"/>
            <w:hideMark/>
          </w:tcPr>
          <w:p w14:paraId="3737E421" w14:textId="77777777" w:rsidR="003903D6" w:rsidRPr="003903D6" w:rsidRDefault="003903D6" w:rsidP="003903D6">
            <w:pPr>
              <w:jc w:val="left"/>
              <w:rPr>
                <w:rFonts w:cs="Tahoma"/>
                <w:bCs/>
                <w:color w:val="000000"/>
                <w:sz w:val="20"/>
                <w:szCs w:val="20"/>
              </w:rPr>
            </w:pPr>
            <w:r w:rsidRPr="003903D6">
              <w:rPr>
                <w:rFonts w:cs="Tahoma"/>
                <w:bCs/>
                <w:color w:val="000000"/>
                <w:sz w:val="20"/>
                <w:szCs w:val="20"/>
              </w:rPr>
              <w:t>Personal development, behaviour and welfare is stronger than overall effectiveness</w:t>
            </w:r>
          </w:p>
        </w:tc>
        <w:tc>
          <w:tcPr>
            <w:tcW w:w="2268" w:type="dxa"/>
            <w:tcBorders>
              <w:top w:val="nil"/>
              <w:left w:val="nil"/>
              <w:bottom w:val="nil"/>
              <w:right w:val="nil"/>
            </w:tcBorders>
            <w:shd w:val="clear" w:color="auto" w:fill="auto"/>
            <w:hideMark/>
          </w:tcPr>
          <w:p w14:paraId="76378680" w14:textId="77777777" w:rsidR="003903D6" w:rsidRPr="003903D6" w:rsidRDefault="003903D6" w:rsidP="003903D6">
            <w:pPr>
              <w:jc w:val="left"/>
              <w:rPr>
                <w:rFonts w:cs="Tahoma"/>
                <w:bCs/>
                <w:color w:val="000000"/>
                <w:sz w:val="20"/>
                <w:szCs w:val="20"/>
              </w:rPr>
            </w:pPr>
            <w:r w:rsidRPr="003903D6">
              <w:rPr>
                <w:rFonts w:cs="Tahoma"/>
                <w:bCs/>
                <w:color w:val="000000"/>
                <w:sz w:val="20"/>
                <w:szCs w:val="20"/>
              </w:rPr>
              <w:t>Personal development, behaviour and welfare is the same as overall effectiveness</w:t>
            </w:r>
          </w:p>
        </w:tc>
        <w:tc>
          <w:tcPr>
            <w:tcW w:w="2268" w:type="dxa"/>
            <w:tcBorders>
              <w:top w:val="nil"/>
              <w:left w:val="nil"/>
              <w:bottom w:val="nil"/>
              <w:right w:val="nil"/>
            </w:tcBorders>
            <w:shd w:val="clear" w:color="auto" w:fill="auto"/>
            <w:hideMark/>
          </w:tcPr>
          <w:p w14:paraId="4B2FC566" w14:textId="77777777" w:rsidR="003903D6" w:rsidRPr="003903D6" w:rsidRDefault="003903D6" w:rsidP="003903D6">
            <w:pPr>
              <w:jc w:val="left"/>
              <w:rPr>
                <w:rFonts w:cs="Tahoma"/>
                <w:bCs/>
                <w:color w:val="000000"/>
                <w:sz w:val="20"/>
                <w:szCs w:val="20"/>
              </w:rPr>
            </w:pPr>
            <w:r w:rsidRPr="003903D6">
              <w:rPr>
                <w:rFonts w:cs="Tahoma"/>
                <w:bCs/>
                <w:color w:val="000000"/>
                <w:sz w:val="20"/>
                <w:szCs w:val="20"/>
              </w:rPr>
              <w:t>Personal development, behaviour and welfare is weakler than overall effectiveness</w:t>
            </w:r>
          </w:p>
        </w:tc>
      </w:tr>
      <w:tr w:rsidR="003903D6" w:rsidRPr="003903D6" w14:paraId="38916239" w14:textId="77777777" w:rsidTr="003903D6">
        <w:trPr>
          <w:trHeight w:val="615"/>
        </w:trPr>
        <w:tc>
          <w:tcPr>
            <w:tcW w:w="1701" w:type="dxa"/>
            <w:tcBorders>
              <w:top w:val="single" w:sz="4" w:space="0" w:color="auto"/>
              <w:left w:val="nil"/>
              <w:bottom w:val="single" w:sz="4" w:space="0" w:color="auto"/>
              <w:right w:val="nil"/>
            </w:tcBorders>
            <w:shd w:val="clear" w:color="auto" w:fill="auto"/>
            <w:noWrap/>
            <w:vAlign w:val="center"/>
            <w:hideMark/>
          </w:tcPr>
          <w:p w14:paraId="6B1B1634" w14:textId="77777777" w:rsidR="003903D6" w:rsidRPr="003903D6" w:rsidRDefault="003903D6" w:rsidP="003903D6">
            <w:pPr>
              <w:jc w:val="left"/>
              <w:rPr>
                <w:rFonts w:cs="Tahoma"/>
                <w:color w:val="000000"/>
                <w:sz w:val="20"/>
                <w:szCs w:val="20"/>
              </w:rPr>
            </w:pPr>
            <w:r w:rsidRPr="003903D6">
              <w:rPr>
                <w:rFonts w:cs="Tahoma"/>
                <w:color w:val="000000"/>
                <w:sz w:val="20"/>
                <w:szCs w:val="20"/>
              </w:rPr>
              <w:t>All outcomes</w:t>
            </w:r>
          </w:p>
        </w:tc>
        <w:tc>
          <w:tcPr>
            <w:tcW w:w="2268" w:type="dxa"/>
            <w:tcBorders>
              <w:top w:val="single" w:sz="4" w:space="0" w:color="auto"/>
              <w:left w:val="nil"/>
              <w:bottom w:val="single" w:sz="4" w:space="0" w:color="auto"/>
              <w:right w:val="nil"/>
            </w:tcBorders>
            <w:shd w:val="clear" w:color="auto" w:fill="auto"/>
            <w:noWrap/>
            <w:vAlign w:val="center"/>
            <w:hideMark/>
          </w:tcPr>
          <w:p w14:paraId="092FBC10" w14:textId="77777777" w:rsidR="003903D6" w:rsidRPr="003903D6" w:rsidRDefault="003903D6" w:rsidP="003903D6">
            <w:pPr>
              <w:jc w:val="center"/>
              <w:rPr>
                <w:rFonts w:cs="Tahoma"/>
                <w:color w:val="000000"/>
                <w:sz w:val="20"/>
                <w:szCs w:val="20"/>
              </w:rPr>
            </w:pPr>
            <w:r w:rsidRPr="003903D6">
              <w:rPr>
                <w:rFonts w:cs="Tahoma"/>
                <w:color w:val="000000"/>
                <w:sz w:val="20"/>
                <w:szCs w:val="20"/>
              </w:rPr>
              <w:t>32%</w:t>
            </w:r>
          </w:p>
        </w:tc>
        <w:tc>
          <w:tcPr>
            <w:tcW w:w="2268" w:type="dxa"/>
            <w:tcBorders>
              <w:top w:val="single" w:sz="4" w:space="0" w:color="auto"/>
              <w:left w:val="nil"/>
              <w:bottom w:val="single" w:sz="4" w:space="0" w:color="auto"/>
              <w:right w:val="nil"/>
            </w:tcBorders>
            <w:shd w:val="clear" w:color="auto" w:fill="auto"/>
            <w:noWrap/>
            <w:vAlign w:val="center"/>
            <w:hideMark/>
          </w:tcPr>
          <w:p w14:paraId="074E5CE6" w14:textId="77777777" w:rsidR="003903D6" w:rsidRPr="003903D6" w:rsidRDefault="003903D6" w:rsidP="003903D6">
            <w:pPr>
              <w:jc w:val="center"/>
              <w:rPr>
                <w:rFonts w:cs="Tahoma"/>
                <w:color w:val="000000"/>
                <w:sz w:val="20"/>
                <w:szCs w:val="20"/>
              </w:rPr>
            </w:pPr>
            <w:r w:rsidRPr="003903D6">
              <w:rPr>
                <w:rFonts w:cs="Tahoma"/>
                <w:color w:val="000000"/>
                <w:sz w:val="20"/>
                <w:szCs w:val="20"/>
              </w:rPr>
              <w:t>68%</w:t>
            </w:r>
          </w:p>
        </w:tc>
        <w:tc>
          <w:tcPr>
            <w:tcW w:w="2268" w:type="dxa"/>
            <w:tcBorders>
              <w:top w:val="single" w:sz="4" w:space="0" w:color="auto"/>
              <w:left w:val="nil"/>
              <w:bottom w:val="single" w:sz="4" w:space="0" w:color="auto"/>
              <w:right w:val="nil"/>
            </w:tcBorders>
            <w:shd w:val="clear" w:color="auto" w:fill="auto"/>
            <w:noWrap/>
            <w:vAlign w:val="center"/>
            <w:hideMark/>
          </w:tcPr>
          <w:p w14:paraId="644EA80A" w14:textId="77777777" w:rsidR="003903D6" w:rsidRPr="003903D6" w:rsidRDefault="003903D6" w:rsidP="003903D6">
            <w:pPr>
              <w:jc w:val="center"/>
              <w:rPr>
                <w:rFonts w:cs="Tahoma"/>
                <w:color w:val="000000"/>
                <w:sz w:val="20"/>
                <w:szCs w:val="20"/>
              </w:rPr>
            </w:pPr>
            <w:r w:rsidRPr="003903D6">
              <w:rPr>
                <w:rFonts w:cs="Tahoma"/>
                <w:color w:val="000000"/>
                <w:sz w:val="20"/>
                <w:szCs w:val="20"/>
              </w:rPr>
              <w:t>0%</w:t>
            </w:r>
          </w:p>
        </w:tc>
      </w:tr>
      <w:tr w:rsidR="003903D6" w:rsidRPr="003903D6" w14:paraId="4CCA6AD4" w14:textId="77777777" w:rsidTr="003903D6">
        <w:trPr>
          <w:trHeight w:val="615"/>
        </w:trPr>
        <w:tc>
          <w:tcPr>
            <w:tcW w:w="1701" w:type="dxa"/>
            <w:tcBorders>
              <w:top w:val="nil"/>
              <w:left w:val="nil"/>
              <w:bottom w:val="single" w:sz="4" w:space="0" w:color="auto"/>
              <w:right w:val="nil"/>
            </w:tcBorders>
            <w:shd w:val="clear" w:color="auto" w:fill="auto"/>
            <w:noWrap/>
            <w:vAlign w:val="center"/>
            <w:hideMark/>
          </w:tcPr>
          <w:p w14:paraId="3C71EF56" w14:textId="77777777" w:rsidR="003903D6" w:rsidRPr="003903D6" w:rsidRDefault="003903D6" w:rsidP="003903D6">
            <w:pPr>
              <w:jc w:val="left"/>
              <w:rPr>
                <w:rFonts w:cs="Tahoma"/>
                <w:color w:val="000000"/>
                <w:sz w:val="20"/>
                <w:szCs w:val="20"/>
              </w:rPr>
            </w:pPr>
            <w:r w:rsidRPr="003903D6">
              <w:rPr>
                <w:rFonts w:cs="Tahoma"/>
                <w:color w:val="000000"/>
                <w:sz w:val="20"/>
                <w:szCs w:val="20"/>
              </w:rPr>
              <w:t>Outstanding</w:t>
            </w:r>
          </w:p>
        </w:tc>
        <w:tc>
          <w:tcPr>
            <w:tcW w:w="2268" w:type="dxa"/>
            <w:tcBorders>
              <w:top w:val="nil"/>
              <w:left w:val="nil"/>
              <w:bottom w:val="single" w:sz="4" w:space="0" w:color="auto"/>
              <w:right w:val="nil"/>
            </w:tcBorders>
            <w:shd w:val="clear" w:color="auto" w:fill="auto"/>
            <w:noWrap/>
            <w:vAlign w:val="center"/>
            <w:hideMark/>
          </w:tcPr>
          <w:p w14:paraId="79F78CC8" w14:textId="77777777" w:rsidR="003903D6" w:rsidRPr="003903D6" w:rsidRDefault="003903D6" w:rsidP="003903D6">
            <w:pPr>
              <w:jc w:val="center"/>
              <w:rPr>
                <w:rFonts w:cs="Tahoma"/>
                <w:color w:val="000000"/>
                <w:sz w:val="20"/>
                <w:szCs w:val="20"/>
              </w:rPr>
            </w:pPr>
            <w:r w:rsidRPr="003903D6">
              <w:rPr>
                <w:rFonts w:cs="Tahoma"/>
                <w:color w:val="000000"/>
                <w:sz w:val="20"/>
                <w:szCs w:val="20"/>
              </w:rPr>
              <w:t>0%</w:t>
            </w:r>
          </w:p>
        </w:tc>
        <w:tc>
          <w:tcPr>
            <w:tcW w:w="2268" w:type="dxa"/>
            <w:tcBorders>
              <w:top w:val="nil"/>
              <w:left w:val="nil"/>
              <w:bottom w:val="single" w:sz="4" w:space="0" w:color="auto"/>
              <w:right w:val="nil"/>
            </w:tcBorders>
            <w:shd w:val="clear" w:color="auto" w:fill="auto"/>
            <w:noWrap/>
            <w:vAlign w:val="center"/>
            <w:hideMark/>
          </w:tcPr>
          <w:p w14:paraId="28E0CCFE" w14:textId="77777777" w:rsidR="003903D6" w:rsidRPr="003903D6" w:rsidRDefault="003903D6" w:rsidP="003903D6">
            <w:pPr>
              <w:jc w:val="center"/>
              <w:rPr>
                <w:rFonts w:cs="Tahoma"/>
                <w:color w:val="000000"/>
                <w:sz w:val="20"/>
                <w:szCs w:val="20"/>
              </w:rPr>
            </w:pPr>
            <w:r w:rsidRPr="003903D6">
              <w:rPr>
                <w:rFonts w:cs="Tahoma"/>
                <w:color w:val="000000"/>
                <w:sz w:val="20"/>
                <w:szCs w:val="20"/>
              </w:rPr>
              <w:t>99%</w:t>
            </w:r>
          </w:p>
        </w:tc>
        <w:tc>
          <w:tcPr>
            <w:tcW w:w="2268" w:type="dxa"/>
            <w:tcBorders>
              <w:top w:val="nil"/>
              <w:left w:val="nil"/>
              <w:bottom w:val="single" w:sz="4" w:space="0" w:color="auto"/>
              <w:right w:val="nil"/>
            </w:tcBorders>
            <w:shd w:val="clear" w:color="auto" w:fill="auto"/>
            <w:noWrap/>
            <w:vAlign w:val="center"/>
            <w:hideMark/>
          </w:tcPr>
          <w:p w14:paraId="5324FB52" w14:textId="77777777" w:rsidR="003903D6" w:rsidRPr="003903D6" w:rsidRDefault="003903D6" w:rsidP="003903D6">
            <w:pPr>
              <w:jc w:val="center"/>
              <w:rPr>
                <w:rFonts w:cs="Tahoma"/>
                <w:color w:val="000000"/>
                <w:sz w:val="20"/>
                <w:szCs w:val="20"/>
              </w:rPr>
            </w:pPr>
            <w:r w:rsidRPr="003903D6">
              <w:rPr>
                <w:rFonts w:cs="Tahoma"/>
                <w:color w:val="000000"/>
                <w:sz w:val="20"/>
                <w:szCs w:val="20"/>
              </w:rPr>
              <w:t>1%</w:t>
            </w:r>
          </w:p>
        </w:tc>
      </w:tr>
      <w:tr w:rsidR="003903D6" w:rsidRPr="003903D6" w14:paraId="6CCFFAB4" w14:textId="77777777" w:rsidTr="003903D6">
        <w:trPr>
          <w:trHeight w:val="615"/>
        </w:trPr>
        <w:tc>
          <w:tcPr>
            <w:tcW w:w="1701" w:type="dxa"/>
            <w:tcBorders>
              <w:top w:val="nil"/>
              <w:left w:val="nil"/>
              <w:bottom w:val="single" w:sz="4" w:space="0" w:color="auto"/>
              <w:right w:val="nil"/>
            </w:tcBorders>
            <w:shd w:val="clear" w:color="auto" w:fill="auto"/>
            <w:noWrap/>
            <w:vAlign w:val="center"/>
            <w:hideMark/>
          </w:tcPr>
          <w:p w14:paraId="0C713264" w14:textId="77777777" w:rsidR="003903D6" w:rsidRPr="003903D6" w:rsidRDefault="003903D6" w:rsidP="003903D6">
            <w:pPr>
              <w:jc w:val="left"/>
              <w:rPr>
                <w:rFonts w:cs="Tahoma"/>
                <w:color w:val="000000"/>
                <w:sz w:val="20"/>
                <w:szCs w:val="20"/>
              </w:rPr>
            </w:pPr>
            <w:r w:rsidRPr="003903D6">
              <w:rPr>
                <w:rFonts w:cs="Tahoma"/>
                <w:color w:val="000000"/>
                <w:sz w:val="20"/>
                <w:szCs w:val="20"/>
              </w:rPr>
              <w:t>Good</w:t>
            </w:r>
          </w:p>
        </w:tc>
        <w:tc>
          <w:tcPr>
            <w:tcW w:w="2268" w:type="dxa"/>
            <w:tcBorders>
              <w:top w:val="nil"/>
              <w:left w:val="nil"/>
              <w:bottom w:val="single" w:sz="4" w:space="0" w:color="auto"/>
              <w:right w:val="nil"/>
            </w:tcBorders>
            <w:shd w:val="clear" w:color="auto" w:fill="auto"/>
            <w:noWrap/>
            <w:vAlign w:val="center"/>
            <w:hideMark/>
          </w:tcPr>
          <w:p w14:paraId="6DA6E4F7" w14:textId="77777777" w:rsidR="003903D6" w:rsidRPr="003903D6" w:rsidRDefault="003903D6" w:rsidP="003903D6">
            <w:pPr>
              <w:jc w:val="center"/>
              <w:rPr>
                <w:rFonts w:cs="Tahoma"/>
                <w:color w:val="000000"/>
                <w:sz w:val="20"/>
                <w:szCs w:val="20"/>
              </w:rPr>
            </w:pPr>
            <w:r w:rsidRPr="003903D6">
              <w:rPr>
                <w:rFonts w:cs="Tahoma"/>
                <w:color w:val="000000"/>
                <w:sz w:val="20"/>
                <w:szCs w:val="20"/>
              </w:rPr>
              <w:t>15%</w:t>
            </w:r>
          </w:p>
        </w:tc>
        <w:tc>
          <w:tcPr>
            <w:tcW w:w="2268" w:type="dxa"/>
            <w:tcBorders>
              <w:top w:val="nil"/>
              <w:left w:val="nil"/>
              <w:bottom w:val="single" w:sz="4" w:space="0" w:color="auto"/>
              <w:right w:val="nil"/>
            </w:tcBorders>
            <w:shd w:val="clear" w:color="auto" w:fill="auto"/>
            <w:noWrap/>
            <w:vAlign w:val="center"/>
            <w:hideMark/>
          </w:tcPr>
          <w:p w14:paraId="36AAD23D" w14:textId="77777777" w:rsidR="003903D6" w:rsidRPr="003903D6" w:rsidRDefault="003903D6" w:rsidP="003903D6">
            <w:pPr>
              <w:jc w:val="center"/>
              <w:rPr>
                <w:rFonts w:cs="Tahoma"/>
                <w:color w:val="000000"/>
                <w:sz w:val="20"/>
                <w:szCs w:val="20"/>
              </w:rPr>
            </w:pPr>
            <w:r w:rsidRPr="003903D6">
              <w:rPr>
                <w:rFonts w:cs="Tahoma"/>
                <w:color w:val="000000"/>
                <w:sz w:val="20"/>
                <w:szCs w:val="20"/>
              </w:rPr>
              <w:t>85%</w:t>
            </w:r>
          </w:p>
        </w:tc>
        <w:tc>
          <w:tcPr>
            <w:tcW w:w="2268" w:type="dxa"/>
            <w:tcBorders>
              <w:top w:val="nil"/>
              <w:left w:val="nil"/>
              <w:bottom w:val="single" w:sz="4" w:space="0" w:color="auto"/>
              <w:right w:val="nil"/>
            </w:tcBorders>
            <w:shd w:val="clear" w:color="auto" w:fill="auto"/>
            <w:noWrap/>
            <w:vAlign w:val="center"/>
            <w:hideMark/>
          </w:tcPr>
          <w:p w14:paraId="52504766" w14:textId="77777777" w:rsidR="003903D6" w:rsidRPr="003903D6" w:rsidRDefault="003903D6" w:rsidP="003903D6">
            <w:pPr>
              <w:jc w:val="center"/>
              <w:rPr>
                <w:rFonts w:cs="Tahoma"/>
                <w:color w:val="000000"/>
                <w:sz w:val="20"/>
                <w:szCs w:val="20"/>
              </w:rPr>
            </w:pPr>
            <w:r w:rsidRPr="003903D6">
              <w:rPr>
                <w:rFonts w:cs="Tahoma"/>
                <w:color w:val="000000"/>
                <w:sz w:val="20"/>
                <w:szCs w:val="20"/>
              </w:rPr>
              <w:t>0%</w:t>
            </w:r>
          </w:p>
        </w:tc>
      </w:tr>
      <w:tr w:rsidR="003903D6" w:rsidRPr="003903D6" w14:paraId="0642D7AA" w14:textId="77777777" w:rsidTr="003903D6">
        <w:trPr>
          <w:trHeight w:val="615"/>
        </w:trPr>
        <w:tc>
          <w:tcPr>
            <w:tcW w:w="1701" w:type="dxa"/>
            <w:tcBorders>
              <w:top w:val="nil"/>
              <w:left w:val="nil"/>
              <w:bottom w:val="single" w:sz="4" w:space="0" w:color="auto"/>
              <w:right w:val="nil"/>
            </w:tcBorders>
            <w:shd w:val="clear" w:color="auto" w:fill="auto"/>
            <w:noWrap/>
            <w:vAlign w:val="center"/>
            <w:hideMark/>
          </w:tcPr>
          <w:p w14:paraId="01D1C5C1" w14:textId="77777777" w:rsidR="003903D6" w:rsidRPr="003903D6" w:rsidRDefault="003903D6" w:rsidP="003903D6">
            <w:pPr>
              <w:jc w:val="left"/>
              <w:rPr>
                <w:rFonts w:cs="Tahoma"/>
                <w:color w:val="000000"/>
                <w:sz w:val="20"/>
                <w:szCs w:val="20"/>
              </w:rPr>
            </w:pPr>
            <w:r w:rsidRPr="003903D6">
              <w:rPr>
                <w:rFonts w:cs="Tahoma"/>
                <w:color w:val="000000"/>
                <w:sz w:val="20"/>
                <w:szCs w:val="20"/>
              </w:rPr>
              <w:t>RI</w:t>
            </w:r>
          </w:p>
        </w:tc>
        <w:tc>
          <w:tcPr>
            <w:tcW w:w="2268" w:type="dxa"/>
            <w:tcBorders>
              <w:top w:val="nil"/>
              <w:left w:val="nil"/>
              <w:bottom w:val="single" w:sz="4" w:space="0" w:color="auto"/>
              <w:right w:val="nil"/>
            </w:tcBorders>
            <w:shd w:val="clear" w:color="auto" w:fill="auto"/>
            <w:noWrap/>
            <w:vAlign w:val="center"/>
            <w:hideMark/>
          </w:tcPr>
          <w:p w14:paraId="679C220D" w14:textId="77777777" w:rsidR="003903D6" w:rsidRPr="003903D6" w:rsidRDefault="003903D6" w:rsidP="003903D6">
            <w:pPr>
              <w:jc w:val="center"/>
              <w:rPr>
                <w:rFonts w:cs="Tahoma"/>
                <w:color w:val="000000"/>
                <w:sz w:val="20"/>
                <w:szCs w:val="20"/>
              </w:rPr>
            </w:pPr>
            <w:r w:rsidRPr="003903D6">
              <w:rPr>
                <w:rFonts w:cs="Tahoma"/>
                <w:color w:val="000000"/>
                <w:sz w:val="20"/>
                <w:szCs w:val="20"/>
              </w:rPr>
              <w:t>59%</w:t>
            </w:r>
          </w:p>
        </w:tc>
        <w:tc>
          <w:tcPr>
            <w:tcW w:w="2268" w:type="dxa"/>
            <w:tcBorders>
              <w:top w:val="nil"/>
              <w:left w:val="nil"/>
              <w:bottom w:val="single" w:sz="4" w:space="0" w:color="auto"/>
              <w:right w:val="nil"/>
            </w:tcBorders>
            <w:shd w:val="clear" w:color="auto" w:fill="auto"/>
            <w:noWrap/>
            <w:vAlign w:val="center"/>
            <w:hideMark/>
          </w:tcPr>
          <w:p w14:paraId="6BD33B9E" w14:textId="77777777" w:rsidR="003903D6" w:rsidRPr="003903D6" w:rsidRDefault="003903D6" w:rsidP="003903D6">
            <w:pPr>
              <w:jc w:val="center"/>
              <w:rPr>
                <w:rFonts w:cs="Tahoma"/>
                <w:color w:val="000000"/>
                <w:sz w:val="20"/>
                <w:szCs w:val="20"/>
              </w:rPr>
            </w:pPr>
            <w:r w:rsidRPr="003903D6">
              <w:rPr>
                <w:rFonts w:cs="Tahoma"/>
                <w:color w:val="000000"/>
                <w:sz w:val="20"/>
                <w:szCs w:val="20"/>
              </w:rPr>
              <w:t>41%</w:t>
            </w:r>
          </w:p>
        </w:tc>
        <w:tc>
          <w:tcPr>
            <w:tcW w:w="2268" w:type="dxa"/>
            <w:tcBorders>
              <w:top w:val="nil"/>
              <w:left w:val="nil"/>
              <w:bottom w:val="single" w:sz="4" w:space="0" w:color="auto"/>
              <w:right w:val="nil"/>
            </w:tcBorders>
            <w:shd w:val="clear" w:color="auto" w:fill="auto"/>
            <w:noWrap/>
            <w:vAlign w:val="center"/>
            <w:hideMark/>
          </w:tcPr>
          <w:p w14:paraId="21A306A6" w14:textId="77777777" w:rsidR="003903D6" w:rsidRPr="003903D6" w:rsidRDefault="003903D6" w:rsidP="003903D6">
            <w:pPr>
              <w:jc w:val="center"/>
              <w:rPr>
                <w:rFonts w:cs="Tahoma"/>
                <w:color w:val="000000"/>
                <w:sz w:val="20"/>
                <w:szCs w:val="20"/>
              </w:rPr>
            </w:pPr>
            <w:r w:rsidRPr="003903D6">
              <w:rPr>
                <w:rFonts w:cs="Tahoma"/>
                <w:color w:val="000000"/>
                <w:sz w:val="20"/>
                <w:szCs w:val="20"/>
              </w:rPr>
              <w:t>0%</w:t>
            </w:r>
          </w:p>
        </w:tc>
      </w:tr>
      <w:tr w:rsidR="003903D6" w:rsidRPr="003903D6" w14:paraId="420C8BEB" w14:textId="77777777" w:rsidTr="003903D6">
        <w:trPr>
          <w:trHeight w:val="615"/>
        </w:trPr>
        <w:tc>
          <w:tcPr>
            <w:tcW w:w="1701" w:type="dxa"/>
            <w:tcBorders>
              <w:top w:val="nil"/>
              <w:left w:val="nil"/>
              <w:bottom w:val="single" w:sz="4" w:space="0" w:color="auto"/>
              <w:right w:val="nil"/>
            </w:tcBorders>
            <w:shd w:val="clear" w:color="auto" w:fill="auto"/>
            <w:noWrap/>
            <w:vAlign w:val="center"/>
            <w:hideMark/>
          </w:tcPr>
          <w:p w14:paraId="4D584190" w14:textId="77777777" w:rsidR="003903D6" w:rsidRPr="003903D6" w:rsidRDefault="003903D6" w:rsidP="003903D6">
            <w:pPr>
              <w:jc w:val="left"/>
              <w:rPr>
                <w:rFonts w:cs="Tahoma"/>
                <w:color w:val="000000"/>
                <w:sz w:val="20"/>
                <w:szCs w:val="20"/>
              </w:rPr>
            </w:pPr>
            <w:r w:rsidRPr="003903D6">
              <w:rPr>
                <w:rFonts w:cs="Tahoma"/>
                <w:color w:val="000000"/>
                <w:sz w:val="20"/>
                <w:szCs w:val="20"/>
              </w:rPr>
              <w:t>Inadequate</w:t>
            </w:r>
          </w:p>
        </w:tc>
        <w:tc>
          <w:tcPr>
            <w:tcW w:w="2268" w:type="dxa"/>
            <w:tcBorders>
              <w:top w:val="nil"/>
              <w:left w:val="nil"/>
              <w:bottom w:val="single" w:sz="4" w:space="0" w:color="auto"/>
              <w:right w:val="nil"/>
            </w:tcBorders>
            <w:shd w:val="clear" w:color="auto" w:fill="auto"/>
            <w:noWrap/>
            <w:vAlign w:val="center"/>
            <w:hideMark/>
          </w:tcPr>
          <w:p w14:paraId="4DD822FA" w14:textId="77777777" w:rsidR="003903D6" w:rsidRPr="003903D6" w:rsidRDefault="003903D6" w:rsidP="003903D6">
            <w:pPr>
              <w:jc w:val="center"/>
              <w:rPr>
                <w:rFonts w:cs="Tahoma"/>
                <w:color w:val="000000"/>
                <w:sz w:val="20"/>
                <w:szCs w:val="20"/>
              </w:rPr>
            </w:pPr>
            <w:r w:rsidRPr="003903D6">
              <w:rPr>
                <w:rFonts w:cs="Tahoma"/>
                <w:color w:val="000000"/>
                <w:sz w:val="20"/>
                <w:szCs w:val="20"/>
              </w:rPr>
              <w:t>54%</w:t>
            </w:r>
          </w:p>
        </w:tc>
        <w:tc>
          <w:tcPr>
            <w:tcW w:w="2268" w:type="dxa"/>
            <w:tcBorders>
              <w:top w:val="nil"/>
              <w:left w:val="nil"/>
              <w:bottom w:val="single" w:sz="4" w:space="0" w:color="auto"/>
              <w:right w:val="nil"/>
            </w:tcBorders>
            <w:shd w:val="clear" w:color="auto" w:fill="auto"/>
            <w:noWrap/>
            <w:vAlign w:val="center"/>
            <w:hideMark/>
          </w:tcPr>
          <w:p w14:paraId="77C2BFB6" w14:textId="77777777" w:rsidR="003903D6" w:rsidRPr="003903D6" w:rsidRDefault="003903D6" w:rsidP="003903D6">
            <w:pPr>
              <w:jc w:val="center"/>
              <w:rPr>
                <w:rFonts w:cs="Tahoma"/>
                <w:color w:val="000000"/>
                <w:sz w:val="20"/>
                <w:szCs w:val="20"/>
              </w:rPr>
            </w:pPr>
            <w:r w:rsidRPr="003903D6">
              <w:rPr>
                <w:rFonts w:cs="Tahoma"/>
                <w:color w:val="000000"/>
                <w:sz w:val="20"/>
                <w:szCs w:val="20"/>
              </w:rPr>
              <w:t>46%</w:t>
            </w:r>
          </w:p>
        </w:tc>
        <w:tc>
          <w:tcPr>
            <w:tcW w:w="2268" w:type="dxa"/>
            <w:tcBorders>
              <w:top w:val="nil"/>
              <w:left w:val="nil"/>
              <w:bottom w:val="single" w:sz="4" w:space="0" w:color="auto"/>
              <w:right w:val="nil"/>
            </w:tcBorders>
            <w:shd w:val="clear" w:color="auto" w:fill="auto"/>
            <w:noWrap/>
            <w:vAlign w:val="center"/>
            <w:hideMark/>
          </w:tcPr>
          <w:p w14:paraId="0541A2BB" w14:textId="77777777" w:rsidR="003903D6" w:rsidRPr="003903D6" w:rsidRDefault="003903D6" w:rsidP="003903D6">
            <w:pPr>
              <w:jc w:val="center"/>
              <w:rPr>
                <w:rFonts w:cs="Tahoma"/>
                <w:color w:val="000000"/>
                <w:sz w:val="20"/>
                <w:szCs w:val="20"/>
              </w:rPr>
            </w:pPr>
            <w:r w:rsidRPr="003903D6">
              <w:rPr>
                <w:rFonts w:cs="Tahoma"/>
                <w:color w:val="000000"/>
                <w:sz w:val="20"/>
                <w:szCs w:val="20"/>
              </w:rPr>
              <w:t>0%</w:t>
            </w:r>
          </w:p>
        </w:tc>
      </w:tr>
    </w:tbl>
    <w:p w14:paraId="1141EA0F" w14:textId="77777777" w:rsidR="003903D6" w:rsidRDefault="003903D6" w:rsidP="00966ADE">
      <w:pPr>
        <w:jc w:val="left"/>
        <w:rPr>
          <w:rFonts w:cs="Tahoma"/>
        </w:rPr>
      </w:pPr>
    </w:p>
    <w:p w14:paraId="0B8A92E1" w14:textId="6BC4DA7B" w:rsidR="00416DE7" w:rsidRPr="00C16219" w:rsidRDefault="002E0506" w:rsidP="00C16219">
      <w:pPr>
        <w:pStyle w:val="Heading2"/>
        <w:spacing w:after="120"/>
        <w:jc w:val="left"/>
        <w:rPr>
          <w:color w:val="000000"/>
        </w:rPr>
      </w:pPr>
      <w:bookmarkStart w:id="7" w:name="_Toc508870204"/>
      <w:r w:rsidRPr="00C16219">
        <w:rPr>
          <w:color w:val="000000"/>
        </w:rPr>
        <w:t>Revisions to previous release</w:t>
      </w:r>
      <w:bookmarkEnd w:id="7"/>
      <w:r w:rsidRPr="00C16219">
        <w:rPr>
          <w:color w:val="000000"/>
        </w:rPr>
        <w:t xml:space="preserve"> </w:t>
      </w:r>
    </w:p>
    <w:p w14:paraId="5E317882" w14:textId="52780558" w:rsidR="00E3270A" w:rsidRDefault="00AD4F1D" w:rsidP="00C16219">
      <w:pPr>
        <w:jc w:val="left"/>
        <w:rPr>
          <w:color w:val="000000"/>
        </w:rPr>
      </w:pPr>
      <w:r>
        <w:rPr>
          <w:color w:val="000000"/>
        </w:rPr>
        <w:t>Provisional data for the last</w:t>
      </w:r>
      <w:r w:rsidR="00E3270A">
        <w:rPr>
          <w:color w:val="000000"/>
        </w:rPr>
        <w:t xml:space="preserve"> academic year</w:t>
      </w:r>
      <w:r w:rsidR="001F1B92" w:rsidRPr="00C16219">
        <w:rPr>
          <w:color w:val="000000"/>
        </w:rPr>
        <w:t xml:space="preserve"> indicated that there were </w:t>
      </w:r>
      <w:r w:rsidR="00177184" w:rsidRPr="00177184">
        <w:t>2,821</w:t>
      </w:r>
      <w:r w:rsidR="00972DD9" w:rsidRPr="00177184">
        <w:t xml:space="preserve"> </w:t>
      </w:r>
      <w:r w:rsidR="001F1B92" w:rsidRPr="00C16219">
        <w:rPr>
          <w:color w:val="000000"/>
        </w:rPr>
        <w:t xml:space="preserve">section 5 inspections between </w:t>
      </w:r>
      <w:r w:rsidR="00347137" w:rsidRPr="00C16219">
        <w:rPr>
          <w:color w:val="000000"/>
        </w:rPr>
        <w:t xml:space="preserve">1 September </w:t>
      </w:r>
      <w:r w:rsidR="00347137" w:rsidRPr="00492F27">
        <w:rPr>
          <w:color w:val="000000"/>
        </w:rPr>
        <w:t xml:space="preserve">2016 and 31 </w:t>
      </w:r>
      <w:r w:rsidR="00E3270A">
        <w:rPr>
          <w:color w:val="000000"/>
        </w:rPr>
        <w:t>August</w:t>
      </w:r>
      <w:r w:rsidR="00CD5697" w:rsidRPr="00492F27">
        <w:rPr>
          <w:color w:val="000000"/>
        </w:rPr>
        <w:t xml:space="preserve"> </w:t>
      </w:r>
      <w:r w:rsidR="001F1B92" w:rsidRPr="00492F27">
        <w:rPr>
          <w:color w:val="000000"/>
        </w:rPr>
        <w:t>201</w:t>
      </w:r>
      <w:r w:rsidR="00CD5697" w:rsidRPr="00492F27">
        <w:rPr>
          <w:color w:val="000000"/>
        </w:rPr>
        <w:t>7</w:t>
      </w:r>
      <w:r w:rsidR="001F1B92" w:rsidRPr="00492F27">
        <w:rPr>
          <w:color w:val="000000"/>
        </w:rPr>
        <w:t xml:space="preserve">, as published by </w:t>
      </w:r>
      <w:r w:rsidR="00CD5697" w:rsidRPr="00492F27">
        <w:rPr>
          <w:color w:val="000000"/>
        </w:rPr>
        <w:t xml:space="preserve">30 </w:t>
      </w:r>
      <w:r w:rsidR="00E3270A">
        <w:rPr>
          <w:color w:val="000000"/>
        </w:rPr>
        <w:t>September</w:t>
      </w:r>
      <w:r w:rsidR="00CD5697" w:rsidRPr="00492F27">
        <w:rPr>
          <w:color w:val="000000"/>
        </w:rPr>
        <w:t xml:space="preserve"> </w:t>
      </w:r>
      <w:r w:rsidR="00347137" w:rsidRPr="00492F27">
        <w:rPr>
          <w:color w:val="000000"/>
        </w:rPr>
        <w:t>2017</w:t>
      </w:r>
      <w:r w:rsidR="001F1B92" w:rsidRPr="00492F27">
        <w:rPr>
          <w:color w:val="000000"/>
        </w:rPr>
        <w:t xml:space="preserve">. </w:t>
      </w:r>
    </w:p>
    <w:p w14:paraId="2AE90AF7" w14:textId="77777777" w:rsidR="00E3270A" w:rsidRDefault="00E3270A" w:rsidP="00C16219">
      <w:pPr>
        <w:jc w:val="left"/>
        <w:rPr>
          <w:color w:val="000000"/>
        </w:rPr>
      </w:pPr>
    </w:p>
    <w:p w14:paraId="4956633F" w14:textId="622DCCB0" w:rsidR="001F1B92" w:rsidRPr="00177184" w:rsidRDefault="001F1B92" w:rsidP="00C16219">
      <w:pPr>
        <w:jc w:val="left"/>
      </w:pPr>
      <w:r w:rsidRPr="00492F27">
        <w:rPr>
          <w:color w:val="000000"/>
        </w:rPr>
        <w:t xml:space="preserve">Revised data shows that an additional </w:t>
      </w:r>
      <w:r w:rsidR="007F71FF" w:rsidRPr="00177184">
        <w:t>21</w:t>
      </w:r>
      <w:r w:rsidR="007F71FF" w:rsidRPr="00492F27">
        <w:rPr>
          <w:color w:val="000000"/>
        </w:rPr>
        <w:t xml:space="preserve"> </w:t>
      </w:r>
      <w:r w:rsidRPr="00492F27">
        <w:rPr>
          <w:color w:val="000000"/>
        </w:rPr>
        <w:t>inspections took place where the report was published too late for inclusion in the provisional data</w:t>
      </w:r>
      <w:r w:rsidR="00D93076" w:rsidRPr="00492F27">
        <w:rPr>
          <w:color w:val="000000"/>
        </w:rPr>
        <w:t>, but was published by 3</w:t>
      </w:r>
      <w:r w:rsidR="00E3270A">
        <w:rPr>
          <w:color w:val="000000"/>
        </w:rPr>
        <w:t>1</w:t>
      </w:r>
      <w:r w:rsidR="00D93076" w:rsidRPr="00492F27">
        <w:rPr>
          <w:color w:val="000000"/>
        </w:rPr>
        <w:t xml:space="preserve"> </w:t>
      </w:r>
      <w:r w:rsidR="00E3270A">
        <w:rPr>
          <w:color w:val="000000"/>
        </w:rPr>
        <w:t>December</w:t>
      </w:r>
      <w:r w:rsidR="00D93076" w:rsidRPr="00492F27">
        <w:rPr>
          <w:color w:val="000000"/>
        </w:rPr>
        <w:t xml:space="preserve"> 2017</w:t>
      </w:r>
      <w:r w:rsidRPr="00492F27">
        <w:rPr>
          <w:color w:val="000000"/>
        </w:rPr>
        <w:t xml:space="preserve">. </w:t>
      </w:r>
      <w:r w:rsidR="00177184" w:rsidRPr="00177184">
        <w:t>Sixteen</w:t>
      </w:r>
      <w:r w:rsidR="003B094A" w:rsidRPr="00177184">
        <w:t xml:space="preserve"> </w:t>
      </w:r>
      <w:r w:rsidRPr="00177184">
        <w:t>were primary schools</w:t>
      </w:r>
      <w:r w:rsidR="00177184" w:rsidRPr="00177184">
        <w:t xml:space="preserve"> and there were five</w:t>
      </w:r>
      <w:r w:rsidR="003908D4" w:rsidRPr="00177184">
        <w:t xml:space="preserve"> </w:t>
      </w:r>
      <w:r w:rsidRPr="00177184">
        <w:t xml:space="preserve">secondary schools. </w:t>
      </w:r>
    </w:p>
    <w:p w14:paraId="122A4699" w14:textId="77777777" w:rsidR="001F1B92" w:rsidRPr="00492F27" w:rsidRDefault="001F1B92" w:rsidP="00C16219">
      <w:pPr>
        <w:jc w:val="left"/>
        <w:rPr>
          <w:color w:val="000000"/>
        </w:rPr>
      </w:pPr>
    </w:p>
    <w:p w14:paraId="7DA749CD" w14:textId="63E7EAED" w:rsidR="004A5F88" w:rsidRDefault="00085A07" w:rsidP="00C16219">
      <w:pPr>
        <w:jc w:val="left"/>
      </w:pPr>
      <w:r w:rsidRPr="00085A07">
        <w:t>Fourteen of the 21 inspections</w:t>
      </w:r>
      <w:r w:rsidR="001F1B92" w:rsidRPr="00085A07">
        <w:t xml:space="preserve"> resulted in an inadequate judgement. Inspections leading to an inadequate judgement undergo additional moderation and are sometimes published later than reports for schools with other overall effectiveness grades. See the methodology and quality report for more details</w:t>
      </w:r>
      <w:r w:rsidR="00561CC8">
        <w:rPr>
          <w:rStyle w:val="FootnoteReference"/>
        </w:rPr>
        <w:footnoteReference w:id="9"/>
      </w:r>
      <w:r w:rsidR="001F1B92" w:rsidRPr="00085A07">
        <w:t>.</w:t>
      </w:r>
    </w:p>
    <w:p w14:paraId="3C92890C" w14:textId="6BBF2B10" w:rsidR="000760AA" w:rsidRDefault="000760AA">
      <w:pPr>
        <w:jc w:val="left"/>
      </w:pPr>
      <w:r>
        <w:br w:type="page"/>
      </w:r>
    </w:p>
    <w:p w14:paraId="7D16B38F" w14:textId="7DB77623" w:rsidR="002A41A2" w:rsidRDefault="003C1A4E" w:rsidP="00C16219">
      <w:pPr>
        <w:jc w:val="left"/>
      </w:pPr>
      <w:bookmarkStart w:id="8" w:name="_GoBack"/>
      <w:bookmarkEnd w:id="8"/>
      <w:r w:rsidRPr="00F20CD5">
        <w:lastRenderedPageBreak/>
        <w:t>The percentage</w:t>
      </w:r>
      <w:r w:rsidR="00085A07" w:rsidRPr="00F20CD5">
        <w:t>s</w:t>
      </w:r>
      <w:r w:rsidRPr="00F20CD5">
        <w:t xml:space="preserve"> of </w:t>
      </w:r>
      <w:r w:rsidR="00825F15" w:rsidRPr="00F20CD5">
        <w:t xml:space="preserve">schools </w:t>
      </w:r>
      <w:r w:rsidR="00085A07" w:rsidRPr="00F20CD5">
        <w:t>remained the same for all phases of education</w:t>
      </w:r>
      <w:r w:rsidR="002A41A2">
        <w:t xml:space="preserve"> except:</w:t>
      </w:r>
    </w:p>
    <w:p w14:paraId="3A4505EB" w14:textId="77777777" w:rsidR="001C7397" w:rsidRPr="001C7397" w:rsidRDefault="001C7397" w:rsidP="001C7397">
      <w:pPr>
        <w:ind w:left="360"/>
        <w:jc w:val="left"/>
        <w:rPr>
          <w:rFonts w:cs="Tahoma"/>
        </w:rPr>
      </w:pPr>
    </w:p>
    <w:p w14:paraId="3BFA275C" w14:textId="7DE94AAB" w:rsidR="002A41A2" w:rsidRPr="001C7397" w:rsidRDefault="002A41A2" w:rsidP="001C7397">
      <w:pPr>
        <w:numPr>
          <w:ilvl w:val="0"/>
          <w:numId w:val="23"/>
        </w:numPr>
        <w:jc w:val="left"/>
        <w:rPr>
          <w:rFonts w:cs="Tahoma"/>
        </w:rPr>
      </w:pPr>
      <w:r w:rsidRPr="001C7397">
        <w:rPr>
          <w:rFonts w:cs="Tahoma"/>
        </w:rPr>
        <w:t>The proportion of requires improvement primary schools reduced from 37% to 36%, and the proportion inadequate increased from 9% to 10%</w:t>
      </w:r>
    </w:p>
    <w:p w14:paraId="06C4BE61" w14:textId="79E27CB3" w:rsidR="002A41A2" w:rsidRPr="001C7397" w:rsidRDefault="002A41A2" w:rsidP="001C7397">
      <w:pPr>
        <w:numPr>
          <w:ilvl w:val="0"/>
          <w:numId w:val="23"/>
        </w:numPr>
        <w:jc w:val="left"/>
        <w:rPr>
          <w:rFonts w:cs="Tahoma"/>
        </w:rPr>
      </w:pPr>
      <w:r w:rsidRPr="001C7397">
        <w:rPr>
          <w:rFonts w:cs="Tahoma"/>
        </w:rPr>
        <w:t>The proportion of inadequate secondary schools increased from 19% to 20%.</w:t>
      </w:r>
    </w:p>
    <w:p w14:paraId="5C417C0B" w14:textId="47D710D1" w:rsidR="002A41A2" w:rsidRDefault="002A41A2" w:rsidP="002A41A2">
      <w:pPr>
        <w:jc w:val="left"/>
      </w:pPr>
    </w:p>
    <w:p w14:paraId="263B0C20" w14:textId="20AD0D3A" w:rsidR="008A6861" w:rsidRPr="001C7397" w:rsidRDefault="001F1B92" w:rsidP="002A41A2">
      <w:pPr>
        <w:jc w:val="left"/>
        <w:rPr>
          <w:color w:val="000000"/>
        </w:rPr>
      </w:pPr>
      <w:r w:rsidRPr="00F20CD5">
        <w:t xml:space="preserve">Further </w:t>
      </w:r>
      <w:r w:rsidRPr="001C7397">
        <w:rPr>
          <w:color w:val="000000"/>
        </w:rPr>
        <w:t xml:space="preserve">details can be found in the revised table 2 of the charts and tables </w:t>
      </w:r>
      <w:r w:rsidR="004255CC" w:rsidRPr="001C7397">
        <w:rPr>
          <w:color w:val="000000"/>
        </w:rPr>
        <w:t>Excel document</w:t>
      </w:r>
      <w:r w:rsidRPr="001C7397">
        <w:rPr>
          <w:color w:val="000000"/>
        </w:rPr>
        <w:t>.</w:t>
      </w:r>
    </w:p>
    <w:p w14:paraId="17DF474E" w14:textId="77777777" w:rsidR="000760AA" w:rsidRDefault="000760AA" w:rsidP="00A92C60">
      <w:pPr>
        <w:pStyle w:val="Heading2"/>
        <w:spacing w:after="120"/>
        <w:jc w:val="left"/>
        <w:rPr>
          <w:color w:val="000000"/>
        </w:rPr>
      </w:pPr>
      <w:bookmarkStart w:id="9" w:name="_Toc498518685"/>
      <w:bookmarkStart w:id="10" w:name="_Toc508870205"/>
    </w:p>
    <w:p w14:paraId="1C894313" w14:textId="752BF91A" w:rsidR="006C073C" w:rsidRPr="00A92C60" w:rsidRDefault="006C073C" w:rsidP="00A92C60">
      <w:pPr>
        <w:pStyle w:val="Heading2"/>
        <w:spacing w:after="120"/>
        <w:jc w:val="left"/>
        <w:rPr>
          <w:color w:val="000000"/>
        </w:rPr>
      </w:pPr>
      <w:r w:rsidRPr="00A92C60">
        <w:rPr>
          <w:color w:val="000000"/>
        </w:rPr>
        <w:t xml:space="preserve">Response to the consultation on </w:t>
      </w:r>
      <w:bookmarkEnd w:id="9"/>
      <w:r w:rsidRPr="00A92C60">
        <w:rPr>
          <w:color w:val="000000"/>
        </w:rPr>
        <w:t xml:space="preserve">changes to </w:t>
      </w:r>
      <w:r w:rsidR="00786174" w:rsidRPr="00A92C60">
        <w:rPr>
          <w:color w:val="000000"/>
        </w:rPr>
        <w:t>O</w:t>
      </w:r>
      <w:r w:rsidRPr="00A92C60">
        <w:rPr>
          <w:color w:val="000000"/>
        </w:rPr>
        <w:t>fsted</w:t>
      </w:r>
      <w:r w:rsidR="00786174" w:rsidRPr="00A92C60">
        <w:rPr>
          <w:color w:val="000000"/>
        </w:rPr>
        <w:t>’</w:t>
      </w:r>
      <w:r w:rsidRPr="00A92C60">
        <w:rPr>
          <w:color w:val="000000"/>
        </w:rPr>
        <w:t>s statistical reporting of inspection outcomes for maintained schools and academies</w:t>
      </w:r>
      <w:bookmarkEnd w:id="10"/>
    </w:p>
    <w:p w14:paraId="58DEDEA8" w14:textId="77777777" w:rsidR="003908CD" w:rsidRPr="0009596C" w:rsidRDefault="006C073C" w:rsidP="006C073C">
      <w:pPr>
        <w:jc w:val="left"/>
        <w:rPr>
          <w:rFonts w:cs="Tahoma"/>
        </w:rPr>
      </w:pPr>
      <w:r w:rsidRPr="0009596C">
        <w:rPr>
          <w:rFonts w:cs="Tahoma"/>
        </w:rPr>
        <w:t xml:space="preserve">Between </w:t>
      </w:r>
      <w:r w:rsidR="003908CD" w:rsidRPr="0009596C">
        <w:rPr>
          <w:rFonts w:cs="Tahoma"/>
        </w:rPr>
        <w:t>30 Novem</w:t>
      </w:r>
      <w:r w:rsidR="002E32DA" w:rsidRPr="0009596C">
        <w:rPr>
          <w:rFonts w:cs="Tahoma"/>
        </w:rPr>
        <w:t>ber</w:t>
      </w:r>
      <w:r w:rsidRPr="0009596C">
        <w:rPr>
          <w:rFonts w:cs="Tahoma"/>
        </w:rPr>
        <w:t xml:space="preserve"> 2017 and 1</w:t>
      </w:r>
      <w:r w:rsidR="002E32DA" w:rsidRPr="0009596C">
        <w:rPr>
          <w:rFonts w:cs="Tahoma"/>
        </w:rPr>
        <w:t>8 January 2018,</w:t>
      </w:r>
      <w:r w:rsidRPr="0009596C">
        <w:rPr>
          <w:rFonts w:cs="Tahoma"/>
        </w:rPr>
        <w:t xml:space="preserve"> Ofsted consulted on proposals to change to the way we compile data on schools’ most recent inspections. </w:t>
      </w:r>
    </w:p>
    <w:p w14:paraId="7910BA0E" w14:textId="77777777" w:rsidR="003908CD" w:rsidRPr="0009596C" w:rsidRDefault="003908CD" w:rsidP="006C073C">
      <w:pPr>
        <w:jc w:val="left"/>
        <w:rPr>
          <w:rFonts w:cs="Tahoma"/>
        </w:rPr>
      </w:pPr>
    </w:p>
    <w:p w14:paraId="5956B7DE" w14:textId="29E121BE" w:rsidR="00E61B12" w:rsidRDefault="003908CD" w:rsidP="0009596C">
      <w:pPr>
        <w:jc w:val="left"/>
        <w:rPr>
          <w:rFonts w:cs="Tahoma"/>
        </w:rPr>
      </w:pPr>
      <w:r w:rsidRPr="0009596C">
        <w:rPr>
          <w:rFonts w:cs="Tahoma"/>
        </w:rPr>
        <w:t xml:space="preserve">Ofsted published its response to this </w:t>
      </w:r>
      <w:r w:rsidRPr="00CD30D6">
        <w:rPr>
          <w:rFonts w:cs="Tahoma"/>
        </w:rPr>
        <w:t>consul</w:t>
      </w:r>
      <w:r w:rsidR="00F4546A" w:rsidRPr="00CD30D6">
        <w:rPr>
          <w:rFonts w:cs="Tahoma"/>
        </w:rPr>
        <w:t>t</w:t>
      </w:r>
      <w:r w:rsidRPr="00CD30D6">
        <w:rPr>
          <w:rFonts w:cs="Tahoma"/>
        </w:rPr>
        <w:t xml:space="preserve">ation on </w:t>
      </w:r>
      <w:r w:rsidR="001C75A4">
        <w:rPr>
          <w:rFonts w:cs="Tahoma"/>
        </w:rPr>
        <w:t>15</w:t>
      </w:r>
      <w:r w:rsidRPr="00CD30D6">
        <w:rPr>
          <w:rFonts w:cs="Tahoma"/>
        </w:rPr>
        <w:t xml:space="preserve"> March 2018. </w:t>
      </w:r>
      <w:r w:rsidR="006C073C" w:rsidRPr="00CD30D6">
        <w:rPr>
          <w:rFonts w:cs="Tahoma"/>
        </w:rPr>
        <w:t>Respondents supported these proposals. Based on these findings, we will make all of the changes proposed as part of the consultation</w:t>
      </w:r>
      <w:r w:rsidR="002E32DA" w:rsidRPr="00CD30D6">
        <w:rPr>
          <w:rFonts w:cs="Tahoma"/>
        </w:rPr>
        <w:t xml:space="preserve">. </w:t>
      </w:r>
      <w:r w:rsidR="00D6117C" w:rsidRPr="00CD30D6">
        <w:rPr>
          <w:rFonts w:cs="Tahoma"/>
        </w:rPr>
        <w:t xml:space="preserve">These will be applied in the next official statistics publication in June 2018. </w:t>
      </w:r>
      <w:r w:rsidR="002E32DA" w:rsidRPr="00CD30D6">
        <w:rPr>
          <w:rFonts w:cs="Tahoma"/>
        </w:rPr>
        <w:t>The full response can be found at</w:t>
      </w:r>
      <w:r w:rsidR="0009596C" w:rsidRPr="00CD30D6">
        <w:rPr>
          <w:rFonts w:cs="Tahoma"/>
        </w:rPr>
        <w:t>:</w:t>
      </w:r>
    </w:p>
    <w:p w14:paraId="02DCC8AA" w14:textId="77777777" w:rsidR="007E06C4" w:rsidRPr="00CD30D6" w:rsidRDefault="007E06C4" w:rsidP="0009596C">
      <w:pPr>
        <w:jc w:val="left"/>
        <w:rPr>
          <w:rFonts w:cs="Tahoma"/>
        </w:rPr>
      </w:pPr>
    </w:p>
    <w:p w14:paraId="6ED8B762" w14:textId="5BE8255E" w:rsidR="006C073C" w:rsidRDefault="00D77361" w:rsidP="006C073C">
      <w:pPr>
        <w:pStyle w:val="NoSpacing"/>
        <w:jc w:val="left"/>
      </w:pPr>
      <w:hyperlink r:id="rId16" w:tooltip="Link to the response to the consultation on changes to Ofsted’s statistical reporting of inspection outcomes for maintained schools and academies" w:history="1">
        <w:r w:rsidR="00E64119" w:rsidRPr="00E64119">
          <w:rPr>
            <w:rStyle w:val="Hyperlink"/>
          </w:rPr>
          <w:t>www.gov.uk/government/consultations/changes-to-ofsteds-statistical-reporting-of-inspection-outcomes-for-maintained-schools-and-academies</w:t>
        </w:r>
      </w:hyperlink>
      <w:r w:rsidR="002E32DA" w:rsidRPr="00CD30D6">
        <w:rPr>
          <w:rStyle w:val="Hyperlink"/>
        </w:rPr>
        <w:t>.</w:t>
      </w:r>
    </w:p>
    <w:p w14:paraId="3A4CC3D1" w14:textId="77777777" w:rsidR="00563B0B" w:rsidRPr="00CB7B7C" w:rsidRDefault="00563B0B">
      <w:pPr>
        <w:jc w:val="left"/>
        <w:rPr>
          <w:b/>
          <w:color w:val="FF0000"/>
          <w:sz w:val="28"/>
        </w:rPr>
      </w:pPr>
      <w:bookmarkStart w:id="11" w:name="_Methodology"/>
      <w:bookmarkEnd w:id="11"/>
      <w:r w:rsidRPr="00CB7B7C">
        <w:rPr>
          <w:color w:val="FF0000"/>
        </w:rPr>
        <w:br w:type="page"/>
      </w:r>
    </w:p>
    <w:p w14:paraId="2E00FEDF" w14:textId="77777777" w:rsidR="009E6F79" w:rsidRPr="00C16219" w:rsidRDefault="00730187" w:rsidP="00C16219">
      <w:pPr>
        <w:pStyle w:val="Heading2"/>
        <w:spacing w:after="120"/>
        <w:jc w:val="left"/>
        <w:rPr>
          <w:color w:val="000000"/>
        </w:rPr>
      </w:pPr>
      <w:bookmarkStart w:id="12" w:name="_Toc508870206"/>
      <w:r w:rsidRPr="00C16219">
        <w:rPr>
          <w:color w:val="000000"/>
        </w:rPr>
        <w:lastRenderedPageBreak/>
        <w:t>Notes</w:t>
      </w:r>
      <w:bookmarkEnd w:id="12"/>
    </w:p>
    <w:p w14:paraId="773E7199" w14:textId="0DD364A2" w:rsidR="008C0704" w:rsidRPr="00C16219" w:rsidRDefault="008C0704" w:rsidP="00C16219">
      <w:pPr>
        <w:jc w:val="left"/>
        <w:rPr>
          <w:color w:val="000000"/>
        </w:rPr>
      </w:pPr>
      <w:bookmarkStart w:id="13" w:name="_Toc410906453"/>
      <w:bookmarkStart w:id="14" w:name="_Toc413415068"/>
      <w:r w:rsidRPr="00C16219">
        <w:rPr>
          <w:color w:val="000000"/>
        </w:rPr>
        <w:t>Data in this release is from inspections undertaken between 1 September 201</w:t>
      </w:r>
      <w:r w:rsidR="00917164">
        <w:rPr>
          <w:color w:val="000000"/>
        </w:rPr>
        <w:t>7</w:t>
      </w:r>
      <w:r w:rsidRPr="00C16219">
        <w:rPr>
          <w:color w:val="000000"/>
        </w:rPr>
        <w:t xml:space="preserve"> and 31 </w:t>
      </w:r>
      <w:r w:rsidR="00917164">
        <w:rPr>
          <w:color w:val="000000"/>
        </w:rPr>
        <w:t>December</w:t>
      </w:r>
      <w:r w:rsidR="00CD5697" w:rsidRPr="00C16219">
        <w:rPr>
          <w:color w:val="000000"/>
        </w:rPr>
        <w:t xml:space="preserve"> </w:t>
      </w:r>
      <w:r w:rsidR="0042327A" w:rsidRPr="00C16219">
        <w:rPr>
          <w:color w:val="000000"/>
        </w:rPr>
        <w:t>2017</w:t>
      </w:r>
      <w:r w:rsidRPr="00C16219">
        <w:rPr>
          <w:color w:val="000000"/>
        </w:rPr>
        <w:t xml:space="preserve"> and most recent inspection</w:t>
      </w:r>
      <w:r w:rsidR="0042327A" w:rsidRPr="00C16219">
        <w:rPr>
          <w:color w:val="000000"/>
        </w:rPr>
        <w:t xml:space="preserve">s of open schools at 31 </w:t>
      </w:r>
      <w:r w:rsidR="00917164">
        <w:rPr>
          <w:color w:val="000000"/>
        </w:rPr>
        <w:t>December 2017</w:t>
      </w:r>
      <w:r w:rsidRPr="00C16219">
        <w:rPr>
          <w:color w:val="000000"/>
        </w:rPr>
        <w:t>, where the inspection rep</w:t>
      </w:r>
      <w:r w:rsidR="00917164">
        <w:rPr>
          <w:color w:val="000000"/>
        </w:rPr>
        <w:t>ort was published by 31 January 2018</w:t>
      </w:r>
      <w:r w:rsidRPr="00C16219">
        <w:rPr>
          <w:color w:val="000000"/>
        </w:rPr>
        <w:t xml:space="preserve">. If an inspection report </w:t>
      </w:r>
      <w:r w:rsidR="0042327A" w:rsidRPr="00C16219">
        <w:rPr>
          <w:color w:val="000000"/>
        </w:rPr>
        <w:t xml:space="preserve">is not published by </w:t>
      </w:r>
      <w:r w:rsidR="00684D6C">
        <w:rPr>
          <w:color w:val="000000"/>
        </w:rPr>
        <w:t>3</w:t>
      </w:r>
      <w:r w:rsidR="00917164">
        <w:rPr>
          <w:color w:val="000000"/>
        </w:rPr>
        <w:t>1 January 2018</w:t>
      </w:r>
      <w:r w:rsidRPr="00C16219">
        <w:rPr>
          <w:color w:val="000000"/>
        </w:rPr>
        <w:t xml:space="preserve"> then the previous inspection, where available, will be reported as a school’s most recent inspection. </w:t>
      </w:r>
    </w:p>
    <w:p w14:paraId="3198EA74" w14:textId="77777777" w:rsidR="008C0704" w:rsidRPr="00C16219" w:rsidRDefault="008C0704" w:rsidP="00C16219">
      <w:pPr>
        <w:jc w:val="left"/>
        <w:rPr>
          <w:color w:val="000000"/>
        </w:rPr>
      </w:pPr>
    </w:p>
    <w:p w14:paraId="52671EF5" w14:textId="77777777" w:rsidR="008C0704" w:rsidRPr="00C16219" w:rsidRDefault="008C0704" w:rsidP="00C16219">
      <w:pPr>
        <w:jc w:val="left"/>
        <w:rPr>
          <w:color w:val="000000"/>
        </w:rPr>
      </w:pPr>
      <w:r w:rsidRPr="00C16219">
        <w:rPr>
          <w:color w:val="000000"/>
        </w:rPr>
        <w:t xml:space="preserve">Inspections are conducted under sections 5 and 8 of the Education Act 2005. Under exceptional circumstances Ofsted may withhold publication of an inspection report. </w:t>
      </w:r>
    </w:p>
    <w:p w14:paraId="591B8D65" w14:textId="77777777" w:rsidR="008C0704" w:rsidRPr="00C16219" w:rsidRDefault="008C0704" w:rsidP="00C16219">
      <w:pPr>
        <w:jc w:val="left"/>
        <w:rPr>
          <w:color w:val="000000"/>
        </w:rPr>
      </w:pPr>
    </w:p>
    <w:p w14:paraId="110C4737" w14:textId="73506817" w:rsidR="008C0704" w:rsidRPr="00C16219" w:rsidRDefault="008C0704" w:rsidP="00C16219">
      <w:pPr>
        <w:jc w:val="left"/>
        <w:rPr>
          <w:color w:val="000000"/>
        </w:rPr>
      </w:pPr>
      <w:r w:rsidRPr="00C16219">
        <w:rPr>
          <w:color w:val="000000"/>
        </w:rPr>
        <w:t xml:space="preserve">An explanation of the </w:t>
      </w:r>
      <w:r w:rsidR="00526FB4">
        <w:rPr>
          <w:color w:val="000000"/>
        </w:rPr>
        <w:t>main</w:t>
      </w:r>
      <w:r w:rsidRPr="00C16219">
        <w:rPr>
          <w:color w:val="000000"/>
        </w:rPr>
        <w:t xml:space="preserve"> uses of this data and further contextual information and the arrangements for quality assurance is provided</w:t>
      </w:r>
      <w:r w:rsidR="00E07FDA" w:rsidRPr="00C16219">
        <w:rPr>
          <w:color w:val="000000"/>
        </w:rPr>
        <w:t xml:space="preserve"> in the accompanying</w:t>
      </w:r>
      <w:r w:rsidRPr="00C16219">
        <w:rPr>
          <w:color w:val="000000"/>
        </w:rPr>
        <w:t xml:space="preserve"> </w:t>
      </w:r>
      <w:r w:rsidR="00500DD2" w:rsidRPr="00C16219">
        <w:rPr>
          <w:color w:val="000000"/>
        </w:rPr>
        <w:t>methodology and</w:t>
      </w:r>
      <w:r w:rsidR="00E07FDA" w:rsidRPr="00C16219">
        <w:rPr>
          <w:color w:val="000000"/>
        </w:rPr>
        <w:t xml:space="preserve"> quality </w:t>
      </w:r>
      <w:r w:rsidRPr="00C16219">
        <w:rPr>
          <w:color w:val="000000"/>
        </w:rPr>
        <w:t xml:space="preserve">report. </w:t>
      </w:r>
    </w:p>
    <w:p w14:paraId="1F14D58F" w14:textId="77777777" w:rsidR="00F64E2D" w:rsidRPr="00C16219" w:rsidRDefault="00F64E2D" w:rsidP="00C16219">
      <w:pPr>
        <w:jc w:val="left"/>
        <w:rPr>
          <w:color w:val="000000"/>
        </w:rPr>
      </w:pPr>
    </w:p>
    <w:p w14:paraId="7D519AD9" w14:textId="749BAD28" w:rsidR="00486D98" w:rsidRPr="00F76208" w:rsidRDefault="00E07FDA" w:rsidP="00C16219">
      <w:pPr>
        <w:jc w:val="left"/>
        <w:rPr>
          <w:color w:val="FF0000"/>
        </w:rPr>
      </w:pPr>
      <w:r w:rsidRPr="00C16219">
        <w:rPr>
          <w:color w:val="000000"/>
        </w:rPr>
        <w:t xml:space="preserve">The </w:t>
      </w:r>
      <w:r w:rsidR="008C0704" w:rsidRPr="00C16219">
        <w:rPr>
          <w:color w:val="000000"/>
        </w:rPr>
        <w:t>methodology</w:t>
      </w:r>
      <w:r w:rsidRPr="00C16219">
        <w:rPr>
          <w:color w:val="000000"/>
        </w:rPr>
        <w:t xml:space="preserve"> and quality</w:t>
      </w:r>
      <w:r w:rsidR="008C0704" w:rsidRPr="00C16219">
        <w:rPr>
          <w:color w:val="000000"/>
        </w:rPr>
        <w:t xml:space="preserve"> report </w:t>
      </w:r>
      <w:r w:rsidR="00151B8F">
        <w:rPr>
          <w:color w:val="000000"/>
        </w:rPr>
        <w:t xml:space="preserve">for each release </w:t>
      </w:r>
      <w:r w:rsidR="008C0704" w:rsidRPr="00C16219">
        <w:rPr>
          <w:color w:val="000000"/>
        </w:rPr>
        <w:t xml:space="preserve">can be found at the following webpage: </w:t>
      </w:r>
      <w:hyperlink r:id="rId17" w:tooltip="Link to maintained schools and academies statistics" w:history="1">
        <w:r w:rsidR="00221F99">
          <w:rPr>
            <w:rStyle w:val="Hyperlink"/>
          </w:rPr>
          <w:t>www.gov.uk/government/collections/maintained-schools-and-academies-inspections-and-outcomes-official-statistics</w:t>
        </w:r>
      </w:hyperlink>
      <w:r w:rsidR="00B97402">
        <w:rPr>
          <w:color w:val="000000"/>
        </w:rPr>
        <w:t xml:space="preserve"> </w:t>
      </w:r>
      <w:r w:rsidR="008C0704" w:rsidRPr="00C16219">
        <w:rPr>
          <w:color w:val="000000"/>
        </w:rPr>
        <w:t>under the heading ‘inspections and outcomes’. This report provides information about strengths and limitations of the statistics.</w:t>
      </w:r>
      <w:r w:rsidR="00D40215">
        <w:rPr>
          <w:color w:val="000000"/>
        </w:rPr>
        <w:t xml:space="preserve"> </w:t>
      </w:r>
    </w:p>
    <w:p w14:paraId="3EAE771C" w14:textId="77777777" w:rsidR="008C0704" w:rsidRPr="00F76208" w:rsidRDefault="008C0704" w:rsidP="00C16219">
      <w:pPr>
        <w:jc w:val="left"/>
        <w:rPr>
          <w:color w:val="FF0000"/>
        </w:rPr>
      </w:pPr>
    </w:p>
    <w:p w14:paraId="461C45D0" w14:textId="77777777" w:rsidR="00563B0B" w:rsidRDefault="00563B0B">
      <w:pPr>
        <w:jc w:val="left"/>
        <w:rPr>
          <w:b/>
          <w:color w:val="000000"/>
          <w:sz w:val="28"/>
        </w:rPr>
      </w:pPr>
      <w:r>
        <w:rPr>
          <w:color w:val="000000"/>
        </w:rPr>
        <w:br w:type="page"/>
      </w:r>
    </w:p>
    <w:p w14:paraId="45AF11D5" w14:textId="77777777" w:rsidR="00676FBD" w:rsidRPr="00C16219" w:rsidRDefault="00223F0C" w:rsidP="00C16219">
      <w:pPr>
        <w:pStyle w:val="Heading2"/>
        <w:spacing w:after="120"/>
        <w:jc w:val="left"/>
        <w:rPr>
          <w:color w:val="000000"/>
        </w:rPr>
      </w:pPr>
      <w:bookmarkStart w:id="15" w:name="_Toc508870207"/>
      <w:r w:rsidRPr="00C16219">
        <w:rPr>
          <w:color w:val="000000"/>
        </w:rPr>
        <w:lastRenderedPageBreak/>
        <w:t>Glossary</w:t>
      </w:r>
      <w:bookmarkEnd w:id="13"/>
      <w:bookmarkEnd w:id="14"/>
      <w:bookmarkEnd w:id="15"/>
      <w:r w:rsidR="00676FBD" w:rsidRPr="00C16219">
        <w:rPr>
          <w:color w:val="000000"/>
        </w:rPr>
        <w:t xml:space="preserve"> </w:t>
      </w:r>
    </w:p>
    <w:p w14:paraId="684BE6FA" w14:textId="77777777" w:rsidR="00991294" w:rsidRPr="001A4CE1" w:rsidRDefault="00991294" w:rsidP="001A4CE1">
      <w:pPr>
        <w:pStyle w:val="Default"/>
        <w:tabs>
          <w:tab w:val="left" w:pos="2547"/>
        </w:tabs>
        <w:rPr>
          <w:b/>
          <w:szCs w:val="23"/>
        </w:rPr>
      </w:pPr>
      <w:r w:rsidRPr="001A4CE1">
        <w:rPr>
          <w:b/>
          <w:szCs w:val="23"/>
        </w:rPr>
        <w:t xml:space="preserve">Academies </w:t>
      </w:r>
      <w:r w:rsidR="00CE00B3">
        <w:rPr>
          <w:b/>
          <w:szCs w:val="23"/>
        </w:rPr>
        <w:tab/>
      </w:r>
    </w:p>
    <w:p w14:paraId="42E8F36A" w14:textId="77777777" w:rsidR="00991294" w:rsidRPr="00C16219" w:rsidRDefault="00991294" w:rsidP="00C16219">
      <w:pPr>
        <w:pStyle w:val="Default"/>
        <w:rPr>
          <w:szCs w:val="23"/>
        </w:rPr>
      </w:pPr>
      <w:r w:rsidRPr="00C16219">
        <w:rPr>
          <w:szCs w:val="23"/>
        </w:rPr>
        <w:t xml:space="preserve">Academies are publicly funded independent schools. Academies do not have to follow the national curriculum and can set their own term times. They still have to follow the same rules on admissions, special educational needs and exclusions as other state schools. </w:t>
      </w:r>
    </w:p>
    <w:p w14:paraId="7DCF073D" w14:textId="77777777" w:rsidR="00991294" w:rsidRPr="00C16219" w:rsidRDefault="00991294" w:rsidP="00C16219">
      <w:pPr>
        <w:pStyle w:val="Default"/>
        <w:rPr>
          <w:szCs w:val="23"/>
        </w:rPr>
      </w:pPr>
    </w:p>
    <w:p w14:paraId="0A55B848" w14:textId="32B39C00" w:rsidR="00991294" w:rsidRPr="00C16219" w:rsidRDefault="00991294" w:rsidP="00C16219">
      <w:pPr>
        <w:pStyle w:val="Default"/>
        <w:rPr>
          <w:szCs w:val="23"/>
        </w:rPr>
      </w:pPr>
      <w:r w:rsidRPr="00C16219">
        <w:rPr>
          <w:szCs w:val="23"/>
        </w:rPr>
        <w:t>Academies get money direct</w:t>
      </w:r>
      <w:r w:rsidR="00A86D16">
        <w:rPr>
          <w:szCs w:val="23"/>
        </w:rPr>
        <w:t>ly</w:t>
      </w:r>
      <w:r w:rsidRPr="00C16219">
        <w:rPr>
          <w:szCs w:val="23"/>
        </w:rPr>
        <w:t xml:space="preserve"> from the government, not the local authority. They are run by an academy trust, which employs the staff. Some academies have sponsors such as businesses, universities, other schools, faith groups or voluntary groups. Sponsors are responsible for improving the performance of their schools. </w:t>
      </w:r>
    </w:p>
    <w:p w14:paraId="158B6538" w14:textId="77777777" w:rsidR="00991294" w:rsidRPr="00C16219" w:rsidRDefault="00991294" w:rsidP="00C16219">
      <w:pPr>
        <w:pStyle w:val="Default"/>
        <w:rPr>
          <w:szCs w:val="23"/>
        </w:rPr>
      </w:pPr>
    </w:p>
    <w:p w14:paraId="1FB6DEA0" w14:textId="77777777" w:rsidR="00991294" w:rsidRPr="00C16219" w:rsidRDefault="00991294" w:rsidP="00C16219">
      <w:pPr>
        <w:pStyle w:val="Default"/>
        <w:rPr>
          <w:szCs w:val="23"/>
        </w:rPr>
      </w:pPr>
      <w:r w:rsidRPr="00C16219">
        <w:rPr>
          <w:szCs w:val="23"/>
        </w:rPr>
        <w:t xml:space="preserve">Academies include converter and sponsor-led academies, free schools, university technical colleges and studio schools. </w:t>
      </w:r>
    </w:p>
    <w:p w14:paraId="45876C54" w14:textId="77777777" w:rsidR="00991294" w:rsidRPr="00C16219" w:rsidRDefault="00991294" w:rsidP="00C16219">
      <w:pPr>
        <w:pStyle w:val="Default"/>
        <w:rPr>
          <w:szCs w:val="23"/>
        </w:rPr>
      </w:pPr>
    </w:p>
    <w:p w14:paraId="7753A1F0" w14:textId="77777777" w:rsidR="00991294" w:rsidRPr="007463A0" w:rsidRDefault="00991294" w:rsidP="00C16219">
      <w:pPr>
        <w:pStyle w:val="Default"/>
        <w:rPr>
          <w:b/>
          <w:szCs w:val="23"/>
        </w:rPr>
      </w:pPr>
      <w:r w:rsidRPr="007463A0">
        <w:rPr>
          <w:b/>
          <w:szCs w:val="23"/>
        </w:rPr>
        <w:t xml:space="preserve">Academy converters </w:t>
      </w:r>
    </w:p>
    <w:p w14:paraId="5E7862B5" w14:textId="77777777" w:rsidR="00991294" w:rsidRPr="00C16219" w:rsidRDefault="00991294" w:rsidP="00C16219">
      <w:pPr>
        <w:pStyle w:val="Default"/>
        <w:rPr>
          <w:szCs w:val="23"/>
        </w:rPr>
      </w:pPr>
      <w:r w:rsidRPr="00C16219">
        <w:rPr>
          <w:szCs w:val="23"/>
        </w:rPr>
        <w:t xml:space="preserve">Academy converters are schools which have opted to become an academy, most of which were good or outstanding local authority maintained schools before they became an academy. </w:t>
      </w:r>
    </w:p>
    <w:p w14:paraId="4B6F9098" w14:textId="77777777" w:rsidR="00991294" w:rsidRPr="00C16219" w:rsidRDefault="00991294" w:rsidP="00C16219">
      <w:pPr>
        <w:pStyle w:val="Default"/>
        <w:rPr>
          <w:szCs w:val="23"/>
        </w:rPr>
      </w:pPr>
    </w:p>
    <w:p w14:paraId="120B0511" w14:textId="77777777" w:rsidR="00991294" w:rsidRDefault="00991294" w:rsidP="00C16219">
      <w:pPr>
        <w:pStyle w:val="Default"/>
        <w:rPr>
          <w:szCs w:val="23"/>
        </w:rPr>
      </w:pPr>
      <w:r w:rsidRPr="00C16219">
        <w:rPr>
          <w:szCs w:val="23"/>
        </w:rPr>
        <w:t xml:space="preserve">Academy converters retain their latest inspection grade, even if the most recent inspection was of the predecessor school. </w:t>
      </w:r>
    </w:p>
    <w:p w14:paraId="5C3E7E0A" w14:textId="77777777" w:rsidR="00A86D16" w:rsidRPr="00C16219" w:rsidRDefault="00A86D16" w:rsidP="00C16219">
      <w:pPr>
        <w:pStyle w:val="Default"/>
        <w:rPr>
          <w:szCs w:val="23"/>
        </w:rPr>
      </w:pPr>
    </w:p>
    <w:p w14:paraId="4BCE1B97" w14:textId="77777777" w:rsidR="00991294" w:rsidRPr="007463A0" w:rsidRDefault="00991294" w:rsidP="00C16219">
      <w:pPr>
        <w:pStyle w:val="Default"/>
        <w:rPr>
          <w:b/>
          <w:szCs w:val="23"/>
        </w:rPr>
      </w:pPr>
      <w:r w:rsidRPr="007463A0">
        <w:rPr>
          <w:b/>
          <w:szCs w:val="23"/>
        </w:rPr>
        <w:t xml:space="preserve">Sponsor-led academies </w:t>
      </w:r>
    </w:p>
    <w:p w14:paraId="3D055575" w14:textId="77777777" w:rsidR="00991294" w:rsidRPr="00C16219" w:rsidRDefault="00991294" w:rsidP="00C16219">
      <w:pPr>
        <w:pStyle w:val="Default"/>
        <w:rPr>
          <w:szCs w:val="23"/>
        </w:rPr>
      </w:pPr>
      <w:r w:rsidRPr="00C16219">
        <w:rPr>
          <w:szCs w:val="23"/>
        </w:rPr>
        <w:t xml:space="preserve">Sponsor-led academies are academies which have sponsors such as businesses, universities, other schools, faith groups or voluntary groups. Sponsors are responsible for improving the performance of their schools. </w:t>
      </w:r>
    </w:p>
    <w:p w14:paraId="10AC4F09" w14:textId="77777777" w:rsidR="00991294" w:rsidRPr="00C16219" w:rsidRDefault="00991294" w:rsidP="00C16219">
      <w:pPr>
        <w:pStyle w:val="Default"/>
        <w:rPr>
          <w:szCs w:val="23"/>
        </w:rPr>
      </w:pPr>
    </w:p>
    <w:p w14:paraId="3D60C477" w14:textId="77777777" w:rsidR="00991294" w:rsidRPr="00C16219" w:rsidRDefault="00991294" w:rsidP="00C16219">
      <w:pPr>
        <w:pStyle w:val="Default"/>
        <w:rPr>
          <w:szCs w:val="23"/>
        </w:rPr>
      </w:pPr>
      <w:r w:rsidRPr="00C16219">
        <w:rPr>
          <w:szCs w:val="23"/>
        </w:rPr>
        <w:t xml:space="preserve">Sponsor-led academies are viewed as new legal entities and do not retain their inspection history. </w:t>
      </w:r>
    </w:p>
    <w:p w14:paraId="445DEBE9" w14:textId="77777777" w:rsidR="001A035E" w:rsidRPr="00C16219" w:rsidRDefault="001A035E" w:rsidP="00C16219">
      <w:pPr>
        <w:pStyle w:val="Default"/>
        <w:rPr>
          <w:szCs w:val="23"/>
        </w:rPr>
      </w:pPr>
    </w:p>
    <w:p w14:paraId="62302BF3" w14:textId="77777777" w:rsidR="00991294" w:rsidRPr="007463A0" w:rsidRDefault="00991294" w:rsidP="00C16219">
      <w:pPr>
        <w:pStyle w:val="Default"/>
        <w:rPr>
          <w:b/>
          <w:szCs w:val="23"/>
        </w:rPr>
      </w:pPr>
      <w:r w:rsidRPr="007463A0">
        <w:rPr>
          <w:b/>
          <w:szCs w:val="23"/>
        </w:rPr>
        <w:t xml:space="preserve">Free schools </w:t>
      </w:r>
    </w:p>
    <w:p w14:paraId="6D12EF1A" w14:textId="7D2F3849" w:rsidR="00991294" w:rsidRPr="00C16219" w:rsidRDefault="00991294" w:rsidP="00C16219">
      <w:pPr>
        <w:pStyle w:val="Default"/>
        <w:rPr>
          <w:szCs w:val="23"/>
        </w:rPr>
      </w:pPr>
      <w:r w:rsidRPr="00C16219">
        <w:rPr>
          <w:szCs w:val="23"/>
        </w:rPr>
        <w:t xml:space="preserve">Free schools are funded by the government </w:t>
      </w:r>
      <w:r w:rsidR="00B01C24">
        <w:rPr>
          <w:szCs w:val="23"/>
        </w:rPr>
        <w:t xml:space="preserve">which are </w:t>
      </w:r>
      <w:r w:rsidRPr="00C16219">
        <w:rPr>
          <w:szCs w:val="23"/>
        </w:rPr>
        <w:t xml:space="preserve">not run by the local authority. They are set-up on a not-for-profit basis by charities, universities, and community and faith groups, among others. </w:t>
      </w:r>
    </w:p>
    <w:p w14:paraId="0A6BB2E2" w14:textId="77777777" w:rsidR="00991294" w:rsidRPr="00C16219" w:rsidRDefault="00991294" w:rsidP="00C16219">
      <w:pPr>
        <w:pStyle w:val="Default"/>
        <w:rPr>
          <w:szCs w:val="23"/>
        </w:rPr>
      </w:pPr>
    </w:p>
    <w:p w14:paraId="60BA3415" w14:textId="77777777" w:rsidR="00991294" w:rsidRPr="00C16219" w:rsidRDefault="00991294" w:rsidP="00C16219">
      <w:pPr>
        <w:pStyle w:val="Default"/>
        <w:rPr>
          <w:szCs w:val="23"/>
        </w:rPr>
      </w:pPr>
      <w:r w:rsidRPr="00C16219">
        <w:rPr>
          <w:szCs w:val="23"/>
        </w:rPr>
        <w:t xml:space="preserve">Free schools are ‘all-ability’ schools, so cannot use academic selection processes like a grammar school. They can set their own pay and conditions for staff and change the length of school terms and the school day. Free schools do not have to follow the national curriculum. </w:t>
      </w:r>
    </w:p>
    <w:p w14:paraId="626CFB5E" w14:textId="51113177" w:rsidR="003A5F34" w:rsidRDefault="003A5F34">
      <w:pPr>
        <w:jc w:val="left"/>
        <w:rPr>
          <w:rFonts w:cs="Tahoma"/>
          <w:color w:val="000000"/>
          <w:szCs w:val="23"/>
        </w:rPr>
      </w:pPr>
      <w:r>
        <w:rPr>
          <w:szCs w:val="23"/>
        </w:rPr>
        <w:br w:type="page"/>
      </w:r>
    </w:p>
    <w:p w14:paraId="1BA37D1F" w14:textId="77777777" w:rsidR="00991294" w:rsidRPr="00C16219" w:rsidRDefault="00991294" w:rsidP="00C16219">
      <w:pPr>
        <w:pStyle w:val="Default"/>
        <w:rPr>
          <w:szCs w:val="23"/>
        </w:rPr>
      </w:pPr>
    </w:p>
    <w:p w14:paraId="09F43B04" w14:textId="77777777" w:rsidR="00991294" w:rsidRPr="007463A0" w:rsidRDefault="00991294" w:rsidP="00C16219">
      <w:pPr>
        <w:pStyle w:val="Default"/>
        <w:rPr>
          <w:b/>
          <w:szCs w:val="23"/>
        </w:rPr>
      </w:pPr>
      <w:r w:rsidRPr="007463A0">
        <w:rPr>
          <w:b/>
          <w:szCs w:val="23"/>
        </w:rPr>
        <w:t xml:space="preserve">Local authority maintained schools </w:t>
      </w:r>
    </w:p>
    <w:p w14:paraId="7988B136" w14:textId="77777777" w:rsidR="00991294" w:rsidRPr="00C16219" w:rsidRDefault="00991294" w:rsidP="00C16219">
      <w:pPr>
        <w:pStyle w:val="Default"/>
        <w:rPr>
          <w:szCs w:val="23"/>
        </w:rPr>
      </w:pPr>
      <w:r w:rsidRPr="00C16219">
        <w:rPr>
          <w:szCs w:val="23"/>
        </w:rPr>
        <w:t xml:space="preserve">Maintained schools are funded by the government and run by the local authority. They must follow the national curriculum. </w:t>
      </w:r>
    </w:p>
    <w:p w14:paraId="0C035DA1" w14:textId="77777777" w:rsidR="0014405C" w:rsidRPr="00C16219" w:rsidRDefault="0014405C" w:rsidP="00C16219">
      <w:pPr>
        <w:pStyle w:val="Default"/>
        <w:rPr>
          <w:szCs w:val="23"/>
        </w:rPr>
      </w:pPr>
    </w:p>
    <w:p w14:paraId="782BAA73" w14:textId="77777777" w:rsidR="00991294" w:rsidRPr="00B97402" w:rsidRDefault="00991294" w:rsidP="00C16219">
      <w:pPr>
        <w:pStyle w:val="Default"/>
        <w:rPr>
          <w:b/>
          <w:szCs w:val="23"/>
        </w:rPr>
      </w:pPr>
      <w:r w:rsidRPr="00B97402">
        <w:rPr>
          <w:b/>
          <w:szCs w:val="23"/>
        </w:rPr>
        <w:t xml:space="preserve">Short inspections </w:t>
      </w:r>
    </w:p>
    <w:p w14:paraId="16E0839D" w14:textId="70A93218" w:rsidR="00F86B45" w:rsidRDefault="00990177" w:rsidP="004728AA">
      <w:pPr>
        <w:autoSpaceDE w:val="0"/>
        <w:autoSpaceDN w:val="0"/>
        <w:adjustRightInd w:val="0"/>
        <w:jc w:val="left"/>
        <w:rPr>
          <w:rFonts w:cs="Tahoma"/>
          <w:color w:val="000000"/>
        </w:rPr>
      </w:pPr>
      <w:r>
        <w:rPr>
          <w:color w:val="000000"/>
          <w:szCs w:val="23"/>
        </w:rPr>
        <w:t>Most</w:t>
      </w:r>
      <w:r w:rsidRPr="00C16219">
        <w:rPr>
          <w:color w:val="000000"/>
          <w:szCs w:val="23"/>
        </w:rPr>
        <w:t xml:space="preserve"> </w:t>
      </w:r>
      <w:r w:rsidR="00991294" w:rsidRPr="00C16219">
        <w:rPr>
          <w:color w:val="000000"/>
          <w:szCs w:val="23"/>
        </w:rPr>
        <w:t xml:space="preserve">good schools now receive short inspections, as do outstanding nursery, pupil referral units and special schools. Short inspections </w:t>
      </w:r>
      <w:r w:rsidR="004E5277">
        <w:rPr>
          <w:color w:val="000000"/>
          <w:szCs w:val="23"/>
        </w:rPr>
        <w:t>are</w:t>
      </w:r>
      <w:r w:rsidR="00991294" w:rsidRPr="00C16219">
        <w:rPr>
          <w:color w:val="000000"/>
          <w:szCs w:val="23"/>
        </w:rPr>
        <w:t xml:space="preserve"> </w:t>
      </w:r>
      <w:r w:rsidR="00D8132B">
        <w:rPr>
          <w:color w:val="000000"/>
          <w:szCs w:val="23"/>
        </w:rPr>
        <w:t xml:space="preserve">a </w:t>
      </w:r>
      <w:r w:rsidR="00991294" w:rsidRPr="00C16219">
        <w:rPr>
          <w:color w:val="000000"/>
          <w:szCs w:val="23"/>
        </w:rPr>
        <w:t>one</w:t>
      </w:r>
      <w:r w:rsidR="00A86D16">
        <w:rPr>
          <w:color w:val="000000"/>
          <w:szCs w:val="23"/>
        </w:rPr>
        <w:t>-</w:t>
      </w:r>
      <w:r w:rsidR="00991294" w:rsidRPr="00C16219">
        <w:rPr>
          <w:color w:val="000000"/>
          <w:szCs w:val="23"/>
        </w:rPr>
        <w:t xml:space="preserve">day </w:t>
      </w:r>
      <w:r w:rsidR="00D8132B">
        <w:rPr>
          <w:color w:val="000000"/>
          <w:szCs w:val="23"/>
        </w:rPr>
        <w:t xml:space="preserve">inspection </w:t>
      </w:r>
      <w:r w:rsidR="00322FE0">
        <w:rPr>
          <w:color w:val="000000"/>
          <w:szCs w:val="23"/>
        </w:rPr>
        <w:t xml:space="preserve">visit </w:t>
      </w:r>
      <w:r w:rsidR="00322FE0" w:rsidRPr="00C16219">
        <w:rPr>
          <w:color w:val="000000"/>
          <w:szCs w:val="23"/>
        </w:rPr>
        <w:t>and</w:t>
      </w:r>
      <w:r w:rsidR="00991294" w:rsidRPr="00C16219">
        <w:rPr>
          <w:color w:val="000000"/>
          <w:szCs w:val="23"/>
        </w:rPr>
        <w:t xml:space="preserve"> take place approximately every three years. A short inspection determines whether the school continues to provide the same good or outstanding standard of education for pupils. A short inspection does not result in individual graded judgements nor does it change the overall effectiveness grade of the school. </w:t>
      </w:r>
      <w:r w:rsidR="007939B0" w:rsidRPr="007939B0">
        <w:rPr>
          <w:color w:val="000000"/>
          <w:szCs w:val="23"/>
        </w:rPr>
        <w:t>If the school shows significant decline, a</w:t>
      </w:r>
      <w:r w:rsidR="007939B0">
        <w:rPr>
          <w:color w:val="000000"/>
          <w:szCs w:val="23"/>
        </w:rPr>
        <w:t xml:space="preserve"> short</w:t>
      </w:r>
      <w:r w:rsidR="007939B0" w:rsidRPr="007939B0">
        <w:rPr>
          <w:color w:val="000000"/>
          <w:szCs w:val="23"/>
        </w:rPr>
        <w:t xml:space="preserve"> inspection is converted to a full inspection, where inspectors</w:t>
      </w:r>
      <w:r w:rsidR="00991294" w:rsidRPr="00C16219">
        <w:rPr>
          <w:color w:val="000000"/>
          <w:szCs w:val="23"/>
        </w:rPr>
        <w:t xml:space="preserve"> will make the full set of graded judgements required under section 5.</w:t>
      </w:r>
      <w:r>
        <w:rPr>
          <w:color w:val="000000"/>
          <w:szCs w:val="23"/>
        </w:rPr>
        <w:t xml:space="preserve"> </w:t>
      </w:r>
      <w:r>
        <w:t>From November 2017</w:t>
      </w:r>
      <w:r w:rsidRPr="008D2FAE">
        <w:t xml:space="preserve">, </w:t>
      </w:r>
      <w:r w:rsidR="004728AA">
        <w:t>around 20% of previously</w:t>
      </w:r>
      <w:r w:rsidRPr="008D2FAE">
        <w:t xml:space="preserve"> good schools </w:t>
      </w:r>
      <w:r w:rsidR="004728AA">
        <w:t>are now</w:t>
      </w:r>
      <w:r w:rsidRPr="008D2FAE">
        <w:t xml:space="preserve"> subject to a full section 5 inspection instead of a short inspection</w:t>
      </w:r>
      <w:r>
        <w:t xml:space="preserve">, </w:t>
      </w:r>
      <w:r w:rsidR="004728AA" w:rsidRPr="004728AA">
        <w:rPr>
          <w:rFonts w:cs="Tahoma"/>
          <w:color w:val="000000"/>
        </w:rPr>
        <w:t>where our risk assessment tells us that a short inspection would be highly likely to convert.</w:t>
      </w:r>
      <w:r w:rsidR="004728AA">
        <w:t xml:space="preserve"> F</w:t>
      </w:r>
      <w:r>
        <w:t>or example where a school underwent significant change, such as changing its age range, or</w:t>
      </w:r>
      <w:r w:rsidRPr="008D2FAE">
        <w:t xml:space="preserve"> where </w:t>
      </w:r>
      <w:r w:rsidRPr="00AD140F">
        <w:t>the quality of provision may have deteriorated significantly</w:t>
      </w:r>
      <w:r w:rsidRPr="008D2FAE">
        <w:t>.</w:t>
      </w:r>
    </w:p>
    <w:p w14:paraId="4B900403" w14:textId="77777777" w:rsidR="00F86B45" w:rsidRDefault="00F86B45" w:rsidP="004728AA">
      <w:pPr>
        <w:autoSpaceDE w:val="0"/>
        <w:autoSpaceDN w:val="0"/>
        <w:adjustRightInd w:val="0"/>
        <w:jc w:val="left"/>
        <w:rPr>
          <w:rFonts w:cs="Tahoma"/>
          <w:color w:val="000000"/>
        </w:rPr>
      </w:pPr>
    </w:p>
    <w:p w14:paraId="4C246F71" w14:textId="4D60D537" w:rsidR="00F86B45" w:rsidRDefault="00F86B45" w:rsidP="00C55F7C">
      <w:pPr>
        <w:autoSpaceDE w:val="0"/>
        <w:autoSpaceDN w:val="0"/>
        <w:adjustRightInd w:val="0"/>
        <w:jc w:val="left"/>
        <w:rPr>
          <w:rFonts w:cs="Tahoma"/>
          <w:color w:val="000000"/>
        </w:rPr>
      </w:pPr>
    </w:p>
    <w:p w14:paraId="3E6AE2C5" w14:textId="77777777" w:rsidR="004728AA" w:rsidRDefault="004728AA" w:rsidP="00C16219">
      <w:pPr>
        <w:jc w:val="left"/>
        <w:rPr>
          <w:rFonts w:cs="Tahoma"/>
          <w:color w:val="000000"/>
        </w:rPr>
      </w:pPr>
    </w:p>
    <w:p w14:paraId="258A791C" w14:textId="77777777" w:rsidR="004728AA" w:rsidRDefault="004728AA" w:rsidP="00C16219">
      <w:pPr>
        <w:jc w:val="left"/>
        <w:rPr>
          <w:rFonts w:cs="Tahoma"/>
          <w:color w:val="000000"/>
        </w:rPr>
      </w:pPr>
    </w:p>
    <w:p w14:paraId="4C54DCF8" w14:textId="77777777" w:rsidR="004728AA" w:rsidRDefault="004728AA" w:rsidP="00C16219">
      <w:pPr>
        <w:jc w:val="left"/>
        <w:rPr>
          <w:rFonts w:cs="Tahoma"/>
          <w:color w:val="000000"/>
        </w:rPr>
      </w:pPr>
    </w:p>
    <w:p w14:paraId="6EADFFF7" w14:textId="77777777" w:rsidR="004728AA" w:rsidRDefault="004728AA" w:rsidP="00C16219">
      <w:pPr>
        <w:jc w:val="left"/>
        <w:rPr>
          <w:rFonts w:cs="Tahoma"/>
          <w:color w:val="000000"/>
        </w:rPr>
      </w:pPr>
    </w:p>
    <w:p w14:paraId="244199D3" w14:textId="77777777" w:rsidR="004728AA" w:rsidRDefault="004728AA" w:rsidP="00C16219">
      <w:pPr>
        <w:jc w:val="left"/>
        <w:rPr>
          <w:rFonts w:cs="Tahoma"/>
          <w:color w:val="000000"/>
        </w:rPr>
      </w:pPr>
    </w:p>
    <w:p w14:paraId="03B6E722" w14:textId="77777777" w:rsidR="004728AA" w:rsidRDefault="004728AA" w:rsidP="00C16219">
      <w:pPr>
        <w:jc w:val="left"/>
        <w:rPr>
          <w:rFonts w:cs="Tahoma"/>
          <w:color w:val="000000"/>
        </w:rPr>
      </w:pPr>
    </w:p>
    <w:p w14:paraId="1ACDAEAA" w14:textId="77777777" w:rsidR="004728AA" w:rsidRDefault="004728AA" w:rsidP="00C16219">
      <w:pPr>
        <w:jc w:val="left"/>
        <w:rPr>
          <w:rFonts w:cs="Tahoma"/>
          <w:color w:val="000000"/>
        </w:rPr>
      </w:pPr>
    </w:p>
    <w:p w14:paraId="1BB9CA70" w14:textId="77777777" w:rsidR="00154A3A" w:rsidRDefault="00154A3A" w:rsidP="00C16219">
      <w:pPr>
        <w:jc w:val="left"/>
        <w:rPr>
          <w:rFonts w:cs="Tahoma"/>
          <w:color w:val="000000"/>
        </w:rPr>
      </w:pPr>
    </w:p>
    <w:p w14:paraId="5984873E" w14:textId="77777777" w:rsidR="004728AA" w:rsidRDefault="004728AA" w:rsidP="00C16219">
      <w:pPr>
        <w:jc w:val="left"/>
        <w:rPr>
          <w:rFonts w:cs="Tahoma"/>
          <w:color w:val="000000"/>
        </w:rPr>
      </w:pPr>
    </w:p>
    <w:p w14:paraId="77FA071C" w14:textId="77777777" w:rsidR="00DF072A" w:rsidRDefault="00DF072A" w:rsidP="00C16219">
      <w:pPr>
        <w:jc w:val="left"/>
        <w:rPr>
          <w:rFonts w:cs="Tahoma"/>
          <w:color w:val="000000"/>
        </w:rPr>
      </w:pPr>
    </w:p>
    <w:p w14:paraId="2332C0AD" w14:textId="77777777" w:rsidR="00DF072A" w:rsidRDefault="00DF072A" w:rsidP="00C16219">
      <w:pPr>
        <w:jc w:val="left"/>
        <w:rPr>
          <w:rFonts w:cs="Tahoma"/>
          <w:color w:val="000000"/>
        </w:rPr>
      </w:pPr>
    </w:p>
    <w:p w14:paraId="4C4547A4" w14:textId="77777777" w:rsidR="004728AA" w:rsidRPr="00C16219" w:rsidRDefault="004728AA" w:rsidP="00C16219">
      <w:pPr>
        <w:jc w:val="left"/>
        <w:rPr>
          <w:rFonts w:cs="Tahoma"/>
          <w:color w:val="000000"/>
        </w:rPr>
      </w:pPr>
    </w:p>
    <w:p w14:paraId="101B178E" w14:textId="77777777" w:rsidR="00991294" w:rsidRPr="009C51AE" w:rsidRDefault="00991294" w:rsidP="00C16219">
      <w:pPr>
        <w:jc w:val="left"/>
        <w:rPr>
          <w:rFonts w:cs="Tahoma"/>
          <w:color w:val="000000"/>
        </w:rPr>
      </w:pPr>
      <w:r w:rsidRPr="00711477">
        <w:rPr>
          <w:color w:val="000000"/>
        </w:rPr>
        <w:t xml:space="preserve">If you have any comments or feedback on this publication, please contact Louise Butler on 03000 131 457 or </w:t>
      </w:r>
      <w:hyperlink r:id="rId18" w:history="1">
        <w:r w:rsidRPr="00711477">
          <w:rPr>
            <w:rStyle w:val="Hyperlink"/>
          </w:rPr>
          <w:t>Louise.Butler@ofsted.gov.uk</w:t>
        </w:r>
      </w:hyperlink>
    </w:p>
    <w:p w14:paraId="7A63553C" w14:textId="77777777" w:rsidR="002D1D10" w:rsidRDefault="002D1D10" w:rsidP="00C16219">
      <w:pPr>
        <w:jc w:val="left"/>
        <w:rPr>
          <w:rFonts w:cs="Tahoma"/>
          <w:color w:val="000000"/>
        </w:rPr>
      </w:pPr>
    </w:p>
    <w:p w14:paraId="6045D78D" w14:textId="7A456D0B" w:rsidR="00D449F5" w:rsidRPr="00C16219" w:rsidRDefault="00D449F5" w:rsidP="00C16219">
      <w:pPr>
        <w:jc w:val="left"/>
        <w:rPr>
          <w:rFonts w:cs="Tahoma"/>
          <w:color w:val="000000"/>
        </w:rPr>
      </w:pPr>
      <w:r w:rsidRPr="00C16219">
        <w:rPr>
          <w:rFonts w:cs="Tahoma"/>
          <w:color w:val="000000"/>
        </w:rPr>
        <w:t>© Crown copyright</w:t>
      </w:r>
      <w:r w:rsidR="00403716">
        <w:rPr>
          <w:rFonts w:cs="Tahoma"/>
          <w:color w:val="000000"/>
        </w:rPr>
        <w:t xml:space="preserve"> 2018</w:t>
      </w:r>
    </w:p>
    <w:p w14:paraId="726B2A97" w14:textId="27ADA676" w:rsidR="00B84B68" w:rsidRPr="00F76208" w:rsidRDefault="00B84B68" w:rsidP="00C16219">
      <w:pPr>
        <w:jc w:val="left"/>
        <w:rPr>
          <w:rFonts w:cs="Tahoma"/>
          <w:color w:val="FF0000"/>
        </w:rPr>
      </w:pPr>
      <w:r w:rsidRPr="00C16219">
        <w:rPr>
          <w:rFonts w:cs="Tahoma"/>
          <w:color w:val="000000"/>
          <w:sz w:val="20"/>
          <w:szCs w:val="20"/>
        </w:rPr>
        <w:t xml:space="preserve">You may re-use this information (not including logos) free of charge in any format or medium, under the terms of the Open Government Licence. To view this licence, visit </w:t>
      </w:r>
      <w:hyperlink r:id="rId19" w:tooltip="Link to the open government Licence" w:history="1">
        <w:r w:rsidRPr="00711477">
          <w:rPr>
            <w:rStyle w:val="Hyperlink"/>
            <w:rFonts w:cs="Tahoma"/>
            <w:sz w:val="20"/>
            <w:szCs w:val="20"/>
          </w:rPr>
          <w:t>http://www.nationalarchives.gov.uk/doc/open-government-licence/</w:t>
        </w:r>
      </w:hyperlink>
      <w:r w:rsidRPr="00C16219">
        <w:rPr>
          <w:rFonts w:cs="Tahoma"/>
          <w:color w:val="000000"/>
          <w:sz w:val="20"/>
          <w:szCs w:val="20"/>
        </w:rPr>
        <w:t xml:space="preserve"> or write to the Information Policy Team, The National Archives, Kew, London, TW9 4DU or e-mail: </w:t>
      </w:r>
      <w:hyperlink r:id="rId20" w:tooltip="Email the National archives" w:history="1">
        <w:r w:rsidRPr="00711477">
          <w:rPr>
            <w:rStyle w:val="Hyperlink"/>
            <w:rFonts w:cs="Tahoma"/>
            <w:sz w:val="20"/>
            <w:szCs w:val="20"/>
          </w:rPr>
          <w:t>psi@nationalarchives.gsi.gov.uk</w:t>
        </w:r>
      </w:hyperlink>
    </w:p>
    <w:sectPr w:rsidR="00B84B68" w:rsidRPr="00F76208" w:rsidSect="00174C4A">
      <w:headerReference w:type="even" r:id="rId21"/>
      <w:headerReference w:type="default" r:id="rId22"/>
      <w:footerReference w:type="even" r:id="rId23"/>
      <w:footerReference w:type="default" r:id="rId24"/>
      <w:headerReference w:type="first" r:id="rId25"/>
      <w:footerReference w:type="first" r:id="rId26"/>
      <w:pgSz w:w="11906" w:h="16838" w:code="9"/>
      <w:pgMar w:top="357"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56ECE" w14:textId="77777777" w:rsidR="002A6A31" w:rsidRDefault="002A6A31">
      <w:r>
        <w:separator/>
      </w:r>
    </w:p>
  </w:endnote>
  <w:endnote w:type="continuationSeparator" w:id="0">
    <w:p w14:paraId="0FCCFBE1" w14:textId="77777777" w:rsidR="002A6A31" w:rsidRDefault="002A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D3E1" w14:textId="77777777" w:rsidR="00306376" w:rsidRDefault="00306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color w:val="auto"/>
        <w:sz w:val="24"/>
        <w:szCs w:val="24"/>
        <w:lang w:eastAsia="en-GB"/>
      </w:rPr>
      <w:id w:val="-1111054288"/>
      <w:docPartObj>
        <w:docPartGallery w:val="Page Numbers (Bottom of Page)"/>
        <w:docPartUnique/>
      </w:docPartObj>
    </w:sdtPr>
    <w:sdtEndPr>
      <w:rPr>
        <w:b/>
        <w:color w:val="7F7F7F" w:themeColor="background1" w:themeShade="7F"/>
        <w:spacing w:val="60"/>
        <w:sz w:val="16"/>
        <w:szCs w:val="20"/>
        <w:lang w:eastAsia="en-US"/>
      </w:rPr>
    </w:sdtEndPr>
    <w:sdtContent>
      <w:p w14:paraId="2A1FC84E" w14:textId="3395A152" w:rsidR="002A6A31" w:rsidRDefault="002A6A31" w:rsidP="001C7397">
        <w:pPr>
          <w:pStyle w:val="Footer-RHSOdd"/>
          <w:tabs>
            <w:tab w:val="right" w:pos="8460"/>
          </w:tabs>
          <w:rPr>
            <w:b w:val="0"/>
            <w:sz w:val="20"/>
          </w:rPr>
        </w:pPr>
        <w:r w:rsidRPr="001460CF">
          <w:rPr>
            <w:b w:val="0"/>
            <w:sz w:val="20"/>
          </w:rPr>
          <w:t xml:space="preserve">Responsible </w:t>
        </w:r>
        <w:r>
          <w:rPr>
            <w:b w:val="0"/>
            <w:sz w:val="20"/>
          </w:rPr>
          <w:t>s</w:t>
        </w:r>
        <w:r w:rsidRPr="001460CF">
          <w:rPr>
            <w:b w:val="0"/>
            <w:sz w:val="20"/>
          </w:rPr>
          <w:t xml:space="preserve">tatistician: </w:t>
        </w:r>
        <w:r>
          <w:rPr>
            <w:b w:val="0"/>
            <w:sz w:val="20"/>
          </w:rPr>
          <w:t>Louise Butler</w:t>
        </w:r>
        <w:r w:rsidRPr="001460CF">
          <w:rPr>
            <w:b w:val="0"/>
            <w:sz w:val="20"/>
          </w:rPr>
          <w:t xml:space="preserve">, </w:t>
        </w:r>
        <w:hyperlink r:id="rId1" w:tooltip="Email the responsible statistician, Louise Butler" w:history="1">
          <w:r w:rsidR="00B96F5D" w:rsidRPr="00B96F5D">
            <w:rPr>
              <w:rStyle w:val="Hyperlink"/>
              <w:b w:val="0"/>
              <w:sz w:val="20"/>
            </w:rPr>
            <w:t>Louise.Butler@ofsted.gov.uk</w:t>
          </w:r>
        </w:hyperlink>
      </w:p>
      <w:p w14:paraId="2FC90FCF" w14:textId="1C5C2C9B" w:rsidR="002A6A31" w:rsidRDefault="002A6A31" w:rsidP="001C7397">
        <w:pPr>
          <w:pStyle w:val="Footer-RHSOdd"/>
          <w:tabs>
            <w:tab w:val="right" w:pos="8460"/>
          </w:tabs>
        </w:pPr>
        <w:r w:rsidRPr="001460CF">
          <w:rPr>
            <w:sz w:val="20"/>
          </w:rPr>
          <w:t xml:space="preserve">Published on: </w:t>
        </w:r>
        <w:r>
          <w:rPr>
            <w:sz w:val="20"/>
          </w:rPr>
          <w:t xml:space="preserve">22 March 2018. Next publication: June 2018.                               </w:t>
        </w:r>
        <w:r w:rsidRPr="00DE5542">
          <w:rPr>
            <w:sz w:val="20"/>
          </w:rPr>
          <w:fldChar w:fldCharType="begin"/>
        </w:r>
        <w:r w:rsidRPr="00DE5542">
          <w:rPr>
            <w:sz w:val="20"/>
          </w:rPr>
          <w:instrText xml:space="preserve"> PAGE   \* MERGEFORMAT </w:instrText>
        </w:r>
        <w:r w:rsidRPr="00DE5542">
          <w:rPr>
            <w:sz w:val="20"/>
          </w:rPr>
          <w:fldChar w:fldCharType="separate"/>
        </w:r>
        <w:r w:rsidR="00D77361">
          <w:rPr>
            <w:noProof/>
            <w:sz w:val="20"/>
          </w:rPr>
          <w:t>11</w:t>
        </w:r>
        <w:r w:rsidRPr="00DE5542">
          <w:rPr>
            <w:noProof/>
            <w:sz w:val="20"/>
          </w:rPr>
          <w:fldChar w:fldCharType="end"/>
        </w:r>
        <w:r w:rsidRPr="00DE5542">
          <w:rPr>
            <w:sz w:val="20"/>
          </w:rPr>
          <w:t xml:space="preserve"> | </w:t>
        </w:r>
        <w:r w:rsidRPr="00DE5542">
          <w:rPr>
            <w:color w:val="7F7F7F" w:themeColor="background1" w:themeShade="7F"/>
            <w:spacing w:val="60"/>
            <w:sz w:val="20"/>
          </w:rPr>
          <w:t>Page</w:t>
        </w:r>
      </w:p>
    </w:sdtContent>
  </w:sdt>
  <w:p w14:paraId="4F7032A5" w14:textId="77777777" w:rsidR="002A6A31" w:rsidRDefault="002A6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4604" w14:textId="77777777" w:rsidR="00306376" w:rsidRDefault="00306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60736" w14:textId="77777777" w:rsidR="002A6A31" w:rsidRDefault="002A6A31">
      <w:r>
        <w:separator/>
      </w:r>
    </w:p>
  </w:footnote>
  <w:footnote w:type="continuationSeparator" w:id="0">
    <w:p w14:paraId="1238E061" w14:textId="77777777" w:rsidR="002A6A31" w:rsidRDefault="002A6A31">
      <w:r>
        <w:continuationSeparator/>
      </w:r>
    </w:p>
  </w:footnote>
  <w:footnote w:id="1">
    <w:p w14:paraId="53FBF4DC" w14:textId="77777777" w:rsidR="002A6A31" w:rsidRDefault="002A6A31">
      <w:pPr>
        <w:pStyle w:val="FootnoteText"/>
      </w:pPr>
      <w:r>
        <w:rPr>
          <w:rStyle w:val="FootnoteReference"/>
        </w:rPr>
        <w:footnoteRef/>
      </w:r>
      <w:r>
        <w:t xml:space="preserve"> Short inspections which did not convert confirm the grade of the previous inspection. Those outcomes are included here and will always be good or outstanding.</w:t>
      </w:r>
    </w:p>
  </w:footnote>
  <w:footnote w:id="2">
    <w:p w14:paraId="35290B30" w14:textId="77777777" w:rsidR="002A6A31" w:rsidRDefault="002A6A31" w:rsidP="00364D06">
      <w:pPr>
        <w:pStyle w:val="FootnoteText"/>
      </w:pPr>
      <w:r>
        <w:rPr>
          <w:rStyle w:val="FootnoteReference"/>
        </w:rPr>
        <w:footnoteRef/>
      </w:r>
      <w:r>
        <w:t xml:space="preserve"> Short inspections which did not convert confirm the grade of the previous inspection. Those outcomes are included here and will always be good or outstanding.</w:t>
      </w:r>
    </w:p>
  </w:footnote>
  <w:footnote w:id="3">
    <w:p w14:paraId="49BDBFDD" w14:textId="46067B48" w:rsidR="002A6A31" w:rsidRDefault="002A6A31" w:rsidP="00403716">
      <w:pPr>
        <w:pStyle w:val="FootnoteText"/>
        <w:jc w:val="left"/>
      </w:pPr>
      <w:r>
        <w:rPr>
          <w:rStyle w:val="FootnoteReference"/>
        </w:rPr>
        <w:footnoteRef/>
      </w:r>
      <w:r>
        <w:t xml:space="preserve"> </w:t>
      </w:r>
      <w:r w:rsidRPr="00403716">
        <w:rPr>
          <w:rFonts w:cs="Tahoma"/>
        </w:rPr>
        <w:t xml:space="preserve">The </w:t>
      </w:r>
      <w:r w:rsidR="00024F1E">
        <w:rPr>
          <w:rFonts w:cs="Tahoma"/>
        </w:rPr>
        <w:t>outcomes of Ofsted’s</w:t>
      </w:r>
      <w:r>
        <w:rPr>
          <w:rFonts w:cs="Tahoma"/>
        </w:rPr>
        <w:t xml:space="preserve"> </w:t>
      </w:r>
      <w:r w:rsidRPr="00403716">
        <w:rPr>
          <w:rFonts w:cs="Tahoma"/>
        </w:rPr>
        <w:t xml:space="preserve">consultation </w:t>
      </w:r>
      <w:r>
        <w:rPr>
          <w:rFonts w:cs="Tahoma"/>
        </w:rPr>
        <w:t xml:space="preserve">on changes to short inspections </w:t>
      </w:r>
      <w:r w:rsidRPr="00403716">
        <w:rPr>
          <w:rFonts w:cs="Tahoma"/>
        </w:rPr>
        <w:t>can be found at:</w:t>
      </w:r>
      <w:r>
        <w:rPr>
          <w:rFonts w:cs="Tahoma"/>
        </w:rPr>
        <w:t xml:space="preserve"> </w:t>
      </w:r>
      <w:hyperlink r:id="rId1" w:tooltip="Link to short inspections of good schools consultation response" w:history="1">
        <w:r w:rsidRPr="00403716">
          <w:rPr>
            <w:rStyle w:val="Hyperlink"/>
          </w:rPr>
          <w:t>www.gov.uk/government/consultations/short-inspections-of-good-schools</w:t>
        </w:r>
      </w:hyperlink>
    </w:p>
  </w:footnote>
  <w:footnote w:id="4">
    <w:p w14:paraId="05582BCE" w14:textId="77777777" w:rsidR="002A6A31" w:rsidRPr="00D80AAF" w:rsidRDefault="002A6A31" w:rsidP="00472A4E">
      <w:pPr>
        <w:pStyle w:val="FootnoteText"/>
        <w:jc w:val="left"/>
        <w:rPr>
          <w:rFonts w:cs="Tahoma"/>
        </w:rPr>
      </w:pPr>
      <w:r>
        <w:rPr>
          <w:rStyle w:val="FootnoteReference"/>
        </w:rPr>
        <w:footnoteRef/>
      </w:r>
      <w:r>
        <w:t xml:space="preserve"> </w:t>
      </w:r>
      <w:r w:rsidRPr="00D80AAF">
        <w:rPr>
          <w:rFonts w:cs="Tahoma"/>
        </w:rPr>
        <w:t xml:space="preserve">The proportion of schools which are good or outstanding is calculated using unrounded data, so sometimes </w:t>
      </w:r>
      <w:r>
        <w:rPr>
          <w:rFonts w:cs="Tahoma"/>
        </w:rPr>
        <w:t xml:space="preserve">differs </w:t>
      </w:r>
      <w:r w:rsidRPr="00D80AAF">
        <w:rPr>
          <w:rFonts w:cs="Tahoma"/>
        </w:rPr>
        <w:t xml:space="preserve">slightly from the sum of the </w:t>
      </w:r>
      <w:r>
        <w:rPr>
          <w:rFonts w:cs="Tahoma"/>
        </w:rPr>
        <w:t xml:space="preserve">% </w:t>
      </w:r>
      <w:r w:rsidRPr="00D80AAF">
        <w:rPr>
          <w:rFonts w:cs="Tahoma"/>
        </w:rPr>
        <w:t xml:space="preserve">good and </w:t>
      </w:r>
      <w:r>
        <w:rPr>
          <w:rFonts w:cs="Tahoma"/>
        </w:rPr>
        <w:t xml:space="preserve">% </w:t>
      </w:r>
      <w:r w:rsidRPr="00D80AAF">
        <w:rPr>
          <w:rFonts w:cs="Tahoma"/>
        </w:rPr>
        <w:t>outstanding shown in the chart.</w:t>
      </w:r>
    </w:p>
  </w:footnote>
  <w:footnote w:id="5">
    <w:p w14:paraId="1C1B5B19" w14:textId="51F74659" w:rsidR="002A6A31" w:rsidRPr="009D78E3" w:rsidRDefault="002A6A31" w:rsidP="00E64119">
      <w:pPr>
        <w:pStyle w:val="NoSpacing"/>
        <w:jc w:val="left"/>
        <w:rPr>
          <w:sz w:val="20"/>
          <w:szCs w:val="20"/>
        </w:rPr>
      </w:pPr>
      <w:r w:rsidRPr="009D78E3">
        <w:rPr>
          <w:rStyle w:val="FootnoteReference"/>
          <w:sz w:val="20"/>
          <w:szCs w:val="20"/>
        </w:rPr>
        <w:footnoteRef/>
      </w:r>
      <w:r w:rsidRPr="009D78E3">
        <w:rPr>
          <w:sz w:val="20"/>
          <w:szCs w:val="20"/>
        </w:rPr>
        <w:t xml:space="preserve"> See</w:t>
      </w:r>
      <w:r w:rsidRPr="004B2BEF">
        <w:rPr>
          <w:sz w:val="20"/>
          <w:szCs w:val="20"/>
        </w:rPr>
        <w:t xml:space="preserve"> results of the consultation at</w:t>
      </w:r>
      <w:r w:rsidRPr="009D78E3">
        <w:rPr>
          <w:sz w:val="20"/>
          <w:szCs w:val="20"/>
        </w:rPr>
        <w:t>:</w:t>
      </w:r>
      <w:r>
        <w:rPr>
          <w:sz w:val="20"/>
          <w:szCs w:val="20"/>
        </w:rPr>
        <w:t xml:space="preserve"> </w:t>
      </w:r>
      <w:hyperlink r:id="rId2" w:tooltip="Link to consultation reponse on changes of reporting for maintained schools and academies" w:history="1">
        <w:r w:rsidRPr="009D78E3">
          <w:rPr>
            <w:rStyle w:val="Hyperlink"/>
            <w:sz w:val="20"/>
            <w:szCs w:val="20"/>
          </w:rPr>
          <w:t>www.gov.uk/government/consultations/changes-to-ofsteds-statistical-reporting-of-inspection-outcomes-for-maintained-schools-and-academies</w:t>
        </w:r>
      </w:hyperlink>
      <w:r w:rsidRPr="009D78E3">
        <w:rPr>
          <w:rStyle w:val="Hyperlink"/>
          <w:sz w:val="20"/>
          <w:szCs w:val="20"/>
        </w:rPr>
        <w:t>.</w:t>
      </w:r>
    </w:p>
    <w:p w14:paraId="52E2494D" w14:textId="303E17B7" w:rsidR="002A6A31" w:rsidRDefault="002A6A31">
      <w:pPr>
        <w:pStyle w:val="FootnoteText"/>
      </w:pPr>
    </w:p>
  </w:footnote>
  <w:footnote w:id="6">
    <w:p w14:paraId="2A60475E" w14:textId="7B84E91E" w:rsidR="002A6A31" w:rsidRDefault="002A6A31">
      <w:pPr>
        <w:pStyle w:val="FootnoteText"/>
      </w:pPr>
      <w:r>
        <w:rPr>
          <w:rStyle w:val="FootnoteReference"/>
        </w:rPr>
        <w:footnoteRef/>
      </w:r>
      <w:r>
        <w:t xml:space="preserve"> ‘</w:t>
      </w:r>
      <w:r w:rsidRPr="009D78E3">
        <w:rPr>
          <w:i/>
        </w:rPr>
        <w:t>Common inspection framework: education, skills and early years from September 2015</w:t>
      </w:r>
      <w:r>
        <w:t xml:space="preserve">’ can be found at: </w:t>
      </w:r>
      <w:hyperlink r:id="rId3" w:tooltip="Link to guidance on the common inspection framework" w:history="1">
        <w:r w:rsidRPr="00F74C5A">
          <w:rPr>
            <w:rStyle w:val="Hyperlink"/>
          </w:rPr>
          <w:t>www.gov.uk/government/publications/common-inspection-framework-education-skills-and-early-years-from-september-2015</w:t>
        </w:r>
      </w:hyperlink>
    </w:p>
  </w:footnote>
  <w:footnote w:id="7">
    <w:p w14:paraId="6EF1669D" w14:textId="0069BD4F" w:rsidR="008940B6" w:rsidRDefault="008940B6" w:rsidP="008940B6">
      <w:pPr>
        <w:pStyle w:val="FootnoteText"/>
      </w:pPr>
      <w:r>
        <w:rPr>
          <w:rStyle w:val="FootnoteReference"/>
        </w:rPr>
        <w:footnoteRef/>
      </w:r>
      <w:r>
        <w:t xml:space="preserve"> ‘</w:t>
      </w:r>
      <w:r w:rsidRPr="00E970BC">
        <w:rPr>
          <w:i/>
        </w:rPr>
        <w:t>Ofsted Annual Report 2016/17: education, children’s services and skills</w:t>
      </w:r>
      <w:r>
        <w:t xml:space="preserve">’ can be found at: </w:t>
      </w:r>
      <w:hyperlink r:id="rId4" w:tooltip="Link to Ofsted's Annual Report 2017" w:history="1">
        <w:r w:rsidRPr="007D2861">
          <w:rPr>
            <w:rStyle w:val="Hyperlink"/>
          </w:rPr>
          <w:t>www.gov.uk/government/publications/ofsted-annual-report-201617-education-childrens-services-and-skills</w:t>
        </w:r>
      </w:hyperlink>
    </w:p>
  </w:footnote>
  <w:footnote w:id="8">
    <w:p w14:paraId="249BABA0" w14:textId="2F3FCDEF" w:rsidR="00D51DB1" w:rsidRDefault="00D51DB1">
      <w:pPr>
        <w:pStyle w:val="FootnoteText"/>
      </w:pPr>
      <w:r>
        <w:rPr>
          <w:rStyle w:val="FootnoteReference"/>
        </w:rPr>
        <w:footnoteRef/>
      </w:r>
      <w:r>
        <w:t xml:space="preserve"> </w:t>
      </w:r>
      <w:r w:rsidRPr="00D51DB1">
        <w:rPr>
          <w:rFonts w:cs="Tahoma"/>
          <w:lang w:val="en"/>
        </w:rPr>
        <w:t xml:space="preserve">The term ‘all schools’ includes nursery schools, primary </w:t>
      </w:r>
      <w:r w:rsidRPr="00D51DB1">
        <w:rPr>
          <w:rStyle w:val="CommentReference"/>
          <w:rFonts w:cs="Tahoma"/>
          <w:sz w:val="20"/>
          <w:szCs w:val="20"/>
        </w:rPr>
        <w:t/>
      </w:r>
      <w:r w:rsidRPr="00D51DB1">
        <w:rPr>
          <w:rStyle w:val="CommentReference"/>
          <w:rFonts w:cs="Tahoma"/>
          <w:sz w:val="20"/>
          <w:szCs w:val="20"/>
        </w:rPr>
        <w:t/>
      </w:r>
      <w:r w:rsidRPr="00D51DB1">
        <w:rPr>
          <w:rFonts w:cs="Tahoma"/>
          <w:lang w:val="en"/>
        </w:rPr>
        <w:t xml:space="preserve"> schools, secondary schools, special schools and pupil referral unit</w:t>
      </w:r>
    </w:p>
  </w:footnote>
  <w:footnote w:id="9">
    <w:p w14:paraId="532C78E3" w14:textId="55B24DC7" w:rsidR="002A6A31" w:rsidRDefault="002A6A31" w:rsidP="00701C9C">
      <w:pPr>
        <w:pStyle w:val="FootnoteText"/>
        <w:jc w:val="left"/>
      </w:pPr>
      <w:r>
        <w:rPr>
          <w:rStyle w:val="FootnoteReference"/>
        </w:rPr>
        <w:footnoteRef/>
      </w:r>
      <w:r w:rsidR="00701C9C">
        <w:t xml:space="preserve"> Guidance on the methodology and quality report for each release can be found at : </w:t>
      </w:r>
      <w:hyperlink r:id="rId5" w:tooltip="Link to maintained schools and academies statistics" w:history="1">
        <w:r w:rsidRPr="00561CC8">
          <w:rPr>
            <w:rStyle w:val="Hyperlink"/>
          </w:rPr>
          <w:t>www.gov.uk/government/collections/maintained-schools-and-academies-inspections-and-outcomes-official-statistics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7023" w14:textId="77777777" w:rsidR="00306376" w:rsidRDefault="00306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0" w:type="pct"/>
      <w:tblLook w:val="01E0" w:firstRow="1" w:lastRow="1" w:firstColumn="1" w:lastColumn="1" w:noHBand="0" w:noVBand="0"/>
    </w:tblPr>
    <w:tblGrid>
      <w:gridCol w:w="3200"/>
      <w:gridCol w:w="5754"/>
    </w:tblGrid>
    <w:tr w:rsidR="002A6A31" w14:paraId="0F5AFEF4" w14:textId="77777777" w:rsidTr="00ED7C63">
      <w:trPr>
        <w:trHeight w:val="1986"/>
      </w:trPr>
      <w:tc>
        <w:tcPr>
          <w:tcW w:w="1787" w:type="pct"/>
          <w:shd w:val="clear" w:color="auto" w:fill="auto"/>
        </w:tcPr>
        <w:p w14:paraId="286A2C9F" w14:textId="77777777" w:rsidR="002A6A31" w:rsidRDefault="002A6A31" w:rsidP="001876CB">
          <w:pPr>
            <w:pStyle w:val="Header"/>
            <w:jc w:val="right"/>
          </w:pPr>
          <w:r>
            <w:rPr>
              <w:noProof/>
            </w:rPr>
            <mc:AlternateContent>
              <mc:Choice Requires="wps">
                <w:drawing>
                  <wp:anchor distT="0" distB="0" distL="114300" distR="114300" simplePos="0" relativeHeight="251656192" behindDoc="0" locked="0" layoutInCell="1" allowOverlap="1" wp14:anchorId="4BCFF772" wp14:editId="0454AF6D">
                    <wp:simplePos x="0" y="0"/>
                    <wp:positionH relativeFrom="column">
                      <wp:posOffset>-71120</wp:posOffset>
                    </wp:positionH>
                    <wp:positionV relativeFrom="paragraph">
                      <wp:posOffset>114935</wp:posOffset>
                    </wp:positionV>
                    <wp:extent cx="1709420" cy="347980"/>
                    <wp:effectExtent l="14605" t="952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7980"/>
                            </a:xfrm>
                            <a:prstGeom prst="rect">
                              <a:avLst/>
                            </a:prstGeom>
                            <a:solidFill>
                              <a:srgbClr val="FFFFFF"/>
                            </a:solidFill>
                            <a:ln w="12700">
                              <a:solidFill>
                                <a:srgbClr val="000000"/>
                              </a:solidFill>
                              <a:miter lim="800000"/>
                              <a:headEnd/>
                              <a:tailEnd/>
                            </a:ln>
                          </wps:spPr>
                          <wps:txbx>
                            <w:txbxContent>
                              <w:p w14:paraId="3F75DC7A" w14:textId="77777777" w:rsidR="002A6A31" w:rsidRPr="00033909" w:rsidRDefault="002A6A31" w:rsidP="00F953E2">
                                <w:pPr>
                                  <w:rPr>
                                    <w:sz w:val="32"/>
                                    <w:szCs w:val="32"/>
                                  </w:rPr>
                                </w:pPr>
                                <w:r>
                                  <w:rPr>
                                    <w:sz w:val="32"/>
                                    <w:szCs w:val="32"/>
                                  </w:rPr>
                                  <w:t>Official s</w:t>
                                </w:r>
                                <w:r w:rsidRPr="00033909">
                                  <w:rPr>
                                    <w:sz w:val="32"/>
                                    <w:szCs w:val="32"/>
                                  </w:rPr>
                                  <w:t>tatistic</w:t>
                                </w:r>
                                <w:r>
                                  <w:rPr>
                                    <w:sz w:val="32"/>
                                    <w:szCs w:val="32"/>
                                  </w:rPr>
                                  <w:t>s</w:t>
                                </w:r>
                              </w:p>
                              <w:p w14:paraId="27981607" w14:textId="77777777" w:rsidR="002A6A31" w:rsidRDefault="002A6A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FF772" id="_x0000_t202" coordsize="21600,21600" o:spt="202" path="m,l,21600r21600,l21600,xe">
                    <v:stroke joinstyle="miter"/>
                    <v:path gradientshapeok="t" o:connecttype="rect"/>
                  </v:shapetype>
                  <v:shape id="Text Box 2" o:spid="_x0000_s1027" type="#_x0000_t202" style="position:absolute;left:0;text-align:left;margin-left:-5.6pt;margin-top:9.05pt;width:134.6pt;height: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" strokeweight="1pt">
                    <v:textbox>
                      <w:txbxContent>
                        <w:p w14:paraId="3F75DC7A" w14:textId="77777777" w:rsidR="002A6A31" w:rsidRPr="00033909" w:rsidRDefault="002A6A31" w:rsidP="00F953E2">
                          <w:pPr>
                            <w:rPr>
                              <w:sz w:val="32"/>
                              <w:szCs w:val="32"/>
                            </w:rPr>
                          </w:pPr>
                          <w:r>
                            <w:rPr>
                              <w:sz w:val="32"/>
                              <w:szCs w:val="32"/>
                            </w:rPr>
                            <w:t>Official s</w:t>
                          </w:r>
                          <w:r w:rsidRPr="00033909">
                            <w:rPr>
                              <w:sz w:val="32"/>
                              <w:szCs w:val="32"/>
                            </w:rPr>
                            <w:t>tatistic</w:t>
                          </w:r>
                          <w:r>
                            <w:rPr>
                              <w:sz w:val="32"/>
                              <w:szCs w:val="32"/>
                            </w:rPr>
                            <w:t>s</w:t>
                          </w:r>
                        </w:p>
                        <w:p w14:paraId="27981607" w14:textId="77777777" w:rsidR="002A6A31" w:rsidRDefault="002A6A31"/>
                      </w:txbxContent>
                    </v:textbox>
                  </v:shape>
                </w:pict>
              </mc:Fallback>
            </mc:AlternateContent>
          </w:r>
        </w:p>
      </w:tc>
      <w:tc>
        <w:tcPr>
          <w:tcW w:w="3213" w:type="pct"/>
          <w:shd w:val="clear" w:color="auto" w:fill="auto"/>
        </w:tcPr>
        <w:p w14:paraId="0C3E990C" w14:textId="77777777" w:rsidR="002A6A31" w:rsidRDefault="002A6A31" w:rsidP="00490F9F">
          <w:pPr>
            <w:pStyle w:val="Header"/>
            <w:jc w:val="right"/>
          </w:pPr>
        </w:p>
        <w:p w14:paraId="58820732" w14:textId="77777777" w:rsidR="002A6A31" w:rsidRDefault="002A6A31" w:rsidP="009E5DFE">
          <w:pPr>
            <w:pStyle w:val="Header"/>
            <w:ind w:left="1500"/>
            <w:jc w:val="right"/>
          </w:pPr>
          <w:r>
            <w:rPr>
              <w:noProof/>
            </w:rPr>
            <w:drawing>
              <wp:inline distT="0" distB="0" distL="0" distR="0" wp14:anchorId="3FDAA85D" wp14:editId="4279C15D">
                <wp:extent cx="1347470" cy="1136015"/>
                <wp:effectExtent l="0" t="0" r="0" b="0"/>
                <wp:docPr id="6" name="Picture 6"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1136015"/>
                        </a:xfrm>
                        <a:prstGeom prst="rect">
                          <a:avLst/>
                        </a:prstGeom>
                        <a:noFill/>
                        <a:ln>
                          <a:noFill/>
                        </a:ln>
                      </pic:spPr>
                    </pic:pic>
                  </a:graphicData>
                </a:graphic>
              </wp:inline>
            </w:drawing>
          </w:r>
        </w:p>
      </w:tc>
    </w:tr>
  </w:tbl>
  <w:p w14:paraId="30F39ECC" w14:textId="77777777" w:rsidR="002A6A31" w:rsidRPr="007E785D" w:rsidRDefault="002A6A31" w:rsidP="007E785D">
    <w:pPr>
      <w:pStyle w:val="Header"/>
      <w:rPr>
        <w:sz w:val="14"/>
        <w:szCs w:val="8"/>
      </w:rPr>
    </w:pPr>
  </w:p>
  <w:p w14:paraId="0D1FCEE1" w14:textId="77777777" w:rsidR="002A6A31" w:rsidRDefault="002A6A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F92C" w14:textId="77777777" w:rsidR="00306376" w:rsidRDefault="00306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59C"/>
    <w:multiLevelType w:val="hybridMultilevel"/>
    <w:tmpl w:val="4D8C7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3B58EBE6"/>
    <w:lvl w:ilvl="0" w:tplc="6EFADFBC">
      <w:start w:val="1"/>
      <w:numFmt w:val="bullet"/>
      <w:pStyle w:val="Bulletsspaced"/>
      <w:lvlText w:val=""/>
      <w:lvlJc w:val="left"/>
      <w:pPr>
        <w:tabs>
          <w:tab w:val="num" w:pos="1877"/>
        </w:tabs>
        <w:ind w:left="1877" w:hanging="360"/>
      </w:pPr>
      <w:rPr>
        <w:rFonts w:ascii="Wingdings" w:hAnsi="Wingdings" w:hint="default"/>
      </w:rPr>
    </w:lvl>
    <w:lvl w:ilvl="1" w:tplc="08090003">
      <w:start w:val="1"/>
      <w:numFmt w:val="bullet"/>
      <w:lvlText w:val="o"/>
      <w:lvlJc w:val="left"/>
      <w:pPr>
        <w:tabs>
          <w:tab w:val="num" w:pos="2390"/>
        </w:tabs>
        <w:ind w:left="2390" w:hanging="360"/>
      </w:pPr>
      <w:rPr>
        <w:rFonts w:ascii="Courier New" w:hAnsi="Courier New" w:cs="Courier New" w:hint="default"/>
      </w:rPr>
    </w:lvl>
    <w:lvl w:ilvl="2" w:tplc="08090005">
      <w:start w:val="1"/>
      <w:numFmt w:val="bullet"/>
      <w:lvlText w:val=""/>
      <w:lvlJc w:val="left"/>
      <w:pPr>
        <w:tabs>
          <w:tab w:val="num" w:pos="3110"/>
        </w:tabs>
        <w:ind w:left="3110" w:hanging="360"/>
      </w:pPr>
      <w:rPr>
        <w:rFonts w:ascii="Wingdings" w:hAnsi="Wingdings" w:hint="default"/>
      </w:rPr>
    </w:lvl>
    <w:lvl w:ilvl="3" w:tplc="08090001">
      <w:start w:val="1"/>
      <w:numFmt w:val="bullet"/>
      <w:lvlText w:val=""/>
      <w:lvlJc w:val="left"/>
      <w:pPr>
        <w:tabs>
          <w:tab w:val="num" w:pos="3830"/>
        </w:tabs>
        <w:ind w:left="3830" w:hanging="360"/>
      </w:pPr>
      <w:rPr>
        <w:rFonts w:ascii="Symbol" w:hAnsi="Symbol" w:hint="default"/>
      </w:rPr>
    </w:lvl>
    <w:lvl w:ilvl="4" w:tplc="08090003" w:tentative="1">
      <w:start w:val="1"/>
      <w:numFmt w:val="bullet"/>
      <w:lvlText w:val="o"/>
      <w:lvlJc w:val="left"/>
      <w:pPr>
        <w:tabs>
          <w:tab w:val="num" w:pos="4550"/>
        </w:tabs>
        <w:ind w:left="4550" w:hanging="360"/>
      </w:pPr>
      <w:rPr>
        <w:rFonts w:ascii="Courier New" w:hAnsi="Courier New" w:cs="Courier New" w:hint="default"/>
      </w:rPr>
    </w:lvl>
    <w:lvl w:ilvl="5" w:tplc="08090005" w:tentative="1">
      <w:start w:val="1"/>
      <w:numFmt w:val="bullet"/>
      <w:lvlText w:val=""/>
      <w:lvlJc w:val="left"/>
      <w:pPr>
        <w:tabs>
          <w:tab w:val="num" w:pos="5270"/>
        </w:tabs>
        <w:ind w:left="5270" w:hanging="360"/>
      </w:pPr>
      <w:rPr>
        <w:rFonts w:ascii="Wingdings" w:hAnsi="Wingdings" w:hint="default"/>
      </w:rPr>
    </w:lvl>
    <w:lvl w:ilvl="6" w:tplc="08090001" w:tentative="1">
      <w:start w:val="1"/>
      <w:numFmt w:val="bullet"/>
      <w:lvlText w:val=""/>
      <w:lvlJc w:val="left"/>
      <w:pPr>
        <w:tabs>
          <w:tab w:val="num" w:pos="5990"/>
        </w:tabs>
        <w:ind w:left="5990" w:hanging="360"/>
      </w:pPr>
      <w:rPr>
        <w:rFonts w:ascii="Symbol" w:hAnsi="Symbol" w:hint="default"/>
      </w:rPr>
    </w:lvl>
    <w:lvl w:ilvl="7" w:tplc="08090003" w:tentative="1">
      <w:start w:val="1"/>
      <w:numFmt w:val="bullet"/>
      <w:lvlText w:val="o"/>
      <w:lvlJc w:val="left"/>
      <w:pPr>
        <w:tabs>
          <w:tab w:val="num" w:pos="6710"/>
        </w:tabs>
        <w:ind w:left="6710" w:hanging="360"/>
      </w:pPr>
      <w:rPr>
        <w:rFonts w:ascii="Courier New" w:hAnsi="Courier New" w:cs="Courier New" w:hint="default"/>
      </w:rPr>
    </w:lvl>
    <w:lvl w:ilvl="8" w:tplc="08090005" w:tentative="1">
      <w:start w:val="1"/>
      <w:numFmt w:val="bullet"/>
      <w:lvlText w:val=""/>
      <w:lvlJc w:val="left"/>
      <w:pPr>
        <w:tabs>
          <w:tab w:val="num" w:pos="7430"/>
        </w:tabs>
        <w:ind w:left="7430" w:hanging="360"/>
      </w:pPr>
      <w:rPr>
        <w:rFonts w:ascii="Wingdings" w:hAnsi="Wingdings" w:hint="default"/>
      </w:rPr>
    </w:lvl>
  </w:abstractNum>
  <w:abstractNum w:abstractNumId="2" w15:restartNumberingAfterBreak="0">
    <w:nsid w:val="08E44F2C"/>
    <w:multiLevelType w:val="hybridMultilevel"/>
    <w:tmpl w:val="38E4DFCE"/>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09007E8D"/>
    <w:multiLevelType w:val="hybridMultilevel"/>
    <w:tmpl w:val="86E21D16"/>
    <w:lvl w:ilvl="0" w:tplc="F3F4878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A0431"/>
    <w:multiLevelType w:val="hybridMultilevel"/>
    <w:tmpl w:val="16CCD28C"/>
    <w:lvl w:ilvl="0" w:tplc="E822DE34">
      <w:start w:val="1"/>
      <w:numFmt w:val="bullet"/>
      <w:lvlText w:val=""/>
      <w:lvlJc w:val="left"/>
      <w:pPr>
        <w:tabs>
          <w:tab w:val="num" w:pos="-790"/>
        </w:tabs>
        <w:ind w:left="-790" w:hanging="360"/>
      </w:pPr>
      <w:rPr>
        <w:rFonts w:ascii="Symbol" w:hAnsi="Symbol" w:hint="default"/>
      </w:rPr>
    </w:lvl>
    <w:lvl w:ilvl="1" w:tplc="024C9834" w:tentative="1">
      <w:start w:val="1"/>
      <w:numFmt w:val="bullet"/>
      <w:lvlText w:val=""/>
      <w:lvlJc w:val="left"/>
      <w:pPr>
        <w:tabs>
          <w:tab w:val="num" w:pos="-70"/>
        </w:tabs>
        <w:ind w:left="-70" w:hanging="360"/>
      </w:pPr>
      <w:rPr>
        <w:rFonts w:ascii="Symbol" w:hAnsi="Symbol" w:hint="default"/>
      </w:rPr>
    </w:lvl>
    <w:lvl w:ilvl="2" w:tplc="A1B64292" w:tentative="1">
      <w:start w:val="1"/>
      <w:numFmt w:val="bullet"/>
      <w:lvlText w:val=""/>
      <w:lvlJc w:val="left"/>
      <w:pPr>
        <w:tabs>
          <w:tab w:val="num" w:pos="650"/>
        </w:tabs>
        <w:ind w:left="650" w:hanging="360"/>
      </w:pPr>
      <w:rPr>
        <w:rFonts w:ascii="Symbol" w:hAnsi="Symbol" w:hint="default"/>
      </w:rPr>
    </w:lvl>
    <w:lvl w:ilvl="3" w:tplc="55841EB4" w:tentative="1">
      <w:start w:val="1"/>
      <w:numFmt w:val="bullet"/>
      <w:lvlText w:val=""/>
      <w:lvlJc w:val="left"/>
      <w:pPr>
        <w:tabs>
          <w:tab w:val="num" w:pos="1370"/>
        </w:tabs>
        <w:ind w:left="1370" w:hanging="360"/>
      </w:pPr>
      <w:rPr>
        <w:rFonts w:ascii="Symbol" w:hAnsi="Symbol" w:hint="default"/>
      </w:rPr>
    </w:lvl>
    <w:lvl w:ilvl="4" w:tplc="3D625440" w:tentative="1">
      <w:start w:val="1"/>
      <w:numFmt w:val="bullet"/>
      <w:lvlText w:val=""/>
      <w:lvlJc w:val="left"/>
      <w:pPr>
        <w:tabs>
          <w:tab w:val="num" w:pos="2090"/>
        </w:tabs>
        <w:ind w:left="2090" w:hanging="360"/>
      </w:pPr>
      <w:rPr>
        <w:rFonts w:ascii="Symbol" w:hAnsi="Symbol" w:hint="default"/>
      </w:rPr>
    </w:lvl>
    <w:lvl w:ilvl="5" w:tplc="A6FA6E18" w:tentative="1">
      <w:start w:val="1"/>
      <w:numFmt w:val="bullet"/>
      <w:lvlText w:val=""/>
      <w:lvlJc w:val="left"/>
      <w:pPr>
        <w:tabs>
          <w:tab w:val="num" w:pos="2810"/>
        </w:tabs>
        <w:ind w:left="2810" w:hanging="360"/>
      </w:pPr>
      <w:rPr>
        <w:rFonts w:ascii="Symbol" w:hAnsi="Symbol" w:hint="default"/>
      </w:rPr>
    </w:lvl>
    <w:lvl w:ilvl="6" w:tplc="070CD096" w:tentative="1">
      <w:start w:val="1"/>
      <w:numFmt w:val="bullet"/>
      <w:lvlText w:val=""/>
      <w:lvlJc w:val="left"/>
      <w:pPr>
        <w:tabs>
          <w:tab w:val="num" w:pos="3530"/>
        </w:tabs>
        <w:ind w:left="3530" w:hanging="360"/>
      </w:pPr>
      <w:rPr>
        <w:rFonts w:ascii="Symbol" w:hAnsi="Symbol" w:hint="default"/>
      </w:rPr>
    </w:lvl>
    <w:lvl w:ilvl="7" w:tplc="A76E90AA" w:tentative="1">
      <w:start w:val="1"/>
      <w:numFmt w:val="bullet"/>
      <w:lvlText w:val=""/>
      <w:lvlJc w:val="left"/>
      <w:pPr>
        <w:tabs>
          <w:tab w:val="num" w:pos="4250"/>
        </w:tabs>
        <w:ind w:left="4250" w:hanging="360"/>
      </w:pPr>
      <w:rPr>
        <w:rFonts w:ascii="Symbol" w:hAnsi="Symbol" w:hint="default"/>
      </w:rPr>
    </w:lvl>
    <w:lvl w:ilvl="8" w:tplc="6D3ABFBA" w:tentative="1">
      <w:start w:val="1"/>
      <w:numFmt w:val="bullet"/>
      <w:lvlText w:val=""/>
      <w:lvlJc w:val="left"/>
      <w:pPr>
        <w:tabs>
          <w:tab w:val="num" w:pos="4970"/>
        </w:tabs>
        <w:ind w:left="4970" w:hanging="360"/>
      </w:pPr>
      <w:rPr>
        <w:rFonts w:ascii="Symbol" w:hAnsi="Symbol" w:hint="default"/>
      </w:rPr>
    </w:lvl>
  </w:abstractNum>
  <w:abstractNum w:abstractNumId="5" w15:restartNumberingAfterBreak="0">
    <w:nsid w:val="0E4C261F"/>
    <w:multiLevelType w:val="hybridMultilevel"/>
    <w:tmpl w:val="50A07946"/>
    <w:lvl w:ilvl="0" w:tplc="08090005">
      <w:start w:val="1"/>
      <w:numFmt w:val="bullet"/>
      <w:lvlText w:val=""/>
      <w:lvlJc w:val="left"/>
      <w:pPr>
        <w:ind w:left="799" w:hanging="360"/>
      </w:pPr>
      <w:rPr>
        <w:rFonts w:ascii="Wingdings" w:hAnsi="Wingdings"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15:restartNumberingAfterBreak="0">
    <w:nsid w:val="140C502A"/>
    <w:multiLevelType w:val="hybridMultilevel"/>
    <w:tmpl w:val="79BC91AA"/>
    <w:lvl w:ilvl="0" w:tplc="C5AA9008">
      <w:start w:val="1"/>
      <w:numFmt w:val="decimal"/>
      <w:pStyle w:val="Numberedparagraph"/>
      <w:lvlText w:val="%1."/>
      <w:lvlJc w:val="left"/>
      <w:pPr>
        <w:tabs>
          <w:tab w:val="num" w:pos="1107"/>
        </w:tabs>
        <w:ind w:left="540" w:firstLine="0"/>
      </w:pPr>
      <w:rPr>
        <w:rFonts w:ascii="Tahoma" w:hAnsi="Tahoma" w:hint="default"/>
        <w:b w:val="0"/>
        <w:i w:val="0"/>
        <w:color w:val="auto"/>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829C8"/>
    <w:multiLevelType w:val="hybridMultilevel"/>
    <w:tmpl w:val="188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B7F88"/>
    <w:multiLevelType w:val="hybridMultilevel"/>
    <w:tmpl w:val="167E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798E"/>
    <w:multiLevelType w:val="hybridMultilevel"/>
    <w:tmpl w:val="21C848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736B8"/>
    <w:multiLevelType w:val="hybridMultilevel"/>
    <w:tmpl w:val="F80A42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4028E"/>
    <w:multiLevelType w:val="hybridMultilevel"/>
    <w:tmpl w:val="553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94999"/>
    <w:multiLevelType w:val="hybridMultilevel"/>
    <w:tmpl w:val="6F1A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322F8"/>
    <w:multiLevelType w:val="hybridMultilevel"/>
    <w:tmpl w:val="64F8F9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42398"/>
    <w:multiLevelType w:val="hybridMultilevel"/>
    <w:tmpl w:val="61E62C0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F5E5DF0"/>
    <w:multiLevelType w:val="hybridMultilevel"/>
    <w:tmpl w:val="2FFC4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715CB"/>
    <w:multiLevelType w:val="hybridMultilevel"/>
    <w:tmpl w:val="7F24E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51AB9"/>
    <w:multiLevelType w:val="hybridMultilevel"/>
    <w:tmpl w:val="D5243F28"/>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B991AF6"/>
    <w:multiLevelType w:val="hybridMultilevel"/>
    <w:tmpl w:val="2DF2E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5330D"/>
    <w:multiLevelType w:val="hybridMultilevel"/>
    <w:tmpl w:val="498A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B2DAD"/>
    <w:multiLevelType w:val="hybridMultilevel"/>
    <w:tmpl w:val="1578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F6F8C"/>
    <w:multiLevelType w:val="hybridMultilevel"/>
    <w:tmpl w:val="40268356"/>
    <w:lvl w:ilvl="0" w:tplc="E434523C">
      <w:start w:val="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B4888"/>
    <w:multiLevelType w:val="hybridMultilevel"/>
    <w:tmpl w:val="94D06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F6155F"/>
    <w:multiLevelType w:val="hybridMultilevel"/>
    <w:tmpl w:val="3CAA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B6370"/>
    <w:multiLevelType w:val="hybridMultilevel"/>
    <w:tmpl w:val="1DF6B082"/>
    <w:lvl w:ilvl="0" w:tplc="9CC6FF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BA0F91"/>
    <w:multiLevelType w:val="hybridMultilevel"/>
    <w:tmpl w:val="C81A0B36"/>
    <w:lvl w:ilvl="0" w:tplc="117E5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40A2B"/>
    <w:multiLevelType w:val="hybridMultilevel"/>
    <w:tmpl w:val="8974B46A"/>
    <w:lvl w:ilvl="0" w:tplc="B7F84A0C">
      <w:start w:val="1"/>
      <w:numFmt w:val="bullet"/>
      <w:lvlText w:val=""/>
      <w:lvlJc w:val="left"/>
      <w:pPr>
        <w:tabs>
          <w:tab w:val="num" w:pos="-96"/>
        </w:tabs>
        <w:ind w:left="-96" w:hanging="360"/>
      </w:pPr>
      <w:rPr>
        <w:rFonts w:ascii="Wingdings" w:hAnsi="Wingdings" w:hint="default"/>
        <w:sz w:val="32"/>
      </w:rPr>
    </w:lvl>
    <w:lvl w:ilvl="1" w:tplc="0FBCE43E" w:tentative="1">
      <w:start w:val="1"/>
      <w:numFmt w:val="bullet"/>
      <w:lvlText w:val="•"/>
      <w:lvlJc w:val="left"/>
      <w:pPr>
        <w:tabs>
          <w:tab w:val="num" w:pos="624"/>
        </w:tabs>
        <w:ind w:left="624" w:hanging="360"/>
      </w:pPr>
      <w:rPr>
        <w:rFonts w:ascii="Arial" w:hAnsi="Arial" w:hint="default"/>
      </w:rPr>
    </w:lvl>
    <w:lvl w:ilvl="2" w:tplc="D9C88830" w:tentative="1">
      <w:start w:val="1"/>
      <w:numFmt w:val="bullet"/>
      <w:lvlText w:val="•"/>
      <w:lvlJc w:val="left"/>
      <w:pPr>
        <w:tabs>
          <w:tab w:val="num" w:pos="1344"/>
        </w:tabs>
        <w:ind w:left="1344" w:hanging="360"/>
      </w:pPr>
      <w:rPr>
        <w:rFonts w:ascii="Arial" w:hAnsi="Arial" w:hint="default"/>
      </w:rPr>
    </w:lvl>
    <w:lvl w:ilvl="3" w:tplc="1436C914" w:tentative="1">
      <w:start w:val="1"/>
      <w:numFmt w:val="bullet"/>
      <w:lvlText w:val="•"/>
      <w:lvlJc w:val="left"/>
      <w:pPr>
        <w:tabs>
          <w:tab w:val="num" w:pos="2064"/>
        </w:tabs>
        <w:ind w:left="2064" w:hanging="360"/>
      </w:pPr>
      <w:rPr>
        <w:rFonts w:ascii="Arial" w:hAnsi="Arial" w:hint="default"/>
      </w:rPr>
    </w:lvl>
    <w:lvl w:ilvl="4" w:tplc="A35C812E" w:tentative="1">
      <w:start w:val="1"/>
      <w:numFmt w:val="bullet"/>
      <w:lvlText w:val="•"/>
      <w:lvlJc w:val="left"/>
      <w:pPr>
        <w:tabs>
          <w:tab w:val="num" w:pos="2784"/>
        </w:tabs>
        <w:ind w:left="2784" w:hanging="360"/>
      </w:pPr>
      <w:rPr>
        <w:rFonts w:ascii="Arial" w:hAnsi="Arial" w:hint="default"/>
      </w:rPr>
    </w:lvl>
    <w:lvl w:ilvl="5" w:tplc="20A6FFE4" w:tentative="1">
      <w:start w:val="1"/>
      <w:numFmt w:val="bullet"/>
      <w:lvlText w:val="•"/>
      <w:lvlJc w:val="left"/>
      <w:pPr>
        <w:tabs>
          <w:tab w:val="num" w:pos="3504"/>
        </w:tabs>
        <w:ind w:left="3504" w:hanging="360"/>
      </w:pPr>
      <w:rPr>
        <w:rFonts w:ascii="Arial" w:hAnsi="Arial" w:hint="default"/>
      </w:rPr>
    </w:lvl>
    <w:lvl w:ilvl="6" w:tplc="5EA07B7A" w:tentative="1">
      <w:start w:val="1"/>
      <w:numFmt w:val="bullet"/>
      <w:lvlText w:val="•"/>
      <w:lvlJc w:val="left"/>
      <w:pPr>
        <w:tabs>
          <w:tab w:val="num" w:pos="4224"/>
        </w:tabs>
        <w:ind w:left="4224" w:hanging="360"/>
      </w:pPr>
      <w:rPr>
        <w:rFonts w:ascii="Arial" w:hAnsi="Arial" w:hint="default"/>
      </w:rPr>
    </w:lvl>
    <w:lvl w:ilvl="7" w:tplc="9C501E46" w:tentative="1">
      <w:start w:val="1"/>
      <w:numFmt w:val="bullet"/>
      <w:lvlText w:val="•"/>
      <w:lvlJc w:val="left"/>
      <w:pPr>
        <w:tabs>
          <w:tab w:val="num" w:pos="4944"/>
        </w:tabs>
        <w:ind w:left="4944" w:hanging="360"/>
      </w:pPr>
      <w:rPr>
        <w:rFonts w:ascii="Arial" w:hAnsi="Arial" w:hint="default"/>
      </w:rPr>
    </w:lvl>
    <w:lvl w:ilvl="8" w:tplc="AFD2B616" w:tentative="1">
      <w:start w:val="1"/>
      <w:numFmt w:val="bullet"/>
      <w:lvlText w:val="•"/>
      <w:lvlJc w:val="left"/>
      <w:pPr>
        <w:tabs>
          <w:tab w:val="num" w:pos="5664"/>
        </w:tabs>
        <w:ind w:left="5664" w:hanging="360"/>
      </w:pPr>
      <w:rPr>
        <w:rFonts w:ascii="Arial" w:hAnsi="Arial" w:hint="default"/>
      </w:rPr>
    </w:lvl>
  </w:abstractNum>
  <w:abstractNum w:abstractNumId="28" w15:restartNumberingAfterBreak="0">
    <w:nsid w:val="5B4E185F"/>
    <w:multiLevelType w:val="hybridMultilevel"/>
    <w:tmpl w:val="8ACEA3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6964EB"/>
    <w:multiLevelType w:val="hybridMultilevel"/>
    <w:tmpl w:val="C544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5314EF"/>
    <w:multiLevelType w:val="hybridMultilevel"/>
    <w:tmpl w:val="9A66B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274CA6"/>
    <w:multiLevelType w:val="hybridMultilevel"/>
    <w:tmpl w:val="A3A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B25B6"/>
    <w:multiLevelType w:val="hybridMultilevel"/>
    <w:tmpl w:val="E270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C6383"/>
    <w:multiLevelType w:val="hybridMultilevel"/>
    <w:tmpl w:val="7DA6D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15829"/>
    <w:multiLevelType w:val="hybridMultilevel"/>
    <w:tmpl w:val="2F0E71B6"/>
    <w:lvl w:ilvl="0" w:tplc="26AE406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9013C"/>
    <w:multiLevelType w:val="hybridMultilevel"/>
    <w:tmpl w:val="A8986C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3"/>
  </w:num>
  <w:num w:numId="5">
    <w:abstractNumId w:val="14"/>
  </w:num>
  <w:num w:numId="6">
    <w:abstractNumId w:val="2"/>
  </w:num>
  <w:num w:numId="7">
    <w:abstractNumId w:val="10"/>
  </w:num>
  <w:num w:numId="8">
    <w:abstractNumId w:val="35"/>
  </w:num>
  <w:num w:numId="9">
    <w:abstractNumId w:val="11"/>
  </w:num>
  <w:num w:numId="10">
    <w:abstractNumId w:val="18"/>
  </w:num>
  <w:num w:numId="11">
    <w:abstractNumId w:val="15"/>
  </w:num>
  <w:num w:numId="12">
    <w:abstractNumId w:val="28"/>
  </w:num>
  <w:num w:numId="13">
    <w:abstractNumId w:val="29"/>
  </w:num>
  <w:num w:numId="14">
    <w:abstractNumId w:val="30"/>
  </w:num>
  <w:num w:numId="15">
    <w:abstractNumId w:val="27"/>
  </w:num>
  <w:num w:numId="16">
    <w:abstractNumId w:val="9"/>
  </w:num>
  <w:num w:numId="17">
    <w:abstractNumId w:val="20"/>
  </w:num>
  <w:num w:numId="18">
    <w:abstractNumId w:val="13"/>
  </w:num>
  <w:num w:numId="19">
    <w:abstractNumId w:val="12"/>
  </w:num>
  <w:num w:numId="20">
    <w:abstractNumId w:val="24"/>
  </w:num>
  <w:num w:numId="21">
    <w:abstractNumId w:val="0"/>
  </w:num>
  <w:num w:numId="22">
    <w:abstractNumId w:val="34"/>
  </w:num>
  <w:num w:numId="23">
    <w:abstractNumId w:val="19"/>
  </w:num>
  <w:num w:numId="24">
    <w:abstractNumId w:val="3"/>
  </w:num>
  <w:num w:numId="25">
    <w:abstractNumId w:val="16"/>
  </w:num>
  <w:num w:numId="26">
    <w:abstractNumId w:val="22"/>
  </w:num>
  <w:num w:numId="27">
    <w:abstractNumId w:val="32"/>
  </w:num>
  <w:num w:numId="28">
    <w:abstractNumId w:val="21"/>
  </w:num>
  <w:num w:numId="29">
    <w:abstractNumId w:val="23"/>
  </w:num>
  <w:num w:numId="30">
    <w:abstractNumId w:val="31"/>
  </w:num>
  <w:num w:numId="31">
    <w:abstractNumId w:val="7"/>
  </w:num>
  <w:num w:numId="32">
    <w:abstractNumId w:val="8"/>
  </w:num>
  <w:num w:numId="33">
    <w:abstractNumId w:val="26"/>
  </w:num>
  <w:num w:numId="34">
    <w:abstractNumId w:val="25"/>
  </w:num>
  <w:num w:numId="35">
    <w:abstractNumId w:val="17"/>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9C"/>
    <w:rsid w:val="000019C5"/>
    <w:rsid w:val="00002335"/>
    <w:rsid w:val="000037E8"/>
    <w:rsid w:val="00003FC8"/>
    <w:rsid w:val="0000509C"/>
    <w:rsid w:val="0000544D"/>
    <w:rsid w:val="00005570"/>
    <w:rsid w:val="00007378"/>
    <w:rsid w:val="00007588"/>
    <w:rsid w:val="00007650"/>
    <w:rsid w:val="000101BB"/>
    <w:rsid w:val="00010456"/>
    <w:rsid w:val="00010F5F"/>
    <w:rsid w:val="0001126C"/>
    <w:rsid w:val="000124BD"/>
    <w:rsid w:val="00012F65"/>
    <w:rsid w:val="00013403"/>
    <w:rsid w:val="000134CE"/>
    <w:rsid w:val="00013B5F"/>
    <w:rsid w:val="00013BD7"/>
    <w:rsid w:val="000142FB"/>
    <w:rsid w:val="0001618E"/>
    <w:rsid w:val="00016308"/>
    <w:rsid w:val="000165A1"/>
    <w:rsid w:val="00017D4E"/>
    <w:rsid w:val="0002014B"/>
    <w:rsid w:val="00020412"/>
    <w:rsid w:val="000206B1"/>
    <w:rsid w:val="00021E28"/>
    <w:rsid w:val="00022E20"/>
    <w:rsid w:val="00022E6C"/>
    <w:rsid w:val="00023D41"/>
    <w:rsid w:val="000246BA"/>
    <w:rsid w:val="000249B8"/>
    <w:rsid w:val="00024F1E"/>
    <w:rsid w:val="00026F4E"/>
    <w:rsid w:val="000271E7"/>
    <w:rsid w:val="00027F09"/>
    <w:rsid w:val="00030359"/>
    <w:rsid w:val="00032234"/>
    <w:rsid w:val="00032C49"/>
    <w:rsid w:val="000339BC"/>
    <w:rsid w:val="00033E4E"/>
    <w:rsid w:val="0003470E"/>
    <w:rsid w:val="00034A89"/>
    <w:rsid w:val="00034D87"/>
    <w:rsid w:val="00035B5F"/>
    <w:rsid w:val="00036C7B"/>
    <w:rsid w:val="00037A56"/>
    <w:rsid w:val="00040A8F"/>
    <w:rsid w:val="000414E0"/>
    <w:rsid w:val="000431F4"/>
    <w:rsid w:val="0004366A"/>
    <w:rsid w:val="00044C23"/>
    <w:rsid w:val="00045172"/>
    <w:rsid w:val="00045968"/>
    <w:rsid w:val="00045B29"/>
    <w:rsid w:val="00046075"/>
    <w:rsid w:val="00046379"/>
    <w:rsid w:val="00046588"/>
    <w:rsid w:val="00047AA0"/>
    <w:rsid w:val="00050AB1"/>
    <w:rsid w:val="00051A55"/>
    <w:rsid w:val="00051DB5"/>
    <w:rsid w:val="00052BCD"/>
    <w:rsid w:val="00052EFD"/>
    <w:rsid w:val="000554B1"/>
    <w:rsid w:val="0005636C"/>
    <w:rsid w:val="000576BF"/>
    <w:rsid w:val="000601A8"/>
    <w:rsid w:val="000620CB"/>
    <w:rsid w:val="00062188"/>
    <w:rsid w:val="000635E4"/>
    <w:rsid w:val="00064279"/>
    <w:rsid w:val="00064CA7"/>
    <w:rsid w:val="0006764D"/>
    <w:rsid w:val="000678F1"/>
    <w:rsid w:val="000704DC"/>
    <w:rsid w:val="000704E8"/>
    <w:rsid w:val="00071BCD"/>
    <w:rsid w:val="0007232D"/>
    <w:rsid w:val="0007240C"/>
    <w:rsid w:val="00074F2D"/>
    <w:rsid w:val="00075E7F"/>
    <w:rsid w:val="000760AA"/>
    <w:rsid w:val="000766FC"/>
    <w:rsid w:val="00076AAF"/>
    <w:rsid w:val="000773D9"/>
    <w:rsid w:val="00077CA7"/>
    <w:rsid w:val="00082260"/>
    <w:rsid w:val="0008282C"/>
    <w:rsid w:val="00082CA3"/>
    <w:rsid w:val="00082E77"/>
    <w:rsid w:val="000830D8"/>
    <w:rsid w:val="00083898"/>
    <w:rsid w:val="00083D53"/>
    <w:rsid w:val="00085784"/>
    <w:rsid w:val="00085A07"/>
    <w:rsid w:val="00085DBB"/>
    <w:rsid w:val="00086EFE"/>
    <w:rsid w:val="00087CCE"/>
    <w:rsid w:val="00090F33"/>
    <w:rsid w:val="0009188C"/>
    <w:rsid w:val="000923D2"/>
    <w:rsid w:val="000930D3"/>
    <w:rsid w:val="000931F2"/>
    <w:rsid w:val="00094070"/>
    <w:rsid w:val="00094BA6"/>
    <w:rsid w:val="0009596C"/>
    <w:rsid w:val="00096AC3"/>
    <w:rsid w:val="00096AC8"/>
    <w:rsid w:val="0009754B"/>
    <w:rsid w:val="000A0A13"/>
    <w:rsid w:val="000A0C19"/>
    <w:rsid w:val="000A288A"/>
    <w:rsid w:val="000A3298"/>
    <w:rsid w:val="000A4824"/>
    <w:rsid w:val="000A543D"/>
    <w:rsid w:val="000A5A02"/>
    <w:rsid w:val="000A6AA9"/>
    <w:rsid w:val="000A6E7D"/>
    <w:rsid w:val="000A742E"/>
    <w:rsid w:val="000A77A6"/>
    <w:rsid w:val="000A7EFC"/>
    <w:rsid w:val="000B3535"/>
    <w:rsid w:val="000B6B87"/>
    <w:rsid w:val="000B6C5F"/>
    <w:rsid w:val="000B7802"/>
    <w:rsid w:val="000C0259"/>
    <w:rsid w:val="000C2291"/>
    <w:rsid w:val="000C2B36"/>
    <w:rsid w:val="000C3544"/>
    <w:rsid w:val="000C35DE"/>
    <w:rsid w:val="000C3C23"/>
    <w:rsid w:val="000C42EE"/>
    <w:rsid w:val="000C5360"/>
    <w:rsid w:val="000C5FDC"/>
    <w:rsid w:val="000D0BC9"/>
    <w:rsid w:val="000D10C5"/>
    <w:rsid w:val="000D16D5"/>
    <w:rsid w:val="000D3B4E"/>
    <w:rsid w:val="000D47EB"/>
    <w:rsid w:val="000D50CC"/>
    <w:rsid w:val="000D69B3"/>
    <w:rsid w:val="000D6DFD"/>
    <w:rsid w:val="000D6FA8"/>
    <w:rsid w:val="000E0217"/>
    <w:rsid w:val="000E087B"/>
    <w:rsid w:val="000E0B37"/>
    <w:rsid w:val="000E1171"/>
    <w:rsid w:val="000E131D"/>
    <w:rsid w:val="000E2343"/>
    <w:rsid w:val="000E2E01"/>
    <w:rsid w:val="000E373B"/>
    <w:rsid w:val="000E3D6F"/>
    <w:rsid w:val="000E3FBC"/>
    <w:rsid w:val="000E4290"/>
    <w:rsid w:val="000E4405"/>
    <w:rsid w:val="000E5040"/>
    <w:rsid w:val="000E55A2"/>
    <w:rsid w:val="000E58D2"/>
    <w:rsid w:val="000E5A94"/>
    <w:rsid w:val="000E5D39"/>
    <w:rsid w:val="000F07C5"/>
    <w:rsid w:val="000F12C7"/>
    <w:rsid w:val="000F17BC"/>
    <w:rsid w:val="000F26C4"/>
    <w:rsid w:val="000F34AA"/>
    <w:rsid w:val="000F5070"/>
    <w:rsid w:val="000F5395"/>
    <w:rsid w:val="000F60FF"/>
    <w:rsid w:val="000F7D0F"/>
    <w:rsid w:val="00101922"/>
    <w:rsid w:val="001023CB"/>
    <w:rsid w:val="001029FB"/>
    <w:rsid w:val="00102EBC"/>
    <w:rsid w:val="00103AB3"/>
    <w:rsid w:val="00103D0C"/>
    <w:rsid w:val="00103EAE"/>
    <w:rsid w:val="00105CB4"/>
    <w:rsid w:val="00106622"/>
    <w:rsid w:val="001103E0"/>
    <w:rsid w:val="0011080D"/>
    <w:rsid w:val="001116EF"/>
    <w:rsid w:val="00111DEB"/>
    <w:rsid w:val="00111EC2"/>
    <w:rsid w:val="001123ED"/>
    <w:rsid w:val="00112CF2"/>
    <w:rsid w:val="00113442"/>
    <w:rsid w:val="00114200"/>
    <w:rsid w:val="00114BF9"/>
    <w:rsid w:val="00114E22"/>
    <w:rsid w:val="00115671"/>
    <w:rsid w:val="00116FD0"/>
    <w:rsid w:val="00121519"/>
    <w:rsid w:val="00122DA6"/>
    <w:rsid w:val="00125D2E"/>
    <w:rsid w:val="00126A7B"/>
    <w:rsid w:val="00127728"/>
    <w:rsid w:val="00130041"/>
    <w:rsid w:val="00131A47"/>
    <w:rsid w:val="00132CFA"/>
    <w:rsid w:val="0013345B"/>
    <w:rsid w:val="00133EBC"/>
    <w:rsid w:val="00134FB2"/>
    <w:rsid w:val="0013565B"/>
    <w:rsid w:val="001361F5"/>
    <w:rsid w:val="0013726E"/>
    <w:rsid w:val="001374F3"/>
    <w:rsid w:val="00142792"/>
    <w:rsid w:val="0014405C"/>
    <w:rsid w:val="00144690"/>
    <w:rsid w:val="00145C08"/>
    <w:rsid w:val="001460CF"/>
    <w:rsid w:val="00146CB5"/>
    <w:rsid w:val="00147CE0"/>
    <w:rsid w:val="00147F03"/>
    <w:rsid w:val="0015055C"/>
    <w:rsid w:val="00150815"/>
    <w:rsid w:val="00151B8F"/>
    <w:rsid w:val="001523BE"/>
    <w:rsid w:val="00153368"/>
    <w:rsid w:val="0015345F"/>
    <w:rsid w:val="00153DAC"/>
    <w:rsid w:val="00154A3A"/>
    <w:rsid w:val="00155725"/>
    <w:rsid w:val="00156CE4"/>
    <w:rsid w:val="0016186A"/>
    <w:rsid w:val="00162762"/>
    <w:rsid w:val="00162797"/>
    <w:rsid w:val="00164269"/>
    <w:rsid w:val="0016524B"/>
    <w:rsid w:val="00165DAA"/>
    <w:rsid w:val="0016772A"/>
    <w:rsid w:val="00170590"/>
    <w:rsid w:val="0017416C"/>
    <w:rsid w:val="00174C4A"/>
    <w:rsid w:val="00174E1B"/>
    <w:rsid w:val="00174F0C"/>
    <w:rsid w:val="001750E1"/>
    <w:rsid w:val="00175699"/>
    <w:rsid w:val="00175D17"/>
    <w:rsid w:val="00175F91"/>
    <w:rsid w:val="00176843"/>
    <w:rsid w:val="00177114"/>
    <w:rsid w:val="00177184"/>
    <w:rsid w:val="00177241"/>
    <w:rsid w:val="00177AB6"/>
    <w:rsid w:val="001818ED"/>
    <w:rsid w:val="0018199D"/>
    <w:rsid w:val="00182A1C"/>
    <w:rsid w:val="00184023"/>
    <w:rsid w:val="00184562"/>
    <w:rsid w:val="00184811"/>
    <w:rsid w:val="00184B1F"/>
    <w:rsid w:val="00184B5B"/>
    <w:rsid w:val="00186741"/>
    <w:rsid w:val="00186FD8"/>
    <w:rsid w:val="001876CB"/>
    <w:rsid w:val="00187901"/>
    <w:rsid w:val="00187EA8"/>
    <w:rsid w:val="001903EE"/>
    <w:rsid w:val="00190437"/>
    <w:rsid w:val="001949D7"/>
    <w:rsid w:val="00194D27"/>
    <w:rsid w:val="00194EDD"/>
    <w:rsid w:val="0019565E"/>
    <w:rsid w:val="0019662A"/>
    <w:rsid w:val="001971B7"/>
    <w:rsid w:val="00197915"/>
    <w:rsid w:val="001A035E"/>
    <w:rsid w:val="001A05E4"/>
    <w:rsid w:val="001A0D0A"/>
    <w:rsid w:val="001A1D68"/>
    <w:rsid w:val="001A2C87"/>
    <w:rsid w:val="001A3AD7"/>
    <w:rsid w:val="001A4C55"/>
    <w:rsid w:val="001A4CE1"/>
    <w:rsid w:val="001A5174"/>
    <w:rsid w:val="001A54EB"/>
    <w:rsid w:val="001A6C8F"/>
    <w:rsid w:val="001A6E20"/>
    <w:rsid w:val="001A7A09"/>
    <w:rsid w:val="001B0D18"/>
    <w:rsid w:val="001B2C55"/>
    <w:rsid w:val="001B2EF8"/>
    <w:rsid w:val="001B3DD8"/>
    <w:rsid w:val="001B3F8F"/>
    <w:rsid w:val="001B566E"/>
    <w:rsid w:val="001B5791"/>
    <w:rsid w:val="001B599A"/>
    <w:rsid w:val="001B6F28"/>
    <w:rsid w:val="001B7899"/>
    <w:rsid w:val="001B7A62"/>
    <w:rsid w:val="001B7CA0"/>
    <w:rsid w:val="001C0EC9"/>
    <w:rsid w:val="001C3B27"/>
    <w:rsid w:val="001C3C2F"/>
    <w:rsid w:val="001C5127"/>
    <w:rsid w:val="001C5A46"/>
    <w:rsid w:val="001C5FE4"/>
    <w:rsid w:val="001C613A"/>
    <w:rsid w:val="001C641D"/>
    <w:rsid w:val="001C6833"/>
    <w:rsid w:val="001C7397"/>
    <w:rsid w:val="001C75A4"/>
    <w:rsid w:val="001D158C"/>
    <w:rsid w:val="001D19C8"/>
    <w:rsid w:val="001D22E5"/>
    <w:rsid w:val="001D5791"/>
    <w:rsid w:val="001D5F17"/>
    <w:rsid w:val="001D6D90"/>
    <w:rsid w:val="001D75A2"/>
    <w:rsid w:val="001E0617"/>
    <w:rsid w:val="001E500B"/>
    <w:rsid w:val="001E5D6B"/>
    <w:rsid w:val="001E6BA0"/>
    <w:rsid w:val="001F0F18"/>
    <w:rsid w:val="001F1B92"/>
    <w:rsid w:val="001F31DF"/>
    <w:rsid w:val="001F33E2"/>
    <w:rsid w:val="001F364D"/>
    <w:rsid w:val="001F433B"/>
    <w:rsid w:val="001F6605"/>
    <w:rsid w:val="001F6922"/>
    <w:rsid w:val="001F6AE1"/>
    <w:rsid w:val="00200B9E"/>
    <w:rsid w:val="00201322"/>
    <w:rsid w:val="0020413B"/>
    <w:rsid w:val="00204609"/>
    <w:rsid w:val="00204997"/>
    <w:rsid w:val="002049F0"/>
    <w:rsid w:val="00205E97"/>
    <w:rsid w:val="00206B27"/>
    <w:rsid w:val="00206FF7"/>
    <w:rsid w:val="002072E3"/>
    <w:rsid w:val="00207B0C"/>
    <w:rsid w:val="00210AF8"/>
    <w:rsid w:val="00211321"/>
    <w:rsid w:val="00212221"/>
    <w:rsid w:val="00212A16"/>
    <w:rsid w:val="002131E4"/>
    <w:rsid w:val="00213EEF"/>
    <w:rsid w:val="002140CF"/>
    <w:rsid w:val="0021438C"/>
    <w:rsid w:val="0021450B"/>
    <w:rsid w:val="00220951"/>
    <w:rsid w:val="00220A39"/>
    <w:rsid w:val="002214FB"/>
    <w:rsid w:val="00221F99"/>
    <w:rsid w:val="002233D9"/>
    <w:rsid w:val="00223F0C"/>
    <w:rsid w:val="0022798F"/>
    <w:rsid w:val="002305AA"/>
    <w:rsid w:val="002314EB"/>
    <w:rsid w:val="00231CC7"/>
    <w:rsid w:val="00231E9B"/>
    <w:rsid w:val="00234558"/>
    <w:rsid w:val="00234931"/>
    <w:rsid w:val="00234E46"/>
    <w:rsid w:val="00234E8F"/>
    <w:rsid w:val="00235117"/>
    <w:rsid w:val="00235908"/>
    <w:rsid w:val="00235C76"/>
    <w:rsid w:val="002364A0"/>
    <w:rsid w:val="00236F6A"/>
    <w:rsid w:val="00237AF7"/>
    <w:rsid w:val="00241E30"/>
    <w:rsid w:val="00242A1E"/>
    <w:rsid w:val="00243709"/>
    <w:rsid w:val="00243CDA"/>
    <w:rsid w:val="00244BC8"/>
    <w:rsid w:val="00245E31"/>
    <w:rsid w:val="00245F3B"/>
    <w:rsid w:val="00245FE3"/>
    <w:rsid w:val="00246C22"/>
    <w:rsid w:val="00246CCB"/>
    <w:rsid w:val="00247A8E"/>
    <w:rsid w:val="00247AE3"/>
    <w:rsid w:val="00250C3C"/>
    <w:rsid w:val="00252421"/>
    <w:rsid w:val="00252CB0"/>
    <w:rsid w:val="00252D8E"/>
    <w:rsid w:val="00254514"/>
    <w:rsid w:val="00254E34"/>
    <w:rsid w:val="0025516C"/>
    <w:rsid w:val="0025609B"/>
    <w:rsid w:val="00256322"/>
    <w:rsid w:val="002568C6"/>
    <w:rsid w:val="00256A42"/>
    <w:rsid w:val="00256F63"/>
    <w:rsid w:val="002603E0"/>
    <w:rsid w:val="0026196E"/>
    <w:rsid w:val="00261CCE"/>
    <w:rsid w:val="002624F8"/>
    <w:rsid w:val="00262E2C"/>
    <w:rsid w:val="00263D0B"/>
    <w:rsid w:val="00265CEC"/>
    <w:rsid w:val="00267AAE"/>
    <w:rsid w:val="0027116D"/>
    <w:rsid w:val="00271385"/>
    <w:rsid w:val="00271BE7"/>
    <w:rsid w:val="0027265A"/>
    <w:rsid w:val="00272AC7"/>
    <w:rsid w:val="00273B53"/>
    <w:rsid w:val="00274DF6"/>
    <w:rsid w:val="0027523F"/>
    <w:rsid w:val="0027547D"/>
    <w:rsid w:val="0027593C"/>
    <w:rsid w:val="00275EC6"/>
    <w:rsid w:val="0028013D"/>
    <w:rsid w:val="002801CF"/>
    <w:rsid w:val="00280C2E"/>
    <w:rsid w:val="00281511"/>
    <w:rsid w:val="002817B1"/>
    <w:rsid w:val="00281933"/>
    <w:rsid w:val="00282802"/>
    <w:rsid w:val="00282AD7"/>
    <w:rsid w:val="00282E8F"/>
    <w:rsid w:val="00285A49"/>
    <w:rsid w:val="00285C51"/>
    <w:rsid w:val="00286E47"/>
    <w:rsid w:val="00287A53"/>
    <w:rsid w:val="00290F2B"/>
    <w:rsid w:val="002913EB"/>
    <w:rsid w:val="00291D8A"/>
    <w:rsid w:val="0029399E"/>
    <w:rsid w:val="002948D2"/>
    <w:rsid w:val="002967A3"/>
    <w:rsid w:val="00296F54"/>
    <w:rsid w:val="002978A6"/>
    <w:rsid w:val="002A1BB9"/>
    <w:rsid w:val="002A1F22"/>
    <w:rsid w:val="002A2129"/>
    <w:rsid w:val="002A2E83"/>
    <w:rsid w:val="002A3235"/>
    <w:rsid w:val="002A33E7"/>
    <w:rsid w:val="002A3712"/>
    <w:rsid w:val="002A3C45"/>
    <w:rsid w:val="002A41A2"/>
    <w:rsid w:val="002A428A"/>
    <w:rsid w:val="002A57E8"/>
    <w:rsid w:val="002A5AAF"/>
    <w:rsid w:val="002A6A31"/>
    <w:rsid w:val="002A6D1E"/>
    <w:rsid w:val="002A6E7F"/>
    <w:rsid w:val="002B0E60"/>
    <w:rsid w:val="002B318F"/>
    <w:rsid w:val="002B343A"/>
    <w:rsid w:val="002B358D"/>
    <w:rsid w:val="002B3783"/>
    <w:rsid w:val="002C05CF"/>
    <w:rsid w:val="002C0A8A"/>
    <w:rsid w:val="002C192D"/>
    <w:rsid w:val="002C3210"/>
    <w:rsid w:val="002C3534"/>
    <w:rsid w:val="002C36B5"/>
    <w:rsid w:val="002C4A9F"/>
    <w:rsid w:val="002C4DD4"/>
    <w:rsid w:val="002C5989"/>
    <w:rsid w:val="002C79E2"/>
    <w:rsid w:val="002C7E75"/>
    <w:rsid w:val="002D1192"/>
    <w:rsid w:val="002D1D10"/>
    <w:rsid w:val="002D229D"/>
    <w:rsid w:val="002D2911"/>
    <w:rsid w:val="002D2CC6"/>
    <w:rsid w:val="002D3E79"/>
    <w:rsid w:val="002D4290"/>
    <w:rsid w:val="002D4440"/>
    <w:rsid w:val="002D5859"/>
    <w:rsid w:val="002D58AE"/>
    <w:rsid w:val="002D63D8"/>
    <w:rsid w:val="002D75C0"/>
    <w:rsid w:val="002D7964"/>
    <w:rsid w:val="002E032E"/>
    <w:rsid w:val="002E0506"/>
    <w:rsid w:val="002E0928"/>
    <w:rsid w:val="002E31C7"/>
    <w:rsid w:val="002E32DA"/>
    <w:rsid w:val="002E3925"/>
    <w:rsid w:val="002E3AC4"/>
    <w:rsid w:val="002E4EEE"/>
    <w:rsid w:val="002E78E6"/>
    <w:rsid w:val="002F04BA"/>
    <w:rsid w:val="002F0FCC"/>
    <w:rsid w:val="002F1240"/>
    <w:rsid w:val="002F1622"/>
    <w:rsid w:val="002F285A"/>
    <w:rsid w:val="002F2D93"/>
    <w:rsid w:val="002F32C5"/>
    <w:rsid w:val="002F379E"/>
    <w:rsid w:val="002F4945"/>
    <w:rsid w:val="002F5BB7"/>
    <w:rsid w:val="002F6CFF"/>
    <w:rsid w:val="002F6F16"/>
    <w:rsid w:val="002F7BBC"/>
    <w:rsid w:val="00300108"/>
    <w:rsid w:val="003003B4"/>
    <w:rsid w:val="003004E6"/>
    <w:rsid w:val="00300F12"/>
    <w:rsid w:val="00302780"/>
    <w:rsid w:val="003027CC"/>
    <w:rsid w:val="003032DC"/>
    <w:rsid w:val="003033FB"/>
    <w:rsid w:val="003042DA"/>
    <w:rsid w:val="00304F56"/>
    <w:rsid w:val="003051C7"/>
    <w:rsid w:val="003053A0"/>
    <w:rsid w:val="00306376"/>
    <w:rsid w:val="003068F4"/>
    <w:rsid w:val="00307B53"/>
    <w:rsid w:val="00307FC9"/>
    <w:rsid w:val="003107C9"/>
    <w:rsid w:val="003113C0"/>
    <w:rsid w:val="00311454"/>
    <w:rsid w:val="00311848"/>
    <w:rsid w:val="00311C80"/>
    <w:rsid w:val="00313151"/>
    <w:rsid w:val="003144A8"/>
    <w:rsid w:val="00314FF6"/>
    <w:rsid w:val="003164EF"/>
    <w:rsid w:val="00316B0B"/>
    <w:rsid w:val="00317665"/>
    <w:rsid w:val="0032045A"/>
    <w:rsid w:val="00322350"/>
    <w:rsid w:val="00322A08"/>
    <w:rsid w:val="00322FE0"/>
    <w:rsid w:val="00323904"/>
    <w:rsid w:val="00325C6F"/>
    <w:rsid w:val="00326A2A"/>
    <w:rsid w:val="0032720F"/>
    <w:rsid w:val="00327517"/>
    <w:rsid w:val="00327717"/>
    <w:rsid w:val="003304E1"/>
    <w:rsid w:val="00331C35"/>
    <w:rsid w:val="0033232D"/>
    <w:rsid w:val="003327DB"/>
    <w:rsid w:val="00332E10"/>
    <w:rsid w:val="00332F3B"/>
    <w:rsid w:val="003359EC"/>
    <w:rsid w:val="00335DBD"/>
    <w:rsid w:val="003364FF"/>
    <w:rsid w:val="003404EA"/>
    <w:rsid w:val="00340AD1"/>
    <w:rsid w:val="00341410"/>
    <w:rsid w:val="00341BFA"/>
    <w:rsid w:val="00342603"/>
    <w:rsid w:val="00342AEF"/>
    <w:rsid w:val="00342FA0"/>
    <w:rsid w:val="00343E72"/>
    <w:rsid w:val="00344E78"/>
    <w:rsid w:val="00347137"/>
    <w:rsid w:val="00347676"/>
    <w:rsid w:val="00351078"/>
    <w:rsid w:val="00351690"/>
    <w:rsid w:val="00352385"/>
    <w:rsid w:val="003526EC"/>
    <w:rsid w:val="003532BC"/>
    <w:rsid w:val="003543D8"/>
    <w:rsid w:val="0035544D"/>
    <w:rsid w:val="003559FA"/>
    <w:rsid w:val="00356B62"/>
    <w:rsid w:val="00356C3D"/>
    <w:rsid w:val="00360C9A"/>
    <w:rsid w:val="00362B4A"/>
    <w:rsid w:val="0036301E"/>
    <w:rsid w:val="0036371C"/>
    <w:rsid w:val="00363E91"/>
    <w:rsid w:val="00364D06"/>
    <w:rsid w:val="00365276"/>
    <w:rsid w:val="0036632F"/>
    <w:rsid w:val="003668C1"/>
    <w:rsid w:val="00366F95"/>
    <w:rsid w:val="0036704B"/>
    <w:rsid w:val="0036797A"/>
    <w:rsid w:val="00367AC5"/>
    <w:rsid w:val="0037094D"/>
    <w:rsid w:val="003709EB"/>
    <w:rsid w:val="00371365"/>
    <w:rsid w:val="00371B1B"/>
    <w:rsid w:val="00371B1F"/>
    <w:rsid w:val="0037232C"/>
    <w:rsid w:val="0037247D"/>
    <w:rsid w:val="0037287F"/>
    <w:rsid w:val="00372CBB"/>
    <w:rsid w:val="00372E4A"/>
    <w:rsid w:val="003736F1"/>
    <w:rsid w:val="00376198"/>
    <w:rsid w:val="00376E24"/>
    <w:rsid w:val="003805B0"/>
    <w:rsid w:val="00381A18"/>
    <w:rsid w:val="0038214B"/>
    <w:rsid w:val="00382389"/>
    <w:rsid w:val="003846CB"/>
    <w:rsid w:val="00385A09"/>
    <w:rsid w:val="00385BA5"/>
    <w:rsid w:val="00386AA9"/>
    <w:rsid w:val="00387F6C"/>
    <w:rsid w:val="003903D6"/>
    <w:rsid w:val="003908CD"/>
    <w:rsid w:val="003908D4"/>
    <w:rsid w:val="00390EA3"/>
    <w:rsid w:val="00390ED8"/>
    <w:rsid w:val="0039108E"/>
    <w:rsid w:val="00392BBF"/>
    <w:rsid w:val="00393494"/>
    <w:rsid w:val="00393CE6"/>
    <w:rsid w:val="00395794"/>
    <w:rsid w:val="00395A74"/>
    <w:rsid w:val="00395AA4"/>
    <w:rsid w:val="00396A18"/>
    <w:rsid w:val="00397807"/>
    <w:rsid w:val="003978C9"/>
    <w:rsid w:val="003A03C1"/>
    <w:rsid w:val="003A1FD9"/>
    <w:rsid w:val="003A3877"/>
    <w:rsid w:val="003A454F"/>
    <w:rsid w:val="003A5F34"/>
    <w:rsid w:val="003A6923"/>
    <w:rsid w:val="003A6D78"/>
    <w:rsid w:val="003B094A"/>
    <w:rsid w:val="003B0D41"/>
    <w:rsid w:val="003B18AB"/>
    <w:rsid w:val="003B1C38"/>
    <w:rsid w:val="003B1DCE"/>
    <w:rsid w:val="003B32DF"/>
    <w:rsid w:val="003B3526"/>
    <w:rsid w:val="003B3E99"/>
    <w:rsid w:val="003B44F5"/>
    <w:rsid w:val="003B54EF"/>
    <w:rsid w:val="003B5988"/>
    <w:rsid w:val="003B5D6A"/>
    <w:rsid w:val="003B7A4D"/>
    <w:rsid w:val="003C0788"/>
    <w:rsid w:val="003C1A4E"/>
    <w:rsid w:val="003C2154"/>
    <w:rsid w:val="003E0B75"/>
    <w:rsid w:val="003E186F"/>
    <w:rsid w:val="003E18D5"/>
    <w:rsid w:val="003E1D72"/>
    <w:rsid w:val="003E34BF"/>
    <w:rsid w:val="003E4731"/>
    <w:rsid w:val="003E4982"/>
    <w:rsid w:val="003E536E"/>
    <w:rsid w:val="003E5DE8"/>
    <w:rsid w:val="003E5EC7"/>
    <w:rsid w:val="003E6BB4"/>
    <w:rsid w:val="003E7013"/>
    <w:rsid w:val="003F02A6"/>
    <w:rsid w:val="003F0B15"/>
    <w:rsid w:val="003F14A0"/>
    <w:rsid w:val="003F4E20"/>
    <w:rsid w:val="003F51EE"/>
    <w:rsid w:val="003F56A6"/>
    <w:rsid w:val="003F6C94"/>
    <w:rsid w:val="003F6F13"/>
    <w:rsid w:val="00400190"/>
    <w:rsid w:val="00402E62"/>
    <w:rsid w:val="00402F72"/>
    <w:rsid w:val="00403716"/>
    <w:rsid w:val="00404E1B"/>
    <w:rsid w:val="0040532B"/>
    <w:rsid w:val="00405382"/>
    <w:rsid w:val="004059C1"/>
    <w:rsid w:val="00406926"/>
    <w:rsid w:val="00406D07"/>
    <w:rsid w:val="00406E77"/>
    <w:rsid w:val="00410C0B"/>
    <w:rsid w:val="0041316F"/>
    <w:rsid w:val="004133E0"/>
    <w:rsid w:val="0041417C"/>
    <w:rsid w:val="0041459B"/>
    <w:rsid w:val="004148C6"/>
    <w:rsid w:val="00414F2B"/>
    <w:rsid w:val="004154DE"/>
    <w:rsid w:val="00415AC6"/>
    <w:rsid w:val="00415CC9"/>
    <w:rsid w:val="00415EC4"/>
    <w:rsid w:val="004165D8"/>
    <w:rsid w:val="00416733"/>
    <w:rsid w:val="00416DE7"/>
    <w:rsid w:val="00416F2D"/>
    <w:rsid w:val="00417D99"/>
    <w:rsid w:val="00417EDC"/>
    <w:rsid w:val="00420158"/>
    <w:rsid w:val="0042315C"/>
    <w:rsid w:val="0042327A"/>
    <w:rsid w:val="00423E30"/>
    <w:rsid w:val="004244EA"/>
    <w:rsid w:val="00424FCF"/>
    <w:rsid w:val="004255CC"/>
    <w:rsid w:val="0042702F"/>
    <w:rsid w:val="0042733D"/>
    <w:rsid w:val="004307DE"/>
    <w:rsid w:val="00431D0F"/>
    <w:rsid w:val="00432031"/>
    <w:rsid w:val="00432B4F"/>
    <w:rsid w:val="004336D5"/>
    <w:rsid w:val="00435AF5"/>
    <w:rsid w:val="00435B07"/>
    <w:rsid w:val="00436374"/>
    <w:rsid w:val="0043678A"/>
    <w:rsid w:val="0043683B"/>
    <w:rsid w:val="00437192"/>
    <w:rsid w:val="00440AAB"/>
    <w:rsid w:val="0044350F"/>
    <w:rsid w:val="00443696"/>
    <w:rsid w:val="00443B8E"/>
    <w:rsid w:val="00446490"/>
    <w:rsid w:val="00446716"/>
    <w:rsid w:val="004472FD"/>
    <w:rsid w:val="0044746B"/>
    <w:rsid w:val="00447F2C"/>
    <w:rsid w:val="0045047C"/>
    <w:rsid w:val="004524BF"/>
    <w:rsid w:val="00452D8E"/>
    <w:rsid w:val="00453023"/>
    <w:rsid w:val="00453403"/>
    <w:rsid w:val="0045384D"/>
    <w:rsid w:val="0045409A"/>
    <w:rsid w:val="004543F1"/>
    <w:rsid w:val="004549E0"/>
    <w:rsid w:val="00456EC6"/>
    <w:rsid w:val="00460627"/>
    <w:rsid w:val="004629C0"/>
    <w:rsid w:val="004632F4"/>
    <w:rsid w:val="004639F7"/>
    <w:rsid w:val="00463B81"/>
    <w:rsid w:val="00465A7E"/>
    <w:rsid w:val="004679BD"/>
    <w:rsid w:val="00467B2F"/>
    <w:rsid w:val="00470674"/>
    <w:rsid w:val="00471BC2"/>
    <w:rsid w:val="0047236D"/>
    <w:rsid w:val="004728AA"/>
    <w:rsid w:val="00472A4E"/>
    <w:rsid w:val="00472FC3"/>
    <w:rsid w:val="0047328A"/>
    <w:rsid w:val="0047347C"/>
    <w:rsid w:val="00474C84"/>
    <w:rsid w:val="00474D2E"/>
    <w:rsid w:val="0047544D"/>
    <w:rsid w:val="00475C7E"/>
    <w:rsid w:val="00476FC5"/>
    <w:rsid w:val="0047797E"/>
    <w:rsid w:val="00480369"/>
    <w:rsid w:val="004809A1"/>
    <w:rsid w:val="00480FFB"/>
    <w:rsid w:val="00481827"/>
    <w:rsid w:val="00482057"/>
    <w:rsid w:val="0048224C"/>
    <w:rsid w:val="00482647"/>
    <w:rsid w:val="00482720"/>
    <w:rsid w:val="00482DAF"/>
    <w:rsid w:val="004830B8"/>
    <w:rsid w:val="00483B3E"/>
    <w:rsid w:val="004857FD"/>
    <w:rsid w:val="00485FB1"/>
    <w:rsid w:val="00486D98"/>
    <w:rsid w:val="004872A0"/>
    <w:rsid w:val="00487643"/>
    <w:rsid w:val="00487F6E"/>
    <w:rsid w:val="004906DE"/>
    <w:rsid w:val="00490F9F"/>
    <w:rsid w:val="00492F27"/>
    <w:rsid w:val="00493128"/>
    <w:rsid w:val="00493D07"/>
    <w:rsid w:val="00495258"/>
    <w:rsid w:val="00495D21"/>
    <w:rsid w:val="004970A8"/>
    <w:rsid w:val="00497819"/>
    <w:rsid w:val="004A00C2"/>
    <w:rsid w:val="004A1543"/>
    <w:rsid w:val="004A1577"/>
    <w:rsid w:val="004A1782"/>
    <w:rsid w:val="004A1E8C"/>
    <w:rsid w:val="004A26E6"/>
    <w:rsid w:val="004A2BC9"/>
    <w:rsid w:val="004A2C22"/>
    <w:rsid w:val="004A3B89"/>
    <w:rsid w:val="004A5486"/>
    <w:rsid w:val="004A5E5F"/>
    <w:rsid w:val="004A5F88"/>
    <w:rsid w:val="004A670B"/>
    <w:rsid w:val="004A696A"/>
    <w:rsid w:val="004A794B"/>
    <w:rsid w:val="004A7FE5"/>
    <w:rsid w:val="004B137A"/>
    <w:rsid w:val="004B14AF"/>
    <w:rsid w:val="004B2983"/>
    <w:rsid w:val="004B2BEF"/>
    <w:rsid w:val="004B3FB5"/>
    <w:rsid w:val="004B4861"/>
    <w:rsid w:val="004B7D1C"/>
    <w:rsid w:val="004B7EB4"/>
    <w:rsid w:val="004B7F5C"/>
    <w:rsid w:val="004C02BA"/>
    <w:rsid w:val="004C0A95"/>
    <w:rsid w:val="004C2B28"/>
    <w:rsid w:val="004C2E83"/>
    <w:rsid w:val="004C3196"/>
    <w:rsid w:val="004C52C0"/>
    <w:rsid w:val="004C55E0"/>
    <w:rsid w:val="004C55FB"/>
    <w:rsid w:val="004C5D93"/>
    <w:rsid w:val="004C5EAA"/>
    <w:rsid w:val="004C6A05"/>
    <w:rsid w:val="004C7D8C"/>
    <w:rsid w:val="004D0224"/>
    <w:rsid w:val="004D0821"/>
    <w:rsid w:val="004D1519"/>
    <w:rsid w:val="004D206F"/>
    <w:rsid w:val="004D25C0"/>
    <w:rsid w:val="004D2F72"/>
    <w:rsid w:val="004D4E9D"/>
    <w:rsid w:val="004D513C"/>
    <w:rsid w:val="004D5A04"/>
    <w:rsid w:val="004D5D82"/>
    <w:rsid w:val="004D6195"/>
    <w:rsid w:val="004D785F"/>
    <w:rsid w:val="004E066E"/>
    <w:rsid w:val="004E0B53"/>
    <w:rsid w:val="004E1B55"/>
    <w:rsid w:val="004E1FAF"/>
    <w:rsid w:val="004E201B"/>
    <w:rsid w:val="004E441B"/>
    <w:rsid w:val="004E447A"/>
    <w:rsid w:val="004E48C7"/>
    <w:rsid w:val="004E4B81"/>
    <w:rsid w:val="004E501E"/>
    <w:rsid w:val="004E5277"/>
    <w:rsid w:val="004E56D3"/>
    <w:rsid w:val="004E6F29"/>
    <w:rsid w:val="004F001B"/>
    <w:rsid w:val="004F074E"/>
    <w:rsid w:val="004F083A"/>
    <w:rsid w:val="004F197A"/>
    <w:rsid w:val="004F1A79"/>
    <w:rsid w:val="004F4942"/>
    <w:rsid w:val="004F498A"/>
    <w:rsid w:val="004F648B"/>
    <w:rsid w:val="004F6844"/>
    <w:rsid w:val="004F7098"/>
    <w:rsid w:val="00500601"/>
    <w:rsid w:val="00500C70"/>
    <w:rsid w:val="00500DD2"/>
    <w:rsid w:val="00500F48"/>
    <w:rsid w:val="00501F74"/>
    <w:rsid w:val="0050337D"/>
    <w:rsid w:val="00503E09"/>
    <w:rsid w:val="005052F1"/>
    <w:rsid w:val="0050543C"/>
    <w:rsid w:val="00505542"/>
    <w:rsid w:val="00505C59"/>
    <w:rsid w:val="005069A1"/>
    <w:rsid w:val="005070BA"/>
    <w:rsid w:val="00507946"/>
    <w:rsid w:val="00512197"/>
    <w:rsid w:val="005124B5"/>
    <w:rsid w:val="00512643"/>
    <w:rsid w:val="005126FE"/>
    <w:rsid w:val="00512A25"/>
    <w:rsid w:val="00512E51"/>
    <w:rsid w:val="00513C1E"/>
    <w:rsid w:val="005145A4"/>
    <w:rsid w:val="00516975"/>
    <w:rsid w:val="00516A3B"/>
    <w:rsid w:val="005178F7"/>
    <w:rsid w:val="00520EF8"/>
    <w:rsid w:val="00521A76"/>
    <w:rsid w:val="00521B38"/>
    <w:rsid w:val="00522454"/>
    <w:rsid w:val="005262A0"/>
    <w:rsid w:val="00526FB4"/>
    <w:rsid w:val="00530E00"/>
    <w:rsid w:val="005310D8"/>
    <w:rsid w:val="005319F6"/>
    <w:rsid w:val="00531D33"/>
    <w:rsid w:val="005328AE"/>
    <w:rsid w:val="005329A0"/>
    <w:rsid w:val="0053336C"/>
    <w:rsid w:val="00533929"/>
    <w:rsid w:val="00535C7E"/>
    <w:rsid w:val="00535D40"/>
    <w:rsid w:val="00536296"/>
    <w:rsid w:val="00536FE8"/>
    <w:rsid w:val="0053700F"/>
    <w:rsid w:val="005374F0"/>
    <w:rsid w:val="00540B36"/>
    <w:rsid w:val="00541383"/>
    <w:rsid w:val="005437C7"/>
    <w:rsid w:val="005450BB"/>
    <w:rsid w:val="00545211"/>
    <w:rsid w:val="00545689"/>
    <w:rsid w:val="0054663E"/>
    <w:rsid w:val="00547442"/>
    <w:rsid w:val="00547B6B"/>
    <w:rsid w:val="00547C29"/>
    <w:rsid w:val="005501CC"/>
    <w:rsid w:val="005515CB"/>
    <w:rsid w:val="00552A96"/>
    <w:rsid w:val="00554069"/>
    <w:rsid w:val="00554985"/>
    <w:rsid w:val="00554AED"/>
    <w:rsid w:val="00555249"/>
    <w:rsid w:val="0055612F"/>
    <w:rsid w:val="00556419"/>
    <w:rsid w:val="00557BD0"/>
    <w:rsid w:val="00561737"/>
    <w:rsid w:val="00561A20"/>
    <w:rsid w:val="00561CC8"/>
    <w:rsid w:val="00562BB4"/>
    <w:rsid w:val="005630E9"/>
    <w:rsid w:val="005636AC"/>
    <w:rsid w:val="00563B0B"/>
    <w:rsid w:val="00564B76"/>
    <w:rsid w:val="005655A1"/>
    <w:rsid w:val="00565D1B"/>
    <w:rsid w:val="00566A95"/>
    <w:rsid w:val="005707C5"/>
    <w:rsid w:val="00570A84"/>
    <w:rsid w:val="00573E4E"/>
    <w:rsid w:val="00575757"/>
    <w:rsid w:val="005757BA"/>
    <w:rsid w:val="00577040"/>
    <w:rsid w:val="0058072B"/>
    <w:rsid w:val="005809A5"/>
    <w:rsid w:val="00580C8B"/>
    <w:rsid w:val="00580DDD"/>
    <w:rsid w:val="00581849"/>
    <w:rsid w:val="00581898"/>
    <w:rsid w:val="00581D6D"/>
    <w:rsid w:val="00582712"/>
    <w:rsid w:val="00583980"/>
    <w:rsid w:val="00584190"/>
    <w:rsid w:val="00584292"/>
    <w:rsid w:val="00584415"/>
    <w:rsid w:val="0058517F"/>
    <w:rsid w:val="005879F7"/>
    <w:rsid w:val="005904B9"/>
    <w:rsid w:val="005917DE"/>
    <w:rsid w:val="00594E97"/>
    <w:rsid w:val="0059662E"/>
    <w:rsid w:val="00596D43"/>
    <w:rsid w:val="00597952"/>
    <w:rsid w:val="00597B64"/>
    <w:rsid w:val="005A0F9F"/>
    <w:rsid w:val="005A119E"/>
    <w:rsid w:val="005A21C9"/>
    <w:rsid w:val="005A2A93"/>
    <w:rsid w:val="005A3B90"/>
    <w:rsid w:val="005A4B30"/>
    <w:rsid w:val="005A5C17"/>
    <w:rsid w:val="005A5C72"/>
    <w:rsid w:val="005A61C2"/>
    <w:rsid w:val="005A6740"/>
    <w:rsid w:val="005A7185"/>
    <w:rsid w:val="005B112C"/>
    <w:rsid w:val="005B149E"/>
    <w:rsid w:val="005B1ED3"/>
    <w:rsid w:val="005B1F2C"/>
    <w:rsid w:val="005B362D"/>
    <w:rsid w:val="005B3FC4"/>
    <w:rsid w:val="005B5115"/>
    <w:rsid w:val="005B5502"/>
    <w:rsid w:val="005B6BBA"/>
    <w:rsid w:val="005B7350"/>
    <w:rsid w:val="005B7DF8"/>
    <w:rsid w:val="005C1268"/>
    <w:rsid w:val="005C1F9D"/>
    <w:rsid w:val="005C2D27"/>
    <w:rsid w:val="005C466E"/>
    <w:rsid w:val="005C4A28"/>
    <w:rsid w:val="005D1966"/>
    <w:rsid w:val="005D2461"/>
    <w:rsid w:val="005D3A10"/>
    <w:rsid w:val="005D3F81"/>
    <w:rsid w:val="005D559F"/>
    <w:rsid w:val="005D7036"/>
    <w:rsid w:val="005D7322"/>
    <w:rsid w:val="005D7B09"/>
    <w:rsid w:val="005D7FFE"/>
    <w:rsid w:val="005E16A3"/>
    <w:rsid w:val="005E18A9"/>
    <w:rsid w:val="005E1FDD"/>
    <w:rsid w:val="005E25B1"/>
    <w:rsid w:val="005E2BE4"/>
    <w:rsid w:val="005E3DC6"/>
    <w:rsid w:val="005E3FB2"/>
    <w:rsid w:val="005E4BB0"/>
    <w:rsid w:val="005E4D08"/>
    <w:rsid w:val="005E66ED"/>
    <w:rsid w:val="005E6AA8"/>
    <w:rsid w:val="005E7A25"/>
    <w:rsid w:val="005E7C69"/>
    <w:rsid w:val="005F0207"/>
    <w:rsid w:val="005F0D41"/>
    <w:rsid w:val="005F1461"/>
    <w:rsid w:val="005F1D52"/>
    <w:rsid w:val="005F3821"/>
    <w:rsid w:val="005F4D66"/>
    <w:rsid w:val="005F515D"/>
    <w:rsid w:val="005F51F1"/>
    <w:rsid w:val="005F600A"/>
    <w:rsid w:val="005F6E1E"/>
    <w:rsid w:val="005F7F36"/>
    <w:rsid w:val="005F7F5A"/>
    <w:rsid w:val="006000AD"/>
    <w:rsid w:val="006004B4"/>
    <w:rsid w:val="00600EFE"/>
    <w:rsid w:val="00601D8F"/>
    <w:rsid w:val="00602D25"/>
    <w:rsid w:val="0060352F"/>
    <w:rsid w:val="006038F4"/>
    <w:rsid w:val="0060475E"/>
    <w:rsid w:val="00606F80"/>
    <w:rsid w:val="00607EBC"/>
    <w:rsid w:val="006104EA"/>
    <w:rsid w:val="00610BEB"/>
    <w:rsid w:val="00611F01"/>
    <w:rsid w:val="0061232C"/>
    <w:rsid w:val="00612784"/>
    <w:rsid w:val="006129E0"/>
    <w:rsid w:val="006141D4"/>
    <w:rsid w:val="00614DFB"/>
    <w:rsid w:val="006162F6"/>
    <w:rsid w:val="00616BD3"/>
    <w:rsid w:val="0061764E"/>
    <w:rsid w:val="00617D4E"/>
    <w:rsid w:val="00620483"/>
    <w:rsid w:val="00620960"/>
    <w:rsid w:val="00624248"/>
    <w:rsid w:val="0062509D"/>
    <w:rsid w:val="006268DE"/>
    <w:rsid w:val="00626FB0"/>
    <w:rsid w:val="00627184"/>
    <w:rsid w:val="006272E1"/>
    <w:rsid w:val="006275C7"/>
    <w:rsid w:val="00627B79"/>
    <w:rsid w:val="00630B20"/>
    <w:rsid w:val="00630D32"/>
    <w:rsid w:val="00631DF7"/>
    <w:rsid w:val="00632760"/>
    <w:rsid w:val="00632C37"/>
    <w:rsid w:val="0063494B"/>
    <w:rsid w:val="00634D88"/>
    <w:rsid w:val="0063514A"/>
    <w:rsid w:val="006352E6"/>
    <w:rsid w:val="006357CD"/>
    <w:rsid w:val="00636CC5"/>
    <w:rsid w:val="00636FF7"/>
    <w:rsid w:val="00637BA5"/>
    <w:rsid w:val="00637E81"/>
    <w:rsid w:val="006405E2"/>
    <w:rsid w:val="00640B45"/>
    <w:rsid w:val="00641C2A"/>
    <w:rsid w:val="006428E7"/>
    <w:rsid w:val="00644630"/>
    <w:rsid w:val="006461FD"/>
    <w:rsid w:val="006463F0"/>
    <w:rsid w:val="00646CCE"/>
    <w:rsid w:val="00652231"/>
    <w:rsid w:val="006526E0"/>
    <w:rsid w:val="00652845"/>
    <w:rsid w:val="00652D4B"/>
    <w:rsid w:val="0065452F"/>
    <w:rsid w:val="00654ECA"/>
    <w:rsid w:val="006551CC"/>
    <w:rsid w:val="0065530F"/>
    <w:rsid w:val="00655BC8"/>
    <w:rsid w:val="00656FA5"/>
    <w:rsid w:val="006574E6"/>
    <w:rsid w:val="00660460"/>
    <w:rsid w:val="00660A8D"/>
    <w:rsid w:val="00661231"/>
    <w:rsid w:val="00662E1C"/>
    <w:rsid w:val="0066436B"/>
    <w:rsid w:val="00665272"/>
    <w:rsid w:val="00665833"/>
    <w:rsid w:val="006706E6"/>
    <w:rsid w:val="00671A97"/>
    <w:rsid w:val="00671F4D"/>
    <w:rsid w:val="00673640"/>
    <w:rsid w:val="0067690F"/>
    <w:rsid w:val="0067693B"/>
    <w:rsid w:val="00676E9D"/>
    <w:rsid w:val="00676FBD"/>
    <w:rsid w:val="006776B2"/>
    <w:rsid w:val="0068027E"/>
    <w:rsid w:val="00681244"/>
    <w:rsid w:val="0068346F"/>
    <w:rsid w:val="006848F2"/>
    <w:rsid w:val="00684D6C"/>
    <w:rsid w:val="0068529E"/>
    <w:rsid w:val="006856CA"/>
    <w:rsid w:val="00686064"/>
    <w:rsid w:val="006869E8"/>
    <w:rsid w:val="006903E3"/>
    <w:rsid w:val="00690C9D"/>
    <w:rsid w:val="00691127"/>
    <w:rsid w:val="00691658"/>
    <w:rsid w:val="00692591"/>
    <w:rsid w:val="006927D0"/>
    <w:rsid w:val="0069302F"/>
    <w:rsid w:val="00693812"/>
    <w:rsid w:val="00693AA1"/>
    <w:rsid w:val="00695F0C"/>
    <w:rsid w:val="006964DA"/>
    <w:rsid w:val="00696FC9"/>
    <w:rsid w:val="00697681"/>
    <w:rsid w:val="0069785B"/>
    <w:rsid w:val="006A1805"/>
    <w:rsid w:val="006A1FCA"/>
    <w:rsid w:val="006A2B7B"/>
    <w:rsid w:val="006A37E7"/>
    <w:rsid w:val="006A3E73"/>
    <w:rsid w:val="006A496A"/>
    <w:rsid w:val="006A4F00"/>
    <w:rsid w:val="006A77AE"/>
    <w:rsid w:val="006A78D7"/>
    <w:rsid w:val="006A7C07"/>
    <w:rsid w:val="006B3B91"/>
    <w:rsid w:val="006B4AB2"/>
    <w:rsid w:val="006B4D10"/>
    <w:rsid w:val="006B4FDD"/>
    <w:rsid w:val="006B5561"/>
    <w:rsid w:val="006B61D1"/>
    <w:rsid w:val="006C0232"/>
    <w:rsid w:val="006C073C"/>
    <w:rsid w:val="006C0B8C"/>
    <w:rsid w:val="006C1277"/>
    <w:rsid w:val="006C21D9"/>
    <w:rsid w:val="006C3BE6"/>
    <w:rsid w:val="006C54A5"/>
    <w:rsid w:val="006C555E"/>
    <w:rsid w:val="006C613A"/>
    <w:rsid w:val="006C61D9"/>
    <w:rsid w:val="006C6608"/>
    <w:rsid w:val="006C6C3A"/>
    <w:rsid w:val="006C73A2"/>
    <w:rsid w:val="006C742C"/>
    <w:rsid w:val="006C7620"/>
    <w:rsid w:val="006C79C2"/>
    <w:rsid w:val="006C7A94"/>
    <w:rsid w:val="006C7AB2"/>
    <w:rsid w:val="006D044E"/>
    <w:rsid w:val="006D1752"/>
    <w:rsid w:val="006D1E4F"/>
    <w:rsid w:val="006D22A6"/>
    <w:rsid w:val="006D23A6"/>
    <w:rsid w:val="006D4C7B"/>
    <w:rsid w:val="006D4F90"/>
    <w:rsid w:val="006D5B18"/>
    <w:rsid w:val="006D665A"/>
    <w:rsid w:val="006D67CC"/>
    <w:rsid w:val="006D693B"/>
    <w:rsid w:val="006E05D6"/>
    <w:rsid w:val="006E07FE"/>
    <w:rsid w:val="006E0C6F"/>
    <w:rsid w:val="006E3A59"/>
    <w:rsid w:val="006E3F9B"/>
    <w:rsid w:val="006E6536"/>
    <w:rsid w:val="006E79C6"/>
    <w:rsid w:val="006F1177"/>
    <w:rsid w:val="006F18B4"/>
    <w:rsid w:val="006F1DF6"/>
    <w:rsid w:val="006F23FB"/>
    <w:rsid w:val="006F27B7"/>
    <w:rsid w:val="006F2973"/>
    <w:rsid w:val="006F30C7"/>
    <w:rsid w:val="006F3779"/>
    <w:rsid w:val="006F3B6D"/>
    <w:rsid w:val="006F423D"/>
    <w:rsid w:val="006F5E54"/>
    <w:rsid w:val="006F7641"/>
    <w:rsid w:val="006F76ED"/>
    <w:rsid w:val="006F7710"/>
    <w:rsid w:val="006F7AA8"/>
    <w:rsid w:val="006F7B15"/>
    <w:rsid w:val="00700E3F"/>
    <w:rsid w:val="00701C9C"/>
    <w:rsid w:val="0070236F"/>
    <w:rsid w:val="00702379"/>
    <w:rsid w:val="0070258A"/>
    <w:rsid w:val="00702ACA"/>
    <w:rsid w:val="00703E3E"/>
    <w:rsid w:val="007045C1"/>
    <w:rsid w:val="00705F74"/>
    <w:rsid w:val="00706452"/>
    <w:rsid w:val="007064D6"/>
    <w:rsid w:val="007067E3"/>
    <w:rsid w:val="007104E6"/>
    <w:rsid w:val="00710A77"/>
    <w:rsid w:val="00711477"/>
    <w:rsid w:val="007117B6"/>
    <w:rsid w:val="007136DA"/>
    <w:rsid w:val="00713B61"/>
    <w:rsid w:val="00714AE4"/>
    <w:rsid w:val="007168EC"/>
    <w:rsid w:val="00717A4A"/>
    <w:rsid w:val="007213F1"/>
    <w:rsid w:val="00724519"/>
    <w:rsid w:val="00724CAB"/>
    <w:rsid w:val="00724D6B"/>
    <w:rsid w:val="00725B43"/>
    <w:rsid w:val="00726708"/>
    <w:rsid w:val="00726D46"/>
    <w:rsid w:val="00730187"/>
    <w:rsid w:val="00730970"/>
    <w:rsid w:val="007333C8"/>
    <w:rsid w:val="007346E3"/>
    <w:rsid w:val="0073487C"/>
    <w:rsid w:val="0073565A"/>
    <w:rsid w:val="00735EF6"/>
    <w:rsid w:val="00736B4E"/>
    <w:rsid w:val="00736D6F"/>
    <w:rsid w:val="007372DF"/>
    <w:rsid w:val="007407DB"/>
    <w:rsid w:val="007441CE"/>
    <w:rsid w:val="007463A0"/>
    <w:rsid w:val="0074669A"/>
    <w:rsid w:val="00750A3B"/>
    <w:rsid w:val="00751881"/>
    <w:rsid w:val="00751A37"/>
    <w:rsid w:val="00752502"/>
    <w:rsid w:val="0075467C"/>
    <w:rsid w:val="0075695E"/>
    <w:rsid w:val="00757738"/>
    <w:rsid w:val="0076052E"/>
    <w:rsid w:val="00760530"/>
    <w:rsid w:val="00762ED2"/>
    <w:rsid w:val="0076510C"/>
    <w:rsid w:val="0076769A"/>
    <w:rsid w:val="0076792C"/>
    <w:rsid w:val="00770C73"/>
    <w:rsid w:val="00770D25"/>
    <w:rsid w:val="007715C8"/>
    <w:rsid w:val="00771A3A"/>
    <w:rsid w:val="00771CE6"/>
    <w:rsid w:val="00771E6A"/>
    <w:rsid w:val="0077251E"/>
    <w:rsid w:val="007728DF"/>
    <w:rsid w:val="00772CB9"/>
    <w:rsid w:val="00773095"/>
    <w:rsid w:val="007733C6"/>
    <w:rsid w:val="0077483D"/>
    <w:rsid w:val="00775812"/>
    <w:rsid w:val="00775888"/>
    <w:rsid w:val="00775E3E"/>
    <w:rsid w:val="00776932"/>
    <w:rsid w:val="00777107"/>
    <w:rsid w:val="00777701"/>
    <w:rsid w:val="0077778E"/>
    <w:rsid w:val="00777815"/>
    <w:rsid w:val="00777FE3"/>
    <w:rsid w:val="00781194"/>
    <w:rsid w:val="00781776"/>
    <w:rsid w:val="00781F86"/>
    <w:rsid w:val="0078238A"/>
    <w:rsid w:val="00782A21"/>
    <w:rsid w:val="0078372C"/>
    <w:rsid w:val="00783D42"/>
    <w:rsid w:val="00783FBE"/>
    <w:rsid w:val="007851D2"/>
    <w:rsid w:val="007851F3"/>
    <w:rsid w:val="0078569A"/>
    <w:rsid w:val="00786174"/>
    <w:rsid w:val="0078678C"/>
    <w:rsid w:val="00787CFC"/>
    <w:rsid w:val="00790BD4"/>
    <w:rsid w:val="00791299"/>
    <w:rsid w:val="00791575"/>
    <w:rsid w:val="0079160A"/>
    <w:rsid w:val="007926F7"/>
    <w:rsid w:val="00792967"/>
    <w:rsid w:val="007939B0"/>
    <w:rsid w:val="0079430F"/>
    <w:rsid w:val="00794C4A"/>
    <w:rsid w:val="007961BA"/>
    <w:rsid w:val="007977B6"/>
    <w:rsid w:val="007A0283"/>
    <w:rsid w:val="007A0A2C"/>
    <w:rsid w:val="007A102E"/>
    <w:rsid w:val="007A2F50"/>
    <w:rsid w:val="007A3B14"/>
    <w:rsid w:val="007A492E"/>
    <w:rsid w:val="007A505A"/>
    <w:rsid w:val="007A54D2"/>
    <w:rsid w:val="007A5B13"/>
    <w:rsid w:val="007A5E5B"/>
    <w:rsid w:val="007A6344"/>
    <w:rsid w:val="007A6507"/>
    <w:rsid w:val="007A7707"/>
    <w:rsid w:val="007B0B83"/>
    <w:rsid w:val="007B113F"/>
    <w:rsid w:val="007B26FA"/>
    <w:rsid w:val="007B33C5"/>
    <w:rsid w:val="007B33DD"/>
    <w:rsid w:val="007B42A8"/>
    <w:rsid w:val="007B4B1B"/>
    <w:rsid w:val="007B76F7"/>
    <w:rsid w:val="007B7764"/>
    <w:rsid w:val="007C03D5"/>
    <w:rsid w:val="007C2A22"/>
    <w:rsid w:val="007C3391"/>
    <w:rsid w:val="007C3735"/>
    <w:rsid w:val="007C3CDF"/>
    <w:rsid w:val="007C4F7C"/>
    <w:rsid w:val="007C6692"/>
    <w:rsid w:val="007D0B46"/>
    <w:rsid w:val="007D2861"/>
    <w:rsid w:val="007D2FB3"/>
    <w:rsid w:val="007D3046"/>
    <w:rsid w:val="007D4B7E"/>
    <w:rsid w:val="007D5D47"/>
    <w:rsid w:val="007E06C4"/>
    <w:rsid w:val="007E199E"/>
    <w:rsid w:val="007E239E"/>
    <w:rsid w:val="007E4402"/>
    <w:rsid w:val="007E4EFA"/>
    <w:rsid w:val="007E4F49"/>
    <w:rsid w:val="007E6488"/>
    <w:rsid w:val="007E67A5"/>
    <w:rsid w:val="007E6F05"/>
    <w:rsid w:val="007E735B"/>
    <w:rsid w:val="007E785D"/>
    <w:rsid w:val="007F05ED"/>
    <w:rsid w:val="007F3651"/>
    <w:rsid w:val="007F486B"/>
    <w:rsid w:val="007F512D"/>
    <w:rsid w:val="007F63BA"/>
    <w:rsid w:val="007F6BE7"/>
    <w:rsid w:val="007F71FF"/>
    <w:rsid w:val="007F756B"/>
    <w:rsid w:val="00800083"/>
    <w:rsid w:val="00800A8C"/>
    <w:rsid w:val="00801C5D"/>
    <w:rsid w:val="008031C1"/>
    <w:rsid w:val="00803975"/>
    <w:rsid w:val="00803C0D"/>
    <w:rsid w:val="00803CA7"/>
    <w:rsid w:val="0080469D"/>
    <w:rsid w:val="00804F26"/>
    <w:rsid w:val="0080505E"/>
    <w:rsid w:val="0080543B"/>
    <w:rsid w:val="008056ED"/>
    <w:rsid w:val="0080589B"/>
    <w:rsid w:val="00806C05"/>
    <w:rsid w:val="008071CA"/>
    <w:rsid w:val="00807D3D"/>
    <w:rsid w:val="008103C9"/>
    <w:rsid w:val="00810AB4"/>
    <w:rsid w:val="0081125C"/>
    <w:rsid w:val="008113E4"/>
    <w:rsid w:val="008117EC"/>
    <w:rsid w:val="00812845"/>
    <w:rsid w:val="00812948"/>
    <w:rsid w:val="0081368F"/>
    <w:rsid w:val="008154B9"/>
    <w:rsid w:val="00816124"/>
    <w:rsid w:val="0081613F"/>
    <w:rsid w:val="008174B0"/>
    <w:rsid w:val="00817730"/>
    <w:rsid w:val="00817FE7"/>
    <w:rsid w:val="00820033"/>
    <w:rsid w:val="00820AA4"/>
    <w:rsid w:val="00821986"/>
    <w:rsid w:val="0082227C"/>
    <w:rsid w:val="00822982"/>
    <w:rsid w:val="00822B28"/>
    <w:rsid w:val="008234BF"/>
    <w:rsid w:val="008239A6"/>
    <w:rsid w:val="0082537E"/>
    <w:rsid w:val="00825DC2"/>
    <w:rsid w:val="00825F15"/>
    <w:rsid w:val="008262C3"/>
    <w:rsid w:val="00826611"/>
    <w:rsid w:val="00827653"/>
    <w:rsid w:val="0083018C"/>
    <w:rsid w:val="00830565"/>
    <w:rsid w:val="00832099"/>
    <w:rsid w:val="0083227B"/>
    <w:rsid w:val="00832E0A"/>
    <w:rsid w:val="00834999"/>
    <w:rsid w:val="0083539E"/>
    <w:rsid w:val="00835B13"/>
    <w:rsid w:val="00835C99"/>
    <w:rsid w:val="00835F0A"/>
    <w:rsid w:val="00836627"/>
    <w:rsid w:val="00836778"/>
    <w:rsid w:val="00836CE1"/>
    <w:rsid w:val="008414CE"/>
    <w:rsid w:val="0084225B"/>
    <w:rsid w:val="008425FE"/>
    <w:rsid w:val="008429BE"/>
    <w:rsid w:val="00842CD2"/>
    <w:rsid w:val="0084388B"/>
    <w:rsid w:val="00843F01"/>
    <w:rsid w:val="00844AF1"/>
    <w:rsid w:val="00844FA6"/>
    <w:rsid w:val="00845750"/>
    <w:rsid w:val="00846660"/>
    <w:rsid w:val="0084720E"/>
    <w:rsid w:val="00847EE3"/>
    <w:rsid w:val="008501F8"/>
    <w:rsid w:val="008501FF"/>
    <w:rsid w:val="00850535"/>
    <w:rsid w:val="00851441"/>
    <w:rsid w:val="00851EBC"/>
    <w:rsid w:val="00851FA3"/>
    <w:rsid w:val="0085297E"/>
    <w:rsid w:val="008538AB"/>
    <w:rsid w:val="0086024F"/>
    <w:rsid w:val="00861330"/>
    <w:rsid w:val="0086166B"/>
    <w:rsid w:val="00861FB1"/>
    <w:rsid w:val="008626BF"/>
    <w:rsid w:val="00864842"/>
    <w:rsid w:val="00867089"/>
    <w:rsid w:val="0086719C"/>
    <w:rsid w:val="00867DCD"/>
    <w:rsid w:val="008715E1"/>
    <w:rsid w:val="00871E22"/>
    <w:rsid w:val="00872459"/>
    <w:rsid w:val="00873103"/>
    <w:rsid w:val="00873330"/>
    <w:rsid w:val="00873B6A"/>
    <w:rsid w:val="00874F95"/>
    <w:rsid w:val="00874FA6"/>
    <w:rsid w:val="00876290"/>
    <w:rsid w:val="00876998"/>
    <w:rsid w:val="00876AAD"/>
    <w:rsid w:val="00876DF6"/>
    <w:rsid w:val="00877F22"/>
    <w:rsid w:val="00880D85"/>
    <w:rsid w:val="00880EE4"/>
    <w:rsid w:val="00883D10"/>
    <w:rsid w:val="00884AF0"/>
    <w:rsid w:val="00886DCC"/>
    <w:rsid w:val="008901AD"/>
    <w:rsid w:val="00891255"/>
    <w:rsid w:val="00891576"/>
    <w:rsid w:val="008916D5"/>
    <w:rsid w:val="00892019"/>
    <w:rsid w:val="00892B0C"/>
    <w:rsid w:val="00892C78"/>
    <w:rsid w:val="008940B6"/>
    <w:rsid w:val="00895882"/>
    <w:rsid w:val="008960CD"/>
    <w:rsid w:val="008A474F"/>
    <w:rsid w:val="008A51F0"/>
    <w:rsid w:val="008A5D0B"/>
    <w:rsid w:val="008A6861"/>
    <w:rsid w:val="008A6B54"/>
    <w:rsid w:val="008A74DB"/>
    <w:rsid w:val="008A7E63"/>
    <w:rsid w:val="008B2D70"/>
    <w:rsid w:val="008B2F00"/>
    <w:rsid w:val="008B4D1D"/>
    <w:rsid w:val="008B50C9"/>
    <w:rsid w:val="008B6403"/>
    <w:rsid w:val="008B6A94"/>
    <w:rsid w:val="008B71FB"/>
    <w:rsid w:val="008B7872"/>
    <w:rsid w:val="008B7B91"/>
    <w:rsid w:val="008C0704"/>
    <w:rsid w:val="008C076F"/>
    <w:rsid w:val="008C101A"/>
    <w:rsid w:val="008C109D"/>
    <w:rsid w:val="008C1184"/>
    <w:rsid w:val="008C12E4"/>
    <w:rsid w:val="008C1831"/>
    <w:rsid w:val="008C3327"/>
    <w:rsid w:val="008C3BFB"/>
    <w:rsid w:val="008C4DB0"/>
    <w:rsid w:val="008C514A"/>
    <w:rsid w:val="008C5D54"/>
    <w:rsid w:val="008C7274"/>
    <w:rsid w:val="008C73BC"/>
    <w:rsid w:val="008C7454"/>
    <w:rsid w:val="008C756C"/>
    <w:rsid w:val="008C77C2"/>
    <w:rsid w:val="008D014D"/>
    <w:rsid w:val="008D0657"/>
    <w:rsid w:val="008D255A"/>
    <w:rsid w:val="008D38EF"/>
    <w:rsid w:val="008D44DF"/>
    <w:rsid w:val="008D4E63"/>
    <w:rsid w:val="008D5116"/>
    <w:rsid w:val="008D51D3"/>
    <w:rsid w:val="008D64EB"/>
    <w:rsid w:val="008D71C0"/>
    <w:rsid w:val="008D7363"/>
    <w:rsid w:val="008E0354"/>
    <w:rsid w:val="008E16EA"/>
    <w:rsid w:val="008E1888"/>
    <w:rsid w:val="008E1E42"/>
    <w:rsid w:val="008E24F6"/>
    <w:rsid w:val="008E5D72"/>
    <w:rsid w:val="008E6059"/>
    <w:rsid w:val="008E656D"/>
    <w:rsid w:val="008F1079"/>
    <w:rsid w:val="008F1166"/>
    <w:rsid w:val="008F1563"/>
    <w:rsid w:val="008F16AB"/>
    <w:rsid w:val="008F2833"/>
    <w:rsid w:val="008F3E48"/>
    <w:rsid w:val="008F4AC8"/>
    <w:rsid w:val="009010F8"/>
    <w:rsid w:val="00904101"/>
    <w:rsid w:val="009057AC"/>
    <w:rsid w:val="00906121"/>
    <w:rsid w:val="009073CC"/>
    <w:rsid w:val="00907A66"/>
    <w:rsid w:val="00910D2E"/>
    <w:rsid w:val="00910ECA"/>
    <w:rsid w:val="00911305"/>
    <w:rsid w:val="00911676"/>
    <w:rsid w:val="009118E4"/>
    <w:rsid w:val="00911A54"/>
    <w:rsid w:val="00914E69"/>
    <w:rsid w:val="00916E97"/>
    <w:rsid w:val="00917164"/>
    <w:rsid w:val="00917DC4"/>
    <w:rsid w:val="009203C3"/>
    <w:rsid w:val="009204AC"/>
    <w:rsid w:val="009205FF"/>
    <w:rsid w:val="00921116"/>
    <w:rsid w:val="0092126C"/>
    <w:rsid w:val="00922807"/>
    <w:rsid w:val="00923560"/>
    <w:rsid w:val="00923E94"/>
    <w:rsid w:val="00924393"/>
    <w:rsid w:val="009252F2"/>
    <w:rsid w:val="0092552C"/>
    <w:rsid w:val="00926268"/>
    <w:rsid w:val="009277D6"/>
    <w:rsid w:val="0093010C"/>
    <w:rsid w:val="009310B3"/>
    <w:rsid w:val="00931913"/>
    <w:rsid w:val="00934303"/>
    <w:rsid w:val="0093463E"/>
    <w:rsid w:val="00934671"/>
    <w:rsid w:val="00935ABA"/>
    <w:rsid w:val="0093763A"/>
    <w:rsid w:val="00937B0D"/>
    <w:rsid w:val="009408A0"/>
    <w:rsid w:val="00941AAC"/>
    <w:rsid w:val="00941D13"/>
    <w:rsid w:val="00941D37"/>
    <w:rsid w:val="00943212"/>
    <w:rsid w:val="00943248"/>
    <w:rsid w:val="00943E45"/>
    <w:rsid w:val="00945ADB"/>
    <w:rsid w:val="00945E01"/>
    <w:rsid w:val="009467A6"/>
    <w:rsid w:val="009467C9"/>
    <w:rsid w:val="00947B90"/>
    <w:rsid w:val="00951450"/>
    <w:rsid w:val="00951ABC"/>
    <w:rsid w:val="0095259B"/>
    <w:rsid w:val="00953079"/>
    <w:rsid w:val="00953513"/>
    <w:rsid w:val="0095456A"/>
    <w:rsid w:val="009547B0"/>
    <w:rsid w:val="00954B38"/>
    <w:rsid w:val="00955B82"/>
    <w:rsid w:val="00955D0D"/>
    <w:rsid w:val="009577E0"/>
    <w:rsid w:val="00957DED"/>
    <w:rsid w:val="00957EB8"/>
    <w:rsid w:val="009607BA"/>
    <w:rsid w:val="009608B7"/>
    <w:rsid w:val="00960B29"/>
    <w:rsid w:val="009610B1"/>
    <w:rsid w:val="0096193B"/>
    <w:rsid w:val="00963D78"/>
    <w:rsid w:val="00964532"/>
    <w:rsid w:val="00966ADE"/>
    <w:rsid w:val="00966FD6"/>
    <w:rsid w:val="009671F0"/>
    <w:rsid w:val="009713FA"/>
    <w:rsid w:val="00971C16"/>
    <w:rsid w:val="0097215C"/>
    <w:rsid w:val="00972DD9"/>
    <w:rsid w:val="009755D8"/>
    <w:rsid w:val="00975C28"/>
    <w:rsid w:val="00976401"/>
    <w:rsid w:val="00976FC1"/>
    <w:rsid w:val="0097764C"/>
    <w:rsid w:val="0098031A"/>
    <w:rsid w:val="0098137A"/>
    <w:rsid w:val="009834D1"/>
    <w:rsid w:val="00984347"/>
    <w:rsid w:val="00984C52"/>
    <w:rsid w:val="00985A2C"/>
    <w:rsid w:val="00985D9E"/>
    <w:rsid w:val="0098689D"/>
    <w:rsid w:val="00987F15"/>
    <w:rsid w:val="00990177"/>
    <w:rsid w:val="009906BD"/>
    <w:rsid w:val="00991294"/>
    <w:rsid w:val="009922FA"/>
    <w:rsid w:val="00992663"/>
    <w:rsid w:val="00992A71"/>
    <w:rsid w:val="0099375E"/>
    <w:rsid w:val="00993B65"/>
    <w:rsid w:val="00994C2C"/>
    <w:rsid w:val="00994E91"/>
    <w:rsid w:val="00996274"/>
    <w:rsid w:val="00996490"/>
    <w:rsid w:val="00997373"/>
    <w:rsid w:val="009979AD"/>
    <w:rsid w:val="00997F5C"/>
    <w:rsid w:val="009A0C27"/>
    <w:rsid w:val="009A0DD3"/>
    <w:rsid w:val="009A1321"/>
    <w:rsid w:val="009A208E"/>
    <w:rsid w:val="009A26F2"/>
    <w:rsid w:val="009A29ED"/>
    <w:rsid w:val="009A4000"/>
    <w:rsid w:val="009A4025"/>
    <w:rsid w:val="009A42F2"/>
    <w:rsid w:val="009A5F8D"/>
    <w:rsid w:val="009A6708"/>
    <w:rsid w:val="009A6870"/>
    <w:rsid w:val="009A76A6"/>
    <w:rsid w:val="009B0037"/>
    <w:rsid w:val="009B0238"/>
    <w:rsid w:val="009B0284"/>
    <w:rsid w:val="009B1AD4"/>
    <w:rsid w:val="009B2435"/>
    <w:rsid w:val="009B291A"/>
    <w:rsid w:val="009B53D1"/>
    <w:rsid w:val="009B6B5E"/>
    <w:rsid w:val="009B7089"/>
    <w:rsid w:val="009B760F"/>
    <w:rsid w:val="009C00D0"/>
    <w:rsid w:val="009C0A83"/>
    <w:rsid w:val="009C122C"/>
    <w:rsid w:val="009C1770"/>
    <w:rsid w:val="009C18CC"/>
    <w:rsid w:val="009C2323"/>
    <w:rsid w:val="009C51AE"/>
    <w:rsid w:val="009C5996"/>
    <w:rsid w:val="009C678A"/>
    <w:rsid w:val="009C67C0"/>
    <w:rsid w:val="009D0533"/>
    <w:rsid w:val="009D18CC"/>
    <w:rsid w:val="009D1F2D"/>
    <w:rsid w:val="009D43EF"/>
    <w:rsid w:val="009D57A1"/>
    <w:rsid w:val="009D60F3"/>
    <w:rsid w:val="009D6172"/>
    <w:rsid w:val="009D78E3"/>
    <w:rsid w:val="009E0D78"/>
    <w:rsid w:val="009E11B8"/>
    <w:rsid w:val="009E1B5F"/>
    <w:rsid w:val="009E2368"/>
    <w:rsid w:val="009E26DD"/>
    <w:rsid w:val="009E3830"/>
    <w:rsid w:val="009E3979"/>
    <w:rsid w:val="009E412F"/>
    <w:rsid w:val="009E4A75"/>
    <w:rsid w:val="009E50FE"/>
    <w:rsid w:val="009E5674"/>
    <w:rsid w:val="009E5DFE"/>
    <w:rsid w:val="009E60E4"/>
    <w:rsid w:val="009E6893"/>
    <w:rsid w:val="009E6F79"/>
    <w:rsid w:val="009E7338"/>
    <w:rsid w:val="009E7825"/>
    <w:rsid w:val="009F0D88"/>
    <w:rsid w:val="009F130C"/>
    <w:rsid w:val="009F1328"/>
    <w:rsid w:val="009F20DA"/>
    <w:rsid w:val="009F3039"/>
    <w:rsid w:val="009F5790"/>
    <w:rsid w:val="009F613C"/>
    <w:rsid w:val="009F66D4"/>
    <w:rsid w:val="009F74B1"/>
    <w:rsid w:val="00A0007F"/>
    <w:rsid w:val="00A00BB9"/>
    <w:rsid w:val="00A01941"/>
    <w:rsid w:val="00A021A7"/>
    <w:rsid w:val="00A02903"/>
    <w:rsid w:val="00A0303C"/>
    <w:rsid w:val="00A05039"/>
    <w:rsid w:val="00A0522A"/>
    <w:rsid w:val="00A06B33"/>
    <w:rsid w:val="00A07972"/>
    <w:rsid w:val="00A07B34"/>
    <w:rsid w:val="00A10434"/>
    <w:rsid w:val="00A11415"/>
    <w:rsid w:val="00A11E27"/>
    <w:rsid w:val="00A153DA"/>
    <w:rsid w:val="00A163DF"/>
    <w:rsid w:val="00A16DCE"/>
    <w:rsid w:val="00A17710"/>
    <w:rsid w:val="00A17757"/>
    <w:rsid w:val="00A177B8"/>
    <w:rsid w:val="00A17971"/>
    <w:rsid w:val="00A20534"/>
    <w:rsid w:val="00A2346A"/>
    <w:rsid w:val="00A23701"/>
    <w:rsid w:val="00A23824"/>
    <w:rsid w:val="00A23A35"/>
    <w:rsid w:val="00A2566A"/>
    <w:rsid w:val="00A26F99"/>
    <w:rsid w:val="00A27CE6"/>
    <w:rsid w:val="00A30828"/>
    <w:rsid w:val="00A309B6"/>
    <w:rsid w:val="00A30A4F"/>
    <w:rsid w:val="00A30EDC"/>
    <w:rsid w:val="00A319D6"/>
    <w:rsid w:val="00A31B57"/>
    <w:rsid w:val="00A32CEF"/>
    <w:rsid w:val="00A33E71"/>
    <w:rsid w:val="00A3400B"/>
    <w:rsid w:val="00A34576"/>
    <w:rsid w:val="00A35930"/>
    <w:rsid w:val="00A36D7F"/>
    <w:rsid w:val="00A416B9"/>
    <w:rsid w:val="00A41CDA"/>
    <w:rsid w:val="00A42291"/>
    <w:rsid w:val="00A43A70"/>
    <w:rsid w:val="00A44785"/>
    <w:rsid w:val="00A44A09"/>
    <w:rsid w:val="00A44A5F"/>
    <w:rsid w:val="00A45A95"/>
    <w:rsid w:val="00A47367"/>
    <w:rsid w:val="00A5059B"/>
    <w:rsid w:val="00A505C9"/>
    <w:rsid w:val="00A51694"/>
    <w:rsid w:val="00A529BF"/>
    <w:rsid w:val="00A5362C"/>
    <w:rsid w:val="00A539CA"/>
    <w:rsid w:val="00A53FB9"/>
    <w:rsid w:val="00A54838"/>
    <w:rsid w:val="00A548F7"/>
    <w:rsid w:val="00A551C0"/>
    <w:rsid w:val="00A566D6"/>
    <w:rsid w:val="00A56DA3"/>
    <w:rsid w:val="00A56E19"/>
    <w:rsid w:val="00A573AE"/>
    <w:rsid w:val="00A57B02"/>
    <w:rsid w:val="00A57DED"/>
    <w:rsid w:val="00A6125B"/>
    <w:rsid w:val="00A613AB"/>
    <w:rsid w:val="00A61622"/>
    <w:rsid w:val="00A6549C"/>
    <w:rsid w:val="00A657C4"/>
    <w:rsid w:val="00A6591F"/>
    <w:rsid w:val="00A65F5A"/>
    <w:rsid w:val="00A66441"/>
    <w:rsid w:val="00A67476"/>
    <w:rsid w:val="00A7013B"/>
    <w:rsid w:val="00A706FB"/>
    <w:rsid w:val="00A70DB1"/>
    <w:rsid w:val="00A71F27"/>
    <w:rsid w:val="00A72E3F"/>
    <w:rsid w:val="00A73791"/>
    <w:rsid w:val="00A73FDB"/>
    <w:rsid w:val="00A743D6"/>
    <w:rsid w:val="00A74FD6"/>
    <w:rsid w:val="00A75227"/>
    <w:rsid w:val="00A753F1"/>
    <w:rsid w:val="00A75537"/>
    <w:rsid w:val="00A778BC"/>
    <w:rsid w:val="00A81920"/>
    <w:rsid w:val="00A81BA6"/>
    <w:rsid w:val="00A83B13"/>
    <w:rsid w:val="00A842BF"/>
    <w:rsid w:val="00A84EA8"/>
    <w:rsid w:val="00A852F5"/>
    <w:rsid w:val="00A86D16"/>
    <w:rsid w:val="00A90112"/>
    <w:rsid w:val="00A9013B"/>
    <w:rsid w:val="00A90E67"/>
    <w:rsid w:val="00A90EA0"/>
    <w:rsid w:val="00A92C60"/>
    <w:rsid w:val="00A93D27"/>
    <w:rsid w:val="00A94A89"/>
    <w:rsid w:val="00A94AB4"/>
    <w:rsid w:val="00A94BF4"/>
    <w:rsid w:val="00A96900"/>
    <w:rsid w:val="00A97664"/>
    <w:rsid w:val="00A978C2"/>
    <w:rsid w:val="00A97B67"/>
    <w:rsid w:val="00AA05C2"/>
    <w:rsid w:val="00AA1FC1"/>
    <w:rsid w:val="00AA21D4"/>
    <w:rsid w:val="00AA3D65"/>
    <w:rsid w:val="00AA5206"/>
    <w:rsid w:val="00AA6CD8"/>
    <w:rsid w:val="00AA7B05"/>
    <w:rsid w:val="00AB0572"/>
    <w:rsid w:val="00AB0F3D"/>
    <w:rsid w:val="00AB1190"/>
    <w:rsid w:val="00AB1F39"/>
    <w:rsid w:val="00AB315F"/>
    <w:rsid w:val="00AB3520"/>
    <w:rsid w:val="00AB4000"/>
    <w:rsid w:val="00AB4A1A"/>
    <w:rsid w:val="00AB507F"/>
    <w:rsid w:val="00AB64D3"/>
    <w:rsid w:val="00AB793B"/>
    <w:rsid w:val="00AB7FCC"/>
    <w:rsid w:val="00AC15B2"/>
    <w:rsid w:val="00AC1D8A"/>
    <w:rsid w:val="00AC2B49"/>
    <w:rsid w:val="00AC2C10"/>
    <w:rsid w:val="00AC2E94"/>
    <w:rsid w:val="00AC3684"/>
    <w:rsid w:val="00AC3770"/>
    <w:rsid w:val="00AC4091"/>
    <w:rsid w:val="00AC44F2"/>
    <w:rsid w:val="00AC4C46"/>
    <w:rsid w:val="00AC5171"/>
    <w:rsid w:val="00AC57F9"/>
    <w:rsid w:val="00AC7BD8"/>
    <w:rsid w:val="00AC7D10"/>
    <w:rsid w:val="00AD0250"/>
    <w:rsid w:val="00AD1A90"/>
    <w:rsid w:val="00AD1DC3"/>
    <w:rsid w:val="00AD256D"/>
    <w:rsid w:val="00AD3A62"/>
    <w:rsid w:val="00AD4F1D"/>
    <w:rsid w:val="00AD5332"/>
    <w:rsid w:val="00AD55D3"/>
    <w:rsid w:val="00AD6203"/>
    <w:rsid w:val="00AE14E2"/>
    <w:rsid w:val="00AE1742"/>
    <w:rsid w:val="00AE2E8D"/>
    <w:rsid w:val="00AE2EB4"/>
    <w:rsid w:val="00AE3260"/>
    <w:rsid w:val="00AE3A96"/>
    <w:rsid w:val="00AE4A0B"/>
    <w:rsid w:val="00AE502D"/>
    <w:rsid w:val="00AE5077"/>
    <w:rsid w:val="00AE5581"/>
    <w:rsid w:val="00AE60CD"/>
    <w:rsid w:val="00AE672D"/>
    <w:rsid w:val="00AF0293"/>
    <w:rsid w:val="00AF0C19"/>
    <w:rsid w:val="00AF0E6E"/>
    <w:rsid w:val="00AF205E"/>
    <w:rsid w:val="00AF25AA"/>
    <w:rsid w:val="00AF27A4"/>
    <w:rsid w:val="00AF3F2C"/>
    <w:rsid w:val="00AF40F7"/>
    <w:rsid w:val="00AF4C1E"/>
    <w:rsid w:val="00AF5235"/>
    <w:rsid w:val="00AF5707"/>
    <w:rsid w:val="00AF5AAE"/>
    <w:rsid w:val="00AF74C0"/>
    <w:rsid w:val="00B00BAD"/>
    <w:rsid w:val="00B016A7"/>
    <w:rsid w:val="00B01C24"/>
    <w:rsid w:val="00B02298"/>
    <w:rsid w:val="00B03805"/>
    <w:rsid w:val="00B03F46"/>
    <w:rsid w:val="00B03F5E"/>
    <w:rsid w:val="00B0420E"/>
    <w:rsid w:val="00B057D2"/>
    <w:rsid w:val="00B0728F"/>
    <w:rsid w:val="00B0755E"/>
    <w:rsid w:val="00B07683"/>
    <w:rsid w:val="00B102DF"/>
    <w:rsid w:val="00B104A2"/>
    <w:rsid w:val="00B108CC"/>
    <w:rsid w:val="00B109E2"/>
    <w:rsid w:val="00B122C5"/>
    <w:rsid w:val="00B12D63"/>
    <w:rsid w:val="00B173E7"/>
    <w:rsid w:val="00B17570"/>
    <w:rsid w:val="00B177D5"/>
    <w:rsid w:val="00B1786A"/>
    <w:rsid w:val="00B20861"/>
    <w:rsid w:val="00B20CC7"/>
    <w:rsid w:val="00B211F3"/>
    <w:rsid w:val="00B21294"/>
    <w:rsid w:val="00B22E4F"/>
    <w:rsid w:val="00B2430E"/>
    <w:rsid w:val="00B243D9"/>
    <w:rsid w:val="00B248B4"/>
    <w:rsid w:val="00B25DF5"/>
    <w:rsid w:val="00B2692A"/>
    <w:rsid w:val="00B27456"/>
    <w:rsid w:val="00B302A4"/>
    <w:rsid w:val="00B30AC6"/>
    <w:rsid w:val="00B3111F"/>
    <w:rsid w:val="00B31E7D"/>
    <w:rsid w:val="00B326E5"/>
    <w:rsid w:val="00B3297E"/>
    <w:rsid w:val="00B32C8C"/>
    <w:rsid w:val="00B32E41"/>
    <w:rsid w:val="00B33291"/>
    <w:rsid w:val="00B334AC"/>
    <w:rsid w:val="00B345C2"/>
    <w:rsid w:val="00B36BFA"/>
    <w:rsid w:val="00B42D18"/>
    <w:rsid w:val="00B451AF"/>
    <w:rsid w:val="00B46327"/>
    <w:rsid w:val="00B46359"/>
    <w:rsid w:val="00B46442"/>
    <w:rsid w:val="00B502FF"/>
    <w:rsid w:val="00B521C8"/>
    <w:rsid w:val="00B525D5"/>
    <w:rsid w:val="00B53040"/>
    <w:rsid w:val="00B534ED"/>
    <w:rsid w:val="00B53BD6"/>
    <w:rsid w:val="00B54332"/>
    <w:rsid w:val="00B54763"/>
    <w:rsid w:val="00B56A3B"/>
    <w:rsid w:val="00B56F6A"/>
    <w:rsid w:val="00B575FE"/>
    <w:rsid w:val="00B602AC"/>
    <w:rsid w:val="00B604A2"/>
    <w:rsid w:val="00B61401"/>
    <w:rsid w:val="00B61FFD"/>
    <w:rsid w:val="00B63213"/>
    <w:rsid w:val="00B633D1"/>
    <w:rsid w:val="00B63986"/>
    <w:rsid w:val="00B63D04"/>
    <w:rsid w:val="00B63D8C"/>
    <w:rsid w:val="00B6472F"/>
    <w:rsid w:val="00B65164"/>
    <w:rsid w:val="00B65365"/>
    <w:rsid w:val="00B656F5"/>
    <w:rsid w:val="00B70196"/>
    <w:rsid w:val="00B7213F"/>
    <w:rsid w:val="00B725E8"/>
    <w:rsid w:val="00B727A6"/>
    <w:rsid w:val="00B73FFF"/>
    <w:rsid w:val="00B74AF7"/>
    <w:rsid w:val="00B74DB3"/>
    <w:rsid w:val="00B74FEC"/>
    <w:rsid w:val="00B75252"/>
    <w:rsid w:val="00B757B4"/>
    <w:rsid w:val="00B75F3D"/>
    <w:rsid w:val="00B76E00"/>
    <w:rsid w:val="00B7730A"/>
    <w:rsid w:val="00B77A46"/>
    <w:rsid w:val="00B81E56"/>
    <w:rsid w:val="00B843DB"/>
    <w:rsid w:val="00B844DE"/>
    <w:rsid w:val="00B8468E"/>
    <w:rsid w:val="00B84732"/>
    <w:rsid w:val="00B84AB9"/>
    <w:rsid w:val="00B84ABA"/>
    <w:rsid w:val="00B84B68"/>
    <w:rsid w:val="00B855E2"/>
    <w:rsid w:val="00B86241"/>
    <w:rsid w:val="00B871FD"/>
    <w:rsid w:val="00B87661"/>
    <w:rsid w:val="00B914A1"/>
    <w:rsid w:val="00B91A31"/>
    <w:rsid w:val="00B91E7C"/>
    <w:rsid w:val="00B92EA6"/>
    <w:rsid w:val="00B939D5"/>
    <w:rsid w:val="00B94364"/>
    <w:rsid w:val="00B9567A"/>
    <w:rsid w:val="00B96F5D"/>
    <w:rsid w:val="00B9738E"/>
    <w:rsid w:val="00B97402"/>
    <w:rsid w:val="00B974BE"/>
    <w:rsid w:val="00BA0C1A"/>
    <w:rsid w:val="00BA2429"/>
    <w:rsid w:val="00BA2767"/>
    <w:rsid w:val="00BA283F"/>
    <w:rsid w:val="00BA375E"/>
    <w:rsid w:val="00BA3778"/>
    <w:rsid w:val="00BA628A"/>
    <w:rsid w:val="00BA7411"/>
    <w:rsid w:val="00BB09CD"/>
    <w:rsid w:val="00BB1C69"/>
    <w:rsid w:val="00BB2213"/>
    <w:rsid w:val="00BB2904"/>
    <w:rsid w:val="00BB3E06"/>
    <w:rsid w:val="00BB4251"/>
    <w:rsid w:val="00BB427D"/>
    <w:rsid w:val="00BB4FD7"/>
    <w:rsid w:val="00BB548C"/>
    <w:rsid w:val="00BB552C"/>
    <w:rsid w:val="00BB5710"/>
    <w:rsid w:val="00BB6EED"/>
    <w:rsid w:val="00BB7452"/>
    <w:rsid w:val="00BB7E81"/>
    <w:rsid w:val="00BC075F"/>
    <w:rsid w:val="00BC0DFD"/>
    <w:rsid w:val="00BC23E8"/>
    <w:rsid w:val="00BC274B"/>
    <w:rsid w:val="00BC299B"/>
    <w:rsid w:val="00BC370A"/>
    <w:rsid w:val="00BC4F01"/>
    <w:rsid w:val="00BD0C49"/>
    <w:rsid w:val="00BD29E2"/>
    <w:rsid w:val="00BD3B5B"/>
    <w:rsid w:val="00BD6590"/>
    <w:rsid w:val="00BD6C6C"/>
    <w:rsid w:val="00BE1168"/>
    <w:rsid w:val="00BE1C8B"/>
    <w:rsid w:val="00BE2615"/>
    <w:rsid w:val="00BE4BC5"/>
    <w:rsid w:val="00BE56E3"/>
    <w:rsid w:val="00BE5896"/>
    <w:rsid w:val="00BE6175"/>
    <w:rsid w:val="00BE66BF"/>
    <w:rsid w:val="00BF3E43"/>
    <w:rsid w:val="00BF452A"/>
    <w:rsid w:val="00BF4825"/>
    <w:rsid w:val="00BF5865"/>
    <w:rsid w:val="00BF5FA7"/>
    <w:rsid w:val="00BF661B"/>
    <w:rsid w:val="00BF6E8E"/>
    <w:rsid w:val="00BF77CA"/>
    <w:rsid w:val="00C009EB"/>
    <w:rsid w:val="00C00FCB"/>
    <w:rsid w:val="00C01905"/>
    <w:rsid w:val="00C02548"/>
    <w:rsid w:val="00C04612"/>
    <w:rsid w:val="00C048BC"/>
    <w:rsid w:val="00C0496C"/>
    <w:rsid w:val="00C06748"/>
    <w:rsid w:val="00C071D3"/>
    <w:rsid w:val="00C108E0"/>
    <w:rsid w:val="00C10C10"/>
    <w:rsid w:val="00C11E24"/>
    <w:rsid w:val="00C126FE"/>
    <w:rsid w:val="00C133A4"/>
    <w:rsid w:val="00C16219"/>
    <w:rsid w:val="00C16F7A"/>
    <w:rsid w:val="00C16FD9"/>
    <w:rsid w:val="00C17C32"/>
    <w:rsid w:val="00C2029A"/>
    <w:rsid w:val="00C20594"/>
    <w:rsid w:val="00C20896"/>
    <w:rsid w:val="00C21211"/>
    <w:rsid w:val="00C2232C"/>
    <w:rsid w:val="00C22375"/>
    <w:rsid w:val="00C2245A"/>
    <w:rsid w:val="00C24294"/>
    <w:rsid w:val="00C243D5"/>
    <w:rsid w:val="00C249C8"/>
    <w:rsid w:val="00C26A33"/>
    <w:rsid w:val="00C278FE"/>
    <w:rsid w:val="00C27A6E"/>
    <w:rsid w:val="00C31064"/>
    <w:rsid w:val="00C31F17"/>
    <w:rsid w:val="00C32705"/>
    <w:rsid w:val="00C330BD"/>
    <w:rsid w:val="00C344FF"/>
    <w:rsid w:val="00C345D5"/>
    <w:rsid w:val="00C361E1"/>
    <w:rsid w:val="00C3630B"/>
    <w:rsid w:val="00C36C4F"/>
    <w:rsid w:val="00C37796"/>
    <w:rsid w:val="00C4002D"/>
    <w:rsid w:val="00C40840"/>
    <w:rsid w:val="00C409C1"/>
    <w:rsid w:val="00C41091"/>
    <w:rsid w:val="00C411F5"/>
    <w:rsid w:val="00C4149D"/>
    <w:rsid w:val="00C41EBE"/>
    <w:rsid w:val="00C430B7"/>
    <w:rsid w:val="00C43B44"/>
    <w:rsid w:val="00C43F74"/>
    <w:rsid w:val="00C45682"/>
    <w:rsid w:val="00C45757"/>
    <w:rsid w:val="00C459CF"/>
    <w:rsid w:val="00C45CEC"/>
    <w:rsid w:val="00C4628A"/>
    <w:rsid w:val="00C47920"/>
    <w:rsid w:val="00C502E7"/>
    <w:rsid w:val="00C503C2"/>
    <w:rsid w:val="00C515D2"/>
    <w:rsid w:val="00C52321"/>
    <w:rsid w:val="00C5412B"/>
    <w:rsid w:val="00C54A27"/>
    <w:rsid w:val="00C54E4B"/>
    <w:rsid w:val="00C54F39"/>
    <w:rsid w:val="00C5509E"/>
    <w:rsid w:val="00C5581C"/>
    <w:rsid w:val="00C55E33"/>
    <w:rsid w:val="00C55F7C"/>
    <w:rsid w:val="00C5624C"/>
    <w:rsid w:val="00C56A48"/>
    <w:rsid w:val="00C57F07"/>
    <w:rsid w:val="00C60AD6"/>
    <w:rsid w:val="00C646CA"/>
    <w:rsid w:val="00C6724C"/>
    <w:rsid w:val="00C67436"/>
    <w:rsid w:val="00C678FD"/>
    <w:rsid w:val="00C67C40"/>
    <w:rsid w:val="00C70F5A"/>
    <w:rsid w:val="00C71B99"/>
    <w:rsid w:val="00C71BC9"/>
    <w:rsid w:val="00C71DAF"/>
    <w:rsid w:val="00C74033"/>
    <w:rsid w:val="00C741D6"/>
    <w:rsid w:val="00C74212"/>
    <w:rsid w:val="00C76E7E"/>
    <w:rsid w:val="00C803F1"/>
    <w:rsid w:val="00C80481"/>
    <w:rsid w:val="00C81434"/>
    <w:rsid w:val="00C8148F"/>
    <w:rsid w:val="00C829F9"/>
    <w:rsid w:val="00C82F80"/>
    <w:rsid w:val="00C84144"/>
    <w:rsid w:val="00C84257"/>
    <w:rsid w:val="00C86799"/>
    <w:rsid w:val="00C8733B"/>
    <w:rsid w:val="00C87593"/>
    <w:rsid w:val="00C8773A"/>
    <w:rsid w:val="00C877A3"/>
    <w:rsid w:val="00C90E99"/>
    <w:rsid w:val="00C93137"/>
    <w:rsid w:val="00C9320B"/>
    <w:rsid w:val="00C934B2"/>
    <w:rsid w:val="00C9392A"/>
    <w:rsid w:val="00C955E8"/>
    <w:rsid w:val="00C95DDD"/>
    <w:rsid w:val="00C96603"/>
    <w:rsid w:val="00C96D4D"/>
    <w:rsid w:val="00C971F6"/>
    <w:rsid w:val="00CA122D"/>
    <w:rsid w:val="00CA20F0"/>
    <w:rsid w:val="00CA2578"/>
    <w:rsid w:val="00CA2987"/>
    <w:rsid w:val="00CA329A"/>
    <w:rsid w:val="00CA3A59"/>
    <w:rsid w:val="00CA3F22"/>
    <w:rsid w:val="00CA4D72"/>
    <w:rsid w:val="00CA528B"/>
    <w:rsid w:val="00CA5F65"/>
    <w:rsid w:val="00CA6BC0"/>
    <w:rsid w:val="00CA70E1"/>
    <w:rsid w:val="00CB011B"/>
    <w:rsid w:val="00CB0352"/>
    <w:rsid w:val="00CB12E2"/>
    <w:rsid w:val="00CB1A55"/>
    <w:rsid w:val="00CB1CEA"/>
    <w:rsid w:val="00CB2C78"/>
    <w:rsid w:val="00CB3E0A"/>
    <w:rsid w:val="00CB535C"/>
    <w:rsid w:val="00CB7249"/>
    <w:rsid w:val="00CB729F"/>
    <w:rsid w:val="00CB7B7C"/>
    <w:rsid w:val="00CB7D65"/>
    <w:rsid w:val="00CC051A"/>
    <w:rsid w:val="00CC18FC"/>
    <w:rsid w:val="00CC1B00"/>
    <w:rsid w:val="00CC1E93"/>
    <w:rsid w:val="00CC2F61"/>
    <w:rsid w:val="00CC45C7"/>
    <w:rsid w:val="00CC5FEB"/>
    <w:rsid w:val="00CC6154"/>
    <w:rsid w:val="00CC6DB1"/>
    <w:rsid w:val="00CC7918"/>
    <w:rsid w:val="00CC7F28"/>
    <w:rsid w:val="00CD0959"/>
    <w:rsid w:val="00CD0AA4"/>
    <w:rsid w:val="00CD30D6"/>
    <w:rsid w:val="00CD3C52"/>
    <w:rsid w:val="00CD4DB9"/>
    <w:rsid w:val="00CD53F8"/>
    <w:rsid w:val="00CD5697"/>
    <w:rsid w:val="00CD75D3"/>
    <w:rsid w:val="00CD7C87"/>
    <w:rsid w:val="00CE00B3"/>
    <w:rsid w:val="00CE082B"/>
    <w:rsid w:val="00CE3D15"/>
    <w:rsid w:val="00CE416D"/>
    <w:rsid w:val="00CE431B"/>
    <w:rsid w:val="00CE4D6C"/>
    <w:rsid w:val="00CE6459"/>
    <w:rsid w:val="00CE7328"/>
    <w:rsid w:val="00CF139D"/>
    <w:rsid w:val="00CF2003"/>
    <w:rsid w:val="00CF333F"/>
    <w:rsid w:val="00CF33F4"/>
    <w:rsid w:val="00CF33F7"/>
    <w:rsid w:val="00CF409F"/>
    <w:rsid w:val="00CF6680"/>
    <w:rsid w:val="00CF669C"/>
    <w:rsid w:val="00CF7100"/>
    <w:rsid w:val="00CF7E3E"/>
    <w:rsid w:val="00D03CD4"/>
    <w:rsid w:val="00D04363"/>
    <w:rsid w:val="00D045D2"/>
    <w:rsid w:val="00D05B41"/>
    <w:rsid w:val="00D05BD9"/>
    <w:rsid w:val="00D06121"/>
    <w:rsid w:val="00D06C86"/>
    <w:rsid w:val="00D06CF6"/>
    <w:rsid w:val="00D07515"/>
    <w:rsid w:val="00D07737"/>
    <w:rsid w:val="00D1089B"/>
    <w:rsid w:val="00D11E41"/>
    <w:rsid w:val="00D132AB"/>
    <w:rsid w:val="00D14F40"/>
    <w:rsid w:val="00D15141"/>
    <w:rsid w:val="00D15472"/>
    <w:rsid w:val="00D160A3"/>
    <w:rsid w:val="00D16D9B"/>
    <w:rsid w:val="00D17C10"/>
    <w:rsid w:val="00D20FDA"/>
    <w:rsid w:val="00D214B1"/>
    <w:rsid w:val="00D223B8"/>
    <w:rsid w:val="00D22936"/>
    <w:rsid w:val="00D23F2C"/>
    <w:rsid w:val="00D24880"/>
    <w:rsid w:val="00D24C0E"/>
    <w:rsid w:val="00D258E2"/>
    <w:rsid w:val="00D2590E"/>
    <w:rsid w:val="00D25EF9"/>
    <w:rsid w:val="00D261F5"/>
    <w:rsid w:val="00D2720C"/>
    <w:rsid w:val="00D278B5"/>
    <w:rsid w:val="00D27C6F"/>
    <w:rsid w:val="00D301AD"/>
    <w:rsid w:val="00D31586"/>
    <w:rsid w:val="00D321E7"/>
    <w:rsid w:val="00D32673"/>
    <w:rsid w:val="00D32817"/>
    <w:rsid w:val="00D333D5"/>
    <w:rsid w:val="00D34402"/>
    <w:rsid w:val="00D3486B"/>
    <w:rsid w:val="00D36828"/>
    <w:rsid w:val="00D36F92"/>
    <w:rsid w:val="00D37BF0"/>
    <w:rsid w:val="00D400D2"/>
    <w:rsid w:val="00D40215"/>
    <w:rsid w:val="00D406FE"/>
    <w:rsid w:val="00D41060"/>
    <w:rsid w:val="00D4116D"/>
    <w:rsid w:val="00D425A6"/>
    <w:rsid w:val="00D428C6"/>
    <w:rsid w:val="00D42FE7"/>
    <w:rsid w:val="00D44071"/>
    <w:rsid w:val="00D444E3"/>
    <w:rsid w:val="00D44711"/>
    <w:rsid w:val="00D449F5"/>
    <w:rsid w:val="00D44F6C"/>
    <w:rsid w:val="00D463B3"/>
    <w:rsid w:val="00D46C14"/>
    <w:rsid w:val="00D47381"/>
    <w:rsid w:val="00D502C6"/>
    <w:rsid w:val="00D51CCB"/>
    <w:rsid w:val="00D51DB1"/>
    <w:rsid w:val="00D521BE"/>
    <w:rsid w:val="00D52230"/>
    <w:rsid w:val="00D52DE2"/>
    <w:rsid w:val="00D53E22"/>
    <w:rsid w:val="00D541ED"/>
    <w:rsid w:val="00D54B53"/>
    <w:rsid w:val="00D55CFE"/>
    <w:rsid w:val="00D56CCB"/>
    <w:rsid w:val="00D56FFB"/>
    <w:rsid w:val="00D57709"/>
    <w:rsid w:val="00D60481"/>
    <w:rsid w:val="00D6117C"/>
    <w:rsid w:val="00D615EF"/>
    <w:rsid w:val="00D6179D"/>
    <w:rsid w:val="00D6229F"/>
    <w:rsid w:val="00D62DB6"/>
    <w:rsid w:val="00D63D80"/>
    <w:rsid w:val="00D64ABF"/>
    <w:rsid w:val="00D64FAE"/>
    <w:rsid w:val="00D662FF"/>
    <w:rsid w:val="00D66906"/>
    <w:rsid w:val="00D66F23"/>
    <w:rsid w:val="00D676DD"/>
    <w:rsid w:val="00D67F84"/>
    <w:rsid w:val="00D736CC"/>
    <w:rsid w:val="00D74128"/>
    <w:rsid w:val="00D74B83"/>
    <w:rsid w:val="00D74CA6"/>
    <w:rsid w:val="00D75526"/>
    <w:rsid w:val="00D75F11"/>
    <w:rsid w:val="00D77361"/>
    <w:rsid w:val="00D8053C"/>
    <w:rsid w:val="00D8132B"/>
    <w:rsid w:val="00D82196"/>
    <w:rsid w:val="00D821A6"/>
    <w:rsid w:val="00D825A3"/>
    <w:rsid w:val="00D829E8"/>
    <w:rsid w:val="00D83A99"/>
    <w:rsid w:val="00D8476D"/>
    <w:rsid w:val="00D847C5"/>
    <w:rsid w:val="00D84949"/>
    <w:rsid w:val="00D84D80"/>
    <w:rsid w:val="00D853C3"/>
    <w:rsid w:val="00D87722"/>
    <w:rsid w:val="00D87EAB"/>
    <w:rsid w:val="00D87EE7"/>
    <w:rsid w:val="00D900DE"/>
    <w:rsid w:val="00D90D85"/>
    <w:rsid w:val="00D91A98"/>
    <w:rsid w:val="00D91D47"/>
    <w:rsid w:val="00D92C43"/>
    <w:rsid w:val="00D92E67"/>
    <w:rsid w:val="00D93076"/>
    <w:rsid w:val="00D94108"/>
    <w:rsid w:val="00D94E62"/>
    <w:rsid w:val="00D9524F"/>
    <w:rsid w:val="00D952E4"/>
    <w:rsid w:val="00D957AC"/>
    <w:rsid w:val="00D96325"/>
    <w:rsid w:val="00D965F8"/>
    <w:rsid w:val="00D97087"/>
    <w:rsid w:val="00DA17A8"/>
    <w:rsid w:val="00DA1EA2"/>
    <w:rsid w:val="00DA28A9"/>
    <w:rsid w:val="00DA3845"/>
    <w:rsid w:val="00DA3ABB"/>
    <w:rsid w:val="00DA3CEB"/>
    <w:rsid w:val="00DA47F5"/>
    <w:rsid w:val="00DA572F"/>
    <w:rsid w:val="00DA6143"/>
    <w:rsid w:val="00DA7AC7"/>
    <w:rsid w:val="00DA7F7F"/>
    <w:rsid w:val="00DB1BBF"/>
    <w:rsid w:val="00DB2D35"/>
    <w:rsid w:val="00DB42C3"/>
    <w:rsid w:val="00DB48B3"/>
    <w:rsid w:val="00DB4988"/>
    <w:rsid w:val="00DB4B20"/>
    <w:rsid w:val="00DB5D91"/>
    <w:rsid w:val="00DB5E81"/>
    <w:rsid w:val="00DB628F"/>
    <w:rsid w:val="00DB6404"/>
    <w:rsid w:val="00DB6FD1"/>
    <w:rsid w:val="00DB78C8"/>
    <w:rsid w:val="00DC04E5"/>
    <w:rsid w:val="00DC0C0B"/>
    <w:rsid w:val="00DC161D"/>
    <w:rsid w:val="00DC3215"/>
    <w:rsid w:val="00DC3AC7"/>
    <w:rsid w:val="00DC45A4"/>
    <w:rsid w:val="00DC576F"/>
    <w:rsid w:val="00DD1FCF"/>
    <w:rsid w:val="00DD2E19"/>
    <w:rsid w:val="00DD3DCD"/>
    <w:rsid w:val="00DD6358"/>
    <w:rsid w:val="00DD63F0"/>
    <w:rsid w:val="00DD66C5"/>
    <w:rsid w:val="00DD6724"/>
    <w:rsid w:val="00DD6E66"/>
    <w:rsid w:val="00DD7AC6"/>
    <w:rsid w:val="00DE0C85"/>
    <w:rsid w:val="00DE123A"/>
    <w:rsid w:val="00DE1F0B"/>
    <w:rsid w:val="00DE20D5"/>
    <w:rsid w:val="00DE31FC"/>
    <w:rsid w:val="00DE5542"/>
    <w:rsid w:val="00DE598F"/>
    <w:rsid w:val="00DE633E"/>
    <w:rsid w:val="00DF072A"/>
    <w:rsid w:val="00DF0A66"/>
    <w:rsid w:val="00DF0B58"/>
    <w:rsid w:val="00DF0C84"/>
    <w:rsid w:val="00DF1238"/>
    <w:rsid w:val="00DF1304"/>
    <w:rsid w:val="00DF297D"/>
    <w:rsid w:val="00DF2AFA"/>
    <w:rsid w:val="00DF2C29"/>
    <w:rsid w:val="00DF3180"/>
    <w:rsid w:val="00DF3314"/>
    <w:rsid w:val="00DF462F"/>
    <w:rsid w:val="00DF4A44"/>
    <w:rsid w:val="00DF5679"/>
    <w:rsid w:val="00DF6129"/>
    <w:rsid w:val="00DF7DCE"/>
    <w:rsid w:val="00DF7DD9"/>
    <w:rsid w:val="00E00041"/>
    <w:rsid w:val="00E004D4"/>
    <w:rsid w:val="00E00FEC"/>
    <w:rsid w:val="00E02E2E"/>
    <w:rsid w:val="00E03A79"/>
    <w:rsid w:val="00E047D8"/>
    <w:rsid w:val="00E05E03"/>
    <w:rsid w:val="00E06F02"/>
    <w:rsid w:val="00E06F74"/>
    <w:rsid w:val="00E07FDA"/>
    <w:rsid w:val="00E104B0"/>
    <w:rsid w:val="00E115CA"/>
    <w:rsid w:val="00E1289A"/>
    <w:rsid w:val="00E12A65"/>
    <w:rsid w:val="00E12FA9"/>
    <w:rsid w:val="00E138DB"/>
    <w:rsid w:val="00E15F98"/>
    <w:rsid w:val="00E15FCD"/>
    <w:rsid w:val="00E1601B"/>
    <w:rsid w:val="00E16EAD"/>
    <w:rsid w:val="00E17BE5"/>
    <w:rsid w:val="00E17EDC"/>
    <w:rsid w:val="00E208FF"/>
    <w:rsid w:val="00E213E8"/>
    <w:rsid w:val="00E22800"/>
    <w:rsid w:val="00E22B7E"/>
    <w:rsid w:val="00E2435B"/>
    <w:rsid w:val="00E252A2"/>
    <w:rsid w:val="00E25D7F"/>
    <w:rsid w:val="00E265F6"/>
    <w:rsid w:val="00E27FDB"/>
    <w:rsid w:val="00E30299"/>
    <w:rsid w:val="00E30D9A"/>
    <w:rsid w:val="00E30F38"/>
    <w:rsid w:val="00E318B7"/>
    <w:rsid w:val="00E3270A"/>
    <w:rsid w:val="00E33126"/>
    <w:rsid w:val="00E34CE1"/>
    <w:rsid w:val="00E35A2D"/>
    <w:rsid w:val="00E36382"/>
    <w:rsid w:val="00E37343"/>
    <w:rsid w:val="00E3736E"/>
    <w:rsid w:val="00E37881"/>
    <w:rsid w:val="00E400FD"/>
    <w:rsid w:val="00E40747"/>
    <w:rsid w:val="00E40B28"/>
    <w:rsid w:val="00E419DB"/>
    <w:rsid w:val="00E4241E"/>
    <w:rsid w:val="00E42814"/>
    <w:rsid w:val="00E42AED"/>
    <w:rsid w:val="00E45451"/>
    <w:rsid w:val="00E46748"/>
    <w:rsid w:val="00E473C3"/>
    <w:rsid w:val="00E4788A"/>
    <w:rsid w:val="00E50124"/>
    <w:rsid w:val="00E50292"/>
    <w:rsid w:val="00E502B1"/>
    <w:rsid w:val="00E516FC"/>
    <w:rsid w:val="00E5197B"/>
    <w:rsid w:val="00E51997"/>
    <w:rsid w:val="00E52497"/>
    <w:rsid w:val="00E524A6"/>
    <w:rsid w:val="00E52E8D"/>
    <w:rsid w:val="00E534C6"/>
    <w:rsid w:val="00E54284"/>
    <w:rsid w:val="00E54938"/>
    <w:rsid w:val="00E54E12"/>
    <w:rsid w:val="00E556AE"/>
    <w:rsid w:val="00E55C10"/>
    <w:rsid w:val="00E56087"/>
    <w:rsid w:val="00E56100"/>
    <w:rsid w:val="00E5656E"/>
    <w:rsid w:val="00E56BA1"/>
    <w:rsid w:val="00E57127"/>
    <w:rsid w:val="00E5748F"/>
    <w:rsid w:val="00E57E36"/>
    <w:rsid w:val="00E6031D"/>
    <w:rsid w:val="00E61B12"/>
    <w:rsid w:val="00E63218"/>
    <w:rsid w:val="00E63792"/>
    <w:rsid w:val="00E64065"/>
    <w:rsid w:val="00E64119"/>
    <w:rsid w:val="00E65969"/>
    <w:rsid w:val="00E65B5B"/>
    <w:rsid w:val="00E668A5"/>
    <w:rsid w:val="00E66F6A"/>
    <w:rsid w:val="00E67F1C"/>
    <w:rsid w:val="00E7016C"/>
    <w:rsid w:val="00E704F7"/>
    <w:rsid w:val="00E71319"/>
    <w:rsid w:val="00E73399"/>
    <w:rsid w:val="00E735EC"/>
    <w:rsid w:val="00E74939"/>
    <w:rsid w:val="00E77255"/>
    <w:rsid w:val="00E80BF6"/>
    <w:rsid w:val="00E80E6D"/>
    <w:rsid w:val="00E81486"/>
    <w:rsid w:val="00E81588"/>
    <w:rsid w:val="00E82BC4"/>
    <w:rsid w:val="00E82F22"/>
    <w:rsid w:val="00E83CDF"/>
    <w:rsid w:val="00E85108"/>
    <w:rsid w:val="00E8573A"/>
    <w:rsid w:val="00E863B2"/>
    <w:rsid w:val="00E87393"/>
    <w:rsid w:val="00E90452"/>
    <w:rsid w:val="00E909A6"/>
    <w:rsid w:val="00E90C9F"/>
    <w:rsid w:val="00E911D9"/>
    <w:rsid w:val="00E9125E"/>
    <w:rsid w:val="00E91580"/>
    <w:rsid w:val="00E91A73"/>
    <w:rsid w:val="00E927FF"/>
    <w:rsid w:val="00E92BF0"/>
    <w:rsid w:val="00E92C48"/>
    <w:rsid w:val="00E938C0"/>
    <w:rsid w:val="00E94091"/>
    <w:rsid w:val="00E941AE"/>
    <w:rsid w:val="00E95520"/>
    <w:rsid w:val="00E968BE"/>
    <w:rsid w:val="00E970BC"/>
    <w:rsid w:val="00E979A8"/>
    <w:rsid w:val="00E97D64"/>
    <w:rsid w:val="00EA2A43"/>
    <w:rsid w:val="00EA4840"/>
    <w:rsid w:val="00EA6F91"/>
    <w:rsid w:val="00EA7677"/>
    <w:rsid w:val="00EA787B"/>
    <w:rsid w:val="00EB06D4"/>
    <w:rsid w:val="00EB06EC"/>
    <w:rsid w:val="00EB1502"/>
    <w:rsid w:val="00EB213A"/>
    <w:rsid w:val="00EB2D03"/>
    <w:rsid w:val="00EB31E8"/>
    <w:rsid w:val="00EB4EAB"/>
    <w:rsid w:val="00EB568C"/>
    <w:rsid w:val="00EB5F8D"/>
    <w:rsid w:val="00EB6336"/>
    <w:rsid w:val="00EB700B"/>
    <w:rsid w:val="00EB74F5"/>
    <w:rsid w:val="00EB790A"/>
    <w:rsid w:val="00EB7FD4"/>
    <w:rsid w:val="00EC02A5"/>
    <w:rsid w:val="00EC0484"/>
    <w:rsid w:val="00EC0549"/>
    <w:rsid w:val="00EC0A93"/>
    <w:rsid w:val="00EC1956"/>
    <w:rsid w:val="00EC1B4F"/>
    <w:rsid w:val="00EC21F1"/>
    <w:rsid w:val="00EC3425"/>
    <w:rsid w:val="00EC3706"/>
    <w:rsid w:val="00EC39F4"/>
    <w:rsid w:val="00EC3CA6"/>
    <w:rsid w:val="00EC4F0D"/>
    <w:rsid w:val="00EC4FB6"/>
    <w:rsid w:val="00EC6243"/>
    <w:rsid w:val="00EC6311"/>
    <w:rsid w:val="00EC773B"/>
    <w:rsid w:val="00ED13A1"/>
    <w:rsid w:val="00ED14A9"/>
    <w:rsid w:val="00ED20D9"/>
    <w:rsid w:val="00ED28ED"/>
    <w:rsid w:val="00ED2F69"/>
    <w:rsid w:val="00ED418B"/>
    <w:rsid w:val="00ED566D"/>
    <w:rsid w:val="00ED5E89"/>
    <w:rsid w:val="00ED61A3"/>
    <w:rsid w:val="00ED68BC"/>
    <w:rsid w:val="00ED7196"/>
    <w:rsid w:val="00ED75A7"/>
    <w:rsid w:val="00ED7C63"/>
    <w:rsid w:val="00ED7D7E"/>
    <w:rsid w:val="00EE15B4"/>
    <w:rsid w:val="00EE1CCE"/>
    <w:rsid w:val="00EE207F"/>
    <w:rsid w:val="00EE23C8"/>
    <w:rsid w:val="00EE23F3"/>
    <w:rsid w:val="00EE3769"/>
    <w:rsid w:val="00EE3860"/>
    <w:rsid w:val="00EE3B33"/>
    <w:rsid w:val="00EE5118"/>
    <w:rsid w:val="00EE5415"/>
    <w:rsid w:val="00EE5ABE"/>
    <w:rsid w:val="00EE5C1C"/>
    <w:rsid w:val="00EE5F06"/>
    <w:rsid w:val="00EE7A05"/>
    <w:rsid w:val="00EF1897"/>
    <w:rsid w:val="00EF1FF1"/>
    <w:rsid w:val="00EF20EA"/>
    <w:rsid w:val="00EF34F0"/>
    <w:rsid w:val="00EF4710"/>
    <w:rsid w:val="00EF64DD"/>
    <w:rsid w:val="00EF6C3E"/>
    <w:rsid w:val="00EF7C9A"/>
    <w:rsid w:val="00F03940"/>
    <w:rsid w:val="00F04B6C"/>
    <w:rsid w:val="00F04F46"/>
    <w:rsid w:val="00F0541F"/>
    <w:rsid w:val="00F05610"/>
    <w:rsid w:val="00F0598C"/>
    <w:rsid w:val="00F065F1"/>
    <w:rsid w:val="00F10985"/>
    <w:rsid w:val="00F10B44"/>
    <w:rsid w:val="00F116DC"/>
    <w:rsid w:val="00F124C9"/>
    <w:rsid w:val="00F1524A"/>
    <w:rsid w:val="00F15572"/>
    <w:rsid w:val="00F158AC"/>
    <w:rsid w:val="00F162AB"/>
    <w:rsid w:val="00F1766B"/>
    <w:rsid w:val="00F2020F"/>
    <w:rsid w:val="00F206B3"/>
    <w:rsid w:val="00F20CD5"/>
    <w:rsid w:val="00F2142E"/>
    <w:rsid w:val="00F2486D"/>
    <w:rsid w:val="00F25507"/>
    <w:rsid w:val="00F270BF"/>
    <w:rsid w:val="00F27609"/>
    <w:rsid w:val="00F302C2"/>
    <w:rsid w:val="00F3040B"/>
    <w:rsid w:val="00F313DD"/>
    <w:rsid w:val="00F31734"/>
    <w:rsid w:val="00F321F6"/>
    <w:rsid w:val="00F330B2"/>
    <w:rsid w:val="00F3349C"/>
    <w:rsid w:val="00F338E1"/>
    <w:rsid w:val="00F34DE2"/>
    <w:rsid w:val="00F37244"/>
    <w:rsid w:val="00F43FD4"/>
    <w:rsid w:val="00F4546A"/>
    <w:rsid w:val="00F457C7"/>
    <w:rsid w:val="00F45C1E"/>
    <w:rsid w:val="00F46C77"/>
    <w:rsid w:val="00F47FE9"/>
    <w:rsid w:val="00F50662"/>
    <w:rsid w:val="00F52BE8"/>
    <w:rsid w:val="00F532B3"/>
    <w:rsid w:val="00F53370"/>
    <w:rsid w:val="00F53D08"/>
    <w:rsid w:val="00F54277"/>
    <w:rsid w:val="00F54416"/>
    <w:rsid w:val="00F55B4E"/>
    <w:rsid w:val="00F56223"/>
    <w:rsid w:val="00F57228"/>
    <w:rsid w:val="00F62911"/>
    <w:rsid w:val="00F639E0"/>
    <w:rsid w:val="00F649FB"/>
    <w:rsid w:val="00F64E2D"/>
    <w:rsid w:val="00F65CC4"/>
    <w:rsid w:val="00F65CCB"/>
    <w:rsid w:val="00F661F4"/>
    <w:rsid w:val="00F67423"/>
    <w:rsid w:val="00F674EE"/>
    <w:rsid w:val="00F67D9F"/>
    <w:rsid w:val="00F7008B"/>
    <w:rsid w:val="00F70E71"/>
    <w:rsid w:val="00F7155F"/>
    <w:rsid w:val="00F71D3C"/>
    <w:rsid w:val="00F72C44"/>
    <w:rsid w:val="00F73237"/>
    <w:rsid w:val="00F73A5A"/>
    <w:rsid w:val="00F73E9A"/>
    <w:rsid w:val="00F747E6"/>
    <w:rsid w:val="00F74C5A"/>
    <w:rsid w:val="00F75B3F"/>
    <w:rsid w:val="00F76208"/>
    <w:rsid w:val="00F763AB"/>
    <w:rsid w:val="00F769F9"/>
    <w:rsid w:val="00F76BB3"/>
    <w:rsid w:val="00F76E26"/>
    <w:rsid w:val="00F76F7D"/>
    <w:rsid w:val="00F770F8"/>
    <w:rsid w:val="00F770FA"/>
    <w:rsid w:val="00F779A5"/>
    <w:rsid w:val="00F8109E"/>
    <w:rsid w:val="00F82516"/>
    <w:rsid w:val="00F82520"/>
    <w:rsid w:val="00F83151"/>
    <w:rsid w:val="00F83897"/>
    <w:rsid w:val="00F8501C"/>
    <w:rsid w:val="00F854B3"/>
    <w:rsid w:val="00F85C94"/>
    <w:rsid w:val="00F85CD2"/>
    <w:rsid w:val="00F8683E"/>
    <w:rsid w:val="00F869E3"/>
    <w:rsid w:val="00F86B45"/>
    <w:rsid w:val="00F8736C"/>
    <w:rsid w:val="00F8749C"/>
    <w:rsid w:val="00F87983"/>
    <w:rsid w:val="00F90F48"/>
    <w:rsid w:val="00F916BB"/>
    <w:rsid w:val="00F91AFF"/>
    <w:rsid w:val="00F91F52"/>
    <w:rsid w:val="00F937DF"/>
    <w:rsid w:val="00F94D38"/>
    <w:rsid w:val="00F94D76"/>
    <w:rsid w:val="00F953E2"/>
    <w:rsid w:val="00F9551E"/>
    <w:rsid w:val="00F955EE"/>
    <w:rsid w:val="00F9571D"/>
    <w:rsid w:val="00F957D0"/>
    <w:rsid w:val="00F964E6"/>
    <w:rsid w:val="00F97890"/>
    <w:rsid w:val="00FA2C80"/>
    <w:rsid w:val="00FA2CEC"/>
    <w:rsid w:val="00FA3A01"/>
    <w:rsid w:val="00FA3F26"/>
    <w:rsid w:val="00FA43E7"/>
    <w:rsid w:val="00FA52C0"/>
    <w:rsid w:val="00FA52FB"/>
    <w:rsid w:val="00FA532D"/>
    <w:rsid w:val="00FA6AE5"/>
    <w:rsid w:val="00FA7641"/>
    <w:rsid w:val="00FB06F9"/>
    <w:rsid w:val="00FB351F"/>
    <w:rsid w:val="00FB4EA8"/>
    <w:rsid w:val="00FB5CF8"/>
    <w:rsid w:val="00FB6136"/>
    <w:rsid w:val="00FB62CE"/>
    <w:rsid w:val="00FB733A"/>
    <w:rsid w:val="00FB7F2B"/>
    <w:rsid w:val="00FC0815"/>
    <w:rsid w:val="00FC0B63"/>
    <w:rsid w:val="00FC0B6D"/>
    <w:rsid w:val="00FC0C74"/>
    <w:rsid w:val="00FC0CB7"/>
    <w:rsid w:val="00FC1F87"/>
    <w:rsid w:val="00FC2A02"/>
    <w:rsid w:val="00FC4238"/>
    <w:rsid w:val="00FC49B8"/>
    <w:rsid w:val="00FC5157"/>
    <w:rsid w:val="00FC58B7"/>
    <w:rsid w:val="00FC6369"/>
    <w:rsid w:val="00FC7CA3"/>
    <w:rsid w:val="00FD0EB4"/>
    <w:rsid w:val="00FD1D4B"/>
    <w:rsid w:val="00FD272E"/>
    <w:rsid w:val="00FD2FB5"/>
    <w:rsid w:val="00FD309E"/>
    <w:rsid w:val="00FD4DC0"/>
    <w:rsid w:val="00FD64A7"/>
    <w:rsid w:val="00FD788F"/>
    <w:rsid w:val="00FE12D2"/>
    <w:rsid w:val="00FE1504"/>
    <w:rsid w:val="00FE2D46"/>
    <w:rsid w:val="00FE35F1"/>
    <w:rsid w:val="00FE4B22"/>
    <w:rsid w:val="00FE63A6"/>
    <w:rsid w:val="00FE67F3"/>
    <w:rsid w:val="00FE74FC"/>
    <w:rsid w:val="00FE7595"/>
    <w:rsid w:val="00FE7EBF"/>
    <w:rsid w:val="00FF07D4"/>
    <w:rsid w:val="00FF0FCD"/>
    <w:rsid w:val="00FF17C9"/>
    <w:rsid w:val="00FF3BB6"/>
    <w:rsid w:val="00FF3DC7"/>
    <w:rsid w:val="00FF60C9"/>
    <w:rsid w:val="00FF7053"/>
    <w:rsid w:val="00FF7119"/>
    <w:rsid w:val="00FF715C"/>
    <w:rsid w:val="00FF73A7"/>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F22D95E"/>
  <w15:chartTrackingRefBased/>
  <w15:docId w15:val="{CAB45812-2762-41CC-94E2-7D3A125B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D5"/>
    <w:pPr>
      <w:jc w:val="both"/>
    </w:pPr>
    <w:rPr>
      <w:rFonts w:ascii="Tahoma" w:hAnsi="Tahoma"/>
      <w:sz w:val="24"/>
      <w:szCs w:val="24"/>
    </w:rPr>
  </w:style>
  <w:style w:type="paragraph" w:styleId="Heading1">
    <w:name w:val="heading 1"/>
    <w:basedOn w:val="Normal"/>
    <w:next w:val="Normal"/>
    <w:qFormat/>
    <w:rsid w:val="007B26FA"/>
    <w:pPr>
      <w:keepNext/>
      <w:spacing w:after="240"/>
      <w:jc w:val="left"/>
      <w:outlineLvl w:val="0"/>
    </w:pPr>
    <w:rPr>
      <w:b/>
      <w:kern w:val="28"/>
      <w:sz w:val="32"/>
    </w:rPr>
  </w:style>
  <w:style w:type="paragraph" w:styleId="Heading2">
    <w:name w:val="heading 2"/>
    <w:basedOn w:val="Normal"/>
    <w:next w:val="Normal"/>
    <w:link w:val="Heading2Char"/>
    <w:qFormat/>
    <w:rsid w:val="002C192D"/>
    <w:pPr>
      <w:keepNext/>
      <w:spacing w:after="240"/>
      <w:outlineLvl w:val="1"/>
    </w:pPr>
    <w:rPr>
      <w:b/>
      <w:sz w:val="28"/>
    </w:rPr>
  </w:style>
  <w:style w:type="paragraph" w:styleId="Heading3">
    <w:name w:val="heading 3"/>
    <w:basedOn w:val="Normal"/>
    <w:next w:val="Normal"/>
    <w:qFormat/>
    <w:rsid w:val="00B0728F"/>
    <w:pPr>
      <w:keepNext/>
      <w:spacing w:after="240"/>
      <w:outlineLvl w:val="2"/>
    </w:pPr>
    <w:rPr>
      <w:b/>
      <w:caps/>
    </w:rPr>
  </w:style>
  <w:style w:type="paragraph" w:styleId="Heading4">
    <w:name w:val="heading 4"/>
    <w:basedOn w:val="Normal"/>
    <w:next w:val="Normal"/>
    <w:qFormat/>
    <w:rsid w:val="00B0728F"/>
    <w:pPr>
      <w:keepNext/>
      <w:spacing w:after="240"/>
      <w:outlineLvl w:val="3"/>
    </w:pPr>
    <w:rPr>
      <w:b/>
    </w:rPr>
  </w:style>
  <w:style w:type="paragraph" w:styleId="Heading5">
    <w:name w:val="heading 5"/>
    <w:basedOn w:val="Normal"/>
    <w:next w:val="Normal"/>
    <w:qFormat/>
    <w:rsid w:val="00B0728F"/>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8F"/>
    <w:pPr>
      <w:tabs>
        <w:tab w:val="center" w:pos="4320"/>
        <w:tab w:val="right" w:pos="8640"/>
      </w:tabs>
    </w:pPr>
  </w:style>
  <w:style w:type="paragraph" w:styleId="Footer">
    <w:name w:val="footer"/>
    <w:basedOn w:val="Normal"/>
    <w:link w:val="FooterChar"/>
    <w:uiPriority w:val="99"/>
    <w:rsid w:val="00B0728F"/>
    <w:pPr>
      <w:tabs>
        <w:tab w:val="center" w:pos="4320"/>
        <w:tab w:val="right" w:pos="8640"/>
      </w:tabs>
    </w:pPr>
  </w:style>
  <w:style w:type="table" w:styleId="TableGrid">
    <w:name w:val="Table Grid"/>
    <w:basedOn w:val="TableNormal"/>
    <w:rsid w:val="0000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bCs/>
    </w:rPr>
  </w:style>
  <w:style w:type="paragraph" w:styleId="TOC1">
    <w:name w:val="toc 1"/>
    <w:basedOn w:val="Normal"/>
    <w:next w:val="Normal"/>
    <w:autoRedefine/>
    <w:uiPriority w:val="39"/>
    <w:qFormat/>
    <w:rsid w:val="0078569A"/>
    <w:pPr>
      <w:tabs>
        <w:tab w:val="right" w:pos="9016"/>
      </w:tabs>
    </w:p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character" w:styleId="CommentReference">
    <w:name w:val="annotation reference"/>
    <w:uiPriority w:val="99"/>
    <w:semiHidden/>
    <w:rsid w:val="00C87593"/>
    <w:rPr>
      <w:sz w:val="16"/>
      <w:szCs w:val="16"/>
    </w:rPr>
  </w:style>
  <w:style w:type="paragraph" w:styleId="CommentText">
    <w:name w:val="annotation text"/>
    <w:basedOn w:val="Normal"/>
    <w:link w:val="CommentTextChar"/>
    <w:uiPriority w:val="99"/>
    <w:rsid w:val="00C87593"/>
    <w:rPr>
      <w:sz w:val="20"/>
      <w:szCs w:val="20"/>
    </w:rPr>
  </w:style>
  <w:style w:type="paragraph" w:styleId="CommentSubject">
    <w:name w:val="annotation subject"/>
    <w:basedOn w:val="CommentText"/>
    <w:next w:val="CommentText"/>
    <w:semiHidden/>
    <w:rsid w:val="00C87593"/>
    <w:rPr>
      <w:b/>
      <w:bCs/>
    </w:rPr>
  </w:style>
  <w:style w:type="paragraph" w:styleId="BalloonText">
    <w:name w:val="Balloon Text"/>
    <w:basedOn w:val="Normal"/>
    <w:semiHidden/>
    <w:rsid w:val="00C87593"/>
    <w:rPr>
      <w:rFonts w:cs="Tahoma"/>
      <w:sz w:val="16"/>
      <w:szCs w:val="16"/>
    </w:rPr>
  </w:style>
  <w:style w:type="paragraph" w:styleId="NormalWeb">
    <w:name w:val="Normal (Web)"/>
    <w:basedOn w:val="Normal"/>
    <w:uiPriority w:val="99"/>
    <w:rsid w:val="00512A25"/>
  </w:style>
  <w:style w:type="paragraph" w:styleId="Title">
    <w:name w:val="Title"/>
    <w:basedOn w:val="Normal"/>
    <w:qFormat/>
    <w:rsid w:val="002C3210"/>
    <w:pPr>
      <w:spacing w:before="240" w:after="60"/>
      <w:jc w:val="center"/>
      <w:outlineLvl w:val="0"/>
    </w:pPr>
    <w:rPr>
      <w:rFonts w:ascii="Arial" w:hAnsi="Arial" w:cs="Arial"/>
      <w:b/>
      <w:bCs/>
      <w:kern w:val="28"/>
      <w:sz w:val="32"/>
      <w:szCs w:val="32"/>
    </w:rPr>
  </w:style>
  <w:style w:type="character" w:styleId="FootnoteReference">
    <w:name w:val="footnote reference"/>
    <w:rsid w:val="002C3210"/>
    <w:rPr>
      <w:vertAlign w:val="superscript"/>
    </w:rPr>
  </w:style>
  <w:style w:type="paragraph" w:styleId="FootnoteText">
    <w:name w:val="footnote text"/>
    <w:basedOn w:val="Normal"/>
    <w:link w:val="FootnoteTextChar"/>
    <w:uiPriority w:val="99"/>
    <w:rsid w:val="007B42A8"/>
    <w:rPr>
      <w:sz w:val="20"/>
      <w:szCs w:val="20"/>
    </w:rPr>
  </w:style>
  <w:style w:type="character" w:customStyle="1" w:styleId="NumberedparagraphChar">
    <w:name w:val="Numbered paragraph Char"/>
    <w:link w:val="Numberedparagraph"/>
    <w:locked/>
    <w:rsid w:val="007B42A8"/>
    <w:rPr>
      <w:rFonts w:ascii="Tahoma" w:hAnsi="Tahoma"/>
      <w:color w:val="000000"/>
      <w:sz w:val="24"/>
      <w:szCs w:val="24"/>
      <w:lang w:eastAsia="en-US"/>
    </w:rPr>
  </w:style>
  <w:style w:type="paragraph" w:customStyle="1" w:styleId="Bulletsspaced">
    <w:name w:val="Bullets (spaced)"/>
    <w:basedOn w:val="Normal"/>
    <w:link w:val="BulletsspacedChar"/>
    <w:autoRedefine/>
    <w:rsid w:val="00231CC7"/>
    <w:pPr>
      <w:numPr>
        <w:numId w:val="2"/>
      </w:numPr>
      <w:tabs>
        <w:tab w:val="left" w:pos="709"/>
        <w:tab w:val="num" w:pos="993"/>
      </w:tabs>
      <w:spacing w:after="120"/>
      <w:ind w:left="993" w:hanging="284"/>
      <w:jc w:val="left"/>
    </w:pPr>
    <w:rPr>
      <w:color w:val="000000"/>
      <w:lang w:eastAsia="en-US"/>
    </w:rPr>
  </w:style>
  <w:style w:type="paragraph" w:customStyle="1" w:styleId="Bulletsspaced-lastbullet">
    <w:name w:val="Bullets (spaced) - last bullet"/>
    <w:basedOn w:val="Bulletsspaced"/>
    <w:next w:val="Numberedparagraph"/>
    <w:link w:val="Bulletsspaced-lastbulletChar"/>
    <w:rsid w:val="007B42A8"/>
    <w:pPr>
      <w:spacing w:after="240"/>
    </w:pPr>
  </w:style>
  <w:style w:type="paragraph" w:customStyle="1" w:styleId="Numberedparagraph">
    <w:name w:val="Numbered paragraph"/>
    <w:basedOn w:val="Normal"/>
    <w:link w:val="NumberedparagraphChar"/>
    <w:qFormat/>
    <w:rsid w:val="007B42A8"/>
    <w:pPr>
      <w:numPr>
        <w:numId w:val="1"/>
      </w:numPr>
      <w:spacing w:after="240"/>
    </w:pPr>
    <w:rPr>
      <w:color w:val="000000"/>
      <w:lang w:eastAsia="en-US"/>
    </w:rPr>
  </w:style>
  <w:style w:type="character" w:customStyle="1" w:styleId="BulletsspacedChar">
    <w:name w:val="Bullets (spaced) Char"/>
    <w:link w:val="Bulletsspaced"/>
    <w:rsid w:val="00231CC7"/>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B42A8"/>
    <w:rPr>
      <w:rFonts w:ascii="Tahoma" w:hAnsi="Tahoma"/>
      <w:color w:val="000000"/>
      <w:sz w:val="24"/>
      <w:szCs w:val="24"/>
      <w:lang w:eastAsia="en-US"/>
    </w:rPr>
  </w:style>
  <w:style w:type="paragraph" w:styleId="BodyText">
    <w:name w:val="Body Text"/>
    <w:basedOn w:val="Normal"/>
    <w:rsid w:val="00B0728F"/>
    <w:pPr>
      <w:spacing w:after="120"/>
    </w:pPr>
  </w:style>
  <w:style w:type="paragraph" w:styleId="TOC9">
    <w:name w:val="toc 9"/>
    <w:basedOn w:val="Normal"/>
    <w:next w:val="Normal"/>
    <w:autoRedefine/>
    <w:semiHidden/>
    <w:rsid w:val="004336D5"/>
    <w:pPr>
      <w:ind w:left="1920"/>
    </w:pPr>
  </w:style>
  <w:style w:type="paragraph" w:customStyle="1" w:styleId="LetterBodyText">
    <w:name w:val="Letter Body Text"/>
    <w:basedOn w:val="LetterText"/>
    <w:rsid w:val="00B0728F"/>
    <w:pPr>
      <w:spacing w:after="120"/>
    </w:pPr>
  </w:style>
  <w:style w:type="paragraph" w:customStyle="1" w:styleId="LetterText">
    <w:name w:val="Letter Text"/>
    <w:basedOn w:val="Normal"/>
    <w:rsid w:val="00B0728F"/>
  </w:style>
  <w:style w:type="paragraph" w:styleId="PlainText">
    <w:name w:val="Plain Text"/>
    <w:basedOn w:val="Normal"/>
    <w:rsid w:val="00B0728F"/>
    <w:rPr>
      <w:rFonts w:ascii="Courier New" w:hAnsi="Courier New"/>
    </w:rPr>
  </w:style>
  <w:style w:type="paragraph" w:customStyle="1" w:styleId="Unnumberedparagraph">
    <w:name w:val="Unnumbered paragraph"/>
    <w:basedOn w:val="Normal"/>
    <w:link w:val="UnnumberedparagraphChar"/>
    <w:rsid w:val="00F10985"/>
    <w:pPr>
      <w:spacing w:after="240"/>
      <w:jc w:val="left"/>
    </w:pPr>
    <w:rPr>
      <w:color w:val="000000"/>
      <w:lang w:eastAsia="en-US"/>
    </w:rPr>
  </w:style>
  <w:style w:type="character" w:customStyle="1" w:styleId="UnnumberedparagraphChar">
    <w:name w:val="Unnumbered paragraph Char"/>
    <w:link w:val="Unnumberedparagraph"/>
    <w:rsid w:val="00F10985"/>
    <w:rPr>
      <w:rFonts w:ascii="Tahoma" w:hAnsi="Tahoma"/>
      <w:color w:val="000000"/>
      <w:sz w:val="24"/>
      <w:szCs w:val="24"/>
      <w:lang w:val="en-GB" w:eastAsia="en-US" w:bidi="ar-SA"/>
    </w:rPr>
  </w:style>
  <w:style w:type="character" w:styleId="PageNumber">
    <w:name w:val="page number"/>
    <w:basedOn w:val="DefaultParagraphFont"/>
    <w:rsid w:val="00CB7D65"/>
  </w:style>
  <w:style w:type="character" w:customStyle="1" w:styleId="Heading1SFRChar">
    <w:name w:val="Heading 1 SFR Char"/>
    <w:link w:val="Heading1SFR"/>
    <w:rsid w:val="00F43FD4"/>
    <w:rPr>
      <w:rFonts w:ascii="Tahoma" w:hAnsi="Tahoma"/>
      <w:b/>
      <w:bCs/>
      <w:caps/>
      <w:sz w:val="24"/>
      <w:szCs w:val="24"/>
      <w:lang w:val="en-GB" w:eastAsia="en-GB" w:bidi="ar-SA"/>
    </w:rPr>
  </w:style>
  <w:style w:type="paragraph" w:customStyle="1" w:styleId="Default">
    <w:name w:val="Default"/>
    <w:rsid w:val="003526EC"/>
    <w:pPr>
      <w:autoSpaceDE w:val="0"/>
      <w:autoSpaceDN w:val="0"/>
      <w:adjustRightInd w:val="0"/>
    </w:pPr>
    <w:rPr>
      <w:rFonts w:ascii="Tahoma" w:hAnsi="Tahoma" w:cs="Tahoma"/>
      <w:color w:val="000000"/>
      <w:sz w:val="24"/>
      <w:szCs w:val="24"/>
    </w:rPr>
  </w:style>
  <w:style w:type="paragraph" w:customStyle="1" w:styleId="xmsonormal">
    <w:name w:val="x_msonormal"/>
    <w:basedOn w:val="Normal"/>
    <w:rsid w:val="009F66D4"/>
    <w:pPr>
      <w:spacing w:before="100" w:beforeAutospacing="1" w:after="100" w:afterAutospacing="1"/>
      <w:jc w:val="left"/>
    </w:pPr>
    <w:rPr>
      <w:rFonts w:ascii="Times New Roman" w:hAnsi="Times New Roman"/>
    </w:rPr>
  </w:style>
  <w:style w:type="paragraph" w:customStyle="1" w:styleId="xbulletsspaced">
    <w:name w:val="x_bulletsspaced"/>
    <w:basedOn w:val="Normal"/>
    <w:rsid w:val="009F66D4"/>
    <w:pPr>
      <w:spacing w:before="100" w:beforeAutospacing="1" w:after="100" w:afterAutospacing="1"/>
      <w:jc w:val="left"/>
    </w:pPr>
    <w:rPr>
      <w:rFonts w:ascii="Times New Roman" w:hAnsi="Times New Roman"/>
    </w:rPr>
  </w:style>
  <w:style w:type="character" w:styleId="Emphasis">
    <w:name w:val="Emphasis"/>
    <w:qFormat/>
    <w:rsid w:val="009F66D4"/>
    <w:rPr>
      <w:i/>
      <w:iCs/>
    </w:rPr>
  </w:style>
  <w:style w:type="paragraph" w:styleId="ListParagraph">
    <w:name w:val="List Paragraph"/>
    <w:basedOn w:val="Normal"/>
    <w:uiPriority w:val="34"/>
    <w:qFormat/>
    <w:rsid w:val="00F8749C"/>
    <w:pPr>
      <w:ind w:left="720"/>
    </w:pPr>
  </w:style>
  <w:style w:type="character" w:customStyle="1" w:styleId="FootnoteTextChar">
    <w:name w:val="Footnote Text Char"/>
    <w:link w:val="FootnoteText"/>
    <w:uiPriority w:val="99"/>
    <w:rsid w:val="008538AB"/>
    <w:rPr>
      <w:rFonts w:ascii="Tahoma" w:hAnsi="Tahoma"/>
    </w:rPr>
  </w:style>
  <w:style w:type="paragraph" w:styleId="Revision">
    <w:name w:val="Revision"/>
    <w:hidden/>
    <w:uiPriority w:val="99"/>
    <w:semiHidden/>
    <w:rsid w:val="00545689"/>
    <w:rPr>
      <w:rFonts w:ascii="Tahoma" w:hAnsi="Tahoma"/>
      <w:sz w:val="24"/>
      <w:szCs w:val="24"/>
    </w:rPr>
  </w:style>
  <w:style w:type="paragraph" w:styleId="NoSpacing">
    <w:name w:val="No Spacing"/>
    <w:uiPriority w:val="1"/>
    <w:qFormat/>
    <w:rsid w:val="00690C9D"/>
    <w:pPr>
      <w:jc w:val="both"/>
    </w:pPr>
    <w:rPr>
      <w:rFonts w:ascii="Tahoma" w:hAnsi="Tahoma"/>
      <w:sz w:val="24"/>
      <w:szCs w:val="24"/>
    </w:rPr>
  </w:style>
  <w:style w:type="paragraph" w:customStyle="1" w:styleId="Footer-RHSOdd">
    <w:name w:val="Footer - RHS Odd"/>
    <w:basedOn w:val="Normal"/>
    <w:rsid w:val="001460CF"/>
    <w:pPr>
      <w:pBdr>
        <w:top w:val="single" w:sz="4" w:space="6" w:color="auto"/>
      </w:pBdr>
      <w:tabs>
        <w:tab w:val="left" w:pos="567"/>
      </w:tabs>
      <w:jc w:val="left"/>
    </w:pPr>
    <w:rPr>
      <w:b/>
      <w:color w:val="000000"/>
      <w:sz w:val="16"/>
      <w:szCs w:val="20"/>
      <w:lang w:eastAsia="en-US"/>
    </w:rPr>
  </w:style>
  <w:style w:type="character" w:customStyle="1" w:styleId="FooterChar">
    <w:name w:val="Footer Char"/>
    <w:link w:val="Footer"/>
    <w:uiPriority w:val="99"/>
    <w:rsid w:val="00243CDA"/>
    <w:rPr>
      <w:rFonts w:ascii="Tahoma" w:hAnsi="Tahoma"/>
      <w:sz w:val="24"/>
      <w:szCs w:val="24"/>
    </w:rPr>
  </w:style>
  <w:style w:type="paragraph" w:styleId="TOCHeading">
    <w:name w:val="TOC Heading"/>
    <w:basedOn w:val="Heading1"/>
    <w:next w:val="Normal"/>
    <w:uiPriority w:val="39"/>
    <w:semiHidden/>
    <w:unhideWhenUsed/>
    <w:qFormat/>
    <w:rsid w:val="00B109E2"/>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TOC2">
    <w:name w:val="toc 2"/>
    <w:basedOn w:val="Normal"/>
    <w:next w:val="Normal"/>
    <w:autoRedefine/>
    <w:uiPriority w:val="39"/>
    <w:unhideWhenUsed/>
    <w:qFormat/>
    <w:rsid w:val="00BE2615"/>
    <w:pPr>
      <w:tabs>
        <w:tab w:val="right" w:leader="dot" w:pos="9016"/>
      </w:tabs>
      <w:spacing w:after="100" w:line="276" w:lineRule="auto"/>
      <w:ind w:left="220"/>
      <w:jc w:val="left"/>
    </w:pPr>
    <w:rPr>
      <w:rFonts w:eastAsia="MS Mincho" w:cs="Tahoma"/>
      <w:noProof/>
      <w:lang w:val="en-US" w:eastAsia="ja-JP"/>
    </w:rPr>
  </w:style>
  <w:style w:type="paragraph" w:styleId="TOC3">
    <w:name w:val="toc 3"/>
    <w:basedOn w:val="Normal"/>
    <w:next w:val="Normal"/>
    <w:autoRedefine/>
    <w:uiPriority w:val="39"/>
    <w:unhideWhenUsed/>
    <w:qFormat/>
    <w:rsid w:val="00B109E2"/>
    <w:pPr>
      <w:spacing w:after="100" w:line="276" w:lineRule="auto"/>
      <w:ind w:left="440"/>
      <w:jc w:val="left"/>
    </w:pPr>
    <w:rPr>
      <w:rFonts w:ascii="Calibri" w:eastAsia="MS Mincho" w:hAnsi="Calibri" w:cs="Arial"/>
      <w:sz w:val="22"/>
      <w:szCs w:val="22"/>
      <w:lang w:val="en-US" w:eastAsia="ja-JP"/>
    </w:rPr>
  </w:style>
  <w:style w:type="character" w:customStyle="1" w:styleId="CommentTextChar">
    <w:name w:val="Comment Text Char"/>
    <w:link w:val="CommentText"/>
    <w:uiPriority w:val="99"/>
    <w:rsid w:val="00F76208"/>
    <w:rPr>
      <w:rFonts w:ascii="Tahoma" w:hAnsi="Tahoma"/>
    </w:rPr>
  </w:style>
  <w:style w:type="character" w:customStyle="1" w:styleId="hardreadability">
    <w:name w:val="hardreadability"/>
    <w:rsid w:val="009057AC"/>
  </w:style>
  <w:style w:type="character" w:customStyle="1" w:styleId="passivevoice">
    <w:name w:val="passivevoice"/>
    <w:rsid w:val="009057AC"/>
  </w:style>
  <w:style w:type="character" w:customStyle="1" w:styleId="Heading2Char">
    <w:name w:val="Heading 2 Char"/>
    <w:link w:val="Heading2"/>
    <w:rsid w:val="00287A53"/>
    <w:rPr>
      <w:rFonts w:ascii="Tahoma" w:hAnsi="Tahoma"/>
      <w:b/>
      <w:sz w:val="28"/>
      <w:szCs w:val="24"/>
    </w:rPr>
  </w:style>
  <w:style w:type="paragraph" w:customStyle="1" w:styleId="Bulletsdashes">
    <w:name w:val="Bullets (dashes)"/>
    <w:basedOn w:val="Bulletsspaced"/>
    <w:rsid w:val="00990177"/>
    <w:pPr>
      <w:numPr>
        <w:numId w:val="31"/>
      </w:numPr>
      <w:tabs>
        <w:tab w:val="clear" w:pos="709"/>
        <w:tab w:val="left" w:pos="1247"/>
        <w:tab w:val="num" w:pos="1877"/>
      </w:tabs>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49">
      <w:bodyDiv w:val="1"/>
      <w:marLeft w:val="0"/>
      <w:marRight w:val="0"/>
      <w:marTop w:val="0"/>
      <w:marBottom w:val="0"/>
      <w:divBdr>
        <w:top w:val="none" w:sz="0" w:space="0" w:color="auto"/>
        <w:left w:val="none" w:sz="0" w:space="0" w:color="auto"/>
        <w:bottom w:val="none" w:sz="0" w:space="0" w:color="auto"/>
        <w:right w:val="none" w:sz="0" w:space="0" w:color="auto"/>
      </w:divBdr>
    </w:div>
    <w:div w:id="18825559">
      <w:bodyDiv w:val="1"/>
      <w:marLeft w:val="0"/>
      <w:marRight w:val="0"/>
      <w:marTop w:val="0"/>
      <w:marBottom w:val="0"/>
      <w:divBdr>
        <w:top w:val="none" w:sz="0" w:space="0" w:color="auto"/>
        <w:left w:val="none" w:sz="0" w:space="0" w:color="auto"/>
        <w:bottom w:val="none" w:sz="0" w:space="0" w:color="auto"/>
        <w:right w:val="none" w:sz="0" w:space="0" w:color="auto"/>
      </w:divBdr>
    </w:div>
    <w:div w:id="30543941">
      <w:bodyDiv w:val="1"/>
      <w:marLeft w:val="0"/>
      <w:marRight w:val="0"/>
      <w:marTop w:val="0"/>
      <w:marBottom w:val="0"/>
      <w:divBdr>
        <w:top w:val="none" w:sz="0" w:space="0" w:color="auto"/>
        <w:left w:val="none" w:sz="0" w:space="0" w:color="auto"/>
        <w:bottom w:val="none" w:sz="0" w:space="0" w:color="auto"/>
        <w:right w:val="none" w:sz="0" w:space="0" w:color="auto"/>
      </w:divBdr>
    </w:div>
    <w:div w:id="60711335">
      <w:bodyDiv w:val="1"/>
      <w:marLeft w:val="0"/>
      <w:marRight w:val="0"/>
      <w:marTop w:val="0"/>
      <w:marBottom w:val="0"/>
      <w:divBdr>
        <w:top w:val="none" w:sz="0" w:space="0" w:color="auto"/>
        <w:left w:val="none" w:sz="0" w:space="0" w:color="auto"/>
        <w:bottom w:val="none" w:sz="0" w:space="0" w:color="auto"/>
        <w:right w:val="none" w:sz="0" w:space="0" w:color="auto"/>
      </w:divBdr>
    </w:div>
    <w:div w:id="88817126">
      <w:bodyDiv w:val="1"/>
      <w:marLeft w:val="0"/>
      <w:marRight w:val="0"/>
      <w:marTop w:val="0"/>
      <w:marBottom w:val="0"/>
      <w:divBdr>
        <w:top w:val="none" w:sz="0" w:space="0" w:color="auto"/>
        <w:left w:val="none" w:sz="0" w:space="0" w:color="auto"/>
        <w:bottom w:val="none" w:sz="0" w:space="0" w:color="auto"/>
        <w:right w:val="none" w:sz="0" w:space="0" w:color="auto"/>
      </w:divBdr>
    </w:div>
    <w:div w:id="100734219">
      <w:bodyDiv w:val="1"/>
      <w:marLeft w:val="0"/>
      <w:marRight w:val="0"/>
      <w:marTop w:val="0"/>
      <w:marBottom w:val="0"/>
      <w:divBdr>
        <w:top w:val="none" w:sz="0" w:space="0" w:color="auto"/>
        <w:left w:val="none" w:sz="0" w:space="0" w:color="auto"/>
        <w:bottom w:val="none" w:sz="0" w:space="0" w:color="auto"/>
        <w:right w:val="none" w:sz="0" w:space="0" w:color="auto"/>
      </w:divBdr>
    </w:div>
    <w:div w:id="127018654">
      <w:bodyDiv w:val="1"/>
      <w:marLeft w:val="0"/>
      <w:marRight w:val="0"/>
      <w:marTop w:val="0"/>
      <w:marBottom w:val="0"/>
      <w:divBdr>
        <w:top w:val="none" w:sz="0" w:space="0" w:color="auto"/>
        <w:left w:val="none" w:sz="0" w:space="0" w:color="auto"/>
        <w:bottom w:val="none" w:sz="0" w:space="0" w:color="auto"/>
        <w:right w:val="none" w:sz="0" w:space="0" w:color="auto"/>
      </w:divBdr>
    </w:div>
    <w:div w:id="146361949">
      <w:bodyDiv w:val="1"/>
      <w:marLeft w:val="0"/>
      <w:marRight w:val="0"/>
      <w:marTop w:val="0"/>
      <w:marBottom w:val="0"/>
      <w:divBdr>
        <w:top w:val="none" w:sz="0" w:space="0" w:color="auto"/>
        <w:left w:val="none" w:sz="0" w:space="0" w:color="auto"/>
        <w:bottom w:val="none" w:sz="0" w:space="0" w:color="auto"/>
        <w:right w:val="none" w:sz="0" w:space="0" w:color="auto"/>
      </w:divBdr>
    </w:div>
    <w:div w:id="219749313">
      <w:bodyDiv w:val="1"/>
      <w:marLeft w:val="0"/>
      <w:marRight w:val="0"/>
      <w:marTop w:val="0"/>
      <w:marBottom w:val="0"/>
      <w:divBdr>
        <w:top w:val="none" w:sz="0" w:space="0" w:color="auto"/>
        <w:left w:val="none" w:sz="0" w:space="0" w:color="auto"/>
        <w:bottom w:val="none" w:sz="0" w:space="0" w:color="auto"/>
        <w:right w:val="none" w:sz="0" w:space="0" w:color="auto"/>
      </w:divBdr>
    </w:div>
    <w:div w:id="248200340">
      <w:bodyDiv w:val="1"/>
      <w:marLeft w:val="0"/>
      <w:marRight w:val="0"/>
      <w:marTop w:val="0"/>
      <w:marBottom w:val="0"/>
      <w:divBdr>
        <w:top w:val="none" w:sz="0" w:space="0" w:color="auto"/>
        <w:left w:val="none" w:sz="0" w:space="0" w:color="auto"/>
        <w:bottom w:val="none" w:sz="0" w:space="0" w:color="auto"/>
        <w:right w:val="none" w:sz="0" w:space="0" w:color="auto"/>
      </w:divBdr>
    </w:div>
    <w:div w:id="256184175">
      <w:bodyDiv w:val="1"/>
      <w:marLeft w:val="0"/>
      <w:marRight w:val="0"/>
      <w:marTop w:val="0"/>
      <w:marBottom w:val="0"/>
      <w:divBdr>
        <w:top w:val="none" w:sz="0" w:space="0" w:color="auto"/>
        <w:left w:val="none" w:sz="0" w:space="0" w:color="auto"/>
        <w:bottom w:val="none" w:sz="0" w:space="0" w:color="auto"/>
        <w:right w:val="none" w:sz="0" w:space="0" w:color="auto"/>
      </w:divBdr>
    </w:div>
    <w:div w:id="274168492">
      <w:bodyDiv w:val="1"/>
      <w:marLeft w:val="0"/>
      <w:marRight w:val="0"/>
      <w:marTop w:val="0"/>
      <w:marBottom w:val="0"/>
      <w:divBdr>
        <w:top w:val="none" w:sz="0" w:space="0" w:color="auto"/>
        <w:left w:val="none" w:sz="0" w:space="0" w:color="auto"/>
        <w:bottom w:val="none" w:sz="0" w:space="0" w:color="auto"/>
        <w:right w:val="none" w:sz="0" w:space="0" w:color="auto"/>
      </w:divBdr>
    </w:div>
    <w:div w:id="283272970">
      <w:bodyDiv w:val="1"/>
      <w:marLeft w:val="0"/>
      <w:marRight w:val="0"/>
      <w:marTop w:val="0"/>
      <w:marBottom w:val="0"/>
      <w:divBdr>
        <w:top w:val="none" w:sz="0" w:space="0" w:color="auto"/>
        <w:left w:val="none" w:sz="0" w:space="0" w:color="auto"/>
        <w:bottom w:val="none" w:sz="0" w:space="0" w:color="auto"/>
        <w:right w:val="none" w:sz="0" w:space="0" w:color="auto"/>
      </w:divBdr>
    </w:div>
    <w:div w:id="300886813">
      <w:bodyDiv w:val="1"/>
      <w:marLeft w:val="0"/>
      <w:marRight w:val="0"/>
      <w:marTop w:val="0"/>
      <w:marBottom w:val="0"/>
      <w:divBdr>
        <w:top w:val="none" w:sz="0" w:space="0" w:color="auto"/>
        <w:left w:val="none" w:sz="0" w:space="0" w:color="auto"/>
        <w:bottom w:val="none" w:sz="0" w:space="0" w:color="auto"/>
        <w:right w:val="none" w:sz="0" w:space="0" w:color="auto"/>
      </w:divBdr>
    </w:div>
    <w:div w:id="310788621">
      <w:bodyDiv w:val="1"/>
      <w:marLeft w:val="0"/>
      <w:marRight w:val="0"/>
      <w:marTop w:val="0"/>
      <w:marBottom w:val="0"/>
      <w:divBdr>
        <w:top w:val="none" w:sz="0" w:space="0" w:color="auto"/>
        <w:left w:val="none" w:sz="0" w:space="0" w:color="auto"/>
        <w:bottom w:val="none" w:sz="0" w:space="0" w:color="auto"/>
        <w:right w:val="none" w:sz="0" w:space="0" w:color="auto"/>
      </w:divBdr>
    </w:div>
    <w:div w:id="314991378">
      <w:bodyDiv w:val="1"/>
      <w:marLeft w:val="0"/>
      <w:marRight w:val="0"/>
      <w:marTop w:val="0"/>
      <w:marBottom w:val="0"/>
      <w:divBdr>
        <w:top w:val="none" w:sz="0" w:space="0" w:color="auto"/>
        <w:left w:val="none" w:sz="0" w:space="0" w:color="auto"/>
        <w:bottom w:val="none" w:sz="0" w:space="0" w:color="auto"/>
        <w:right w:val="none" w:sz="0" w:space="0" w:color="auto"/>
      </w:divBdr>
    </w:div>
    <w:div w:id="315842134">
      <w:bodyDiv w:val="1"/>
      <w:marLeft w:val="0"/>
      <w:marRight w:val="0"/>
      <w:marTop w:val="0"/>
      <w:marBottom w:val="0"/>
      <w:divBdr>
        <w:top w:val="none" w:sz="0" w:space="0" w:color="auto"/>
        <w:left w:val="none" w:sz="0" w:space="0" w:color="auto"/>
        <w:bottom w:val="none" w:sz="0" w:space="0" w:color="auto"/>
        <w:right w:val="none" w:sz="0" w:space="0" w:color="auto"/>
      </w:divBdr>
    </w:div>
    <w:div w:id="326330372">
      <w:bodyDiv w:val="1"/>
      <w:marLeft w:val="0"/>
      <w:marRight w:val="0"/>
      <w:marTop w:val="0"/>
      <w:marBottom w:val="0"/>
      <w:divBdr>
        <w:top w:val="none" w:sz="0" w:space="0" w:color="auto"/>
        <w:left w:val="none" w:sz="0" w:space="0" w:color="auto"/>
        <w:bottom w:val="none" w:sz="0" w:space="0" w:color="auto"/>
        <w:right w:val="none" w:sz="0" w:space="0" w:color="auto"/>
      </w:divBdr>
    </w:div>
    <w:div w:id="340620846">
      <w:bodyDiv w:val="1"/>
      <w:marLeft w:val="0"/>
      <w:marRight w:val="0"/>
      <w:marTop w:val="0"/>
      <w:marBottom w:val="0"/>
      <w:divBdr>
        <w:top w:val="none" w:sz="0" w:space="0" w:color="auto"/>
        <w:left w:val="none" w:sz="0" w:space="0" w:color="auto"/>
        <w:bottom w:val="none" w:sz="0" w:space="0" w:color="auto"/>
        <w:right w:val="none" w:sz="0" w:space="0" w:color="auto"/>
      </w:divBdr>
    </w:div>
    <w:div w:id="360741896">
      <w:bodyDiv w:val="1"/>
      <w:marLeft w:val="0"/>
      <w:marRight w:val="0"/>
      <w:marTop w:val="0"/>
      <w:marBottom w:val="0"/>
      <w:divBdr>
        <w:top w:val="none" w:sz="0" w:space="0" w:color="auto"/>
        <w:left w:val="none" w:sz="0" w:space="0" w:color="auto"/>
        <w:bottom w:val="none" w:sz="0" w:space="0" w:color="auto"/>
        <w:right w:val="none" w:sz="0" w:space="0" w:color="auto"/>
      </w:divBdr>
    </w:div>
    <w:div w:id="387997311">
      <w:bodyDiv w:val="1"/>
      <w:marLeft w:val="0"/>
      <w:marRight w:val="0"/>
      <w:marTop w:val="0"/>
      <w:marBottom w:val="0"/>
      <w:divBdr>
        <w:top w:val="none" w:sz="0" w:space="0" w:color="auto"/>
        <w:left w:val="none" w:sz="0" w:space="0" w:color="auto"/>
        <w:bottom w:val="none" w:sz="0" w:space="0" w:color="auto"/>
        <w:right w:val="none" w:sz="0" w:space="0" w:color="auto"/>
      </w:divBdr>
    </w:div>
    <w:div w:id="391004890">
      <w:bodyDiv w:val="1"/>
      <w:marLeft w:val="0"/>
      <w:marRight w:val="0"/>
      <w:marTop w:val="0"/>
      <w:marBottom w:val="0"/>
      <w:divBdr>
        <w:top w:val="none" w:sz="0" w:space="0" w:color="auto"/>
        <w:left w:val="none" w:sz="0" w:space="0" w:color="auto"/>
        <w:bottom w:val="none" w:sz="0" w:space="0" w:color="auto"/>
        <w:right w:val="none" w:sz="0" w:space="0" w:color="auto"/>
      </w:divBdr>
    </w:div>
    <w:div w:id="417479268">
      <w:bodyDiv w:val="1"/>
      <w:marLeft w:val="0"/>
      <w:marRight w:val="0"/>
      <w:marTop w:val="0"/>
      <w:marBottom w:val="0"/>
      <w:divBdr>
        <w:top w:val="none" w:sz="0" w:space="0" w:color="auto"/>
        <w:left w:val="none" w:sz="0" w:space="0" w:color="auto"/>
        <w:bottom w:val="none" w:sz="0" w:space="0" w:color="auto"/>
        <w:right w:val="none" w:sz="0" w:space="0" w:color="auto"/>
      </w:divBdr>
    </w:div>
    <w:div w:id="418864901">
      <w:bodyDiv w:val="1"/>
      <w:marLeft w:val="0"/>
      <w:marRight w:val="0"/>
      <w:marTop w:val="0"/>
      <w:marBottom w:val="0"/>
      <w:divBdr>
        <w:top w:val="none" w:sz="0" w:space="0" w:color="auto"/>
        <w:left w:val="none" w:sz="0" w:space="0" w:color="auto"/>
        <w:bottom w:val="none" w:sz="0" w:space="0" w:color="auto"/>
        <w:right w:val="none" w:sz="0" w:space="0" w:color="auto"/>
      </w:divBdr>
    </w:div>
    <w:div w:id="446004394">
      <w:bodyDiv w:val="1"/>
      <w:marLeft w:val="0"/>
      <w:marRight w:val="0"/>
      <w:marTop w:val="0"/>
      <w:marBottom w:val="0"/>
      <w:divBdr>
        <w:top w:val="none" w:sz="0" w:space="0" w:color="auto"/>
        <w:left w:val="none" w:sz="0" w:space="0" w:color="auto"/>
        <w:bottom w:val="none" w:sz="0" w:space="0" w:color="auto"/>
        <w:right w:val="none" w:sz="0" w:space="0" w:color="auto"/>
      </w:divBdr>
    </w:div>
    <w:div w:id="446042314">
      <w:bodyDiv w:val="1"/>
      <w:marLeft w:val="0"/>
      <w:marRight w:val="0"/>
      <w:marTop w:val="0"/>
      <w:marBottom w:val="0"/>
      <w:divBdr>
        <w:top w:val="none" w:sz="0" w:space="0" w:color="auto"/>
        <w:left w:val="none" w:sz="0" w:space="0" w:color="auto"/>
        <w:bottom w:val="none" w:sz="0" w:space="0" w:color="auto"/>
        <w:right w:val="none" w:sz="0" w:space="0" w:color="auto"/>
      </w:divBdr>
    </w:div>
    <w:div w:id="453259616">
      <w:bodyDiv w:val="1"/>
      <w:marLeft w:val="0"/>
      <w:marRight w:val="0"/>
      <w:marTop w:val="0"/>
      <w:marBottom w:val="0"/>
      <w:divBdr>
        <w:top w:val="none" w:sz="0" w:space="0" w:color="auto"/>
        <w:left w:val="none" w:sz="0" w:space="0" w:color="auto"/>
        <w:bottom w:val="none" w:sz="0" w:space="0" w:color="auto"/>
        <w:right w:val="none" w:sz="0" w:space="0" w:color="auto"/>
      </w:divBdr>
    </w:div>
    <w:div w:id="469516476">
      <w:bodyDiv w:val="1"/>
      <w:marLeft w:val="0"/>
      <w:marRight w:val="0"/>
      <w:marTop w:val="0"/>
      <w:marBottom w:val="0"/>
      <w:divBdr>
        <w:top w:val="none" w:sz="0" w:space="0" w:color="auto"/>
        <w:left w:val="none" w:sz="0" w:space="0" w:color="auto"/>
        <w:bottom w:val="none" w:sz="0" w:space="0" w:color="auto"/>
        <w:right w:val="none" w:sz="0" w:space="0" w:color="auto"/>
      </w:divBdr>
    </w:div>
    <w:div w:id="490685099">
      <w:bodyDiv w:val="1"/>
      <w:marLeft w:val="0"/>
      <w:marRight w:val="0"/>
      <w:marTop w:val="0"/>
      <w:marBottom w:val="0"/>
      <w:divBdr>
        <w:top w:val="none" w:sz="0" w:space="0" w:color="auto"/>
        <w:left w:val="none" w:sz="0" w:space="0" w:color="auto"/>
        <w:bottom w:val="none" w:sz="0" w:space="0" w:color="auto"/>
        <w:right w:val="none" w:sz="0" w:space="0" w:color="auto"/>
      </w:divBdr>
    </w:div>
    <w:div w:id="506335059">
      <w:bodyDiv w:val="1"/>
      <w:marLeft w:val="0"/>
      <w:marRight w:val="0"/>
      <w:marTop w:val="0"/>
      <w:marBottom w:val="0"/>
      <w:divBdr>
        <w:top w:val="none" w:sz="0" w:space="0" w:color="auto"/>
        <w:left w:val="none" w:sz="0" w:space="0" w:color="auto"/>
        <w:bottom w:val="none" w:sz="0" w:space="0" w:color="auto"/>
        <w:right w:val="none" w:sz="0" w:space="0" w:color="auto"/>
      </w:divBdr>
    </w:div>
    <w:div w:id="522206620">
      <w:bodyDiv w:val="1"/>
      <w:marLeft w:val="0"/>
      <w:marRight w:val="0"/>
      <w:marTop w:val="0"/>
      <w:marBottom w:val="0"/>
      <w:divBdr>
        <w:top w:val="none" w:sz="0" w:space="0" w:color="auto"/>
        <w:left w:val="none" w:sz="0" w:space="0" w:color="auto"/>
        <w:bottom w:val="none" w:sz="0" w:space="0" w:color="auto"/>
        <w:right w:val="none" w:sz="0" w:space="0" w:color="auto"/>
      </w:divBdr>
    </w:div>
    <w:div w:id="531115818">
      <w:bodyDiv w:val="1"/>
      <w:marLeft w:val="0"/>
      <w:marRight w:val="0"/>
      <w:marTop w:val="0"/>
      <w:marBottom w:val="0"/>
      <w:divBdr>
        <w:top w:val="none" w:sz="0" w:space="0" w:color="auto"/>
        <w:left w:val="none" w:sz="0" w:space="0" w:color="auto"/>
        <w:bottom w:val="none" w:sz="0" w:space="0" w:color="auto"/>
        <w:right w:val="none" w:sz="0" w:space="0" w:color="auto"/>
      </w:divBdr>
    </w:div>
    <w:div w:id="543446553">
      <w:bodyDiv w:val="1"/>
      <w:marLeft w:val="0"/>
      <w:marRight w:val="0"/>
      <w:marTop w:val="0"/>
      <w:marBottom w:val="0"/>
      <w:divBdr>
        <w:top w:val="none" w:sz="0" w:space="0" w:color="auto"/>
        <w:left w:val="none" w:sz="0" w:space="0" w:color="auto"/>
        <w:bottom w:val="none" w:sz="0" w:space="0" w:color="auto"/>
        <w:right w:val="none" w:sz="0" w:space="0" w:color="auto"/>
      </w:divBdr>
    </w:div>
    <w:div w:id="587233708">
      <w:bodyDiv w:val="1"/>
      <w:marLeft w:val="0"/>
      <w:marRight w:val="0"/>
      <w:marTop w:val="0"/>
      <w:marBottom w:val="0"/>
      <w:divBdr>
        <w:top w:val="none" w:sz="0" w:space="0" w:color="auto"/>
        <w:left w:val="none" w:sz="0" w:space="0" w:color="auto"/>
        <w:bottom w:val="none" w:sz="0" w:space="0" w:color="auto"/>
        <w:right w:val="none" w:sz="0" w:space="0" w:color="auto"/>
      </w:divBdr>
    </w:div>
    <w:div w:id="596906251">
      <w:bodyDiv w:val="1"/>
      <w:marLeft w:val="0"/>
      <w:marRight w:val="0"/>
      <w:marTop w:val="0"/>
      <w:marBottom w:val="0"/>
      <w:divBdr>
        <w:top w:val="none" w:sz="0" w:space="0" w:color="auto"/>
        <w:left w:val="none" w:sz="0" w:space="0" w:color="auto"/>
        <w:bottom w:val="none" w:sz="0" w:space="0" w:color="auto"/>
        <w:right w:val="none" w:sz="0" w:space="0" w:color="auto"/>
      </w:divBdr>
    </w:div>
    <w:div w:id="602809990">
      <w:marLeft w:val="0"/>
      <w:marRight w:val="0"/>
      <w:marTop w:val="0"/>
      <w:marBottom w:val="0"/>
      <w:divBdr>
        <w:top w:val="none" w:sz="0" w:space="0" w:color="auto"/>
        <w:left w:val="none" w:sz="0" w:space="0" w:color="auto"/>
        <w:bottom w:val="none" w:sz="0" w:space="0" w:color="auto"/>
        <w:right w:val="none" w:sz="0" w:space="0" w:color="auto"/>
      </w:divBdr>
    </w:div>
    <w:div w:id="629634967">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1493627">
      <w:bodyDiv w:val="1"/>
      <w:marLeft w:val="0"/>
      <w:marRight w:val="0"/>
      <w:marTop w:val="0"/>
      <w:marBottom w:val="0"/>
      <w:divBdr>
        <w:top w:val="none" w:sz="0" w:space="0" w:color="auto"/>
        <w:left w:val="none" w:sz="0" w:space="0" w:color="auto"/>
        <w:bottom w:val="none" w:sz="0" w:space="0" w:color="auto"/>
        <w:right w:val="none" w:sz="0" w:space="0" w:color="auto"/>
      </w:divBdr>
    </w:div>
    <w:div w:id="675109712">
      <w:bodyDiv w:val="1"/>
      <w:marLeft w:val="0"/>
      <w:marRight w:val="0"/>
      <w:marTop w:val="0"/>
      <w:marBottom w:val="0"/>
      <w:divBdr>
        <w:top w:val="none" w:sz="0" w:space="0" w:color="auto"/>
        <w:left w:val="none" w:sz="0" w:space="0" w:color="auto"/>
        <w:bottom w:val="none" w:sz="0" w:space="0" w:color="auto"/>
        <w:right w:val="none" w:sz="0" w:space="0" w:color="auto"/>
      </w:divBdr>
    </w:div>
    <w:div w:id="679087218">
      <w:bodyDiv w:val="1"/>
      <w:marLeft w:val="0"/>
      <w:marRight w:val="0"/>
      <w:marTop w:val="0"/>
      <w:marBottom w:val="0"/>
      <w:divBdr>
        <w:top w:val="none" w:sz="0" w:space="0" w:color="auto"/>
        <w:left w:val="none" w:sz="0" w:space="0" w:color="auto"/>
        <w:bottom w:val="none" w:sz="0" w:space="0" w:color="auto"/>
        <w:right w:val="none" w:sz="0" w:space="0" w:color="auto"/>
      </w:divBdr>
    </w:div>
    <w:div w:id="682171733">
      <w:bodyDiv w:val="1"/>
      <w:marLeft w:val="0"/>
      <w:marRight w:val="0"/>
      <w:marTop w:val="0"/>
      <w:marBottom w:val="0"/>
      <w:divBdr>
        <w:top w:val="none" w:sz="0" w:space="0" w:color="auto"/>
        <w:left w:val="none" w:sz="0" w:space="0" w:color="auto"/>
        <w:bottom w:val="none" w:sz="0" w:space="0" w:color="auto"/>
        <w:right w:val="none" w:sz="0" w:space="0" w:color="auto"/>
      </w:divBdr>
    </w:div>
    <w:div w:id="682518674">
      <w:bodyDiv w:val="1"/>
      <w:marLeft w:val="0"/>
      <w:marRight w:val="0"/>
      <w:marTop w:val="0"/>
      <w:marBottom w:val="0"/>
      <w:divBdr>
        <w:top w:val="none" w:sz="0" w:space="0" w:color="auto"/>
        <w:left w:val="none" w:sz="0" w:space="0" w:color="auto"/>
        <w:bottom w:val="none" w:sz="0" w:space="0" w:color="auto"/>
        <w:right w:val="none" w:sz="0" w:space="0" w:color="auto"/>
      </w:divBdr>
    </w:div>
    <w:div w:id="697000497">
      <w:bodyDiv w:val="1"/>
      <w:marLeft w:val="0"/>
      <w:marRight w:val="0"/>
      <w:marTop w:val="0"/>
      <w:marBottom w:val="0"/>
      <w:divBdr>
        <w:top w:val="none" w:sz="0" w:space="0" w:color="auto"/>
        <w:left w:val="none" w:sz="0" w:space="0" w:color="auto"/>
        <w:bottom w:val="none" w:sz="0" w:space="0" w:color="auto"/>
        <w:right w:val="none" w:sz="0" w:space="0" w:color="auto"/>
      </w:divBdr>
    </w:div>
    <w:div w:id="698356553">
      <w:bodyDiv w:val="1"/>
      <w:marLeft w:val="0"/>
      <w:marRight w:val="0"/>
      <w:marTop w:val="0"/>
      <w:marBottom w:val="0"/>
      <w:divBdr>
        <w:top w:val="none" w:sz="0" w:space="0" w:color="auto"/>
        <w:left w:val="none" w:sz="0" w:space="0" w:color="auto"/>
        <w:bottom w:val="none" w:sz="0" w:space="0" w:color="auto"/>
        <w:right w:val="none" w:sz="0" w:space="0" w:color="auto"/>
      </w:divBdr>
    </w:div>
    <w:div w:id="710500951">
      <w:bodyDiv w:val="1"/>
      <w:marLeft w:val="0"/>
      <w:marRight w:val="0"/>
      <w:marTop w:val="0"/>
      <w:marBottom w:val="0"/>
      <w:divBdr>
        <w:top w:val="none" w:sz="0" w:space="0" w:color="auto"/>
        <w:left w:val="none" w:sz="0" w:space="0" w:color="auto"/>
        <w:bottom w:val="none" w:sz="0" w:space="0" w:color="auto"/>
        <w:right w:val="none" w:sz="0" w:space="0" w:color="auto"/>
      </w:divBdr>
    </w:div>
    <w:div w:id="742945761">
      <w:bodyDiv w:val="1"/>
      <w:marLeft w:val="0"/>
      <w:marRight w:val="0"/>
      <w:marTop w:val="0"/>
      <w:marBottom w:val="0"/>
      <w:divBdr>
        <w:top w:val="none" w:sz="0" w:space="0" w:color="auto"/>
        <w:left w:val="none" w:sz="0" w:space="0" w:color="auto"/>
        <w:bottom w:val="none" w:sz="0" w:space="0" w:color="auto"/>
        <w:right w:val="none" w:sz="0" w:space="0" w:color="auto"/>
      </w:divBdr>
    </w:div>
    <w:div w:id="753284088">
      <w:bodyDiv w:val="1"/>
      <w:marLeft w:val="0"/>
      <w:marRight w:val="0"/>
      <w:marTop w:val="0"/>
      <w:marBottom w:val="0"/>
      <w:divBdr>
        <w:top w:val="none" w:sz="0" w:space="0" w:color="auto"/>
        <w:left w:val="none" w:sz="0" w:space="0" w:color="auto"/>
        <w:bottom w:val="none" w:sz="0" w:space="0" w:color="auto"/>
        <w:right w:val="none" w:sz="0" w:space="0" w:color="auto"/>
      </w:divBdr>
    </w:div>
    <w:div w:id="767966479">
      <w:bodyDiv w:val="1"/>
      <w:marLeft w:val="0"/>
      <w:marRight w:val="0"/>
      <w:marTop w:val="0"/>
      <w:marBottom w:val="0"/>
      <w:divBdr>
        <w:top w:val="none" w:sz="0" w:space="0" w:color="auto"/>
        <w:left w:val="none" w:sz="0" w:space="0" w:color="auto"/>
        <w:bottom w:val="none" w:sz="0" w:space="0" w:color="auto"/>
        <w:right w:val="none" w:sz="0" w:space="0" w:color="auto"/>
      </w:divBdr>
    </w:div>
    <w:div w:id="815099890">
      <w:bodyDiv w:val="1"/>
      <w:marLeft w:val="0"/>
      <w:marRight w:val="0"/>
      <w:marTop w:val="0"/>
      <w:marBottom w:val="0"/>
      <w:divBdr>
        <w:top w:val="none" w:sz="0" w:space="0" w:color="auto"/>
        <w:left w:val="none" w:sz="0" w:space="0" w:color="auto"/>
        <w:bottom w:val="none" w:sz="0" w:space="0" w:color="auto"/>
        <w:right w:val="none" w:sz="0" w:space="0" w:color="auto"/>
      </w:divBdr>
    </w:div>
    <w:div w:id="840588518">
      <w:bodyDiv w:val="1"/>
      <w:marLeft w:val="0"/>
      <w:marRight w:val="0"/>
      <w:marTop w:val="0"/>
      <w:marBottom w:val="0"/>
      <w:divBdr>
        <w:top w:val="none" w:sz="0" w:space="0" w:color="auto"/>
        <w:left w:val="none" w:sz="0" w:space="0" w:color="auto"/>
        <w:bottom w:val="none" w:sz="0" w:space="0" w:color="auto"/>
        <w:right w:val="none" w:sz="0" w:space="0" w:color="auto"/>
      </w:divBdr>
    </w:div>
    <w:div w:id="845094289">
      <w:bodyDiv w:val="1"/>
      <w:marLeft w:val="0"/>
      <w:marRight w:val="0"/>
      <w:marTop w:val="0"/>
      <w:marBottom w:val="0"/>
      <w:divBdr>
        <w:top w:val="none" w:sz="0" w:space="0" w:color="auto"/>
        <w:left w:val="none" w:sz="0" w:space="0" w:color="auto"/>
        <w:bottom w:val="none" w:sz="0" w:space="0" w:color="auto"/>
        <w:right w:val="none" w:sz="0" w:space="0" w:color="auto"/>
      </w:divBdr>
    </w:div>
    <w:div w:id="876743931">
      <w:bodyDiv w:val="1"/>
      <w:marLeft w:val="0"/>
      <w:marRight w:val="0"/>
      <w:marTop w:val="0"/>
      <w:marBottom w:val="0"/>
      <w:divBdr>
        <w:top w:val="none" w:sz="0" w:space="0" w:color="auto"/>
        <w:left w:val="none" w:sz="0" w:space="0" w:color="auto"/>
        <w:bottom w:val="none" w:sz="0" w:space="0" w:color="auto"/>
        <w:right w:val="none" w:sz="0" w:space="0" w:color="auto"/>
      </w:divBdr>
    </w:div>
    <w:div w:id="897322513">
      <w:bodyDiv w:val="1"/>
      <w:marLeft w:val="0"/>
      <w:marRight w:val="0"/>
      <w:marTop w:val="0"/>
      <w:marBottom w:val="0"/>
      <w:divBdr>
        <w:top w:val="none" w:sz="0" w:space="0" w:color="auto"/>
        <w:left w:val="none" w:sz="0" w:space="0" w:color="auto"/>
        <w:bottom w:val="none" w:sz="0" w:space="0" w:color="auto"/>
        <w:right w:val="none" w:sz="0" w:space="0" w:color="auto"/>
      </w:divBdr>
    </w:div>
    <w:div w:id="929971280">
      <w:bodyDiv w:val="1"/>
      <w:marLeft w:val="0"/>
      <w:marRight w:val="0"/>
      <w:marTop w:val="0"/>
      <w:marBottom w:val="0"/>
      <w:divBdr>
        <w:top w:val="none" w:sz="0" w:space="0" w:color="auto"/>
        <w:left w:val="none" w:sz="0" w:space="0" w:color="auto"/>
        <w:bottom w:val="none" w:sz="0" w:space="0" w:color="auto"/>
        <w:right w:val="none" w:sz="0" w:space="0" w:color="auto"/>
      </w:divBdr>
    </w:div>
    <w:div w:id="962539678">
      <w:bodyDiv w:val="1"/>
      <w:marLeft w:val="0"/>
      <w:marRight w:val="0"/>
      <w:marTop w:val="0"/>
      <w:marBottom w:val="0"/>
      <w:divBdr>
        <w:top w:val="none" w:sz="0" w:space="0" w:color="auto"/>
        <w:left w:val="none" w:sz="0" w:space="0" w:color="auto"/>
        <w:bottom w:val="none" w:sz="0" w:space="0" w:color="auto"/>
        <w:right w:val="none" w:sz="0" w:space="0" w:color="auto"/>
      </w:divBdr>
    </w:div>
    <w:div w:id="971135273">
      <w:bodyDiv w:val="1"/>
      <w:marLeft w:val="0"/>
      <w:marRight w:val="0"/>
      <w:marTop w:val="0"/>
      <w:marBottom w:val="0"/>
      <w:divBdr>
        <w:top w:val="none" w:sz="0" w:space="0" w:color="auto"/>
        <w:left w:val="none" w:sz="0" w:space="0" w:color="auto"/>
        <w:bottom w:val="none" w:sz="0" w:space="0" w:color="auto"/>
        <w:right w:val="none" w:sz="0" w:space="0" w:color="auto"/>
      </w:divBdr>
    </w:div>
    <w:div w:id="983120263">
      <w:bodyDiv w:val="1"/>
      <w:marLeft w:val="0"/>
      <w:marRight w:val="0"/>
      <w:marTop w:val="0"/>
      <w:marBottom w:val="0"/>
      <w:divBdr>
        <w:top w:val="none" w:sz="0" w:space="0" w:color="auto"/>
        <w:left w:val="none" w:sz="0" w:space="0" w:color="auto"/>
        <w:bottom w:val="none" w:sz="0" w:space="0" w:color="auto"/>
        <w:right w:val="none" w:sz="0" w:space="0" w:color="auto"/>
      </w:divBdr>
    </w:div>
    <w:div w:id="983924011">
      <w:bodyDiv w:val="1"/>
      <w:marLeft w:val="0"/>
      <w:marRight w:val="0"/>
      <w:marTop w:val="0"/>
      <w:marBottom w:val="0"/>
      <w:divBdr>
        <w:top w:val="none" w:sz="0" w:space="0" w:color="auto"/>
        <w:left w:val="none" w:sz="0" w:space="0" w:color="auto"/>
        <w:bottom w:val="none" w:sz="0" w:space="0" w:color="auto"/>
        <w:right w:val="none" w:sz="0" w:space="0" w:color="auto"/>
      </w:divBdr>
    </w:div>
    <w:div w:id="990718851">
      <w:bodyDiv w:val="1"/>
      <w:marLeft w:val="0"/>
      <w:marRight w:val="0"/>
      <w:marTop w:val="0"/>
      <w:marBottom w:val="0"/>
      <w:divBdr>
        <w:top w:val="none" w:sz="0" w:space="0" w:color="auto"/>
        <w:left w:val="none" w:sz="0" w:space="0" w:color="auto"/>
        <w:bottom w:val="none" w:sz="0" w:space="0" w:color="auto"/>
        <w:right w:val="none" w:sz="0" w:space="0" w:color="auto"/>
      </w:divBdr>
    </w:div>
    <w:div w:id="1001084795">
      <w:bodyDiv w:val="1"/>
      <w:marLeft w:val="0"/>
      <w:marRight w:val="0"/>
      <w:marTop w:val="0"/>
      <w:marBottom w:val="0"/>
      <w:divBdr>
        <w:top w:val="none" w:sz="0" w:space="0" w:color="auto"/>
        <w:left w:val="none" w:sz="0" w:space="0" w:color="auto"/>
        <w:bottom w:val="none" w:sz="0" w:space="0" w:color="auto"/>
        <w:right w:val="none" w:sz="0" w:space="0" w:color="auto"/>
      </w:divBdr>
    </w:div>
    <w:div w:id="1018241356">
      <w:bodyDiv w:val="1"/>
      <w:marLeft w:val="0"/>
      <w:marRight w:val="0"/>
      <w:marTop w:val="0"/>
      <w:marBottom w:val="0"/>
      <w:divBdr>
        <w:top w:val="none" w:sz="0" w:space="0" w:color="auto"/>
        <w:left w:val="none" w:sz="0" w:space="0" w:color="auto"/>
        <w:bottom w:val="none" w:sz="0" w:space="0" w:color="auto"/>
        <w:right w:val="none" w:sz="0" w:space="0" w:color="auto"/>
      </w:divBdr>
    </w:div>
    <w:div w:id="1027146149">
      <w:bodyDiv w:val="1"/>
      <w:marLeft w:val="0"/>
      <w:marRight w:val="0"/>
      <w:marTop w:val="0"/>
      <w:marBottom w:val="0"/>
      <w:divBdr>
        <w:top w:val="none" w:sz="0" w:space="0" w:color="auto"/>
        <w:left w:val="none" w:sz="0" w:space="0" w:color="auto"/>
        <w:bottom w:val="none" w:sz="0" w:space="0" w:color="auto"/>
        <w:right w:val="none" w:sz="0" w:space="0" w:color="auto"/>
      </w:divBdr>
    </w:div>
    <w:div w:id="1030758711">
      <w:bodyDiv w:val="1"/>
      <w:marLeft w:val="0"/>
      <w:marRight w:val="0"/>
      <w:marTop w:val="0"/>
      <w:marBottom w:val="0"/>
      <w:divBdr>
        <w:top w:val="none" w:sz="0" w:space="0" w:color="auto"/>
        <w:left w:val="none" w:sz="0" w:space="0" w:color="auto"/>
        <w:bottom w:val="none" w:sz="0" w:space="0" w:color="auto"/>
        <w:right w:val="none" w:sz="0" w:space="0" w:color="auto"/>
      </w:divBdr>
    </w:div>
    <w:div w:id="1035425923">
      <w:bodyDiv w:val="1"/>
      <w:marLeft w:val="0"/>
      <w:marRight w:val="0"/>
      <w:marTop w:val="0"/>
      <w:marBottom w:val="0"/>
      <w:divBdr>
        <w:top w:val="none" w:sz="0" w:space="0" w:color="auto"/>
        <w:left w:val="none" w:sz="0" w:space="0" w:color="auto"/>
        <w:bottom w:val="none" w:sz="0" w:space="0" w:color="auto"/>
        <w:right w:val="none" w:sz="0" w:space="0" w:color="auto"/>
      </w:divBdr>
    </w:div>
    <w:div w:id="1037782650">
      <w:bodyDiv w:val="1"/>
      <w:marLeft w:val="0"/>
      <w:marRight w:val="0"/>
      <w:marTop w:val="0"/>
      <w:marBottom w:val="0"/>
      <w:divBdr>
        <w:top w:val="none" w:sz="0" w:space="0" w:color="auto"/>
        <w:left w:val="none" w:sz="0" w:space="0" w:color="auto"/>
        <w:bottom w:val="none" w:sz="0" w:space="0" w:color="auto"/>
        <w:right w:val="none" w:sz="0" w:space="0" w:color="auto"/>
      </w:divBdr>
    </w:div>
    <w:div w:id="1075787770">
      <w:bodyDiv w:val="1"/>
      <w:marLeft w:val="0"/>
      <w:marRight w:val="0"/>
      <w:marTop w:val="0"/>
      <w:marBottom w:val="0"/>
      <w:divBdr>
        <w:top w:val="none" w:sz="0" w:space="0" w:color="auto"/>
        <w:left w:val="none" w:sz="0" w:space="0" w:color="auto"/>
        <w:bottom w:val="none" w:sz="0" w:space="0" w:color="auto"/>
        <w:right w:val="none" w:sz="0" w:space="0" w:color="auto"/>
      </w:divBdr>
    </w:div>
    <w:div w:id="1101222890">
      <w:bodyDiv w:val="1"/>
      <w:marLeft w:val="0"/>
      <w:marRight w:val="0"/>
      <w:marTop w:val="0"/>
      <w:marBottom w:val="0"/>
      <w:divBdr>
        <w:top w:val="none" w:sz="0" w:space="0" w:color="auto"/>
        <w:left w:val="none" w:sz="0" w:space="0" w:color="auto"/>
        <w:bottom w:val="none" w:sz="0" w:space="0" w:color="auto"/>
        <w:right w:val="none" w:sz="0" w:space="0" w:color="auto"/>
      </w:divBdr>
    </w:div>
    <w:div w:id="1105033807">
      <w:bodyDiv w:val="1"/>
      <w:marLeft w:val="0"/>
      <w:marRight w:val="0"/>
      <w:marTop w:val="0"/>
      <w:marBottom w:val="0"/>
      <w:divBdr>
        <w:top w:val="none" w:sz="0" w:space="0" w:color="auto"/>
        <w:left w:val="none" w:sz="0" w:space="0" w:color="auto"/>
        <w:bottom w:val="none" w:sz="0" w:space="0" w:color="auto"/>
        <w:right w:val="none" w:sz="0" w:space="0" w:color="auto"/>
      </w:divBdr>
    </w:div>
    <w:div w:id="1105658389">
      <w:bodyDiv w:val="1"/>
      <w:marLeft w:val="0"/>
      <w:marRight w:val="0"/>
      <w:marTop w:val="0"/>
      <w:marBottom w:val="0"/>
      <w:divBdr>
        <w:top w:val="none" w:sz="0" w:space="0" w:color="auto"/>
        <w:left w:val="none" w:sz="0" w:space="0" w:color="auto"/>
        <w:bottom w:val="none" w:sz="0" w:space="0" w:color="auto"/>
        <w:right w:val="none" w:sz="0" w:space="0" w:color="auto"/>
      </w:divBdr>
      <w:divsChild>
        <w:div w:id="469327988">
          <w:marLeft w:val="0"/>
          <w:marRight w:val="0"/>
          <w:marTop w:val="0"/>
          <w:marBottom w:val="0"/>
          <w:divBdr>
            <w:top w:val="none" w:sz="0" w:space="0" w:color="auto"/>
            <w:left w:val="none" w:sz="0" w:space="0" w:color="auto"/>
            <w:bottom w:val="none" w:sz="0" w:space="0" w:color="auto"/>
            <w:right w:val="none" w:sz="0" w:space="0" w:color="auto"/>
          </w:divBdr>
        </w:div>
      </w:divsChild>
    </w:div>
    <w:div w:id="1107848673">
      <w:bodyDiv w:val="1"/>
      <w:marLeft w:val="0"/>
      <w:marRight w:val="0"/>
      <w:marTop w:val="0"/>
      <w:marBottom w:val="0"/>
      <w:divBdr>
        <w:top w:val="none" w:sz="0" w:space="0" w:color="auto"/>
        <w:left w:val="none" w:sz="0" w:space="0" w:color="auto"/>
        <w:bottom w:val="none" w:sz="0" w:space="0" w:color="auto"/>
        <w:right w:val="none" w:sz="0" w:space="0" w:color="auto"/>
      </w:divBdr>
    </w:div>
    <w:div w:id="1123690090">
      <w:bodyDiv w:val="1"/>
      <w:marLeft w:val="0"/>
      <w:marRight w:val="0"/>
      <w:marTop w:val="0"/>
      <w:marBottom w:val="0"/>
      <w:divBdr>
        <w:top w:val="none" w:sz="0" w:space="0" w:color="auto"/>
        <w:left w:val="none" w:sz="0" w:space="0" w:color="auto"/>
        <w:bottom w:val="none" w:sz="0" w:space="0" w:color="auto"/>
        <w:right w:val="none" w:sz="0" w:space="0" w:color="auto"/>
      </w:divBdr>
    </w:div>
    <w:div w:id="1127821390">
      <w:bodyDiv w:val="1"/>
      <w:marLeft w:val="0"/>
      <w:marRight w:val="0"/>
      <w:marTop w:val="0"/>
      <w:marBottom w:val="0"/>
      <w:divBdr>
        <w:top w:val="none" w:sz="0" w:space="0" w:color="auto"/>
        <w:left w:val="none" w:sz="0" w:space="0" w:color="auto"/>
        <w:bottom w:val="none" w:sz="0" w:space="0" w:color="auto"/>
        <w:right w:val="none" w:sz="0" w:space="0" w:color="auto"/>
      </w:divBdr>
    </w:div>
    <w:div w:id="1131902339">
      <w:bodyDiv w:val="1"/>
      <w:marLeft w:val="0"/>
      <w:marRight w:val="0"/>
      <w:marTop w:val="0"/>
      <w:marBottom w:val="0"/>
      <w:divBdr>
        <w:top w:val="none" w:sz="0" w:space="0" w:color="auto"/>
        <w:left w:val="none" w:sz="0" w:space="0" w:color="auto"/>
        <w:bottom w:val="none" w:sz="0" w:space="0" w:color="auto"/>
        <w:right w:val="none" w:sz="0" w:space="0" w:color="auto"/>
      </w:divBdr>
    </w:div>
    <w:div w:id="1132864241">
      <w:bodyDiv w:val="1"/>
      <w:marLeft w:val="0"/>
      <w:marRight w:val="0"/>
      <w:marTop w:val="0"/>
      <w:marBottom w:val="0"/>
      <w:divBdr>
        <w:top w:val="none" w:sz="0" w:space="0" w:color="auto"/>
        <w:left w:val="none" w:sz="0" w:space="0" w:color="auto"/>
        <w:bottom w:val="none" w:sz="0" w:space="0" w:color="auto"/>
        <w:right w:val="none" w:sz="0" w:space="0" w:color="auto"/>
      </w:divBdr>
    </w:div>
    <w:div w:id="1153446285">
      <w:bodyDiv w:val="1"/>
      <w:marLeft w:val="0"/>
      <w:marRight w:val="0"/>
      <w:marTop w:val="0"/>
      <w:marBottom w:val="0"/>
      <w:divBdr>
        <w:top w:val="none" w:sz="0" w:space="0" w:color="auto"/>
        <w:left w:val="none" w:sz="0" w:space="0" w:color="auto"/>
        <w:bottom w:val="none" w:sz="0" w:space="0" w:color="auto"/>
        <w:right w:val="none" w:sz="0" w:space="0" w:color="auto"/>
      </w:divBdr>
    </w:div>
    <w:div w:id="1155880794">
      <w:bodyDiv w:val="1"/>
      <w:marLeft w:val="0"/>
      <w:marRight w:val="0"/>
      <w:marTop w:val="0"/>
      <w:marBottom w:val="0"/>
      <w:divBdr>
        <w:top w:val="none" w:sz="0" w:space="0" w:color="auto"/>
        <w:left w:val="none" w:sz="0" w:space="0" w:color="auto"/>
        <w:bottom w:val="none" w:sz="0" w:space="0" w:color="auto"/>
        <w:right w:val="none" w:sz="0" w:space="0" w:color="auto"/>
      </w:divBdr>
    </w:div>
    <w:div w:id="1171263282">
      <w:bodyDiv w:val="1"/>
      <w:marLeft w:val="0"/>
      <w:marRight w:val="0"/>
      <w:marTop w:val="0"/>
      <w:marBottom w:val="0"/>
      <w:divBdr>
        <w:top w:val="none" w:sz="0" w:space="0" w:color="auto"/>
        <w:left w:val="none" w:sz="0" w:space="0" w:color="auto"/>
        <w:bottom w:val="none" w:sz="0" w:space="0" w:color="auto"/>
        <w:right w:val="none" w:sz="0" w:space="0" w:color="auto"/>
      </w:divBdr>
    </w:div>
    <w:div w:id="1185053841">
      <w:bodyDiv w:val="1"/>
      <w:marLeft w:val="0"/>
      <w:marRight w:val="0"/>
      <w:marTop w:val="0"/>
      <w:marBottom w:val="0"/>
      <w:divBdr>
        <w:top w:val="none" w:sz="0" w:space="0" w:color="auto"/>
        <w:left w:val="none" w:sz="0" w:space="0" w:color="auto"/>
        <w:bottom w:val="none" w:sz="0" w:space="0" w:color="auto"/>
        <w:right w:val="none" w:sz="0" w:space="0" w:color="auto"/>
      </w:divBdr>
    </w:div>
    <w:div w:id="1223516602">
      <w:bodyDiv w:val="1"/>
      <w:marLeft w:val="0"/>
      <w:marRight w:val="0"/>
      <w:marTop w:val="0"/>
      <w:marBottom w:val="0"/>
      <w:divBdr>
        <w:top w:val="none" w:sz="0" w:space="0" w:color="auto"/>
        <w:left w:val="none" w:sz="0" w:space="0" w:color="auto"/>
        <w:bottom w:val="none" w:sz="0" w:space="0" w:color="auto"/>
        <w:right w:val="none" w:sz="0" w:space="0" w:color="auto"/>
      </w:divBdr>
    </w:div>
    <w:div w:id="1225531361">
      <w:bodyDiv w:val="1"/>
      <w:marLeft w:val="0"/>
      <w:marRight w:val="0"/>
      <w:marTop w:val="0"/>
      <w:marBottom w:val="0"/>
      <w:divBdr>
        <w:top w:val="none" w:sz="0" w:space="0" w:color="auto"/>
        <w:left w:val="none" w:sz="0" w:space="0" w:color="auto"/>
        <w:bottom w:val="none" w:sz="0" w:space="0" w:color="auto"/>
        <w:right w:val="none" w:sz="0" w:space="0" w:color="auto"/>
      </w:divBdr>
    </w:div>
    <w:div w:id="1236815921">
      <w:bodyDiv w:val="1"/>
      <w:marLeft w:val="0"/>
      <w:marRight w:val="0"/>
      <w:marTop w:val="0"/>
      <w:marBottom w:val="0"/>
      <w:divBdr>
        <w:top w:val="none" w:sz="0" w:space="0" w:color="auto"/>
        <w:left w:val="none" w:sz="0" w:space="0" w:color="auto"/>
        <w:bottom w:val="none" w:sz="0" w:space="0" w:color="auto"/>
        <w:right w:val="none" w:sz="0" w:space="0" w:color="auto"/>
      </w:divBdr>
    </w:div>
    <w:div w:id="1258096695">
      <w:bodyDiv w:val="1"/>
      <w:marLeft w:val="0"/>
      <w:marRight w:val="0"/>
      <w:marTop w:val="0"/>
      <w:marBottom w:val="0"/>
      <w:divBdr>
        <w:top w:val="none" w:sz="0" w:space="0" w:color="auto"/>
        <w:left w:val="none" w:sz="0" w:space="0" w:color="auto"/>
        <w:bottom w:val="none" w:sz="0" w:space="0" w:color="auto"/>
        <w:right w:val="none" w:sz="0" w:space="0" w:color="auto"/>
      </w:divBdr>
    </w:div>
    <w:div w:id="1279406613">
      <w:bodyDiv w:val="1"/>
      <w:marLeft w:val="0"/>
      <w:marRight w:val="0"/>
      <w:marTop w:val="0"/>
      <w:marBottom w:val="0"/>
      <w:divBdr>
        <w:top w:val="none" w:sz="0" w:space="0" w:color="auto"/>
        <w:left w:val="none" w:sz="0" w:space="0" w:color="auto"/>
        <w:bottom w:val="none" w:sz="0" w:space="0" w:color="auto"/>
        <w:right w:val="none" w:sz="0" w:space="0" w:color="auto"/>
      </w:divBdr>
    </w:div>
    <w:div w:id="1296714149">
      <w:bodyDiv w:val="1"/>
      <w:marLeft w:val="0"/>
      <w:marRight w:val="0"/>
      <w:marTop w:val="0"/>
      <w:marBottom w:val="0"/>
      <w:divBdr>
        <w:top w:val="none" w:sz="0" w:space="0" w:color="auto"/>
        <w:left w:val="none" w:sz="0" w:space="0" w:color="auto"/>
        <w:bottom w:val="none" w:sz="0" w:space="0" w:color="auto"/>
        <w:right w:val="none" w:sz="0" w:space="0" w:color="auto"/>
      </w:divBdr>
    </w:div>
    <w:div w:id="1320160316">
      <w:bodyDiv w:val="1"/>
      <w:marLeft w:val="0"/>
      <w:marRight w:val="0"/>
      <w:marTop w:val="0"/>
      <w:marBottom w:val="0"/>
      <w:divBdr>
        <w:top w:val="none" w:sz="0" w:space="0" w:color="auto"/>
        <w:left w:val="none" w:sz="0" w:space="0" w:color="auto"/>
        <w:bottom w:val="none" w:sz="0" w:space="0" w:color="auto"/>
        <w:right w:val="none" w:sz="0" w:space="0" w:color="auto"/>
      </w:divBdr>
    </w:div>
    <w:div w:id="1381707409">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34086872">
      <w:bodyDiv w:val="1"/>
      <w:marLeft w:val="0"/>
      <w:marRight w:val="0"/>
      <w:marTop w:val="0"/>
      <w:marBottom w:val="0"/>
      <w:divBdr>
        <w:top w:val="none" w:sz="0" w:space="0" w:color="auto"/>
        <w:left w:val="none" w:sz="0" w:space="0" w:color="auto"/>
        <w:bottom w:val="none" w:sz="0" w:space="0" w:color="auto"/>
        <w:right w:val="none" w:sz="0" w:space="0" w:color="auto"/>
      </w:divBdr>
    </w:div>
    <w:div w:id="1442608445">
      <w:bodyDiv w:val="1"/>
      <w:marLeft w:val="0"/>
      <w:marRight w:val="0"/>
      <w:marTop w:val="0"/>
      <w:marBottom w:val="0"/>
      <w:divBdr>
        <w:top w:val="none" w:sz="0" w:space="0" w:color="auto"/>
        <w:left w:val="none" w:sz="0" w:space="0" w:color="auto"/>
        <w:bottom w:val="none" w:sz="0" w:space="0" w:color="auto"/>
        <w:right w:val="none" w:sz="0" w:space="0" w:color="auto"/>
      </w:divBdr>
    </w:div>
    <w:div w:id="1458254180">
      <w:bodyDiv w:val="1"/>
      <w:marLeft w:val="0"/>
      <w:marRight w:val="0"/>
      <w:marTop w:val="0"/>
      <w:marBottom w:val="0"/>
      <w:divBdr>
        <w:top w:val="none" w:sz="0" w:space="0" w:color="auto"/>
        <w:left w:val="none" w:sz="0" w:space="0" w:color="auto"/>
        <w:bottom w:val="none" w:sz="0" w:space="0" w:color="auto"/>
        <w:right w:val="none" w:sz="0" w:space="0" w:color="auto"/>
      </w:divBdr>
    </w:div>
    <w:div w:id="1509055880">
      <w:bodyDiv w:val="1"/>
      <w:marLeft w:val="0"/>
      <w:marRight w:val="0"/>
      <w:marTop w:val="0"/>
      <w:marBottom w:val="0"/>
      <w:divBdr>
        <w:top w:val="none" w:sz="0" w:space="0" w:color="auto"/>
        <w:left w:val="none" w:sz="0" w:space="0" w:color="auto"/>
        <w:bottom w:val="none" w:sz="0" w:space="0" w:color="auto"/>
        <w:right w:val="none" w:sz="0" w:space="0" w:color="auto"/>
      </w:divBdr>
    </w:div>
    <w:div w:id="1554776092">
      <w:bodyDiv w:val="1"/>
      <w:marLeft w:val="0"/>
      <w:marRight w:val="0"/>
      <w:marTop w:val="0"/>
      <w:marBottom w:val="0"/>
      <w:divBdr>
        <w:top w:val="none" w:sz="0" w:space="0" w:color="auto"/>
        <w:left w:val="none" w:sz="0" w:space="0" w:color="auto"/>
        <w:bottom w:val="none" w:sz="0" w:space="0" w:color="auto"/>
        <w:right w:val="none" w:sz="0" w:space="0" w:color="auto"/>
      </w:divBdr>
    </w:div>
    <w:div w:id="1567691425">
      <w:bodyDiv w:val="1"/>
      <w:marLeft w:val="0"/>
      <w:marRight w:val="0"/>
      <w:marTop w:val="0"/>
      <w:marBottom w:val="0"/>
      <w:divBdr>
        <w:top w:val="none" w:sz="0" w:space="0" w:color="auto"/>
        <w:left w:val="none" w:sz="0" w:space="0" w:color="auto"/>
        <w:bottom w:val="none" w:sz="0" w:space="0" w:color="auto"/>
        <w:right w:val="none" w:sz="0" w:space="0" w:color="auto"/>
      </w:divBdr>
    </w:div>
    <w:div w:id="1571887699">
      <w:bodyDiv w:val="1"/>
      <w:marLeft w:val="0"/>
      <w:marRight w:val="0"/>
      <w:marTop w:val="0"/>
      <w:marBottom w:val="0"/>
      <w:divBdr>
        <w:top w:val="none" w:sz="0" w:space="0" w:color="auto"/>
        <w:left w:val="none" w:sz="0" w:space="0" w:color="auto"/>
        <w:bottom w:val="none" w:sz="0" w:space="0" w:color="auto"/>
        <w:right w:val="none" w:sz="0" w:space="0" w:color="auto"/>
      </w:divBdr>
    </w:div>
    <w:div w:id="1575511891">
      <w:bodyDiv w:val="1"/>
      <w:marLeft w:val="0"/>
      <w:marRight w:val="0"/>
      <w:marTop w:val="0"/>
      <w:marBottom w:val="0"/>
      <w:divBdr>
        <w:top w:val="none" w:sz="0" w:space="0" w:color="auto"/>
        <w:left w:val="none" w:sz="0" w:space="0" w:color="auto"/>
        <w:bottom w:val="none" w:sz="0" w:space="0" w:color="auto"/>
        <w:right w:val="none" w:sz="0" w:space="0" w:color="auto"/>
      </w:divBdr>
    </w:div>
    <w:div w:id="1577200739">
      <w:bodyDiv w:val="1"/>
      <w:marLeft w:val="0"/>
      <w:marRight w:val="0"/>
      <w:marTop w:val="0"/>
      <w:marBottom w:val="0"/>
      <w:divBdr>
        <w:top w:val="none" w:sz="0" w:space="0" w:color="auto"/>
        <w:left w:val="none" w:sz="0" w:space="0" w:color="auto"/>
        <w:bottom w:val="none" w:sz="0" w:space="0" w:color="auto"/>
        <w:right w:val="none" w:sz="0" w:space="0" w:color="auto"/>
      </w:divBdr>
    </w:div>
    <w:div w:id="1592741944">
      <w:bodyDiv w:val="1"/>
      <w:marLeft w:val="0"/>
      <w:marRight w:val="0"/>
      <w:marTop w:val="0"/>
      <w:marBottom w:val="0"/>
      <w:divBdr>
        <w:top w:val="none" w:sz="0" w:space="0" w:color="auto"/>
        <w:left w:val="none" w:sz="0" w:space="0" w:color="auto"/>
        <w:bottom w:val="none" w:sz="0" w:space="0" w:color="auto"/>
        <w:right w:val="none" w:sz="0" w:space="0" w:color="auto"/>
      </w:divBdr>
    </w:div>
    <w:div w:id="1615138947">
      <w:bodyDiv w:val="1"/>
      <w:marLeft w:val="0"/>
      <w:marRight w:val="0"/>
      <w:marTop w:val="0"/>
      <w:marBottom w:val="0"/>
      <w:divBdr>
        <w:top w:val="none" w:sz="0" w:space="0" w:color="auto"/>
        <w:left w:val="none" w:sz="0" w:space="0" w:color="auto"/>
        <w:bottom w:val="none" w:sz="0" w:space="0" w:color="auto"/>
        <w:right w:val="none" w:sz="0" w:space="0" w:color="auto"/>
      </w:divBdr>
    </w:div>
    <w:div w:id="1620650435">
      <w:bodyDiv w:val="1"/>
      <w:marLeft w:val="0"/>
      <w:marRight w:val="0"/>
      <w:marTop w:val="0"/>
      <w:marBottom w:val="0"/>
      <w:divBdr>
        <w:top w:val="none" w:sz="0" w:space="0" w:color="auto"/>
        <w:left w:val="none" w:sz="0" w:space="0" w:color="auto"/>
        <w:bottom w:val="none" w:sz="0" w:space="0" w:color="auto"/>
        <w:right w:val="none" w:sz="0" w:space="0" w:color="auto"/>
      </w:divBdr>
    </w:div>
    <w:div w:id="1629898123">
      <w:bodyDiv w:val="1"/>
      <w:marLeft w:val="0"/>
      <w:marRight w:val="0"/>
      <w:marTop w:val="0"/>
      <w:marBottom w:val="0"/>
      <w:divBdr>
        <w:top w:val="none" w:sz="0" w:space="0" w:color="auto"/>
        <w:left w:val="none" w:sz="0" w:space="0" w:color="auto"/>
        <w:bottom w:val="none" w:sz="0" w:space="0" w:color="auto"/>
        <w:right w:val="none" w:sz="0" w:space="0" w:color="auto"/>
      </w:divBdr>
    </w:div>
    <w:div w:id="1630011631">
      <w:bodyDiv w:val="1"/>
      <w:marLeft w:val="0"/>
      <w:marRight w:val="0"/>
      <w:marTop w:val="0"/>
      <w:marBottom w:val="0"/>
      <w:divBdr>
        <w:top w:val="none" w:sz="0" w:space="0" w:color="auto"/>
        <w:left w:val="none" w:sz="0" w:space="0" w:color="auto"/>
        <w:bottom w:val="none" w:sz="0" w:space="0" w:color="auto"/>
        <w:right w:val="none" w:sz="0" w:space="0" w:color="auto"/>
      </w:divBdr>
    </w:div>
    <w:div w:id="1640962805">
      <w:bodyDiv w:val="1"/>
      <w:marLeft w:val="0"/>
      <w:marRight w:val="0"/>
      <w:marTop w:val="0"/>
      <w:marBottom w:val="0"/>
      <w:divBdr>
        <w:top w:val="none" w:sz="0" w:space="0" w:color="auto"/>
        <w:left w:val="none" w:sz="0" w:space="0" w:color="auto"/>
        <w:bottom w:val="none" w:sz="0" w:space="0" w:color="auto"/>
        <w:right w:val="none" w:sz="0" w:space="0" w:color="auto"/>
      </w:divBdr>
    </w:div>
    <w:div w:id="1654406951">
      <w:bodyDiv w:val="1"/>
      <w:marLeft w:val="0"/>
      <w:marRight w:val="0"/>
      <w:marTop w:val="0"/>
      <w:marBottom w:val="0"/>
      <w:divBdr>
        <w:top w:val="none" w:sz="0" w:space="0" w:color="auto"/>
        <w:left w:val="none" w:sz="0" w:space="0" w:color="auto"/>
        <w:bottom w:val="none" w:sz="0" w:space="0" w:color="auto"/>
        <w:right w:val="none" w:sz="0" w:space="0" w:color="auto"/>
      </w:divBdr>
    </w:div>
    <w:div w:id="1661736571">
      <w:bodyDiv w:val="1"/>
      <w:marLeft w:val="0"/>
      <w:marRight w:val="0"/>
      <w:marTop w:val="0"/>
      <w:marBottom w:val="0"/>
      <w:divBdr>
        <w:top w:val="none" w:sz="0" w:space="0" w:color="auto"/>
        <w:left w:val="none" w:sz="0" w:space="0" w:color="auto"/>
        <w:bottom w:val="none" w:sz="0" w:space="0" w:color="auto"/>
        <w:right w:val="none" w:sz="0" w:space="0" w:color="auto"/>
      </w:divBdr>
    </w:div>
    <w:div w:id="1676151716">
      <w:bodyDiv w:val="1"/>
      <w:marLeft w:val="0"/>
      <w:marRight w:val="0"/>
      <w:marTop w:val="0"/>
      <w:marBottom w:val="0"/>
      <w:divBdr>
        <w:top w:val="none" w:sz="0" w:space="0" w:color="auto"/>
        <w:left w:val="none" w:sz="0" w:space="0" w:color="auto"/>
        <w:bottom w:val="none" w:sz="0" w:space="0" w:color="auto"/>
        <w:right w:val="none" w:sz="0" w:space="0" w:color="auto"/>
      </w:divBdr>
    </w:div>
    <w:div w:id="1680081167">
      <w:bodyDiv w:val="1"/>
      <w:marLeft w:val="0"/>
      <w:marRight w:val="0"/>
      <w:marTop w:val="0"/>
      <w:marBottom w:val="0"/>
      <w:divBdr>
        <w:top w:val="none" w:sz="0" w:space="0" w:color="auto"/>
        <w:left w:val="none" w:sz="0" w:space="0" w:color="auto"/>
        <w:bottom w:val="none" w:sz="0" w:space="0" w:color="auto"/>
        <w:right w:val="none" w:sz="0" w:space="0" w:color="auto"/>
      </w:divBdr>
      <w:divsChild>
        <w:div w:id="84886926">
          <w:marLeft w:val="0"/>
          <w:marRight w:val="0"/>
          <w:marTop w:val="0"/>
          <w:marBottom w:val="0"/>
          <w:divBdr>
            <w:top w:val="none" w:sz="0" w:space="0" w:color="auto"/>
            <w:left w:val="none" w:sz="0" w:space="0" w:color="auto"/>
            <w:bottom w:val="none" w:sz="0" w:space="0" w:color="auto"/>
            <w:right w:val="none" w:sz="0" w:space="0" w:color="auto"/>
          </w:divBdr>
        </w:div>
      </w:divsChild>
    </w:div>
    <w:div w:id="1719666157">
      <w:bodyDiv w:val="1"/>
      <w:marLeft w:val="0"/>
      <w:marRight w:val="0"/>
      <w:marTop w:val="0"/>
      <w:marBottom w:val="0"/>
      <w:divBdr>
        <w:top w:val="none" w:sz="0" w:space="0" w:color="auto"/>
        <w:left w:val="none" w:sz="0" w:space="0" w:color="auto"/>
        <w:bottom w:val="none" w:sz="0" w:space="0" w:color="auto"/>
        <w:right w:val="none" w:sz="0" w:space="0" w:color="auto"/>
      </w:divBdr>
    </w:div>
    <w:div w:id="1721975846">
      <w:bodyDiv w:val="1"/>
      <w:marLeft w:val="0"/>
      <w:marRight w:val="0"/>
      <w:marTop w:val="0"/>
      <w:marBottom w:val="0"/>
      <w:divBdr>
        <w:top w:val="none" w:sz="0" w:space="0" w:color="auto"/>
        <w:left w:val="none" w:sz="0" w:space="0" w:color="auto"/>
        <w:bottom w:val="none" w:sz="0" w:space="0" w:color="auto"/>
        <w:right w:val="none" w:sz="0" w:space="0" w:color="auto"/>
      </w:divBdr>
    </w:div>
    <w:div w:id="1738631921">
      <w:bodyDiv w:val="1"/>
      <w:marLeft w:val="0"/>
      <w:marRight w:val="0"/>
      <w:marTop w:val="0"/>
      <w:marBottom w:val="0"/>
      <w:divBdr>
        <w:top w:val="none" w:sz="0" w:space="0" w:color="auto"/>
        <w:left w:val="none" w:sz="0" w:space="0" w:color="auto"/>
        <w:bottom w:val="none" w:sz="0" w:space="0" w:color="auto"/>
        <w:right w:val="none" w:sz="0" w:space="0" w:color="auto"/>
      </w:divBdr>
    </w:div>
    <w:div w:id="1750805336">
      <w:bodyDiv w:val="1"/>
      <w:marLeft w:val="0"/>
      <w:marRight w:val="0"/>
      <w:marTop w:val="0"/>
      <w:marBottom w:val="0"/>
      <w:divBdr>
        <w:top w:val="none" w:sz="0" w:space="0" w:color="auto"/>
        <w:left w:val="none" w:sz="0" w:space="0" w:color="auto"/>
        <w:bottom w:val="none" w:sz="0" w:space="0" w:color="auto"/>
        <w:right w:val="none" w:sz="0" w:space="0" w:color="auto"/>
      </w:divBdr>
      <w:divsChild>
        <w:div w:id="557865873">
          <w:marLeft w:val="0"/>
          <w:marRight w:val="0"/>
          <w:marTop w:val="0"/>
          <w:marBottom w:val="0"/>
          <w:divBdr>
            <w:top w:val="none" w:sz="0" w:space="0" w:color="auto"/>
            <w:left w:val="none" w:sz="0" w:space="0" w:color="auto"/>
            <w:bottom w:val="none" w:sz="0" w:space="0" w:color="auto"/>
            <w:right w:val="none" w:sz="0" w:space="0" w:color="auto"/>
          </w:divBdr>
          <w:divsChild>
            <w:div w:id="775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895">
      <w:bodyDiv w:val="1"/>
      <w:marLeft w:val="0"/>
      <w:marRight w:val="0"/>
      <w:marTop w:val="0"/>
      <w:marBottom w:val="0"/>
      <w:divBdr>
        <w:top w:val="none" w:sz="0" w:space="0" w:color="auto"/>
        <w:left w:val="none" w:sz="0" w:space="0" w:color="auto"/>
        <w:bottom w:val="none" w:sz="0" w:space="0" w:color="auto"/>
        <w:right w:val="none" w:sz="0" w:space="0" w:color="auto"/>
      </w:divBdr>
      <w:divsChild>
        <w:div w:id="700864364">
          <w:marLeft w:val="0"/>
          <w:marRight w:val="0"/>
          <w:marTop w:val="0"/>
          <w:marBottom w:val="0"/>
          <w:divBdr>
            <w:top w:val="none" w:sz="0" w:space="0" w:color="auto"/>
            <w:left w:val="none" w:sz="0" w:space="0" w:color="auto"/>
            <w:bottom w:val="none" w:sz="0" w:space="0" w:color="auto"/>
            <w:right w:val="none" w:sz="0" w:space="0" w:color="auto"/>
          </w:divBdr>
          <w:divsChild>
            <w:div w:id="75321184">
              <w:marLeft w:val="0"/>
              <w:marRight w:val="0"/>
              <w:marTop w:val="0"/>
              <w:marBottom w:val="0"/>
              <w:divBdr>
                <w:top w:val="none" w:sz="0" w:space="0" w:color="auto"/>
                <w:left w:val="none" w:sz="0" w:space="0" w:color="auto"/>
                <w:bottom w:val="none" w:sz="0" w:space="0" w:color="auto"/>
                <w:right w:val="none" w:sz="0" w:space="0" w:color="auto"/>
              </w:divBdr>
              <w:divsChild>
                <w:div w:id="1589462141">
                  <w:marLeft w:val="0"/>
                  <w:marRight w:val="0"/>
                  <w:marTop w:val="0"/>
                  <w:marBottom w:val="300"/>
                  <w:divBdr>
                    <w:top w:val="none" w:sz="0" w:space="0" w:color="auto"/>
                    <w:left w:val="none" w:sz="0" w:space="0" w:color="auto"/>
                    <w:bottom w:val="none" w:sz="0" w:space="0" w:color="auto"/>
                    <w:right w:val="none" w:sz="0" w:space="0" w:color="auto"/>
                  </w:divBdr>
                  <w:divsChild>
                    <w:div w:id="7863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5559">
      <w:bodyDiv w:val="1"/>
      <w:marLeft w:val="0"/>
      <w:marRight w:val="0"/>
      <w:marTop w:val="0"/>
      <w:marBottom w:val="0"/>
      <w:divBdr>
        <w:top w:val="none" w:sz="0" w:space="0" w:color="auto"/>
        <w:left w:val="none" w:sz="0" w:space="0" w:color="auto"/>
        <w:bottom w:val="none" w:sz="0" w:space="0" w:color="auto"/>
        <w:right w:val="none" w:sz="0" w:space="0" w:color="auto"/>
      </w:divBdr>
    </w:div>
    <w:div w:id="1770003221">
      <w:bodyDiv w:val="1"/>
      <w:marLeft w:val="0"/>
      <w:marRight w:val="0"/>
      <w:marTop w:val="0"/>
      <w:marBottom w:val="0"/>
      <w:divBdr>
        <w:top w:val="none" w:sz="0" w:space="0" w:color="auto"/>
        <w:left w:val="none" w:sz="0" w:space="0" w:color="auto"/>
        <w:bottom w:val="none" w:sz="0" w:space="0" w:color="auto"/>
        <w:right w:val="none" w:sz="0" w:space="0" w:color="auto"/>
      </w:divBdr>
    </w:div>
    <w:div w:id="1772621712">
      <w:bodyDiv w:val="1"/>
      <w:marLeft w:val="0"/>
      <w:marRight w:val="0"/>
      <w:marTop w:val="0"/>
      <w:marBottom w:val="0"/>
      <w:divBdr>
        <w:top w:val="none" w:sz="0" w:space="0" w:color="auto"/>
        <w:left w:val="none" w:sz="0" w:space="0" w:color="auto"/>
        <w:bottom w:val="none" w:sz="0" w:space="0" w:color="auto"/>
        <w:right w:val="none" w:sz="0" w:space="0" w:color="auto"/>
      </w:divBdr>
    </w:div>
    <w:div w:id="1772699142">
      <w:bodyDiv w:val="1"/>
      <w:marLeft w:val="0"/>
      <w:marRight w:val="0"/>
      <w:marTop w:val="0"/>
      <w:marBottom w:val="0"/>
      <w:divBdr>
        <w:top w:val="none" w:sz="0" w:space="0" w:color="auto"/>
        <w:left w:val="none" w:sz="0" w:space="0" w:color="auto"/>
        <w:bottom w:val="none" w:sz="0" w:space="0" w:color="auto"/>
        <w:right w:val="none" w:sz="0" w:space="0" w:color="auto"/>
      </w:divBdr>
    </w:div>
    <w:div w:id="1791782574">
      <w:bodyDiv w:val="1"/>
      <w:marLeft w:val="0"/>
      <w:marRight w:val="0"/>
      <w:marTop w:val="0"/>
      <w:marBottom w:val="0"/>
      <w:divBdr>
        <w:top w:val="none" w:sz="0" w:space="0" w:color="auto"/>
        <w:left w:val="none" w:sz="0" w:space="0" w:color="auto"/>
        <w:bottom w:val="none" w:sz="0" w:space="0" w:color="auto"/>
        <w:right w:val="none" w:sz="0" w:space="0" w:color="auto"/>
      </w:divBdr>
    </w:div>
    <w:div w:id="1803301560">
      <w:bodyDiv w:val="1"/>
      <w:marLeft w:val="0"/>
      <w:marRight w:val="0"/>
      <w:marTop w:val="0"/>
      <w:marBottom w:val="0"/>
      <w:divBdr>
        <w:top w:val="none" w:sz="0" w:space="0" w:color="auto"/>
        <w:left w:val="none" w:sz="0" w:space="0" w:color="auto"/>
        <w:bottom w:val="none" w:sz="0" w:space="0" w:color="auto"/>
        <w:right w:val="none" w:sz="0" w:space="0" w:color="auto"/>
      </w:divBdr>
    </w:div>
    <w:div w:id="1870677011">
      <w:bodyDiv w:val="1"/>
      <w:marLeft w:val="0"/>
      <w:marRight w:val="0"/>
      <w:marTop w:val="0"/>
      <w:marBottom w:val="0"/>
      <w:divBdr>
        <w:top w:val="none" w:sz="0" w:space="0" w:color="auto"/>
        <w:left w:val="none" w:sz="0" w:space="0" w:color="auto"/>
        <w:bottom w:val="none" w:sz="0" w:space="0" w:color="auto"/>
        <w:right w:val="none" w:sz="0" w:space="0" w:color="auto"/>
      </w:divBdr>
    </w:div>
    <w:div w:id="1877236617">
      <w:bodyDiv w:val="1"/>
      <w:marLeft w:val="0"/>
      <w:marRight w:val="0"/>
      <w:marTop w:val="0"/>
      <w:marBottom w:val="0"/>
      <w:divBdr>
        <w:top w:val="none" w:sz="0" w:space="0" w:color="auto"/>
        <w:left w:val="none" w:sz="0" w:space="0" w:color="auto"/>
        <w:bottom w:val="none" w:sz="0" w:space="0" w:color="auto"/>
        <w:right w:val="none" w:sz="0" w:space="0" w:color="auto"/>
      </w:divBdr>
    </w:div>
    <w:div w:id="1879732433">
      <w:bodyDiv w:val="1"/>
      <w:marLeft w:val="0"/>
      <w:marRight w:val="0"/>
      <w:marTop w:val="0"/>
      <w:marBottom w:val="0"/>
      <w:divBdr>
        <w:top w:val="none" w:sz="0" w:space="0" w:color="auto"/>
        <w:left w:val="none" w:sz="0" w:space="0" w:color="auto"/>
        <w:bottom w:val="none" w:sz="0" w:space="0" w:color="auto"/>
        <w:right w:val="none" w:sz="0" w:space="0" w:color="auto"/>
      </w:divBdr>
    </w:div>
    <w:div w:id="1880702920">
      <w:bodyDiv w:val="1"/>
      <w:marLeft w:val="0"/>
      <w:marRight w:val="0"/>
      <w:marTop w:val="0"/>
      <w:marBottom w:val="0"/>
      <w:divBdr>
        <w:top w:val="none" w:sz="0" w:space="0" w:color="auto"/>
        <w:left w:val="none" w:sz="0" w:space="0" w:color="auto"/>
        <w:bottom w:val="none" w:sz="0" w:space="0" w:color="auto"/>
        <w:right w:val="none" w:sz="0" w:space="0" w:color="auto"/>
      </w:divBdr>
    </w:div>
    <w:div w:id="1886136587">
      <w:bodyDiv w:val="1"/>
      <w:marLeft w:val="0"/>
      <w:marRight w:val="0"/>
      <w:marTop w:val="0"/>
      <w:marBottom w:val="0"/>
      <w:divBdr>
        <w:top w:val="none" w:sz="0" w:space="0" w:color="auto"/>
        <w:left w:val="none" w:sz="0" w:space="0" w:color="auto"/>
        <w:bottom w:val="none" w:sz="0" w:space="0" w:color="auto"/>
        <w:right w:val="none" w:sz="0" w:space="0" w:color="auto"/>
      </w:divBdr>
      <w:divsChild>
        <w:div w:id="646669712">
          <w:marLeft w:val="547"/>
          <w:marRight w:val="0"/>
          <w:marTop w:val="0"/>
          <w:marBottom w:val="0"/>
          <w:divBdr>
            <w:top w:val="none" w:sz="0" w:space="0" w:color="auto"/>
            <w:left w:val="none" w:sz="0" w:space="0" w:color="auto"/>
            <w:bottom w:val="none" w:sz="0" w:space="0" w:color="auto"/>
            <w:right w:val="none" w:sz="0" w:space="0" w:color="auto"/>
          </w:divBdr>
        </w:div>
        <w:div w:id="829054688">
          <w:marLeft w:val="547"/>
          <w:marRight w:val="0"/>
          <w:marTop w:val="0"/>
          <w:marBottom w:val="0"/>
          <w:divBdr>
            <w:top w:val="none" w:sz="0" w:space="0" w:color="auto"/>
            <w:left w:val="none" w:sz="0" w:space="0" w:color="auto"/>
            <w:bottom w:val="none" w:sz="0" w:space="0" w:color="auto"/>
            <w:right w:val="none" w:sz="0" w:space="0" w:color="auto"/>
          </w:divBdr>
        </w:div>
        <w:div w:id="1239897844">
          <w:marLeft w:val="547"/>
          <w:marRight w:val="0"/>
          <w:marTop w:val="0"/>
          <w:marBottom w:val="0"/>
          <w:divBdr>
            <w:top w:val="none" w:sz="0" w:space="0" w:color="auto"/>
            <w:left w:val="none" w:sz="0" w:space="0" w:color="auto"/>
            <w:bottom w:val="none" w:sz="0" w:space="0" w:color="auto"/>
            <w:right w:val="none" w:sz="0" w:space="0" w:color="auto"/>
          </w:divBdr>
        </w:div>
      </w:divsChild>
    </w:div>
    <w:div w:id="1904487882">
      <w:bodyDiv w:val="1"/>
      <w:marLeft w:val="0"/>
      <w:marRight w:val="0"/>
      <w:marTop w:val="0"/>
      <w:marBottom w:val="0"/>
      <w:divBdr>
        <w:top w:val="none" w:sz="0" w:space="0" w:color="auto"/>
        <w:left w:val="none" w:sz="0" w:space="0" w:color="auto"/>
        <w:bottom w:val="none" w:sz="0" w:space="0" w:color="auto"/>
        <w:right w:val="none" w:sz="0" w:space="0" w:color="auto"/>
      </w:divBdr>
    </w:div>
    <w:div w:id="1915818021">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2008483306">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11635278">
      <w:bodyDiv w:val="1"/>
      <w:marLeft w:val="0"/>
      <w:marRight w:val="0"/>
      <w:marTop w:val="0"/>
      <w:marBottom w:val="0"/>
      <w:divBdr>
        <w:top w:val="none" w:sz="0" w:space="0" w:color="auto"/>
        <w:left w:val="none" w:sz="0" w:space="0" w:color="auto"/>
        <w:bottom w:val="none" w:sz="0" w:space="0" w:color="auto"/>
        <w:right w:val="none" w:sz="0" w:space="0" w:color="auto"/>
      </w:divBdr>
    </w:div>
    <w:div w:id="2023706041">
      <w:bodyDiv w:val="1"/>
      <w:marLeft w:val="0"/>
      <w:marRight w:val="0"/>
      <w:marTop w:val="0"/>
      <w:marBottom w:val="0"/>
      <w:divBdr>
        <w:top w:val="none" w:sz="0" w:space="0" w:color="auto"/>
        <w:left w:val="none" w:sz="0" w:space="0" w:color="auto"/>
        <w:bottom w:val="none" w:sz="0" w:space="0" w:color="auto"/>
        <w:right w:val="none" w:sz="0" w:space="0" w:color="auto"/>
      </w:divBdr>
      <w:divsChild>
        <w:div w:id="332268327">
          <w:marLeft w:val="0"/>
          <w:marRight w:val="0"/>
          <w:marTop w:val="0"/>
          <w:marBottom w:val="0"/>
          <w:divBdr>
            <w:top w:val="none" w:sz="0" w:space="0" w:color="auto"/>
            <w:left w:val="none" w:sz="0" w:space="0" w:color="auto"/>
            <w:bottom w:val="none" w:sz="0" w:space="0" w:color="auto"/>
            <w:right w:val="none" w:sz="0" w:space="0" w:color="auto"/>
          </w:divBdr>
          <w:divsChild>
            <w:div w:id="8447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5882">
      <w:bodyDiv w:val="1"/>
      <w:marLeft w:val="0"/>
      <w:marRight w:val="0"/>
      <w:marTop w:val="0"/>
      <w:marBottom w:val="0"/>
      <w:divBdr>
        <w:top w:val="none" w:sz="0" w:space="0" w:color="auto"/>
        <w:left w:val="none" w:sz="0" w:space="0" w:color="auto"/>
        <w:bottom w:val="none" w:sz="0" w:space="0" w:color="auto"/>
        <w:right w:val="none" w:sz="0" w:space="0" w:color="auto"/>
      </w:divBdr>
    </w:div>
    <w:div w:id="2026201144">
      <w:bodyDiv w:val="1"/>
      <w:marLeft w:val="0"/>
      <w:marRight w:val="0"/>
      <w:marTop w:val="0"/>
      <w:marBottom w:val="0"/>
      <w:divBdr>
        <w:top w:val="none" w:sz="0" w:space="0" w:color="auto"/>
        <w:left w:val="none" w:sz="0" w:space="0" w:color="auto"/>
        <w:bottom w:val="none" w:sz="0" w:space="0" w:color="auto"/>
        <w:right w:val="none" w:sz="0" w:space="0" w:color="auto"/>
      </w:divBdr>
    </w:div>
    <w:div w:id="2034068946">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59815377">
      <w:bodyDiv w:val="1"/>
      <w:marLeft w:val="0"/>
      <w:marRight w:val="0"/>
      <w:marTop w:val="0"/>
      <w:marBottom w:val="0"/>
      <w:divBdr>
        <w:top w:val="none" w:sz="0" w:space="0" w:color="auto"/>
        <w:left w:val="none" w:sz="0" w:space="0" w:color="auto"/>
        <w:bottom w:val="none" w:sz="0" w:space="0" w:color="auto"/>
        <w:right w:val="none" w:sz="0" w:space="0" w:color="auto"/>
      </w:divBdr>
    </w:div>
    <w:div w:id="2077362707">
      <w:bodyDiv w:val="1"/>
      <w:marLeft w:val="0"/>
      <w:marRight w:val="0"/>
      <w:marTop w:val="0"/>
      <w:marBottom w:val="0"/>
      <w:divBdr>
        <w:top w:val="none" w:sz="0" w:space="0" w:color="auto"/>
        <w:left w:val="none" w:sz="0" w:space="0" w:color="auto"/>
        <w:bottom w:val="none" w:sz="0" w:space="0" w:color="auto"/>
        <w:right w:val="none" w:sz="0" w:space="0" w:color="auto"/>
      </w:divBdr>
    </w:div>
    <w:div w:id="2079277795">
      <w:bodyDiv w:val="1"/>
      <w:marLeft w:val="0"/>
      <w:marRight w:val="0"/>
      <w:marTop w:val="0"/>
      <w:marBottom w:val="0"/>
      <w:divBdr>
        <w:top w:val="none" w:sz="0" w:space="0" w:color="auto"/>
        <w:left w:val="none" w:sz="0" w:space="0" w:color="auto"/>
        <w:bottom w:val="none" w:sz="0" w:space="0" w:color="auto"/>
        <w:right w:val="none" w:sz="0" w:space="0" w:color="auto"/>
      </w:divBdr>
    </w:div>
    <w:div w:id="2101634344">
      <w:bodyDiv w:val="1"/>
      <w:marLeft w:val="0"/>
      <w:marRight w:val="0"/>
      <w:marTop w:val="0"/>
      <w:marBottom w:val="0"/>
      <w:divBdr>
        <w:top w:val="none" w:sz="0" w:space="0" w:color="auto"/>
        <w:left w:val="none" w:sz="0" w:space="0" w:color="auto"/>
        <w:bottom w:val="none" w:sz="0" w:space="0" w:color="auto"/>
        <w:right w:val="none" w:sz="0" w:space="0" w:color="auto"/>
      </w:divBdr>
    </w:div>
    <w:div w:id="2103404601">
      <w:bodyDiv w:val="1"/>
      <w:marLeft w:val="0"/>
      <w:marRight w:val="0"/>
      <w:marTop w:val="0"/>
      <w:marBottom w:val="0"/>
      <w:divBdr>
        <w:top w:val="none" w:sz="0" w:space="0" w:color="auto"/>
        <w:left w:val="none" w:sz="0" w:space="0" w:color="auto"/>
        <w:bottom w:val="none" w:sz="0" w:space="0" w:color="auto"/>
        <w:right w:val="none" w:sz="0" w:space="0" w:color="auto"/>
      </w:divBdr>
    </w:div>
    <w:div w:id="2117869220">
      <w:bodyDiv w:val="1"/>
      <w:marLeft w:val="0"/>
      <w:marRight w:val="0"/>
      <w:marTop w:val="0"/>
      <w:marBottom w:val="0"/>
      <w:divBdr>
        <w:top w:val="none" w:sz="0" w:space="0" w:color="auto"/>
        <w:left w:val="none" w:sz="0" w:space="0" w:color="auto"/>
        <w:bottom w:val="none" w:sz="0" w:space="0" w:color="auto"/>
        <w:right w:val="none" w:sz="0" w:space="0" w:color="auto"/>
      </w:divBdr>
    </w:div>
    <w:div w:id="2129160174">
      <w:bodyDiv w:val="1"/>
      <w:marLeft w:val="0"/>
      <w:marRight w:val="0"/>
      <w:marTop w:val="0"/>
      <w:marBottom w:val="0"/>
      <w:divBdr>
        <w:top w:val="none" w:sz="0" w:space="0" w:color="auto"/>
        <w:left w:val="none" w:sz="0" w:space="0" w:color="auto"/>
        <w:bottom w:val="none" w:sz="0" w:space="0" w:color="auto"/>
        <w:right w:val="none" w:sz="0" w:space="0" w:color="auto"/>
      </w:divBdr>
    </w:div>
    <w:div w:id="2141192321">
      <w:bodyDiv w:val="1"/>
      <w:marLeft w:val="0"/>
      <w:marRight w:val="0"/>
      <w:marTop w:val="0"/>
      <w:marBottom w:val="0"/>
      <w:divBdr>
        <w:top w:val="none" w:sz="0" w:space="0" w:color="auto"/>
        <w:left w:val="none" w:sz="0" w:space="0" w:color="auto"/>
        <w:bottom w:val="none" w:sz="0" w:space="0" w:color="auto"/>
        <w:right w:val="none" w:sz="0" w:space="0" w:color="auto"/>
      </w:divBdr>
    </w:div>
    <w:div w:id="2144538836">
      <w:bodyDiv w:val="1"/>
      <w:marLeft w:val="0"/>
      <w:marRight w:val="0"/>
      <w:marTop w:val="0"/>
      <w:marBottom w:val="0"/>
      <w:divBdr>
        <w:top w:val="none" w:sz="0" w:space="0" w:color="auto"/>
        <w:left w:val="none" w:sz="0" w:space="0" w:color="auto"/>
        <w:bottom w:val="none" w:sz="0" w:space="0" w:color="auto"/>
        <w:right w:val="none" w:sz="0" w:space="0" w:color="auto"/>
      </w:divBdr>
    </w:div>
    <w:div w:id="2145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FP5HQ\RestrictedSchools$\Official%20stats%20and%20MI\Official%20Stats\cfoley1\AppData\Local\Microsoft\Windows\INetCache\AppData\Local\Microsoft\Windows\INetCache\Content.Outlook\PIO66FOY\Louise.Butler@ofsted.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uk/government/collections/maintained-schools-and-academies-inspections-and-outcomes-official-statistic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FP5HQ\RestrictedSchools$\Official%20stats%20and%20MI\Official%20Stats\201718%20Autumn\4%20Main%20findings%20draft\www.gov.uk\government\consultations\changes-to-ofsteds-statistical-reporting-of-inspection-outcomes-for-maintained-schools-and-academies" TargetMode="External"/><Relationship Id="rId20"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ationalarchives.gov.uk/doc/open-government-lic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ouise.Butler@ofsted.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ommon-inspection-framework-education-skills-and-early-years-from-september-2015" TargetMode="External"/><Relationship Id="rId2" Type="http://schemas.openxmlformats.org/officeDocument/2006/relationships/hyperlink" Target="http://www.gov.uk/government/consultations/changes-to-ofsteds-statistical-reporting-of-inspection-outcomes-for-maintained-schools-and-academies" TargetMode="External"/><Relationship Id="rId1" Type="http://schemas.openxmlformats.org/officeDocument/2006/relationships/hyperlink" Target="https://www.gov.uk/government/consultations/short-inspections-of-good-schools" TargetMode="External"/><Relationship Id="rId5" Type="http://schemas.openxmlformats.org/officeDocument/2006/relationships/hyperlink" Target="http://www.gov.uk/government/collections/maintained-schools-and-academies-inspections-and-outcomes-official-statistics" TargetMode="External"/><Relationship Id="rId4" Type="http://schemas.openxmlformats.org/officeDocument/2006/relationships/hyperlink" Target="https://www.gov.uk/government/publications/ofsted-annual-report-201617-education-childrens-services-and-skil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3" ma:contentTypeDescription="Create a new document." ma:contentTypeScope="" ma:versionID="cc38c5c70ccb91210c921340a01f7ed6">
  <xsd:schema xmlns:xsd="http://www.w3.org/2001/XMLSchema" xmlns:p="http://schemas.microsoft.com/office/2006/metadata/properties" xmlns:ns2="82e30443-e738-45d7-be93-4e56ed5da66c" targetNamespace="http://schemas.microsoft.com/office/2006/metadata/properties" ma:root="true" ma:fieldsID="d0b9af0f08c680cf12a2fc973f3784df" ns2:_="">
    <xsd:import namespace="82e30443-e738-45d7-be93-4e56ed5da66c"/>
    <xsd:element name="properties">
      <xsd:complexType>
        <xsd:sequence>
          <xsd:element name="documentManagement">
            <xsd:complexType>
              <xsd:all>
                <xsd:element ref="ns2:Section"/>
                <xsd:element ref="ns2:Date_x0020_last_x0020_updated"/>
                <xsd:element ref="ns2:Date_x0020_next_x0020_update_x0020_due"/>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ma:displayName="Section" ma:default="Please select:" ma:format="Dropdown" ma:internalName="Section">
      <xsd:simpleType>
        <xsd:restriction base="dms:Choice">
          <xsd:enumeration value="Please select:"/>
          <xsd:enumeration value="Software"/>
          <xsd:enumeration value="Authorisation and Sign off"/>
          <xsd:enumeration value="User Engagement"/>
          <xsd:enumeration value="Confidentiality and Disclosure"/>
          <xsd:enumeration value="Accessing sensitive data"/>
          <xsd:enumeration value="Lessons Learned"/>
          <xsd:enumeration value="Version control"/>
          <xsd:enumeration value="Official Statistics"/>
          <xsd:enumeration value="Recording Risks, Actions, Issues, Dependencies"/>
          <xsd:enumeration value="Internal Data Audits"/>
          <xsd:enumeration value="Briefings/PQs/Lilac Covers/FOIs"/>
          <xsd:enumeration value="Annual Report Production"/>
          <xsd:enumeration value="Quality Assurance"/>
          <xsd:enumeration value="Projects"/>
          <xsd:enumeration value="Data requests"/>
          <xsd:enumeration value="Desk instructions"/>
          <xsd:enumeration value="Standards for presenting data"/>
        </xsd:restriction>
      </xsd:simpleType>
    </xsd:element>
    <xsd:element name="Date_x0020_last_x0020_updated" ma:index="9" ma:displayName="Date last updated" ma:default="[today]" ma:format="DateOnly" ma:internalName="Date_x0020_last_x0020_updated">
      <xsd:simpleType>
        <xsd:restriction base="dms:DateTime"/>
      </xsd:simpleType>
    </xsd:element>
    <xsd:element name="Date_x0020_next_x0020_update_x0020_due" ma:index="10" ma:displayName="Date next review due" ma:format="DateOnly" ma:internalName="Date_x0020_next_x0020_up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ate_x0020_next_x0020_update_x0020_due xmlns="82e30443-e738-45d7-be93-4e56ed5da66c">2017-09-29T23:00:00+00:00</Date_x0020_next_x0020_update_x0020_due>
    <Date_x0020_last_x0020_updated xmlns="82e30443-e738-45d7-be93-4e56ed5da66c">2015-12-11T00:00:00+00:00</Date_x0020_last_x0020_upd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6E5F-F098-4143-8D80-1590E9B2014B}">
  <ds:schemaRefs>
    <ds:schemaRef ds:uri="http://schemas.microsoft.com/office/2006/metadata/longProperties"/>
  </ds:schemaRefs>
</ds:datastoreItem>
</file>

<file path=customXml/itemProps2.xml><?xml version="1.0" encoding="utf-8"?>
<ds:datastoreItem xmlns:ds="http://schemas.openxmlformats.org/officeDocument/2006/customXml" ds:itemID="{96EAEA84-41AB-4A0C-BB3F-83E99546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63FC71-8B81-40F9-B4F5-40C7063D2F2C}">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82e30443-e738-45d7-be93-4e56ed5da66c"/>
    <ds:schemaRef ds:uri="http://www.w3.org/XML/1998/namespace"/>
    <ds:schemaRef ds:uri="http://purl.org/dc/dcmitype/"/>
  </ds:schemaRefs>
</ds:datastoreItem>
</file>

<file path=customXml/itemProps4.xml><?xml version="1.0" encoding="utf-8"?>
<ds:datastoreItem xmlns:ds="http://schemas.openxmlformats.org/officeDocument/2006/customXml" ds:itemID="{B530257B-9BFE-4DE9-8564-BC6E3EDA0F12}">
  <ds:schemaRefs>
    <ds:schemaRef ds:uri="http://schemas.microsoft.com/sharepoint/v3/contenttype/forms"/>
  </ds:schemaRefs>
</ds:datastoreItem>
</file>

<file path=customXml/itemProps5.xml><?xml version="1.0" encoding="utf-8"?>
<ds:datastoreItem xmlns:ds="http://schemas.openxmlformats.org/officeDocument/2006/customXml" ds:itemID="{E81D7187-81B3-4AB5-8984-1DC3B542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13</Pages>
  <Words>2806</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Official statistics - SFR release template</vt:lpstr>
    </vt:vector>
  </TitlesOfParts>
  <Company>Ofsted</Company>
  <LinksUpToDate>false</LinksUpToDate>
  <CharactersWithSpaces>20143</CharactersWithSpaces>
  <SharedDoc>false</SharedDoc>
  <HLinks>
    <vt:vector size="72" baseType="variant">
      <vt:variant>
        <vt:i4>3670022</vt:i4>
      </vt:variant>
      <vt:variant>
        <vt:i4>54</vt:i4>
      </vt:variant>
      <vt:variant>
        <vt:i4>0</vt:i4>
      </vt:variant>
      <vt:variant>
        <vt:i4>5</vt:i4>
      </vt:variant>
      <vt:variant>
        <vt:lpwstr>mailto:psi@nationalarchives.gsi.gov.uk</vt:lpwstr>
      </vt:variant>
      <vt:variant>
        <vt:lpwstr/>
      </vt:variant>
      <vt:variant>
        <vt:i4>6553714</vt:i4>
      </vt:variant>
      <vt:variant>
        <vt:i4>51</vt:i4>
      </vt:variant>
      <vt:variant>
        <vt:i4>0</vt:i4>
      </vt:variant>
      <vt:variant>
        <vt:i4>5</vt:i4>
      </vt:variant>
      <vt:variant>
        <vt:lpwstr>http://www.nationalarchives.gov.uk/doc/open-government-licence/</vt:lpwstr>
      </vt:variant>
      <vt:variant>
        <vt:lpwstr/>
      </vt:variant>
      <vt:variant>
        <vt:i4>6488159</vt:i4>
      </vt:variant>
      <vt:variant>
        <vt:i4>48</vt:i4>
      </vt:variant>
      <vt:variant>
        <vt:i4>0</vt:i4>
      </vt:variant>
      <vt:variant>
        <vt:i4>5</vt:i4>
      </vt:variant>
      <vt:variant>
        <vt:lpwstr>../../cfoley1/AppData/Local/Microsoft/Windows/INetCache/AppData/Local/Microsoft/Windows/INetCache/Content.Outlook/PIO66FOY/Louise.Butler@ofsted.gov.uk</vt:lpwstr>
      </vt:variant>
      <vt:variant>
        <vt:lpwstr/>
      </vt:variant>
      <vt:variant>
        <vt:i4>3407905</vt:i4>
      </vt:variant>
      <vt:variant>
        <vt:i4>45</vt:i4>
      </vt:variant>
      <vt:variant>
        <vt:i4>0</vt:i4>
      </vt:variant>
      <vt:variant>
        <vt:i4>5</vt:i4>
      </vt:variant>
      <vt:variant>
        <vt:lpwstr>https://www.gov.uk/government/collections/maintained-schools-and-academies-inspections-and-outcomes-official-statistics</vt:lpwstr>
      </vt:variant>
      <vt:variant>
        <vt:lpwstr/>
      </vt:variant>
      <vt:variant>
        <vt:i4>7143541</vt:i4>
      </vt:variant>
      <vt:variant>
        <vt:i4>42</vt:i4>
      </vt:variant>
      <vt:variant>
        <vt:i4>0</vt:i4>
      </vt:variant>
      <vt:variant>
        <vt:i4>5</vt:i4>
      </vt:variant>
      <vt:variant>
        <vt:lpwstr>http://www.gov.uk/government/consultations/changes-to-ofsteds-statistical-reporting-of-inspection-outcomes-for-maintained-schools-and-academies</vt:lpwstr>
      </vt:variant>
      <vt:variant>
        <vt:lpwstr/>
      </vt:variant>
      <vt:variant>
        <vt:i4>1179710</vt:i4>
      </vt:variant>
      <vt:variant>
        <vt:i4>29</vt:i4>
      </vt:variant>
      <vt:variant>
        <vt:i4>0</vt:i4>
      </vt:variant>
      <vt:variant>
        <vt:i4>5</vt:i4>
      </vt:variant>
      <vt:variant>
        <vt:lpwstr/>
      </vt:variant>
      <vt:variant>
        <vt:lpwstr>_Toc485298678</vt:lpwstr>
      </vt:variant>
      <vt:variant>
        <vt:i4>1179710</vt:i4>
      </vt:variant>
      <vt:variant>
        <vt:i4>23</vt:i4>
      </vt:variant>
      <vt:variant>
        <vt:i4>0</vt:i4>
      </vt:variant>
      <vt:variant>
        <vt:i4>5</vt:i4>
      </vt:variant>
      <vt:variant>
        <vt:lpwstr/>
      </vt:variant>
      <vt:variant>
        <vt:lpwstr>_Toc485298677</vt:lpwstr>
      </vt:variant>
      <vt:variant>
        <vt:i4>1179710</vt:i4>
      </vt:variant>
      <vt:variant>
        <vt:i4>17</vt:i4>
      </vt:variant>
      <vt:variant>
        <vt:i4>0</vt:i4>
      </vt:variant>
      <vt:variant>
        <vt:i4>5</vt:i4>
      </vt:variant>
      <vt:variant>
        <vt:lpwstr/>
      </vt:variant>
      <vt:variant>
        <vt:lpwstr>_Toc485298676</vt:lpwstr>
      </vt:variant>
      <vt:variant>
        <vt:i4>1179710</vt:i4>
      </vt:variant>
      <vt:variant>
        <vt:i4>14</vt:i4>
      </vt:variant>
      <vt:variant>
        <vt:i4>0</vt:i4>
      </vt:variant>
      <vt:variant>
        <vt:i4>5</vt:i4>
      </vt:variant>
      <vt:variant>
        <vt:lpwstr/>
      </vt:variant>
      <vt:variant>
        <vt:lpwstr>_Toc485298671</vt:lpwstr>
      </vt:variant>
      <vt:variant>
        <vt:i4>1179710</vt:i4>
      </vt:variant>
      <vt:variant>
        <vt:i4>8</vt:i4>
      </vt:variant>
      <vt:variant>
        <vt:i4>0</vt:i4>
      </vt:variant>
      <vt:variant>
        <vt:i4>5</vt:i4>
      </vt:variant>
      <vt:variant>
        <vt:lpwstr/>
      </vt:variant>
      <vt:variant>
        <vt:lpwstr>_Toc485298670</vt:lpwstr>
      </vt:variant>
      <vt:variant>
        <vt:i4>7143541</vt:i4>
      </vt:variant>
      <vt:variant>
        <vt:i4>0</vt:i4>
      </vt:variant>
      <vt:variant>
        <vt:i4>0</vt:i4>
      </vt:variant>
      <vt:variant>
        <vt:i4>5</vt:i4>
      </vt:variant>
      <vt:variant>
        <vt:lpwstr>http://www.gov.uk/government/consultations/changes-to-ofsteds-statistical-reporting-of-inspection-outcomes-for-maintained-schools-and-academies</vt:lpwstr>
      </vt:variant>
      <vt:variant>
        <vt:lpwstr/>
      </vt:variant>
      <vt:variant>
        <vt:i4>3145736</vt:i4>
      </vt:variant>
      <vt:variant>
        <vt:i4>0</vt:i4>
      </vt:variant>
      <vt:variant>
        <vt:i4>0</vt:i4>
      </vt:variant>
      <vt:variant>
        <vt:i4>5</vt:i4>
      </vt:variant>
      <vt:variant>
        <vt:lpwstr>mailto:Louise.Butler@ofsted.gov.uk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statistics - SFR release template</dc:title>
  <dc:subject/>
  <dc:creator>Alison Edwards (London)</dc:creator>
  <cp:keywords/>
  <cp:lastModifiedBy>Michael Taylor</cp:lastModifiedBy>
  <cp:revision>31</cp:revision>
  <cp:lastPrinted>2018-03-20T11:17:00Z</cp:lastPrinted>
  <dcterms:created xsi:type="dcterms:W3CDTF">2018-03-15T09:36:00Z</dcterms:created>
  <dcterms:modified xsi:type="dcterms:W3CDTF">2018-03-20T11:21:00Z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
  </property>
  <property fmtid="{D5CDD505-2E9C-101B-9397-08002B2CF9AE}" pid="3" name="OfstedESD">
    <vt:lpwstr/>
  </property>
  <property fmtid="{D5CDD505-2E9C-101B-9397-08002B2CF9AE}" pid="4" name="ContentType">
    <vt:lpwstr>Document</vt:lpwstr>
  </property>
  <property fmtid="{D5CDD505-2E9C-101B-9397-08002B2CF9AE}" pid="5" name="DatePublished">
    <vt:lpwstr>2012-06-01T18:00:00Z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Children's centres</vt:lpwstr>
  </property>
  <property fmtid="{D5CDD505-2E9C-101B-9397-08002B2CF9AE}" pid="18" name="Quarter">
    <vt:lpwstr>31 March 2012</vt:lpwstr>
  </property>
  <property fmtid="{D5CDD505-2E9C-101B-9397-08002B2CF9AE}" pid="19" name="Document type">
    <vt:lpwstr>Pre-release data</vt:lpwstr>
  </property>
  <property fmtid="{D5CDD505-2E9C-101B-9397-08002B2CF9AE}" pid="20" name="_DCDateModified">
    <vt:lpwstr/>
  </property>
  <property fmtid="{D5CDD505-2E9C-101B-9397-08002B2CF9AE}" pid="21" name="_DCDateCreated">
    <vt:lpwstr/>
  </property>
  <property fmtid="{D5CDD505-2E9C-101B-9397-08002B2CF9AE}" pid="22" name="_DocHome">
    <vt:lpwstr/>
  </property>
</Properties>
</file>