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DD6AA4" w:rsidTr="0051464F">
        <w:trPr>
          <w:trHeight w:val="2965"/>
        </w:trPr>
        <w:tc>
          <w:tcPr>
            <w:tcW w:w="6379" w:type="dxa"/>
          </w:tcPr>
          <w:p w:rsidR="00DD6AA4" w:rsidRDefault="00861C0E"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DD6AA4" w:rsidRDefault="00DD6AA4" w:rsidP="002C5025">
            <w:pPr>
              <w:pStyle w:val="MOJaddress"/>
              <w:rPr>
                <w:color w:val="0000CC"/>
                <w:sz w:val="22"/>
                <w:szCs w:val="22"/>
              </w:rPr>
            </w:pPr>
          </w:p>
          <w:p w:rsidR="00DD6AA4" w:rsidRPr="00222A41" w:rsidRDefault="00DD6AA4" w:rsidP="002C5025">
            <w:pPr>
              <w:pStyle w:val="MOJaddress"/>
              <w:rPr>
                <w:color w:val="000000"/>
                <w:sz w:val="22"/>
                <w:szCs w:val="22"/>
              </w:rPr>
            </w:pPr>
          </w:p>
          <w:p w:rsidR="002E738E" w:rsidRPr="009C4B46" w:rsidRDefault="002E738E" w:rsidP="009C4B46">
            <w:pPr>
              <w:pStyle w:val="MOJaddress"/>
              <w:rPr>
                <w:color w:val="0000CC"/>
                <w:sz w:val="22"/>
                <w:szCs w:val="22"/>
              </w:rPr>
            </w:pPr>
          </w:p>
          <w:p w:rsidR="00DD6AA4" w:rsidRDefault="00DD6AA4" w:rsidP="009853E8">
            <w:pPr>
              <w:pStyle w:val="MOJaddress"/>
            </w:pPr>
          </w:p>
        </w:tc>
        <w:tc>
          <w:tcPr>
            <w:tcW w:w="3261" w:type="dxa"/>
          </w:tcPr>
          <w:p w:rsidR="00DD6AA4" w:rsidRPr="009C4B46" w:rsidRDefault="00DD6AA4" w:rsidP="001F33F4">
            <w:pPr>
              <w:pStyle w:val="MOJaddress"/>
              <w:ind w:left="284"/>
              <w:rPr>
                <w:color w:val="0000CC"/>
                <w:sz w:val="22"/>
                <w:szCs w:val="22"/>
              </w:rPr>
            </w:pPr>
          </w:p>
          <w:p w:rsidR="00DD6AA4" w:rsidRPr="00222A41" w:rsidRDefault="00003B74" w:rsidP="00003B74">
            <w:pPr>
              <w:pStyle w:val="MOJaddress"/>
              <w:rPr>
                <w:color w:val="000000"/>
              </w:rPr>
            </w:pPr>
            <w:r>
              <w:rPr>
                <w:color w:val="000000"/>
                <w:sz w:val="22"/>
                <w:szCs w:val="22"/>
              </w:rPr>
              <w:t>April</w:t>
            </w:r>
            <w:r w:rsidR="002E738E" w:rsidRPr="00222A41">
              <w:rPr>
                <w:color w:val="000000"/>
                <w:sz w:val="22"/>
                <w:szCs w:val="22"/>
              </w:rPr>
              <w:t xml:space="preserve"> 2017</w:t>
            </w:r>
          </w:p>
        </w:tc>
      </w:tr>
    </w:tbl>
    <w:p w:rsidR="00227891" w:rsidRDefault="00227891" w:rsidP="007A3DF8">
      <w:pPr>
        <w:rPr>
          <w:szCs w:val="22"/>
        </w:rPr>
      </w:pPr>
    </w:p>
    <w:p w:rsidR="009853E8" w:rsidRPr="00222A41" w:rsidRDefault="009853E8" w:rsidP="007A3DF8">
      <w:pPr>
        <w:rPr>
          <w:b/>
          <w:color w:val="000000"/>
          <w:szCs w:val="22"/>
        </w:rPr>
      </w:pPr>
    </w:p>
    <w:p w:rsidR="009853E8" w:rsidRPr="00222A41" w:rsidRDefault="007A3DF8" w:rsidP="009853E8">
      <w:pPr>
        <w:rPr>
          <w:b/>
          <w:color w:val="000000"/>
          <w:szCs w:val="22"/>
        </w:rPr>
      </w:pPr>
      <w:r w:rsidRPr="00222A41">
        <w:rPr>
          <w:b/>
          <w:color w:val="000000"/>
          <w:szCs w:val="22"/>
        </w:rPr>
        <w:t xml:space="preserve">Freedom of Information Act (FOIA) Request – </w:t>
      </w:r>
      <w:r w:rsidR="002E738E" w:rsidRPr="00222A41">
        <w:rPr>
          <w:color w:val="000000"/>
          <w:szCs w:val="22"/>
        </w:rPr>
        <w:t>110</w:t>
      </w:r>
      <w:r w:rsidR="000A6E6E">
        <w:rPr>
          <w:color w:val="000000"/>
          <w:szCs w:val="22"/>
        </w:rPr>
        <w:t>758</w:t>
      </w:r>
    </w:p>
    <w:p w:rsidR="009853E8" w:rsidRPr="00222A41" w:rsidRDefault="009853E8" w:rsidP="009853E8">
      <w:pPr>
        <w:rPr>
          <w:b/>
          <w:color w:val="000000"/>
          <w:szCs w:val="22"/>
        </w:rPr>
      </w:pPr>
    </w:p>
    <w:p w:rsidR="00CC7FD7" w:rsidRDefault="00861C0E" w:rsidP="00F66387">
      <w:pPr>
        <w:spacing w:line="240" w:lineRule="auto"/>
        <w:rPr>
          <w:color w:val="000000"/>
        </w:rPr>
      </w:pPr>
      <w:r>
        <w:rPr>
          <w:color w:val="000000"/>
        </w:rPr>
        <w:t>Y</w:t>
      </w:r>
      <w:r w:rsidR="00062318" w:rsidRPr="00222A41">
        <w:rPr>
          <w:color w:val="000000"/>
        </w:rPr>
        <w:t>ou</w:t>
      </w:r>
      <w:r w:rsidR="00F66387" w:rsidRPr="00222A41">
        <w:rPr>
          <w:color w:val="000000"/>
        </w:rPr>
        <w:t xml:space="preserve"> asked for the following information from the Ministry of Justice (MoJ):</w:t>
      </w:r>
    </w:p>
    <w:p w:rsidR="00CC7FD7" w:rsidRDefault="00CC7FD7" w:rsidP="00F66387">
      <w:pPr>
        <w:spacing w:line="240" w:lineRule="auto"/>
        <w:rPr>
          <w:color w:val="000000"/>
        </w:rPr>
      </w:pPr>
    </w:p>
    <w:p w:rsidR="00F304EF" w:rsidRDefault="00F66387" w:rsidP="00F66387">
      <w:pPr>
        <w:spacing w:line="240" w:lineRule="auto"/>
        <w:rPr>
          <w:b/>
          <w:color w:val="000000"/>
        </w:rPr>
      </w:pPr>
      <w:r w:rsidRPr="00BC1856">
        <w:rPr>
          <w:b/>
          <w:color w:val="000000"/>
        </w:rPr>
        <w:t xml:space="preserve"> </w:t>
      </w:r>
      <w:r w:rsidR="00BC1856" w:rsidRPr="00BC1856">
        <w:rPr>
          <w:b/>
          <w:color w:val="000000"/>
        </w:rPr>
        <w:t>“</w:t>
      </w:r>
      <w:r w:rsidR="00CC7FD7" w:rsidRPr="00CC7FD7">
        <w:rPr>
          <w:b/>
          <w:color w:val="000000"/>
        </w:rPr>
        <w:t>Please could you provide the following information</w:t>
      </w:r>
      <w:r w:rsidR="0037124A">
        <w:rPr>
          <w:b/>
          <w:color w:val="000000"/>
        </w:rPr>
        <w:t>:</w:t>
      </w:r>
    </w:p>
    <w:p w:rsidR="00F304EF" w:rsidRDefault="00F304EF" w:rsidP="00F66387">
      <w:pPr>
        <w:spacing w:line="240" w:lineRule="auto"/>
        <w:rPr>
          <w:color w:val="000000"/>
        </w:rPr>
      </w:pPr>
    </w:p>
    <w:p w:rsidR="00F304EF" w:rsidRPr="00861C0E" w:rsidRDefault="005E1B84" w:rsidP="00F304EF">
      <w:pPr>
        <w:numPr>
          <w:ilvl w:val="0"/>
          <w:numId w:val="5"/>
        </w:numPr>
        <w:spacing w:line="240" w:lineRule="auto"/>
        <w:rPr>
          <w:b/>
          <w:color w:val="000000"/>
        </w:rPr>
      </w:pPr>
      <w:r>
        <w:rPr>
          <w:b/>
          <w:color w:val="000000"/>
        </w:rPr>
        <w:t>T</w:t>
      </w:r>
      <w:r w:rsidR="00F304EF" w:rsidRPr="00F304EF">
        <w:rPr>
          <w:b/>
          <w:color w:val="000000"/>
        </w:rPr>
        <w:t>he number of times that a fine in</w:t>
      </w:r>
      <w:r w:rsidR="00861C0E">
        <w:rPr>
          <w:b/>
          <w:color w:val="000000"/>
        </w:rPr>
        <w:t xml:space="preserve"> excess of £5,000 was issued by</w:t>
      </w:r>
      <w:r w:rsidR="00B16325" w:rsidRPr="00861C0E">
        <w:rPr>
          <w:b/>
          <w:color w:val="000000"/>
        </w:rPr>
        <w:t xml:space="preserve"> </w:t>
      </w:r>
      <w:r w:rsidR="00F304EF" w:rsidRPr="00861C0E">
        <w:rPr>
          <w:b/>
          <w:color w:val="000000"/>
        </w:rPr>
        <w:t xml:space="preserve">magistrates’ courts in England and Wales (a) </w:t>
      </w:r>
      <w:r w:rsidR="00861C0E">
        <w:rPr>
          <w:b/>
          <w:color w:val="000000"/>
        </w:rPr>
        <w:t>in 2014, (b) in 2015 and (c) in</w:t>
      </w:r>
      <w:r w:rsidR="00B16325" w:rsidRPr="00861C0E">
        <w:rPr>
          <w:b/>
          <w:color w:val="000000"/>
        </w:rPr>
        <w:t xml:space="preserve"> </w:t>
      </w:r>
      <w:r w:rsidR="00F304EF" w:rsidRPr="00861C0E">
        <w:rPr>
          <w:b/>
          <w:color w:val="000000"/>
        </w:rPr>
        <w:t>2016.</w:t>
      </w:r>
      <w:r w:rsidR="00861C0E">
        <w:rPr>
          <w:b/>
          <w:color w:val="000000"/>
        </w:rPr>
        <w:t xml:space="preserve"> </w:t>
      </w:r>
      <w:r w:rsidR="00F304EF" w:rsidRPr="00861C0E">
        <w:rPr>
          <w:b/>
          <w:color w:val="000000"/>
        </w:rPr>
        <w:t>If possible please provide data separately for each magistrates’ court (i.e. for each individual magistrates’ court, state how many fines in excess of £5,000 were issued in each of the years stated). If this would cause our request to exceed the cost limit, please provide an overall figure instead (i.e. total number of fines in excess of £5,000 imposed across all magistrates’ courts in each of the years stated).</w:t>
      </w:r>
    </w:p>
    <w:p w:rsidR="00F304EF" w:rsidRPr="00F304EF" w:rsidRDefault="00F304EF" w:rsidP="00F304EF">
      <w:pPr>
        <w:spacing w:line="240" w:lineRule="auto"/>
        <w:rPr>
          <w:b/>
          <w:color w:val="000000"/>
        </w:rPr>
      </w:pPr>
    </w:p>
    <w:p w:rsidR="00F304EF" w:rsidRPr="00861C0E" w:rsidRDefault="00F304EF" w:rsidP="00F304EF">
      <w:pPr>
        <w:numPr>
          <w:ilvl w:val="0"/>
          <w:numId w:val="5"/>
        </w:numPr>
        <w:spacing w:line="240" w:lineRule="auto"/>
        <w:rPr>
          <w:b/>
          <w:color w:val="000000"/>
        </w:rPr>
      </w:pPr>
      <w:r w:rsidRPr="00F304EF">
        <w:rPr>
          <w:b/>
          <w:color w:val="000000"/>
        </w:rPr>
        <w:t>The average (i.e. mean) fine imposed by magistrates</w:t>
      </w:r>
      <w:r>
        <w:rPr>
          <w:b/>
          <w:color w:val="000000"/>
        </w:rPr>
        <w:t>’</w:t>
      </w:r>
      <w:r w:rsidRPr="00F304EF">
        <w:rPr>
          <w:b/>
          <w:color w:val="000000"/>
        </w:rPr>
        <w:t xml:space="preserve"> courts in England and </w:t>
      </w:r>
      <w:r w:rsidRPr="00861C0E">
        <w:rPr>
          <w:b/>
          <w:color w:val="000000"/>
        </w:rPr>
        <w:t>Wales in (a) 2014, (b) 2015 and (c) 2016.</w:t>
      </w:r>
      <w:r w:rsidR="00861C0E">
        <w:rPr>
          <w:b/>
          <w:color w:val="000000"/>
        </w:rPr>
        <w:t xml:space="preserve"> </w:t>
      </w:r>
      <w:r w:rsidR="00B16325" w:rsidRPr="00861C0E">
        <w:rPr>
          <w:b/>
          <w:color w:val="000000"/>
        </w:rPr>
        <w:t>I</w:t>
      </w:r>
      <w:r w:rsidRPr="00861C0E">
        <w:rPr>
          <w:b/>
          <w:color w:val="000000"/>
        </w:rPr>
        <w:t>f possible please provide data separately for each magistrates’ court (i.e. for each individual magistrates’ court, the average fine amount (in pounds) for</w:t>
      </w:r>
      <w:r w:rsidR="00861C0E">
        <w:rPr>
          <w:b/>
          <w:color w:val="000000"/>
        </w:rPr>
        <w:t xml:space="preserve"> </w:t>
      </w:r>
      <w:r w:rsidR="00203C6B" w:rsidRPr="00861C0E">
        <w:rPr>
          <w:b/>
          <w:color w:val="000000"/>
        </w:rPr>
        <w:t>that</w:t>
      </w:r>
      <w:r w:rsidR="00B16325" w:rsidRPr="00861C0E">
        <w:rPr>
          <w:b/>
          <w:color w:val="000000"/>
        </w:rPr>
        <w:t xml:space="preserve"> </w:t>
      </w:r>
      <w:r w:rsidRPr="00861C0E">
        <w:rPr>
          <w:b/>
          <w:color w:val="000000"/>
        </w:rPr>
        <w:t xml:space="preserve">magistrates’ court for each of the years stated). If this would cause our </w:t>
      </w:r>
      <w:r w:rsidR="00DA5658" w:rsidRPr="00861C0E">
        <w:rPr>
          <w:b/>
          <w:color w:val="000000"/>
        </w:rPr>
        <w:t>request</w:t>
      </w:r>
      <w:r w:rsidR="00B16325" w:rsidRPr="00861C0E">
        <w:rPr>
          <w:b/>
          <w:color w:val="000000"/>
        </w:rPr>
        <w:t xml:space="preserve"> </w:t>
      </w:r>
      <w:r w:rsidRPr="00861C0E">
        <w:rPr>
          <w:b/>
          <w:color w:val="000000"/>
        </w:rPr>
        <w:t>to exceed the cost limit, please provide an overall figure instead (i.e.</w:t>
      </w:r>
      <w:r w:rsidR="00861C0E">
        <w:rPr>
          <w:b/>
          <w:color w:val="000000"/>
        </w:rPr>
        <w:t xml:space="preserve"> </w:t>
      </w:r>
      <w:r w:rsidR="00DA5658" w:rsidRPr="00861C0E">
        <w:rPr>
          <w:b/>
          <w:color w:val="000000"/>
        </w:rPr>
        <w:t>the</w:t>
      </w:r>
      <w:r w:rsidR="00B16325" w:rsidRPr="00861C0E">
        <w:rPr>
          <w:b/>
          <w:color w:val="000000"/>
        </w:rPr>
        <w:t xml:space="preserve"> </w:t>
      </w:r>
      <w:r w:rsidRPr="00861C0E">
        <w:rPr>
          <w:b/>
          <w:color w:val="000000"/>
        </w:rPr>
        <w:t>average fine amount across all magistrates’ courts in each of the years stated).</w:t>
      </w:r>
    </w:p>
    <w:p w:rsidR="00F304EF" w:rsidRPr="00F304EF" w:rsidRDefault="00F304EF" w:rsidP="00F304EF">
      <w:pPr>
        <w:spacing w:line="240" w:lineRule="auto"/>
        <w:rPr>
          <w:b/>
          <w:color w:val="000000"/>
        </w:rPr>
      </w:pPr>
    </w:p>
    <w:p w:rsidR="00F304EF" w:rsidRPr="00F304EF" w:rsidRDefault="00F304EF" w:rsidP="00F304EF">
      <w:pPr>
        <w:spacing w:line="240" w:lineRule="auto"/>
        <w:rPr>
          <w:b/>
          <w:color w:val="000000"/>
        </w:rPr>
      </w:pPr>
      <w:r w:rsidRPr="00F304EF">
        <w:rPr>
          <w:b/>
          <w:color w:val="000000"/>
        </w:rPr>
        <w:t>If answering both (1) and (2) would cause our request to exceed the cost limit, please answer (1) only.</w:t>
      </w:r>
      <w:r w:rsidR="00BC1856">
        <w:rPr>
          <w:b/>
          <w:color w:val="000000"/>
        </w:rPr>
        <w:t>”</w:t>
      </w:r>
    </w:p>
    <w:p w:rsidR="00F66387" w:rsidRPr="00222A41" w:rsidRDefault="00F66387" w:rsidP="00F66387">
      <w:pPr>
        <w:spacing w:line="240" w:lineRule="auto"/>
        <w:rPr>
          <w:color w:val="000000"/>
        </w:rPr>
      </w:pPr>
    </w:p>
    <w:p w:rsidR="00F66387" w:rsidRPr="00222A41" w:rsidRDefault="00F66387" w:rsidP="00F66387">
      <w:pPr>
        <w:spacing w:line="240" w:lineRule="auto"/>
        <w:rPr>
          <w:rFonts w:cs="Arial"/>
          <w:color w:val="000000"/>
          <w:szCs w:val="22"/>
        </w:rPr>
      </w:pPr>
    </w:p>
    <w:p w:rsidR="004F41F6" w:rsidRPr="004F41F6" w:rsidRDefault="004F41F6" w:rsidP="004F41F6">
      <w:pPr>
        <w:spacing w:line="240" w:lineRule="auto"/>
        <w:rPr>
          <w:rFonts w:cs="Arial"/>
          <w:szCs w:val="22"/>
        </w:rPr>
      </w:pPr>
      <w:r w:rsidRPr="004F41F6">
        <w:rPr>
          <w:rFonts w:cs="Arial"/>
          <w:szCs w:val="22"/>
        </w:rPr>
        <w:t>I can confirm that the department holds the information that you have asked for</w:t>
      </w:r>
      <w:r w:rsidR="00B01194">
        <w:rPr>
          <w:rFonts w:cs="Arial"/>
          <w:szCs w:val="22"/>
        </w:rPr>
        <w:t xml:space="preserve"> </w:t>
      </w:r>
      <w:r w:rsidRPr="004F41F6">
        <w:rPr>
          <w:rFonts w:cs="Arial"/>
          <w:szCs w:val="22"/>
        </w:rPr>
        <w:t>and can be viewed as below.</w:t>
      </w:r>
    </w:p>
    <w:p w:rsidR="004F41F6" w:rsidRPr="004F41F6" w:rsidRDefault="004F41F6" w:rsidP="004F41F6">
      <w:pPr>
        <w:spacing w:line="240" w:lineRule="auto"/>
        <w:rPr>
          <w:rFonts w:cs="Arial"/>
          <w:szCs w:val="22"/>
        </w:rPr>
      </w:pPr>
    </w:p>
    <w:p w:rsidR="004F41F6" w:rsidRPr="00003FB8" w:rsidRDefault="004E32B4" w:rsidP="00003FB8">
      <w:pPr>
        <w:numPr>
          <w:ilvl w:val="0"/>
          <w:numId w:val="3"/>
        </w:numPr>
        <w:spacing w:line="240" w:lineRule="auto"/>
        <w:rPr>
          <w:rFonts w:cs="Arial"/>
          <w:szCs w:val="22"/>
        </w:rPr>
      </w:pPr>
      <w:r w:rsidRPr="00003FB8">
        <w:rPr>
          <w:rFonts w:cs="Arial"/>
          <w:bCs/>
          <w:szCs w:val="22"/>
        </w:rPr>
        <w:t>Table 1</w:t>
      </w:r>
      <w:r w:rsidR="00C62D6B" w:rsidRPr="00003FB8">
        <w:rPr>
          <w:rFonts w:cs="Arial"/>
          <w:bCs/>
          <w:szCs w:val="22"/>
        </w:rPr>
        <w:t xml:space="preserve"> shows </w:t>
      </w:r>
      <w:r w:rsidR="001E0CCD">
        <w:rPr>
          <w:rFonts w:cs="Arial"/>
          <w:bCs/>
          <w:szCs w:val="22"/>
        </w:rPr>
        <w:t>t</w:t>
      </w:r>
      <w:r w:rsidR="00003FB8" w:rsidRPr="00003FB8">
        <w:rPr>
          <w:rFonts w:cs="Arial"/>
          <w:bCs/>
          <w:szCs w:val="22"/>
        </w:rPr>
        <w:t xml:space="preserve">he number of </w:t>
      </w:r>
      <w:r w:rsidR="00533CDF">
        <w:rPr>
          <w:rFonts w:cs="Arial"/>
          <w:bCs/>
          <w:szCs w:val="22"/>
        </w:rPr>
        <w:t>times</w:t>
      </w:r>
      <w:r w:rsidR="00D7424A">
        <w:rPr>
          <w:rFonts w:cs="Arial"/>
          <w:bCs/>
          <w:szCs w:val="22"/>
        </w:rPr>
        <w:t xml:space="preserve"> that a fine </w:t>
      </w:r>
      <w:r w:rsidR="00003FB8" w:rsidRPr="00003FB8">
        <w:rPr>
          <w:rFonts w:cs="Arial"/>
          <w:bCs/>
          <w:szCs w:val="22"/>
        </w:rPr>
        <w:t xml:space="preserve">in excess of £5000 issued by </w:t>
      </w:r>
      <w:r w:rsidR="007528B0">
        <w:rPr>
          <w:rFonts w:cs="Arial"/>
          <w:bCs/>
          <w:szCs w:val="22"/>
        </w:rPr>
        <w:t xml:space="preserve">each </w:t>
      </w:r>
      <w:r w:rsidR="00EA3B92">
        <w:rPr>
          <w:rFonts w:cs="Arial"/>
          <w:bCs/>
          <w:szCs w:val="22"/>
        </w:rPr>
        <w:t>Local Justice Area</w:t>
      </w:r>
      <w:r w:rsidR="00003FB8" w:rsidRPr="00003FB8">
        <w:rPr>
          <w:rFonts w:cs="Arial"/>
          <w:bCs/>
          <w:szCs w:val="22"/>
        </w:rPr>
        <w:t xml:space="preserve"> in England and Wales, 2014 and 2015</w:t>
      </w:r>
      <w:r w:rsidR="004F41F6" w:rsidRPr="004F41F6">
        <w:rPr>
          <w:rFonts w:cs="Arial"/>
          <w:bCs/>
          <w:szCs w:val="22"/>
        </w:rPr>
        <w:t>.</w:t>
      </w:r>
    </w:p>
    <w:p w:rsidR="00003FB8" w:rsidRPr="004F41F6" w:rsidRDefault="00003FB8" w:rsidP="00003FB8">
      <w:pPr>
        <w:numPr>
          <w:ilvl w:val="0"/>
          <w:numId w:val="3"/>
        </w:numPr>
        <w:spacing w:line="240" w:lineRule="auto"/>
        <w:rPr>
          <w:rFonts w:cs="Arial"/>
          <w:szCs w:val="22"/>
        </w:rPr>
      </w:pPr>
      <w:r>
        <w:rPr>
          <w:rFonts w:cs="Arial"/>
          <w:bCs/>
          <w:szCs w:val="22"/>
        </w:rPr>
        <w:lastRenderedPageBreak/>
        <w:t xml:space="preserve">Table 2 shows </w:t>
      </w:r>
      <w:r w:rsidR="001E0CCD">
        <w:rPr>
          <w:rFonts w:cs="Arial"/>
          <w:bCs/>
          <w:szCs w:val="22"/>
        </w:rPr>
        <w:t>t</w:t>
      </w:r>
      <w:r w:rsidRPr="00003FB8">
        <w:rPr>
          <w:rFonts w:cs="Arial"/>
          <w:bCs/>
          <w:szCs w:val="22"/>
        </w:rPr>
        <w:t xml:space="preserve">he average fine imposed by </w:t>
      </w:r>
      <w:r w:rsidR="007528B0">
        <w:rPr>
          <w:rFonts w:cs="Arial"/>
          <w:bCs/>
          <w:szCs w:val="22"/>
        </w:rPr>
        <w:t xml:space="preserve">each </w:t>
      </w:r>
      <w:r w:rsidR="00EA3B92">
        <w:rPr>
          <w:rFonts w:cs="Arial"/>
          <w:bCs/>
          <w:szCs w:val="22"/>
        </w:rPr>
        <w:t>Local Justice Area</w:t>
      </w:r>
      <w:r w:rsidRPr="00003FB8">
        <w:rPr>
          <w:rFonts w:cs="Arial"/>
          <w:bCs/>
          <w:szCs w:val="22"/>
        </w:rPr>
        <w:t xml:space="preserve"> in England and Wales, 2014 and 2015</w:t>
      </w:r>
      <w:r>
        <w:rPr>
          <w:rFonts w:cs="Arial"/>
          <w:bCs/>
          <w:szCs w:val="22"/>
        </w:rPr>
        <w:t>.</w:t>
      </w:r>
    </w:p>
    <w:p w:rsidR="004F41F6" w:rsidRPr="004F41F6" w:rsidRDefault="004F41F6" w:rsidP="004F41F6">
      <w:pPr>
        <w:spacing w:line="240" w:lineRule="auto"/>
        <w:rPr>
          <w:rFonts w:cs="Arial"/>
          <w:szCs w:val="22"/>
        </w:rPr>
      </w:pPr>
      <w:r w:rsidRPr="004F41F6">
        <w:rPr>
          <w:rFonts w:cs="Arial"/>
          <w:szCs w:val="22"/>
        </w:rPr>
        <w:t xml:space="preserve"> </w:t>
      </w:r>
    </w:p>
    <w:p w:rsidR="00B14031" w:rsidRDefault="00B14031" w:rsidP="00B14031">
      <w:pPr>
        <w:rPr>
          <w:rFonts w:ascii="Calibri" w:hAnsi="Calibri"/>
          <w:color w:val="000000"/>
          <w:szCs w:val="22"/>
        </w:rPr>
      </w:pPr>
      <w:r>
        <w:rPr>
          <w:color w:val="000000"/>
        </w:rPr>
        <w:t>Previously the maximum fine a Magistrates Court could issue was £5,000 unless in the case of some offences where an exceptional summary maximum was specified in law, such as where environmental or health and safety laws were broken.</w:t>
      </w:r>
    </w:p>
    <w:p w:rsidR="00B14031" w:rsidRDefault="00B14031" w:rsidP="00B14031">
      <w:pPr>
        <w:rPr>
          <w:color w:val="000000"/>
        </w:rPr>
      </w:pPr>
    </w:p>
    <w:p w:rsidR="00B14031" w:rsidRPr="000F5D31" w:rsidRDefault="00B14031" w:rsidP="000F5D31">
      <w:pPr>
        <w:rPr>
          <w:color w:val="000000"/>
        </w:rPr>
      </w:pPr>
      <w:r>
        <w:rPr>
          <w:color w:val="000000"/>
        </w:rPr>
        <w:t>On 12 March 2015 the upper limit on all current fines and maximum fines of £5,000 and above was removed. Now there is no top limit to the fine that Magistrates Courts can impose on offenders who have committed the more serious offences which come before them.</w:t>
      </w:r>
    </w:p>
    <w:p w:rsidR="00B14031" w:rsidRPr="004F41F6" w:rsidRDefault="00B14031" w:rsidP="004F41F6">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spacing w:line="240" w:lineRule="auto"/>
        <w:rPr>
          <w:rFonts w:cs="Arial"/>
          <w:color w:val="FF0000"/>
          <w:szCs w:val="22"/>
        </w:rPr>
      </w:pPr>
    </w:p>
    <w:p w:rsidR="00C53969" w:rsidRPr="00BC1856" w:rsidRDefault="00C53969" w:rsidP="00C53969">
      <w:pPr>
        <w:autoSpaceDE w:val="0"/>
        <w:autoSpaceDN w:val="0"/>
        <w:adjustRightInd w:val="0"/>
        <w:spacing w:line="240" w:lineRule="auto"/>
        <w:rPr>
          <w:rFonts w:cs="Arial"/>
          <w:bCs/>
          <w:iCs/>
          <w:szCs w:val="22"/>
        </w:rPr>
      </w:pPr>
      <w:r w:rsidRPr="00C53969">
        <w:rPr>
          <w:rFonts w:cs="Arial"/>
          <w:szCs w:val="22"/>
        </w:rPr>
        <w:t>Please be aware we have presented local justice areas rather than individual courts as t</w:t>
      </w:r>
      <w:r w:rsidRPr="00C53969">
        <w:rPr>
          <w:rFonts w:cs="Arial"/>
          <w:iCs/>
          <w:szCs w:val="22"/>
        </w:rPr>
        <w:t xml:space="preserve">he codes within the </w:t>
      </w:r>
      <w:r w:rsidR="00BC1856">
        <w:rPr>
          <w:rFonts w:cs="Arial"/>
          <w:iCs/>
          <w:szCs w:val="22"/>
        </w:rPr>
        <w:t>MoJ</w:t>
      </w:r>
      <w:r w:rsidRPr="00C53969">
        <w:rPr>
          <w:rFonts w:cs="Arial"/>
          <w:iCs/>
          <w:szCs w:val="22"/>
        </w:rPr>
        <w:t xml:space="preserve"> Court Proceedings Database </w:t>
      </w:r>
      <w:r w:rsidR="00C176FF">
        <w:rPr>
          <w:rFonts w:cs="Arial"/>
          <w:iCs/>
          <w:szCs w:val="22"/>
        </w:rPr>
        <w:t>can only be used to identify local justice areas rather than individual courts</w:t>
      </w:r>
      <w:r w:rsidRPr="00C53969">
        <w:rPr>
          <w:rFonts w:cs="Arial"/>
          <w:iCs/>
          <w:szCs w:val="22"/>
        </w:rPr>
        <w:t xml:space="preserve">. The list of values also includes quasi- and non-court bodies whose decisions are recorded in the same or similar manner as a court case outcome. Note that this code structure is concerned with judicial structure; </w:t>
      </w:r>
      <w:r w:rsidRPr="00BC1856">
        <w:rPr>
          <w:rFonts w:cs="Arial"/>
          <w:bCs/>
          <w:iCs/>
          <w:szCs w:val="22"/>
        </w:rPr>
        <w:t xml:space="preserve">it does </w:t>
      </w:r>
      <w:r w:rsidRPr="00BC1856">
        <w:rPr>
          <w:rFonts w:cs="Arial"/>
          <w:bCs/>
          <w:iCs/>
          <w:szCs w:val="22"/>
          <w:u w:val="single"/>
        </w:rPr>
        <w:t>not</w:t>
      </w:r>
      <w:r w:rsidRPr="00BC1856">
        <w:rPr>
          <w:rFonts w:cs="Arial"/>
          <w:bCs/>
          <w:iCs/>
          <w:szCs w:val="22"/>
        </w:rPr>
        <w:t xml:space="preserve"> refer to a physical location such as a court building and can include one or more magistrates’ courts.  </w:t>
      </w:r>
    </w:p>
    <w:p w:rsidR="00C53969" w:rsidRPr="00C53969" w:rsidRDefault="00C53969" w:rsidP="00C53969">
      <w:pPr>
        <w:autoSpaceDE w:val="0"/>
        <w:autoSpaceDN w:val="0"/>
        <w:adjustRightInd w:val="0"/>
        <w:spacing w:line="240" w:lineRule="auto"/>
        <w:rPr>
          <w:rFonts w:cs="Arial"/>
          <w:iCs/>
          <w:szCs w:val="22"/>
        </w:rPr>
      </w:pPr>
    </w:p>
    <w:p w:rsidR="00C53969" w:rsidRPr="00C53969" w:rsidRDefault="00C53969" w:rsidP="00C53969">
      <w:pPr>
        <w:autoSpaceDE w:val="0"/>
        <w:autoSpaceDN w:val="0"/>
        <w:adjustRightInd w:val="0"/>
        <w:spacing w:line="240" w:lineRule="auto"/>
        <w:rPr>
          <w:rFonts w:cs="Arial"/>
          <w:iCs/>
          <w:szCs w:val="22"/>
        </w:rPr>
      </w:pPr>
      <w:r w:rsidRPr="00C53969">
        <w:rPr>
          <w:rFonts w:cs="Arial"/>
          <w:iCs/>
          <w:szCs w:val="22"/>
        </w:rPr>
        <w:t xml:space="preserve">An example of a National Court Code, in order to explain this issue, is: </w:t>
      </w:r>
    </w:p>
    <w:p w:rsidR="00C53969" w:rsidRPr="00C53969" w:rsidRDefault="00C53969" w:rsidP="00C53969">
      <w:pPr>
        <w:autoSpaceDE w:val="0"/>
        <w:autoSpaceDN w:val="0"/>
        <w:adjustRightInd w:val="0"/>
        <w:spacing w:line="240" w:lineRule="auto"/>
        <w:rPr>
          <w:rFonts w:cs="Arial"/>
          <w:b/>
          <w:bCs/>
          <w:iCs/>
          <w:szCs w:val="22"/>
        </w:rPr>
      </w:pPr>
    </w:p>
    <w:p w:rsidR="00C53969" w:rsidRPr="00C53969" w:rsidRDefault="00C53969" w:rsidP="00C53969">
      <w:pPr>
        <w:autoSpaceDE w:val="0"/>
        <w:autoSpaceDN w:val="0"/>
        <w:adjustRightInd w:val="0"/>
        <w:spacing w:line="240" w:lineRule="auto"/>
        <w:rPr>
          <w:rFonts w:cs="Arial"/>
          <w:iCs/>
          <w:szCs w:val="22"/>
        </w:rPr>
      </w:pPr>
      <w:r w:rsidRPr="00C53969">
        <w:rPr>
          <w:rFonts w:cs="Arial"/>
          <w:szCs w:val="22"/>
        </w:rPr>
        <w:t xml:space="preserve">         </w:t>
      </w:r>
      <w:r w:rsidRPr="00C53969">
        <w:rPr>
          <w:rFonts w:cs="Arial"/>
          <w:b/>
          <w:bCs/>
          <w:iCs/>
          <w:szCs w:val="22"/>
        </w:rPr>
        <w:t xml:space="preserve">1972 Norfolk Magistrates Court </w:t>
      </w:r>
      <w:r w:rsidRPr="00C53969">
        <w:rPr>
          <w:rFonts w:cs="Arial"/>
          <w:iCs/>
          <w:szCs w:val="22"/>
        </w:rPr>
        <w:t xml:space="preserve">(refers to the Local Justice Area (LJA) of Norfolk. Magistrates from this bench may habitually sit in any one of a number of physical court houses (e.g. Norwich, Kings Lynn, Great Yarmouth)).’ </w:t>
      </w:r>
    </w:p>
    <w:p w:rsidR="008E0A98" w:rsidRDefault="008E0A98" w:rsidP="004E32B4">
      <w:pPr>
        <w:autoSpaceDE w:val="0"/>
        <w:autoSpaceDN w:val="0"/>
        <w:adjustRightInd w:val="0"/>
        <w:spacing w:line="240" w:lineRule="auto"/>
        <w:rPr>
          <w:rFonts w:cs="Arial"/>
          <w:szCs w:val="22"/>
        </w:rPr>
      </w:pPr>
    </w:p>
    <w:p w:rsidR="008E0A98" w:rsidRPr="008E0A98" w:rsidRDefault="008E0A98" w:rsidP="008E0A98">
      <w:pPr>
        <w:autoSpaceDE w:val="0"/>
        <w:autoSpaceDN w:val="0"/>
        <w:adjustRightInd w:val="0"/>
        <w:spacing w:line="240" w:lineRule="auto"/>
        <w:rPr>
          <w:rFonts w:cs="Arial"/>
          <w:szCs w:val="22"/>
        </w:rPr>
      </w:pPr>
      <w:r>
        <w:rPr>
          <w:rFonts w:cs="Arial"/>
          <w:szCs w:val="22"/>
        </w:rPr>
        <w:t xml:space="preserve">Also, </w:t>
      </w:r>
      <w:r w:rsidRPr="008E0A98">
        <w:rPr>
          <w:rFonts w:cs="Arial"/>
          <w:szCs w:val="22"/>
        </w:rPr>
        <w:t xml:space="preserve">I would advise caution with some of the </w:t>
      </w:r>
      <w:r>
        <w:rPr>
          <w:rFonts w:cs="Arial"/>
          <w:szCs w:val="22"/>
        </w:rPr>
        <w:t>individual courts’ average fine figures</w:t>
      </w:r>
      <w:r w:rsidRPr="008E0A98">
        <w:rPr>
          <w:rFonts w:cs="Arial"/>
          <w:szCs w:val="22"/>
        </w:rPr>
        <w:t>, as, where fewer than five examples are available, this is not a meaningful average from a statistical point of view.</w:t>
      </w:r>
    </w:p>
    <w:p w:rsidR="00EA3B92" w:rsidRDefault="00EA3B92" w:rsidP="004E32B4">
      <w:pPr>
        <w:autoSpaceDE w:val="0"/>
        <w:autoSpaceDN w:val="0"/>
        <w:adjustRightInd w:val="0"/>
        <w:spacing w:line="240" w:lineRule="auto"/>
        <w:rPr>
          <w:rFonts w:cs="Arial"/>
          <w:szCs w:val="22"/>
        </w:rPr>
      </w:pPr>
    </w:p>
    <w:p w:rsidR="004E32B4" w:rsidRPr="004E32B4" w:rsidRDefault="004E32B4" w:rsidP="004E32B4">
      <w:pPr>
        <w:autoSpaceDE w:val="0"/>
        <w:autoSpaceDN w:val="0"/>
        <w:adjustRightInd w:val="0"/>
        <w:spacing w:line="240" w:lineRule="auto"/>
        <w:rPr>
          <w:rFonts w:cs="Arial"/>
          <w:szCs w:val="22"/>
        </w:rPr>
      </w:pPr>
      <w:r w:rsidRPr="004E32B4">
        <w:rPr>
          <w:rFonts w:cs="Arial"/>
          <w:szCs w:val="22"/>
        </w:rPr>
        <w:t xml:space="preserve">Some of the information, which covers 2016, is exempt from disclosure under section 44(1)(a) of the FOIA, which refers to prohibitions on disclosure ‘by or under any enactment’ of the FOIA.  In this case, the information you are seeking is prohibited by the Statistics and Registration Services (SRS) Act 2007 and the Pre-release Access to Official Statistics Order 2008. </w:t>
      </w:r>
    </w:p>
    <w:p w:rsidR="004E32B4" w:rsidRPr="004E32B4" w:rsidRDefault="004E32B4" w:rsidP="004E32B4">
      <w:pPr>
        <w:autoSpaceDE w:val="0"/>
        <w:autoSpaceDN w:val="0"/>
        <w:adjustRightInd w:val="0"/>
        <w:spacing w:line="240" w:lineRule="auto"/>
        <w:rPr>
          <w:rFonts w:cs="Arial"/>
          <w:szCs w:val="22"/>
        </w:rPr>
      </w:pPr>
    </w:p>
    <w:p w:rsidR="004E32B4" w:rsidRPr="004E32B4" w:rsidRDefault="004E32B4" w:rsidP="004E32B4">
      <w:pPr>
        <w:autoSpaceDE w:val="0"/>
        <w:autoSpaceDN w:val="0"/>
        <w:adjustRightInd w:val="0"/>
        <w:spacing w:line="240" w:lineRule="auto"/>
        <w:rPr>
          <w:rFonts w:cs="Arial"/>
          <w:szCs w:val="22"/>
        </w:rPr>
      </w:pPr>
      <w:r w:rsidRPr="004E32B4">
        <w:rPr>
          <w:rFonts w:cs="Arial"/>
          <w:szCs w:val="22"/>
        </w:rPr>
        <w:t xml:space="preserve">The information you have requested is a subset of the Criminal Justice Statistics data held in its final form which we routinely publish. It is intended for publication in May 2017. As such we are required to consider your request in a manner compliant with the Pre-release Access to Official Statistics Order 2008 further to sections 11 and 13 of the (SRS Act 2007. </w:t>
      </w:r>
    </w:p>
    <w:p w:rsidR="004E32B4" w:rsidRPr="004E32B4" w:rsidRDefault="004E32B4" w:rsidP="004E32B4">
      <w:pPr>
        <w:autoSpaceDE w:val="0"/>
        <w:autoSpaceDN w:val="0"/>
        <w:adjustRightInd w:val="0"/>
        <w:spacing w:line="240" w:lineRule="auto"/>
        <w:rPr>
          <w:rFonts w:cs="Arial"/>
          <w:szCs w:val="22"/>
        </w:rPr>
      </w:pPr>
    </w:p>
    <w:p w:rsidR="004E32B4" w:rsidRPr="004E32B4" w:rsidRDefault="004E32B4" w:rsidP="004E32B4">
      <w:pPr>
        <w:autoSpaceDE w:val="0"/>
        <w:autoSpaceDN w:val="0"/>
        <w:adjustRightInd w:val="0"/>
        <w:spacing w:line="240" w:lineRule="auto"/>
        <w:rPr>
          <w:rFonts w:cs="Arial"/>
          <w:szCs w:val="22"/>
        </w:rPr>
      </w:pPr>
      <w:r w:rsidRPr="004E32B4">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EA3B92">
        <w:rPr>
          <w:rFonts w:cs="Arial"/>
          <w:szCs w:val="22"/>
        </w:rPr>
        <w:t>sentencing, including those sentenced ot a fine</w:t>
      </w:r>
      <w:r w:rsidRPr="004E32B4">
        <w:rPr>
          <w:rFonts w:cs="Arial"/>
          <w:szCs w:val="22"/>
        </w:rPr>
        <w:t>,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4E32B4" w:rsidRPr="004E32B4" w:rsidRDefault="004E32B4" w:rsidP="004E32B4">
      <w:pPr>
        <w:autoSpaceDE w:val="0"/>
        <w:autoSpaceDN w:val="0"/>
        <w:adjustRightInd w:val="0"/>
        <w:spacing w:line="240" w:lineRule="auto"/>
        <w:rPr>
          <w:rFonts w:cs="Arial"/>
          <w:szCs w:val="22"/>
        </w:rPr>
      </w:pPr>
    </w:p>
    <w:p w:rsidR="004E32B4" w:rsidRPr="004E32B4" w:rsidRDefault="004E32B4" w:rsidP="004E32B4">
      <w:pPr>
        <w:autoSpaceDE w:val="0"/>
        <w:autoSpaceDN w:val="0"/>
        <w:adjustRightInd w:val="0"/>
        <w:spacing w:line="240" w:lineRule="auto"/>
        <w:rPr>
          <w:rFonts w:cs="Arial"/>
          <w:szCs w:val="22"/>
        </w:rPr>
      </w:pPr>
      <w:r w:rsidRPr="004E32B4">
        <w:rPr>
          <w:rFonts w:cs="Arial"/>
          <w:szCs w:val="22"/>
        </w:rPr>
        <w:t>Please also be aware that Section 44 is an absolute exemption and does not require a public interest test.</w:t>
      </w:r>
    </w:p>
    <w:p w:rsidR="004E32B4" w:rsidRPr="004E32B4" w:rsidRDefault="004E32B4" w:rsidP="004E32B4">
      <w:pPr>
        <w:autoSpaceDE w:val="0"/>
        <w:autoSpaceDN w:val="0"/>
        <w:adjustRightInd w:val="0"/>
        <w:spacing w:line="240" w:lineRule="auto"/>
        <w:rPr>
          <w:rFonts w:cs="Arial"/>
          <w:szCs w:val="22"/>
        </w:rPr>
      </w:pPr>
    </w:p>
    <w:p w:rsidR="004E32B4" w:rsidRPr="004E32B4" w:rsidRDefault="004E32B4" w:rsidP="004E32B4">
      <w:pPr>
        <w:autoSpaceDE w:val="0"/>
        <w:autoSpaceDN w:val="0"/>
        <w:adjustRightInd w:val="0"/>
        <w:spacing w:line="240" w:lineRule="auto"/>
        <w:rPr>
          <w:rFonts w:cs="Arial"/>
          <w:szCs w:val="22"/>
        </w:rPr>
      </w:pPr>
      <w:r w:rsidRPr="004E32B4">
        <w:rPr>
          <w:rFonts w:cs="Arial"/>
          <w:szCs w:val="22"/>
        </w:rPr>
        <w:t>The information for 2016 is also exempt from disclosure under section 22(1) of the FOIA, because it is intended for future publication. Please note that whilst quarterly court proceedings and convictions headline data are published and are currently available up to end September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Quarters 1 to 3 (January to September) data are not available until the annual criminal statistics publication is published in May 2017.</w:t>
      </w:r>
    </w:p>
    <w:p w:rsidR="004E32B4" w:rsidRPr="004E32B4" w:rsidRDefault="004E32B4" w:rsidP="004E32B4">
      <w:pPr>
        <w:autoSpaceDE w:val="0"/>
        <w:autoSpaceDN w:val="0"/>
        <w:adjustRightInd w:val="0"/>
        <w:spacing w:line="240" w:lineRule="auto"/>
        <w:rPr>
          <w:rFonts w:cs="Arial"/>
          <w:szCs w:val="22"/>
        </w:rPr>
      </w:pPr>
    </w:p>
    <w:p w:rsidR="004E32B4" w:rsidRPr="004E32B4" w:rsidRDefault="004E32B4" w:rsidP="004E32B4">
      <w:pPr>
        <w:autoSpaceDE w:val="0"/>
        <w:autoSpaceDN w:val="0"/>
        <w:adjustRightInd w:val="0"/>
        <w:spacing w:line="240" w:lineRule="auto"/>
        <w:rPr>
          <w:rFonts w:cs="Arial"/>
          <w:szCs w:val="22"/>
        </w:rPr>
      </w:pPr>
      <w:r w:rsidRPr="004E32B4">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4E32B4" w:rsidRPr="004E32B4" w:rsidRDefault="004E32B4" w:rsidP="004E32B4">
      <w:pPr>
        <w:autoSpaceDE w:val="0"/>
        <w:autoSpaceDN w:val="0"/>
        <w:adjustRightInd w:val="0"/>
        <w:spacing w:line="240" w:lineRule="auto"/>
        <w:rPr>
          <w:rFonts w:cs="Arial"/>
          <w:szCs w:val="22"/>
        </w:rPr>
      </w:pPr>
    </w:p>
    <w:p w:rsidR="004E32B4" w:rsidRPr="00BC1856" w:rsidRDefault="004E32B4" w:rsidP="004E32B4">
      <w:pPr>
        <w:autoSpaceDE w:val="0"/>
        <w:autoSpaceDN w:val="0"/>
        <w:adjustRightInd w:val="0"/>
        <w:spacing w:line="240" w:lineRule="auto"/>
        <w:rPr>
          <w:rFonts w:cs="Arial"/>
          <w:b/>
          <w:szCs w:val="22"/>
        </w:rPr>
      </w:pPr>
      <w:r w:rsidRPr="00BC1856">
        <w:rPr>
          <w:rFonts w:cs="Arial"/>
          <w:b/>
          <w:szCs w:val="22"/>
        </w:rPr>
        <w:t>Public interest considerations favouring disclosure</w:t>
      </w:r>
    </w:p>
    <w:p w:rsidR="004E32B4" w:rsidRPr="004E32B4" w:rsidRDefault="004E32B4" w:rsidP="004E32B4">
      <w:pPr>
        <w:autoSpaceDE w:val="0"/>
        <w:autoSpaceDN w:val="0"/>
        <w:adjustRightInd w:val="0"/>
        <w:spacing w:line="240" w:lineRule="auto"/>
        <w:rPr>
          <w:rFonts w:cs="Arial"/>
          <w:szCs w:val="22"/>
        </w:rPr>
      </w:pPr>
    </w:p>
    <w:p w:rsidR="004E32B4" w:rsidRPr="004E32B4" w:rsidRDefault="004E32B4" w:rsidP="00BC1856">
      <w:pPr>
        <w:numPr>
          <w:ilvl w:val="0"/>
          <w:numId w:val="4"/>
        </w:numPr>
        <w:autoSpaceDE w:val="0"/>
        <w:autoSpaceDN w:val="0"/>
        <w:adjustRightInd w:val="0"/>
        <w:spacing w:line="240" w:lineRule="auto"/>
        <w:rPr>
          <w:rFonts w:cs="Arial"/>
          <w:szCs w:val="22"/>
        </w:rPr>
      </w:pPr>
      <w:r w:rsidRPr="004E32B4">
        <w:rPr>
          <w:rFonts w:cs="Arial"/>
          <w:szCs w:val="22"/>
        </w:rPr>
        <w:t>Disclosure would improve transparency in the operations of Government, and of the justice system in particular.</w:t>
      </w:r>
    </w:p>
    <w:p w:rsidR="004E32B4" w:rsidRPr="004E32B4" w:rsidRDefault="004E32B4" w:rsidP="004E32B4">
      <w:pPr>
        <w:autoSpaceDE w:val="0"/>
        <w:autoSpaceDN w:val="0"/>
        <w:adjustRightInd w:val="0"/>
        <w:spacing w:line="240" w:lineRule="auto"/>
        <w:rPr>
          <w:rFonts w:cs="Arial"/>
          <w:szCs w:val="22"/>
        </w:rPr>
      </w:pPr>
    </w:p>
    <w:p w:rsidR="004E32B4" w:rsidRPr="00BC1856" w:rsidRDefault="004E32B4" w:rsidP="004E32B4">
      <w:pPr>
        <w:autoSpaceDE w:val="0"/>
        <w:autoSpaceDN w:val="0"/>
        <w:adjustRightInd w:val="0"/>
        <w:spacing w:line="240" w:lineRule="auto"/>
        <w:rPr>
          <w:rFonts w:cs="Arial"/>
          <w:b/>
          <w:szCs w:val="22"/>
        </w:rPr>
      </w:pPr>
      <w:r w:rsidRPr="00BC1856">
        <w:rPr>
          <w:rFonts w:cs="Arial"/>
          <w:b/>
          <w:szCs w:val="22"/>
        </w:rPr>
        <w:t>Public interest considerations favouring withholding the information</w:t>
      </w:r>
    </w:p>
    <w:p w:rsidR="004E32B4" w:rsidRPr="00BC1856" w:rsidRDefault="004E32B4" w:rsidP="004E32B4">
      <w:pPr>
        <w:autoSpaceDE w:val="0"/>
        <w:autoSpaceDN w:val="0"/>
        <w:adjustRightInd w:val="0"/>
        <w:spacing w:line="240" w:lineRule="auto"/>
        <w:rPr>
          <w:rFonts w:cs="Arial"/>
          <w:b/>
          <w:szCs w:val="22"/>
        </w:rPr>
      </w:pPr>
    </w:p>
    <w:p w:rsidR="004E32B4" w:rsidRPr="004E32B4" w:rsidRDefault="004E32B4" w:rsidP="00BC1856">
      <w:pPr>
        <w:numPr>
          <w:ilvl w:val="0"/>
          <w:numId w:val="4"/>
        </w:numPr>
        <w:autoSpaceDE w:val="0"/>
        <w:autoSpaceDN w:val="0"/>
        <w:adjustRightInd w:val="0"/>
        <w:spacing w:line="240" w:lineRule="auto"/>
        <w:rPr>
          <w:rFonts w:cs="Arial"/>
          <w:szCs w:val="22"/>
        </w:rPr>
      </w:pPr>
      <w:r w:rsidRPr="004E32B4">
        <w:rPr>
          <w:rFonts w:cs="Arial"/>
          <w:szCs w:val="22"/>
        </w:rPr>
        <w:t>It is in the public interest to adhere to the existing publication process for official statistics, which includes time for the data to be collated and properly verified.</w:t>
      </w:r>
    </w:p>
    <w:p w:rsidR="004E32B4" w:rsidRPr="004E32B4" w:rsidRDefault="004E32B4" w:rsidP="004E32B4">
      <w:pPr>
        <w:autoSpaceDE w:val="0"/>
        <w:autoSpaceDN w:val="0"/>
        <w:adjustRightInd w:val="0"/>
        <w:spacing w:line="240" w:lineRule="auto"/>
        <w:rPr>
          <w:rFonts w:cs="Arial"/>
          <w:szCs w:val="22"/>
        </w:rPr>
      </w:pPr>
    </w:p>
    <w:p w:rsidR="004E32B4" w:rsidRPr="004E32B4" w:rsidRDefault="004E32B4" w:rsidP="00BC1856">
      <w:pPr>
        <w:numPr>
          <w:ilvl w:val="0"/>
          <w:numId w:val="4"/>
        </w:numPr>
        <w:autoSpaceDE w:val="0"/>
        <w:autoSpaceDN w:val="0"/>
        <w:adjustRightInd w:val="0"/>
        <w:spacing w:line="240" w:lineRule="auto"/>
        <w:rPr>
          <w:rFonts w:cs="Arial"/>
          <w:szCs w:val="22"/>
        </w:rPr>
      </w:pPr>
      <w:r w:rsidRPr="004E32B4">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4E32B4" w:rsidRPr="004E32B4" w:rsidRDefault="004E32B4" w:rsidP="004E32B4">
      <w:pPr>
        <w:autoSpaceDE w:val="0"/>
        <w:autoSpaceDN w:val="0"/>
        <w:adjustRightInd w:val="0"/>
        <w:spacing w:line="240" w:lineRule="auto"/>
        <w:rPr>
          <w:rFonts w:cs="Arial"/>
          <w:szCs w:val="22"/>
        </w:rPr>
      </w:pPr>
    </w:p>
    <w:p w:rsidR="004F41F6" w:rsidRDefault="004E32B4" w:rsidP="004E32B4">
      <w:pPr>
        <w:autoSpaceDE w:val="0"/>
        <w:autoSpaceDN w:val="0"/>
        <w:adjustRightInd w:val="0"/>
        <w:spacing w:line="240" w:lineRule="auto"/>
        <w:rPr>
          <w:rFonts w:cs="Arial"/>
          <w:szCs w:val="22"/>
        </w:rPr>
      </w:pPr>
      <w:r w:rsidRPr="004E32B4">
        <w:rPr>
          <w:rFonts w:cs="Arial"/>
          <w:szCs w:val="22"/>
        </w:rPr>
        <w:t>We reached the view that, on balance, the public interest is better served by withholding this information under section 22 of the FOIA at this time.</w:t>
      </w:r>
    </w:p>
    <w:p w:rsidR="004E32B4" w:rsidRDefault="004E32B4" w:rsidP="004E32B4">
      <w:pPr>
        <w:autoSpaceDE w:val="0"/>
        <w:autoSpaceDN w:val="0"/>
        <w:adjustRightInd w:val="0"/>
        <w:spacing w:line="240" w:lineRule="auto"/>
        <w:rPr>
          <w:rFonts w:cs="Arial"/>
          <w:szCs w:val="22"/>
        </w:rPr>
      </w:pPr>
      <w:bookmarkStart w:id="0" w:name="_GoBack"/>
      <w:bookmarkEnd w:id="0"/>
    </w:p>
    <w:sectPr w:rsidR="004E32B4"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9A" w:rsidRDefault="0057309A">
      <w:r>
        <w:separator/>
      </w:r>
    </w:p>
  </w:endnote>
  <w:endnote w:type="continuationSeparator" w:id="0">
    <w:p w:rsidR="0057309A" w:rsidRDefault="0057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B2" w:rsidRDefault="00E448B2"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61C0E">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9A" w:rsidRDefault="0057309A">
      <w:r>
        <w:separator/>
      </w:r>
    </w:p>
  </w:footnote>
  <w:footnote w:type="continuationSeparator" w:id="0">
    <w:p w:rsidR="0057309A" w:rsidRDefault="00573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432"/>
    <w:multiLevelType w:val="hybridMultilevel"/>
    <w:tmpl w:val="1144B79A"/>
    <w:lvl w:ilvl="0" w:tplc="A9966F8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F25F69"/>
    <w:multiLevelType w:val="hybridMultilevel"/>
    <w:tmpl w:val="DA42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03B74"/>
    <w:rsid w:val="00003FB8"/>
    <w:rsid w:val="0001106C"/>
    <w:rsid w:val="00017054"/>
    <w:rsid w:val="000222E7"/>
    <w:rsid w:val="000222F6"/>
    <w:rsid w:val="00026D9A"/>
    <w:rsid w:val="00032200"/>
    <w:rsid w:val="00037330"/>
    <w:rsid w:val="00062318"/>
    <w:rsid w:val="0007380F"/>
    <w:rsid w:val="0008457A"/>
    <w:rsid w:val="0009138F"/>
    <w:rsid w:val="00092D99"/>
    <w:rsid w:val="0009754B"/>
    <w:rsid w:val="000A3195"/>
    <w:rsid w:val="000A6E6E"/>
    <w:rsid w:val="000F5D31"/>
    <w:rsid w:val="00106DEE"/>
    <w:rsid w:val="00134A2E"/>
    <w:rsid w:val="00146154"/>
    <w:rsid w:val="001514B7"/>
    <w:rsid w:val="00152F0C"/>
    <w:rsid w:val="00153E76"/>
    <w:rsid w:val="00154D2E"/>
    <w:rsid w:val="0017541D"/>
    <w:rsid w:val="001A3A7E"/>
    <w:rsid w:val="001A47E5"/>
    <w:rsid w:val="001A4EE1"/>
    <w:rsid w:val="001B6B82"/>
    <w:rsid w:val="001B6FB2"/>
    <w:rsid w:val="001C54E1"/>
    <w:rsid w:val="001C779E"/>
    <w:rsid w:val="001E0568"/>
    <w:rsid w:val="001E0CCD"/>
    <w:rsid w:val="001E1665"/>
    <w:rsid w:val="001F33F4"/>
    <w:rsid w:val="0020063B"/>
    <w:rsid w:val="00203C6B"/>
    <w:rsid w:val="00222A41"/>
    <w:rsid w:val="00227891"/>
    <w:rsid w:val="00255FC6"/>
    <w:rsid w:val="00273E23"/>
    <w:rsid w:val="00285A9C"/>
    <w:rsid w:val="00296302"/>
    <w:rsid w:val="002B0ECE"/>
    <w:rsid w:val="002C2A6C"/>
    <w:rsid w:val="002C5025"/>
    <w:rsid w:val="002D5314"/>
    <w:rsid w:val="002E39E4"/>
    <w:rsid w:val="002E738E"/>
    <w:rsid w:val="002F24C7"/>
    <w:rsid w:val="002F2893"/>
    <w:rsid w:val="002F50F6"/>
    <w:rsid w:val="002F6553"/>
    <w:rsid w:val="003011BD"/>
    <w:rsid w:val="00303661"/>
    <w:rsid w:val="0030433E"/>
    <w:rsid w:val="003117A2"/>
    <w:rsid w:val="0031213B"/>
    <w:rsid w:val="00323067"/>
    <w:rsid w:val="003277AF"/>
    <w:rsid w:val="003366B3"/>
    <w:rsid w:val="00354C9E"/>
    <w:rsid w:val="0037124A"/>
    <w:rsid w:val="00375DDC"/>
    <w:rsid w:val="00376A97"/>
    <w:rsid w:val="00377D6F"/>
    <w:rsid w:val="0038642F"/>
    <w:rsid w:val="003A633E"/>
    <w:rsid w:val="003A75DE"/>
    <w:rsid w:val="003B13CA"/>
    <w:rsid w:val="003C7F6C"/>
    <w:rsid w:val="003E2480"/>
    <w:rsid w:val="003E3E27"/>
    <w:rsid w:val="003F13BF"/>
    <w:rsid w:val="00401CAB"/>
    <w:rsid w:val="004269FC"/>
    <w:rsid w:val="00435D53"/>
    <w:rsid w:val="00444869"/>
    <w:rsid w:val="00445AB5"/>
    <w:rsid w:val="00453104"/>
    <w:rsid w:val="00457840"/>
    <w:rsid w:val="00471E48"/>
    <w:rsid w:val="0048558F"/>
    <w:rsid w:val="00496E7B"/>
    <w:rsid w:val="004B5E84"/>
    <w:rsid w:val="004D58C1"/>
    <w:rsid w:val="004E03C7"/>
    <w:rsid w:val="004E32B4"/>
    <w:rsid w:val="004E5205"/>
    <w:rsid w:val="004E5CF9"/>
    <w:rsid w:val="004F3A38"/>
    <w:rsid w:val="004F41F6"/>
    <w:rsid w:val="004F5467"/>
    <w:rsid w:val="0050006A"/>
    <w:rsid w:val="0051464F"/>
    <w:rsid w:val="005176A1"/>
    <w:rsid w:val="00524313"/>
    <w:rsid w:val="00533CDF"/>
    <w:rsid w:val="00535B60"/>
    <w:rsid w:val="005361B4"/>
    <w:rsid w:val="00561341"/>
    <w:rsid w:val="0056296A"/>
    <w:rsid w:val="005632D0"/>
    <w:rsid w:val="00566964"/>
    <w:rsid w:val="0057309A"/>
    <w:rsid w:val="005765D4"/>
    <w:rsid w:val="005774F0"/>
    <w:rsid w:val="0059501B"/>
    <w:rsid w:val="005A196C"/>
    <w:rsid w:val="005A1FB5"/>
    <w:rsid w:val="005A5F38"/>
    <w:rsid w:val="005B1E5F"/>
    <w:rsid w:val="005B28FC"/>
    <w:rsid w:val="005C1749"/>
    <w:rsid w:val="005C226C"/>
    <w:rsid w:val="005D21E1"/>
    <w:rsid w:val="005E17C7"/>
    <w:rsid w:val="005E1B84"/>
    <w:rsid w:val="005E41B2"/>
    <w:rsid w:val="005F3FAC"/>
    <w:rsid w:val="006045AB"/>
    <w:rsid w:val="00640589"/>
    <w:rsid w:val="00644B57"/>
    <w:rsid w:val="00652228"/>
    <w:rsid w:val="006647E4"/>
    <w:rsid w:val="00673F9E"/>
    <w:rsid w:val="00674BC9"/>
    <w:rsid w:val="0067514B"/>
    <w:rsid w:val="0067585E"/>
    <w:rsid w:val="00680B3A"/>
    <w:rsid w:val="00684760"/>
    <w:rsid w:val="00685126"/>
    <w:rsid w:val="00687093"/>
    <w:rsid w:val="00687276"/>
    <w:rsid w:val="006878E8"/>
    <w:rsid w:val="006C72DE"/>
    <w:rsid w:val="006D32EE"/>
    <w:rsid w:val="006E32CA"/>
    <w:rsid w:val="006F32D9"/>
    <w:rsid w:val="006F41B2"/>
    <w:rsid w:val="00733401"/>
    <w:rsid w:val="0074259E"/>
    <w:rsid w:val="007528B0"/>
    <w:rsid w:val="0075513B"/>
    <w:rsid w:val="00764600"/>
    <w:rsid w:val="007665DB"/>
    <w:rsid w:val="00777BEC"/>
    <w:rsid w:val="007A3DF8"/>
    <w:rsid w:val="007B7C57"/>
    <w:rsid w:val="007C5F7B"/>
    <w:rsid w:val="007C771A"/>
    <w:rsid w:val="007D4371"/>
    <w:rsid w:val="007D4761"/>
    <w:rsid w:val="007D5ED2"/>
    <w:rsid w:val="007E514F"/>
    <w:rsid w:val="007F4AEE"/>
    <w:rsid w:val="00801B78"/>
    <w:rsid w:val="00805323"/>
    <w:rsid w:val="008208AE"/>
    <w:rsid w:val="00831B94"/>
    <w:rsid w:val="00832C18"/>
    <w:rsid w:val="00837E19"/>
    <w:rsid w:val="00844B67"/>
    <w:rsid w:val="00844D94"/>
    <w:rsid w:val="008565E0"/>
    <w:rsid w:val="00861C0E"/>
    <w:rsid w:val="00861DA2"/>
    <w:rsid w:val="00880411"/>
    <w:rsid w:val="00882334"/>
    <w:rsid w:val="008905A5"/>
    <w:rsid w:val="00892055"/>
    <w:rsid w:val="008970E9"/>
    <w:rsid w:val="008B21BB"/>
    <w:rsid w:val="008B36D2"/>
    <w:rsid w:val="008D45DA"/>
    <w:rsid w:val="008D564C"/>
    <w:rsid w:val="008E0A98"/>
    <w:rsid w:val="00917EC7"/>
    <w:rsid w:val="00923E78"/>
    <w:rsid w:val="00925561"/>
    <w:rsid w:val="00952F71"/>
    <w:rsid w:val="009827DD"/>
    <w:rsid w:val="009853E8"/>
    <w:rsid w:val="00985CB8"/>
    <w:rsid w:val="00990F1F"/>
    <w:rsid w:val="009C4B46"/>
    <w:rsid w:val="009D5879"/>
    <w:rsid w:val="009E3F91"/>
    <w:rsid w:val="009E69FE"/>
    <w:rsid w:val="00A06F0B"/>
    <w:rsid w:val="00A173AB"/>
    <w:rsid w:val="00A20BCD"/>
    <w:rsid w:val="00A27A8F"/>
    <w:rsid w:val="00A349B1"/>
    <w:rsid w:val="00A40D87"/>
    <w:rsid w:val="00A43AFD"/>
    <w:rsid w:val="00A459D4"/>
    <w:rsid w:val="00A4792D"/>
    <w:rsid w:val="00A76AFC"/>
    <w:rsid w:val="00A809DF"/>
    <w:rsid w:val="00AA5215"/>
    <w:rsid w:val="00AD7505"/>
    <w:rsid w:val="00AE7402"/>
    <w:rsid w:val="00AF2FD9"/>
    <w:rsid w:val="00B01194"/>
    <w:rsid w:val="00B01B28"/>
    <w:rsid w:val="00B14031"/>
    <w:rsid w:val="00B16325"/>
    <w:rsid w:val="00B47082"/>
    <w:rsid w:val="00B8050D"/>
    <w:rsid w:val="00B81EF9"/>
    <w:rsid w:val="00B9009F"/>
    <w:rsid w:val="00B95043"/>
    <w:rsid w:val="00BB4B4B"/>
    <w:rsid w:val="00BC1856"/>
    <w:rsid w:val="00BF413D"/>
    <w:rsid w:val="00C176FF"/>
    <w:rsid w:val="00C338C8"/>
    <w:rsid w:val="00C53969"/>
    <w:rsid w:val="00C56E27"/>
    <w:rsid w:val="00C62D6B"/>
    <w:rsid w:val="00C66BE0"/>
    <w:rsid w:val="00C72245"/>
    <w:rsid w:val="00CB54AB"/>
    <w:rsid w:val="00CB65BF"/>
    <w:rsid w:val="00CC0B65"/>
    <w:rsid w:val="00CC54F9"/>
    <w:rsid w:val="00CC7FD7"/>
    <w:rsid w:val="00CE1BFE"/>
    <w:rsid w:val="00CE2478"/>
    <w:rsid w:val="00CF03AD"/>
    <w:rsid w:val="00CF0E52"/>
    <w:rsid w:val="00D010B0"/>
    <w:rsid w:val="00D04F64"/>
    <w:rsid w:val="00D11B61"/>
    <w:rsid w:val="00D14BA9"/>
    <w:rsid w:val="00D17E97"/>
    <w:rsid w:val="00D25431"/>
    <w:rsid w:val="00D34F07"/>
    <w:rsid w:val="00D354B2"/>
    <w:rsid w:val="00D62050"/>
    <w:rsid w:val="00D64C3E"/>
    <w:rsid w:val="00D65209"/>
    <w:rsid w:val="00D66074"/>
    <w:rsid w:val="00D7424A"/>
    <w:rsid w:val="00D77D80"/>
    <w:rsid w:val="00D908A9"/>
    <w:rsid w:val="00DA5658"/>
    <w:rsid w:val="00DD4695"/>
    <w:rsid w:val="00DD5704"/>
    <w:rsid w:val="00DD6AA4"/>
    <w:rsid w:val="00DE65A5"/>
    <w:rsid w:val="00DE71AB"/>
    <w:rsid w:val="00DF6B72"/>
    <w:rsid w:val="00E07BB4"/>
    <w:rsid w:val="00E448B2"/>
    <w:rsid w:val="00E51801"/>
    <w:rsid w:val="00E53522"/>
    <w:rsid w:val="00E77B2E"/>
    <w:rsid w:val="00E910E7"/>
    <w:rsid w:val="00E92C99"/>
    <w:rsid w:val="00E97D1E"/>
    <w:rsid w:val="00EA1E9A"/>
    <w:rsid w:val="00EA3B92"/>
    <w:rsid w:val="00EB050F"/>
    <w:rsid w:val="00EB72DE"/>
    <w:rsid w:val="00ED3B30"/>
    <w:rsid w:val="00ED782D"/>
    <w:rsid w:val="00EE2AA6"/>
    <w:rsid w:val="00F012C4"/>
    <w:rsid w:val="00F24423"/>
    <w:rsid w:val="00F304EF"/>
    <w:rsid w:val="00F46BCB"/>
    <w:rsid w:val="00F61AFC"/>
    <w:rsid w:val="00F66387"/>
    <w:rsid w:val="00F74765"/>
    <w:rsid w:val="00F779B2"/>
    <w:rsid w:val="00F81AD5"/>
    <w:rsid w:val="00F82DB8"/>
    <w:rsid w:val="00F92115"/>
    <w:rsid w:val="00FA16D3"/>
    <w:rsid w:val="00FB0124"/>
    <w:rsid w:val="00FB2D55"/>
    <w:rsid w:val="00FB3ED1"/>
    <w:rsid w:val="00FC5E0E"/>
    <w:rsid w:val="00FD6D06"/>
    <w:rsid w:val="00FE3BFB"/>
    <w:rsid w:val="00FF3918"/>
    <w:rsid w:val="00FF4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D90F182-290D-4519-A6EB-04A47723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lang w:val="x-none" w:eastAsia="x-none"/>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448B2"/>
    <w:rPr>
      <w:sz w:val="16"/>
      <w:szCs w:val="16"/>
    </w:rPr>
  </w:style>
  <w:style w:type="paragraph" w:styleId="CommentSubject">
    <w:name w:val="annotation subject"/>
    <w:basedOn w:val="CommentText"/>
    <w:next w:val="CommentText"/>
    <w:rsid w:val="00E448B2"/>
    <w:rPr>
      <w:b/>
      <w:bCs/>
      <w:sz w:val="20"/>
    </w:rPr>
  </w:style>
  <w:style w:type="character" w:customStyle="1" w:styleId="CommentTextChar">
    <w:name w:val="Comment Text Char"/>
    <w:link w:val="CommentText"/>
    <w:semiHidden/>
    <w:rsid w:val="00E448B2"/>
    <w:rPr>
      <w:rFonts w:ascii="Arial" w:hAnsi="Arial"/>
      <w:sz w:val="22"/>
    </w:rPr>
  </w:style>
  <w:style w:type="character" w:customStyle="1" w:styleId="CommentSubjectChar">
    <w:name w:val="Comment Subject Char"/>
    <w:basedOn w:val="CommentTextChar"/>
    <w:link w:val="CommentSubject"/>
    <w:rsid w:val="00E448B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2149">
      <w:bodyDiv w:val="1"/>
      <w:marLeft w:val="0"/>
      <w:marRight w:val="0"/>
      <w:marTop w:val="0"/>
      <w:marBottom w:val="0"/>
      <w:divBdr>
        <w:top w:val="none" w:sz="0" w:space="0" w:color="auto"/>
        <w:left w:val="none" w:sz="0" w:space="0" w:color="auto"/>
        <w:bottom w:val="none" w:sz="0" w:space="0" w:color="auto"/>
        <w:right w:val="none" w:sz="0" w:space="0" w:color="auto"/>
      </w:divBdr>
    </w:div>
    <w:div w:id="1832981146">
      <w:bodyDiv w:val="1"/>
      <w:marLeft w:val="0"/>
      <w:marRight w:val="0"/>
      <w:marTop w:val="0"/>
      <w:marBottom w:val="0"/>
      <w:divBdr>
        <w:top w:val="none" w:sz="0" w:space="0" w:color="auto"/>
        <w:left w:val="none" w:sz="0" w:space="0" w:color="auto"/>
        <w:bottom w:val="none" w:sz="0" w:space="0" w:color="auto"/>
        <w:right w:val="none" w:sz="0" w:space="0" w:color="auto"/>
      </w:divBdr>
    </w:div>
    <w:div w:id="20830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6D1C1-4A69-4DD9-9B00-D81D5536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1089</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FOI 110758 Magistrate Court Fines</vt:lpstr>
    </vt:vector>
  </TitlesOfParts>
  <Manager/>
  <Company>Ministry of Justice</Company>
  <LinksUpToDate>false</LinksUpToDate>
  <CharactersWithSpaces>7283</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6684695</vt:i4>
      </vt:variant>
      <vt:variant>
        <vt:i4>0</vt:i4>
      </vt:variant>
      <vt:variant>
        <vt:i4>0</vt:i4>
      </vt:variant>
      <vt:variant>
        <vt:i4>5</vt:i4>
      </vt:variant>
      <vt:variant>
        <vt:lpwstr>mailto:Policy2@howardleague.org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110758 Magistrate Court Fines</dc:title>
  <dc:subject>FOI Release</dc:subject>
  <dc:creator>MoJ</dc:creator>
  <cp:keywords/>
  <dc:description/>
  <cp:lastModifiedBy>Cox, Allan</cp:lastModifiedBy>
  <cp:revision>2</cp:revision>
  <cp:lastPrinted>2015-07-06T10:35:00Z</cp:lastPrinted>
  <dcterms:created xsi:type="dcterms:W3CDTF">2017-06-16T10:47:00Z</dcterms:created>
  <dcterms:modified xsi:type="dcterms:W3CDTF">2017-06-16T10:47:00Z</dcterms:modified>
  <cp:category/>
</cp:coreProperties>
</file>