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1E0" w:firstRow="1" w:lastRow="1" w:firstColumn="1" w:lastColumn="1" w:noHBand="0" w:noVBand="0"/>
      </w:tblPr>
      <w:tblGrid>
        <w:gridCol w:w="6237"/>
        <w:gridCol w:w="3119"/>
      </w:tblGrid>
      <w:tr w:rsidR="00DD0733" w:rsidRPr="00C331EE" w:rsidTr="00D46C15">
        <w:trPr>
          <w:trHeight w:val="2965"/>
        </w:trPr>
        <w:tc>
          <w:tcPr>
            <w:tcW w:w="6237" w:type="dxa"/>
          </w:tcPr>
          <w:p w:rsidR="00DD0733" w:rsidRPr="00C331EE" w:rsidRDefault="007E11E9" w:rsidP="002C5025">
            <w:pPr>
              <w:pStyle w:val="MOJaddress"/>
              <w:rPr>
                <w:sz w:val="22"/>
                <w:szCs w:val="22"/>
              </w:rPr>
            </w:pPr>
            <w:r w:rsidRPr="00C331EE">
              <w:rPr>
                <w:noProof/>
                <w:sz w:val="22"/>
                <w:szCs w:val="22"/>
              </w:rPr>
              <w:drawing>
                <wp:inline distT="0" distB="0" distL="0" distR="0">
                  <wp:extent cx="974090" cy="760095"/>
                  <wp:effectExtent l="0" t="0" r="0" b="190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60095"/>
                          </a:xfrm>
                          <a:prstGeom prst="rect">
                            <a:avLst/>
                          </a:prstGeom>
                          <a:noFill/>
                          <a:ln>
                            <a:noFill/>
                          </a:ln>
                        </pic:spPr>
                      </pic:pic>
                    </a:graphicData>
                  </a:graphic>
                </wp:inline>
              </w:drawing>
            </w:r>
          </w:p>
          <w:p w:rsidR="00DD0733" w:rsidRPr="00C331EE" w:rsidRDefault="00DD0733" w:rsidP="002C5025">
            <w:pPr>
              <w:pStyle w:val="MOJaddress"/>
              <w:rPr>
                <w:sz w:val="22"/>
                <w:szCs w:val="22"/>
              </w:rPr>
            </w:pPr>
          </w:p>
          <w:p w:rsidR="00DD0733" w:rsidRPr="00C331EE" w:rsidRDefault="00DD0733" w:rsidP="002C5025">
            <w:pPr>
              <w:pStyle w:val="MOJaddress"/>
              <w:rPr>
                <w:sz w:val="22"/>
                <w:szCs w:val="22"/>
              </w:rPr>
            </w:pPr>
          </w:p>
          <w:p w:rsidR="00DD0733" w:rsidRPr="00C331EE" w:rsidRDefault="00DD0733" w:rsidP="00402606">
            <w:pPr>
              <w:pStyle w:val="MOJaddress"/>
              <w:rPr>
                <w:sz w:val="22"/>
                <w:szCs w:val="22"/>
              </w:rPr>
            </w:pPr>
          </w:p>
        </w:tc>
        <w:tc>
          <w:tcPr>
            <w:tcW w:w="3119" w:type="dxa"/>
          </w:tcPr>
          <w:p w:rsidR="00DD0733" w:rsidRPr="00C331EE" w:rsidRDefault="00DD0733" w:rsidP="00DD0733">
            <w:pPr>
              <w:pStyle w:val="MOJaddress"/>
              <w:spacing w:line="240" w:lineRule="auto"/>
              <w:rPr>
                <w:sz w:val="22"/>
                <w:szCs w:val="22"/>
              </w:rPr>
            </w:pPr>
          </w:p>
          <w:p w:rsidR="00DD0733" w:rsidRPr="00C331EE" w:rsidRDefault="00402606" w:rsidP="007A3DF8">
            <w:pPr>
              <w:pStyle w:val="MOJaddress"/>
              <w:rPr>
                <w:sz w:val="22"/>
                <w:szCs w:val="22"/>
              </w:rPr>
            </w:pPr>
            <w:r w:rsidRPr="00C331EE">
              <w:rPr>
                <w:sz w:val="22"/>
                <w:szCs w:val="22"/>
              </w:rPr>
              <w:t>February</w:t>
            </w:r>
            <w:r w:rsidR="0076461F" w:rsidRPr="00C331EE">
              <w:rPr>
                <w:sz w:val="22"/>
                <w:szCs w:val="22"/>
              </w:rPr>
              <w:t xml:space="preserve"> 2017</w:t>
            </w:r>
          </w:p>
        </w:tc>
      </w:tr>
    </w:tbl>
    <w:p w:rsidR="00884DB6" w:rsidRPr="00C331EE" w:rsidRDefault="00884DB6" w:rsidP="007A3DF8">
      <w:pPr>
        <w:rPr>
          <w:szCs w:val="22"/>
        </w:rPr>
      </w:pPr>
    </w:p>
    <w:p w:rsidR="009853E8" w:rsidRPr="00C61A17" w:rsidRDefault="007A3DF8" w:rsidP="009853E8">
      <w:pPr>
        <w:rPr>
          <w:b/>
          <w:szCs w:val="22"/>
        </w:rPr>
      </w:pPr>
      <w:r w:rsidRPr="00C61A17">
        <w:rPr>
          <w:b/>
          <w:szCs w:val="22"/>
        </w:rPr>
        <w:t xml:space="preserve">Freedom of Information Act (FOIA) Request – </w:t>
      </w:r>
      <w:r w:rsidR="0076461F" w:rsidRPr="00156252">
        <w:rPr>
          <w:b/>
          <w:szCs w:val="22"/>
        </w:rPr>
        <w:t>109</w:t>
      </w:r>
      <w:r w:rsidR="00156252" w:rsidRPr="00156252">
        <w:rPr>
          <w:b/>
          <w:szCs w:val="22"/>
        </w:rPr>
        <w:t>818</w:t>
      </w:r>
    </w:p>
    <w:p w:rsidR="009853E8" w:rsidRPr="00156252" w:rsidRDefault="009853E8" w:rsidP="009853E8">
      <w:pPr>
        <w:rPr>
          <w:b/>
          <w:szCs w:val="22"/>
        </w:rPr>
      </w:pPr>
    </w:p>
    <w:p w:rsidR="00711E63" w:rsidRDefault="00AE5CE9" w:rsidP="009853E8">
      <w:pPr>
        <w:rPr>
          <w:rFonts w:cs="Arial"/>
        </w:rPr>
      </w:pPr>
      <w:r>
        <w:rPr>
          <w:rFonts w:cs="Arial"/>
        </w:rPr>
        <w:t xml:space="preserve">You </w:t>
      </w:r>
      <w:r w:rsidR="0038642F" w:rsidRPr="00C61A17">
        <w:rPr>
          <w:rFonts w:cs="Arial"/>
        </w:rPr>
        <w:t>asked for the following information</w:t>
      </w:r>
      <w:r w:rsidR="0067585E" w:rsidRPr="00C61A17">
        <w:rPr>
          <w:rFonts w:cs="Arial"/>
        </w:rPr>
        <w:t xml:space="preserve"> from the Ministry of Justice (MoJ)</w:t>
      </w:r>
      <w:r w:rsidR="0038642F" w:rsidRPr="00C61A17">
        <w:rPr>
          <w:rFonts w:cs="Arial"/>
        </w:rPr>
        <w:t>:</w:t>
      </w:r>
    </w:p>
    <w:p w:rsidR="009853E8" w:rsidRPr="00C61A17" w:rsidRDefault="0038642F" w:rsidP="009853E8">
      <w:pPr>
        <w:rPr>
          <w:b/>
          <w:szCs w:val="22"/>
        </w:rPr>
      </w:pPr>
      <w:r w:rsidRPr="00C61A17">
        <w:rPr>
          <w:rFonts w:cs="Arial"/>
        </w:rPr>
        <w:t xml:space="preserve"> </w:t>
      </w:r>
      <w:r w:rsidR="007A3DF8" w:rsidRPr="00C61A17">
        <w:rPr>
          <w:rFonts w:cs="Arial"/>
        </w:rPr>
        <w:t xml:space="preserve"> </w:t>
      </w:r>
    </w:p>
    <w:p w:rsidR="00156252" w:rsidRPr="003B4B6A" w:rsidRDefault="00156252" w:rsidP="00156252">
      <w:pPr>
        <w:rPr>
          <w:b/>
          <w:i/>
          <w:szCs w:val="22"/>
        </w:rPr>
      </w:pPr>
      <w:r w:rsidRPr="003B4B6A">
        <w:rPr>
          <w:b/>
          <w:i/>
          <w:szCs w:val="22"/>
        </w:rPr>
        <w:t>We keep MOJ figures for the number of men and women jailed for TV Licensing offences. A few years ago your team helpfully sent through MOJ data, which showed the male/female breakdown, and this correlated with the FOIs we had seen up until that date. This data seemed to be accurate, and matched FOI responses issued by the MOJ for the period 2005 to 2013.</w:t>
      </w:r>
    </w:p>
    <w:p w:rsidR="00156252" w:rsidRPr="003B4B6A" w:rsidRDefault="00156252" w:rsidP="00156252">
      <w:pPr>
        <w:rPr>
          <w:b/>
          <w:i/>
          <w:szCs w:val="22"/>
        </w:rPr>
      </w:pPr>
    </w:p>
    <w:p w:rsidR="00156252" w:rsidRPr="003B4B6A" w:rsidRDefault="00156252" w:rsidP="00156252">
      <w:pPr>
        <w:rPr>
          <w:b/>
          <w:i/>
          <w:szCs w:val="22"/>
        </w:rPr>
      </w:pPr>
      <w:r w:rsidRPr="003B4B6A">
        <w:rPr>
          <w:b/>
          <w:i/>
          <w:szCs w:val="22"/>
        </w:rPr>
        <w:t>However, we have some discrepancies with 2014 and 2015 data, which I’m hoping you can help explain, please. It may be to do with changes to terminology at your end?</w:t>
      </w:r>
    </w:p>
    <w:p w:rsidR="00156252" w:rsidRPr="003B4B6A" w:rsidRDefault="00156252" w:rsidP="00156252">
      <w:pPr>
        <w:rPr>
          <w:b/>
          <w:i/>
          <w:szCs w:val="22"/>
        </w:rPr>
      </w:pPr>
    </w:p>
    <w:p w:rsidR="00156252" w:rsidRPr="003B4B6A" w:rsidRDefault="00156252" w:rsidP="00156252">
      <w:pPr>
        <w:rPr>
          <w:b/>
          <w:i/>
          <w:szCs w:val="22"/>
        </w:rPr>
      </w:pPr>
      <w:r w:rsidRPr="003B4B6A">
        <w:rPr>
          <w:b/>
          <w:i/>
          <w:szCs w:val="22"/>
        </w:rPr>
        <w:t>I’ve outlined this in a table below, but, for example:</w:t>
      </w:r>
    </w:p>
    <w:p w:rsidR="00156252" w:rsidRPr="003B4B6A" w:rsidRDefault="00156252" w:rsidP="00156252">
      <w:pPr>
        <w:rPr>
          <w:b/>
          <w:i/>
          <w:szCs w:val="22"/>
        </w:rPr>
      </w:pPr>
    </w:p>
    <w:p w:rsidR="00156252" w:rsidRPr="003B4B6A" w:rsidRDefault="00156252" w:rsidP="00156252">
      <w:pPr>
        <w:rPr>
          <w:b/>
          <w:i/>
          <w:szCs w:val="22"/>
        </w:rPr>
      </w:pPr>
      <w:r w:rsidRPr="003B4B6A">
        <w:rPr>
          <w:b/>
          <w:i/>
          <w:szCs w:val="22"/>
        </w:rPr>
        <w:t>•</w:t>
      </w:r>
      <w:r w:rsidRPr="003B4B6A">
        <w:rPr>
          <w:b/>
          <w:i/>
          <w:szCs w:val="22"/>
        </w:rPr>
        <w:tab/>
        <w:t xml:space="preserve">Information we have showed 20 women jailed in 2014, and 11 women jailed in 2015. As far as we’re aware, this data refers to “fine defaulter receptions” – however information given to </w:t>
      </w:r>
      <w:r w:rsidR="00BF55EB">
        <w:rPr>
          <w:b/>
          <w:i/>
          <w:szCs w:val="22"/>
        </w:rPr>
        <w:t xml:space="preserve">X </w:t>
      </w:r>
      <w:r w:rsidRPr="003B4B6A">
        <w:rPr>
          <w:b/>
          <w:i/>
          <w:szCs w:val="22"/>
        </w:rPr>
        <w:t>in a FOI response shows 11 women in 2014 (fine defaulter receptions) and 20 women in 2015 (sentenced admissions)</w:t>
      </w:r>
    </w:p>
    <w:p w:rsidR="00156252" w:rsidRPr="003B4B6A" w:rsidRDefault="00156252" w:rsidP="00156252">
      <w:pPr>
        <w:rPr>
          <w:b/>
          <w:i/>
          <w:szCs w:val="22"/>
        </w:rPr>
      </w:pPr>
      <w:proofErr w:type="gramStart"/>
      <w:r w:rsidRPr="003B4B6A">
        <w:rPr>
          <w:b/>
          <w:i/>
          <w:szCs w:val="22"/>
        </w:rPr>
        <w:t>o</w:t>
      </w:r>
      <w:proofErr w:type="gramEnd"/>
      <w:r w:rsidRPr="003B4B6A">
        <w:rPr>
          <w:b/>
          <w:i/>
          <w:szCs w:val="22"/>
        </w:rPr>
        <w:tab/>
        <w:t>Firstly, our 2014 figures don’t match those given in a FOI</w:t>
      </w:r>
    </w:p>
    <w:p w:rsidR="00156252" w:rsidRPr="003B4B6A" w:rsidRDefault="00156252" w:rsidP="00156252">
      <w:pPr>
        <w:rPr>
          <w:b/>
          <w:i/>
          <w:szCs w:val="22"/>
        </w:rPr>
      </w:pPr>
      <w:proofErr w:type="gramStart"/>
      <w:r w:rsidRPr="003B4B6A">
        <w:rPr>
          <w:b/>
          <w:i/>
          <w:szCs w:val="22"/>
        </w:rPr>
        <w:t>o</w:t>
      </w:r>
      <w:proofErr w:type="gramEnd"/>
      <w:r w:rsidRPr="003B4B6A">
        <w:rPr>
          <w:b/>
          <w:i/>
          <w:szCs w:val="22"/>
        </w:rPr>
        <w:tab/>
        <w:t xml:space="preserve">Secondly, when a journalist from the Daily Mail compared the 2014 with the 2015 figure, we challenged it, as they were recorded differently. She said she checked with the MOJ press team, and they told her the two terms were comparable. </w:t>
      </w:r>
    </w:p>
    <w:p w:rsidR="00711E63" w:rsidRPr="003B4B6A" w:rsidRDefault="00711E63" w:rsidP="00156252">
      <w:pPr>
        <w:rPr>
          <w:b/>
          <w:i/>
          <w:szCs w:val="22"/>
        </w:rPr>
      </w:pPr>
    </w:p>
    <w:p w:rsidR="00156252" w:rsidRPr="003B4B6A" w:rsidRDefault="00156252" w:rsidP="00156252">
      <w:pPr>
        <w:rPr>
          <w:b/>
          <w:i/>
          <w:szCs w:val="22"/>
        </w:rPr>
      </w:pPr>
      <w:r w:rsidRPr="003B4B6A">
        <w:rPr>
          <w:b/>
          <w:i/>
          <w:szCs w:val="22"/>
        </w:rPr>
        <w:t>•</w:t>
      </w:r>
      <w:r w:rsidRPr="003B4B6A">
        <w:rPr>
          <w:b/>
          <w:i/>
          <w:szCs w:val="22"/>
        </w:rPr>
        <w:tab/>
        <w:t>To further compound our confusion (!) a PQ cited the number of women jailed as 24, for the first 9 months of 2014. Yet our end-year figures show either 11 or 20.</w:t>
      </w:r>
    </w:p>
    <w:p w:rsidR="00156252" w:rsidRPr="003B4B6A" w:rsidRDefault="00156252" w:rsidP="00156252">
      <w:pPr>
        <w:rPr>
          <w:b/>
          <w:i/>
          <w:szCs w:val="22"/>
        </w:rPr>
      </w:pPr>
    </w:p>
    <w:p w:rsidR="00156252" w:rsidRPr="003B4B6A" w:rsidRDefault="00156252" w:rsidP="00156252">
      <w:pPr>
        <w:rPr>
          <w:b/>
          <w:i/>
          <w:szCs w:val="22"/>
        </w:rPr>
      </w:pPr>
      <w:r w:rsidRPr="003B4B6A">
        <w:rPr>
          <w:b/>
          <w:i/>
          <w:szCs w:val="22"/>
        </w:rPr>
        <w:t xml:space="preserve">Can you please </w:t>
      </w:r>
      <w:proofErr w:type="gramStart"/>
      <w:r w:rsidRPr="003B4B6A">
        <w:rPr>
          <w:b/>
          <w:i/>
          <w:szCs w:val="22"/>
        </w:rPr>
        <w:t>confirm:</w:t>
      </w:r>
      <w:proofErr w:type="gramEnd"/>
    </w:p>
    <w:p w:rsidR="00156252" w:rsidRPr="003B4B6A" w:rsidRDefault="00156252" w:rsidP="00156252">
      <w:pPr>
        <w:rPr>
          <w:b/>
          <w:i/>
          <w:szCs w:val="22"/>
        </w:rPr>
      </w:pPr>
    </w:p>
    <w:p w:rsidR="00156252" w:rsidRPr="003B4B6A" w:rsidRDefault="00F05906" w:rsidP="00156252">
      <w:pPr>
        <w:rPr>
          <w:b/>
          <w:i/>
          <w:szCs w:val="22"/>
        </w:rPr>
      </w:pPr>
      <w:r w:rsidRPr="003B4B6A">
        <w:rPr>
          <w:b/>
          <w:i/>
          <w:szCs w:val="22"/>
        </w:rPr>
        <w:t>1</w:t>
      </w:r>
      <w:r w:rsidR="00156252" w:rsidRPr="003B4B6A">
        <w:rPr>
          <w:b/>
          <w:i/>
          <w:szCs w:val="22"/>
        </w:rPr>
        <w:tab/>
        <w:t xml:space="preserve">The correct figures for the number of women and men jailed for TV Licensing offences in England and Wales in 2014 and 2015. Are the figures provided to </w:t>
      </w:r>
      <w:r w:rsidR="00B76905">
        <w:rPr>
          <w:b/>
          <w:i/>
          <w:szCs w:val="22"/>
        </w:rPr>
        <w:t xml:space="preserve">X </w:t>
      </w:r>
      <w:r w:rsidR="00156252" w:rsidRPr="003B4B6A">
        <w:rPr>
          <w:b/>
          <w:i/>
          <w:szCs w:val="22"/>
        </w:rPr>
        <w:t>correct?</w:t>
      </w:r>
    </w:p>
    <w:p w:rsidR="00D66CB5" w:rsidRPr="003B4B6A" w:rsidRDefault="00F05906" w:rsidP="00156252">
      <w:pPr>
        <w:rPr>
          <w:b/>
          <w:i/>
          <w:szCs w:val="22"/>
        </w:rPr>
      </w:pPr>
      <w:r w:rsidRPr="003B4B6A">
        <w:rPr>
          <w:b/>
          <w:i/>
          <w:szCs w:val="22"/>
        </w:rPr>
        <w:t>2</w:t>
      </w:r>
      <w:r w:rsidR="00156252" w:rsidRPr="003B4B6A">
        <w:rPr>
          <w:b/>
          <w:i/>
          <w:szCs w:val="22"/>
        </w:rPr>
        <w:tab/>
        <w:t xml:space="preserve">Is there a difference between “sentenced admissions” and “fine defaulter receptions”? If so, can you please provide us with some background, or if not, can </w:t>
      </w:r>
      <w:proofErr w:type="gramStart"/>
      <w:r w:rsidR="00156252" w:rsidRPr="003B4B6A">
        <w:rPr>
          <w:b/>
          <w:i/>
          <w:szCs w:val="22"/>
        </w:rPr>
        <w:lastRenderedPageBreak/>
        <w:t>you</w:t>
      </w:r>
      <w:proofErr w:type="gramEnd"/>
      <w:r w:rsidR="00156252" w:rsidRPr="003B4B6A">
        <w:rPr>
          <w:b/>
          <w:i/>
          <w:szCs w:val="22"/>
        </w:rPr>
        <w:t xml:space="preserve"> please let me know when the terminology changed, and confirm the two are interchangeable? </w:t>
      </w:r>
    </w:p>
    <w:p w:rsidR="00156252" w:rsidRPr="003B4B6A" w:rsidRDefault="00156252" w:rsidP="00156252">
      <w:pPr>
        <w:rPr>
          <w:b/>
          <w:i/>
          <w:szCs w:val="22"/>
        </w:rPr>
      </w:pPr>
      <w:r w:rsidRPr="003B4B6A">
        <w:rPr>
          <w:b/>
          <w:i/>
          <w:szCs w:val="22"/>
        </w:rPr>
        <w:t xml:space="preserve"> </w:t>
      </w:r>
      <w:bookmarkStart w:id="0" w:name="_GoBack"/>
      <w:bookmarkEnd w:id="0"/>
    </w:p>
    <w:p w:rsidR="00156252" w:rsidRPr="003B4B6A" w:rsidRDefault="00156252" w:rsidP="00156252">
      <w:pPr>
        <w:rPr>
          <w:b/>
          <w:i/>
          <w:szCs w:val="22"/>
        </w:rPr>
      </w:pPr>
      <w:r w:rsidRPr="003B4B6A">
        <w:rPr>
          <w:b/>
          <w:i/>
          <w:szCs w:val="22"/>
        </w:rPr>
        <w:t xml:space="preserve">Thanks for any help you can provide – as you can appreciate, there are large variations in the numbers below, which can shape a media story significantly. </w:t>
      </w:r>
    </w:p>
    <w:p w:rsidR="00156252" w:rsidRPr="003B4B6A" w:rsidRDefault="00156252" w:rsidP="00156252">
      <w:pPr>
        <w:rPr>
          <w:b/>
          <w:i/>
          <w:szCs w:val="22"/>
        </w:rPr>
      </w:pPr>
    </w:p>
    <w:p w:rsidR="00156252" w:rsidRPr="003B4B6A" w:rsidRDefault="00156252" w:rsidP="00156252">
      <w:pPr>
        <w:rPr>
          <w:b/>
          <w:i/>
          <w:szCs w:val="22"/>
        </w:rPr>
      </w:pPr>
      <w:r w:rsidRPr="003B4B6A">
        <w:rPr>
          <w:b/>
          <w:i/>
          <w:szCs w:val="22"/>
        </w:rPr>
        <w:t>Table below:</w:t>
      </w:r>
    </w:p>
    <w:p w:rsidR="00711E63" w:rsidRPr="003B4B6A" w:rsidRDefault="00711E63" w:rsidP="00156252">
      <w:pPr>
        <w:rPr>
          <w:b/>
          <w:i/>
          <w:szCs w:val="22"/>
        </w:rPr>
      </w:pPr>
    </w:p>
    <w:tbl>
      <w:tblPr>
        <w:tblW w:w="9045" w:type="dxa"/>
        <w:tblCellMar>
          <w:left w:w="0" w:type="dxa"/>
          <w:right w:w="0" w:type="dxa"/>
        </w:tblCellMar>
        <w:tblLook w:val="04A0" w:firstRow="1" w:lastRow="0" w:firstColumn="1" w:lastColumn="0" w:noHBand="0" w:noVBand="1"/>
      </w:tblPr>
      <w:tblGrid>
        <w:gridCol w:w="747"/>
        <w:gridCol w:w="3372"/>
        <w:gridCol w:w="2074"/>
        <w:gridCol w:w="2852"/>
      </w:tblGrid>
      <w:tr w:rsidR="00711E63" w:rsidRPr="003B4B6A" w:rsidTr="00B35E66">
        <w:trPr>
          <w:trHeight w:val="1565"/>
        </w:trPr>
        <w:tc>
          <w:tcPr>
            <w:tcW w:w="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1E63" w:rsidRPr="003B4B6A" w:rsidRDefault="00711E63">
            <w:pPr>
              <w:rPr>
                <w:rFonts w:ascii="Calibri" w:hAnsi="Calibri"/>
                <w:b/>
                <w:i/>
                <w:sz w:val="18"/>
                <w:szCs w:val="18"/>
              </w:rPr>
            </w:pPr>
          </w:p>
        </w:tc>
        <w:tc>
          <w:tcPr>
            <w:tcW w:w="3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1E63" w:rsidRPr="003B4B6A" w:rsidRDefault="00711E63">
            <w:pPr>
              <w:rPr>
                <w:b/>
                <w:i/>
                <w:sz w:val="18"/>
                <w:szCs w:val="18"/>
              </w:rPr>
            </w:pPr>
            <w:r w:rsidRPr="003B4B6A">
              <w:rPr>
                <w:b/>
                <w:i/>
                <w:sz w:val="18"/>
                <w:szCs w:val="18"/>
              </w:rPr>
              <w:t>Information previously given to TVL by MOJ</w:t>
            </w:r>
          </w:p>
        </w:tc>
        <w:tc>
          <w:tcPr>
            <w:tcW w:w="20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1E63" w:rsidRPr="003B4B6A" w:rsidRDefault="00711E63">
            <w:pPr>
              <w:rPr>
                <w:b/>
                <w:i/>
                <w:sz w:val="18"/>
                <w:szCs w:val="18"/>
              </w:rPr>
            </w:pPr>
            <w:r w:rsidRPr="003B4B6A">
              <w:rPr>
                <w:b/>
                <w:i/>
                <w:sz w:val="18"/>
                <w:szCs w:val="18"/>
              </w:rPr>
              <w:t xml:space="preserve">Info given from MOJ to </w:t>
            </w:r>
            <w:r w:rsidR="00B76905">
              <w:rPr>
                <w:b/>
                <w:i/>
                <w:sz w:val="18"/>
                <w:szCs w:val="18"/>
              </w:rPr>
              <w:t xml:space="preserve">X </w:t>
            </w:r>
            <w:r w:rsidRPr="003B4B6A">
              <w:rPr>
                <w:b/>
                <w:i/>
                <w:sz w:val="18"/>
                <w:szCs w:val="18"/>
              </w:rPr>
              <w:t>in FOI responses</w:t>
            </w:r>
          </w:p>
          <w:p w:rsidR="00711E63" w:rsidRPr="003B4B6A" w:rsidRDefault="00711E63">
            <w:pPr>
              <w:rPr>
                <w:b/>
                <w:i/>
                <w:sz w:val="18"/>
                <w:szCs w:val="18"/>
              </w:rPr>
            </w:pPr>
          </w:p>
        </w:tc>
        <w:tc>
          <w:tcPr>
            <w:tcW w:w="2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1E63" w:rsidRPr="003B4B6A" w:rsidRDefault="00711E63" w:rsidP="00B76905">
            <w:pPr>
              <w:rPr>
                <w:b/>
                <w:i/>
                <w:sz w:val="18"/>
                <w:szCs w:val="18"/>
              </w:rPr>
            </w:pPr>
            <w:r w:rsidRPr="003B4B6A">
              <w:rPr>
                <w:b/>
                <w:i/>
                <w:sz w:val="18"/>
                <w:szCs w:val="18"/>
              </w:rPr>
              <w:t xml:space="preserve">Info given from MOJ to </w:t>
            </w:r>
            <w:r w:rsidR="00B76905">
              <w:rPr>
                <w:b/>
                <w:i/>
                <w:sz w:val="18"/>
                <w:szCs w:val="18"/>
              </w:rPr>
              <w:t xml:space="preserve">X </w:t>
            </w:r>
            <w:r w:rsidRPr="003B4B6A">
              <w:rPr>
                <w:b/>
                <w:i/>
                <w:sz w:val="18"/>
                <w:szCs w:val="18"/>
              </w:rPr>
              <w:t>PQ response (06 February 2015 Ministry of Justice Television: Licensing Lords HL4745)</w:t>
            </w:r>
          </w:p>
        </w:tc>
      </w:tr>
      <w:tr w:rsidR="00711E63" w:rsidRPr="003B4B6A" w:rsidTr="00B35E66">
        <w:trPr>
          <w:trHeight w:val="2835"/>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E63" w:rsidRPr="003B4B6A" w:rsidRDefault="00711E63">
            <w:pPr>
              <w:rPr>
                <w:b/>
                <w:i/>
                <w:sz w:val="18"/>
                <w:szCs w:val="18"/>
              </w:rPr>
            </w:pPr>
            <w:r w:rsidRPr="003B4B6A">
              <w:rPr>
                <w:b/>
                <w:i/>
                <w:sz w:val="18"/>
                <w:szCs w:val="18"/>
              </w:rPr>
              <w:t>2015</w:t>
            </w:r>
          </w:p>
        </w:tc>
        <w:tc>
          <w:tcPr>
            <w:tcW w:w="3372" w:type="dxa"/>
            <w:tcBorders>
              <w:top w:val="nil"/>
              <w:left w:val="nil"/>
              <w:bottom w:val="single" w:sz="8" w:space="0" w:color="auto"/>
              <w:right w:val="single" w:sz="8" w:space="0" w:color="auto"/>
            </w:tcBorders>
            <w:tcMar>
              <w:top w:w="0" w:type="dxa"/>
              <w:left w:w="108" w:type="dxa"/>
              <w:bottom w:w="0" w:type="dxa"/>
              <w:right w:w="108" w:type="dxa"/>
            </w:tcMar>
          </w:tcPr>
          <w:p w:rsidR="00711E63" w:rsidRPr="003B4B6A" w:rsidRDefault="00711E63">
            <w:pPr>
              <w:rPr>
                <w:b/>
                <w:i/>
                <w:sz w:val="18"/>
                <w:szCs w:val="18"/>
              </w:rPr>
            </w:pPr>
            <w:r w:rsidRPr="003B4B6A">
              <w:rPr>
                <w:b/>
                <w:i/>
                <w:sz w:val="18"/>
                <w:szCs w:val="18"/>
              </w:rPr>
              <w:t>5 men</w:t>
            </w:r>
          </w:p>
          <w:p w:rsidR="00711E63" w:rsidRPr="003B4B6A" w:rsidRDefault="00711E63">
            <w:pPr>
              <w:rPr>
                <w:b/>
                <w:i/>
                <w:sz w:val="18"/>
                <w:szCs w:val="18"/>
              </w:rPr>
            </w:pPr>
            <w:r w:rsidRPr="003B4B6A">
              <w:rPr>
                <w:b/>
                <w:i/>
                <w:sz w:val="18"/>
                <w:szCs w:val="18"/>
              </w:rPr>
              <w:t>11 women</w:t>
            </w:r>
          </w:p>
          <w:p w:rsidR="00711E63" w:rsidRPr="003B4B6A" w:rsidRDefault="00711E63">
            <w:pPr>
              <w:rPr>
                <w:b/>
                <w:i/>
                <w:sz w:val="18"/>
                <w:szCs w:val="18"/>
              </w:rPr>
            </w:pPr>
          </w:p>
          <w:p w:rsidR="00711E63" w:rsidRPr="003B4B6A" w:rsidRDefault="00711E63">
            <w:pPr>
              <w:rPr>
                <w:b/>
                <w:i/>
                <w:sz w:val="18"/>
                <w:szCs w:val="18"/>
              </w:rPr>
            </w:pPr>
            <w:r w:rsidRPr="003B4B6A">
              <w:rPr>
                <w:b/>
                <w:i/>
                <w:sz w:val="18"/>
                <w:szCs w:val="18"/>
              </w:rPr>
              <w:t>“fine defaulter receptions”</w:t>
            </w:r>
          </w:p>
          <w:p w:rsidR="00711E63" w:rsidRPr="003B4B6A" w:rsidRDefault="00711E63">
            <w:pPr>
              <w:rPr>
                <w:b/>
                <w:i/>
                <w:sz w:val="18"/>
                <w:szCs w:val="18"/>
              </w:rPr>
            </w:pPr>
          </w:p>
          <w:p w:rsidR="00711E63" w:rsidRPr="003B4B6A" w:rsidRDefault="00711E63">
            <w:pPr>
              <w:rPr>
                <w:b/>
                <w:i/>
                <w:sz w:val="18"/>
                <w:szCs w:val="18"/>
              </w:rPr>
            </w:pPr>
            <w:r w:rsidRPr="003B4B6A">
              <w:rPr>
                <w:b/>
                <w:i/>
                <w:sz w:val="18"/>
                <w:szCs w:val="18"/>
              </w:rPr>
              <w:t>The MOJ told us they moved to a new data source in 2015 which gave them much more control over the data. This means that figures prior to 2015 are not directly comparable.</w:t>
            </w:r>
          </w:p>
          <w:p w:rsidR="00711E63" w:rsidRPr="003B4B6A" w:rsidRDefault="00711E63">
            <w:pPr>
              <w:rPr>
                <w:b/>
                <w:i/>
                <w:sz w:val="18"/>
                <w:szCs w:val="18"/>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tcPr>
          <w:p w:rsidR="00711E63" w:rsidRPr="003B4B6A" w:rsidRDefault="00711E63">
            <w:pPr>
              <w:rPr>
                <w:b/>
                <w:i/>
                <w:sz w:val="18"/>
                <w:szCs w:val="18"/>
              </w:rPr>
            </w:pPr>
            <w:r w:rsidRPr="003B4B6A">
              <w:rPr>
                <w:b/>
                <w:i/>
                <w:sz w:val="18"/>
                <w:szCs w:val="18"/>
              </w:rPr>
              <w:t>18 men</w:t>
            </w:r>
          </w:p>
          <w:p w:rsidR="00711E63" w:rsidRPr="003B4B6A" w:rsidRDefault="00711E63">
            <w:pPr>
              <w:rPr>
                <w:b/>
                <w:i/>
                <w:sz w:val="18"/>
                <w:szCs w:val="18"/>
              </w:rPr>
            </w:pPr>
            <w:r w:rsidRPr="003B4B6A">
              <w:rPr>
                <w:b/>
                <w:i/>
                <w:sz w:val="18"/>
                <w:szCs w:val="18"/>
              </w:rPr>
              <w:t>20 women</w:t>
            </w:r>
          </w:p>
          <w:p w:rsidR="00711E63" w:rsidRPr="003B4B6A" w:rsidRDefault="00711E63">
            <w:pPr>
              <w:rPr>
                <w:b/>
                <w:i/>
                <w:sz w:val="18"/>
                <w:szCs w:val="18"/>
              </w:rPr>
            </w:pPr>
          </w:p>
          <w:p w:rsidR="00711E63" w:rsidRPr="003B4B6A" w:rsidRDefault="00711E63">
            <w:pPr>
              <w:rPr>
                <w:b/>
                <w:i/>
                <w:sz w:val="18"/>
                <w:szCs w:val="18"/>
              </w:rPr>
            </w:pPr>
            <w:r w:rsidRPr="003B4B6A">
              <w:rPr>
                <w:b/>
                <w:i/>
                <w:sz w:val="18"/>
                <w:szCs w:val="18"/>
              </w:rPr>
              <w:t>“Sentenced admissions”</w:t>
            </w:r>
          </w:p>
        </w:tc>
        <w:tc>
          <w:tcPr>
            <w:tcW w:w="2852" w:type="dxa"/>
            <w:tcBorders>
              <w:top w:val="nil"/>
              <w:left w:val="nil"/>
              <w:bottom w:val="single" w:sz="8" w:space="0" w:color="auto"/>
              <w:right w:val="single" w:sz="8" w:space="0" w:color="auto"/>
            </w:tcBorders>
            <w:tcMar>
              <w:top w:w="0" w:type="dxa"/>
              <w:left w:w="108" w:type="dxa"/>
              <w:bottom w:w="0" w:type="dxa"/>
              <w:right w:w="108" w:type="dxa"/>
            </w:tcMar>
            <w:hideMark/>
          </w:tcPr>
          <w:p w:rsidR="00711E63" w:rsidRPr="003B4B6A" w:rsidRDefault="00711E63">
            <w:pPr>
              <w:rPr>
                <w:b/>
                <w:i/>
                <w:sz w:val="18"/>
                <w:szCs w:val="18"/>
              </w:rPr>
            </w:pPr>
            <w:r w:rsidRPr="003B4B6A">
              <w:rPr>
                <w:b/>
                <w:i/>
                <w:sz w:val="18"/>
                <w:szCs w:val="18"/>
              </w:rPr>
              <w:t>N/A</w:t>
            </w:r>
          </w:p>
        </w:tc>
      </w:tr>
      <w:tr w:rsidR="00711E63" w:rsidRPr="003B4B6A" w:rsidTr="00B35E66">
        <w:trPr>
          <w:trHeight w:val="1419"/>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E63" w:rsidRPr="003B4B6A" w:rsidRDefault="00711E63">
            <w:pPr>
              <w:rPr>
                <w:b/>
                <w:i/>
                <w:sz w:val="18"/>
                <w:szCs w:val="18"/>
              </w:rPr>
            </w:pPr>
            <w:r w:rsidRPr="003B4B6A">
              <w:rPr>
                <w:b/>
                <w:i/>
                <w:sz w:val="18"/>
                <w:szCs w:val="18"/>
              </w:rPr>
              <w:t>2014</w:t>
            </w:r>
          </w:p>
        </w:tc>
        <w:tc>
          <w:tcPr>
            <w:tcW w:w="3372" w:type="dxa"/>
            <w:tcBorders>
              <w:top w:val="nil"/>
              <w:left w:val="nil"/>
              <w:bottom w:val="single" w:sz="8" w:space="0" w:color="auto"/>
              <w:right w:val="single" w:sz="8" w:space="0" w:color="auto"/>
            </w:tcBorders>
            <w:tcMar>
              <w:top w:w="0" w:type="dxa"/>
              <w:left w:w="108" w:type="dxa"/>
              <w:bottom w:w="0" w:type="dxa"/>
              <w:right w:w="108" w:type="dxa"/>
            </w:tcMar>
          </w:tcPr>
          <w:p w:rsidR="00711E63" w:rsidRPr="003B4B6A" w:rsidRDefault="00711E63">
            <w:pPr>
              <w:rPr>
                <w:b/>
                <w:i/>
                <w:sz w:val="18"/>
                <w:szCs w:val="18"/>
              </w:rPr>
            </w:pPr>
            <w:r w:rsidRPr="003B4B6A">
              <w:rPr>
                <w:b/>
                <w:i/>
                <w:sz w:val="18"/>
                <w:szCs w:val="18"/>
              </w:rPr>
              <w:t>18 men</w:t>
            </w:r>
          </w:p>
          <w:p w:rsidR="00711E63" w:rsidRPr="003B4B6A" w:rsidRDefault="00711E63">
            <w:pPr>
              <w:rPr>
                <w:b/>
                <w:i/>
                <w:sz w:val="18"/>
                <w:szCs w:val="18"/>
              </w:rPr>
            </w:pPr>
            <w:r w:rsidRPr="003B4B6A">
              <w:rPr>
                <w:b/>
                <w:i/>
                <w:sz w:val="18"/>
                <w:szCs w:val="18"/>
              </w:rPr>
              <w:t>20 women</w:t>
            </w:r>
          </w:p>
          <w:p w:rsidR="00711E63" w:rsidRPr="003B4B6A" w:rsidRDefault="00711E63">
            <w:pPr>
              <w:rPr>
                <w:b/>
                <w:i/>
                <w:sz w:val="18"/>
                <w:szCs w:val="18"/>
              </w:rPr>
            </w:pPr>
          </w:p>
          <w:p w:rsidR="00711E63" w:rsidRPr="003B4B6A" w:rsidRDefault="00711E63">
            <w:pPr>
              <w:rPr>
                <w:b/>
                <w:i/>
                <w:sz w:val="18"/>
                <w:szCs w:val="18"/>
              </w:rPr>
            </w:pPr>
            <w:r w:rsidRPr="003B4B6A">
              <w:rPr>
                <w:b/>
                <w:i/>
                <w:sz w:val="18"/>
                <w:szCs w:val="18"/>
              </w:rPr>
              <w:t>“fine defaulter receptions”</w:t>
            </w:r>
          </w:p>
          <w:p w:rsidR="00711E63" w:rsidRPr="003B4B6A" w:rsidRDefault="00711E63">
            <w:pPr>
              <w:rPr>
                <w:b/>
                <w:i/>
                <w:sz w:val="18"/>
                <w:szCs w:val="18"/>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tcPr>
          <w:p w:rsidR="00711E63" w:rsidRPr="003B4B6A" w:rsidRDefault="00711E63">
            <w:pPr>
              <w:rPr>
                <w:b/>
                <w:i/>
                <w:sz w:val="18"/>
                <w:szCs w:val="18"/>
              </w:rPr>
            </w:pPr>
            <w:r w:rsidRPr="003B4B6A">
              <w:rPr>
                <w:b/>
                <w:i/>
                <w:sz w:val="18"/>
                <w:szCs w:val="18"/>
              </w:rPr>
              <w:t>28 men</w:t>
            </w:r>
          </w:p>
          <w:p w:rsidR="00711E63" w:rsidRPr="003B4B6A" w:rsidRDefault="00711E63">
            <w:pPr>
              <w:rPr>
                <w:b/>
                <w:i/>
                <w:sz w:val="18"/>
                <w:szCs w:val="18"/>
              </w:rPr>
            </w:pPr>
            <w:r w:rsidRPr="003B4B6A">
              <w:rPr>
                <w:b/>
                <w:i/>
                <w:sz w:val="18"/>
                <w:szCs w:val="18"/>
              </w:rPr>
              <w:t>11 women</w:t>
            </w:r>
          </w:p>
          <w:p w:rsidR="00711E63" w:rsidRPr="003B4B6A" w:rsidRDefault="00711E63">
            <w:pPr>
              <w:rPr>
                <w:b/>
                <w:i/>
                <w:sz w:val="18"/>
                <w:szCs w:val="18"/>
              </w:rPr>
            </w:pPr>
          </w:p>
          <w:p w:rsidR="00711E63" w:rsidRPr="003B4B6A" w:rsidRDefault="00711E63">
            <w:pPr>
              <w:rPr>
                <w:b/>
                <w:i/>
                <w:sz w:val="18"/>
                <w:szCs w:val="18"/>
              </w:rPr>
            </w:pPr>
            <w:r w:rsidRPr="003B4B6A">
              <w:rPr>
                <w:b/>
                <w:i/>
                <w:sz w:val="18"/>
                <w:szCs w:val="18"/>
              </w:rPr>
              <w:t>“fine defaulter receptions”</w:t>
            </w:r>
          </w:p>
          <w:p w:rsidR="00711E63" w:rsidRPr="003B4B6A" w:rsidRDefault="00711E63">
            <w:pPr>
              <w:rPr>
                <w:b/>
                <w:i/>
                <w:sz w:val="18"/>
                <w:szCs w:val="18"/>
              </w:rPr>
            </w:pPr>
          </w:p>
        </w:tc>
        <w:tc>
          <w:tcPr>
            <w:tcW w:w="2852" w:type="dxa"/>
            <w:tcBorders>
              <w:top w:val="nil"/>
              <w:left w:val="nil"/>
              <w:bottom w:val="single" w:sz="8" w:space="0" w:color="auto"/>
              <w:right w:val="single" w:sz="8" w:space="0" w:color="auto"/>
            </w:tcBorders>
            <w:tcMar>
              <w:top w:w="0" w:type="dxa"/>
              <w:left w:w="108" w:type="dxa"/>
              <w:bottom w:w="0" w:type="dxa"/>
              <w:right w:w="108" w:type="dxa"/>
            </w:tcMar>
            <w:hideMark/>
          </w:tcPr>
          <w:p w:rsidR="00711E63" w:rsidRPr="003B4B6A" w:rsidRDefault="00711E63">
            <w:pPr>
              <w:rPr>
                <w:b/>
                <w:i/>
                <w:sz w:val="18"/>
                <w:szCs w:val="18"/>
              </w:rPr>
            </w:pPr>
            <w:r w:rsidRPr="003B4B6A">
              <w:rPr>
                <w:b/>
                <w:i/>
                <w:sz w:val="18"/>
                <w:szCs w:val="18"/>
              </w:rPr>
              <w:t>10 men (Jan to Sep)</w:t>
            </w:r>
          </w:p>
          <w:p w:rsidR="00711E63" w:rsidRPr="003B4B6A" w:rsidRDefault="00711E63">
            <w:pPr>
              <w:rPr>
                <w:b/>
                <w:i/>
                <w:sz w:val="18"/>
                <w:szCs w:val="18"/>
              </w:rPr>
            </w:pPr>
            <w:r w:rsidRPr="003B4B6A">
              <w:rPr>
                <w:b/>
                <w:i/>
                <w:sz w:val="18"/>
                <w:szCs w:val="18"/>
              </w:rPr>
              <w:t>24 women (Jan to Sep)</w:t>
            </w:r>
          </w:p>
        </w:tc>
      </w:tr>
    </w:tbl>
    <w:p w:rsidR="00711E63" w:rsidRPr="00156252" w:rsidRDefault="00711E63" w:rsidP="00156252">
      <w:pPr>
        <w:rPr>
          <w:b/>
          <w:szCs w:val="22"/>
        </w:rPr>
      </w:pPr>
    </w:p>
    <w:p w:rsidR="00156252" w:rsidRPr="00156252" w:rsidRDefault="00156252" w:rsidP="00156252">
      <w:pPr>
        <w:rPr>
          <w:b/>
          <w:szCs w:val="22"/>
        </w:rPr>
      </w:pPr>
    </w:p>
    <w:p w:rsidR="00F96851" w:rsidRPr="00F96851" w:rsidRDefault="00F96851" w:rsidP="00F96851">
      <w:pPr>
        <w:rPr>
          <w:szCs w:val="22"/>
        </w:rPr>
      </w:pPr>
      <w:r w:rsidRPr="00F96851">
        <w:rPr>
          <w:szCs w:val="22"/>
        </w:rPr>
        <w:t>Your request has been handled under the Freedom of Information Act 2000 (FOIA).</w:t>
      </w:r>
    </w:p>
    <w:p w:rsidR="00F96851" w:rsidRPr="00F96851" w:rsidRDefault="00F96851" w:rsidP="00F96851">
      <w:pPr>
        <w:rPr>
          <w:szCs w:val="22"/>
        </w:rPr>
      </w:pPr>
    </w:p>
    <w:p w:rsidR="00F96851" w:rsidRPr="00233124" w:rsidRDefault="00233124" w:rsidP="00F96851">
      <w:pPr>
        <w:rPr>
          <w:szCs w:val="22"/>
        </w:rPr>
      </w:pPr>
      <w:r w:rsidRPr="00233124">
        <w:rPr>
          <w:szCs w:val="22"/>
        </w:rPr>
        <w:t xml:space="preserve">Please find the requested data as </w:t>
      </w:r>
      <w:r w:rsidR="00F96851" w:rsidRPr="00233124">
        <w:rPr>
          <w:szCs w:val="22"/>
        </w:rPr>
        <w:t xml:space="preserve">below. </w:t>
      </w:r>
    </w:p>
    <w:p w:rsidR="00F96851" w:rsidRPr="00233124" w:rsidRDefault="00F96851" w:rsidP="00F96851">
      <w:pPr>
        <w:rPr>
          <w:szCs w:val="22"/>
        </w:rPr>
      </w:pPr>
    </w:p>
    <w:p w:rsidR="00F96851" w:rsidRPr="00233124" w:rsidRDefault="00F96851" w:rsidP="00F96851">
      <w:pPr>
        <w:rPr>
          <w:szCs w:val="22"/>
        </w:rPr>
      </w:pPr>
      <w:r w:rsidRPr="00233124">
        <w:rPr>
          <w:szCs w:val="22"/>
        </w:rPr>
        <w:t xml:space="preserve"> </w:t>
      </w:r>
    </w:p>
    <w:p w:rsidR="00F96851" w:rsidRPr="00233124" w:rsidRDefault="00233124" w:rsidP="00233124">
      <w:pPr>
        <w:numPr>
          <w:ilvl w:val="0"/>
          <w:numId w:val="3"/>
        </w:numPr>
        <w:rPr>
          <w:szCs w:val="22"/>
        </w:rPr>
      </w:pPr>
      <w:r w:rsidRPr="00233124">
        <w:rPr>
          <w:szCs w:val="22"/>
        </w:rPr>
        <w:t xml:space="preserve">Women and men jailed for TV Licensing offences in England and Wales in 2014 and 2015 can be viewed in attached table. </w:t>
      </w:r>
    </w:p>
    <w:p w:rsidR="00F96851" w:rsidRPr="00233124" w:rsidRDefault="00F96851" w:rsidP="00F96851">
      <w:pPr>
        <w:rPr>
          <w:szCs w:val="22"/>
        </w:rPr>
      </w:pPr>
    </w:p>
    <w:p w:rsidR="004A43CF" w:rsidRPr="00CC3D30" w:rsidRDefault="003B4B6A" w:rsidP="004A43CF">
      <w:pPr>
        <w:numPr>
          <w:ilvl w:val="0"/>
          <w:numId w:val="3"/>
        </w:numPr>
        <w:rPr>
          <w:szCs w:val="22"/>
        </w:rPr>
      </w:pPr>
      <w:r>
        <w:rPr>
          <w:szCs w:val="22"/>
        </w:rPr>
        <w:t>For the d</w:t>
      </w:r>
      <w:r w:rsidR="004A43CF" w:rsidRPr="00CC3D30">
        <w:rPr>
          <w:szCs w:val="22"/>
        </w:rPr>
        <w:t>ifference between ‘fine defaulter receptions’ and ‘sentenced admissions please see the below text:</w:t>
      </w:r>
    </w:p>
    <w:p w:rsidR="004A43CF" w:rsidRDefault="004A43CF" w:rsidP="00B22FB9">
      <w:pPr>
        <w:rPr>
          <w:szCs w:val="22"/>
        </w:rPr>
      </w:pPr>
    </w:p>
    <w:p w:rsidR="00B22FB9" w:rsidRPr="0078750B" w:rsidRDefault="00B22FB9" w:rsidP="00B22FB9">
      <w:pPr>
        <w:rPr>
          <w:b/>
          <w:szCs w:val="22"/>
        </w:rPr>
      </w:pPr>
      <w:r w:rsidRPr="0078750B">
        <w:rPr>
          <w:b/>
          <w:szCs w:val="22"/>
        </w:rPr>
        <w:t>Fine defaulter admissions (previously called fine defaulter receptions)</w:t>
      </w:r>
    </w:p>
    <w:p w:rsidR="00B22FB9" w:rsidRPr="00B22FB9" w:rsidRDefault="00B22FB9" w:rsidP="00B22FB9">
      <w:pPr>
        <w:rPr>
          <w:szCs w:val="22"/>
        </w:rPr>
      </w:pPr>
    </w:p>
    <w:p w:rsidR="00B22FB9" w:rsidRPr="00B22FB9" w:rsidRDefault="00B22FB9" w:rsidP="00B22FB9">
      <w:pPr>
        <w:rPr>
          <w:szCs w:val="22"/>
        </w:rPr>
      </w:pPr>
      <w:r w:rsidRPr="00B22FB9">
        <w:rPr>
          <w:szCs w:val="22"/>
        </w:rPr>
        <w:t>The only mechanism by which you can go to prison for ‘using a TV without a licence’ is by defaulting on the imposed fine. In these cases the offender should be recorded as a ‘fine defaulter admission’.</w:t>
      </w:r>
    </w:p>
    <w:p w:rsidR="00B22FB9" w:rsidRPr="00B22FB9" w:rsidRDefault="00B22FB9" w:rsidP="00B22FB9">
      <w:pPr>
        <w:rPr>
          <w:szCs w:val="22"/>
        </w:rPr>
      </w:pPr>
    </w:p>
    <w:p w:rsidR="00B22FB9" w:rsidRPr="0078750B" w:rsidRDefault="00B22FB9" w:rsidP="00B22FB9">
      <w:pPr>
        <w:rPr>
          <w:b/>
          <w:szCs w:val="22"/>
        </w:rPr>
      </w:pPr>
      <w:r w:rsidRPr="0078750B">
        <w:rPr>
          <w:b/>
          <w:szCs w:val="22"/>
        </w:rPr>
        <w:t>Sentenced admissions (previously called sentenced receptions)</w:t>
      </w:r>
    </w:p>
    <w:p w:rsidR="00B22FB9" w:rsidRPr="0078750B" w:rsidRDefault="00B22FB9" w:rsidP="00B22FB9">
      <w:pPr>
        <w:rPr>
          <w:b/>
          <w:szCs w:val="22"/>
        </w:rPr>
      </w:pPr>
    </w:p>
    <w:p w:rsidR="00B22FB9" w:rsidRPr="00B22FB9" w:rsidRDefault="00B22FB9" w:rsidP="00B22FB9">
      <w:pPr>
        <w:rPr>
          <w:szCs w:val="22"/>
        </w:rPr>
      </w:pPr>
      <w:r w:rsidRPr="00B22FB9">
        <w:rPr>
          <w:szCs w:val="22"/>
        </w:rPr>
        <w:t>The term ‘sentenced admissions’ includes the above ‘fine defaulter admissions’, but also includes offenders who are admitted to custody with court-imposed ‘determinate’ and ‘indeterminate’ sentences. Therefore ‘fine defaulter admissions’ are a subset of sentenced admissions.</w:t>
      </w:r>
    </w:p>
    <w:p w:rsidR="00B22FB9" w:rsidRPr="00B22FB9" w:rsidRDefault="00B22FB9" w:rsidP="00B22FB9">
      <w:pPr>
        <w:rPr>
          <w:szCs w:val="22"/>
        </w:rPr>
      </w:pPr>
    </w:p>
    <w:p w:rsidR="00F96851" w:rsidRPr="00F96851" w:rsidRDefault="003B4B6A" w:rsidP="00B22FB9">
      <w:pPr>
        <w:rPr>
          <w:szCs w:val="22"/>
        </w:rPr>
      </w:pPr>
      <w:r>
        <w:rPr>
          <w:szCs w:val="22"/>
        </w:rPr>
        <w:t>O</w:t>
      </w:r>
      <w:r w:rsidR="00B22FB9" w:rsidRPr="00B22FB9">
        <w:rPr>
          <w:szCs w:val="22"/>
        </w:rPr>
        <w:t>ffenders who have been sent to prison for defaulting on a fine (such as in the case of a TV licence offence) will be recorded as ‘sentenced admission’, but should also be recorded as ‘fine defaulter admission’. The difference between the two sets of figures is likely due to issues in data recording and processing. We will be exploring the effect of our transition to a new data source in 2015 on the classification of these offenders</w:t>
      </w:r>
    </w:p>
    <w:p w:rsidR="00F96851" w:rsidRDefault="00F96851" w:rsidP="00F96851">
      <w:pPr>
        <w:rPr>
          <w:szCs w:val="22"/>
        </w:rPr>
      </w:pPr>
    </w:p>
    <w:p w:rsidR="00BB4500" w:rsidRDefault="00FE7F50" w:rsidP="00F96851">
      <w:pPr>
        <w:rPr>
          <w:szCs w:val="22"/>
        </w:rPr>
      </w:pPr>
      <w:r w:rsidRPr="009D66A1">
        <w:rPr>
          <w:szCs w:val="22"/>
        </w:rPr>
        <w:t xml:space="preserve">In answer to your question on whether the correct figures for the number of women and men jailed for TV Licensing offences in England and Wales in 2014 and 2015 were provided to </w:t>
      </w:r>
      <w:r w:rsidR="00B76905">
        <w:rPr>
          <w:szCs w:val="22"/>
        </w:rPr>
        <w:t>X</w:t>
      </w:r>
      <w:r w:rsidR="008F5A35" w:rsidRPr="009D66A1">
        <w:rPr>
          <w:szCs w:val="22"/>
        </w:rPr>
        <w:t>.</w:t>
      </w:r>
      <w:r w:rsidRPr="009D66A1">
        <w:rPr>
          <w:szCs w:val="22"/>
        </w:rPr>
        <w:t xml:space="preserve"> </w:t>
      </w:r>
      <w:r w:rsidR="00AC74A6" w:rsidRPr="009D66A1">
        <w:rPr>
          <w:szCs w:val="22"/>
        </w:rPr>
        <w:t>I regret to inform you that due to administrative error the incorrect figures</w:t>
      </w:r>
      <w:r w:rsidRPr="009D66A1">
        <w:rPr>
          <w:szCs w:val="22"/>
        </w:rPr>
        <w:t xml:space="preserve"> </w:t>
      </w:r>
      <w:r w:rsidR="00551799" w:rsidRPr="009D66A1">
        <w:rPr>
          <w:szCs w:val="22"/>
        </w:rPr>
        <w:t xml:space="preserve">for calendar year 2015 </w:t>
      </w:r>
      <w:r w:rsidRPr="009D66A1">
        <w:rPr>
          <w:szCs w:val="22"/>
        </w:rPr>
        <w:t xml:space="preserve">were provided in FOI </w:t>
      </w:r>
      <w:r w:rsidR="001216B5" w:rsidRPr="009D66A1">
        <w:rPr>
          <w:szCs w:val="22"/>
        </w:rPr>
        <w:t>99370</w:t>
      </w:r>
      <w:r w:rsidR="008F5A35" w:rsidRPr="009D66A1">
        <w:rPr>
          <w:szCs w:val="22"/>
        </w:rPr>
        <w:t>,</w:t>
      </w:r>
      <w:r w:rsidR="00AC74A6" w:rsidRPr="009D66A1">
        <w:rPr>
          <w:szCs w:val="22"/>
        </w:rPr>
        <w:t xml:space="preserve"> </w:t>
      </w:r>
      <w:r w:rsidR="008F5A35" w:rsidRPr="009D66A1">
        <w:rPr>
          <w:szCs w:val="22"/>
        </w:rPr>
        <w:t>p</w:t>
      </w:r>
      <w:r w:rsidR="00AC74A6" w:rsidRPr="009D66A1">
        <w:rPr>
          <w:szCs w:val="22"/>
        </w:rPr>
        <w:t>lease accept our apologies for th</w:t>
      </w:r>
      <w:r w:rsidR="00551799" w:rsidRPr="009D66A1">
        <w:rPr>
          <w:szCs w:val="22"/>
        </w:rPr>
        <w:t>is</w:t>
      </w:r>
      <w:r w:rsidR="00AC74A6" w:rsidRPr="009D66A1">
        <w:rPr>
          <w:szCs w:val="22"/>
        </w:rPr>
        <w:t xml:space="preserve"> error. </w:t>
      </w:r>
      <w:r w:rsidR="00471179" w:rsidRPr="009D66A1">
        <w:rPr>
          <w:szCs w:val="22"/>
        </w:rPr>
        <w:t>However</w:t>
      </w:r>
      <w:r w:rsidR="00C50166" w:rsidRPr="009D66A1">
        <w:rPr>
          <w:szCs w:val="22"/>
        </w:rPr>
        <w:t>,</w:t>
      </w:r>
      <w:r w:rsidR="00471179" w:rsidRPr="009D66A1">
        <w:rPr>
          <w:szCs w:val="22"/>
        </w:rPr>
        <w:t xml:space="preserve"> </w:t>
      </w:r>
      <w:r w:rsidR="00E0136C" w:rsidRPr="009D66A1">
        <w:rPr>
          <w:szCs w:val="22"/>
        </w:rPr>
        <w:t>the figures that we provided</w:t>
      </w:r>
      <w:r w:rsidR="009B7D3A" w:rsidRPr="009D66A1">
        <w:t xml:space="preserve"> </w:t>
      </w:r>
      <w:r w:rsidR="00C50166" w:rsidRPr="009D66A1">
        <w:t xml:space="preserve">to </w:t>
      </w:r>
      <w:r w:rsidR="00B76905">
        <w:t xml:space="preserve">X </w:t>
      </w:r>
      <w:r w:rsidR="009B7D3A" w:rsidRPr="009D66A1">
        <w:rPr>
          <w:szCs w:val="22"/>
        </w:rPr>
        <w:t>for calendar year 2015</w:t>
      </w:r>
      <w:r w:rsidR="00E0136C" w:rsidRPr="009D66A1">
        <w:rPr>
          <w:szCs w:val="22"/>
        </w:rPr>
        <w:t xml:space="preserve"> in FOI 109140 </w:t>
      </w:r>
      <w:r w:rsidR="006F1AA7" w:rsidRPr="009D66A1">
        <w:rPr>
          <w:szCs w:val="22"/>
        </w:rPr>
        <w:t>are</w:t>
      </w:r>
      <w:r w:rsidR="0061305E" w:rsidRPr="009D66A1">
        <w:rPr>
          <w:szCs w:val="22"/>
        </w:rPr>
        <w:t xml:space="preserve"> correct.</w:t>
      </w:r>
      <w:r w:rsidR="00E0136C">
        <w:rPr>
          <w:szCs w:val="22"/>
        </w:rPr>
        <w:t xml:space="preserve"> </w:t>
      </w:r>
      <w:r>
        <w:rPr>
          <w:szCs w:val="22"/>
        </w:rPr>
        <w:t xml:space="preserve"> </w:t>
      </w:r>
    </w:p>
    <w:p w:rsidR="00BB4500" w:rsidRPr="00F96851" w:rsidRDefault="00BB4500" w:rsidP="00F96851">
      <w:pPr>
        <w:rPr>
          <w:szCs w:val="22"/>
        </w:rPr>
      </w:pPr>
    </w:p>
    <w:p w:rsidR="0076461F" w:rsidRPr="00C61A17" w:rsidRDefault="0076461F" w:rsidP="0076461F">
      <w:pPr>
        <w:rPr>
          <w:szCs w:val="22"/>
        </w:rPr>
      </w:pPr>
      <w:r w:rsidRPr="00C61A17">
        <w:rPr>
          <w:szCs w:val="22"/>
        </w:rPr>
        <w:t xml:space="preserve"> </w:t>
      </w:r>
    </w:p>
    <w:sectPr w:rsidR="0076461F" w:rsidRPr="00C61A17"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8B" w:rsidRDefault="00D4688B">
      <w:r>
        <w:separator/>
      </w:r>
    </w:p>
  </w:endnote>
  <w:endnote w:type="continuationSeparator" w:id="0">
    <w:p w:rsidR="00D4688B" w:rsidRDefault="00D4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7690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8B" w:rsidRDefault="00D4688B">
      <w:r>
        <w:separator/>
      </w:r>
    </w:p>
  </w:footnote>
  <w:footnote w:type="continuationSeparator" w:id="0">
    <w:p w:rsidR="00D4688B" w:rsidRDefault="00D46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709F5"/>
    <w:multiLevelType w:val="hybridMultilevel"/>
    <w:tmpl w:val="D03E6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448B6"/>
    <w:rsid w:val="0007191D"/>
    <w:rsid w:val="0007380F"/>
    <w:rsid w:val="00074005"/>
    <w:rsid w:val="000744C3"/>
    <w:rsid w:val="00083D63"/>
    <w:rsid w:val="0008457A"/>
    <w:rsid w:val="0009138F"/>
    <w:rsid w:val="00096BA0"/>
    <w:rsid w:val="0009754B"/>
    <w:rsid w:val="000A3195"/>
    <w:rsid w:val="000A62FB"/>
    <w:rsid w:val="00106DEE"/>
    <w:rsid w:val="00111E13"/>
    <w:rsid w:val="001216B5"/>
    <w:rsid w:val="00134A2E"/>
    <w:rsid w:val="00146154"/>
    <w:rsid w:val="00152F0C"/>
    <w:rsid w:val="00153E76"/>
    <w:rsid w:val="00154D2E"/>
    <w:rsid w:val="00156252"/>
    <w:rsid w:val="0017541D"/>
    <w:rsid w:val="001A3A7E"/>
    <w:rsid w:val="001A47E5"/>
    <w:rsid w:val="001A4EE1"/>
    <w:rsid w:val="001B3E43"/>
    <w:rsid w:val="001B6FB2"/>
    <w:rsid w:val="001C54E1"/>
    <w:rsid w:val="001C779E"/>
    <w:rsid w:val="001D3049"/>
    <w:rsid w:val="001E0568"/>
    <w:rsid w:val="001E1665"/>
    <w:rsid w:val="001F33F4"/>
    <w:rsid w:val="00202691"/>
    <w:rsid w:val="00233124"/>
    <w:rsid w:val="002456EA"/>
    <w:rsid w:val="00255FC6"/>
    <w:rsid w:val="002654A9"/>
    <w:rsid w:val="002722D1"/>
    <w:rsid w:val="00273E23"/>
    <w:rsid w:val="00285A9C"/>
    <w:rsid w:val="0029075B"/>
    <w:rsid w:val="002B0ECE"/>
    <w:rsid w:val="002C5025"/>
    <w:rsid w:val="002C5C22"/>
    <w:rsid w:val="002C7C55"/>
    <w:rsid w:val="002D5314"/>
    <w:rsid w:val="002E39E4"/>
    <w:rsid w:val="002F24C7"/>
    <w:rsid w:val="002F50F6"/>
    <w:rsid w:val="002F6553"/>
    <w:rsid w:val="003011BD"/>
    <w:rsid w:val="00303661"/>
    <w:rsid w:val="0030433E"/>
    <w:rsid w:val="0031213B"/>
    <w:rsid w:val="00323067"/>
    <w:rsid w:val="003366B3"/>
    <w:rsid w:val="00342D7E"/>
    <w:rsid w:val="00375DDC"/>
    <w:rsid w:val="00376A97"/>
    <w:rsid w:val="00377D6F"/>
    <w:rsid w:val="0038642F"/>
    <w:rsid w:val="003A633E"/>
    <w:rsid w:val="003B13CA"/>
    <w:rsid w:val="003B18AB"/>
    <w:rsid w:val="003B4B6A"/>
    <w:rsid w:val="003D790A"/>
    <w:rsid w:val="003E3E27"/>
    <w:rsid w:val="00401CAB"/>
    <w:rsid w:val="00402606"/>
    <w:rsid w:val="00405922"/>
    <w:rsid w:val="004269FC"/>
    <w:rsid w:val="00435D53"/>
    <w:rsid w:val="0044169F"/>
    <w:rsid w:val="004420FE"/>
    <w:rsid w:val="00444869"/>
    <w:rsid w:val="00445AB5"/>
    <w:rsid w:val="00453104"/>
    <w:rsid w:val="00457840"/>
    <w:rsid w:val="00466CAD"/>
    <w:rsid w:val="00471179"/>
    <w:rsid w:val="00471E48"/>
    <w:rsid w:val="0048558F"/>
    <w:rsid w:val="00485C6F"/>
    <w:rsid w:val="00496E7B"/>
    <w:rsid w:val="004A43CF"/>
    <w:rsid w:val="004D58C1"/>
    <w:rsid w:val="004E00D3"/>
    <w:rsid w:val="004E03C7"/>
    <w:rsid w:val="004E5205"/>
    <w:rsid w:val="004E5CF9"/>
    <w:rsid w:val="004F3A38"/>
    <w:rsid w:val="004F3E29"/>
    <w:rsid w:val="004F5467"/>
    <w:rsid w:val="0050006A"/>
    <w:rsid w:val="00535B60"/>
    <w:rsid w:val="005361B4"/>
    <w:rsid w:val="00547C9A"/>
    <w:rsid w:val="00551799"/>
    <w:rsid w:val="00561341"/>
    <w:rsid w:val="0056296A"/>
    <w:rsid w:val="00566964"/>
    <w:rsid w:val="0056711F"/>
    <w:rsid w:val="005765D4"/>
    <w:rsid w:val="005774F0"/>
    <w:rsid w:val="0059501B"/>
    <w:rsid w:val="005A196C"/>
    <w:rsid w:val="005A1FB5"/>
    <w:rsid w:val="005B1E5F"/>
    <w:rsid w:val="005B28FC"/>
    <w:rsid w:val="005C1749"/>
    <w:rsid w:val="005D21E1"/>
    <w:rsid w:val="005E17C7"/>
    <w:rsid w:val="006045AB"/>
    <w:rsid w:val="0061305E"/>
    <w:rsid w:val="00614AA2"/>
    <w:rsid w:val="00644B57"/>
    <w:rsid w:val="00652228"/>
    <w:rsid w:val="00653905"/>
    <w:rsid w:val="00655D8F"/>
    <w:rsid w:val="00656778"/>
    <w:rsid w:val="006647E4"/>
    <w:rsid w:val="00673F9E"/>
    <w:rsid w:val="00674BC9"/>
    <w:rsid w:val="0067514B"/>
    <w:rsid w:val="0067585E"/>
    <w:rsid w:val="00680B3A"/>
    <w:rsid w:val="00681A55"/>
    <w:rsid w:val="00684760"/>
    <w:rsid w:val="00687093"/>
    <w:rsid w:val="00687276"/>
    <w:rsid w:val="006878E8"/>
    <w:rsid w:val="00692F33"/>
    <w:rsid w:val="006C72DE"/>
    <w:rsid w:val="006E32CA"/>
    <w:rsid w:val="006F1AA7"/>
    <w:rsid w:val="006F32D9"/>
    <w:rsid w:val="006F41B2"/>
    <w:rsid w:val="00711E63"/>
    <w:rsid w:val="00733EEA"/>
    <w:rsid w:val="0074259E"/>
    <w:rsid w:val="0075513B"/>
    <w:rsid w:val="0076461F"/>
    <w:rsid w:val="0078750B"/>
    <w:rsid w:val="007952E4"/>
    <w:rsid w:val="007A3DF8"/>
    <w:rsid w:val="007B7C57"/>
    <w:rsid w:val="007C771A"/>
    <w:rsid w:val="007D111B"/>
    <w:rsid w:val="007D4371"/>
    <w:rsid w:val="007D4761"/>
    <w:rsid w:val="007D476E"/>
    <w:rsid w:val="007D5ED2"/>
    <w:rsid w:val="007E11E9"/>
    <w:rsid w:val="007E4BF8"/>
    <w:rsid w:val="007F4AEE"/>
    <w:rsid w:val="00801B78"/>
    <w:rsid w:val="00802B47"/>
    <w:rsid w:val="00805323"/>
    <w:rsid w:val="00820392"/>
    <w:rsid w:val="00831B94"/>
    <w:rsid w:val="00832C18"/>
    <w:rsid w:val="00835D4F"/>
    <w:rsid w:val="008379B7"/>
    <w:rsid w:val="00837E19"/>
    <w:rsid w:val="00844B67"/>
    <w:rsid w:val="00844D94"/>
    <w:rsid w:val="00852285"/>
    <w:rsid w:val="008565E0"/>
    <w:rsid w:val="00880411"/>
    <w:rsid w:val="00882334"/>
    <w:rsid w:val="00884DB6"/>
    <w:rsid w:val="00885DB9"/>
    <w:rsid w:val="00892055"/>
    <w:rsid w:val="008970E9"/>
    <w:rsid w:val="008B21BB"/>
    <w:rsid w:val="008B36D2"/>
    <w:rsid w:val="008D45DA"/>
    <w:rsid w:val="008D564C"/>
    <w:rsid w:val="008F5A35"/>
    <w:rsid w:val="008F710B"/>
    <w:rsid w:val="0090123E"/>
    <w:rsid w:val="00917EC7"/>
    <w:rsid w:val="00960A34"/>
    <w:rsid w:val="009827DD"/>
    <w:rsid w:val="009853E8"/>
    <w:rsid w:val="00990F1F"/>
    <w:rsid w:val="009B7D3A"/>
    <w:rsid w:val="009C138B"/>
    <w:rsid w:val="009C4B46"/>
    <w:rsid w:val="009D5879"/>
    <w:rsid w:val="009D66A1"/>
    <w:rsid w:val="009D7874"/>
    <w:rsid w:val="009E3F91"/>
    <w:rsid w:val="009E69FE"/>
    <w:rsid w:val="00A16194"/>
    <w:rsid w:val="00A173AB"/>
    <w:rsid w:val="00A20BCD"/>
    <w:rsid w:val="00A349B1"/>
    <w:rsid w:val="00A40D87"/>
    <w:rsid w:val="00A459D4"/>
    <w:rsid w:val="00A4792D"/>
    <w:rsid w:val="00A479FB"/>
    <w:rsid w:val="00A66C6D"/>
    <w:rsid w:val="00A76AFC"/>
    <w:rsid w:val="00A809DF"/>
    <w:rsid w:val="00AB4343"/>
    <w:rsid w:val="00AC74A6"/>
    <w:rsid w:val="00AD7505"/>
    <w:rsid w:val="00AE5CE9"/>
    <w:rsid w:val="00AE7402"/>
    <w:rsid w:val="00AF2FD9"/>
    <w:rsid w:val="00B01B28"/>
    <w:rsid w:val="00B05CF1"/>
    <w:rsid w:val="00B22CDC"/>
    <w:rsid w:val="00B22FB9"/>
    <w:rsid w:val="00B35E66"/>
    <w:rsid w:val="00B47082"/>
    <w:rsid w:val="00B65AA8"/>
    <w:rsid w:val="00B76905"/>
    <w:rsid w:val="00B8050D"/>
    <w:rsid w:val="00B81EF9"/>
    <w:rsid w:val="00B9009F"/>
    <w:rsid w:val="00B95043"/>
    <w:rsid w:val="00BA1694"/>
    <w:rsid w:val="00BB4500"/>
    <w:rsid w:val="00BB4B4B"/>
    <w:rsid w:val="00BF55EB"/>
    <w:rsid w:val="00C26A6C"/>
    <w:rsid w:val="00C331EE"/>
    <w:rsid w:val="00C50166"/>
    <w:rsid w:val="00C52142"/>
    <w:rsid w:val="00C56E27"/>
    <w:rsid w:val="00C57C7F"/>
    <w:rsid w:val="00C61A17"/>
    <w:rsid w:val="00C66BE0"/>
    <w:rsid w:val="00C72245"/>
    <w:rsid w:val="00CB333A"/>
    <w:rsid w:val="00CB54AB"/>
    <w:rsid w:val="00CB65BF"/>
    <w:rsid w:val="00CC0B65"/>
    <w:rsid w:val="00CC3D30"/>
    <w:rsid w:val="00CC54F9"/>
    <w:rsid w:val="00CE1BFE"/>
    <w:rsid w:val="00CE2FEA"/>
    <w:rsid w:val="00CF03AD"/>
    <w:rsid w:val="00CF0E52"/>
    <w:rsid w:val="00CF5F3E"/>
    <w:rsid w:val="00D010B0"/>
    <w:rsid w:val="00D035BA"/>
    <w:rsid w:val="00D04F64"/>
    <w:rsid w:val="00D11B61"/>
    <w:rsid w:val="00D14BA9"/>
    <w:rsid w:val="00D17E97"/>
    <w:rsid w:val="00D2356F"/>
    <w:rsid w:val="00D24934"/>
    <w:rsid w:val="00D25431"/>
    <w:rsid w:val="00D34F07"/>
    <w:rsid w:val="00D354B2"/>
    <w:rsid w:val="00D4688B"/>
    <w:rsid w:val="00D46C15"/>
    <w:rsid w:val="00D62050"/>
    <w:rsid w:val="00D64C3E"/>
    <w:rsid w:val="00D66074"/>
    <w:rsid w:val="00D66CB5"/>
    <w:rsid w:val="00D82613"/>
    <w:rsid w:val="00D908A9"/>
    <w:rsid w:val="00DA2D32"/>
    <w:rsid w:val="00DC0023"/>
    <w:rsid w:val="00DD0733"/>
    <w:rsid w:val="00DD4695"/>
    <w:rsid w:val="00DD5704"/>
    <w:rsid w:val="00DE65A5"/>
    <w:rsid w:val="00DE71AB"/>
    <w:rsid w:val="00E0136C"/>
    <w:rsid w:val="00E07BB4"/>
    <w:rsid w:val="00E22909"/>
    <w:rsid w:val="00E434E8"/>
    <w:rsid w:val="00E51801"/>
    <w:rsid w:val="00E53522"/>
    <w:rsid w:val="00E86F37"/>
    <w:rsid w:val="00E910E7"/>
    <w:rsid w:val="00E92C99"/>
    <w:rsid w:val="00EA1E9A"/>
    <w:rsid w:val="00EB050F"/>
    <w:rsid w:val="00EB72DE"/>
    <w:rsid w:val="00EC0C2D"/>
    <w:rsid w:val="00ED3B30"/>
    <w:rsid w:val="00ED782D"/>
    <w:rsid w:val="00EE2AA6"/>
    <w:rsid w:val="00F012C4"/>
    <w:rsid w:val="00F05906"/>
    <w:rsid w:val="00F23B4E"/>
    <w:rsid w:val="00F24423"/>
    <w:rsid w:val="00F6102B"/>
    <w:rsid w:val="00F61AFC"/>
    <w:rsid w:val="00F74765"/>
    <w:rsid w:val="00F779B2"/>
    <w:rsid w:val="00F81AD5"/>
    <w:rsid w:val="00F82DB8"/>
    <w:rsid w:val="00F92115"/>
    <w:rsid w:val="00F92475"/>
    <w:rsid w:val="00F96851"/>
    <w:rsid w:val="00FB0124"/>
    <w:rsid w:val="00FB2D55"/>
    <w:rsid w:val="00FB3ED1"/>
    <w:rsid w:val="00FC5E0E"/>
    <w:rsid w:val="00FD3240"/>
    <w:rsid w:val="00FD6D06"/>
    <w:rsid w:val="00FE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D5B6CBF-6A7F-4723-801C-F91E6F36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96BA0"/>
    <w:rPr>
      <w:sz w:val="16"/>
      <w:szCs w:val="16"/>
    </w:rPr>
  </w:style>
  <w:style w:type="paragraph" w:styleId="CommentSubject">
    <w:name w:val="annotation subject"/>
    <w:basedOn w:val="CommentText"/>
    <w:next w:val="CommentText"/>
    <w:link w:val="CommentSubjectChar"/>
    <w:rsid w:val="00096BA0"/>
    <w:rPr>
      <w:b/>
      <w:bCs/>
      <w:sz w:val="20"/>
    </w:rPr>
  </w:style>
  <w:style w:type="character" w:customStyle="1" w:styleId="CommentTextChar">
    <w:name w:val="Comment Text Char"/>
    <w:link w:val="CommentText"/>
    <w:semiHidden/>
    <w:rsid w:val="00096BA0"/>
    <w:rPr>
      <w:rFonts w:ascii="Arial" w:hAnsi="Arial"/>
      <w:sz w:val="22"/>
    </w:rPr>
  </w:style>
  <w:style w:type="character" w:customStyle="1" w:styleId="CommentSubjectChar">
    <w:name w:val="Comment Subject Char"/>
    <w:link w:val="CommentSubject"/>
    <w:rsid w:val="00096BA0"/>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73779">
      <w:bodyDiv w:val="1"/>
      <w:marLeft w:val="0"/>
      <w:marRight w:val="0"/>
      <w:marTop w:val="0"/>
      <w:marBottom w:val="0"/>
      <w:divBdr>
        <w:top w:val="none" w:sz="0" w:space="0" w:color="auto"/>
        <w:left w:val="none" w:sz="0" w:space="0" w:color="auto"/>
        <w:bottom w:val="none" w:sz="0" w:space="0" w:color="auto"/>
        <w:right w:val="none" w:sz="0" w:space="0" w:color="auto"/>
      </w:divBdr>
    </w:div>
    <w:div w:id="1241676345">
      <w:bodyDiv w:val="1"/>
      <w:marLeft w:val="0"/>
      <w:marRight w:val="0"/>
      <w:marTop w:val="0"/>
      <w:marBottom w:val="0"/>
      <w:divBdr>
        <w:top w:val="none" w:sz="0" w:space="0" w:color="auto"/>
        <w:left w:val="none" w:sz="0" w:space="0" w:color="auto"/>
        <w:bottom w:val="none" w:sz="0" w:space="0" w:color="auto"/>
        <w:right w:val="none" w:sz="0" w:space="0" w:color="auto"/>
      </w:divBdr>
    </w:div>
    <w:div w:id="19737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9FC5-9A40-412B-8B2B-EABA5170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6</TotalTime>
  <Pages>3</Pages>
  <Words>776</Words>
  <Characters>3809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FOI 109818 TV Licence Offences</vt:lpstr>
    </vt:vector>
  </TitlesOfParts>
  <Manager/>
  <Company>Ministry of Justice</Company>
  <LinksUpToDate>false</LinksUpToDate>
  <CharactersWithSpaces>4576</CharactersWithSpaces>
  <SharedDoc>false</SharedDoc>
  <HLinks>
    <vt:vector size="18" baseType="variant">
      <vt:variant>
        <vt:i4>655412</vt:i4>
      </vt:variant>
      <vt:variant>
        <vt:i4>6</vt:i4>
      </vt:variant>
      <vt:variant>
        <vt:i4>0</vt:i4>
      </vt:variant>
      <vt:variant>
        <vt:i4>5</vt:i4>
      </vt:variant>
      <vt:variant>
        <vt:lpwstr>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7667805</vt:i4>
      </vt:variant>
      <vt:variant>
        <vt:i4>0</vt:i4>
      </vt:variant>
      <vt:variant>
        <vt:i4>0</vt:i4>
      </vt:variant>
      <vt:variant>
        <vt:i4>5</vt:i4>
      </vt:variant>
      <vt:variant>
        <vt:lpwstr>mailto:nicole.taylor@bbc.co.uk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109818 TV Licence Offences</dc:title>
  <dc:subject>FOI Release</dc:subject>
  <dc:creator>MoJ</dc:creator>
  <cp:keywords/>
  <dc:description/>
  <cp:lastModifiedBy>Cox, Allan</cp:lastModifiedBy>
  <cp:revision>3</cp:revision>
  <cp:lastPrinted>2017-04-04T14:39:00Z</cp:lastPrinted>
  <dcterms:created xsi:type="dcterms:W3CDTF">2017-04-04T14:48:00Z</dcterms:created>
  <dcterms:modified xsi:type="dcterms:W3CDTF">2017-04-04T14:54:00Z</dcterms:modified>
  <cp:category/>
</cp:coreProperties>
</file>