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C9107F" w:rsidTr="00D46C15">
        <w:trPr>
          <w:trHeight w:val="2965"/>
        </w:trPr>
        <w:tc>
          <w:tcPr>
            <w:tcW w:w="6237" w:type="dxa"/>
          </w:tcPr>
          <w:p w:rsidR="00DD0733" w:rsidRPr="00C9107F" w:rsidRDefault="008E5C4A" w:rsidP="002C5025">
            <w:pPr>
              <w:pStyle w:val="MOJaddress"/>
            </w:pPr>
            <w:r w:rsidRPr="00C9107F">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DD0733" w:rsidRPr="00C9107F" w:rsidRDefault="00DD0733" w:rsidP="002C5025">
            <w:pPr>
              <w:pStyle w:val="MOJaddress"/>
              <w:rPr>
                <w:sz w:val="22"/>
                <w:szCs w:val="22"/>
              </w:rPr>
            </w:pPr>
          </w:p>
          <w:p w:rsidR="00DD0733" w:rsidRPr="00C9107F" w:rsidRDefault="00DD0733" w:rsidP="002C5025">
            <w:pPr>
              <w:pStyle w:val="MOJaddress"/>
              <w:rPr>
                <w:sz w:val="22"/>
                <w:szCs w:val="22"/>
              </w:rPr>
            </w:pPr>
          </w:p>
          <w:p w:rsidR="00D23D4E" w:rsidRPr="00955F1F" w:rsidRDefault="00D23D4E" w:rsidP="009853E8">
            <w:pPr>
              <w:pStyle w:val="MOJaddress"/>
              <w:rPr>
                <w:sz w:val="22"/>
                <w:szCs w:val="22"/>
              </w:rPr>
            </w:pPr>
          </w:p>
        </w:tc>
        <w:tc>
          <w:tcPr>
            <w:tcW w:w="3119" w:type="dxa"/>
          </w:tcPr>
          <w:p w:rsidR="00DD0733" w:rsidRPr="00996607" w:rsidRDefault="00687364" w:rsidP="00996607">
            <w:pPr>
              <w:pStyle w:val="Name"/>
              <w:rPr>
                <w:b w:val="0"/>
                <w:sz w:val="22"/>
                <w:szCs w:val="22"/>
              </w:rPr>
            </w:pPr>
            <w:r>
              <w:rPr>
                <w:sz w:val="22"/>
                <w:szCs w:val="22"/>
              </w:rPr>
              <w:t>July</w:t>
            </w:r>
            <w:r w:rsidR="009C2E1F">
              <w:rPr>
                <w:sz w:val="22"/>
                <w:szCs w:val="22"/>
              </w:rPr>
              <w:t xml:space="preserve"> </w:t>
            </w:r>
            <w:r w:rsidR="0076337B" w:rsidRPr="00C9107F">
              <w:rPr>
                <w:sz w:val="22"/>
                <w:szCs w:val="22"/>
              </w:rPr>
              <w:t>2017</w:t>
            </w:r>
          </w:p>
        </w:tc>
      </w:tr>
    </w:tbl>
    <w:p w:rsidR="00802B47" w:rsidRPr="00C9107F" w:rsidRDefault="00802B47" w:rsidP="007A3DF8">
      <w:pPr>
        <w:rPr>
          <w:szCs w:val="22"/>
        </w:rPr>
      </w:pPr>
    </w:p>
    <w:p w:rsidR="009853E8" w:rsidRPr="00C9107F" w:rsidRDefault="009853E8" w:rsidP="007A3DF8">
      <w:pPr>
        <w:rPr>
          <w:b/>
          <w:szCs w:val="22"/>
        </w:rPr>
      </w:pPr>
    </w:p>
    <w:p w:rsidR="009853E8" w:rsidRPr="00C9107F" w:rsidRDefault="007A3DF8" w:rsidP="00D22499">
      <w:pPr>
        <w:jc w:val="center"/>
        <w:rPr>
          <w:b/>
          <w:szCs w:val="22"/>
        </w:rPr>
      </w:pPr>
      <w:r w:rsidRPr="00C9107F">
        <w:rPr>
          <w:b/>
          <w:szCs w:val="22"/>
        </w:rPr>
        <w:t xml:space="preserve">Freedom of Information Act (FOIA) </w:t>
      </w:r>
      <w:r w:rsidRPr="00D22499">
        <w:rPr>
          <w:b/>
          <w:szCs w:val="22"/>
        </w:rPr>
        <w:t xml:space="preserve">Request – </w:t>
      </w:r>
      <w:r w:rsidR="0058470C">
        <w:rPr>
          <w:b/>
          <w:szCs w:val="22"/>
        </w:rPr>
        <w:t>112777</w:t>
      </w:r>
    </w:p>
    <w:p w:rsidR="009853E8" w:rsidRPr="00C9107F" w:rsidRDefault="009853E8" w:rsidP="009853E8">
      <w:pPr>
        <w:rPr>
          <w:b/>
          <w:szCs w:val="22"/>
        </w:rPr>
      </w:pPr>
    </w:p>
    <w:p w:rsidR="009853E8" w:rsidRPr="00C9107F" w:rsidRDefault="008F20F0" w:rsidP="009853E8">
      <w:pPr>
        <w:rPr>
          <w:b/>
          <w:szCs w:val="22"/>
        </w:rPr>
      </w:pPr>
      <w:r>
        <w:rPr>
          <w:rFonts w:cs="Arial"/>
        </w:rPr>
        <w:t>You</w:t>
      </w:r>
      <w:r w:rsidR="0076337B" w:rsidRPr="00C9107F">
        <w:rPr>
          <w:rFonts w:cs="Arial"/>
        </w:rPr>
        <w:t xml:space="preserve"> </w:t>
      </w:r>
      <w:r w:rsidR="0058470C">
        <w:rPr>
          <w:rFonts w:cs="Arial"/>
        </w:rPr>
        <w:t xml:space="preserve">made a further request and </w:t>
      </w:r>
      <w:r w:rsidR="0038642F" w:rsidRPr="00C9107F">
        <w:rPr>
          <w:rFonts w:cs="Arial"/>
        </w:rPr>
        <w:t>asked for the following information</w:t>
      </w:r>
      <w:r w:rsidR="0067585E" w:rsidRPr="00C9107F">
        <w:rPr>
          <w:rFonts w:cs="Arial"/>
        </w:rPr>
        <w:t xml:space="preserve"> from the Ministry of Justice (MoJ)</w:t>
      </w:r>
      <w:r w:rsidR="0038642F" w:rsidRPr="00C9107F">
        <w:rPr>
          <w:rFonts w:cs="Arial"/>
        </w:rPr>
        <w:t xml:space="preserve">: </w:t>
      </w:r>
      <w:r w:rsidR="007A3DF8" w:rsidRPr="00C9107F">
        <w:rPr>
          <w:rFonts w:cs="Arial"/>
        </w:rPr>
        <w:t xml:space="preserve"> </w:t>
      </w:r>
    </w:p>
    <w:p w:rsidR="009853E8" w:rsidRDefault="009853E8" w:rsidP="009853E8">
      <w:pPr>
        <w:rPr>
          <w:b/>
          <w:color w:val="0000CC"/>
          <w:szCs w:val="22"/>
        </w:rPr>
      </w:pPr>
      <w:bookmarkStart w:id="0" w:name="_GoBack"/>
      <w:bookmarkEnd w:id="0"/>
    </w:p>
    <w:p w:rsidR="0058470C" w:rsidRPr="0058470C" w:rsidRDefault="0058470C" w:rsidP="0058470C">
      <w:pPr>
        <w:rPr>
          <w:b/>
          <w:i/>
          <w:szCs w:val="22"/>
        </w:rPr>
      </w:pPr>
      <w:r w:rsidRPr="0058470C">
        <w:rPr>
          <w:b/>
          <w:i/>
          <w:szCs w:val="22"/>
        </w:rPr>
        <w:t>Do you have the figures broken down into the three different counties?  That would be really useful.  Really appreciate your help on this.  Is there anyone who is able to provide statistics without it being a Freedom of Information Request.</w:t>
      </w:r>
    </w:p>
    <w:p w:rsidR="0058470C" w:rsidRDefault="0058470C" w:rsidP="0058470C">
      <w:pPr>
        <w:rPr>
          <w:szCs w:val="22"/>
        </w:rPr>
      </w:pPr>
    </w:p>
    <w:p w:rsidR="0058470C" w:rsidRDefault="0058470C" w:rsidP="0058470C">
      <w:pPr>
        <w:rPr>
          <w:szCs w:val="22"/>
        </w:rPr>
      </w:pPr>
      <w:r>
        <w:rPr>
          <w:szCs w:val="22"/>
        </w:rPr>
        <w:t xml:space="preserve">Your </w:t>
      </w:r>
      <w:r w:rsidRPr="0058470C">
        <w:rPr>
          <w:szCs w:val="22"/>
        </w:rPr>
        <w:t>Original request</w:t>
      </w:r>
      <w:r>
        <w:rPr>
          <w:szCs w:val="22"/>
        </w:rPr>
        <w:t xml:space="preserve"> </w:t>
      </w:r>
      <w:r w:rsidR="00AC5977">
        <w:rPr>
          <w:szCs w:val="22"/>
        </w:rPr>
        <w:t xml:space="preserve">answered </w:t>
      </w:r>
      <w:r>
        <w:rPr>
          <w:szCs w:val="22"/>
        </w:rPr>
        <w:t>was:</w:t>
      </w:r>
    </w:p>
    <w:p w:rsidR="0058470C" w:rsidRPr="0058470C" w:rsidRDefault="0058470C" w:rsidP="0058470C">
      <w:pPr>
        <w:rPr>
          <w:szCs w:val="22"/>
        </w:rPr>
      </w:pPr>
    </w:p>
    <w:p w:rsidR="004B39E2" w:rsidRDefault="0058470C" w:rsidP="0058470C">
      <w:pPr>
        <w:rPr>
          <w:b/>
          <w:i/>
          <w:szCs w:val="22"/>
        </w:rPr>
      </w:pPr>
      <w:r w:rsidRPr="0058470C">
        <w:rPr>
          <w:b/>
          <w:i/>
          <w:szCs w:val="22"/>
        </w:rPr>
        <w:t>Ideally we need to know the number of people with release addresses in Surrey, Hampshire and West Sussex - (and if possible number of people discharged homeless to these counties, with no home address).</w:t>
      </w:r>
    </w:p>
    <w:p w:rsidR="0058470C" w:rsidRDefault="0058470C" w:rsidP="0058470C">
      <w:pPr>
        <w:rPr>
          <w:b/>
          <w:color w:val="0000CC"/>
          <w:szCs w:val="22"/>
        </w:rPr>
      </w:pPr>
    </w:p>
    <w:p w:rsidR="00687364" w:rsidRDefault="00687364" w:rsidP="00687364">
      <w:pPr>
        <w:rPr>
          <w:b/>
          <w:color w:val="0000CC"/>
          <w:szCs w:val="22"/>
        </w:rPr>
      </w:pPr>
      <w:r>
        <w:rPr>
          <w:rFonts w:cs="Arial"/>
          <w:szCs w:val="22"/>
        </w:rPr>
        <w:t>Your request has being handled under the FOIA.</w:t>
      </w:r>
      <w:r>
        <w:rPr>
          <w:b/>
          <w:color w:val="0000CC"/>
          <w:szCs w:val="22"/>
        </w:rPr>
        <w:t xml:space="preserve"> </w:t>
      </w:r>
      <w:r>
        <w:rPr>
          <w:rFonts w:cs="Arial"/>
          <w:szCs w:val="22"/>
        </w:rPr>
        <w:t xml:space="preserve">I can confirm that MoJ holds the information you have requested. </w:t>
      </w:r>
    </w:p>
    <w:p w:rsidR="00687364" w:rsidRDefault="00687364" w:rsidP="00687364">
      <w:pPr>
        <w:rPr>
          <w:rFonts w:cs="Arial"/>
          <w:szCs w:val="22"/>
          <w:lang w:eastAsia="en-US"/>
        </w:rPr>
      </w:pPr>
    </w:p>
    <w:p w:rsidR="00687364" w:rsidRDefault="00687364" w:rsidP="00687364">
      <w:pPr>
        <w:spacing w:line="240" w:lineRule="auto"/>
        <w:rPr>
          <w:rFonts w:cs="Arial"/>
          <w:szCs w:val="22"/>
          <w:lang w:eastAsia="en-US"/>
        </w:rPr>
      </w:pPr>
      <w:r>
        <w:rPr>
          <w:rFonts w:cs="Arial"/>
          <w:szCs w:val="22"/>
          <w:lang w:eastAsia="en-US"/>
        </w:rPr>
        <w:t>For the period 1</w:t>
      </w:r>
      <w:r>
        <w:rPr>
          <w:rFonts w:cs="Arial"/>
          <w:szCs w:val="22"/>
          <w:vertAlign w:val="superscript"/>
          <w:lang w:eastAsia="en-US"/>
        </w:rPr>
        <w:t>st</w:t>
      </w:r>
      <w:r>
        <w:rPr>
          <w:rFonts w:cs="Arial"/>
          <w:szCs w:val="22"/>
          <w:lang w:eastAsia="en-US"/>
        </w:rPr>
        <w:t xml:space="preserve"> October to 31</w:t>
      </w:r>
      <w:r>
        <w:rPr>
          <w:rFonts w:cs="Arial"/>
          <w:szCs w:val="22"/>
          <w:vertAlign w:val="superscript"/>
          <w:lang w:eastAsia="en-US"/>
        </w:rPr>
        <w:t>st</w:t>
      </w:r>
      <w:r>
        <w:rPr>
          <w:rFonts w:cs="Arial"/>
          <w:szCs w:val="22"/>
          <w:lang w:eastAsia="en-US"/>
        </w:rPr>
        <w:t xml:space="preserve"> December 2016, I have extracted in the table below the further breakdown requested.</w:t>
      </w:r>
    </w:p>
    <w:p w:rsidR="00687364" w:rsidRDefault="00687364" w:rsidP="00687364">
      <w:pPr>
        <w:spacing w:line="240" w:lineRule="auto"/>
        <w:rPr>
          <w:rFonts w:cs="Arial"/>
          <w:szCs w:val="22"/>
          <w:lang w:eastAsia="en-US"/>
        </w:rPr>
      </w:pPr>
    </w:p>
    <w:p w:rsidR="00687364" w:rsidRPr="001920DC" w:rsidRDefault="001920DC" w:rsidP="00687364">
      <w:pPr>
        <w:spacing w:line="240" w:lineRule="auto"/>
        <w:rPr>
          <w:rFonts w:cs="Arial"/>
          <w:b/>
          <w:szCs w:val="22"/>
          <w:lang w:eastAsia="en-US"/>
        </w:rPr>
      </w:pPr>
      <w:r w:rsidRPr="001920DC">
        <w:rPr>
          <w:rFonts w:cs="Arial"/>
          <w:b/>
          <w:szCs w:val="22"/>
          <w:lang w:eastAsia="en-US"/>
        </w:rPr>
        <w:t xml:space="preserve">Number of Offenders with release addresses from October to December 2016 </w:t>
      </w:r>
    </w:p>
    <w:tbl>
      <w:tblPr>
        <w:tblpPr w:leftFromText="180" w:rightFromText="180" w:vertAnchor="text" w:horzAnchor="page" w:tblpX="2833" w:tblpY="167"/>
        <w:tblW w:w="2499" w:type="pct"/>
        <w:tblBorders>
          <w:top w:val="single" w:sz="18" w:space="0" w:color="auto"/>
          <w:bottom w:val="single" w:sz="18" w:space="0" w:color="auto"/>
        </w:tblBorders>
        <w:tblLook w:val="0660" w:firstRow="1" w:lastRow="1" w:firstColumn="0" w:lastColumn="0" w:noHBand="1" w:noVBand="1"/>
      </w:tblPr>
      <w:tblGrid>
        <w:gridCol w:w="5340"/>
        <w:gridCol w:w="584"/>
      </w:tblGrid>
      <w:tr w:rsidR="00687364" w:rsidTr="00687364">
        <w:tc>
          <w:tcPr>
            <w:tcW w:w="2499" w:type="pct"/>
            <w:shd w:val="clear" w:color="auto" w:fill="auto"/>
            <w:noWrap/>
          </w:tcPr>
          <w:p w:rsidR="00687364" w:rsidRPr="001920DC" w:rsidRDefault="001920DC" w:rsidP="00687364">
            <w:pPr>
              <w:rPr>
                <w:rFonts w:cs="Arial"/>
              </w:rPr>
            </w:pPr>
            <w:r w:rsidRPr="001920DC">
              <w:rPr>
                <w:rFonts w:cs="Arial"/>
                <w:szCs w:val="22"/>
              </w:rPr>
              <w:t>Hampshire (including Portsmouth and Southampton)</w:t>
            </w:r>
          </w:p>
        </w:tc>
        <w:tc>
          <w:tcPr>
            <w:tcW w:w="2501" w:type="pct"/>
            <w:shd w:val="clear" w:color="auto" w:fill="auto"/>
          </w:tcPr>
          <w:p w:rsidR="00687364" w:rsidRPr="001920DC" w:rsidRDefault="001920DC" w:rsidP="00687364">
            <w:pPr>
              <w:pStyle w:val="DecimalAligned"/>
              <w:rPr>
                <w:rFonts w:ascii="Arial" w:hAnsi="Arial" w:cs="Arial"/>
              </w:rPr>
            </w:pPr>
            <w:r w:rsidRPr="001920DC">
              <w:rPr>
                <w:rFonts w:ascii="Arial" w:hAnsi="Arial" w:cs="Arial"/>
              </w:rPr>
              <w:t>338</w:t>
            </w:r>
          </w:p>
        </w:tc>
      </w:tr>
      <w:tr w:rsidR="00687364" w:rsidTr="00687364">
        <w:tc>
          <w:tcPr>
            <w:tcW w:w="2499" w:type="pct"/>
            <w:shd w:val="clear" w:color="auto" w:fill="auto"/>
            <w:noWrap/>
          </w:tcPr>
          <w:p w:rsidR="00687364" w:rsidRPr="001920DC" w:rsidRDefault="001920DC" w:rsidP="00687364">
            <w:pPr>
              <w:rPr>
                <w:rFonts w:cs="Arial"/>
              </w:rPr>
            </w:pPr>
            <w:r w:rsidRPr="001920DC">
              <w:rPr>
                <w:rFonts w:cs="Arial"/>
                <w:szCs w:val="22"/>
              </w:rPr>
              <w:t>Surrey</w:t>
            </w:r>
          </w:p>
        </w:tc>
        <w:tc>
          <w:tcPr>
            <w:tcW w:w="2501" w:type="pct"/>
            <w:shd w:val="clear" w:color="auto" w:fill="auto"/>
          </w:tcPr>
          <w:p w:rsidR="00687364" w:rsidRPr="001920DC" w:rsidRDefault="001920DC" w:rsidP="00687364">
            <w:pPr>
              <w:pStyle w:val="DecimalAligned"/>
              <w:rPr>
                <w:rFonts w:ascii="Arial" w:hAnsi="Arial" w:cs="Arial"/>
              </w:rPr>
            </w:pPr>
            <w:r w:rsidRPr="001920DC">
              <w:rPr>
                <w:rFonts w:ascii="Arial" w:hAnsi="Arial" w:cs="Arial"/>
              </w:rPr>
              <w:t>161</w:t>
            </w:r>
          </w:p>
        </w:tc>
      </w:tr>
      <w:tr w:rsidR="00687364" w:rsidTr="00687364">
        <w:tc>
          <w:tcPr>
            <w:tcW w:w="2499" w:type="pct"/>
            <w:shd w:val="clear" w:color="auto" w:fill="auto"/>
            <w:noWrap/>
          </w:tcPr>
          <w:p w:rsidR="00687364" w:rsidRPr="001920DC" w:rsidRDefault="001920DC" w:rsidP="00687364">
            <w:pPr>
              <w:rPr>
                <w:rFonts w:cs="Arial"/>
              </w:rPr>
            </w:pPr>
            <w:r w:rsidRPr="001920DC">
              <w:rPr>
                <w:rFonts w:cs="Arial"/>
                <w:szCs w:val="22"/>
              </w:rPr>
              <w:t>West Sussex</w:t>
            </w:r>
          </w:p>
        </w:tc>
        <w:tc>
          <w:tcPr>
            <w:tcW w:w="2501" w:type="pct"/>
            <w:shd w:val="clear" w:color="auto" w:fill="auto"/>
          </w:tcPr>
          <w:p w:rsidR="00687364" w:rsidRPr="001920DC" w:rsidRDefault="001920DC" w:rsidP="00687364">
            <w:pPr>
              <w:pStyle w:val="DecimalAligned"/>
              <w:rPr>
                <w:rFonts w:ascii="Arial" w:hAnsi="Arial" w:cs="Arial"/>
              </w:rPr>
            </w:pPr>
            <w:r w:rsidRPr="001920DC">
              <w:rPr>
                <w:rFonts w:ascii="Arial" w:hAnsi="Arial" w:cs="Arial"/>
              </w:rPr>
              <w:t>105</w:t>
            </w:r>
          </w:p>
        </w:tc>
      </w:tr>
      <w:tr w:rsidR="00687364" w:rsidTr="00687364">
        <w:tc>
          <w:tcPr>
            <w:tcW w:w="2499" w:type="pct"/>
            <w:shd w:val="clear" w:color="auto" w:fill="auto"/>
            <w:noWrap/>
          </w:tcPr>
          <w:p w:rsidR="00687364" w:rsidRPr="001920DC" w:rsidRDefault="001920DC" w:rsidP="00687364">
            <w:pPr>
              <w:rPr>
                <w:rFonts w:cs="Arial"/>
                <w:b/>
              </w:rPr>
            </w:pPr>
            <w:r w:rsidRPr="001920DC">
              <w:rPr>
                <w:rFonts w:cs="Arial"/>
                <w:b/>
                <w:szCs w:val="22"/>
              </w:rPr>
              <w:t>Total</w:t>
            </w:r>
          </w:p>
        </w:tc>
        <w:tc>
          <w:tcPr>
            <w:tcW w:w="2501" w:type="pct"/>
            <w:shd w:val="clear" w:color="auto" w:fill="auto"/>
          </w:tcPr>
          <w:p w:rsidR="00687364" w:rsidRPr="001920DC" w:rsidRDefault="001920DC" w:rsidP="00687364">
            <w:pPr>
              <w:pStyle w:val="DecimalAligned"/>
              <w:rPr>
                <w:rFonts w:ascii="Arial" w:hAnsi="Arial" w:cs="Arial"/>
                <w:b/>
              </w:rPr>
            </w:pPr>
            <w:r w:rsidRPr="001920DC">
              <w:rPr>
                <w:rFonts w:ascii="Arial" w:hAnsi="Arial" w:cs="Arial"/>
                <w:b/>
              </w:rPr>
              <w:t>604</w:t>
            </w:r>
          </w:p>
        </w:tc>
      </w:tr>
    </w:tbl>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p>
    <w:p w:rsidR="00687364" w:rsidRDefault="00687364" w:rsidP="00687364">
      <w:pPr>
        <w:spacing w:line="240" w:lineRule="auto"/>
        <w:rPr>
          <w:rFonts w:cs="Arial"/>
          <w:szCs w:val="22"/>
          <w:lang w:eastAsia="en-US"/>
        </w:rPr>
      </w:pPr>
      <w:r>
        <w:rPr>
          <w:rFonts w:cs="Arial"/>
          <w:szCs w:val="22"/>
          <w:lang w:eastAsia="en-US"/>
        </w:rPr>
        <w:t>Please note that this number excludes any release with no release address and any pre-C</w:t>
      </w:r>
      <w:r w:rsidR="00054A01">
        <w:rPr>
          <w:rFonts w:cs="Arial"/>
          <w:szCs w:val="22"/>
          <w:lang w:eastAsia="en-US"/>
        </w:rPr>
        <w:t xml:space="preserve">riminal </w:t>
      </w:r>
      <w:r>
        <w:rPr>
          <w:rFonts w:cs="Arial"/>
          <w:szCs w:val="22"/>
          <w:lang w:eastAsia="en-US"/>
        </w:rPr>
        <w:t>J</w:t>
      </w:r>
      <w:r w:rsidR="00054A01">
        <w:rPr>
          <w:rFonts w:cs="Arial"/>
          <w:szCs w:val="22"/>
          <w:lang w:eastAsia="en-US"/>
        </w:rPr>
        <w:t xml:space="preserve">ustice </w:t>
      </w:r>
      <w:r>
        <w:rPr>
          <w:rFonts w:cs="Arial"/>
          <w:szCs w:val="22"/>
          <w:lang w:eastAsia="en-US"/>
        </w:rPr>
        <w:t>A</w:t>
      </w:r>
      <w:r w:rsidR="00054A01">
        <w:rPr>
          <w:rFonts w:cs="Arial"/>
          <w:szCs w:val="22"/>
          <w:lang w:eastAsia="en-US"/>
        </w:rPr>
        <w:t>ct</w:t>
      </w:r>
      <w:r>
        <w:rPr>
          <w:rFonts w:cs="Arial"/>
          <w:szCs w:val="22"/>
          <w:lang w:eastAsia="en-US"/>
        </w:rPr>
        <w:t xml:space="preserve"> less than 12 month sentences (which does not have a probation release record). Do also note that this data is taken from an administrative database and as such subject to the limitations of reporting from such records.</w:t>
      </w:r>
    </w:p>
    <w:p w:rsidR="00612DA4" w:rsidRDefault="00612DA4" w:rsidP="00687364">
      <w:pPr>
        <w:spacing w:line="240" w:lineRule="auto"/>
        <w:rPr>
          <w:rFonts w:cs="Arial"/>
          <w:szCs w:val="22"/>
          <w:lang w:eastAsia="en-US"/>
        </w:rPr>
      </w:pPr>
    </w:p>
    <w:p w:rsidR="00612DA4" w:rsidRDefault="00612DA4" w:rsidP="00687364">
      <w:pPr>
        <w:spacing w:line="240" w:lineRule="auto"/>
        <w:rPr>
          <w:rFonts w:cs="Arial"/>
          <w:szCs w:val="22"/>
          <w:lang w:eastAsia="en-US"/>
        </w:rPr>
      </w:pPr>
      <w:r>
        <w:rPr>
          <w:rFonts w:cs="Arial"/>
          <w:szCs w:val="22"/>
          <w:lang w:eastAsia="en-US"/>
        </w:rPr>
        <w:t>In relation to the second part of your request, it will help if I explain that all public authorities subject to the Freedom of Information Act, have an obligation</w:t>
      </w:r>
      <w:r w:rsidR="00842468">
        <w:rPr>
          <w:rFonts w:cs="Arial"/>
          <w:szCs w:val="22"/>
          <w:lang w:eastAsia="en-US"/>
        </w:rPr>
        <w:t xml:space="preserve"> under the Act</w:t>
      </w:r>
      <w:r>
        <w:rPr>
          <w:rFonts w:cs="Arial"/>
          <w:szCs w:val="22"/>
          <w:lang w:eastAsia="en-US"/>
        </w:rPr>
        <w:t xml:space="preserve"> to consider any </w:t>
      </w:r>
      <w:r>
        <w:rPr>
          <w:rFonts w:cs="Arial"/>
          <w:szCs w:val="22"/>
          <w:lang w:eastAsia="en-US"/>
        </w:rPr>
        <w:lastRenderedPageBreak/>
        <w:t xml:space="preserve">request for recorded information in accordance with the provisions of the Act. </w:t>
      </w:r>
      <w:r w:rsidR="00175B31">
        <w:rPr>
          <w:rFonts w:cs="Arial"/>
          <w:szCs w:val="22"/>
          <w:lang w:eastAsia="en-US"/>
        </w:rPr>
        <w:t>However, request for</w:t>
      </w:r>
      <w:r w:rsidR="00842468">
        <w:rPr>
          <w:rFonts w:cs="Arial"/>
          <w:szCs w:val="22"/>
          <w:lang w:eastAsia="en-US"/>
        </w:rPr>
        <w:t xml:space="preserve"> information may </w:t>
      </w:r>
      <w:r w:rsidR="009127BD">
        <w:rPr>
          <w:rFonts w:cs="Arial"/>
          <w:szCs w:val="22"/>
          <w:lang w:eastAsia="en-US"/>
        </w:rPr>
        <w:t xml:space="preserve">on a case by case basis </w:t>
      </w:r>
      <w:r w:rsidR="00842468">
        <w:rPr>
          <w:rFonts w:cs="Arial"/>
          <w:szCs w:val="22"/>
          <w:lang w:eastAsia="en-US"/>
        </w:rPr>
        <w:t>be considered outside the scope of FOIA</w:t>
      </w:r>
      <w:r w:rsidR="009127BD">
        <w:rPr>
          <w:rFonts w:cs="Arial"/>
          <w:szCs w:val="22"/>
          <w:lang w:eastAsia="en-US"/>
        </w:rPr>
        <w:t>. For example,</w:t>
      </w:r>
      <w:r w:rsidR="00175B31">
        <w:rPr>
          <w:rFonts w:cs="Arial"/>
          <w:szCs w:val="22"/>
          <w:lang w:eastAsia="en-US"/>
        </w:rPr>
        <w:t xml:space="preserve"> a disclosure request </w:t>
      </w:r>
      <w:r w:rsidR="009127BD">
        <w:rPr>
          <w:rFonts w:cs="Arial"/>
          <w:szCs w:val="22"/>
          <w:lang w:eastAsia="en-US"/>
        </w:rPr>
        <w:t xml:space="preserve">for an unpublished information received </w:t>
      </w:r>
      <w:r w:rsidR="00175B31">
        <w:rPr>
          <w:rFonts w:cs="Arial"/>
          <w:szCs w:val="22"/>
          <w:lang w:eastAsia="en-US"/>
        </w:rPr>
        <w:t xml:space="preserve">from another government department will </w:t>
      </w:r>
      <w:r w:rsidR="009127BD">
        <w:rPr>
          <w:rFonts w:cs="Arial"/>
          <w:szCs w:val="22"/>
          <w:lang w:eastAsia="en-US"/>
        </w:rPr>
        <w:t xml:space="preserve">most likely </w:t>
      </w:r>
      <w:r w:rsidR="00175B31">
        <w:rPr>
          <w:rFonts w:cs="Arial"/>
          <w:szCs w:val="22"/>
          <w:lang w:eastAsia="en-US"/>
        </w:rPr>
        <w:t>be considered under a data sharing arrangement</w:t>
      </w:r>
      <w:r w:rsidR="009127BD">
        <w:rPr>
          <w:rFonts w:cs="Arial"/>
          <w:szCs w:val="22"/>
          <w:lang w:eastAsia="en-US"/>
        </w:rPr>
        <w:t xml:space="preserve"> and not under the FOIA</w:t>
      </w:r>
      <w:r w:rsidR="00175B31">
        <w:rPr>
          <w:rFonts w:cs="Arial"/>
          <w:szCs w:val="22"/>
          <w:lang w:eastAsia="en-US"/>
        </w:rPr>
        <w:t xml:space="preserve">. </w:t>
      </w:r>
      <w:r w:rsidR="009127BD">
        <w:rPr>
          <w:rFonts w:cs="Arial"/>
          <w:szCs w:val="22"/>
          <w:lang w:eastAsia="en-US"/>
        </w:rPr>
        <w:t xml:space="preserve">As such, </w:t>
      </w:r>
      <w:r w:rsidR="00175B31">
        <w:rPr>
          <w:rFonts w:cs="Arial"/>
          <w:szCs w:val="22"/>
          <w:lang w:eastAsia="en-US"/>
        </w:rPr>
        <w:t xml:space="preserve">all request for recorded information (including statistical information) </w:t>
      </w:r>
      <w:r w:rsidR="009127BD">
        <w:rPr>
          <w:rFonts w:cs="Arial"/>
          <w:szCs w:val="22"/>
          <w:lang w:eastAsia="en-US"/>
        </w:rPr>
        <w:t xml:space="preserve">should therefore be sent </w:t>
      </w:r>
      <w:r w:rsidR="00175B31">
        <w:rPr>
          <w:rFonts w:cs="Arial"/>
          <w:szCs w:val="22"/>
          <w:lang w:eastAsia="en-US"/>
        </w:rPr>
        <w:t>to the email address below</w:t>
      </w:r>
      <w:r w:rsidR="009127BD">
        <w:rPr>
          <w:rFonts w:cs="Arial"/>
          <w:szCs w:val="22"/>
          <w:lang w:eastAsia="en-US"/>
        </w:rPr>
        <w:t xml:space="preserve"> where</w:t>
      </w:r>
      <w:r w:rsidR="00175B31">
        <w:rPr>
          <w:rFonts w:cs="Arial"/>
          <w:szCs w:val="22"/>
          <w:lang w:eastAsia="en-US"/>
        </w:rPr>
        <w:t xml:space="preserve"> such will be co</w:t>
      </w:r>
      <w:r w:rsidR="009127BD">
        <w:rPr>
          <w:rFonts w:cs="Arial"/>
          <w:szCs w:val="22"/>
          <w:lang w:eastAsia="en-US"/>
        </w:rPr>
        <w:t xml:space="preserve">nsidered </w:t>
      </w:r>
      <w:r w:rsidR="001B45E5">
        <w:rPr>
          <w:rFonts w:cs="Arial"/>
          <w:szCs w:val="22"/>
          <w:lang w:eastAsia="en-US"/>
        </w:rPr>
        <w:t>and a decision made</w:t>
      </w:r>
      <w:r w:rsidR="009127BD">
        <w:rPr>
          <w:rFonts w:cs="Arial"/>
          <w:szCs w:val="22"/>
          <w:lang w:eastAsia="en-US"/>
        </w:rPr>
        <w:t xml:space="preserve"> on whether </w:t>
      </w:r>
      <w:r w:rsidR="001B45E5">
        <w:rPr>
          <w:rFonts w:cs="Arial"/>
          <w:szCs w:val="22"/>
          <w:lang w:eastAsia="en-US"/>
        </w:rPr>
        <w:t xml:space="preserve">a request </w:t>
      </w:r>
      <w:r w:rsidR="009127BD">
        <w:rPr>
          <w:rFonts w:cs="Arial"/>
          <w:szCs w:val="22"/>
          <w:lang w:eastAsia="en-US"/>
        </w:rPr>
        <w:t>can be considered outside of the FOIA</w:t>
      </w:r>
      <w:r w:rsidR="00175B31">
        <w:rPr>
          <w:rFonts w:cs="Arial"/>
          <w:szCs w:val="22"/>
          <w:lang w:eastAsia="en-US"/>
        </w:rPr>
        <w:t>.</w:t>
      </w:r>
    </w:p>
    <w:p w:rsidR="00687364" w:rsidRDefault="00687364" w:rsidP="00687364">
      <w:pPr>
        <w:spacing w:line="240" w:lineRule="auto"/>
        <w:rPr>
          <w:rFonts w:cs="Arial"/>
          <w:szCs w:val="22"/>
          <w:lang w:eastAsia="en-US"/>
        </w:rPr>
      </w:pPr>
    </w:p>
    <w:p w:rsidR="006E32CA" w:rsidRPr="009C4B46" w:rsidRDefault="006E32CA" w:rsidP="00832C18">
      <w:pPr>
        <w:rPr>
          <w:color w:val="0000CC"/>
          <w:szCs w:val="22"/>
        </w:rPr>
      </w:pPr>
    </w:p>
    <w:sectPr w:rsidR="006E32CA" w:rsidRPr="009C4B46"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FA9" w:rsidRDefault="000E3FA9">
      <w:r>
        <w:separator/>
      </w:r>
    </w:p>
  </w:endnote>
  <w:endnote w:type="continuationSeparator" w:id="0">
    <w:p w:rsidR="000E3FA9" w:rsidRDefault="000E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8E5C4A">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FA9" w:rsidRDefault="000E3FA9">
      <w:r>
        <w:separator/>
      </w:r>
    </w:p>
  </w:footnote>
  <w:footnote w:type="continuationSeparator" w:id="0">
    <w:p w:rsidR="000E3FA9" w:rsidRDefault="000E3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8B"/>
    <w:multiLevelType w:val="hybridMultilevel"/>
    <w:tmpl w:val="5D9C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76C8C"/>
    <w:multiLevelType w:val="hybridMultilevel"/>
    <w:tmpl w:val="E50202F6"/>
    <w:lvl w:ilvl="0" w:tplc="E5AA2AAE">
      <w:start w:val="3"/>
      <w:numFmt w:val="lowerLetter"/>
      <w:lvlText w:val="%1."/>
      <w:lvlJc w:val="left"/>
      <w:pPr>
        <w:tabs>
          <w:tab w:val="num" w:pos="720"/>
        </w:tabs>
        <w:ind w:left="720" w:hanging="360"/>
      </w:pPr>
    </w:lvl>
    <w:lvl w:ilvl="1" w:tplc="B518FC3C">
      <w:start w:val="1"/>
      <w:numFmt w:val="decimal"/>
      <w:lvlText w:val="%2."/>
      <w:lvlJc w:val="left"/>
      <w:pPr>
        <w:tabs>
          <w:tab w:val="num" w:pos="1440"/>
        </w:tabs>
        <w:ind w:left="1440" w:hanging="360"/>
      </w:pPr>
    </w:lvl>
    <w:lvl w:ilvl="2" w:tplc="10887D84">
      <w:start w:val="1"/>
      <w:numFmt w:val="decimal"/>
      <w:lvlText w:val="%3."/>
      <w:lvlJc w:val="left"/>
      <w:pPr>
        <w:tabs>
          <w:tab w:val="num" w:pos="2160"/>
        </w:tabs>
        <w:ind w:left="2160" w:hanging="360"/>
      </w:pPr>
    </w:lvl>
    <w:lvl w:ilvl="3" w:tplc="D02EED7C">
      <w:start w:val="1"/>
      <w:numFmt w:val="decimal"/>
      <w:lvlText w:val="%4."/>
      <w:lvlJc w:val="left"/>
      <w:pPr>
        <w:tabs>
          <w:tab w:val="num" w:pos="2880"/>
        </w:tabs>
        <w:ind w:left="2880" w:hanging="360"/>
      </w:pPr>
    </w:lvl>
    <w:lvl w:ilvl="4" w:tplc="56D6CA06">
      <w:start w:val="1"/>
      <w:numFmt w:val="decimal"/>
      <w:lvlText w:val="%5."/>
      <w:lvlJc w:val="left"/>
      <w:pPr>
        <w:tabs>
          <w:tab w:val="num" w:pos="3600"/>
        </w:tabs>
        <w:ind w:left="3600" w:hanging="360"/>
      </w:pPr>
    </w:lvl>
    <w:lvl w:ilvl="5" w:tplc="F8846A96">
      <w:start w:val="1"/>
      <w:numFmt w:val="decimal"/>
      <w:lvlText w:val="%6."/>
      <w:lvlJc w:val="left"/>
      <w:pPr>
        <w:tabs>
          <w:tab w:val="num" w:pos="4320"/>
        </w:tabs>
        <w:ind w:left="4320" w:hanging="360"/>
      </w:pPr>
    </w:lvl>
    <w:lvl w:ilvl="6" w:tplc="9F085E36">
      <w:start w:val="1"/>
      <w:numFmt w:val="decimal"/>
      <w:lvlText w:val="%7."/>
      <w:lvlJc w:val="left"/>
      <w:pPr>
        <w:tabs>
          <w:tab w:val="num" w:pos="5040"/>
        </w:tabs>
        <w:ind w:left="5040" w:hanging="360"/>
      </w:pPr>
    </w:lvl>
    <w:lvl w:ilvl="7" w:tplc="BA2CDF32">
      <w:start w:val="1"/>
      <w:numFmt w:val="decimal"/>
      <w:lvlText w:val="%8."/>
      <w:lvlJc w:val="left"/>
      <w:pPr>
        <w:tabs>
          <w:tab w:val="num" w:pos="5760"/>
        </w:tabs>
        <w:ind w:left="5760" w:hanging="360"/>
      </w:pPr>
    </w:lvl>
    <w:lvl w:ilvl="8" w:tplc="3BCE9BE8">
      <w:start w:val="1"/>
      <w:numFmt w:val="decimal"/>
      <w:lvlText w:val="%9."/>
      <w:lvlJc w:val="left"/>
      <w:pPr>
        <w:tabs>
          <w:tab w:val="num" w:pos="6480"/>
        </w:tabs>
        <w:ind w:left="6480" w:hanging="360"/>
      </w:pPr>
    </w:lvl>
  </w:abstractNum>
  <w:abstractNum w:abstractNumId="2"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F788C"/>
    <w:multiLevelType w:val="multilevel"/>
    <w:tmpl w:val="B9F2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8032B0F"/>
    <w:multiLevelType w:val="multilevel"/>
    <w:tmpl w:val="3332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9A946E1"/>
    <w:multiLevelType w:val="hybridMultilevel"/>
    <w:tmpl w:val="E6F26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3EA2E91"/>
    <w:multiLevelType w:val="multilevel"/>
    <w:tmpl w:val="40685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tplc="E5AA2AAE">
        <w:start w:val="3"/>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46DD2"/>
    <w:rsid w:val="00054A01"/>
    <w:rsid w:val="0007380F"/>
    <w:rsid w:val="00074005"/>
    <w:rsid w:val="000744C3"/>
    <w:rsid w:val="000808E5"/>
    <w:rsid w:val="00081193"/>
    <w:rsid w:val="0008457A"/>
    <w:rsid w:val="0009138F"/>
    <w:rsid w:val="00095ECA"/>
    <w:rsid w:val="0009754B"/>
    <w:rsid w:val="000A3195"/>
    <w:rsid w:val="000A38CB"/>
    <w:rsid w:val="000D03FD"/>
    <w:rsid w:val="000E3FA9"/>
    <w:rsid w:val="000F7865"/>
    <w:rsid w:val="000F7A5F"/>
    <w:rsid w:val="00106DEE"/>
    <w:rsid w:val="00124DAE"/>
    <w:rsid w:val="00134A2E"/>
    <w:rsid w:val="00146154"/>
    <w:rsid w:val="00152F0C"/>
    <w:rsid w:val="00153E76"/>
    <w:rsid w:val="00154D2E"/>
    <w:rsid w:val="0017541D"/>
    <w:rsid w:val="00175B31"/>
    <w:rsid w:val="001920DC"/>
    <w:rsid w:val="001A1A7E"/>
    <w:rsid w:val="001A3A7E"/>
    <w:rsid w:val="001A47E5"/>
    <w:rsid w:val="001A4EE1"/>
    <w:rsid w:val="001B45E5"/>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2F6A04"/>
    <w:rsid w:val="003011BD"/>
    <w:rsid w:val="00303661"/>
    <w:rsid w:val="0030433E"/>
    <w:rsid w:val="0031213B"/>
    <w:rsid w:val="0032150E"/>
    <w:rsid w:val="00323067"/>
    <w:rsid w:val="003366B3"/>
    <w:rsid w:val="00375DDC"/>
    <w:rsid w:val="00376A97"/>
    <w:rsid w:val="00377D6F"/>
    <w:rsid w:val="0038642F"/>
    <w:rsid w:val="0039553F"/>
    <w:rsid w:val="003A1047"/>
    <w:rsid w:val="003A633E"/>
    <w:rsid w:val="003B13CA"/>
    <w:rsid w:val="003D0A49"/>
    <w:rsid w:val="003E3E27"/>
    <w:rsid w:val="003F0F44"/>
    <w:rsid w:val="00401CAB"/>
    <w:rsid w:val="004269FC"/>
    <w:rsid w:val="00435D53"/>
    <w:rsid w:val="0044169F"/>
    <w:rsid w:val="00444869"/>
    <w:rsid w:val="00445AB5"/>
    <w:rsid w:val="00453104"/>
    <w:rsid w:val="00457840"/>
    <w:rsid w:val="00466CAD"/>
    <w:rsid w:val="00471E48"/>
    <w:rsid w:val="0048558F"/>
    <w:rsid w:val="00496E7B"/>
    <w:rsid w:val="004B39E2"/>
    <w:rsid w:val="004D58C1"/>
    <w:rsid w:val="004E03C7"/>
    <w:rsid w:val="004E5205"/>
    <w:rsid w:val="004E5CF9"/>
    <w:rsid w:val="004F3A38"/>
    <w:rsid w:val="004F5467"/>
    <w:rsid w:val="0050006A"/>
    <w:rsid w:val="00510420"/>
    <w:rsid w:val="00535B60"/>
    <w:rsid w:val="005361B4"/>
    <w:rsid w:val="00547B8D"/>
    <w:rsid w:val="00561341"/>
    <w:rsid w:val="0056296A"/>
    <w:rsid w:val="00566964"/>
    <w:rsid w:val="0056711F"/>
    <w:rsid w:val="005765D4"/>
    <w:rsid w:val="005774F0"/>
    <w:rsid w:val="0058470C"/>
    <w:rsid w:val="0059501B"/>
    <w:rsid w:val="005A196C"/>
    <w:rsid w:val="005A1FB5"/>
    <w:rsid w:val="005B1E5F"/>
    <w:rsid w:val="005B28FC"/>
    <w:rsid w:val="005B4902"/>
    <w:rsid w:val="005C1749"/>
    <w:rsid w:val="005D21E1"/>
    <w:rsid w:val="005E17C7"/>
    <w:rsid w:val="006045AB"/>
    <w:rsid w:val="00612DA4"/>
    <w:rsid w:val="00641978"/>
    <w:rsid w:val="00644B57"/>
    <w:rsid w:val="00645865"/>
    <w:rsid w:val="00652228"/>
    <w:rsid w:val="00655D8F"/>
    <w:rsid w:val="00656778"/>
    <w:rsid w:val="006647E4"/>
    <w:rsid w:val="00673F9E"/>
    <w:rsid w:val="00674BC9"/>
    <w:rsid w:val="0067514B"/>
    <w:rsid w:val="0067585E"/>
    <w:rsid w:val="00680B3A"/>
    <w:rsid w:val="00684760"/>
    <w:rsid w:val="006861A9"/>
    <w:rsid w:val="00687093"/>
    <w:rsid w:val="00687276"/>
    <w:rsid w:val="00687364"/>
    <w:rsid w:val="006878E8"/>
    <w:rsid w:val="00691237"/>
    <w:rsid w:val="006C72DE"/>
    <w:rsid w:val="006E32CA"/>
    <w:rsid w:val="006F32D9"/>
    <w:rsid w:val="006F41B2"/>
    <w:rsid w:val="0074259E"/>
    <w:rsid w:val="0075513B"/>
    <w:rsid w:val="0076337B"/>
    <w:rsid w:val="00790C17"/>
    <w:rsid w:val="007952E4"/>
    <w:rsid w:val="007A2E3E"/>
    <w:rsid w:val="007A3DF8"/>
    <w:rsid w:val="007A48FE"/>
    <w:rsid w:val="007A5C19"/>
    <w:rsid w:val="007B7C57"/>
    <w:rsid w:val="007C771A"/>
    <w:rsid w:val="007D4371"/>
    <w:rsid w:val="007D4761"/>
    <w:rsid w:val="007D5ED2"/>
    <w:rsid w:val="007F4AEE"/>
    <w:rsid w:val="00801B78"/>
    <w:rsid w:val="00802B47"/>
    <w:rsid w:val="00805323"/>
    <w:rsid w:val="00820392"/>
    <w:rsid w:val="00831B94"/>
    <w:rsid w:val="00832C18"/>
    <w:rsid w:val="00835D4F"/>
    <w:rsid w:val="00836764"/>
    <w:rsid w:val="00837E19"/>
    <w:rsid w:val="00842468"/>
    <w:rsid w:val="00843703"/>
    <w:rsid w:val="00844B67"/>
    <w:rsid w:val="00844D94"/>
    <w:rsid w:val="008565E0"/>
    <w:rsid w:val="00880411"/>
    <w:rsid w:val="00882334"/>
    <w:rsid w:val="00892055"/>
    <w:rsid w:val="008970E9"/>
    <w:rsid w:val="008B1953"/>
    <w:rsid w:val="008B21BB"/>
    <w:rsid w:val="008B36D2"/>
    <w:rsid w:val="008D45DA"/>
    <w:rsid w:val="008D564C"/>
    <w:rsid w:val="008E5C4A"/>
    <w:rsid w:val="008F20F0"/>
    <w:rsid w:val="009127BD"/>
    <w:rsid w:val="00917EC7"/>
    <w:rsid w:val="00932BC5"/>
    <w:rsid w:val="00955F1F"/>
    <w:rsid w:val="009827DD"/>
    <w:rsid w:val="009853E8"/>
    <w:rsid w:val="00990F1F"/>
    <w:rsid w:val="00996607"/>
    <w:rsid w:val="009B1D4C"/>
    <w:rsid w:val="009C2E1F"/>
    <w:rsid w:val="009C4B46"/>
    <w:rsid w:val="009D5879"/>
    <w:rsid w:val="009E3F58"/>
    <w:rsid w:val="009E3F91"/>
    <w:rsid w:val="009E69FE"/>
    <w:rsid w:val="009F09F7"/>
    <w:rsid w:val="00A173AB"/>
    <w:rsid w:val="00A20BCD"/>
    <w:rsid w:val="00A349B1"/>
    <w:rsid w:val="00A349B6"/>
    <w:rsid w:val="00A40D87"/>
    <w:rsid w:val="00A459D4"/>
    <w:rsid w:val="00A4792D"/>
    <w:rsid w:val="00A479FB"/>
    <w:rsid w:val="00A67D94"/>
    <w:rsid w:val="00A76AFC"/>
    <w:rsid w:val="00A809DF"/>
    <w:rsid w:val="00AC5977"/>
    <w:rsid w:val="00AD7505"/>
    <w:rsid w:val="00AE7402"/>
    <w:rsid w:val="00AF2FD9"/>
    <w:rsid w:val="00B01B28"/>
    <w:rsid w:val="00B076BB"/>
    <w:rsid w:val="00B11155"/>
    <w:rsid w:val="00B24E98"/>
    <w:rsid w:val="00B47082"/>
    <w:rsid w:val="00B54276"/>
    <w:rsid w:val="00B8050D"/>
    <w:rsid w:val="00B81EF9"/>
    <w:rsid w:val="00B9009F"/>
    <w:rsid w:val="00B95043"/>
    <w:rsid w:val="00B95693"/>
    <w:rsid w:val="00BB4B4B"/>
    <w:rsid w:val="00BC3466"/>
    <w:rsid w:val="00C158F0"/>
    <w:rsid w:val="00C36EEA"/>
    <w:rsid w:val="00C56E27"/>
    <w:rsid w:val="00C66559"/>
    <w:rsid w:val="00C66BE0"/>
    <w:rsid w:val="00C673B1"/>
    <w:rsid w:val="00C72245"/>
    <w:rsid w:val="00C9107F"/>
    <w:rsid w:val="00CA012A"/>
    <w:rsid w:val="00CB54AB"/>
    <w:rsid w:val="00CB65BF"/>
    <w:rsid w:val="00CC0B65"/>
    <w:rsid w:val="00CC54F9"/>
    <w:rsid w:val="00CE1BFE"/>
    <w:rsid w:val="00CF03AD"/>
    <w:rsid w:val="00CF0E52"/>
    <w:rsid w:val="00D010B0"/>
    <w:rsid w:val="00D04F64"/>
    <w:rsid w:val="00D11B61"/>
    <w:rsid w:val="00D14BA9"/>
    <w:rsid w:val="00D17E97"/>
    <w:rsid w:val="00D22499"/>
    <w:rsid w:val="00D23D4E"/>
    <w:rsid w:val="00D24934"/>
    <w:rsid w:val="00D25431"/>
    <w:rsid w:val="00D328C2"/>
    <w:rsid w:val="00D34F07"/>
    <w:rsid w:val="00D354B2"/>
    <w:rsid w:val="00D46C15"/>
    <w:rsid w:val="00D62050"/>
    <w:rsid w:val="00D64C3E"/>
    <w:rsid w:val="00D66074"/>
    <w:rsid w:val="00D806AB"/>
    <w:rsid w:val="00D908A9"/>
    <w:rsid w:val="00DD0733"/>
    <w:rsid w:val="00DD4695"/>
    <w:rsid w:val="00DD5704"/>
    <w:rsid w:val="00DE65A5"/>
    <w:rsid w:val="00DE6635"/>
    <w:rsid w:val="00DE71AB"/>
    <w:rsid w:val="00E0069B"/>
    <w:rsid w:val="00E07BB4"/>
    <w:rsid w:val="00E22909"/>
    <w:rsid w:val="00E51801"/>
    <w:rsid w:val="00E53522"/>
    <w:rsid w:val="00E566CF"/>
    <w:rsid w:val="00E910E7"/>
    <w:rsid w:val="00E92C99"/>
    <w:rsid w:val="00EA1E9A"/>
    <w:rsid w:val="00EA4233"/>
    <w:rsid w:val="00EB050F"/>
    <w:rsid w:val="00EB72DE"/>
    <w:rsid w:val="00EC0C2D"/>
    <w:rsid w:val="00ED3B30"/>
    <w:rsid w:val="00ED782D"/>
    <w:rsid w:val="00EE2AA6"/>
    <w:rsid w:val="00F012C4"/>
    <w:rsid w:val="00F24423"/>
    <w:rsid w:val="00F6102B"/>
    <w:rsid w:val="00F61AFC"/>
    <w:rsid w:val="00F74765"/>
    <w:rsid w:val="00F779B2"/>
    <w:rsid w:val="00F81AD5"/>
    <w:rsid w:val="00F81C35"/>
    <w:rsid w:val="00F82DB8"/>
    <w:rsid w:val="00F92115"/>
    <w:rsid w:val="00FA008A"/>
    <w:rsid w:val="00FB0124"/>
    <w:rsid w:val="00FB2D55"/>
    <w:rsid w:val="00FB3ED1"/>
    <w:rsid w:val="00FC5E0E"/>
    <w:rsid w:val="00FD3240"/>
    <w:rsid w:val="00FD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D1916EA-6BA7-4F0F-92E9-9F283705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7A5F"/>
    <w:pPr>
      <w:spacing w:line="240" w:lineRule="auto"/>
    </w:pPr>
    <w:rPr>
      <w:rFonts w:ascii="Times New Roman" w:eastAsia="Calibri" w:hAnsi="Times New Roman"/>
      <w:sz w:val="24"/>
    </w:rPr>
  </w:style>
  <w:style w:type="paragraph" w:styleId="ListParagraph">
    <w:name w:val="List Paragraph"/>
    <w:basedOn w:val="Normal"/>
    <w:uiPriority w:val="34"/>
    <w:qFormat/>
    <w:rsid w:val="00E566CF"/>
    <w:pPr>
      <w:spacing w:line="240" w:lineRule="auto"/>
      <w:ind w:left="720"/>
    </w:pPr>
    <w:rPr>
      <w:rFonts w:ascii="Calibri" w:eastAsia="Calibri" w:hAnsi="Calibri"/>
      <w:szCs w:val="22"/>
      <w:lang w:eastAsia="en-US"/>
    </w:rPr>
  </w:style>
  <w:style w:type="paragraph" w:styleId="PlainText">
    <w:name w:val="Plain Text"/>
    <w:basedOn w:val="Normal"/>
    <w:link w:val="PlainTextChar"/>
    <w:uiPriority w:val="99"/>
    <w:unhideWhenUsed/>
    <w:rsid w:val="005B4902"/>
    <w:pPr>
      <w:spacing w:line="240" w:lineRule="auto"/>
    </w:pPr>
    <w:rPr>
      <w:rFonts w:ascii="Calibri" w:eastAsia="MS PGothic" w:hAnsi="Calibri" w:cs="MS PGothic"/>
      <w:szCs w:val="22"/>
      <w:lang w:eastAsia="ja-JP"/>
    </w:rPr>
  </w:style>
  <w:style w:type="character" w:customStyle="1" w:styleId="PlainTextChar">
    <w:name w:val="Plain Text Char"/>
    <w:link w:val="PlainText"/>
    <w:uiPriority w:val="99"/>
    <w:rsid w:val="005B4902"/>
    <w:rPr>
      <w:rFonts w:ascii="Calibri" w:eastAsia="MS PGothic" w:hAnsi="Calibri" w:cs="MS PGothic"/>
      <w:sz w:val="22"/>
      <w:szCs w:val="22"/>
      <w:lang w:eastAsia="ja-JP"/>
    </w:rPr>
  </w:style>
  <w:style w:type="paragraph" w:customStyle="1" w:styleId="DecimalAligned">
    <w:name w:val="Decimal Aligned"/>
    <w:basedOn w:val="Normal"/>
    <w:uiPriority w:val="40"/>
    <w:qFormat/>
    <w:rsid w:val="00687364"/>
    <w:pPr>
      <w:tabs>
        <w:tab w:val="decimal" w:pos="360"/>
      </w:tabs>
      <w:spacing w:after="200" w:line="276" w:lineRule="auto"/>
    </w:pPr>
    <w:rPr>
      <w:rFonts w:ascii="Calibri" w:hAnsi="Calibri"/>
      <w:szCs w:val="22"/>
      <w:lang w:val="en-US" w:eastAsia="en-US"/>
    </w:rPr>
  </w:style>
  <w:style w:type="paragraph" w:styleId="FootnoteText">
    <w:name w:val="footnote text"/>
    <w:basedOn w:val="Normal"/>
    <w:link w:val="FootnoteTextChar"/>
    <w:uiPriority w:val="99"/>
    <w:unhideWhenUsed/>
    <w:rsid w:val="00687364"/>
    <w:pPr>
      <w:spacing w:line="240" w:lineRule="auto"/>
    </w:pPr>
    <w:rPr>
      <w:rFonts w:ascii="Calibri" w:hAnsi="Calibri"/>
      <w:sz w:val="20"/>
      <w:szCs w:val="20"/>
      <w:lang w:val="en-US" w:eastAsia="en-US"/>
    </w:rPr>
  </w:style>
  <w:style w:type="character" w:customStyle="1" w:styleId="FootnoteTextChar">
    <w:name w:val="Footnote Text Char"/>
    <w:link w:val="FootnoteText"/>
    <w:uiPriority w:val="99"/>
    <w:rsid w:val="00687364"/>
    <w:rPr>
      <w:rFonts w:ascii="Calibri" w:hAnsi="Calibri"/>
      <w:lang w:val="en-US" w:eastAsia="en-US"/>
    </w:rPr>
  </w:style>
  <w:style w:type="character" w:styleId="SubtleEmphasis">
    <w:name w:val="Subtle Emphasis"/>
    <w:uiPriority w:val="19"/>
    <w:qFormat/>
    <w:rsid w:val="00687364"/>
    <w:rPr>
      <w:i/>
      <w:iCs/>
    </w:rPr>
  </w:style>
  <w:style w:type="table" w:styleId="MediumShading2-Accent5">
    <w:name w:val="Medium Shading 2 Accent 5"/>
    <w:basedOn w:val="TableNormal"/>
    <w:uiPriority w:val="64"/>
    <w:rsid w:val="00687364"/>
    <w:rPr>
      <w:rFonts w:ascii="Calibri" w:hAnsi="Calibr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982">
      <w:bodyDiv w:val="1"/>
      <w:marLeft w:val="0"/>
      <w:marRight w:val="0"/>
      <w:marTop w:val="0"/>
      <w:marBottom w:val="0"/>
      <w:divBdr>
        <w:top w:val="none" w:sz="0" w:space="0" w:color="auto"/>
        <w:left w:val="none" w:sz="0" w:space="0" w:color="auto"/>
        <w:bottom w:val="none" w:sz="0" w:space="0" w:color="auto"/>
        <w:right w:val="none" w:sz="0" w:space="0" w:color="auto"/>
      </w:divBdr>
    </w:div>
    <w:div w:id="408504945">
      <w:bodyDiv w:val="1"/>
      <w:marLeft w:val="0"/>
      <w:marRight w:val="0"/>
      <w:marTop w:val="0"/>
      <w:marBottom w:val="0"/>
      <w:divBdr>
        <w:top w:val="none" w:sz="0" w:space="0" w:color="auto"/>
        <w:left w:val="none" w:sz="0" w:space="0" w:color="auto"/>
        <w:bottom w:val="none" w:sz="0" w:space="0" w:color="auto"/>
        <w:right w:val="none" w:sz="0" w:space="0" w:color="auto"/>
      </w:divBdr>
    </w:div>
    <w:div w:id="487139328">
      <w:bodyDiv w:val="1"/>
      <w:marLeft w:val="0"/>
      <w:marRight w:val="0"/>
      <w:marTop w:val="0"/>
      <w:marBottom w:val="0"/>
      <w:divBdr>
        <w:top w:val="none" w:sz="0" w:space="0" w:color="auto"/>
        <w:left w:val="none" w:sz="0" w:space="0" w:color="auto"/>
        <w:bottom w:val="none" w:sz="0" w:space="0" w:color="auto"/>
        <w:right w:val="none" w:sz="0" w:space="0" w:color="auto"/>
      </w:divBdr>
    </w:div>
    <w:div w:id="550918863">
      <w:bodyDiv w:val="1"/>
      <w:marLeft w:val="0"/>
      <w:marRight w:val="0"/>
      <w:marTop w:val="0"/>
      <w:marBottom w:val="0"/>
      <w:divBdr>
        <w:top w:val="none" w:sz="0" w:space="0" w:color="auto"/>
        <w:left w:val="none" w:sz="0" w:space="0" w:color="auto"/>
        <w:bottom w:val="none" w:sz="0" w:space="0" w:color="auto"/>
        <w:right w:val="none" w:sz="0" w:space="0" w:color="auto"/>
      </w:divBdr>
    </w:div>
    <w:div w:id="715811048">
      <w:bodyDiv w:val="1"/>
      <w:marLeft w:val="0"/>
      <w:marRight w:val="0"/>
      <w:marTop w:val="0"/>
      <w:marBottom w:val="0"/>
      <w:divBdr>
        <w:top w:val="none" w:sz="0" w:space="0" w:color="auto"/>
        <w:left w:val="none" w:sz="0" w:space="0" w:color="auto"/>
        <w:bottom w:val="none" w:sz="0" w:space="0" w:color="auto"/>
        <w:right w:val="none" w:sz="0" w:space="0" w:color="auto"/>
      </w:divBdr>
    </w:div>
    <w:div w:id="1073696784">
      <w:bodyDiv w:val="1"/>
      <w:marLeft w:val="0"/>
      <w:marRight w:val="0"/>
      <w:marTop w:val="0"/>
      <w:marBottom w:val="0"/>
      <w:divBdr>
        <w:top w:val="none" w:sz="0" w:space="0" w:color="auto"/>
        <w:left w:val="none" w:sz="0" w:space="0" w:color="auto"/>
        <w:bottom w:val="none" w:sz="0" w:space="0" w:color="auto"/>
        <w:right w:val="none" w:sz="0" w:space="0" w:color="auto"/>
      </w:divBdr>
    </w:div>
    <w:div w:id="1260216115">
      <w:bodyDiv w:val="1"/>
      <w:marLeft w:val="0"/>
      <w:marRight w:val="0"/>
      <w:marTop w:val="0"/>
      <w:marBottom w:val="0"/>
      <w:divBdr>
        <w:top w:val="none" w:sz="0" w:space="0" w:color="auto"/>
        <w:left w:val="none" w:sz="0" w:space="0" w:color="auto"/>
        <w:bottom w:val="none" w:sz="0" w:space="0" w:color="auto"/>
        <w:right w:val="none" w:sz="0" w:space="0" w:color="auto"/>
      </w:divBdr>
    </w:div>
    <w:div w:id="1345207043">
      <w:bodyDiv w:val="1"/>
      <w:marLeft w:val="0"/>
      <w:marRight w:val="0"/>
      <w:marTop w:val="0"/>
      <w:marBottom w:val="0"/>
      <w:divBdr>
        <w:top w:val="none" w:sz="0" w:space="0" w:color="auto"/>
        <w:left w:val="none" w:sz="0" w:space="0" w:color="auto"/>
        <w:bottom w:val="none" w:sz="0" w:space="0" w:color="auto"/>
        <w:right w:val="none" w:sz="0" w:space="0" w:color="auto"/>
      </w:divBdr>
    </w:div>
    <w:div w:id="1377003700">
      <w:bodyDiv w:val="1"/>
      <w:marLeft w:val="0"/>
      <w:marRight w:val="0"/>
      <w:marTop w:val="0"/>
      <w:marBottom w:val="0"/>
      <w:divBdr>
        <w:top w:val="none" w:sz="0" w:space="0" w:color="auto"/>
        <w:left w:val="none" w:sz="0" w:space="0" w:color="auto"/>
        <w:bottom w:val="none" w:sz="0" w:space="0" w:color="auto"/>
        <w:right w:val="none" w:sz="0" w:space="0" w:color="auto"/>
      </w:divBdr>
    </w:div>
    <w:div w:id="1545827755">
      <w:bodyDiv w:val="1"/>
      <w:marLeft w:val="0"/>
      <w:marRight w:val="0"/>
      <w:marTop w:val="0"/>
      <w:marBottom w:val="0"/>
      <w:divBdr>
        <w:top w:val="none" w:sz="0" w:space="0" w:color="auto"/>
        <w:left w:val="none" w:sz="0" w:space="0" w:color="auto"/>
        <w:bottom w:val="none" w:sz="0" w:space="0" w:color="auto"/>
        <w:right w:val="none" w:sz="0" w:space="0" w:color="auto"/>
      </w:divBdr>
    </w:div>
    <w:div w:id="1803420353">
      <w:bodyDiv w:val="1"/>
      <w:marLeft w:val="0"/>
      <w:marRight w:val="0"/>
      <w:marTop w:val="0"/>
      <w:marBottom w:val="0"/>
      <w:divBdr>
        <w:top w:val="none" w:sz="0" w:space="0" w:color="auto"/>
        <w:left w:val="none" w:sz="0" w:space="0" w:color="auto"/>
        <w:bottom w:val="none" w:sz="0" w:space="0" w:color="auto"/>
        <w:right w:val="none" w:sz="0" w:space="0" w:color="auto"/>
      </w:divBdr>
    </w:div>
    <w:div w:id="1819030888">
      <w:bodyDiv w:val="1"/>
      <w:marLeft w:val="0"/>
      <w:marRight w:val="0"/>
      <w:marTop w:val="0"/>
      <w:marBottom w:val="0"/>
      <w:divBdr>
        <w:top w:val="none" w:sz="0" w:space="0" w:color="auto"/>
        <w:left w:val="none" w:sz="0" w:space="0" w:color="auto"/>
        <w:bottom w:val="none" w:sz="0" w:space="0" w:color="auto"/>
        <w:right w:val="none" w:sz="0" w:space="0" w:color="auto"/>
      </w:divBdr>
    </w:div>
    <w:div w:id="1894148107">
      <w:bodyDiv w:val="1"/>
      <w:marLeft w:val="0"/>
      <w:marRight w:val="0"/>
      <w:marTop w:val="0"/>
      <w:marBottom w:val="0"/>
      <w:divBdr>
        <w:top w:val="none" w:sz="0" w:space="0" w:color="auto"/>
        <w:left w:val="none" w:sz="0" w:space="0" w:color="auto"/>
        <w:bottom w:val="none" w:sz="0" w:space="0" w:color="auto"/>
        <w:right w:val="none" w:sz="0" w:space="0" w:color="auto"/>
      </w:divBdr>
    </w:div>
    <w:div w:id="1920865610">
      <w:bodyDiv w:val="1"/>
      <w:marLeft w:val="0"/>
      <w:marRight w:val="0"/>
      <w:marTop w:val="0"/>
      <w:marBottom w:val="0"/>
      <w:divBdr>
        <w:top w:val="none" w:sz="0" w:space="0" w:color="auto"/>
        <w:left w:val="none" w:sz="0" w:space="0" w:color="auto"/>
        <w:bottom w:val="none" w:sz="0" w:space="0" w:color="auto"/>
        <w:right w:val="none" w:sz="0" w:space="0" w:color="auto"/>
      </w:divBdr>
    </w:div>
    <w:div w:id="1923299150">
      <w:bodyDiv w:val="1"/>
      <w:marLeft w:val="0"/>
      <w:marRight w:val="0"/>
      <w:marTop w:val="0"/>
      <w:marBottom w:val="0"/>
      <w:divBdr>
        <w:top w:val="none" w:sz="0" w:space="0" w:color="auto"/>
        <w:left w:val="none" w:sz="0" w:space="0" w:color="auto"/>
        <w:bottom w:val="none" w:sz="0" w:space="0" w:color="auto"/>
        <w:right w:val="none" w:sz="0" w:space="0" w:color="auto"/>
      </w:divBdr>
    </w:div>
    <w:div w:id="20247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DBD7-F16D-4BCB-821F-1692E0BE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1</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FOI 112777 - number of offenders with release addresses Oct-Dec 2016</vt:lpstr>
    </vt:vector>
  </TitlesOfParts>
  <Manager>Ministry of Justice</Manager>
  <Company>Ministry of Justice</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112777 - number of offenders with release addresses Oct-Dec 2016</dc:title>
  <dc:subject>FOI Release</dc:subject>
  <dc:creator>Cox, Allan</dc:creator>
  <cp:keywords>Number of offenders with release addresses October to December 2016</cp:keywords>
  <dc:description/>
  <cp:lastModifiedBy>Cox, Allan</cp:lastModifiedBy>
  <cp:revision>2</cp:revision>
  <cp:lastPrinted>2015-07-06T10:35:00Z</cp:lastPrinted>
  <dcterms:created xsi:type="dcterms:W3CDTF">2017-08-24T12:20:00Z</dcterms:created>
  <dcterms:modified xsi:type="dcterms:W3CDTF">2017-08-24T12:20:00Z</dcterms:modified>
  <cp:category/>
</cp:coreProperties>
</file>