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2877A" w14:textId="77777777" w:rsidR="00435158" w:rsidRPr="00514EFA" w:rsidRDefault="005540ED" w:rsidP="00FF2B98">
      <w:pPr>
        <w:pStyle w:val="CoverSubTitle"/>
        <w:ind w:left="720"/>
        <w:rPr>
          <w:rFonts w:cs="Arial"/>
        </w:rPr>
      </w:pPr>
      <w:r w:rsidRPr="00514EFA">
        <w:rPr>
          <w:rFonts w:cs="Arial"/>
          <w:noProof/>
          <w:lang w:val="en-US"/>
        </w:rPr>
        <w:drawing>
          <wp:anchor distT="0" distB="0" distL="114300" distR="114300" simplePos="0" relativeHeight="251656704" behindDoc="0" locked="0" layoutInCell="1" allowOverlap="1" wp14:anchorId="74928E0A" wp14:editId="745A7F4F">
            <wp:simplePos x="0" y="0"/>
            <wp:positionH relativeFrom="column">
              <wp:posOffset>3532293</wp:posOffset>
            </wp:positionH>
            <wp:positionV relativeFrom="paragraph">
              <wp:posOffset>136525</wp:posOffset>
            </wp:positionV>
            <wp:extent cx="3103245" cy="604520"/>
            <wp:effectExtent l="0" t="0" r="1905" b="508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3245" cy="604520"/>
                    </a:xfrm>
                    <a:prstGeom prst="rect">
                      <a:avLst/>
                    </a:prstGeom>
                    <a:noFill/>
                  </pic:spPr>
                </pic:pic>
              </a:graphicData>
            </a:graphic>
          </wp:anchor>
        </w:drawing>
      </w:r>
    </w:p>
    <w:p w14:paraId="7492877B" w14:textId="77777777" w:rsidR="00435158" w:rsidRPr="00514EFA" w:rsidRDefault="00435158" w:rsidP="00435158">
      <w:pPr>
        <w:pStyle w:val="CoverSubTitle"/>
        <w:rPr>
          <w:rFonts w:cs="Arial"/>
        </w:rPr>
      </w:pPr>
    </w:p>
    <w:p w14:paraId="7492877C" w14:textId="77777777" w:rsidR="00435158" w:rsidRPr="00514EFA" w:rsidRDefault="00435158" w:rsidP="00435158">
      <w:pPr>
        <w:pStyle w:val="BodyText"/>
        <w:rPr>
          <w:rFonts w:cs="Arial"/>
        </w:rPr>
      </w:pPr>
    </w:p>
    <w:p w14:paraId="7492877D" w14:textId="77777777" w:rsidR="00435158" w:rsidRPr="00514EFA" w:rsidRDefault="00435158" w:rsidP="00435158">
      <w:pPr>
        <w:pStyle w:val="BodyText"/>
        <w:rPr>
          <w:rFonts w:cs="Arial"/>
        </w:rPr>
      </w:pPr>
    </w:p>
    <w:p w14:paraId="7492877E" w14:textId="77777777" w:rsidR="00435158" w:rsidRPr="00514EFA" w:rsidRDefault="00435158" w:rsidP="00435158">
      <w:pPr>
        <w:pStyle w:val="BodyText"/>
        <w:rPr>
          <w:rFonts w:cs="Arial"/>
        </w:rPr>
      </w:pPr>
    </w:p>
    <w:p w14:paraId="7492877F" w14:textId="77777777" w:rsidR="005D3906" w:rsidRPr="00514EFA" w:rsidRDefault="00CB2126" w:rsidP="00435158">
      <w:pPr>
        <w:pStyle w:val="BodyText"/>
        <w:rPr>
          <w:rFonts w:cs="Arial"/>
        </w:rPr>
      </w:pPr>
      <w:r w:rsidRPr="00514EFA">
        <w:rPr>
          <w:rFonts w:cs="Arial"/>
          <w:noProof/>
          <w:lang w:val="en-US"/>
        </w:rPr>
        <mc:AlternateContent>
          <mc:Choice Requires="wps">
            <w:drawing>
              <wp:anchor distT="0" distB="0" distL="114300" distR="114300" simplePos="0" relativeHeight="251653632" behindDoc="0" locked="0" layoutInCell="1" allowOverlap="1" wp14:anchorId="74928E0C" wp14:editId="74928E0D">
                <wp:simplePos x="0" y="0"/>
                <wp:positionH relativeFrom="column">
                  <wp:posOffset>-390525</wp:posOffset>
                </wp:positionH>
                <wp:positionV relativeFrom="paragraph">
                  <wp:posOffset>83820</wp:posOffset>
                </wp:positionV>
                <wp:extent cx="5914390" cy="2814320"/>
                <wp:effectExtent l="0" t="0" r="10160" b="2413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2814320"/>
                        </a:xfrm>
                        <a:prstGeom prst="rect">
                          <a:avLst/>
                        </a:prstGeom>
                        <a:solidFill>
                          <a:srgbClr val="FFFFFF"/>
                        </a:solidFill>
                        <a:ln w="9525">
                          <a:solidFill>
                            <a:srgbClr val="FFFFFF"/>
                          </a:solidFill>
                          <a:miter lim="800000"/>
                          <a:headEnd/>
                          <a:tailEnd/>
                        </a:ln>
                      </wps:spPr>
                      <wps:txbx>
                        <w:txbxContent>
                          <w:p w14:paraId="74928E6F" w14:textId="77777777" w:rsidR="00395234" w:rsidRDefault="00395234" w:rsidP="00EF55CC"/>
                          <w:p w14:paraId="74928E70" w14:textId="2F8E9B0D" w:rsidR="00395234" w:rsidRDefault="00395234" w:rsidP="00203FEC">
                            <w:pPr>
                              <w:pStyle w:val="CoverDocumentTitle"/>
                              <w:ind w:left="454"/>
                              <w:rPr>
                                <w:rFonts w:cs="Arial"/>
                                <w:b/>
                                <w:color w:val="673561"/>
                                <w:sz w:val="40"/>
                                <w:szCs w:val="40"/>
                              </w:rPr>
                            </w:pPr>
                            <w:r>
                              <w:rPr>
                                <w:rFonts w:cs="Arial"/>
                                <w:b/>
                                <w:color w:val="673561"/>
                                <w:sz w:val="40"/>
                                <w:szCs w:val="40"/>
                              </w:rPr>
                              <w:t>The role of culture, sport and heritage in place shaping</w:t>
                            </w:r>
                          </w:p>
                          <w:p w14:paraId="74928E72" w14:textId="77E18F4B" w:rsidR="00395234" w:rsidRPr="00CB498C" w:rsidRDefault="00395234" w:rsidP="00C32A77">
                            <w:pPr>
                              <w:pStyle w:val="CoverSubTitle"/>
                              <w:ind w:left="454"/>
                              <w:rPr>
                                <w:rFonts w:cs="Arial"/>
                                <w:b/>
                                <w:sz w:val="28"/>
                                <w:szCs w:val="28"/>
                              </w:rPr>
                            </w:pPr>
                            <w:r>
                              <w:rPr>
                                <w:rFonts w:cs="Arial"/>
                                <w:b/>
                                <w:sz w:val="28"/>
                                <w:szCs w:val="28"/>
                              </w:rPr>
                              <w:t>Trends Business Research Ltd, NEF Consulting Ltd and Middlesex University</w:t>
                            </w:r>
                          </w:p>
                          <w:p w14:paraId="74928E73" w14:textId="025C1461" w:rsidR="00395234" w:rsidRPr="00CB498C" w:rsidRDefault="00395234" w:rsidP="00076A41">
                            <w:pPr>
                              <w:pStyle w:val="CoverSubTitle"/>
                              <w:ind w:left="454"/>
                              <w:rPr>
                                <w:rFonts w:cs="Arial"/>
                                <w:b/>
                                <w:sz w:val="24"/>
                              </w:rPr>
                            </w:pPr>
                            <w:r>
                              <w:rPr>
                                <w:rFonts w:cs="Arial"/>
                                <w:b/>
                                <w:sz w:val="24"/>
                              </w:rPr>
                              <w:t>October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928E0C" id="_x0000_t202" coordsize="21600,21600" o:spt="202" path="m,l,21600r21600,l21600,xe">
                <v:stroke joinstyle="miter"/>
                <v:path gradientshapeok="t" o:connecttype="rect"/>
              </v:shapetype>
              <v:shape id="Text Box 7" o:spid="_x0000_s1026" type="#_x0000_t202" style="position:absolute;left:0;text-align:left;margin-left:-30.75pt;margin-top:6.6pt;width:465.7pt;height:2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" strokecolor="white">
                <v:textbox>
                  <w:txbxContent>
                    <w:p w14:paraId="74928E6F" w14:textId="77777777" w:rsidR="0017656A" w:rsidRDefault="0017656A" w:rsidP="00EF55CC"/>
                    <w:p w14:paraId="74928E70" w14:textId="2F8E9B0D" w:rsidR="0017656A" w:rsidRDefault="0017656A" w:rsidP="00203FEC">
                      <w:pPr>
                        <w:pStyle w:val="CoverDocumentTitle"/>
                        <w:ind w:left="454"/>
                        <w:rPr>
                          <w:rFonts w:cs="Arial"/>
                          <w:b/>
                          <w:color w:val="673561"/>
                          <w:sz w:val="40"/>
                          <w:szCs w:val="40"/>
                        </w:rPr>
                      </w:pPr>
                      <w:r>
                        <w:rPr>
                          <w:rFonts w:cs="Arial"/>
                          <w:b/>
                          <w:color w:val="673561"/>
                          <w:sz w:val="40"/>
                          <w:szCs w:val="40"/>
                        </w:rPr>
                        <w:t>The role of culture, sport and heritage in place shaping</w:t>
                      </w:r>
                    </w:p>
                    <w:p w14:paraId="74928E72" w14:textId="77E18F4B" w:rsidR="0017656A" w:rsidRPr="00CB498C" w:rsidRDefault="0017656A" w:rsidP="00C32A77">
                      <w:pPr>
                        <w:pStyle w:val="CoverSubTitle"/>
                        <w:ind w:left="454"/>
                        <w:rPr>
                          <w:rFonts w:cs="Arial"/>
                          <w:b/>
                          <w:sz w:val="28"/>
                          <w:szCs w:val="28"/>
                        </w:rPr>
                      </w:pPr>
                      <w:r>
                        <w:rPr>
                          <w:rFonts w:cs="Arial"/>
                          <w:b/>
                          <w:sz w:val="28"/>
                          <w:szCs w:val="28"/>
                        </w:rPr>
                        <w:t>Trends Business Research Ltd, NEF Consulting Ltd and Middlesex University</w:t>
                      </w:r>
                    </w:p>
                    <w:p w14:paraId="74928E73" w14:textId="025C1461" w:rsidR="0017656A" w:rsidRPr="00CB498C" w:rsidRDefault="0017656A" w:rsidP="00076A41">
                      <w:pPr>
                        <w:pStyle w:val="CoverSubTitle"/>
                        <w:ind w:left="454"/>
                        <w:rPr>
                          <w:rFonts w:cs="Arial"/>
                          <w:b/>
                          <w:sz w:val="24"/>
                        </w:rPr>
                      </w:pPr>
                      <w:r>
                        <w:rPr>
                          <w:rFonts w:cs="Arial"/>
                          <w:b/>
                          <w:sz w:val="24"/>
                        </w:rPr>
                        <w:t>October 2016</w:t>
                      </w:r>
                    </w:p>
                  </w:txbxContent>
                </v:textbox>
              </v:shape>
            </w:pict>
          </mc:Fallback>
        </mc:AlternateContent>
      </w:r>
    </w:p>
    <w:p w14:paraId="74928780" w14:textId="77777777" w:rsidR="001369EA" w:rsidRPr="00514EFA" w:rsidRDefault="001369EA" w:rsidP="00435158">
      <w:pPr>
        <w:pStyle w:val="BodyText"/>
        <w:rPr>
          <w:rFonts w:cs="Arial"/>
        </w:rPr>
      </w:pPr>
    </w:p>
    <w:p w14:paraId="74928781" w14:textId="77777777" w:rsidR="001369EA" w:rsidRPr="00514EFA" w:rsidRDefault="001369EA" w:rsidP="00435158">
      <w:pPr>
        <w:pStyle w:val="BodyText"/>
        <w:rPr>
          <w:rFonts w:cs="Arial"/>
        </w:rPr>
      </w:pPr>
    </w:p>
    <w:p w14:paraId="74928782" w14:textId="77777777" w:rsidR="005D3906" w:rsidRPr="00514EFA" w:rsidRDefault="005D3906" w:rsidP="005D3906">
      <w:pPr>
        <w:rPr>
          <w:rFonts w:cs="Arial"/>
        </w:rPr>
      </w:pPr>
    </w:p>
    <w:p w14:paraId="74928783" w14:textId="77777777" w:rsidR="005D3906" w:rsidRPr="00514EFA" w:rsidRDefault="005540ED" w:rsidP="005D3906">
      <w:pPr>
        <w:rPr>
          <w:rFonts w:cs="Arial"/>
        </w:rPr>
      </w:pPr>
      <w:r w:rsidRPr="00514EFA">
        <w:rPr>
          <w:rFonts w:cs="Arial"/>
          <w:noProof/>
          <w:lang w:val="en-US"/>
        </w:rPr>
        <w:drawing>
          <wp:anchor distT="0" distB="0" distL="114300" distR="114300" simplePos="0" relativeHeight="251661824" behindDoc="0" locked="0" layoutInCell="1" allowOverlap="1" wp14:anchorId="74928E0E" wp14:editId="46349B79">
            <wp:simplePos x="0" y="0"/>
            <wp:positionH relativeFrom="column">
              <wp:posOffset>5217795</wp:posOffset>
            </wp:positionH>
            <wp:positionV relativeFrom="paragraph">
              <wp:posOffset>227330</wp:posOffset>
            </wp:positionV>
            <wp:extent cx="1205230" cy="1317625"/>
            <wp:effectExtent l="0" t="0" r="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5230" cy="1317625"/>
                    </a:xfrm>
                    <a:prstGeom prst="rect">
                      <a:avLst/>
                    </a:prstGeom>
                    <a:noFill/>
                  </pic:spPr>
                </pic:pic>
              </a:graphicData>
            </a:graphic>
          </wp:anchor>
        </w:drawing>
      </w:r>
    </w:p>
    <w:p w14:paraId="74928784" w14:textId="77777777" w:rsidR="00435158" w:rsidRPr="00514EFA" w:rsidRDefault="00435158" w:rsidP="005D3906">
      <w:pPr>
        <w:rPr>
          <w:rFonts w:cs="Arial"/>
        </w:rPr>
      </w:pPr>
    </w:p>
    <w:p w14:paraId="74928785" w14:textId="77777777" w:rsidR="005D3906" w:rsidRPr="00514EFA" w:rsidRDefault="005D3906" w:rsidP="005D3906">
      <w:pPr>
        <w:rPr>
          <w:rFonts w:cs="Arial"/>
        </w:rPr>
      </w:pPr>
    </w:p>
    <w:p w14:paraId="74928786" w14:textId="77777777" w:rsidR="005D3906" w:rsidRPr="00514EFA" w:rsidRDefault="005D3906" w:rsidP="005D3906">
      <w:pPr>
        <w:rPr>
          <w:rFonts w:cs="Arial"/>
        </w:rPr>
      </w:pPr>
    </w:p>
    <w:p w14:paraId="74928787" w14:textId="77777777" w:rsidR="005D3906" w:rsidRPr="00514EFA" w:rsidRDefault="005D3906" w:rsidP="005D3906">
      <w:pPr>
        <w:rPr>
          <w:rFonts w:cs="Arial"/>
        </w:rPr>
      </w:pPr>
    </w:p>
    <w:p w14:paraId="74928788" w14:textId="77777777" w:rsidR="00FD27B8" w:rsidRPr="00514EFA" w:rsidRDefault="00FD27B8" w:rsidP="005D3906">
      <w:pPr>
        <w:rPr>
          <w:rFonts w:cs="Arial"/>
        </w:rPr>
      </w:pPr>
    </w:p>
    <w:p w14:paraId="74928789" w14:textId="77777777" w:rsidR="005D3906" w:rsidRPr="00514EFA" w:rsidRDefault="00CB2126" w:rsidP="005D3906">
      <w:pPr>
        <w:rPr>
          <w:rFonts w:cs="Arial"/>
        </w:rPr>
      </w:pPr>
      <w:r w:rsidRPr="00514EFA">
        <w:rPr>
          <w:rFonts w:cs="Arial"/>
          <w:noProof/>
          <w:lang w:val="en-US"/>
        </w:rPr>
        <mc:AlternateContent>
          <mc:Choice Requires="wpc">
            <w:drawing>
              <wp:anchor distT="0" distB="0" distL="114300" distR="114300" simplePos="0" relativeHeight="251650559" behindDoc="1" locked="0" layoutInCell="1" allowOverlap="1" wp14:anchorId="74928E10" wp14:editId="6B3D4C98">
                <wp:simplePos x="0" y="0"/>
                <wp:positionH relativeFrom="column">
                  <wp:posOffset>-390525</wp:posOffset>
                </wp:positionH>
                <wp:positionV relativeFrom="paragraph">
                  <wp:posOffset>202565</wp:posOffset>
                </wp:positionV>
                <wp:extent cx="6567805" cy="4850765"/>
                <wp:effectExtent l="0" t="0" r="0" b="0"/>
                <wp:wrapNone/>
                <wp:docPr id="9"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56458207" id="Canvas 20" o:spid="_x0000_s1026" editas="canvas" style="position:absolute;margin-left:-30.75pt;margin-top:15.95pt;width:517.15pt;height:381.95pt;z-index:-251665921" coordsize="65678,4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78;height:48507;visibility:visible;mso-wrap-style:square">
                  <v:fill o:detectmouseclick="t"/>
                  <v:path o:connecttype="none"/>
                </v:shape>
              </v:group>
            </w:pict>
          </mc:Fallback>
        </mc:AlternateContent>
      </w:r>
    </w:p>
    <w:p w14:paraId="7492878A" w14:textId="77777777" w:rsidR="005D3906" w:rsidRPr="00514EFA" w:rsidRDefault="005540ED" w:rsidP="005D3906">
      <w:pPr>
        <w:rPr>
          <w:rFonts w:cs="Arial"/>
        </w:rPr>
      </w:pPr>
      <w:r w:rsidRPr="00514EFA">
        <w:rPr>
          <w:rFonts w:cs="Arial"/>
          <w:noProof/>
          <w:lang w:val="en-US"/>
        </w:rPr>
        <w:drawing>
          <wp:anchor distT="0" distB="0" distL="114300" distR="114300" simplePos="0" relativeHeight="251649534" behindDoc="1" locked="0" layoutInCell="1" allowOverlap="1" wp14:anchorId="74928E12" wp14:editId="29B042AE">
            <wp:simplePos x="0" y="0"/>
            <wp:positionH relativeFrom="column">
              <wp:posOffset>-154305</wp:posOffset>
            </wp:positionH>
            <wp:positionV relativeFrom="paragraph">
              <wp:posOffset>46990</wp:posOffset>
            </wp:positionV>
            <wp:extent cx="6577330" cy="48609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7330" cy="4860925"/>
                    </a:xfrm>
                    <a:prstGeom prst="rect">
                      <a:avLst/>
                    </a:prstGeom>
                    <a:noFill/>
                  </pic:spPr>
                </pic:pic>
              </a:graphicData>
            </a:graphic>
          </wp:anchor>
        </w:drawing>
      </w:r>
    </w:p>
    <w:p w14:paraId="7492878B" w14:textId="77777777" w:rsidR="005D3906" w:rsidRPr="00514EFA" w:rsidRDefault="005D3906" w:rsidP="005D3906">
      <w:pPr>
        <w:rPr>
          <w:rFonts w:cs="Arial"/>
        </w:rPr>
      </w:pPr>
    </w:p>
    <w:p w14:paraId="7492878C" w14:textId="77777777" w:rsidR="005D3906" w:rsidRPr="00514EFA" w:rsidRDefault="005D3906" w:rsidP="005D3906">
      <w:pPr>
        <w:rPr>
          <w:rFonts w:cs="Arial"/>
        </w:rPr>
      </w:pPr>
    </w:p>
    <w:p w14:paraId="7492878D" w14:textId="77777777" w:rsidR="005D3906" w:rsidRPr="00514EFA" w:rsidRDefault="005D3906" w:rsidP="005D3906">
      <w:pPr>
        <w:rPr>
          <w:rFonts w:cs="Arial"/>
        </w:rPr>
      </w:pPr>
    </w:p>
    <w:p w14:paraId="7492878E" w14:textId="77777777" w:rsidR="005D3906" w:rsidRPr="00514EFA" w:rsidRDefault="005D3906" w:rsidP="005D3906">
      <w:pPr>
        <w:rPr>
          <w:rFonts w:cs="Arial"/>
        </w:rPr>
      </w:pPr>
    </w:p>
    <w:p w14:paraId="7492878F" w14:textId="77777777" w:rsidR="005D3906" w:rsidRPr="00514EFA" w:rsidRDefault="005D3906" w:rsidP="005D3906">
      <w:pPr>
        <w:rPr>
          <w:rFonts w:cs="Arial"/>
        </w:rPr>
      </w:pPr>
    </w:p>
    <w:p w14:paraId="74928790" w14:textId="77777777" w:rsidR="005D3906" w:rsidRPr="00514EFA" w:rsidRDefault="005D3906" w:rsidP="005D3906">
      <w:pPr>
        <w:rPr>
          <w:rFonts w:cs="Arial"/>
        </w:rPr>
      </w:pPr>
    </w:p>
    <w:p w14:paraId="74928791" w14:textId="77777777" w:rsidR="005D3906" w:rsidRPr="00514EFA" w:rsidRDefault="005D3906" w:rsidP="005D3906">
      <w:pPr>
        <w:rPr>
          <w:rFonts w:cs="Arial"/>
        </w:rPr>
      </w:pPr>
    </w:p>
    <w:p w14:paraId="74928792" w14:textId="77777777" w:rsidR="005D3906" w:rsidRPr="00514EFA" w:rsidRDefault="005D3906" w:rsidP="005D3906">
      <w:pPr>
        <w:rPr>
          <w:rFonts w:cs="Arial"/>
        </w:rPr>
      </w:pPr>
    </w:p>
    <w:p w14:paraId="74928793" w14:textId="77777777" w:rsidR="005D3906" w:rsidRPr="00514EFA" w:rsidRDefault="005D3906" w:rsidP="005D3906">
      <w:pPr>
        <w:rPr>
          <w:rFonts w:cs="Arial"/>
        </w:rPr>
      </w:pPr>
    </w:p>
    <w:p w14:paraId="74928794" w14:textId="77777777" w:rsidR="00841BC2" w:rsidRPr="00514EFA" w:rsidRDefault="00841BC2" w:rsidP="005D3906">
      <w:pPr>
        <w:rPr>
          <w:rFonts w:cs="Arial"/>
        </w:rPr>
      </w:pPr>
    </w:p>
    <w:p w14:paraId="74928795" w14:textId="77777777" w:rsidR="00841BC2" w:rsidRPr="00514EFA" w:rsidRDefault="00841BC2" w:rsidP="005D3906">
      <w:pPr>
        <w:rPr>
          <w:rFonts w:cs="Arial"/>
        </w:rPr>
      </w:pPr>
    </w:p>
    <w:p w14:paraId="74928796" w14:textId="77777777" w:rsidR="00841BC2" w:rsidRPr="00514EFA" w:rsidRDefault="00841BC2" w:rsidP="005D3906">
      <w:pPr>
        <w:rPr>
          <w:rFonts w:cs="Arial"/>
        </w:rPr>
      </w:pPr>
    </w:p>
    <w:p w14:paraId="74928797" w14:textId="77777777" w:rsidR="00841BC2" w:rsidRPr="00514EFA" w:rsidRDefault="00841BC2" w:rsidP="005D3906">
      <w:pPr>
        <w:rPr>
          <w:rFonts w:cs="Arial"/>
        </w:rPr>
      </w:pPr>
    </w:p>
    <w:p w14:paraId="74928798" w14:textId="77777777" w:rsidR="00841BC2" w:rsidRPr="00514EFA" w:rsidRDefault="00841BC2" w:rsidP="005D3906">
      <w:pPr>
        <w:rPr>
          <w:rFonts w:cs="Arial"/>
        </w:rPr>
      </w:pPr>
    </w:p>
    <w:p w14:paraId="74928799" w14:textId="77777777" w:rsidR="00841BC2" w:rsidRPr="00514EFA" w:rsidRDefault="005540ED" w:rsidP="005540ED">
      <w:pPr>
        <w:ind w:left="-142"/>
        <w:rPr>
          <w:rFonts w:cs="Arial"/>
        </w:rPr>
      </w:pPr>
      <w:r w:rsidRPr="00514EFA">
        <w:rPr>
          <w:rFonts w:cs="Arial"/>
          <w:noProof/>
          <w:lang w:val="en-US"/>
        </w:rPr>
        <w:drawing>
          <wp:anchor distT="0" distB="0" distL="114300" distR="114300" simplePos="0" relativeHeight="251665920" behindDoc="0" locked="0" layoutInCell="1" allowOverlap="1" wp14:anchorId="74928E14" wp14:editId="4C801B77">
            <wp:simplePos x="0" y="0"/>
            <wp:positionH relativeFrom="margin">
              <wp:align>center</wp:align>
            </wp:positionH>
            <wp:positionV relativeFrom="margin">
              <wp:align>bottom</wp:align>
            </wp:positionV>
            <wp:extent cx="6225540" cy="105854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225413\Desktop\case log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226084" cy="1062990"/>
                    </a:xfrm>
                    <a:prstGeom prst="rect">
                      <a:avLst/>
                    </a:prstGeom>
                    <a:noFill/>
                    <a:ln>
                      <a:noFill/>
                    </a:ln>
                  </pic:spPr>
                </pic:pic>
              </a:graphicData>
            </a:graphic>
            <wp14:sizeRelH relativeFrom="margin">
              <wp14:pctWidth>0</wp14:pctWidth>
            </wp14:sizeRelH>
          </wp:anchor>
        </w:drawing>
      </w:r>
      <w:r w:rsidRPr="00514EFA">
        <w:rPr>
          <w:rFonts w:cs="Arial"/>
          <w:noProof/>
          <w:lang w:val="en-US"/>
        </w:rPr>
        <w:drawing>
          <wp:anchor distT="0" distB="0" distL="114300" distR="114300" simplePos="0" relativeHeight="251659776" behindDoc="0" locked="0" layoutInCell="1" allowOverlap="1" wp14:anchorId="74928E16" wp14:editId="56205631">
            <wp:simplePos x="0" y="0"/>
            <wp:positionH relativeFrom="column">
              <wp:posOffset>-390525</wp:posOffset>
            </wp:positionH>
            <wp:positionV relativeFrom="paragraph">
              <wp:posOffset>7200265</wp:posOffset>
            </wp:positionV>
            <wp:extent cx="6459220" cy="110045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9220" cy="1100455"/>
                    </a:xfrm>
                    <a:prstGeom prst="rect">
                      <a:avLst/>
                    </a:prstGeom>
                    <a:noFill/>
                  </pic:spPr>
                </pic:pic>
              </a:graphicData>
            </a:graphic>
          </wp:anchor>
        </w:drawing>
      </w:r>
      <w:r w:rsidRPr="00514EFA">
        <w:rPr>
          <w:rFonts w:cs="Arial"/>
          <w:noProof/>
          <w:lang w:val="en-US"/>
        </w:rPr>
        <w:drawing>
          <wp:anchor distT="0" distB="0" distL="114300" distR="114300" simplePos="0" relativeHeight="251658752" behindDoc="0" locked="0" layoutInCell="1" allowOverlap="1" wp14:anchorId="74928E18" wp14:editId="319777E2">
            <wp:simplePos x="0" y="0"/>
            <wp:positionH relativeFrom="column">
              <wp:posOffset>-390525</wp:posOffset>
            </wp:positionH>
            <wp:positionV relativeFrom="paragraph">
              <wp:posOffset>7200265</wp:posOffset>
            </wp:positionV>
            <wp:extent cx="6459220" cy="11004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9220" cy="1100455"/>
                    </a:xfrm>
                    <a:prstGeom prst="rect">
                      <a:avLst/>
                    </a:prstGeom>
                    <a:noFill/>
                  </pic:spPr>
                </pic:pic>
              </a:graphicData>
            </a:graphic>
          </wp:anchor>
        </w:drawing>
      </w:r>
      <w:r w:rsidRPr="00514EFA">
        <w:rPr>
          <w:rFonts w:cs="Arial"/>
          <w:noProof/>
          <w:lang w:val="en-US"/>
        </w:rPr>
        <w:drawing>
          <wp:anchor distT="0" distB="0" distL="114300" distR="114300" simplePos="0" relativeHeight="251657728" behindDoc="0" locked="0" layoutInCell="1" allowOverlap="1" wp14:anchorId="74928E1A" wp14:editId="1ADEEA07">
            <wp:simplePos x="0" y="0"/>
            <wp:positionH relativeFrom="column">
              <wp:posOffset>-390525</wp:posOffset>
            </wp:positionH>
            <wp:positionV relativeFrom="paragraph">
              <wp:posOffset>7200265</wp:posOffset>
            </wp:positionV>
            <wp:extent cx="6459220" cy="1100455"/>
            <wp:effectExtent l="0" t="0" r="0" b="444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9220" cy="1100455"/>
                    </a:xfrm>
                    <a:prstGeom prst="rect">
                      <a:avLst/>
                    </a:prstGeom>
                    <a:noFill/>
                  </pic:spPr>
                </pic:pic>
              </a:graphicData>
            </a:graphic>
          </wp:anchor>
        </w:drawing>
      </w:r>
    </w:p>
    <w:p w14:paraId="7492879A" w14:textId="77777777" w:rsidR="00841BC2" w:rsidRPr="00514EFA" w:rsidRDefault="00841BC2" w:rsidP="005D3906">
      <w:pPr>
        <w:rPr>
          <w:rFonts w:cs="Arial"/>
        </w:rPr>
        <w:sectPr w:rsidR="00841BC2" w:rsidRPr="00514EFA" w:rsidSect="005540ED">
          <w:headerReference w:type="even" r:id="rId17"/>
          <w:type w:val="oddPage"/>
          <w:pgSz w:w="11906" w:h="16838" w:code="9"/>
          <w:pgMar w:top="794" w:right="1021" w:bottom="709" w:left="1021" w:header="709" w:footer="709" w:gutter="0"/>
          <w:cols w:space="708"/>
          <w:docGrid w:linePitch="360"/>
        </w:sectPr>
      </w:pPr>
    </w:p>
    <w:p w14:paraId="7492879B" w14:textId="73E75F7B" w:rsidR="00DD13A4" w:rsidRPr="00514EFA" w:rsidRDefault="00652145" w:rsidP="00F23D3C">
      <w:pPr>
        <w:pStyle w:val="Default"/>
        <w:rPr>
          <w:b/>
          <w:bCs/>
          <w:sz w:val="23"/>
          <w:szCs w:val="23"/>
        </w:rPr>
      </w:pPr>
      <w:r w:rsidRPr="00514EFA">
        <w:rPr>
          <w:b/>
          <w:bCs/>
          <w:sz w:val="23"/>
          <w:szCs w:val="23"/>
        </w:rPr>
        <w:lastRenderedPageBreak/>
        <w:t>The Culture and</w:t>
      </w:r>
      <w:bookmarkStart w:id="0" w:name="_GoBack"/>
      <w:bookmarkEnd w:id="0"/>
      <w:r w:rsidRPr="00514EFA">
        <w:rPr>
          <w:b/>
          <w:bCs/>
          <w:sz w:val="23"/>
          <w:szCs w:val="23"/>
        </w:rPr>
        <w:t xml:space="preserve"> Sport </w:t>
      </w:r>
      <w:r w:rsidR="00DD13A4" w:rsidRPr="00514EFA">
        <w:rPr>
          <w:b/>
          <w:bCs/>
          <w:sz w:val="23"/>
          <w:szCs w:val="23"/>
        </w:rPr>
        <w:t>Evidence (CASE) programme is a j</w:t>
      </w:r>
      <w:r w:rsidRPr="00514EFA">
        <w:rPr>
          <w:b/>
          <w:bCs/>
          <w:sz w:val="23"/>
          <w:szCs w:val="23"/>
        </w:rPr>
        <w:t xml:space="preserve">oint programme of </w:t>
      </w:r>
      <w:r w:rsidR="006D76E4" w:rsidRPr="00514EFA">
        <w:rPr>
          <w:b/>
          <w:bCs/>
          <w:sz w:val="23"/>
          <w:szCs w:val="23"/>
        </w:rPr>
        <w:t xml:space="preserve">strategic </w:t>
      </w:r>
      <w:r w:rsidRPr="00514EFA">
        <w:rPr>
          <w:b/>
          <w:bCs/>
          <w:sz w:val="23"/>
          <w:szCs w:val="23"/>
        </w:rPr>
        <w:t xml:space="preserve">research led by the Department for Culture, Media and Sport (DCMS) in collaboration with the Arts Council England (ACE), </w:t>
      </w:r>
      <w:r w:rsidR="00BB729A">
        <w:rPr>
          <w:b/>
          <w:bCs/>
          <w:sz w:val="23"/>
          <w:szCs w:val="23"/>
        </w:rPr>
        <w:t>Historic England (HE</w:t>
      </w:r>
      <w:r w:rsidRPr="00514EFA">
        <w:rPr>
          <w:b/>
          <w:bCs/>
          <w:sz w:val="23"/>
          <w:szCs w:val="23"/>
        </w:rPr>
        <w:t xml:space="preserve">) and Sport England (SE). </w:t>
      </w:r>
    </w:p>
    <w:p w14:paraId="7492879C" w14:textId="77777777" w:rsidR="00DD13A4" w:rsidRPr="00514EFA" w:rsidRDefault="00DD13A4" w:rsidP="00DD13A4">
      <w:pPr>
        <w:pStyle w:val="Default"/>
        <w:rPr>
          <w:b/>
          <w:bCs/>
          <w:sz w:val="23"/>
          <w:szCs w:val="23"/>
        </w:rPr>
      </w:pPr>
    </w:p>
    <w:p w14:paraId="7492879D" w14:textId="77777777" w:rsidR="00DD13A4" w:rsidRPr="00514EFA" w:rsidRDefault="00DD13A4" w:rsidP="00DD13A4">
      <w:pPr>
        <w:pStyle w:val="Default"/>
        <w:rPr>
          <w:b/>
          <w:bCs/>
          <w:sz w:val="23"/>
          <w:szCs w:val="23"/>
        </w:rPr>
      </w:pPr>
    </w:p>
    <w:p w14:paraId="7492879E" w14:textId="7F142907" w:rsidR="00841BC2" w:rsidRPr="00514EFA" w:rsidRDefault="006E740F" w:rsidP="00DD13A4">
      <w:pPr>
        <w:pStyle w:val="Default"/>
        <w:rPr>
          <w:b/>
          <w:bCs/>
          <w:sz w:val="23"/>
          <w:szCs w:val="23"/>
        </w:rPr>
      </w:pPr>
      <w:r w:rsidRPr="00514EFA">
        <w:rPr>
          <w:b/>
          <w:bCs/>
          <w:sz w:val="23"/>
          <w:szCs w:val="23"/>
        </w:rPr>
        <w:t>The CASE Programme commissioned TBR, an economic research consultancy with a specialism in the creative and cultural industries to deliver the study in partnership with NEF Consulting, a consultancy specialising in economic and social impact assessment and Professor Graeme Evans from Middlesex University, a leading researcher and expert adviser on cultural and creative cities, culture and regeneration and the creative economy.</w:t>
      </w:r>
    </w:p>
    <w:p w14:paraId="7B481D50" w14:textId="77777777" w:rsidR="006E740F" w:rsidRPr="00514EFA" w:rsidRDefault="006E740F" w:rsidP="00DD13A4">
      <w:pPr>
        <w:pStyle w:val="Default"/>
        <w:rPr>
          <w:b/>
          <w:bCs/>
          <w:sz w:val="23"/>
          <w:szCs w:val="23"/>
        </w:rPr>
      </w:pPr>
    </w:p>
    <w:p w14:paraId="519BD4A9" w14:textId="70458662" w:rsidR="006E740F" w:rsidRPr="00514EFA" w:rsidRDefault="006E740F" w:rsidP="00DD13A4">
      <w:pPr>
        <w:pStyle w:val="Default"/>
        <w:rPr>
          <w:b/>
          <w:bCs/>
          <w:sz w:val="23"/>
          <w:szCs w:val="23"/>
        </w:rPr>
      </w:pPr>
    </w:p>
    <w:p w14:paraId="7492879F" w14:textId="294FA849" w:rsidR="00652145" w:rsidRPr="00514EFA" w:rsidRDefault="00682D0A" w:rsidP="00652145">
      <w:pPr>
        <w:rPr>
          <w:rFonts w:cs="Arial"/>
          <w:b/>
          <w:bCs/>
          <w:sz w:val="23"/>
          <w:szCs w:val="23"/>
        </w:rPr>
      </w:pPr>
      <w:r w:rsidRPr="00514EFA">
        <w:rPr>
          <w:rFonts w:cs="Arial"/>
          <w:b/>
          <w:bCs/>
          <w:noProof/>
          <w:sz w:val="23"/>
          <w:szCs w:val="23"/>
          <w:lang w:val="en-US"/>
        </w:rPr>
        <w:drawing>
          <wp:anchor distT="0" distB="0" distL="114300" distR="114300" simplePos="0" relativeHeight="251667968" behindDoc="0" locked="0" layoutInCell="1" allowOverlap="1" wp14:anchorId="76CAF1EC" wp14:editId="53D792D7">
            <wp:simplePos x="0" y="0"/>
            <wp:positionH relativeFrom="column">
              <wp:posOffset>649132</wp:posOffset>
            </wp:positionH>
            <wp:positionV relativeFrom="paragraph">
              <wp:posOffset>-5080</wp:posOffset>
            </wp:positionV>
            <wp:extent cx="1425575" cy="1425575"/>
            <wp:effectExtent l="0" t="0" r="3175" b="3175"/>
            <wp:wrapNone/>
            <wp:docPr id="372" name="Picture 372" descr="tb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tbr_blu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EFA">
        <w:rPr>
          <w:rFonts w:cs="Arial"/>
          <w:b/>
          <w:bCs/>
          <w:noProof/>
          <w:sz w:val="23"/>
          <w:szCs w:val="23"/>
          <w:lang w:val="en-US"/>
        </w:rPr>
        <w:drawing>
          <wp:anchor distT="0" distB="0" distL="114300" distR="114300" simplePos="0" relativeHeight="251668992" behindDoc="0" locked="0" layoutInCell="1" allowOverlap="1" wp14:anchorId="0F95E4CD" wp14:editId="229F096E">
            <wp:simplePos x="0" y="0"/>
            <wp:positionH relativeFrom="column">
              <wp:posOffset>2379345</wp:posOffset>
            </wp:positionH>
            <wp:positionV relativeFrom="paragraph">
              <wp:posOffset>204470</wp:posOffset>
            </wp:positionV>
            <wp:extent cx="1210945" cy="98044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_logo_gre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0945" cy="980440"/>
                    </a:xfrm>
                    <a:prstGeom prst="rect">
                      <a:avLst/>
                    </a:prstGeom>
                  </pic:spPr>
                </pic:pic>
              </a:graphicData>
            </a:graphic>
            <wp14:sizeRelH relativeFrom="page">
              <wp14:pctWidth>0</wp14:pctWidth>
            </wp14:sizeRelH>
            <wp14:sizeRelV relativeFrom="page">
              <wp14:pctHeight>0</wp14:pctHeight>
            </wp14:sizeRelV>
          </wp:anchor>
        </w:drawing>
      </w:r>
    </w:p>
    <w:p w14:paraId="1EB07A4B" w14:textId="6FF7C4B8" w:rsidR="006E740F" w:rsidRPr="00514EFA" w:rsidRDefault="00682D0A" w:rsidP="00652145">
      <w:pPr>
        <w:rPr>
          <w:rFonts w:cs="Arial"/>
          <w:b/>
          <w:bCs/>
          <w:sz w:val="23"/>
          <w:szCs w:val="23"/>
        </w:rPr>
      </w:pPr>
      <w:r w:rsidRPr="00514EFA">
        <w:rPr>
          <w:rFonts w:cs="Arial"/>
          <w:b/>
          <w:bCs/>
          <w:noProof/>
          <w:sz w:val="23"/>
          <w:szCs w:val="23"/>
          <w:lang w:val="en-US"/>
        </w:rPr>
        <w:drawing>
          <wp:anchor distT="0" distB="0" distL="114300" distR="114300" simplePos="0" relativeHeight="251670016" behindDoc="0" locked="0" layoutInCell="1" allowOverlap="1" wp14:anchorId="71A0139F" wp14:editId="6219B347">
            <wp:simplePos x="0" y="0"/>
            <wp:positionH relativeFrom="column">
              <wp:posOffset>3893820</wp:posOffset>
            </wp:positionH>
            <wp:positionV relativeFrom="paragraph">
              <wp:posOffset>130175</wp:posOffset>
            </wp:positionV>
            <wp:extent cx="1519555" cy="63182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x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9555" cy="631825"/>
                    </a:xfrm>
                    <a:prstGeom prst="rect">
                      <a:avLst/>
                    </a:prstGeom>
                  </pic:spPr>
                </pic:pic>
              </a:graphicData>
            </a:graphic>
            <wp14:sizeRelH relativeFrom="page">
              <wp14:pctWidth>0</wp14:pctWidth>
            </wp14:sizeRelH>
            <wp14:sizeRelV relativeFrom="page">
              <wp14:pctHeight>0</wp14:pctHeight>
            </wp14:sizeRelV>
          </wp:anchor>
        </w:drawing>
      </w:r>
    </w:p>
    <w:p w14:paraId="749287A0" w14:textId="35F700EA" w:rsidR="00C32A77" w:rsidRPr="00514EFA" w:rsidRDefault="00A033C6" w:rsidP="00C32A77">
      <w:pPr>
        <w:ind w:left="0"/>
        <w:rPr>
          <w:rFonts w:cs="Arial"/>
          <w:b/>
          <w:bCs/>
          <w:sz w:val="23"/>
          <w:szCs w:val="23"/>
        </w:rPr>
      </w:pPr>
      <w:r>
        <w:rPr>
          <w:rFonts w:cs="Arial"/>
          <w:b/>
          <w:bCs/>
          <w:sz w:val="23"/>
          <w:szCs w:val="23"/>
        </w:rPr>
        <w:t xml:space="preserve"> </w:t>
      </w:r>
      <w:r w:rsidR="00C32A77" w:rsidRPr="00514EFA">
        <w:rPr>
          <w:rFonts w:cs="Arial"/>
          <w:b/>
          <w:bCs/>
          <w:sz w:val="23"/>
          <w:szCs w:val="23"/>
        </w:rPr>
        <w:t xml:space="preserve"> </w:t>
      </w:r>
    </w:p>
    <w:p w14:paraId="4A8A5398" w14:textId="77777777" w:rsidR="006E740F" w:rsidRPr="00514EFA" w:rsidRDefault="006E740F" w:rsidP="00C32A77">
      <w:pPr>
        <w:ind w:left="0"/>
        <w:rPr>
          <w:rFonts w:cs="Arial"/>
          <w:b/>
          <w:bCs/>
          <w:sz w:val="23"/>
          <w:szCs w:val="23"/>
        </w:rPr>
      </w:pPr>
    </w:p>
    <w:p w14:paraId="749287A2" w14:textId="77777777" w:rsidR="00DD13A4" w:rsidRPr="00514EFA" w:rsidRDefault="00DD13A4" w:rsidP="00DD13A4">
      <w:pPr>
        <w:ind w:left="0"/>
        <w:jc w:val="both"/>
        <w:rPr>
          <w:rFonts w:cs="Arial"/>
          <w:b/>
          <w:bCs/>
          <w:sz w:val="23"/>
          <w:szCs w:val="23"/>
        </w:rPr>
      </w:pPr>
    </w:p>
    <w:p w14:paraId="442C30D5" w14:textId="77777777" w:rsidR="006E740F" w:rsidRPr="00514EFA" w:rsidRDefault="006E740F" w:rsidP="00DD13A4">
      <w:pPr>
        <w:ind w:left="0"/>
        <w:jc w:val="both"/>
        <w:rPr>
          <w:rFonts w:cs="Arial"/>
          <w:b/>
          <w:bCs/>
          <w:sz w:val="23"/>
          <w:szCs w:val="23"/>
        </w:rPr>
      </w:pPr>
    </w:p>
    <w:p w14:paraId="2CFCA216" w14:textId="77777777" w:rsidR="006E740F" w:rsidRPr="00514EFA" w:rsidRDefault="006E740F" w:rsidP="00DD13A4">
      <w:pPr>
        <w:ind w:left="0"/>
        <w:jc w:val="both"/>
        <w:rPr>
          <w:rFonts w:cs="Arial"/>
          <w:b/>
          <w:bCs/>
          <w:sz w:val="23"/>
          <w:szCs w:val="23"/>
        </w:rPr>
      </w:pPr>
    </w:p>
    <w:p w14:paraId="4F5E6F0E" w14:textId="6327FC7F" w:rsidR="006E740F" w:rsidRPr="00514EFA" w:rsidRDefault="00BB42FC" w:rsidP="00DD13A4">
      <w:pPr>
        <w:ind w:left="0"/>
        <w:jc w:val="both"/>
        <w:rPr>
          <w:rFonts w:cs="Arial"/>
          <w:b/>
          <w:bCs/>
          <w:sz w:val="23"/>
          <w:szCs w:val="23"/>
        </w:rPr>
      </w:pPr>
      <w:r w:rsidRPr="00514EFA">
        <w:rPr>
          <w:rFonts w:cs="Arial"/>
          <w:b/>
          <w:bCs/>
          <w:sz w:val="23"/>
          <w:szCs w:val="23"/>
        </w:rPr>
        <w:t>The r</w:t>
      </w:r>
      <w:r w:rsidR="006E740F" w:rsidRPr="00514EFA">
        <w:rPr>
          <w:rFonts w:cs="Arial"/>
          <w:b/>
          <w:bCs/>
          <w:sz w:val="23"/>
          <w:szCs w:val="23"/>
        </w:rPr>
        <w:t xml:space="preserve">esearch </w:t>
      </w:r>
      <w:r w:rsidRPr="00514EFA">
        <w:rPr>
          <w:rFonts w:cs="Arial"/>
          <w:b/>
          <w:bCs/>
          <w:sz w:val="23"/>
          <w:szCs w:val="23"/>
        </w:rPr>
        <w:t>t</w:t>
      </w:r>
      <w:r w:rsidR="006E740F" w:rsidRPr="00514EFA">
        <w:rPr>
          <w:rFonts w:cs="Arial"/>
          <w:b/>
          <w:bCs/>
          <w:sz w:val="23"/>
          <w:szCs w:val="23"/>
        </w:rPr>
        <w:t>eam</w:t>
      </w:r>
      <w:r w:rsidRPr="00514EFA">
        <w:rPr>
          <w:rFonts w:cs="Arial"/>
          <w:b/>
          <w:bCs/>
          <w:sz w:val="23"/>
          <w:szCs w:val="23"/>
        </w:rPr>
        <w:t xml:space="preserve"> for this study was</w:t>
      </w:r>
      <w:r w:rsidR="006E740F" w:rsidRPr="00514EFA">
        <w:rPr>
          <w:rFonts w:cs="Arial"/>
          <w:b/>
          <w:bCs/>
          <w:sz w:val="23"/>
          <w:szCs w:val="23"/>
        </w:rPr>
        <w:t>:</w:t>
      </w:r>
    </w:p>
    <w:p w14:paraId="48C37448" w14:textId="6C42EA5E" w:rsidR="006E740F" w:rsidRPr="00514EFA" w:rsidRDefault="006E740F" w:rsidP="00DD13A4">
      <w:pPr>
        <w:ind w:left="0"/>
        <w:jc w:val="both"/>
        <w:rPr>
          <w:rFonts w:cs="Arial"/>
          <w:bCs/>
          <w:sz w:val="23"/>
          <w:szCs w:val="23"/>
        </w:rPr>
      </w:pPr>
      <w:r w:rsidRPr="00514EFA">
        <w:rPr>
          <w:rFonts w:cs="Arial"/>
          <w:bCs/>
          <w:sz w:val="23"/>
          <w:szCs w:val="23"/>
        </w:rPr>
        <w:t>Andrew Graves, TBR</w:t>
      </w:r>
    </w:p>
    <w:p w14:paraId="52038645" w14:textId="74142260" w:rsidR="006E740F" w:rsidRPr="00514EFA" w:rsidRDefault="006E740F" w:rsidP="00DD13A4">
      <w:pPr>
        <w:ind w:left="0"/>
        <w:jc w:val="both"/>
        <w:rPr>
          <w:rFonts w:cs="Arial"/>
          <w:bCs/>
          <w:sz w:val="23"/>
          <w:szCs w:val="23"/>
        </w:rPr>
      </w:pPr>
      <w:r w:rsidRPr="00514EFA">
        <w:rPr>
          <w:rFonts w:cs="Arial"/>
          <w:bCs/>
          <w:sz w:val="23"/>
          <w:szCs w:val="23"/>
        </w:rPr>
        <w:t>Andrew Rowell, TBR</w:t>
      </w:r>
    </w:p>
    <w:p w14:paraId="5E26082A" w14:textId="6002C399" w:rsidR="006E740F" w:rsidRPr="00514EFA" w:rsidRDefault="006E740F" w:rsidP="00DD13A4">
      <w:pPr>
        <w:ind w:left="0"/>
        <w:jc w:val="both"/>
        <w:rPr>
          <w:rFonts w:cs="Arial"/>
          <w:bCs/>
          <w:sz w:val="23"/>
          <w:szCs w:val="23"/>
        </w:rPr>
      </w:pPr>
      <w:r w:rsidRPr="00514EFA">
        <w:rPr>
          <w:rFonts w:cs="Arial"/>
          <w:bCs/>
          <w:sz w:val="23"/>
          <w:szCs w:val="23"/>
        </w:rPr>
        <w:t>Olivier Vardakoulias, NEF Consulting</w:t>
      </w:r>
    </w:p>
    <w:p w14:paraId="4377A507" w14:textId="0BBD53C8" w:rsidR="006E740F" w:rsidRPr="00514EFA" w:rsidRDefault="006E740F" w:rsidP="00DD13A4">
      <w:pPr>
        <w:ind w:left="0"/>
        <w:jc w:val="both"/>
        <w:rPr>
          <w:rFonts w:cs="Arial"/>
          <w:bCs/>
          <w:sz w:val="23"/>
          <w:szCs w:val="23"/>
        </w:rPr>
      </w:pPr>
      <w:r w:rsidRPr="00514EFA">
        <w:rPr>
          <w:rFonts w:cs="Arial"/>
          <w:bCs/>
          <w:sz w:val="23"/>
          <w:szCs w:val="23"/>
        </w:rPr>
        <w:t>Sarah Arnold</w:t>
      </w:r>
      <w:r w:rsidR="005C1C85">
        <w:rPr>
          <w:rFonts w:cs="Arial"/>
          <w:bCs/>
          <w:sz w:val="23"/>
          <w:szCs w:val="23"/>
        </w:rPr>
        <w:t>,</w:t>
      </w:r>
      <w:r w:rsidRPr="00514EFA">
        <w:rPr>
          <w:rFonts w:cs="Arial"/>
          <w:bCs/>
          <w:sz w:val="23"/>
          <w:szCs w:val="23"/>
        </w:rPr>
        <w:t xml:space="preserve"> NEF Consulting</w:t>
      </w:r>
    </w:p>
    <w:p w14:paraId="6516BE6A" w14:textId="25934AFC" w:rsidR="006E740F" w:rsidRPr="00514EFA" w:rsidRDefault="006E740F" w:rsidP="00DD13A4">
      <w:pPr>
        <w:ind w:left="0"/>
        <w:jc w:val="both"/>
        <w:rPr>
          <w:rFonts w:cs="Arial"/>
          <w:bCs/>
          <w:sz w:val="23"/>
          <w:szCs w:val="23"/>
        </w:rPr>
      </w:pPr>
      <w:r w:rsidRPr="00514EFA">
        <w:rPr>
          <w:rFonts w:cs="Arial"/>
          <w:bCs/>
          <w:sz w:val="23"/>
          <w:szCs w:val="23"/>
        </w:rPr>
        <w:t>Graeme Evans, Middlesex University</w:t>
      </w:r>
    </w:p>
    <w:p w14:paraId="74D73E5B" w14:textId="77777777" w:rsidR="006E740F" w:rsidRPr="00514EFA" w:rsidRDefault="006E740F" w:rsidP="00DD13A4">
      <w:pPr>
        <w:ind w:left="0"/>
        <w:jc w:val="both"/>
        <w:rPr>
          <w:rFonts w:cs="Arial"/>
          <w:b/>
          <w:bCs/>
          <w:sz w:val="23"/>
          <w:szCs w:val="23"/>
        </w:rPr>
      </w:pPr>
    </w:p>
    <w:p w14:paraId="749287B2" w14:textId="77777777" w:rsidR="006D76E4" w:rsidRPr="00514EFA" w:rsidRDefault="006D76E4" w:rsidP="00DD13A4">
      <w:pPr>
        <w:ind w:left="0"/>
        <w:jc w:val="both"/>
        <w:rPr>
          <w:rFonts w:cs="Arial"/>
          <w:b/>
          <w:bCs/>
          <w:sz w:val="23"/>
          <w:szCs w:val="23"/>
        </w:rPr>
      </w:pPr>
    </w:p>
    <w:p w14:paraId="749287B3" w14:textId="77777777" w:rsidR="005E332B" w:rsidRPr="00514EFA" w:rsidRDefault="005E332B" w:rsidP="00FE2D01">
      <w:pPr>
        <w:rPr>
          <w:rFonts w:cs="Arial"/>
        </w:rPr>
      </w:pPr>
    </w:p>
    <w:p w14:paraId="01C75F57" w14:textId="77777777" w:rsidR="00E11220" w:rsidRPr="00514EFA" w:rsidRDefault="00E11220" w:rsidP="00FE2D01">
      <w:pPr>
        <w:rPr>
          <w:rFonts w:cs="Arial"/>
        </w:rPr>
      </w:pPr>
    </w:p>
    <w:p w14:paraId="3F887BC2" w14:textId="77777777" w:rsidR="00E11220" w:rsidRPr="00514EFA" w:rsidRDefault="00E11220" w:rsidP="00FE2D01">
      <w:pPr>
        <w:rPr>
          <w:rFonts w:cs="Arial"/>
        </w:rPr>
        <w:sectPr w:rsidR="00E11220" w:rsidRPr="00514EFA" w:rsidSect="005A5D21">
          <w:headerReference w:type="even" r:id="rId21"/>
          <w:headerReference w:type="default" r:id="rId22"/>
          <w:pgSz w:w="11906" w:h="16838" w:code="9"/>
          <w:pgMar w:top="1418" w:right="1021" w:bottom="1134" w:left="1021" w:header="540" w:footer="709" w:gutter="0"/>
          <w:cols w:space="708"/>
          <w:docGrid w:linePitch="360"/>
        </w:sectPr>
      </w:pPr>
    </w:p>
    <w:sdt>
      <w:sdtPr>
        <w:rPr>
          <w:rFonts w:cs="Arial"/>
          <w:sz w:val="22"/>
        </w:rPr>
        <w:id w:val="-300771191"/>
        <w:docPartObj>
          <w:docPartGallery w:val="Table of Contents"/>
          <w:docPartUnique/>
        </w:docPartObj>
      </w:sdtPr>
      <w:sdtEndPr>
        <w:rPr>
          <w:b/>
          <w:bCs/>
          <w:noProof/>
        </w:rPr>
      </w:sdtEndPr>
      <w:sdtContent>
        <w:p w14:paraId="749287B4" w14:textId="77777777" w:rsidR="00FA21CC" w:rsidRPr="00514EFA" w:rsidRDefault="00FA21CC">
          <w:pPr>
            <w:pStyle w:val="TOCHeading"/>
            <w:rPr>
              <w:rFonts w:cs="Arial"/>
              <w:color w:val="673561"/>
            </w:rPr>
          </w:pPr>
          <w:r w:rsidRPr="00514EFA">
            <w:rPr>
              <w:rFonts w:cs="Arial"/>
              <w:color w:val="673561"/>
            </w:rPr>
            <w:t>Contents</w:t>
          </w:r>
        </w:p>
        <w:p w14:paraId="4B3E0E88" w14:textId="77777777" w:rsidR="00765839" w:rsidRDefault="00404FEF">
          <w:pPr>
            <w:pStyle w:val="TOC1"/>
            <w:tabs>
              <w:tab w:val="right" w:leader="dot" w:pos="9344"/>
            </w:tabs>
            <w:rPr>
              <w:rFonts w:asciiTheme="minorHAnsi" w:eastAsiaTheme="minorEastAsia" w:hAnsiTheme="minorHAnsi" w:cstheme="minorBidi"/>
              <w:b w:val="0"/>
              <w:noProof/>
              <w:szCs w:val="22"/>
              <w:lang w:eastAsia="en-GB"/>
            </w:rPr>
          </w:pPr>
          <w:r w:rsidRPr="00514EFA">
            <w:rPr>
              <w:rFonts w:cs="Arial"/>
            </w:rPr>
            <w:fldChar w:fldCharType="begin"/>
          </w:r>
          <w:r w:rsidR="00FA21CC" w:rsidRPr="00514EFA">
            <w:rPr>
              <w:rFonts w:cs="Arial"/>
            </w:rPr>
            <w:instrText xml:space="preserve"> TOC \o "1-3" \h \z \u </w:instrText>
          </w:r>
          <w:r w:rsidRPr="00514EFA">
            <w:rPr>
              <w:rFonts w:cs="Arial"/>
            </w:rPr>
            <w:fldChar w:fldCharType="separate"/>
          </w:r>
          <w:hyperlink w:anchor="_Toc464222882" w:history="1">
            <w:r w:rsidR="00765839" w:rsidRPr="009E3EA7">
              <w:rPr>
                <w:rStyle w:val="Hyperlink"/>
                <w:noProof/>
              </w:rPr>
              <w:t>1: Executive Summary</w:t>
            </w:r>
            <w:r w:rsidR="00765839">
              <w:rPr>
                <w:noProof/>
                <w:webHidden/>
              </w:rPr>
              <w:tab/>
            </w:r>
            <w:r w:rsidR="00765839">
              <w:rPr>
                <w:noProof/>
                <w:webHidden/>
              </w:rPr>
              <w:fldChar w:fldCharType="begin"/>
            </w:r>
            <w:r w:rsidR="00765839">
              <w:rPr>
                <w:noProof/>
                <w:webHidden/>
              </w:rPr>
              <w:instrText xml:space="preserve"> PAGEREF _Toc464222882 \h </w:instrText>
            </w:r>
            <w:r w:rsidR="00765839">
              <w:rPr>
                <w:noProof/>
                <w:webHidden/>
              </w:rPr>
            </w:r>
            <w:r w:rsidR="00765839">
              <w:rPr>
                <w:noProof/>
                <w:webHidden/>
              </w:rPr>
              <w:fldChar w:fldCharType="separate"/>
            </w:r>
            <w:r w:rsidR="00765839">
              <w:rPr>
                <w:noProof/>
                <w:webHidden/>
              </w:rPr>
              <w:t>1</w:t>
            </w:r>
            <w:r w:rsidR="00765839">
              <w:rPr>
                <w:noProof/>
                <w:webHidden/>
              </w:rPr>
              <w:fldChar w:fldCharType="end"/>
            </w:r>
          </w:hyperlink>
        </w:p>
        <w:p w14:paraId="26C058C7"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883" w:history="1">
            <w:r w:rsidR="00765839" w:rsidRPr="009E3EA7">
              <w:rPr>
                <w:rStyle w:val="Hyperlink"/>
                <w:noProof/>
              </w:rPr>
              <w:t>1.1</w:t>
            </w:r>
            <w:r w:rsidR="00765839">
              <w:rPr>
                <w:rFonts w:asciiTheme="minorHAnsi" w:eastAsiaTheme="minorEastAsia" w:hAnsiTheme="minorHAnsi" w:cstheme="minorBidi"/>
                <w:noProof/>
                <w:szCs w:val="22"/>
                <w:lang w:eastAsia="en-GB"/>
              </w:rPr>
              <w:tab/>
            </w:r>
            <w:r w:rsidR="00765839" w:rsidRPr="009E3EA7">
              <w:rPr>
                <w:rStyle w:val="Hyperlink"/>
                <w:noProof/>
              </w:rPr>
              <w:t>Study aims and objectives</w:t>
            </w:r>
            <w:r w:rsidR="00765839">
              <w:rPr>
                <w:noProof/>
                <w:webHidden/>
              </w:rPr>
              <w:tab/>
            </w:r>
            <w:r w:rsidR="00765839">
              <w:rPr>
                <w:noProof/>
                <w:webHidden/>
              </w:rPr>
              <w:fldChar w:fldCharType="begin"/>
            </w:r>
            <w:r w:rsidR="00765839">
              <w:rPr>
                <w:noProof/>
                <w:webHidden/>
              </w:rPr>
              <w:instrText xml:space="preserve"> PAGEREF _Toc464222883 \h </w:instrText>
            </w:r>
            <w:r w:rsidR="00765839">
              <w:rPr>
                <w:noProof/>
                <w:webHidden/>
              </w:rPr>
            </w:r>
            <w:r w:rsidR="00765839">
              <w:rPr>
                <w:noProof/>
                <w:webHidden/>
              </w:rPr>
              <w:fldChar w:fldCharType="separate"/>
            </w:r>
            <w:r w:rsidR="00765839">
              <w:rPr>
                <w:noProof/>
                <w:webHidden/>
              </w:rPr>
              <w:t>1</w:t>
            </w:r>
            <w:r w:rsidR="00765839">
              <w:rPr>
                <w:noProof/>
                <w:webHidden/>
              </w:rPr>
              <w:fldChar w:fldCharType="end"/>
            </w:r>
          </w:hyperlink>
        </w:p>
        <w:p w14:paraId="3C1A9286"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884" w:history="1">
            <w:r w:rsidR="00765839" w:rsidRPr="009E3EA7">
              <w:rPr>
                <w:rStyle w:val="Hyperlink"/>
                <w:noProof/>
              </w:rPr>
              <w:t>1.2</w:t>
            </w:r>
            <w:r w:rsidR="00765839">
              <w:rPr>
                <w:rFonts w:asciiTheme="minorHAnsi" w:eastAsiaTheme="minorEastAsia" w:hAnsiTheme="minorHAnsi" w:cstheme="minorBidi"/>
                <w:noProof/>
                <w:szCs w:val="22"/>
                <w:lang w:eastAsia="en-GB"/>
              </w:rPr>
              <w:tab/>
            </w:r>
            <w:r w:rsidR="00765839" w:rsidRPr="009E3EA7">
              <w:rPr>
                <w:rStyle w:val="Hyperlink"/>
                <w:noProof/>
              </w:rPr>
              <w:t>Methodology</w:t>
            </w:r>
            <w:r w:rsidR="00765839">
              <w:rPr>
                <w:noProof/>
                <w:webHidden/>
              </w:rPr>
              <w:tab/>
            </w:r>
            <w:r w:rsidR="00765839">
              <w:rPr>
                <w:noProof/>
                <w:webHidden/>
              </w:rPr>
              <w:fldChar w:fldCharType="begin"/>
            </w:r>
            <w:r w:rsidR="00765839">
              <w:rPr>
                <w:noProof/>
                <w:webHidden/>
              </w:rPr>
              <w:instrText xml:space="preserve"> PAGEREF _Toc464222884 \h </w:instrText>
            </w:r>
            <w:r w:rsidR="00765839">
              <w:rPr>
                <w:noProof/>
                <w:webHidden/>
              </w:rPr>
            </w:r>
            <w:r w:rsidR="00765839">
              <w:rPr>
                <w:noProof/>
                <w:webHidden/>
              </w:rPr>
              <w:fldChar w:fldCharType="separate"/>
            </w:r>
            <w:r w:rsidR="00765839">
              <w:rPr>
                <w:noProof/>
                <w:webHidden/>
              </w:rPr>
              <w:t>1</w:t>
            </w:r>
            <w:r w:rsidR="00765839">
              <w:rPr>
                <w:noProof/>
                <w:webHidden/>
              </w:rPr>
              <w:fldChar w:fldCharType="end"/>
            </w:r>
          </w:hyperlink>
        </w:p>
        <w:p w14:paraId="6273FC6A"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885" w:history="1">
            <w:r w:rsidR="00765839" w:rsidRPr="009E3EA7">
              <w:rPr>
                <w:rStyle w:val="Hyperlink"/>
                <w:noProof/>
              </w:rPr>
              <w:t>1.3</w:t>
            </w:r>
            <w:r w:rsidR="00765839">
              <w:rPr>
                <w:rFonts w:asciiTheme="minorHAnsi" w:eastAsiaTheme="minorEastAsia" w:hAnsiTheme="minorHAnsi" w:cstheme="minorBidi"/>
                <w:noProof/>
                <w:szCs w:val="22"/>
                <w:lang w:eastAsia="en-GB"/>
              </w:rPr>
              <w:tab/>
            </w:r>
            <w:r w:rsidR="00765839" w:rsidRPr="009E3EA7">
              <w:rPr>
                <w:rStyle w:val="Hyperlink"/>
                <w:noProof/>
              </w:rPr>
              <w:t>Key findings – all firms</w:t>
            </w:r>
            <w:r w:rsidR="00765839">
              <w:rPr>
                <w:noProof/>
                <w:webHidden/>
              </w:rPr>
              <w:tab/>
            </w:r>
            <w:r w:rsidR="00765839">
              <w:rPr>
                <w:noProof/>
                <w:webHidden/>
              </w:rPr>
              <w:fldChar w:fldCharType="begin"/>
            </w:r>
            <w:r w:rsidR="00765839">
              <w:rPr>
                <w:noProof/>
                <w:webHidden/>
              </w:rPr>
              <w:instrText xml:space="preserve"> PAGEREF _Toc464222885 \h </w:instrText>
            </w:r>
            <w:r w:rsidR="00765839">
              <w:rPr>
                <w:noProof/>
                <w:webHidden/>
              </w:rPr>
            </w:r>
            <w:r w:rsidR="00765839">
              <w:rPr>
                <w:noProof/>
                <w:webHidden/>
              </w:rPr>
              <w:fldChar w:fldCharType="separate"/>
            </w:r>
            <w:r w:rsidR="00765839">
              <w:rPr>
                <w:noProof/>
                <w:webHidden/>
              </w:rPr>
              <w:t>2</w:t>
            </w:r>
            <w:r w:rsidR="00765839">
              <w:rPr>
                <w:noProof/>
                <w:webHidden/>
              </w:rPr>
              <w:fldChar w:fldCharType="end"/>
            </w:r>
          </w:hyperlink>
        </w:p>
        <w:p w14:paraId="16A75144"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886" w:history="1">
            <w:r w:rsidR="00765839" w:rsidRPr="009E3EA7">
              <w:rPr>
                <w:rStyle w:val="Hyperlink"/>
                <w:noProof/>
              </w:rPr>
              <w:t>1.4</w:t>
            </w:r>
            <w:r w:rsidR="00765839">
              <w:rPr>
                <w:rFonts w:asciiTheme="minorHAnsi" w:eastAsiaTheme="minorEastAsia" w:hAnsiTheme="minorHAnsi" w:cstheme="minorBidi"/>
                <w:noProof/>
                <w:szCs w:val="22"/>
                <w:lang w:eastAsia="en-GB"/>
              </w:rPr>
              <w:tab/>
            </w:r>
            <w:r w:rsidR="00765839" w:rsidRPr="009E3EA7">
              <w:rPr>
                <w:rStyle w:val="Hyperlink"/>
                <w:noProof/>
              </w:rPr>
              <w:t>Key findings – creative industries</w:t>
            </w:r>
            <w:r w:rsidR="00765839">
              <w:rPr>
                <w:noProof/>
                <w:webHidden/>
              </w:rPr>
              <w:tab/>
            </w:r>
            <w:r w:rsidR="00765839">
              <w:rPr>
                <w:noProof/>
                <w:webHidden/>
              </w:rPr>
              <w:fldChar w:fldCharType="begin"/>
            </w:r>
            <w:r w:rsidR="00765839">
              <w:rPr>
                <w:noProof/>
                <w:webHidden/>
              </w:rPr>
              <w:instrText xml:space="preserve"> PAGEREF _Toc464222886 \h </w:instrText>
            </w:r>
            <w:r w:rsidR="00765839">
              <w:rPr>
                <w:noProof/>
                <w:webHidden/>
              </w:rPr>
            </w:r>
            <w:r w:rsidR="00765839">
              <w:rPr>
                <w:noProof/>
                <w:webHidden/>
              </w:rPr>
              <w:fldChar w:fldCharType="separate"/>
            </w:r>
            <w:r w:rsidR="00765839">
              <w:rPr>
                <w:noProof/>
                <w:webHidden/>
              </w:rPr>
              <w:t>3</w:t>
            </w:r>
            <w:r w:rsidR="00765839">
              <w:rPr>
                <w:noProof/>
                <w:webHidden/>
              </w:rPr>
              <w:fldChar w:fldCharType="end"/>
            </w:r>
          </w:hyperlink>
        </w:p>
        <w:p w14:paraId="2BE5609E"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887" w:history="1">
            <w:r w:rsidR="00765839" w:rsidRPr="009E3EA7">
              <w:rPr>
                <w:rStyle w:val="Hyperlink"/>
                <w:noProof/>
              </w:rPr>
              <w:t>1.5</w:t>
            </w:r>
            <w:r w:rsidR="00765839">
              <w:rPr>
                <w:rFonts w:asciiTheme="minorHAnsi" w:eastAsiaTheme="minorEastAsia" w:hAnsiTheme="minorHAnsi" w:cstheme="minorBidi"/>
                <w:noProof/>
                <w:szCs w:val="22"/>
                <w:lang w:eastAsia="en-GB"/>
              </w:rPr>
              <w:tab/>
            </w:r>
            <w:r w:rsidR="00765839" w:rsidRPr="009E3EA7">
              <w:rPr>
                <w:rStyle w:val="Hyperlink"/>
                <w:noProof/>
              </w:rPr>
              <w:t>Conclusions</w:t>
            </w:r>
            <w:r w:rsidR="00765839">
              <w:rPr>
                <w:noProof/>
                <w:webHidden/>
              </w:rPr>
              <w:tab/>
            </w:r>
            <w:r w:rsidR="00765839">
              <w:rPr>
                <w:noProof/>
                <w:webHidden/>
              </w:rPr>
              <w:fldChar w:fldCharType="begin"/>
            </w:r>
            <w:r w:rsidR="00765839">
              <w:rPr>
                <w:noProof/>
                <w:webHidden/>
              </w:rPr>
              <w:instrText xml:space="preserve"> PAGEREF _Toc464222887 \h </w:instrText>
            </w:r>
            <w:r w:rsidR="00765839">
              <w:rPr>
                <w:noProof/>
                <w:webHidden/>
              </w:rPr>
            </w:r>
            <w:r w:rsidR="00765839">
              <w:rPr>
                <w:noProof/>
                <w:webHidden/>
              </w:rPr>
              <w:fldChar w:fldCharType="separate"/>
            </w:r>
            <w:r w:rsidR="00765839">
              <w:rPr>
                <w:noProof/>
                <w:webHidden/>
              </w:rPr>
              <w:t>4</w:t>
            </w:r>
            <w:r w:rsidR="00765839">
              <w:rPr>
                <w:noProof/>
                <w:webHidden/>
              </w:rPr>
              <w:fldChar w:fldCharType="end"/>
            </w:r>
          </w:hyperlink>
        </w:p>
        <w:p w14:paraId="19B848BF" w14:textId="77777777" w:rsidR="00765839" w:rsidRDefault="00395234">
          <w:pPr>
            <w:pStyle w:val="TOC1"/>
            <w:tabs>
              <w:tab w:val="right" w:leader="dot" w:pos="9344"/>
            </w:tabs>
            <w:rPr>
              <w:rFonts w:asciiTheme="minorHAnsi" w:eastAsiaTheme="minorEastAsia" w:hAnsiTheme="minorHAnsi" w:cstheme="minorBidi"/>
              <w:b w:val="0"/>
              <w:noProof/>
              <w:szCs w:val="22"/>
              <w:lang w:eastAsia="en-GB"/>
            </w:rPr>
          </w:pPr>
          <w:hyperlink w:anchor="_Toc464222888" w:history="1">
            <w:r w:rsidR="00765839" w:rsidRPr="009E3EA7">
              <w:rPr>
                <w:rStyle w:val="Hyperlink"/>
                <w:noProof/>
              </w:rPr>
              <w:t>2: Introduction</w:t>
            </w:r>
            <w:r w:rsidR="00765839">
              <w:rPr>
                <w:noProof/>
                <w:webHidden/>
              </w:rPr>
              <w:tab/>
            </w:r>
            <w:r w:rsidR="00765839">
              <w:rPr>
                <w:noProof/>
                <w:webHidden/>
              </w:rPr>
              <w:fldChar w:fldCharType="begin"/>
            </w:r>
            <w:r w:rsidR="00765839">
              <w:rPr>
                <w:noProof/>
                <w:webHidden/>
              </w:rPr>
              <w:instrText xml:space="preserve"> PAGEREF _Toc464222888 \h </w:instrText>
            </w:r>
            <w:r w:rsidR="00765839">
              <w:rPr>
                <w:noProof/>
                <w:webHidden/>
              </w:rPr>
            </w:r>
            <w:r w:rsidR="00765839">
              <w:rPr>
                <w:noProof/>
                <w:webHidden/>
              </w:rPr>
              <w:fldChar w:fldCharType="separate"/>
            </w:r>
            <w:r w:rsidR="00765839">
              <w:rPr>
                <w:noProof/>
                <w:webHidden/>
              </w:rPr>
              <w:t>5</w:t>
            </w:r>
            <w:r w:rsidR="00765839">
              <w:rPr>
                <w:noProof/>
                <w:webHidden/>
              </w:rPr>
              <w:fldChar w:fldCharType="end"/>
            </w:r>
          </w:hyperlink>
        </w:p>
        <w:p w14:paraId="4DCB7578"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889" w:history="1">
            <w:r w:rsidR="00765839" w:rsidRPr="009E3EA7">
              <w:rPr>
                <w:rStyle w:val="Hyperlink"/>
                <w:noProof/>
              </w:rPr>
              <w:t>2.1</w:t>
            </w:r>
            <w:r w:rsidR="00765839">
              <w:rPr>
                <w:rFonts w:asciiTheme="minorHAnsi" w:eastAsiaTheme="minorEastAsia" w:hAnsiTheme="minorHAnsi" w:cstheme="minorBidi"/>
                <w:noProof/>
                <w:szCs w:val="22"/>
                <w:lang w:eastAsia="en-GB"/>
              </w:rPr>
              <w:tab/>
            </w:r>
            <w:r w:rsidR="00765839" w:rsidRPr="009E3EA7">
              <w:rPr>
                <w:rStyle w:val="Hyperlink"/>
                <w:noProof/>
              </w:rPr>
              <w:t>Aims and objectives</w:t>
            </w:r>
            <w:r w:rsidR="00765839">
              <w:rPr>
                <w:noProof/>
                <w:webHidden/>
              </w:rPr>
              <w:tab/>
            </w:r>
            <w:r w:rsidR="00765839">
              <w:rPr>
                <w:noProof/>
                <w:webHidden/>
              </w:rPr>
              <w:fldChar w:fldCharType="begin"/>
            </w:r>
            <w:r w:rsidR="00765839">
              <w:rPr>
                <w:noProof/>
                <w:webHidden/>
              </w:rPr>
              <w:instrText xml:space="preserve"> PAGEREF _Toc464222889 \h </w:instrText>
            </w:r>
            <w:r w:rsidR="00765839">
              <w:rPr>
                <w:noProof/>
                <w:webHidden/>
              </w:rPr>
            </w:r>
            <w:r w:rsidR="00765839">
              <w:rPr>
                <w:noProof/>
                <w:webHidden/>
              </w:rPr>
              <w:fldChar w:fldCharType="separate"/>
            </w:r>
            <w:r w:rsidR="00765839">
              <w:rPr>
                <w:noProof/>
                <w:webHidden/>
              </w:rPr>
              <w:t>5</w:t>
            </w:r>
            <w:r w:rsidR="00765839">
              <w:rPr>
                <w:noProof/>
                <w:webHidden/>
              </w:rPr>
              <w:fldChar w:fldCharType="end"/>
            </w:r>
          </w:hyperlink>
        </w:p>
        <w:p w14:paraId="11664B46"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890" w:history="1">
            <w:r w:rsidR="00765839" w:rsidRPr="009E3EA7">
              <w:rPr>
                <w:rStyle w:val="Hyperlink"/>
                <w:noProof/>
              </w:rPr>
              <w:t>2.2</w:t>
            </w:r>
            <w:r w:rsidR="00765839">
              <w:rPr>
                <w:rFonts w:asciiTheme="minorHAnsi" w:eastAsiaTheme="minorEastAsia" w:hAnsiTheme="minorHAnsi" w:cstheme="minorBidi"/>
                <w:noProof/>
                <w:szCs w:val="22"/>
                <w:lang w:eastAsia="en-GB"/>
              </w:rPr>
              <w:tab/>
            </w:r>
            <w:r w:rsidR="00765839" w:rsidRPr="009E3EA7">
              <w:rPr>
                <w:rStyle w:val="Hyperlink"/>
                <w:noProof/>
              </w:rPr>
              <w:t>Approach</w:t>
            </w:r>
            <w:r w:rsidR="00765839">
              <w:rPr>
                <w:noProof/>
                <w:webHidden/>
              </w:rPr>
              <w:tab/>
            </w:r>
            <w:r w:rsidR="00765839">
              <w:rPr>
                <w:noProof/>
                <w:webHidden/>
              </w:rPr>
              <w:fldChar w:fldCharType="begin"/>
            </w:r>
            <w:r w:rsidR="00765839">
              <w:rPr>
                <w:noProof/>
                <w:webHidden/>
              </w:rPr>
              <w:instrText xml:space="preserve"> PAGEREF _Toc464222890 \h </w:instrText>
            </w:r>
            <w:r w:rsidR="00765839">
              <w:rPr>
                <w:noProof/>
                <w:webHidden/>
              </w:rPr>
            </w:r>
            <w:r w:rsidR="00765839">
              <w:rPr>
                <w:noProof/>
                <w:webHidden/>
              </w:rPr>
              <w:fldChar w:fldCharType="separate"/>
            </w:r>
            <w:r w:rsidR="00765839">
              <w:rPr>
                <w:noProof/>
                <w:webHidden/>
              </w:rPr>
              <w:t>7</w:t>
            </w:r>
            <w:r w:rsidR="00765839">
              <w:rPr>
                <w:noProof/>
                <w:webHidden/>
              </w:rPr>
              <w:fldChar w:fldCharType="end"/>
            </w:r>
          </w:hyperlink>
        </w:p>
        <w:p w14:paraId="1C626545"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891" w:history="1">
            <w:r w:rsidR="00765839" w:rsidRPr="009E3EA7">
              <w:rPr>
                <w:rStyle w:val="Hyperlink"/>
                <w:noProof/>
              </w:rPr>
              <w:t>2.3</w:t>
            </w:r>
            <w:r w:rsidR="00765839">
              <w:rPr>
                <w:rFonts w:asciiTheme="minorHAnsi" w:eastAsiaTheme="minorEastAsia" w:hAnsiTheme="minorHAnsi" w:cstheme="minorBidi"/>
                <w:noProof/>
                <w:szCs w:val="22"/>
                <w:lang w:eastAsia="en-GB"/>
              </w:rPr>
              <w:tab/>
            </w:r>
            <w:r w:rsidR="00765839" w:rsidRPr="009E3EA7">
              <w:rPr>
                <w:rStyle w:val="Hyperlink"/>
                <w:noProof/>
              </w:rPr>
              <w:t>A conceptual framework</w:t>
            </w:r>
            <w:r w:rsidR="00765839">
              <w:rPr>
                <w:noProof/>
                <w:webHidden/>
              </w:rPr>
              <w:tab/>
            </w:r>
            <w:r w:rsidR="00765839">
              <w:rPr>
                <w:noProof/>
                <w:webHidden/>
              </w:rPr>
              <w:fldChar w:fldCharType="begin"/>
            </w:r>
            <w:r w:rsidR="00765839">
              <w:rPr>
                <w:noProof/>
                <w:webHidden/>
              </w:rPr>
              <w:instrText xml:space="preserve"> PAGEREF _Toc464222891 \h </w:instrText>
            </w:r>
            <w:r w:rsidR="00765839">
              <w:rPr>
                <w:noProof/>
                <w:webHidden/>
              </w:rPr>
            </w:r>
            <w:r w:rsidR="00765839">
              <w:rPr>
                <w:noProof/>
                <w:webHidden/>
              </w:rPr>
              <w:fldChar w:fldCharType="separate"/>
            </w:r>
            <w:r w:rsidR="00765839">
              <w:rPr>
                <w:noProof/>
                <w:webHidden/>
              </w:rPr>
              <w:t>7</w:t>
            </w:r>
            <w:r w:rsidR="00765839">
              <w:rPr>
                <w:noProof/>
                <w:webHidden/>
              </w:rPr>
              <w:fldChar w:fldCharType="end"/>
            </w:r>
          </w:hyperlink>
        </w:p>
        <w:p w14:paraId="05D3BB52"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892" w:history="1">
            <w:r w:rsidR="00765839" w:rsidRPr="009E3EA7">
              <w:rPr>
                <w:rStyle w:val="Hyperlink"/>
                <w:noProof/>
              </w:rPr>
              <w:t>2.3.1</w:t>
            </w:r>
            <w:r w:rsidR="00765839">
              <w:rPr>
                <w:rFonts w:asciiTheme="minorHAnsi" w:eastAsiaTheme="minorEastAsia" w:hAnsiTheme="minorHAnsi" w:cstheme="minorBidi"/>
                <w:noProof/>
                <w:szCs w:val="22"/>
                <w:lang w:eastAsia="en-GB"/>
              </w:rPr>
              <w:tab/>
            </w:r>
            <w:r w:rsidR="00765839" w:rsidRPr="009E3EA7">
              <w:rPr>
                <w:rStyle w:val="Hyperlink"/>
                <w:noProof/>
              </w:rPr>
              <w:t>Definition of terms</w:t>
            </w:r>
            <w:r w:rsidR="00765839">
              <w:rPr>
                <w:noProof/>
                <w:webHidden/>
              </w:rPr>
              <w:tab/>
            </w:r>
            <w:r w:rsidR="00765839">
              <w:rPr>
                <w:noProof/>
                <w:webHidden/>
              </w:rPr>
              <w:fldChar w:fldCharType="begin"/>
            </w:r>
            <w:r w:rsidR="00765839">
              <w:rPr>
                <w:noProof/>
                <w:webHidden/>
              </w:rPr>
              <w:instrText xml:space="preserve"> PAGEREF _Toc464222892 \h </w:instrText>
            </w:r>
            <w:r w:rsidR="00765839">
              <w:rPr>
                <w:noProof/>
                <w:webHidden/>
              </w:rPr>
            </w:r>
            <w:r w:rsidR="00765839">
              <w:rPr>
                <w:noProof/>
                <w:webHidden/>
              </w:rPr>
              <w:fldChar w:fldCharType="separate"/>
            </w:r>
            <w:r w:rsidR="00765839">
              <w:rPr>
                <w:noProof/>
                <w:webHidden/>
              </w:rPr>
              <w:t>8</w:t>
            </w:r>
            <w:r w:rsidR="00765839">
              <w:rPr>
                <w:noProof/>
                <w:webHidden/>
              </w:rPr>
              <w:fldChar w:fldCharType="end"/>
            </w:r>
          </w:hyperlink>
        </w:p>
        <w:p w14:paraId="26C5F58F"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893" w:history="1">
            <w:r w:rsidR="00765839" w:rsidRPr="009E3EA7">
              <w:rPr>
                <w:rStyle w:val="Hyperlink"/>
                <w:noProof/>
              </w:rPr>
              <w:t>2.3.2</w:t>
            </w:r>
            <w:r w:rsidR="00765839">
              <w:rPr>
                <w:rFonts w:asciiTheme="minorHAnsi" w:eastAsiaTheme="minorEastAsia" w:hAnsiTheme="minorHAnsi" w:cstheme="minorBidi"/>
                <w:noProof/>
                <w:szCs w:val="22"/>
                <w:lang w:eastAsia="en-GB"/>
              </w:rPr>
              <w:tab/>
            </w:r>
            <w:r w:rsidR="00765839" w:rsidRPr="009E3EA7">
              <w:rPr>
                <w:rStyle w:val="Hyperlink"/>
                <w:noProof/>
              </w:rPr>
              <w:t>Study implications arising from the review of theoretical literature</w:t>
            </w:r>
            <w:r w:rsidR="00765839">
              <w:rPr>
                <w:noProof/>
                <w:webHidden/>
              </w:rPr>
              <w:tab/>
            </w:r>
            <w:r w:rsidR="00765839">
              <w:rPr>
                <w:noProof/>
                <w:webHidden/>
              </w:rPr>
              <w:fldChar w:fldCharType="begin"/>
            </w:r>
            <w:r w:rsidR="00765839">
              <w:rPr>
                <w:noProof/>
                <w:webHidden/>
              </w:rPr>
              <w:instrText xml:space="preserve"> PAGEREF _Toc464222893 \h </w:instrText>
            </w:r>
            <w:r w:rsidR="00765839">
              <w:rPr>
                <w:noProof/>
                <w:webHidden/>
              </w:rPr>
            </w:r>
            <w:r w:rsidR="00765839">
              <w:rPr>
                <w:noProof/>
                <w:webHidden/>
              </w:rPr>
              <w:fldChar w:fldCharType="separate"/>
            </w:r>
            <w:r w:rsidR="00765839">
              <w:rPr>
                <w:noProof/>
                <w:webHidden/>
              </w:rPr>
              <w:t>11</w:t>
            </w:r>
            <w:r w:rsidR="00765839">
              <w:rPr>
                <w:noProof/>
                <w:webHidden/>
              </w:rPr>
              <w:fldChar w:fldCharType="end"/>
            </w:r>
          </w:hyperlink>
        </w:p>
        <w:p w14:paraId="136A2E57"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894" w:history="1">
            <w:r w:rsidR="00765839" w:rsidRPr="009E3EA7">
              <w:rPr>
                <w:rStyle w:val="Hyperlink"/>
                <w:noProof/>
              </w:rPr>
              <w:t>2.3.3</w:t>
            </w:r>
            <w:r w:rsidR="00765839">
              <w:rPr>
                <w:rFonts w:asciiTheme="minorHAnsi" w:eastAsiaTheme="minorEastAsia" w:hAnsiTheme="minorHAnsi" w:cstheme="minorBidi"/>
                <w:noProof/>
                <w:szCs w:val="22"/>
                <w:lang w:eastAsia="en-GB"/>
              </w:rPr>
              <w:tab/>
            </w:r>
            <w:r w:rsidR="00765839" w:rsidRPr="009E3EA7">
              <w:rPr>
                <w:rStyle w:val="Hyperlink"/>
                <w:noProof/>
              </w:rPr>
              <w:t>Developing the concept of an impact ecosystem</w:t>
            </w:r>
            <w:r w:rsidR="00765839">
              <w:rPr>
                <w:noProof/>
                <w:webHidden/>
              </w:rPr>
              <w:tab/>
            </w:r>
            <w:r w:rsidR="00765839">
              <w:rPr>
                <w:noProof/>
                <w:webHidden/>
              </w:rPr>
              <w:fldChar w:fldCharType="begin"/>
            </w:r>
            <w:r w:rsidR="00765839">
              <w:rPr>
                <w:noProof/>
                <w:webHidden/>
              </w:rPr>
              <w:instrText xml:space="preserve"> PAGEREF _Toc464222894 \h </w:instrText>
            </w:r>
            <w:r w:rsidR="00765839">
              <w:rPr>
                <w:noProof/>
                <w:webHidden/>
              </w:rPr>
            </w:r>
            <w:r w:rsidR="00765839">
              <w:rPr>
                <w:noProof/>
                <w:webHidden/>
              </w:rPr>
              <w:fldChar w:fldCharType="separate"/>
            </w:r>
            <w:r w:rsidR="00765839">
              <w:rPr>
                <w:noProof/>
                <w:webHidden/>
              </w:rPr>
              <w:t>13</w:t>
            </w:r>
            <w:r w:rsidR="00765839">
              <w:rPr>
                <w:noProof/>
                <w:webHidden/>
              </w:rPr>
              <w:fldChar w:fldCharType="end"/>
            </w:r>
          </w:hyperlink>
        </w:p>
        <w:p w14:paraId="6B808CB4"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895" w:history="1">
            <w:r w:rsidR="00765839" w:rsidRPr="009E3EA7">
              <w:rPr>
                <w:rStyle w:val="Hyperlink"/>
                <w:noProof/>
              </w:rPr>
              <w:t>2.3.4</w:t>
            </w:r>
            <w:r w:rsidR="00765839">
              <w:rPr>
                <w:rFonts w:asciiTheme="minorHAnsi" w:eastAsiaTheme="minorEastAsia" w:hAnsiTheme="minorHAnsi" w:cstheme="minorBidi"/>
                <w:noProof/>
                <w:szCs w:val="22"/>
                <w:lang w:eastAsia="en-GB"/>
              </w:rPr>
              <w:tab/>
            </w:r>
            <w:r w:rsidR="00765839" w:rsidRPr="009E3EA7">
              <w:rPr>
                <w:rStyle w:val="Hyperlink"/>
                <w:noProof/>
              </w:rPr>
              <w:t>Study implications arising from the review of empirical literature</w:t>
            </w:r>
            <w:r w:rsidR="00765839">
              <w:rPr>
                <w:noProof/>
                <w:webHidden/>
              </w:rPr>
              <w:tab/>
            </w:r>
            <w:r w:rsidR="00765839">
              <w:rPr>
                <w:noProof/>
                <w:webHidden/>
              </w:rPr>
              <w:fldChar w:fldCharType="begin"/>
            </w:r>
            <w:r w:rsidR="00765839">
              <w:rPr>
                <w:noProof/>
                <w:webHidden/>
              </w:rPr>
              <w:instrText xml:space="preserve"> PAGEREF _Toc464222895 \h </w:instrText>
            </w:r>
            <w:r w:rsidR="00765839">
              <w:rPr>
                <w:noProof/>
                <w:webHidden/>
              </w:rPr>
            </w:r>
            <w:r w:rsidR="00765839">
              <w:rPr>
                <w:noProof/>
                <w:webHidden/>
              </w:rPr>
              <w:fldChar w:fldCharType="separate"/>
            </w:r>
            <w:r w:rsidR="00765839">
              <w:rPr>
                <w:noProof/>
                <w:webHidden/>
              </w:rPr>
              <w:t>14</w:t>
            </w:r>
            <w:r w:rsidR="00765839">
              <w:rPr>
                <w:noProof/>
                <w:webHidden/>
              </w:rPr>
              <w:fldChar w:fldCharType="end"/>
            </w:r>
          </w:hyperlink>
        </w:p>
        <w:p w14:paraId="3DA2D212"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896" w:history="1">
            <w:r w:rsidR="00765839" w:rsidRPr="009E3EA7">
              <w:rPr>
                <w:rStyle w:val="Hyperlink"/>
                <w:noProof/>
              </w:rPr>
              <w:t>2.3.5</w:t>
            </w:r>
            <w:r w:rsidR="00765839">
              <w:rPr>
                <w:rFonts w:asciiTheme="minorHAnsi" w:eastAsiaTheme="minorEastAsia" w:hAnsiTheme="minorHAnsi" w:cstheme="minorBidi"/>
                <w:noProof/>
                <w:szCs w:val="22"/>
                <w:lang w:eastAsia="en-GB"/>
              </w:rPr>
              <w:tab/>
            </w:r>
            <w:r w:rsidR="00765839" w:rsidRPr="009E3EA7">
              <w:rPr>
                <w:rStyle w:val="Hyperlink"/>
                <w:noProof/>
              </w:rPr>
              <w:t>Study implications arising from the data review</w:t>
            </w:r>
            <w:r w:rsidR="00765839">
              <w:rPr>
                <w:noProof/>
                <w:webHidden/>
              </w:rPr>
              <w:tab/>
            </w:r>
            <w:r w:rsidR="00765839">
              <w:rPr>
                <w:noProof/>
                <w:webHidden/>
              </w:rPr>
              <w:fldChar w:fldCharType="begin"/>
            </w:r>
            <w:r w:rsidR="00765839">
              <w:rPr>
                <w:noProof/>
                <w:webHidden/>
              </w:rPr>
              <w:instrText xml:space="preserve"> PAGEREF _Toc464222896 \h </w:instrText>
            </w:r>
            <w:r w:rsidR="00765839">
              <w:rPr>
                <w:noProof/>
                <w:webHidden/>
              </w:rPr>
            </w:r>
            <w:r w:rsidR="00765839">
              <w:rPr>
                <w:noProof/>
                <w:webHidden/>
              </w:rPr>
              <w:fldChar w:fldCharType="separate"/>
            </w:r>
            <w:r w:rsidR="00765839">
              <w:rPr>
                <w:noProof/>
                <w:webHidden/>
              </w:rPr>
              <w:t>15</w:t>
            </w:r>
            <w:r w:rsidR="00765839">
              <w:rPr>
                <w:noProof/>
                <w:webHidden/>
              </w:rPr>
              <w:fldChar w:fldCharType="end"/>
            </w:r>
          </w:hyperlink>
        </w:p>
        <w:p w14:paraId="2A61DFF8"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897" w:history="1">
            <w:r w:rsidR="00765839" w:rsidRPr="009E3EA7">
              <w:rPr>
                <w:rStyle w:val="Hyperlink"/>
                <w:rFonts w:eastAsiaTheme="minorHAnsi"/>
                <w:noProof/>
              </w:rPr>
              <w:t>2.3.6</w:t>
            </w:r>
            <w:r w:rsidR="00765839">
              <w:rPr>
                <w:rFonts w:asciiTheme="minorHAnsi" w:eastAsiaTheme="minorEastAsia" w:hAnsiTheme="minorHAnsi" w:cstheme="minorBidi"/>
                <w:noProof/>
                <w:szCs w:val="22"/>
                <w:lang w:eastAsia="en-GB"/>
              </w:rPr>
              <w:tab/>
            </w:r>
            <w:r w:rsidR="00765839" w:rsidRPr="009E3EA7">
              <w:rPr>
                <w:rStyle w:val="Hyperlink"/>
                <w:rFonts w:eastAsiaTheme="minorHAnsi"/>
                <w:noProof/>
              </w:rPr>
              <w:t>Conceptual framework summary</w:t>
            </w:r>
            <w:r w:rsidR="00765839">
              <w:rPr>
                <w:noProof/>
                <w:webHidden/>
              </w:rPr>
              <w:tab/>
            </w:r>
            <w:r w:rsidR="00765839">
              <w:rPr>
                <w:noProof/>
                <w:webHidden/>
              </w:rPr>
              <w:fldChar w:fldCharType="begin"/>
            </w:r>
            <w:r w:rsidR="00765839">
              <w:rPr>
                <w:noProof/>
                <w:webHidden/>
              </w:rPr>
              <w:instrText xml:space="preserve"> PAGEREF _Toc464222897 \h </w:instrText>
            </w:r>
            <w:r w:rsidR="00765839">
              <w:rPr>
                <w:noProof/>
                <w:webHidden/>
              </w:rPr>
            </w:r>
            <w:r w:rsidR="00765839">
              <w:rPr>
                <w:noProof/>
                <w:webHidden/>
              </w:rPr>
              <w:fldChar w:fldCharType="separate"/>
            </w:r>
            <w:r w:rsidR="00765839">
              <w:rPr>
                <w:noProof/>
                <w:webHidden/>
              </w:rPr>
              <w:t>16</w:t>
            </w:r>
            <w:r w:rsidR="00765839">
              <w:rPr>
                <w:noProof/>
                <w:webHidden/>
              </w:rPr>
              <w:fldChar w:fldCharType="end"/>
            </w:r>
          </w:hyperlink>
        </w:p>
        <w:p w14:paraId="07DA085C" w14:textId="77777777" w:rsidR="00765839" w:rsidRDefault="00395234">
          <w:pPr>
            <w:pStyle w:val="TOC1"/>
            <w:tabs>
              <w:tab w:val="right" w:leader="dot" w:pos="9344"/>
            </w:tabs>
            <w:rPr>
              <w:rFonts w:asciiTheme="minorHAnsi" w:eastAsiaTheme="minorEastAsia" w:hAnsiTheme="minorHAnsi" w:cstheme="minorBidi"/>
              <w:b w:val="0"/>
              <w:noProof/>
              <w:szCs w:val="22"/>
              <w:lang w:eastAsia="en-GB"/>
            </w:rPr>
          </w:pPr>
          <w:hyperlink w:anchor="_Toc464222898" w:history="1">
            <w:r w:rsidR="00765839" w:rsidRPr="009E3EA7">
              <w:rPr>
                <w:rStyle w:val="Hyperlink"/>
                <w:rFonts w:cs="Arial"/>
                <w:noProof/>
              </w:rPr>
              <w:t>3: Empirical approach</w:t>
            </w:r>
            <w:r w:rsidR="00765839">
              <w:rPr>
                <w:noProof/>
                <w:webHidden/>
              </w:rPr>
              <w:tab/>
            </w:r>
            <w:r w:rsidR="00765839">
              <w:rPr>
                <w:noProof/>
                <w:webHidden/>
              </w:rPr>
              <w:fldChar w:fldCharType="begin"/>
            </w:r>
            <w:r w:rsidR="00765839">
              <w:rPr>
                <w:noProof/>
                <w:webHidden/>
              </w:rPr>
              <w:instrText xml:space="preserve"> PAGEREF _Toc464222898 \h </w:instrText>
            </w:r>
            <w:r w:rsidR="00765839">
              <w:rPr>
                <w:noProof/>
                <w:webHidden/>
              </w:rPr>
            </w:r>
            <w:r w:rsidR="00765839">
              <w:rPr>
                <w:noProof/>
                <w:webHidden/>
              </w:rPr>
              <w:fldChar w:fldCharType="separate"/>
            </w:r>
            <w:r w:rsidR="00765839">
              <w:rPr>
                <w:noProof/>
                <w:webHidden/>
              </w:rPr>
              <w:t>18</w:t>
            </w:r>
            <w:r w:rsidR="00765839">
              <w:rPr>
                <w:noProof/>
                <w:webHidden/>
              </w:rPr>
              <w:fldChar w:fldCharType="end"/>
            </w:r>
          </w:hyperlink>
        </w:p>
        <w:p w14:paraId="527F6E0A"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899" w:history="1">
            <w:r w:rsidR="00765839" w:rsidRPr="009E3EA7">
              <w:rPr>
                <w:rStyle w:val="Hyperlink"/>
                <w:noProof/>
              </w:rPr>
              <w:t>3.1</w:t>
            </w:r>
            <w:r w:rsidR="00765839">
              <w:rPr>
                <w:rFonts w:asciiTheme="minorHAnsi" w:eastAsiaTheme="minorEastAsia" w:hAnsiTheme="minorHAnsi" w:cstheme="minorBidi"/>
                <w:noProof/>
                <w:szCs w:val="22"/>
                <w:lang w:eastAsia="en-GB"/>
              </w:rPr>
              <w:tab/>
            </w:r>
            <w:r w:rsidR="00765839" w:rsidRPr="009E3EA7">
              <w:rPr>
                <w:rStyle w:val="Hyperlink"/>
                <w:noProof/>
              </w:rPr>
              <w:t>Empirical strategy</w:t>
            </w:r>
            <w:r w:rsidR="00765839">
              <w:rPr>
                <w:noProof/>
                <w:webHidden/>
              </w:rPr>
              <w:tab/>
            </w:r>
            <w:r w:rsidR="00765839">
              <w:rPr>
                <w:noProof/>
                <w:webHidden/>
              </w:rPr>
              <w:fldChar w:fldCharType="begin"/>
            </w:r>
            <w:r w:rsidR="00765839">
              <w:rPr>
                <w:noProof/>
                <w:webHidden/>
              </w:rPr>
              <w:instrText xml:space="preserve"> PAGEREF _Toc464222899 \h </w:instrText>
            </w:r>
            <w:r w:rsidR="00765839">
              <w:rPr>
                <w:noProof/>
                <w:webHidden/>
              </w:rPr>
            </w:r>
            <w:r w:rsidR="00765839">
              <w:rPr>
                <w:noProof/>
                <w:webHidden/>
              </w:rPr>
              <w:fldChar w:fldCharType="separate"/>
            </w:r>
            <w:r w:rsidR="00765839">
              <w:rPr>
                <w:noProof/>
                <w:webHidden/>
              </w:rPr>
              <w:t>18</w:t>
            </w:r>
            <w:r w:rsidR="00765839">
              <w:rPr>
                <w:noProof/>
                <w:webHidden/>
              </w:rPr>
              <w:fldChar w:fldCharType="end"/>
            </w:r>
          </w:hyperlink>
        </w:p>
        <w:p w14:paraId="7DAD4D72"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00" w:history="1">
            <w:r w:rsidR="00765839" w:rsidRPr="009E3EA7">
              <w:rPr>
                <w:rStyle w:val="Hyperlink"/>
                <w:noProof/>
              </w:rPr>
              <w:t>3.1.1</w:t>
            </w:r>
            <w:r w:rsidR="00765839">
              <w:rPr>
                <w:rFonts w:asciiTheme="minorHAnsi" w:eastAsiaTheme="minorEastAsia" w:hAnsiTheme="minorHAnsi" w:cstheme="minorBidi"/>
                <w:noProof/>
                <w:szCs w:val="22"/>
                <w:lang w:eastAsia="en-GB"/>
              </w:rPr>
              <w:tab/>
            </w:r>
            <w:r w:rsidR="00765839" w:rsidRPr="009E3EA7">
              <w:rPr>
                <w:rStyle w:val="Hyperlink"/>
                <w:noProof/>
              </w:rPr>
              <w:t>Model specifications</w:t>
            </w:r>
            <w:r w:rsidR="00765839">
              <w:rPr>
                <w:noProof/>
                <w:webHidden/>
              </w:rPr>
              <w:tab/>
            </w:r>
            <w:r w:rsidR="00765839">
              <w:rPr>
                <w:noProof/>
                <w:webHidden/>
              </w:rPr>
              <w:fldChar w:fldCharType="begin"/>
            </w:r>
            <w:r w:rsidR="00765839">
              <w:rPr>
                <w:noProof/>
                <w:webHidden/>
              </w:rPr>
              <w:instrText xml:space="preserve"> PAGEREF _Toc464222900 \h </w:instrText>
            </w:r>
            <w:r w:rsidR="00765839">
              <w:rPr>
                <w:noProof/>
                <w:webHidden/>
              </w:rPr>
            </w:r>
            <w:r w:rsidR="00765839">
              <w:rPr>
                <w:noProof/>
                <w:webHidden/>
              </w:rPr>
              <w:fldChar w:fldCharType="separate"/>
            </w:r>
            <w:r w:rsidR="00765839">
              <w:rPr>
                <w:noProof/>
                <w:webHidden/>
              </w:rPr>
              <w:t>20</w:t>
            </w:r>
            <w:r w:rsidR="00765839">
              <w:rPr>
                <w:noProof/>
                <w:webHidden/>
              </w:rPr>
              <w:fldChar w:fldCharType="end"/>
            </w:r>
          </w:hyperlink>
        </w:p>
        <w:p w14:paraId="7C810A1E"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01" w:history="1">
            <w:r w:rsidR="00765839" w:rsidRPr="009E3EA7">
              <w:rPr>
                <w:rStyle w:val="Hyperlink"/>
                <w:noProof/>
              </w:rPr>
              <w:t>3.2</w:t>
            </w:r>
            <w:r w:rsidR="00765839">
              <w:rPr>
                <w:rFonts w:asciiTheme="minorHAnsi" w:eastAsiaTheme="minorEastAsia" w:hAnsiTheme="minorHAnsi" w:cstheme="minorBidi"/>
                <w:noProof/>
                <w:szCs w:val="22"/>
                <w:lang w:eastAsia="en-GB"/>
              </w:rPr>
              <w:tab/>
            </w:r>
            <w:r w:rsidR="00765839" w:rsidRPr="009E3EA7">
              <w:rPr>
                <w:rStyle w:val="Hyperlink"/>
                <w:noProof/>
              </w:rPr>
              <w:t>Data and model specifications</w:t>
            </w:r>
            <w:r w:rsidR="00765839">
              <w:rPr>
                <w:noProof/>
                <w:webHidden/>
              </w:rPr>
              <w:tab/>
            </w:r>
            <w:r w:rsidR="00765839">
              <w:rPr>
                <w:noProof/>
                <w:webHidden/>
              </w:rPr>
              <w:fldChar w:fldCharType="begin"/>
            </w:r>
            <w:r w:rsidR="00765839">
              <w:rPr>
                <w:noProof/>
                <w:webHidden/>
              </w:rPr>
              <w:instrText xml:space="preserve"> PAGEREF _Toc464222901 \h </w:instrText>
            </w:r>
            <w:r w:rsidR="00765839">
              <w:rPr>
                <w:noProof/>
                <w:webHidden/>
              </w:rPr>
            </w:r>
            <w:r w:rsidR="00765839">
              <w:rPr>
                <w:noProof/>
                <w:webHidden/>
              </w:rPr>
              <w:fldChar w:fldCharType="separate"/>
            </w:r>
            <w:r w:rsidR="00765839">
              <w:rPr>
                <w:noProof/>
                <w:webHidden/>
              </w:rPr>
              <w:t>22</w:t>
            </w:r>
            <w:r w:rsidR="00765839">
              <w:rPr>
                <w:noProof/>
                <w:webHidden/>
              </w:rPr>
              <w:fldChar w:fldCharType="end"/>
            </w:r>
          </w:hyperlink>
        </w:p>
        <w:p w14:paraId="7D6E1CE7"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02" w:history="1">
            <w:r w:rsidR="00765839" w:rsidRPr="009E3EA7">
              <w:rPr>
                <w:rStyle w:val="Hyperlink"/>
                <w:noProof/>
              </w:rPr>
              <w:t>3.2.1</w:t>
            </w:r>
            <w:r w:rsidR="00765839">
              <w:rPr>
                <w:rFonts w:asciiTheme="minorHAnsi" w:eastAsiaTheme="minorEastAsia" w:hAnsiTheme="minorHAnsi" w:cstheme="minorBidi"/>
                <w:noProof/>
                <w:szCs w:val="22"/>
                <w:lang w:eastAsia="en-GB"/>
              </w:rPr>
              <w:tab/>
            </w:r>
            <w:r w:rsidR="00765839" w:rsidRPr="009E3EA7">
              <w:rPr>
                <w:rStyle w:val="Hyperlink"/>
                <w:noProof/>
              </w:rPr>
              <w:t>Dependent variables</w:t>
            </w:r>
            <w:r w:rsidR="00765839">
              <w:rPr>
                <w:noProof/>
                <w:webHidden/>
              </w:rPr>
              <w:tab/>
            </w:r>
            <w:r w:rsidR="00765839">
              <w:rPr>
                <w:noProof/>
                <w:webHidden/>
              </w:rPr>
              <w:fldChar w:fldCharType="begin"/>
            </w:r>
            <w:r w:rsidR="00765839">
              <w:rPr>
                <w:noProof/>
                <w:webHidden/>
              </w:rPr>
              <w:instrText xml:space="preserve"> PAGEREF _Toc464222902 \h </w:instrText>
            </w:r>
            <w:r w:rsidR="00765839">
              <w:rPr>
                <w:noProof/>
                <w:webHidden/>
              </w:rPr>
            </w:r>
            <w:r w:rsidR="00765839">
              <w:rPr>
                <w:noProof/>
                <w:webHidden/>
              </w:rPr>
              <w:fldChar w:fldCharType="separate"/>
            </w:r>
            <w:r w:rsidR="00765839">
              <w:rPr>
                <w:noProof/>
                <w:webHidden/>
              </w:rPr>
              <w:t>23</w:t>
            </w:r>
            <w:r w:rsidR="00765839">
              <w:rPr>
                <w:noProof/>
                <w:webHidden/>
              </w:rPr>
              <w:fldChar w:fldCharType="end"/>
            </w:r>
          </w:hyperlink>
        </w:p>
        <w:p w14:paraId="0457BB70"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03" w:history="1">
            <w:r w:rsidR="00765839" w:rsidRPr="009E3EA7">
              <w:rPr>
                <w:rStyle w:val="Hyperlink"/>
                <w:noProof/>
              </w:rPr>
              <w:t>3.2.2</w:t>
            </w:r>
            <w:r w:rsidR="00765839">
              <w:rPr>
                <w:rFonts w:asciiTheme="minorHAnsi" w:eastAsiaTheme="minorEastAsia" w:hAnsiTheme="minorHAnsi" w:cstheme="minorBidi"/>
                <w:noProof/>
                <w:szCs w:val="22"/>
                <w:lang w:eastAsia="en-GB"/>
              </w:rPr>
              <w:tab/>
            </w:r>
            <w:r w:rsidR="00765839" w:rsidRPr="009E3EA7">
              <w:rPr>
                <w:rStyle w:val="Hyperlink"/>
                <w:noProof/>
              </w:rPr>
              <w:t>Independent variables</w:t>
            </w:r>
            <w:r w:rsidR="00765839">
              <w:rPr>
                <w:noProof/>
                <w:webHidden/>
              </w:rPr>
              <w:tab/>
            </w:r>
            <w:r w:rsidR="00765839">
              <w:rPr>
                <w:noProof/>
                <w:webHidden/>
              </w:rPr>
              <w:fldChar w:fldCharType="begin"/>
            </w:r>
            <w:r w:rsidR="00765839">
              <w:rPr>
                <w:noProof/>
                <w:webHidden/>
              </w:rPr>
              <w:instrText xml:space="preserve"> PAGEREF _Toc464222903 \h </w:instrText>
            </w:r>
            <w:r w:rsidR="00765839">
              <w:rPr>
                <w:noProof/>
                <w:webHidden/>
              </w:rPr>
            </w:r>
            <w:r w:rsidR="00765839">
              <w:rPr>
                <w:noProof/>
                <w:webHidden/>
              </w:rPr>
              <w:fldChar w:fldCharType="separate"/>
            </w:r>
            <w:r w:rsidR="00765839">
              <w:rPr>
                <w:noProof/>
                <w:webHidden/>
              </w:rPr>
              <w:t>24</w:t>
            </w:r>
            <w:r w:rsidR="00765839">
              <w:rPr>
                <w:noProof/>
                <w:webHidden/>
              </w:rPr>
              <w:fldChar w:fldCharType="end"/>
            </w:r>
          </w:hyperlink>
        </w:p>
        <w:p w14:paraId="34BE725B"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04" w:history="1">
            <w:r w:rsidR="00765839" w:rsidRPr="009E3EA7">
              <w:rPr>
                <w:rStyle w:val="Hyperlink"/>
                <w:noProof/>
              </w:rPr>
              <w:t>3.2.3</w:t>
            </w:r>
            <w:r w:rsidR="00765839">
              <w:rPr>
                <w:rFonts w:asciiTheme="minorHAnsi" w:eastAsiaTheme="minorEastAsia" w:hAnsiTheme="minorHAnsi" w:cstheme="minorBidi"/>
                <w:noProof/>
                <w:szCs w:val="22"/>
                <w:lang w:eastAsia="en-GB"/>
              </w:rPr>
              <w:tab/>
            </w:r>
            <w:r w:rsidR="00765839" w:rsidRPr="009E3EA7">
              <w:rPr>
                <w:rStyle w:val="Hyperlink"/>
                <w:noProof/>
              </w:rPr>
              <w:t>Control variables</w:t>
            </w:r>
            <w:r w:rsidR="00765839">
              <w:rPr>
                <w:noProof/>
                <w:webHidden/>
              </w:rPr>
              <w:tab/>
            </w:r>
            <w:r w:rsidR="00765839">
              <w:rPr>
                <w:noProof/>
                <w:webHidden/>
              </w:rPr>
              <w:fldChar w:fldCharType="begin"/>
            </w:r>
            <w:r w:rsidR="00765839">
              <w:rPr>
                <w:noProof/>
                <w:webHidden/>
              </w:rPr>
              <w:instrText xml:space="preserve"> PAGEREF _Toc464222904 \h </w:instrText>
            </w:r>
            <w:r w:rsidR="00765839">
              <w:rPr>
                <w:noProof/>
                <w:webHidden/>
              </w:rPr>
            </w:r>
            <w:r w:rsidR="00765839">
              <w:rPr>
                <w:noProof/>
                <w:webHidden/>
              </w:rPr>
              <w:fldChar w:fldCharType="separate"/>
            </w:r>
            <w:r w:rsidR="00765839">
              <w:rPr>
                <w:noProof/>
                <w:webHidden/>
              </w:rPr>
              <w:t>25</w:t>
            </w:r>
            <w:r w:rsidR="00765839">
              <w:rPr>
                <w:noProof/>
                <w:webHidden/>
              </w:rPr>
              <w:fldChar w:fldCharType="end"/>
            </w:r>
          </w:hyperlink>
        </w:p>
        <w:p w14:paraId="0935EF85"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05" w:history="1">
            <w:r w:rsidR="00765839" w:rsidRPr="009E3EA7">
              <w:rPr>
                <w:rStyle w:val="Hyperlink"/>
                <w:noProof/>
              </w:rPr>
              <w:t>3.2.4</w:t>
            </w:r>
            <w:r w:rsidR="00765839">
              <w:rPr>
                <w:rFonts w:asciiTheme="minorHAnsi" w:eastAsiaTheme="minorEastAsia" w:hAnsiTheme="minorHAnsi" w:cstheme="minorBidi"/>
                <w:noProof/>
                <w:szCs w:val="22"/>
                <w:lang w:eastAsia="en-GB"/>
              </w:rPr>
              <w:tab/>
            </w:r>
            <w:r w:rsidR="00765839" w:rsidRPr="009E3EA7">
              <w:rPr>
                <w:rStyle w:val="Hyperlink"/>
                <w:noProof/>
              </w:rPr>
              <w:t>Spatial considerations</w:t>
            </w:r>
            <w:r w:rsidR="00765839">
              <w:rPr>
                <w:noProof/>
                <w:webHidden/>
              </w:rPr>
              <w:tab/>
            </w:r>
            <w:r w:rsidR="00765839">
              <w:rPr>
                <w:noProof/>
                <w:webHidden/>
              </w:rPr>
              <w:fldChar w:fldCharType="begin"/>
            </w:r>
            <w:r w:rsidR="00765839">
              <w:rPr>
                <w:noProof/>
                <w:webHidden/>
              </w:rPr>
              <w:instrText xml:space="preserve"> PAGEREF _Toc464222905 \h </w:instrText>
            </w:r>
            <w:r w:rsidR="00765839">
              <w:rPr>
                <w:noProof/>
                <w:webHidden/>
              </w:rPr>
            </w:r>
            <w:r w:rsidR="00765839">
              <w:rPr>
                <w:noProof/>
                <w:webHidden/>
              </w:rPr>
              <w:fldChar w:fldCharType="separate"/>
            </w:r>
            <w:r w:rsidR="00765839">
              <w:rPr>
                <w:noProof/>
                <w:webHidden/>
              </w:rPr>
              <w:t>26</w:t>
            </w:r>
            <w:r w:rsidR="00765839">
              <w:rPr>
                <w:noProof/>
                <w:webHidden/>
              </w:rPr>
              <w:fldChar w:fldCharType="end"/>
            </w:r>
          </w:hyperlink>
        </w:p>
        <w:p w14:paraId="7532685A"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06" w:history="1">
            <w:r w:rsidR="00765839" w:rsidRPr="009E3EA7">
              <w:rPr>
                <w:rStyle w:val="Hyperlink"/>
                <w:noProof/>
              </w:rPr>
              <w:t>3.2.5</w:t>
            </w:r>
            <w:r w:rsidR="00765839">
              <w:rPr>
                <w:rFonts w:asciiTheme="minorHAnsi" w:eastAsiaTheme="minorEastAsia" w:hAnsiTheme="minorHAnsi" w:cstheme="minorBidi"/>
                <w:noProof/>
                <w:szCs w:val="22"/>
                <w:lang w:eastAsia="en-GB"/>
              </w:rPr>
              <w:tab/>
            </w:r>
            <w:r w:rsidR="00765839" w:rsidRPr="009E3EA7">
              <w:rPr>
                <w:rStyle w:val="Hyperlink"/>
                <w:noProof/>
              </w:rPr>
              <w:t>Temporal considerations</w:t>
            </w:r>
            <w:r w:rsidR="00765839">
              <w:rPr>
                <w:noProof/>
                <w:webHidden/>
              </w:rPr>
              <w:tab/>
            </w:r>
            <w:r w:rsidR="00765839">
              <w:rPr>
                <w:noProof/>
                <w:webHidden/>
              </w:rPr>
              <w:fldChar w:fldCharType="begin"/>
            </w:r>
            <w:r w:rsidR="00765839">
              <w:rPr>
                <w:noProof/>
                <w:webHidden/>
              </w:rPr>
              <w:instrText xml:space="preserve"> PAGEREF _Toc464222906 \h </w:instrText>
            </w:r>
            <w:r w:rsidR="00765839">
              <w:rPr>
                <w:noProof/>
                <w:webHidden/>
              </w:rPr>
            </w:r>
            <w:r w:rsidR="00765839">
              <w:rPr>
                <w:noProof/>
                <w:webHidden/>
              </w:rPr>
              <w:fldChar w:fldCharType="separate"/>
            </w:r>
            <w:r w:rsidR="00765839">
              <w:rPr>
                <w:noProof/>
                <w:webHidden/>
              </w:rPr>
              <w:t>26</w:t>
            </w:r>
            <w:r w:rsidR="00765839">
              <w:rPr>
                <w:noProof/>
                <w:webHidden/>
              </w:rPr>
              <w:fldChar w:fldCharType="end"/>
            </w:r>
          </w:hyperlink>
        </w:p>
        <w:p w14:paraId="29DA36E3" w14:textId="77777777" w:rsidR="00765839" w:rsidRDefault="00395234">
          <w:pPr>
            <w:pStyle w:val="TOC1"/>
            <w:tabs>
              <w:tab w:val="right" w:leader="dot" w:pos="9344"/>
            </w:tabs>
            <w:rPr>
              <w:rFonts w:asciiTheme="minorHAnsi" w:eastAsiaTheme="minorEastAsia" w:hAnsiTheme="minorHAnsi" w:cstheme="minorBidi"/>
              <w:b w:val="0"/>
              <w:noProof/>
              <w:szCs w:val="22"/>
              <w:lang w:eastAsia="en-GB"/>
            </w:rPr>
          </w:pPr>
          <w:hyperlink w:anchor="_Toc464222907" w:history="1">
            <w:r w:rsidR="00765839" w:rsidRPr="009E3EA7">
              <w:rPr>
                <w:rStyle w:val="Hyperlink"/>
                <w:rFonts w:eastAsia="Calibri" w:cs="Arial"/>
                <w:noProof/>
              </w:rPr>
              <w:t>4: Econometric analysis and findings</w:t>
            </w:r>
            <w:r w:rsidR="00765839">
              <w:rPr>
                <w:noProof/>
                <w:webHidden/>
              </w:rPr>
              <w:tab/>
            </w:r>
            <w:r w:rsidR="00765839">
              <w:rPr>
                <w:noProof/>
                <w:webHidden/>
              </w:rPr>
              <w:fldChar w:fldCharType="begin"/>
            </w:r>
            <w:r w:rsidR="00765839">
              <w:rPr>
                <w:noProof/>
                <w:webHidden/>
              </w:rPr>
              <w:instrText xml:space="preserve"> PAGEREF _Toc464222907 \h </w:instrText>
            </w:r>
            <w:r w:rsidR="00765839">
              <w:rPr>
                <w:noProof/>
                <w:webHidden/>
              </w:rPr>
            </w:r>
            <w:r w:rsidR="00765839">
              <w:rPr>
                <w:noProof/>
                <w:webHidden/>
              </w:rPr>
              <w:fldChar w:fldCharType="separate"/>
            </w:r>
            <w:r w:rsidR="00765839">
              <w:rPr>
                <w:noProof/>
                <w:webHidden/>
              </w:rPr>
              <w:t>28</w:t>
            </w:r>
            <w:r w:rsidR="00765839">
              <w:rPr>
                <w:noProof/>
                <w:webHidden/>
              </w:rPr>
              <w:fldChar w:fldCharType="end"/>
            </w:r>
          </w:hyperlink>
        </w:p>
        <w:p w14:paraId="33787569"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08" w:history="1">
            <w:r w:rsidR="00765839" w:rsidRPr="009E3EA7">
              <w:rPr>
                <w:rStyle w:val="Hyperlink"/>
                <w:rFonts w:eastAsia="Calibri"/>
                <w:noProof/>
              </w:rPr>
              <w:t>4.1</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All firms</w:t>
            </w:r>
            <w:r w:rsidR="00765839">
              <w:rPr>
                <w:noProof/>
                <w:webHidden/>
              </w:rPr>
              <w:tab/>
            </w:r>
            <w:r w:rsidR="00765839">
              <w:rPr>
                <w:noProof/>
                <w:webHidden/>
              </w:rPr>
              <w:fldChar w:fldCharType="begin"/>
            </w:r>
            <w:r w:rsidR="00765839">
              <w:rPr>
                <w:noProof/>
                <w:webHidden/>
              </w:rPr>
              <w:instrText xml:space="preserve"> PAGEREF _Toc464222908 \h </w:instrText>
            </w:r>
            <w:r w:rsidR="00765839">
              <w:rPr>
                <w:noProof/>
                <w:webHidden/>
              </w:rPr>
            </w:r>
            <w:r w:rsidR="00765839">
              <w:rPr>
                <w:noProof/>
                <w:webHidden/>
              </w:rPr>
              <w:fldChar w:fldCharType="separate"/>
            </w:r>
            <w:r w:rsidR="00765839">
              <w:rPr>
                <w:noProof/>
                <w:webHidden/>
              </w:rPr>
              <w:t>28</w:t>
            </w:r>
            <w:r w:rsidR="00765839">
              <w:rPr>
                <w:noProof/>
                <w:webHidden/>
              </w:rPr>
              <w:fldChar w:fldCharType="end"/>
            </w:r>
          </w:hyperlink>
        </w:p>
        <w:p w14:paraId="2F3D19E8"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09" w:history="1">
            <w:r w:rsidR="00765839" w:rsidRPr="009E3EA7">
              <w:rPr>
                <w:rStyle w:val="Hyperlink"/>
                <w:rFonts w:eastAsia="Calibri"/>
                <w:noProof/>
              </w:rPr>
              <w:t>4.1.1</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Cross-sectional models – all firms</w:t>
            </w:r>
            <w:r w:rsidR="00765839">
              <w:rPr>
                <w:noProof/>
                <w:webHidden/>
              </w:rPr>
              <w:tab/>
            </w:r>
            <w:r w:rsidR="00765839">
              <w:rPr>
                <w:noProof/>
                <w:webHidden/>
              </w:rPr>
              <w:fldChar w:fldCharType="begin"/>
            </w:r>
            <w:r w:rsidR="00765839">
              <w:rPr>
                <w:noProof/>
                <w:webHidden/>
              </w:rPr>
              <w:instrText xml:space="preserve"> PAGEREF _Toc464222909 \h </w:instrText>
            </w:r>
            <w:r w:rsidR="00765839">
              <w:rPr>
                <w:noProof/>
                <w:webHidden/>
              </w:rPr>
            </w:r>
            <w:r w:rsidR="00765839">
              <w:rPr>
                <w:noProof/>
                <w:webHidden/>
              </w:rPr>
              <w:fldChar w:fldCharType="separate"/>
            </w:r>
            <w:r w:rsidR="00765839">
              <w:rPr>
                <w:noProof/>
                <w:webHidden/>
              </w:rPr>
              <w:t>28</w:t>
            </w:r>
            <w:r w:rsidR="00765839">
              <w:rPr>
                <w:noProof/>
                <w:webHidden/>
              </w:rPr>
              <w:fldChar w:fldCharType="end"/>
            </w:r>
          </w:hyperlink>
        </w:p>
        <w:p w14:paraId="5617AE2D"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10" w:history="1">
            <w:r w:rsidR="00765839" w:rsidRPr="009E3EA7">
              <w:rPr>
                <w:rStyle w:val="Hyperlink"/>
                <w:rFonts w:eastAsia="Calibri"/>
                <w:noProof/>
              </w:rPr>
              <w:t>4.1.2</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Panel data models – all firms</w:t>
            </w:r>
            <w:r w:rsidR="00765839">
              <w:rPr>
                <w:noProof/>
                <w:webHidden/>
              </w:rPr>
              <w:tab/>
            </w:r>
            <w:r w:rsidR="00765839">
              <w:rPr>
                <w:noProof/>
                <w:webHidden/>
              </w:rPr>
              <w:fldChar w:fldCharType="begin"/>
            </w:r>
            <w:r w:rsidR="00765839">
              <w:rPr>
                <w:noProof/>
                <w:webHidden/>
              </w:rPr>
              <w:instrText xml:space="preserve"> PAGEREF _Toc464222910 \h </w:instrText>
            </w:r>
            <w:r w:rsidR="00765839">
              <w:rPr>
                <w:noProof/>
                <w:webHidden/>
              </w:rPr>
            </w:r>
            <w:r w:rsidR="00765839">
              <w:rPr>
                <w:noProof/>
                <w:webHidden/>
              </w:rPr>
              <w:fldChar w:fldCharType="separate"/>
            </w:r>
            <w:r w:rsidR="00765839">
              <w:rPr>
                <w:noProof/>
                <w:webHidden/>
              </w:rPr>
              <w:t>29</w:t>
            </w:r>
            <w:r w:rsidR="00765839">
              <w:rPr>
                <w:noProof/>
                <w:webHidden/>
              </w:rPr>
              <w:fldChar w:fldCharType="end"/>
            </w:r>
          </w:hyperlink>
        </w:p>
        <w:p w14:paraId="6581C678"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11" w:history="1">
            <w:r w:rsidR="00765839" w:rsidRPr="009E3EA7">
              <w:rPr>
                <w:rStyle w:val="Hyperlink"/>
                <w:rFonts w:eastAsia="Calibri"/>
                <w:noProof/>
              </w:rPr>
              <w:t>4.2</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Creative industries</w:t>
            </w:r>
            <w:r w:rsidR="00765839">
              <w:rPr>
                <w:noProof/>
                <w:webHidden/>
              </w:rPr>
              <w:tab/>
            </w:r>
            <w:r w:rsidR="00765839">
              <w:rPr>
                <w:noProof/>
                <w:webHidden/>
              </w:rPr>
              <w:fldChar w:fldCharType="begin"/>
            </w:r>
            <w:r w:rsidR="00765839">
              <w:rPr>
                <w:noProof/>
                <w:webHidden/>
              </w:rPr>
              <w:instrText xml:space="preserve"> PAGEREF _Toc464222911 \h </w:instrText>
            </w:r>
            <w:r w:rsidR="00765839">
              <w:rPr>
                <w:noProof/>
                <w:webHidden/>
              </w:rPr>
            </w:r>
            <w:r w:rsidR="00765839">
              <w:rPr>
                <w:noProof/>
                <w:webHidden/>
              </w:rPr>
              <w:fldChar w:fldCharType="separate"/>
            </w:r>
            <w:r w:rsidR="00765839">
              <w:rPr>
                <w:noProof/>
                <w:webHidden/>
              </w:rPr>
              <w:t>30</w:t>
            </w:r>
            <w:r w:rsidR="00765839">
              <w:rPr>
                <w:noProof/>
                <w:webHidden/>
              </w:rPr>
              <w:fldChar w:fldCharType="end"/>
            </w:r>
          </w:hyperlink>
        </w:p>
        <w:p w14:paraId="3EA7C66E"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12" w:history="1">
            <w:r w:rsidR="00765839" w:rsidRPr="009E3EA7">
              <w:rPr>
                <w:rStyle w:val="Hyperlink"/>
                <w:rFonts w:eastAsia="Calibri"/>
                <w:noProof/>
              </w:rPr>
              <w:t>4.2.1</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Cross-sectional models – creative firms</w:t>
            </w:r>
            <w:r w:rsidR="00765839">
              <w:rPr>
                <w:noProof/>
                <w:webHidden/>
              </w:rPr>
              <w:tab/>
            </w:r>
            <w:r w:rsidR="00765839">
              <w:rPr>
                <w:noProof/>
                <w:webHidden/>
              </w:rPr>
              <w:fldChar w:fldCharType="begin"/>
            </w:r>
            <w:r w:rsidR="00765839">
              <w:rPr>
                <w:noProof/>
                <w:webHidden/>
              </w:rPr>
              <w:instrText xml:space="preserve"> PAGEREF _Toc464222912 \h </w:instrText>
            </w:r>
            <w:r w:rsidR="00765839">
              <w:rPr>
                <w:noProof/>
                <w:webHidden/>
              </w:rPr>
            </w:r>
            <w:r w:rsidR="00765839">
              <w:rPr>
                <w:noProof/>
                <w:webHidden/>
              </w:rPr>
              <w:fldChar w:fldCharType="separate"/>
            </w:r>
            <w:r w:rsidR="00765839">
              <w:rPr>
                <w:noProof/>
                <w:webHidden/>
              </w:rPr>
              <w:t>30</w:t>
            </w:r>
            <w:r w:rsidR="00765839">
              <w:rPr>
                <w:noProof/>
                <w:webHidden/>
              </w:rPr>
              <w:fldChar w:fldCharType="end"/>
            </w:r>
          </w:hyperlink>
        </w:p>
        <w:p w14:paraId="457445D3"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13" w:history="1">
            <w:r w:rsidR="00765839" w:rsidRPr="009E3EA7">
              <w:rPr>
                <w:rStyle w:val="Hyperlink"/>
                <w:rFonts w:eastAsia="Calibri"/>
                <w:noProof/>
              </w:rPr>
              <w:t>4.2.2</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Panel data models – creative firms</w:t>
            </w:r>
            <w:r w:rsidR="00765839">
              <w:rPr>
                <w:noProof/>
                <w:webHidden/>
              </w:rPr>
              <w:tab/>
            </w:r>
            <w:r w:rsidR="00765839">
              <w:rPr>
                <w:noProof/>
                <w:webHidden/>
              </w:rPr>
              <w:fldChar w:fldCharType="begin"/>
            </w:r>
            <w:r w:rsidR="00765839">
              <w:rPr>
                <w:noProof/>
                <w:webHidden/>
              </w:rPr>
              <w:instrText xml:space="preserve"> PAGEREF _Toc464222913 \h </w:instrText>
            </w:r>
            <w:r w:rsidR="00765839">
              <w:rPr>
                <w:noProof/>
                <w:webHidden/>
              </w:rPr>
            </w:r>
            <w:r w:rsidR="00765839">
              <w:rPr>
                <w:noProof/>
                <w:webHidden/>
              </w:rPr>
              <w:fldChar w:fldCharType="separate"/>
            </w:r>
            <w:r w:rsidR="00765839">
              <w:rPr>
                <w:noProof/>
                <w:webHidden/>
              </w:rPr>
              <w:t>31</w:t>
            </w:r>
            <w:r w:rsidR="00765839">
              <w:rPr>
                <w:noProof/>
                <w:webHidden/>
              </w:rPr>
              <w:fldChar w:fldCharType="end"/>
            </w:r>
          </w:hyperlink>
        </w:p>
        <w:p w14:paraId="18A77DA8"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14" w:history="1">
            <w:r w:rsidR="00765839" w:rsidRPr="009E3EA7">
              <w:rPr>
                <w:rStyle w:val="Hyperlink"/>
                <w:rFonts w:eastAsia="Calibri"/>
                <w:noProof/>
              </w:rPr>
              <w:t>4.3</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Other industries</w:t>
            </w:r>
            <w:r w:rsidR="00765839">
              <w:rPr>
                <w:noProof/>
                <w:webHidden/>
              </w:rPr>
              <w:tab/>
            </w:r>
            <w:r w:rsidR="00765839">
              <w:rPr>
                <w:noProof/>
                <w:webHidden/>
              </w:rPr>
              <w:fldChar w:fldCharType="begin"/>
            </w:r>
            <w:r w:rsidR="00765839">
              <w:rPr>
                <w:noProof/>
                <w:webHidden/>
              </w:rPr>
              <w:instrText xml:space="preserve"> PAGEREF _Toc464222914 \h </w:instrText>
            </w:r>
            <w:r w:rsidR="00765839">
              <w:rPr>
                <w:noProof/>
                <w:webHidden/>
              </w:rPr>
            </w:r>
            <w:r w:rsidR="00765839">
              <w:rPr>
                <w:noProof/>
                <w:webHidden/>
              </w:rPr>
              <w:fldChar w:fldCharType="separate"/>
            </w:r>
            <w:r w:rsidR="00765839">
              <w:rPr>
                <w:noProof/>
                <w:webHidden/>
              </w:rPr>
              <w:t>32</w:t>
            </w:r>
            <w:r w:rsidR="00765839">
              <w:rPr>
                <w:noProof/>
                <w:webHidden/>
              </w:rPr>
              <w:fldChar w:fldCharType="end"/>
            </w:r>
          </w:hyperlink>
        </w:p>
        <w:p w14:paraId="6C8C4CE0"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15" w:history="1">
            <w:r w:rsidR="00765839" w:rsidRPr="009E3EA7">
              <w:rPr>
                <w:rStyle w:val="Hyperlink"/>
                <w:rFonts w:eastAsia="Calibri"/>
                <w:noProof/>
              </w:rPr>
              <w:t>4.4</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Technical discussion of econometric approach</w:t>
            </w:r>
            <w:r w:rsidR="00765839">
              <w:rPr>
                <w:noProof/>
                <w:webHidden/>
              </w:rPr>
              <w:tab/>
            </w:r>
            <w:r w:rsidR="00765839">
              <w:rPr>
                <w:noProof/>
                <w:webHidden/>
              </w:rPr>
              <w:fldChar w:fldCharType="begin"/>
            </w:r>
            <w:r w:rsidR="00765839">
              <w:rPr>
                <w:noProof/>
                <w:webHidden/>
              </w:rPr>
              <w:instrText xml:space="preserve"> PAGEREF _Toc464222915 \h </w:instrText>
            </w:r>
            <w:r w:rsidR="00765839">
              <w:rPr>
                <w:noProof/>
                <w:webHidden/>
              </w:rPr>
            </w:r>
            <w:r w:rsidR="00765839">
              <w:rPr>
                <w:noProof/>
                <w:webHidden/>
              </w:rPr>
              <w:fldChar w:fldCharType="separate"/>
            </w:r>
            <w:r w:rsidR="00765839">
              <w:rPr>
                <w:noProof/>
                <w:webHidden/>
              </w:rPr>
              <w:t>33</w:t>
            </w:r>
            <w:r w:rsidR="00765839">
              <w:rPr>
                <w:noProof/>
                <w:webHidden/>
              </w:rPr>
              <w:fldChar w:fldCharType="end"/>
            </w:r>
          </w:hyperlink>
        </w:p>
        <w:p w14:paraId="5D6E2C14" w14:textId="77777777" w:rsidR="00765839" w:rsidRDefault="00395234">
          <w:pPr>
            <w:pStyle w:val="TOC1"/>
            <w:tabs>
              <w:tab w:val="right" w:leader="dot" w:pos="9344"/>
            </w:tabs>
            <w:rPr>
              <w:rFonts w:asciiTheme="minorHAnsi" w:eastAsiaTheme="minorEastAsia" w:hAnsiTheme="minorHAnsi" w:cstheme="minorBidi"/>
              <w:b w:val="0"/>
              <w:noProof/>
              <w:szCs w:val="22"/>
              <w:lang w:eastAsia="en-GB"/>
            </w:rPr>
          </w:pPr>
          <w:hyperlink w:anchor="_Toc464222916" w:history="1">
            <w:r w:rsidR="00765839" w:rsidRPr="009E3EA7">
              <w:rPr>
                <w:rStyle w:val="Hyperlink"/>
                <w:rFonts w:eastAsia="Calibri" w:cs="Arial"/>
                <w:noProof/>
              </w:rPr>
              <w:t>5: Conclusions: discussion of findings and implications</w:t>
            </w:r>
            <w:r w:rsidR="00765839">
              <w:rPr>
                <w:noProof/>
                <w:webHidden/>
              </w:rPr>
              <w:tab/>
            </w:r>
            <w:r w:rsidR="00765839">
              <w:rPr>
                <w:noProof/>
                <w:webHidden/>
              </w:rPr>
              <w:fldChar w:fldCharType="begin"/>
            </w:r>
            <w:r w:rsidR="00765839">
              <w:rPr>
                <w:noProof/>
                <w:webHidden/>
              </w:rPr>
              <w:instrText xml:space="preserve"> PAGEREF _Toc464222916 \h </w:instrText>
            </w:r>
            <w:r w:rsidR="00765839">
              <w:rPr>
                <w:noProof/>
                <w:webHidden/>
              </w:rPr>
            </w:r>
            <w:r w:rsidR="00765839">
              <w:rPr>
                <w:noProof/>
                <w:webHidden/>
              </w:rPr>
              <w:fldChar w:fldCharType="separate"/>
            </w:r>
            <w:r w:rsidR="00765839">
              <w:rPr>
                <w:noProof/>
                <w:webHidden/>
              </w:rPr>
              <w:t>35</w:t>
            </w:r>
            <w:r w:rsidR="00765839">
              <w:rPr>
                <w:noProof/>
                <w:webHidden/>
              </w:rPr>
              <w:fldChar w:fldCharType="end"/>
            </w:r>
          </w:hyperlink>
        </w:p>
        <w:p w14:paraId="669DDB19" w14:textId="77777777" w:rsidR="00765839" w:rsidRDefault="00395234">
          <w:pPr>
            <w:pStyle w:val="TOC1"/>
            <w:tabs>
              <w:tab w:val="right" w:leader="dot" w:pos="9344"/>
            </w:tabs>
            <w:rPr>
              <w:rFonts w:asciiTheme="minorHAnsi" w:eastAsiaTheme="minorEastAsia" w:hAnsiTheme="minorHAnsi" w:cstheme="minorBidi"/>
              <w:b w:val="0"/>
              <w:noProof/>
              <w:szCs w:val="22"/>
              <w:lang w:eastAsia="en-GB"/>
            </w:rPr>
          </w:pPr>
          <w:hyperlink w:anchor="_Toc464222917" w:history="1">
            <w:r w:rsidR="00765839" w:rsidRPr="009E3EA7">
              <w:rPr>
                <w:rStyle w:val="Hyperlink"/>
                <w:noProof/>
              </w:rPr>
              <w:t>6:</w:t>
            </w:r>
            <w:r w:rsidR="00765839" w:rsidRPr="009E3EA7">
              <w:rPr>
                <w:rStyle w:val="Hyperlink"/>
                <w:rFonts w:eastAsia="Calibri"/>
                <w:noProof/>
              </w:rPr>
              <w:t xml:space="preserve"> Appendix I – </w:t>
            </w:r>
            <w:r w:rsidR="00765839" w:rsidRPr="009E3EA7">
              <w:rPr>
                <w:rStyle w:val="Hyperlink"/>
                <w:noProof/>
              </w:rPr>
              <w:t>Literature review</w:t>
            </w:r>
            <w:r w:rsidR="00765839">
              <w:rPr>
                <w:noProof/>
                <w:webHidden/>
              </w:rPr>
              <w:tab/>
            </w:r>
            <w:r w:rsidR="00765839">
              <w:rPr>
                <w:noProof/>
                <w:webHidden/>
              </w:rPr>
              <w:fldChar w:fldCharType="begin"/>
            </w:r>
            <w:r w:rsidR="00765839">
              <w:rPr>
                <w:noProof/>
                <w:webHidden/>
              </w:rPr>
              <w:instrText xml:space="preserve"> PAGEREF _Toc464222917 \h </w:instrText>
            </w:r>
            <w:r w:rsidR="00765839">
              <w:rPr>
                <w:noProof/>
                <w:webHidden/>
              </w:rPr>
            </w:r>
            <w:r w:rsidR="00765839">
              <w:rPr>
                <w:noProof/>
                <w:webHidden/>
              </w:rPr>
              <w:fldChar w:fldCharType="separate"/>
            </w:r>
            <w:r w:rsidR="00765839">
              <w:rPr>
                <w:noProof/>
                <w:webHidden/>
              </w:rPr>
              <w:t>39</w:t>
            </w:r>
            <w:r w:rsidR="00765839">
              <w:rPr>
                <w:noProof/>
                <w:webHidden/>
              </w:rPr>
              <w:fldChar w:fldCharType="end"/>
            </w:r>
          </w:hyperlink>
        </w:p>
        <w:p w14:paraId="50EB3422"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18" w:history="1">
            <w:r w:rsidR="00765839" w:rsidRPr="009E3EA7">
              <w:rPr>
                <w:rStyle w:val="Hyperlink"/>
                <w:noProof/>
              </w:rPr>
              <w:t>6.1</w:t>
            </w:r>
            <w:r w:rsidR="00765839">
              <w:rPr>
                <w:rFonts w:asciiTheme="minorHAnsi" w:eastAsiaTheme="minorEastAsia" w:hAnsiTheme="minorHAnsi" w:cstheme="minorBidi"/>
                <w:noProof/>
                <w:szCs w:val="22"/>
                <w:lang w:eastAsia="en-GB"/>
              </w:rPr>
              <w:tab/>
            </w:r>
            <w:r w:rsidR="00765839" w:rsidRPr="009E3EA7">
              <w:rPr>
                <w:rStyle w:val="Hyperlink"/>
                <w:noProof/>
              </w:rPr>
              <w:t>Introduction</w:t>
            </w:r>
            <w:r w:rsidR="00765839">
              <w:rPr>
                <w:noProof/>
                <w:webHidden/>
              </w:rPr>
              <w:tab/>
            </w:r>
            <w:r w:rsidR="00765839">
              <w:rPr>
                <w:noProof/>
                <w:webHidden/>
              </w:rPr>
              <w:fldChar w:fldCharType="begin"/>
            </w:r>
            <w:r w:rsidR="00765839">
              <w:rPr>
                <w:noProof/>
                <w:webHidden/>
              </w:rPr>
              <w:instrText xml:space="preserve"> PAGEREF _Toc464222918 \h </w:instrText>
            </w:r>
            <w:r w:rsidR="00765839">
              <w:rPr>
                <w:noProof/>
                <w:webHidden/>
              </w:rPr>
            </w:r>
            <w:r w:rsidR="00765839">
              <w:rPr>
                <w:noProof/>
                <w:webHidden/>
              </w:rPr>
              <w:fldChar w:fldCharType="separate"/>
            </w:r>
            <w:r w:rsidR="00765839">
              <w:rPr>
                <w:noProof/>
                <w:webHidden/>
              </w:rPr>
              <w:t>39</w:t>
            </w:r>
            <w:r w:rsidR="00765839">
              <w:rPr>
                <w:noProof/>
                <w:webHidden/>
              </w:rPr>
              <w:fldChar w:fldCharType="end"/>
            </w:r>
          </w:hyperlink>
        </w:p>
        <w:p w14:paraId="6A3BE553"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19" w:history="1">
            <w:r w:rsidR="00765839" w:rsidRPr="009E3EA7">
              <w:rPr>
                <w:rStyle w:val="Hyperlink"/>
                <w:noProof/>
              </w:rPr>
              <w:t>6.2</w:t>
            </w:r>
            <w:r w:rsidR="00765839">
              <w:rPr>
                <w:rFonts w:asciiTheme="minorHAnsi" w:eastAsiaTheme="minorEastAsia" w:hAnsiTheme="minorHAnsi" w:cstheme="minorBidi"/>
                <w:noProof/>
                <w:szCs w:val="22"/>
                <w:lang w:eastAsia="en-GB"/>
              </w:rPr>
              <w:tab/>
            </w:r>
            <w:r w:rsidR="00765839" w:rsidRPr="009E3EA7">
              <w:rPr>
                <w:rStyle w:val="Hyperlink"/>
                <w:noProof/>
              </w:rPr>
              <w:t>Cultural Assets</w:t>
            </w:r>
            <w:r w:rsidR="00765839">
              <w:rPr>
                <w:noProof/>
                <w:webHidden/>
              </w:rPr>
              <w:tab/>
            </w:r>
            <w:r w:rsidR="00765839">
              <w:rPr>
                <w:noProof/>
                <w:webHidden/>
              </w:rPr>
              <w:fldChar w:fldCharType="begin"/>
            </w:r>
            <w:r w:rsidR="00765839">
              <w:rPr>
                <w:noProof/>
                <w:webHidden/>
              </w:rPr>
              <w:instrText xml:space="preserve"> PAGEREF _Toc464222919 \h </w:instrText>
            </w:r>
            <w:r w:rsidR="00765839">
              <w:rPr>
                <w:noProof/>
                <w:webHidden/>
              </w:rPr>
            </w:r>
            <w:r w:rsidR="00765839">
              <w:rPr>
                <w:noProof/>
                <w:webHidden/>
              </w:rPr>
              <w:fldChar w:fldCharType="separate"/>
            </w:r>
            <w:r w:rsidR="00765839">
              <w:rPr>
                <w:noProof/>
                <w:webHidden/>
              </w:rPr>
              <w:t>40</w:t>
            </w:r>
            <w:r w:rsidR="00765839">
              <w:rPr>
                <w:noProof/>
                <w:webHidden/>
              </w:rPr>
              <w:fldChar w:fldCharType="end"/>
            </w:r>
          </w:hyperlink>
        </w:p>
        <w:p w14:paraId="16D98D5A"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20" w:history="1">
            <w:r w:rsidR="00765839" w:rsidRPr="009E3EA7">
              <w:rPr>
                <w:rStyle w:val="Hyperlink"/>
                <w:noProof/>
              </w:rPr>
              <w:t>6.2.1</w:t>
            </w:r>
            <w:r w:rsidR="00765839">
              <w:rPr>
                <w:rFonts w:asciiTheme="minorHAnsi" w:eastAsiaTheme="minorEastAsia" w:hAnsiTheme="minorHAnsi" w:cstheme="minorBidi"/>
                <w:noProof/>
                <w:szCs w:val="22"/>
                <w:lang w:eastAsia="en-GB"/>
              </w:rPr>
              <w:tab/>
            </w:r>
            <w:r w:rsidR="00765839" w:rsidRPr="009E3EA7">
              <w:rPr>
                <w:rStyle w:val="Hyperlink"/>
                <w:noProof/>
              </w:rPr>
              <w:t>Public, Merit and Private Goods</w:t>
            </w:r>
            <w:r w:rsidR="00765839">
              <w:rPr>
                <w:noProof/>
                <w:webHidden/>
              </w:rPr>
              <w:tab/>
            </w:r>
            <w:r w:rsidR="00765839">
              <w:rPr>
                <w:noProof/>
                <w:webHidden/>
              </w:rPr>
              <w:fldChar w:fldCharType="begin"/>
            </w:r>
            <w:r w:rsidR="00765839">
              <w:rPr>
                <w:noProof/>
                <w:webHidden/>
              </w:rPr>
              <w:instrText xml:space="preserve"> PAGEREF _Toc464222920 \h </w:instrText>
            </w:r>
            <w:r w:rsidR="00765839">
              <w:rPr>
                <w:noProof/>
                <w:webHidden/>
              </w:rPr>
            </w:r>
            <w:r w:rsidR="00765839">
              <w:rPr>
                <w:noProof/>
                <w:webHidden/>
              </w:rPr>
              <w:fldChar w:fldCharType="separate"/>
            </w:r>
            <w:r w:rsidR="00765839">
              <w:rPr>
                <w:noProof/>
                <w:webHidden/>
              </w:rPr>
              <w:t>40</w:t>
            </w:r>
            <w:r w:rsidR="00765839">
              <w:rPr>
                <w:noProof/>
                <w:webHidden/>
              </w:rPr>
              <w:fldChar w:fldCharType="end"/>
            </w:r>
          </w:hyperlink>
        </w:p>
        <w:p w14:paraId="33107443"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21" w:history="1">
            <w:r w:rsidR="00765839" w:rsidRPr="009E3EA7">
              <w:rPr>
                <w:rStyle w:val="Hyperlink"/>
                <w:noProof/>
              </w:rPr>
              <w:t>6.2.2</w:t>
            </w:r>
            <w:r w:rsidR="00765839">
              <w:rPr>
                <w:rFonts w:asciiTheme="minorHAnsi" w:eastAsiaTheme="minorEastAsia" w:hAnsiTheme="minorHAnsi" w:cstheme="minorBidi"/>
                <w:noProof/>
                <w:szCs w:val="22"/>
                <w:lang w:eastAsia="en-GB"/>
              </w:rPr>
              <w:tab/>
            </w:r>
            <w:r w:rsidR="00765839" w:rsidRPr="009E3EA7">
              <w:rPr>
                <w:rStyle w:val="Hyperlink"/>
                <w:noProof/>
              </w:rPr>
              <w:t>Valorisation</w:t>
            </w:r>
            <w:r w:rsidR="00765839">
              <w:rPr>
                <w:noProof/>
                <w:webHidden/>
              </w:rPr>
              <w:tab/>
            </w:r>
            <w:r w:rsidR="00765839">
              <w:rPr>
                <w:noProof/>
                <w:webHidden/>
              </w:rPr>
              <w:fldChar w:fldCharType="begin"/>
            </w:r>
            <w:r w:rsidR="00765839">
              <w:rPr>
                <w:noProof/>
                <w:webHidden/>
              </w:rPr>
              <w:instrText xml:space="preserve"> PAGEREF _Toc464222921 \h </w:instrText>
            </w:r>
            <w:r w:rsidR="00765839">
              <w:rPr>
                <w:noProof/>
                <w:webHidden/>
              </w:rPr>
            </w:r>
            <w:r w:rsidR="00765839">
              <w:rPr>
                <w:noProof/>
                <w:webHidden/>
              </w:rPr>
              <w:fldChar w:fldCharType="separate"/>
            </w:r>
            <w:r w:rsidR="00765839">
              <w:rPr>
                <w:noProof/>
                <w:webHidden/>
              </w:rPr>
              <w:t>40</w:t>
            </w:r>
            <w:r w:rsidR="00765839">
              <w:rPr>
                <w:noProof/>
                <w:webHidden/>
              </w:rPr>
              <w:fldChar w:fldCharType="end"/>
            </w:r>
          </w:hyperlink>
        </w:p>
        <w:p w14:paraId="1948FB85"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22" w:history="1">
            <w:r w:rsidR="00765839" w:rsidRPr="009E3EA7">
              <w:rPr>
                <w:rStyle w:val="Hyperlink"/>
                <w:noProof/>
              </w:rPr>
              <w:t>6.2.3</w:t>
            </w:r>
            <w:r w:rsidR="00765839">
              <w:rPr>
                <w:rFonts w:asciiTheme="minorHAnsi" w:eastAsiaTheme="minorEastAsia" w:hAnsiTheme="minorHAnsi" w:cstheme="minorBidi"/>
                <w:noProof/>
                <w:szCs w:val="22"/>
                <w:lang w:eastAsia="en-GB"/>
              </w:rPr>
              <w:tab/>
            </w:r>
            <w:r w:rsidR="00765839" w:rsidRPr="009E3EA7">
              <w:rPr>
                <w:rStyle w:val="Hyperlink"/>
                <w:noProof/>
              </w:rPr>
              <w:t>Economic impact</w:t>
            </w:r>
            <w:r w:rsidR="00765839">
              <w:rPr>
                <w:noProof/>
                <w:webHidden/>
              </w:rPr>
              <w:tab/>
            </w:r>
            <w:r w:rsidR="00765839">
              <w:rPr>
                <w:noProof/>
                <w:webHidden/>
              </w:rPr>
              <w:fldChar w:fldCharType="begin"/>
            </w:r>
            <w:r w:rsidR="00765839">
              <w:rPr>
                <w:noProof/>
                <w:webHidden/>
              </w:rPr>
              <w:instrText xml:space="preserve"> PAGEREF _Toc464222922 \h </w:instrText>
            </w:r>
            <w:r w:rsidR="00765839">
              <w:rPr>
                <w:noProof/>
                <w:webHidden/>
              </w:rPr>
            </w:r>
            <w:r w:rsidR="00765839">
              <w:rPr>
                <w:noProof/>
                <w:webHidden/>
              </w:rPr>
              <w:fldChar w:fldCharType="separate"/>
            </w:r>
            <w:r w:rsidR="00765839">
              <w:rPr>
                <w:noProof/>
                <w:webHidden/>
              </w:rPr>
              <w:t>42</w:t>
            </w:r>
            <w:r w:rsidR="00765839">
              <w:rPr>
                <w:noProof/>
                <w:webHidden/>
              </w:rPr>
              <w:fldChar w:fldCharType="end"/>
            </w:r>
          </w:hyperlink>
        </w:p>
        <w:p w14:paraId="1FE5D43E"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23" w:history="1">
            <w:r w:rsidR="00765839" w:rsidRPr="009E3EA7">
              <w:rPr>
                <w:rStyle w:val="Hyperlink"/>
                <w:noProof/>
              </w:rPr>
              <w:t>6.2.4</w:t>
            </w:r>
            <w:r w:rsidR="00765839">
              <w:rPr>
                <w:rFonts w:asciiTheme="minorHAnsi" w:eastAsiaTheme="minorEastAsia" w:hAnsiTheme="minorHAnsi" w:cstheme="minorBidi"/>
                <w:noProof/>
                <w:szCs w:val="22"/>
                <w:lang w:eastAsia="en-GB"/>
              </w:rPr>
              <w:tab/>
            </w:r>
            <w:r w:rsidR="00765839" w:rsidRPr="009E3EA7">
              <w:rPr>
                <w:rStyle w:val="Hyperlink"/>
                <w:noProof/>
              </w:rPr>
              <w:t>Social Impacts</w:t>
            </w:r>
            <w:r w:rsidR="00765839">
              <w:rPr>
                <w:noProof/>
                <w:webHidden/>
              </w:rPr>
              <w:tab/>
            </w:r>
            <w:r w:rsidR="00765839">
              <w:rPr>
                <w:noProof/>
                <w:webHidden/>
              </w:rPr>
              <w:fldChar w:fldCharType="begin"/>
            </w:r>
            <w:r w:rsidR="00765839">
              <w:rPr>
                <w:noProof/>
                <w:webHidden/>
              </w:rPr>
              <w:instrText xml:space="preserve"> PAGEREF _Toc464222923 \h </w:instrText>
            </w:r>
            <w:r w:rsidR="00765839">
              <w:rPr>
                <w:noProof/>
                <w:webHidden/>
              </w:rPr>
            </w:r>
            <w:r w:rsidR="00765839">
              <w:rPr>
                <w:noProof/>
                <w:webHidden/>
              </w:rPr>
              <w:fldChar w:fldCharType="separate"/>
            </w:r>
            <w:r w:rsidR="00765839">
              <w:rPr>
                <w:noProof/>
                <w:webHidden/>
              </w:rPr>
              <w:t>44</w:t>
            </w:r>
            <w:r w:rsidR="00765839">
              <w:rPr>
                <w:noProof/>
                <w:webHidden/>
              </w:rPr>
              <w:fldChar w:fldCharType="end"/>
            </w:r>
          </w:hyperlink>
        </w:p>
        <w:p w14:paraId="4F0C0778"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24" w:history="1">
            <w:r w:rsidR="00765839" w:rsidRPr="009E3EA7">
              <w:rPr>
                <w:rStyle w:val="Hyperlink"/>
                <w:noProof/>
              </w:rPr>
              <w:t>6.2.5</w:t>
            </w:r>
            <w:r w:rsidR="00765839">
              <w:rPr>
                <w:rFonts w:asciiTheme="minorHAnsi" w:eastAsiaTheme="minorEastAsia" w:hAnsiTheme="minorHAnsi" w:cstheme="minorBidi"/>
                <w:noProof/>
                <w:szCs w:val="22"/>
                <w:lang w:eastAsia="en-GB"/>
              </w:rPr>
              <w:tab/>
            </w:r>
            <w:r w:rsidR="00765839" w:rsidRPr="009E3EA7">
              <w:rPr>
                <w:rStyle w:val="Hyperlink"/>
                <w:noProof/>
              </w:rPr>
              <w:t>Cultural Value</w:t>
            </w:r>
            <w:r w:rsidR="00765839">
              <w:rPr>
                <w:noProof/>
                <w:webHidden/>
              </w:rPr>
              <w:tab/>
            </w:r>
            <w:r w:rsidR="00765839">
              <w:rPr>
                <w:noProof/>
                <w:webHidden/>
              </w:rPr>
              <w:fldChar w:fldCharType="begin"/>
            </w:r>
            <w:r w:rsidR="00765839">
              <w:rPr>
                <w:noProof/>
                <w:webHidden/>
              </w:rPr>
              <w:instrText xml:space="preserve"> PAGEREF _Toc464222924 \h </w:instrText>
            </w:r>
            <w:r w:rsidR="00765839">
              <w:rPr>
                <w:noProof/>
                <w:webHidden/>
              </w:rPr>
            </w:r>
            <w:r w:rsidR="00765839">
              <w:rPr>
                <w:noProof/>
                <w:webHidden/>
              </w:rPr>
              <w:fldChar w:fldCharType="separate"/>
            </w:r>
            <w:r w:rsidR="00765839">
              <w:rPr>
                <w:noProof/>
                <w:webHidden/>
              </w:rPr>
              <w:t>47</w:t>
            </w:r>
            <w:r w:rsidR="00765839">
              <w:rPr>
                <w:noProof/>
                <w:webHidden/>
              </w:rPr>
              <w:fldChar w:fldCharType="end"/>
            </w:r>
          </w:hyperlink>
        </w:p>
        <w:p w14:paraId="1B87623C"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25" w:history="1">
            <w:r w:rsidR="00765839" w:rsidRPr="009E3EA7">
              <w:rPr>
                <w:rStyle w:val="Hyperlink"/>
                <w:noProof/>
              </w:rPr>
              <w:t>6.3</w:t>
            </w:r>
            <w:r w:rsidR="00765839">
              <w:rPr>
                <w:rFonts w:asciiTheme="minorHAnsi" w:eastAsiaTheme="minorEastAsia" w:hAnsiTheme="minorHAnsi" w:cstheme="minorBidi"/>
                <w:noProof/>
                <w:szCs w:val="22"/>
                <w:lang w:eastAsia="en-GB"/>
              </w:rPr>
              <w:tab/>
            </w:r>
            <w:r w:rsidR="00765839" w:rsidRPr="009E3EA7">
              <w:rPr>
                <w:rStyle w:val="Hyperlink"/>
                <w:noProof/>
              </w:rPr>
              <w:t>Scale</w:t>
            </w:r>
            <w:r w:rsidR="00765839">
              <w:rPr>
                <w:noProof/>
                <w:webHidden/>
              </w:rPr>
              <w:tab/>
            </w:r>
            <w:r w:rsidR="00765839">
              <w:rPr>
                <w:noProof/>
                <w:webHidden/>
              </w:rPr>
              <w:fldChar w:fldCharType="begin"/>
            </w:r>
            <w:r w:rsidR="00765839">
              <w:rPr>
                <w:noProof/>
                <w:webHidden/>
              </w:rPr>
              <w:instrText xml:space="preserve"> PAGEREF _Toc464222925 \h </w:instrText>
            </w:r>
            <w:r w:rsidR="00765839">
              <w:rPr>
                <w:noProof/>
                <w:webHidden/>
              </w:rPr>
            </w:r>
            <w:r w:rsidR="00765839">
              <w:rPr>
                <w:noProof/>
                <w:webHidden/>
              </w:rPr>
              <w:fldChar w:fldCharType="separate"/>
            </w:r>
            <w:r w:rsidR="00765839">
              <w:rPr>
                <w:noProof/>
                <w:webHidden/>
              </w:rPr>
              <w:t>48</w:t>
            </w:r>
            <w:r w:rsidR="00765839">
              <w:rPr>
                <w:noProof/>
                <w:webHidden/>
              </w:rPr>
              <w:fldChar w:fldCharType="end"/>
            </w:r>
          </w:hyperlink>
        </w:p>
        <w:p w14:paraId="33D050E5"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26" w:history="1">
            <w:r w:rsidR="00765839" w:rsidRPr="009E3EA7">
              <w:rPr>
                <w:rStyle w:val="Hyperlink"/>
                <w:noProof/>
              </w:rPr>
              <w:t>6.3.1</w:t>
            </w:r>
            <w:r w:rsidR="00765839">
              <w:rPr>
                <w:rFonts w:asciiTheme="minorHAnsi" w:eastAsiaTheme="minorEastAsia" w:hAnsiTheme="minorHAnsi" w:cstheme="minorBidi"/>
                <w:noProof/>
                <w:szCs w:val="22"/>
                <w:lang w:eastAsia="en-GB"/>
              </w:rPr>
              <w:tab/>
            </w:r>
            <w:r w:rsidR="00765839" w:rsidRPr="009E3EA7">
              <w:rPr>
                <w:rStyle w:val="Hyperlink"/>
                <w:noProof/>
              </w:rPr>
              <w:t>Local area</w:t>
            </w:r>
            <w:r w:rsidR="00765839">
              <w:rPr>
                <w:noProof/>
                <w:webHidden/>
              </w:rPr>
              <w:tab/>
            </w:r>
            <w:r w:rsidR="00765839">
              <w:rPr>
                <w:noProof/>
                <w:webHidden/>
              </w:rPr>
              <w:fldChar w:fldCharType="begin"/>
            </w:r>
            <w:r w:rsidR="00765839">
              <w:rPr>
                <w:noProof/>
                <w:webHidden/>
              </w:rPr>
              <w:instrText xml:space="preserve"> PAGEREF _Toc464222926 \h </w:instrText>
            </w:r>
            <w:r w:rsidR="00765839">
              <w:rPr>
                <w:noProof/>
                <w:webHidden/>
              </w:rPr>
            </w:r>
            <w:r w:rsidR="00765839">
              <w:rPr>
                <w:noProof/>
                <w:webHidden/>
              </w:rPr>
              <w:fldChar w:fldCharType="separate"/>
            </w:r>
            <w:r w:rsidR="00765839">
              <w:rPr>
                <w:noProof/>
                <w:webHidden/>
              </w:rPr>
              <w:t>48</w:t>
            </w:r>
            <w:r w:rsidR="00765839">
              <w:rPr>
                <w:noProof/>
                <w:webHidden/>
              </w:rPr>
              <w:fldChar w:fldCharType="end"/>
            </w:r>
          </w:hyperlink>
        </w:p>
        <w:p w14:paraId="59BC2467"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27" w:history="1">
            <w:r w:rsidR="00765839" w:rsidRPr="009E3EA7">
              <w:rPr>
                <w:rStyle w:val="Hyperlink"/>
                <w:noProof/>
              </w:rPr>
              <w:t>6.3.2</w:t>
            </w:r>
            <w:r w:rsidR="00765839">
              <w:rPr>
                <w:rFonts w:asciiTheme="minorHAnsi" w:eastAsiaTheme="minorEastAsia" w:hAnsiTheme="minorHAnsi" w:cstheme="minorBidi"/>
                <w:noProof/>
                <w:szCs w:val="22"/>
                <w:lang w:eastAsia="en-GB"/>
              </w:rPr>
              <w:tab/>
            </w:r>
            <w:r w:rsidR="00765839" w:rsidRPr="009E3EA7">
              <w:rPr>
                <w:rStyle w:val="Hyperlink"/>
                <w:noProof/>
              </w:rPr>
              <w:t>Local authority</w:t>
            </w:r>
            <w:r w:rsidR="00765839">
              <w:rPr>
                <w:noProof/>
                <w:webHidden/>
              </w:rPr>
              <w:tab/>
            </w:r>
            <w:r w:rsidR="00765839">
              <w:rPr>
                <w:noProof/>
                <w:webHidden/>
              </w:rPr>
              <w:fldChar w:fldCharType="begin"/>
            </w:r>
            <w:r w:rsidR="00765839">
              <w:rPr>
                <w:noProof/>
                <w:webHidden/>
              </w:rPr>
              <w:instrText xml:space="preserve"> PAGEREF _Toc464222927 \h </w:instrText>
            </w:r>
            <w:r w:rsidR="00765839">
              <w:rPr>
                <w:noProof/>
                <w:webHidden/>
              </w:rPr>
            </w:r>
            <w:r w:rsidR="00765839">
              <w:rPr>
                <w:noProof/>
                <w:webHidden/>
              </w:rPr>
              <w:fldChar w:fldCharType="separate"/>
            </w:r>
            <w:r w:rsidR="00765839">
              <w:rPr>
                <w:noProof/>
                <w:webHidden/>
              </w:rPr>
              <w:t>49</w:t>
            </w:r>
            <w:r w:rsidR="00765839">
              <w:rPr>
                <w:noProof/>
                <w:webHidden/>
              </w:rPr>
              <w:fldChar w:fldCharType="end"/>
            </w:r>
          </w:hyperlink>
        </w:p>
        <w:p w14:paraId="21CD5AA3"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28" w:history="1">
            <w:r w:rsidR="00765839" w:rsidRPr="009E3EA7">
              <w:rPr>
                <w:rStyle w:val="Hyperlink"/>
                <w:noProof/>
              </w:rPr>
              <w:t>6.3.3</w:t>
            </w:r>
            <w:r w:rsidR="00765839">
              <w:rPr>
                <w:rFonts w:asciiTheme="minorHAnsi" w:eastAsiaTheme="minorEastAsia" w:hAnsiTheme="minorHAnsi" w:cstheme="minorBidi"/>
                <w:noProof/>
                <w:szCs w:val="22"/>
                <w:lang w:eastAsia="en-GB"/>
              </w:rPr>
              <w:tab/>
            </w:r>
            <w:r w:rsidR="00765839" w:rsidRPr="009E3EA7">
              <w:rPr>
                <w:rStyle w:val="Hyperlink"/>
                <w:noProof/>
              </w:rPr>
              <w:t>Sub-regions</w:t>
            </w:r>
            <w:r w:rsidR="00765839">
              <w:rPr>
                <w:noProof/>
                <w:webHidden/>
              </w:rPr>
              <w:tab/>
            </w:r>
            <w:r w:rsidR="00765839">
              <w:rPr>
                <w:noProof/>
                <w:webHidden/>
              </w:rPr>
              <w:fldChar w:fldCharType="begin"/>
            </w:r>
            <w:r w:rsidR="00765839">
              <w:rPr>
                <w:noProof/>
                <w:webHidden/>
              </w:rPr>
              <w:instrText xml:space="preserve"> PAGEREF _Toc464222928 \h </w:instrText>
            </w:r>
            <w:r w:rsidR="00765839">
              <w:rPr>
                <w:noProof/>
                <w:webHidden/>
              </w:rPr>
            </w:r>
            <w:r w:rsidR="00765839">
              <w:rPr>
                <w:noProof/>
                <w:webHidden/>
              </w:rPr>
              <w:fldChar w:fldCharType="separate"/>
            </w:r>
            <w:r w:rsidR="00765839">
              <w:rPr>
                <w:noProof/>
                <w:webHidden/>
              </w:rPr>
              <w:t>49</w:t>
            </w:r>
            <w:r w:rsidR="00765839">
              <w:rPr>
                <w:noProof/>
                <w:webHidden/>
              </w:rPr>
              <w:fldChar w:fldCharType="end"/>
            </w:r>
          </w:hyperlink>
        </w:p>
        <w:p w14:paraId="5E1AE32C"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29" w:history="1">
            <w:r w:rsidR="00765839" w:rsidRPr="009E3EA7">
              <w:rPr>
                <w:rStyle w:val="Hyperlink"/>
                <w:noProof/>
              </w:rPr>
              <w:t>6.3.4</w:t>
            </w:r>
            <w:r w:rsidR="00765839">
              <w:rPr>
                <w:rFonts w:asciiTheme="minorHAnsi" w:eastAsiaTheme="minorEastAsia" w:hAnsiTheme="minorHAnsi" w:cstheme="minorBidi"/>
                <w:noProof/>
                <w:szCs w:val="22"/>
                <w:lang w:eastAsia="en-GB"/>
              </w:rPr>
              <w:tab/>
            </w:r>
            <w:r w:rsidR="00765839" w:rsidRPr="009E3EA7">
              <w:rPr>
                <w:rStyle w:val="Hyperlink"/>
                <w:noProof/>
              </w:rPr>
              <w:t>Region</w:t>
            </w:r>
            <w:r w:rsidR="00765839">
              <w:rPr>
                <w:noProof/>
                <w:webHidden/>
              </w:rPr>
              <w:tab/>
            </w:r>
            <w:r w:rsidR="00765839">
              <w:rPr>
                <w:noProof/>
                <w:webHidden/>
              </w:rPr>
              <w:fldChar w:fldCharType="begin"/>
            </w:r>
            <w:r w:rsidR="00765839">
              <w:rPr>
                <w:noProof/>
                <w:webHidden/>
              </w:rPr>
              <w:instrText xml:space="preserve"> PAGEREF _Toc464222929 \h </w:instrText>
            </w:r>
            <w:r w:rsidR="00765839">
              <w:rPr>
                <w:noProof/>
                <w:webHidden/>
              </w:rPr>
            </w:r>
            <w:r w:rsidR="00765839">
              <w:rPr>
                <w:noProof/>
                <w:webHidden/>
              </w:rPr>
              <w:fldChar w:fldCharType="separate"/>
            </w:r>
            <w:r w:rsidR="00765839">
              <w:rPr>
                <w:noProof/>
                <w:webHidden/>
              </w:rPr>
              <w:t>50</w:t>
            </w:r>
            <w:r w:rsidR="00765839">
              <w:rPr>
                <w:noProof/>
                <w:webHidden/>
              </w:rPr>
              <w:fldChar w:fldCharType="end"/>
            </w:r>
          </w:hyperlink>
        </w:p>
        <w:p w14:paraId="488A0585"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30" w:history="1">
            <w:r w:rsidR="00765839" w:rsidRPr="009E3EA7">
              <w:rPr>
                <w:rStyle w:val="Hyperlink"/>
                <w:noProof/>
              </w:rPr>
              <w:t>6.4</w:t>
            </w:r>
            <w:r w:rsidR="00765839">
              <w:rPr>
                <w:rFonts w:asciiTheme="minorHAnsi" w:eastAsiaTheme="minorEastAsia" w:hAnsiTheme="minorHAnsi" w:cstheme="minorBidi"/>
                <w:noProof/>
                <w:szCs w:val="22"/>
                <w:lang w:eastAsia="en-GB"/>
              </w:rPr>
              <w:tab/>
            </w:r>
            <w:r w:rsidR="00765839" w:rsidRPr="009E3EA7">
              <w:rPr>
                <w:rStyle w:val="Hyperlink"/>
                <w:noProof/>
              </w:rPr>
              <w:t>Location advantages</w:t>
            </w:r>
            <w:r w:rsidR="00765839">
              <w:rPr>
                <w:noProof/>
                <w:webHidden/>
              </w:rPr>
              <w:tab/>
            </w:r>
            <w:r w:rsidR="00765839">
              <w:rPr>
                <w:noProof/>
                <w:webHidden/>
              </w:rPr>
              <w:fldChar w:fldCharType="begin"/>
            </w:r>
            <w:r w:rsidR="00765839">
              <w:rPr>
                <w:noProof/>
                <w:webHidden/>
              </w:rPr>
              <w:instrText xml:space="preserve"> PAGEREF _Toc464222930 \h </w:instrText>
            </w:r>
            <w:r w:rsidR="00765839">
              <w:rPr>
                <w:noProof/>
                <w:webHidden/>
              </w:rPr>
            </w:r>
            <w:r w:rsidR="00765839">
              <w:rPr>
                <w:noProof/>
                <w:webHidden/>
              </w:rPr>
              <w:fldChar w:fldCharType="separate"/>
            </w:r>
            <w:r w:rsidR="00765839">
              <w:rPr>
                <w:noProof/>
                <w:webHidden/>
              </w:rPr>
              <w:t>50</w:t>
            </w:r>
            <w:r w:rsidR="00765839">
              <w:rPr>
                <w:noProof/>
                <w:webHidden/>
              </w:rPr>
              <w:fldChar w:fldCharType="end"/>
            </w:r>
          </w:hyperlink>
        </w:p>
        <w:p w14:paraId="7202A6CA"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31" w:history="1">
            <w:r w:rsidR="00765839" w:rsidRPr="009E3EA7">
              <w:rPr>
                <w:rStyle w:val="Hyperlink"/>
                <w:noProof/>
              </w:rPr>
              <w:t>6.4.1</w:t>
            </w:r>
            <w:r w:rsidR="00765839">
              <w:rPr>
                <w:rFonts w:asciiTheme="minorHAnsi" w:eastAsiaTheme="minorEastAsia" w:hAnsiTheme="minorHAnsi" w:cstheme="minorBidi"/>
                <w:noProof/>
                <w:szCs w:val="22"/>
                <w:lang w:eastAsia="en-GB"/>
              </w:rPr>
              <w:tab/>
            </w:r>
            <w:r w:rsidR="00765839" w:rsidRPr="009E3EA7">
              <w:rPr>
                <w:rStyle w:val="Hyperlink"/>
                <w:noProof/>
              </w:rPr>
              <w:t>Creative Cities and Spaces</w:t>
            </w:r>
            <w:r w:rsidR="00765839">
              <w:rPr>
                <w:noProof/>
                <w:webHidden/>
              </w:rPr>
              <w:tab/>
            </w:r>
            <w:r w:rsidR="00765839">
              <w:rPr>
                <w:noProof/>
                <w:webHidden/>
              </w:rPr>
              <w:fldChar w:fldCharType="begin"/>
            </w:r>
            <w:r w:rsidR="00765839">
              <w:rPr>
                <w:noProof/>
                <w:webHidden/>
              </w:rPr>
              <w:instrText xml:space="preserve"> PAGEREF _Toc464222931 \h </w:instrText>
            </w:r>
            <w:r w:rsidR="00765839">
              <w:rPr>
                <w:noProof/>
                <w:webHidden/>
              </w:rPr>
            </w:r>
            <w:r w:rsidR="00765839">
              <w:rPr>
                <w:noProof/>
                <w:webHidden/>
              </w:rPr>
              <w:fldChar w:fldCharType="separate"/>
            </w:r>
            <w:r w:rsidR="00765839">
              <w:rPr>
                <w:noProof/>
                <w:webHidden/>
              </w:rPr>
              <w:t>52</w:t>
            </w:r>
            <w:r w:rsidR="00765839">
              <w:rPr>
                <w:noProof/>
                <w:webHidden/>
              </w:rPr>
              <w:fldChar w:fldCharType="end"/>
            </w:r>
          </w:hyperlink>
        </w:p>
        <w:p w14:paraId="6AC58DAA"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32" w:history="1">
            <w:r w:rsidR="00765839" w:rsidRPr="009E3EA7">
              <w:rPr>
                <w:rStyle w:val="Hyperlink"/>
                <w:noProof/>
              </w:rPr>
              <w:t>6.5</w:t>
            </w:r>
            <w:r w:rsidR="00765839">
              <w:rPr>
                <w:rFonts w:asciiTheme="minorHAnsi" w:eastAsiaTheme="minorEastAsia" w:hAnsiTheme="minorHAnsi" w:cstheme="minorBidi"/>
                <w:noProof/>
                <w:szCs w:val="22"/>
                <w:lang w:eastAsia="en-GB"/>
              </w:rPr>
              <w:tab/>
            </w:r>
            <w:r w:rsidR="00765839" w:rsidRPr="009E3EA7">
              <w:rPr>
                <w:rStyle w:val="Hyperlink"/>
                <w:noProof/>
              </w:rPr>
              <w:t>Clusters</w:t>
            </w:r>
            <w:r w:rsidR="00765839">
              <w:rPr>
                <w:noProof/>
                <w:webHidden/>
              </w:rPr>
              <w:tab/>
            </w:r>
            <w:r w:rsidR="00765839">
              <w:rPr>
                <w:noProof/>
                <w:webHidden/>
              </w:rPr>
              <w:fldChar w:fldCharType="begin"/>
            </w:r>
            <w:r w:rsidR="00765839">
              <w:rPr>
                <w:noProof/>
                <w:webHidden/>
              </w:rPr>
              <w:instrText xml:space="preserve"> PAGEREF _Toc464222932 \h </w:instrText>
            </w:r>
            <w:r w:rsidR="00765839">
              <w:rPr>
                <w:noProof/>
                <w:webHidden/>
              </w:rPr>
            </w:r>
            <w:r w:rsidR="00765839">
              <w:rPr>
                <w:noProof/>
                <w:webHidden/>
              </w:rPr>
              <w:fldChar w:fldCharType="separate"/>
            </w:r>
            <w:r w:rsidR="00765839">
              <w:rPr>
                <w:noProof/>
                <w:webHidden/>
              </w:rPr>
              <w:t>53</w:t>
            </w:r>
            <w:r w:rsidR="00765839">
              <w:rPr>
                <w:noProof/>
                <w:webHidden/>
              </w:rPr>
              <w:fldChar w:fldCharType="end"/>
            </w:r>
          </w:hyperlink>
        </w:p>
        <w:p w14:paraId="37D89D62"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33" w:history="1">
            <w:r w:rsidR="00765839" w:rsidRPr="009E3EA7">
              <w:rPr>
                <w:rStyle w:val="Hyperlink"/>
                <w:noProof/>
              </w:rPr>
              <w:t>6.5.1</w:t>
            </w:r>
            <w:r w:rsidR="00765839">
              <w:rPr>
                <w:rFonts w:asciiTheme="minorHAnsi" w:eastAsiaTheme="minorEastAsia" w:hAnsiTheme="minorHAnsi" w:cstheme="minorBidi"/>
                <w:noProof/>
                <w:szCs w:val="22"/>
                <w:lang w:eastAsia="en-GB"/>
              </w:rPr>
              <w:tab/>
            </w:r>
            <w:r w:rsidR="00765839" w:rsidRPr="009E3EA7">
              <w:rPr>
                <w:rStyle w:val="Hyperlink"/>
                <w:noProof/>
              </w:rPr>
              <w:t>District Clusters</w:t>
            </w:r>
            <w:r w:rsidR="00765839">
              <w:rPr>
                <w:noProof/>
                <w:webHidden/>
              </w:rPr>
              <w:tab/>
            </w:r>
            <w:r w:rsidR="00765839">
              <w:rPr>
                <w:noProof/>
                <w:webHidden/>
              </w:rPr>
              <w:fldChar w:fldCharType="begin"/>
            </w:r>
            <w:r w:rsidR="00765839">
              <w:rPr>
                <w:noProof/>
                <w:webHidden/>
              </w:rPr>
              <w:instrText xml:space="preserve"> PAGEREF _Toc464222933 \h </w:instrText>
            </w:r>
            <w:r w:rsidR="00765839">
              <w:rPr>
                <w:noProof/>
                <w:webHidden/>
              </w:rPr>
            </w:r>
            <w:r w:rsidR="00765839">
              <w:rPr>
                <w:noProof/>
                <w:webHidden/>
              </w:rPr>
              <w:fldChar w:fldCharType="separate"/>
            </w:r>
            <w:r w:rsidR="00765839">
              <w:rPr>
                <w:noProof/>
                <w:webHidden/>
              </w:rPr>
              <w:t>55</w:t>
            </w:r>
            <w:r w:rsidR="00765839">
              <w:rPr>
                <w:noProof/>
                <w:webHidden/>
              </w:rPr>
              <w:fldChar w:fldCharType="end"/>
            </w:r>
          </w:hyperlink>
        </w:p>
        <w:p w14:paraId="0C1A7E5D"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34" w:history="1">
            <w:r w:rsidR="00765839" w:rsidRPr="009E3EA7">
              <w:rPr>
                <w:rStyle w:val="Hyperlink"/>
                <w:noProof/>
              </w:rPr>
              <w:t>6.5.2</w:t>
            </w:r>
            <w:r w:rsidR="00765839">
              <w:rPr>
                <w:rFonts w:asciiTheme="minorHAnsi" w:eastAsiaTheme="minorEastAsia" w:hAnsiTheme="minorHAnsi" w:cstheme="minorBidi"/>
                <w:noProof/>
                <w:szCs w:val="22"/>
                <w:lang w:eastAsia="en-GB"/>
              </w:rPr>
              <w:tab/>
            </w:r>
            <w:r w:rsidR="00765839" w:rsidRPr="009E3EA7">
              <w:rPr>
                <w:rStyle w:val="Hyperlink"/>
                <w:noProof/>
              </w:rPr>
              <w:t>Cultural Districts (USA)</w:t>
            </w:r>
            <w:r w:rsidR="00765839">
              <w:rPr>
                <w:noProof/>
                <w:webHidden/>
              </w:rPr>
              <w:tab/>
            </w:r>
            <w:r w:rsidR="00765839">
              <w:rPr>
                <w:noProof/>
                <w:webHidden/>
              </w:rPr>
              <w:fldChar w:fldCharType="begin"/>
            </w:r>
            <w:r w:rsidR="00765839">
              <w:rPr>
                <w:noProof/>
                <w:webHidden/>
              </w:rPr>
              <w:instrText xml:space="preserve"> PAGEREF _Toc464222934 \h </w:instrText>
            </w:r>
            <w:r w:rsidR="00765839">
              <w:rPr>
                <w:noProof/>
                <w:webHidden/>
              </w:rPr>
            </w:r>
            <w:r w:rsidR="00765839">
              <w:rPr>
                <w:noProof/>
                <w:webHidden/>
              </w:rPr>
              <w:fldChar w:fldCharType="separate"/>
            </w:r>
            <w:r w:rsidR="00765839">
              <w:rPr>
                <w:noProof/>
                <w:webHidden/>
              </w:rPr>
              <w:t>56</w:t>
            </w:r>
            <w:r w:rsidR="00765839">
              <w:rPr>
                <w:noProof/>
                <w:webHidden/>
              </w:rPr>
              <w:fldChar w:fldCharType="end"/>
            </w:r>
          </w:hyperlink>
        </w:p>
        <w:p w14:paraId="6F6E6D61"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35" w:history="1">
            <w:r w:rsidR="00765839" w:rsidRPr="009E3EA7">
              <w:rPr>
                <w:rStyle w:val="Hyperlink"/>
                <w:noProof/>
              </w:rPr>
              <w:t>6.5.3</w:t>
            </w:r>
            <w:r w:rsidR="00765839">
              <w:rPr>
                <w:rFonts w:asciiTheme="minorHAnsi" w:eastAsiaTheme="minorEastAsia" w:hAnsiTheme="minorHAnsi" w:cstheme="minorBidi"/>
                <w:noProof/>
                <w:szCs w:val="22"/>
                <w:lang w:eastAsia="en-GB"/>
              </w:rPr>
              <w:tab/>
            </w:r>
            <w:r w:rsidR="00765839" w:rsidRPr="009E3EA7">
              <w:rPr>
                <w:rStyle w:val="Hyperlink"/>
                <w:noProof/>
              </w:rPr>
              <w:t>Consumption (Endogenous) vs. Export-based Impacts</w:t>
            </w:r>
            <w:r w:rsidR="00765839">
              <w:rPr>
                <w:noProof/>
                <w:webHidden/>
              </w:rPr>
              <w:tab/>
            </w:r>
            <w:r w:rsidR="00765839">
              <w:rPr>
                <w:noProof/>
                <w:webHidden/>
              </w:rPr>
              <w:fldChar w:fldCharType="begin"/>
            </w:r>
            <w:r w:rsidR="00765839">
              <w:rPr>
                <w:noProof/>
                <w:webHidden/>
              </w:rPr>
              <w:instrText xml:space="preserve"> PAGEREF _Toc464222935 \h </w:instrText>
            </w:r>
            <w:r w:rsidR="00765839">
              <w:rPr>
                <w:noProof/>
                <w:webHidden/>
              </w:rPr>
            </w:r>
            <w:r w:rsidR="00765839">
              <w:rPr>
                <w:noProof/>
                <w:webHidden/>
              </w:rPr>
              <w:fldChar w:fldCharType="separate"/>
            </w:r>
            <w:r w:rsidR="00765839">
              <w:rPr>
                <w:noProof/>
                <w:webHidden/>
              </w:rPr>
              <w:t>58</w:t>
            </w:r>
            <w:r w:rsidR="00765839">
              <w:rPr>
                <w:noProof/>
                <w:webHidden/>
              </w:rPr>
              <w:fldChar w:fldCharType="end"/>
            </w:r>
          </w:hyperlink>
        </w:p>
        <w:p w14:paraId="7A6719E5"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36" w:history="1">
            <w:r w:rsidR="00765839" w:rsidRPr="009E3EA7">
              <w:rPr>
                <w:rStyle w:val="Hyperlink"/>
                <w:noProof/>
              </w:rPr>
              <w:t>6.5.4</w:t>
            </w:r>
            <w:r w:rsidR="00765839">
              <w:rPr>
                <w:rFonts w:asciiTheme="minorHAnsi" w:eastAsiaTheme="minorEastAsia" w:hAnsiTheme="minorHAnsi" w:cstheme="minorBidi"/>
                <w:noProof/>
                <w:szCs w:val="22"/>
                <w:lang w:eastAsia="en-GB"/>
              </w:rPr>
              <w:tab/>
            </w:r>
            <w:r w:rsidR="00765839" w:rsidRPr="009E3EA7">
              <w:rPr>
                <w:rStyle w:val="Hyperlink"/>
                <w:noProof/>
              </w:rPr>
              <w:t>UK Cultural Clusters and Creative Economy</w:t>
            </w:r>
            <w:r w:rsidR="00765839">
              <w:rPr>
                <w:noProof/>
                <w:webHidden/>
              </w:rPr>
              <w:tab/>
            </w:r>
            <w:r w:rsidR="00765839">
              <w:rPr>
                <w:noProof/>
                <w:webHidden/>
              </w:rPr>
              <w:fldChar w:fldCharType="begin"/>
            </w:r>
            <w:r w:rsidR="00765839">
              <w:rPr>
                <w:noProof/>
                <w:webHidden/>
              </w:rPr>
              <w:instrText xml:space="preserve"> PAGEREF _Toc464222936 \h </w:instrText>
            </w:r>
            <w:r w:rsidR="00765839">
              <w:rPr>
                <w:noProof/>
                <w:webHidden/>
              </w:rPr>
            </w:r>
            <w:r w:rsidR="00765839">
              <w:rPr>
                <w:noProof/>
                <w:webHidden/>
              </w:rPr>
              <w:fldChar w:fldCharType="separate"/>
            </w:r>
            <w:r w:rsidR="00765839">
              <w:rPr>
                <w:noProof/>
                <w:webHidden/>
              </w:rPr>
              <w:t>60</w:t>
            </w:r>
            <w:r w:rsidR="00765839">
              <w:rPr>
                <w:noProof/>
                <w:webHidden/>
              </w:rPr>
              <w:fldChar w:fldCharType="end"/>
            </w:r>
          </w:hyperlink>
        </w:p>
        <w:p w14:paraId="6059698A"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37" w:history="1">
            <w:r w:rsidR="00765839" w:rsidRPr="009E3EA7">
              <w:rPr>
                <w:rStyle w:val="Hyperlink"/>
                <w:noProof/>
              </w:rPr>
              <w:t>6.5.5</w:t>
            </w:r>
            <w:r w:rsidR="00765839">
              <w:rPr>
                <w:rFonts w:asciiTheme="minorHAnsi" w:eastAsiaTheme="minorEastAsia" w:hAnsiTheme="minorHAnsi" w:cstheme="minorBidi"/>
                <w:noProof/>
                <w:szCs w:val="22"/>
                <w:lang w:eastAsia="en-GB"/>
              </w:rPr>
              <w:tab/>
            </w:r>
            <w:r w:rsidR="00765839" w:rsidRPr="009E3EA7">
              <w:rPr>
                <w:rStyle w:val="Hyperlink"/>
                <w:noProof/>
              </w:rPr>
              <w:t>Creative Placemaking London</w:t>
            </w:r>
            <w:r w:rsidR="00765839">
              <w:rPr>
                <w:noProof/>
                <w:webHidden/>
              </w:rPr>
              <w:tab/>
            </w:r>
            <w:r w:rsidR="00765839">
              <w:rPr>
                <w:noProof/>
                <w:webHidden/>
              </w:rPr>
              <w:fldChar w:fldCharType="begin"/>
            </w:r>
            <w:r w:rsidR="00765839">
              <w:rPr>
                <w:noProof/>
                <w:webHidden/>
              </w:rPr>
              <w:instrText xml:space="preserve"> PAGEREF _Toc464222937 \h </w:instrText>
            </w:r>
            <w:r w:rsidR="00765839">
              <w:rPr>
                <w:noProof/>
                <w:webHidden/>
              </w:rPr>
            </w:r>
            <w:r w:rsidR="00765839">
              <w:rPr>
                <w:noProof/>
                <w:webHidden/>
              </w:rPr>
              <w:fldChar w:fldCharType="separate"/>
            </w:r>
            <w:r w:rsidR="00765839">
              <w:rPr>
                <w:noProof/>
                <w:webHidden/>
              </w:rPr>
              <w:t>62</w:t>
            </w:r>
            <w:r w:rsidR="00765839">
              <w:rPr>
                <w:noProof/>
                <w:webHidden/>
              </w:rPr>
              <w:fldChar w:fldCharType="end"/>
            </w:r>
          </w:hyperlink>
        </w:p>
        <w:p w14:paraId="6132BD01"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38" w:history="1">
            <w:r w:rsidR="00765839" w:rsidRPr="009E3EA7">
              <w:rPr>
                <w:rStyle w:val="Hyperlink"/>
                <w:noProof/>
              </w:rPr>
              <w:t>6.5.6</w:t>
            </w:r>
            <w:r w:rsidR="00765839">
              <w:rPr>
                <w:rFonts w:asciiTheme="minorHAnsi" w:eastAsiaTheme="minorEastAsia" w:hAnsiTheme="minorHAnsi" w:cstheme="minorBidi"/>
                <w:noProof/>
                <w:szCs w:val="22"/>
                <w:lang w:eastAsia="en-GB"/>
              </w:rPr>
              <w:tab/>
            </w:r>
            <w:r w:rsidR="00765839" w:rsidRPr="009E3EA7">
              <w:rPr>
                <w:rStyle w:val="Hyperlink"/>
                <w:noProof/>
              </w:rPr>
              <w:t>International literature on creative clustering and determinants of location decisions</w:t>
            </w:r>
            <w:r w:rsidR="00765839">
              <w:rPr>
                <w:noProof/>
                <w:webHidden/>
              </w:rPr>
              <w:tab/>
            </w:r>
            <w:r w:rsidR="00765839">
              <w:rPr>
                <w:noProof/>
                <w:webHidden/>
              </w:rPr>
              <w:fldChar w:fldCharType="begin"/>
            </w:r>
            <w:r w:rsidR="00765839">
              <w:rPr>
                <w:noProof/>
                <w:webHidden/>
              </w:rPr>
              <w:instrText xml:space="preserve"> PAGEREF _Toc464222938 \h </w:instrText>
            </w:r>
            <w:r w:rsidR="00765839">
              <w:rPr>
                <w:noProof/>
                <w:webHidden/>
              </w:rPr>
            </w:r>
            <w:r w:rsidR="00765839">
              <w:rPr>
                <w:noProof/>
                <w:webHidden/>
              </w:rPr>
              <w:fldChar w:fldCharType="separate"/>
            </w:r>
            <w:r w:rsidR="00765839">
              <w:rPr>
                <w:noProof/>
                <w:webHidden/>
              </w:rPr>
              <w:t>63</w:t>
            </w:r>
            <w:r w:rsidR="00765839">
              <w:rPr>
                <w:noProof/>
                <w:webHidden/>
              </w:rPr>
              <w:fldChar w:fldCharType="end"/>
            </w:r>
          </w:hyperlink>
        </w:p>
        <w:p w14:paraId="7289C273"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39" w:history="1">
            <w:r w:rsidR="00765839" w:rsidRPr="009E3EA7">
              <w:rPr>
                <w:rStyle w:val="Hyperlink"/>
                <w:noProof/>
              </w:rPr>
              <w:t>6.6</w:t>
            </w:r>
            <w:r w:rsidR="00765839">
              <w:rPr>
                <w:rFonts w:asciiTheme="minorHAnsi" w:eastAsiaTheme="minorEastAsia" w:hAnsiTheme="minorHAnsi" w:cstheme="minorBidi"/>
                <w:noProof/>
                <w:szCs w:val="22"/>
                <w:lang w:eastAsia="en-GB"/>
              </w:rPr>
              <w:tab/>
            </w:r>
            <w:r w:rsidR="00765839" w:rsidRPr="009E3EA7">
              <w:rPr>
                <w:rStyle w:val="Hyperlink"/>
                <w:noProof/>
              </w:rPr>
              <w:t>Valuing Environmental Assets</w:t>
            </w:r>
            <w:r w:rsidR="00765839">
              <w:rPr>
                <w:noProof/>
                <w:webHidden/>
              </w:rPr>
              <w:tab/>
            </w:r>
            <w:r w:rsidR="00765839">
              <w:rPr>
                <w:noProof/>
                <w:webHidden/>
              </w:rPr>
              <w:fldChar w:fldCharType="begin"/>
            </w:r>
            <w:r w:rsidR="00765839">
              <w:rPr>
                <w:noProof/>
                <w:webHidden/>
              </w:rPr>
              <w:instrText xml:space="preserve"> PAGEREF _Toc464222939 \h </w:instrText>
            </w:r>
            <w:r w:rsidR="00765839">
              <w:rPr>
                <w:noProof/>
                <w:webHidden/>
              </w:rPr>
            </w:r>
            <w:r w:rsidR="00765839">
              <w:rPr>
                <w:noProof/>
                <w:webHidden/>
              </w:rPr>
              <w:fldChar w:fldCharType="separate"/>
            </w:r>
            <w:r w:rsidR="00765839">
              <w:rPr>
                <w:noProof/>
                <w:webHidden/>
              </w:rPr>
              <w:t>65</w:t>
            </w:r>
            <w:r w:rsidR="00765839">
              <w:rPr>
                <w:noProof/>
                <w:webHidden/>
              </w:rPr>
              <w:fldChar w:fldCharType="end"/>
            </w:r>
          </w:hyperlink>
        </w:p>
        <w:p w14:paraId="29F5B5FB"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40" w:history="1">
            <w:r w:rsidR="00765839" w:rsidRPr="009E3EA7">
              <w:rPr>
                <w:rStyle w:val="Hyperlink"/>
                <w:noProof/>
              </w:rPr>
              <w:t>6.6.1</w:t>
            </w:r>
            <w:r w:rsidR="00765839">
              <w:rPr>
                <w:rFonts w:asciiTheme="minorHAnsi" w:eastAsiaTheme="minorEastAsia" w:hAnsiTheme="minorHAnsi" w:cstheme="minorBidi"/>
                <w:noProof/>
                <w:szCs w:val="22"/>
                <w:lang w:eastAsia="en-GB"/>
              </w:rPr>
              <w:tab/>
            </w:r>
            <w:r w:rsidR="00765839" w:rsidRPr="009E3EA7">
              <w:rPr>
                <w:rStyle w:val="Hyperlink"/>
                <w:noProof/>
              </w:rPr>
              <w:t>Cultural Ecosystems Services</w:t>
            </w:r>
            <w:r w:rsidR="00765839">
              <w:rPr>
                <w:noProof/>
                <w:webHidden/>
              </w:rPr>
              <w:tab/>
            </w:r>
            <w:r w:rsidR="00765839">
              <w:rPr>
                <w:noProof/>
                <w:webHidden/>
              </w:rPr>
              <w:fldChar w:fldCharType="begin"/>
            </w:r>
            <w:r w:rsidR="00765839">
              <w:rPr>
                <w:noProof/>
                <w:webHidden/>
              </w:rPr>
              <w:instrText xml:space="preserve"> PAGEREF _Toc464222940 \h </w:instrText>
            </w:r>
            <w:r w:rsidR="00765839">
              <w:rPr>
                <w:noProof/>
                <w:webHidden/>
              </w:rPr>
            </w:r>
            <w:r w:rsidR="00765839">
              <w:rPr>
                <w:noProof/>
                <w:webHidden/>
              </w:rPr>
              <w:fldChar w:fldCharType="separate"/>
            </w:r>
            <w:r w:rsidR="00765839">
              <w:rPr>
                <w:noProof/>
                <w:webHidden/>
              </w:rPr>
              <w:t>66</w:t>
            </w:r>
            <w:r w:rsidR="00765839">
              <w:rPr>
                <w:noProof/>
                <w:webHidden/>
              </w:rPr>
              <w:fldChar w:fldCharType="end"/>
            </w:r>
          </w:hyperlink>
        </w:p>
        <w:p w14:paraId="52532FEE"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41" w:history="1">
            <w:r w:rsidR="00765839" w:rsidRPr="009E3EA7">
              <w:rPr>
                <w:rStyle w:val="Hyperlink"/>
                <w:noProof/>
              </w:rPr>
              <w:t>6.6.2</w:t>
            </w:r>
            <w:r w:rsidR="00765839">
              <w:rPr>
                <w:rFonts w:asciiTheme="minorHAnsi" w:eastAsiaTheme="minorEastAsia" w:hAnsiTheme="minorHAnsi" w:cstheme="minorBidi"/>
                <w:noProof/>
                <w:szCs w:val="22"/>
                <w:lang w:eastAsia="en-GB"/>
              </w:rPr>
              <w:tab/>
            </w:r>
            <w:r w:rsidR="00765839" w:rsidRPr="009E3EA7">
              <w:rPr>
                <w:rStyle w:val="Hyperlink"/>
                <w:noProof/>
              </w:rPr>
              <w:t>Quality of Life and ‘Place’</w:t>
            </w:r>
            <w:r w:rsidR="00765839">
              <w:rPr>
                <w:noProof/>
                <w:webHidden/>
              </w:rPr>
              <w:tab/>
            </w:r>
            <w:r w:rsidR="00765839">
              <w:rPr>
                <w:noProof/>
                <w:webHidden/>
              </w:rPr>
              <w:fldChar w:fldCharType="begin"/>
            </w:r>
            <w:r w:rsidR="00765839">
              <w:rPr>
                <w:noProof/>
                <w:webHidden/>
              </w:rPr>
              <w:instrText xml:space="preserve"> PAGEREF _Toc464222941 \h </w:instrText>
            </w:r>
            <w:r w:rsidR="00765839">
              <w:rPr>
                <w:noProof/>
                <w:webHidden/>
              </w:rPr>
            </w:r>
            <w:r w:rsidR="00765839">
              <w:rPr>
                <w:noProof/>
                <w:webHidden/>
              </w:rPr>
              <w:fldChar w:fldCharType="separate"/>
            </w:r>
            <w:r w:rsidR="00765839">
              <w:rPr>
                <w:noProof/>
                <w:webHidden/>
              </w:rPr>
              <w:t>67</w:t>
            </w:r>
            <w:r w:rsidR="00765839">
              <w:rPr>
                <w:noProof/>
                <w:webHidden/>
              </w:rPr>
              <w:fldChar w:fldCharType="end"/>
            </w:r>
          </w:hyperlink>
        </w:p>
        <w:p w14:paraId="5C629DD1"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42" w:history="1">
            <w:r w:rsidR="00765839" w:rsidRPr="009E3EA7">
              <w:rPr>
                <w:rStyle w:val="Hyperlink"/>
                <w:noProof/>
              </w:rPr>
              <w:t>6.6.3</w:t>
            </w:r>
            <w:r w:rsidR="00765839">
              <w:rPr>
                <w:rFonts w:asciiTheme="minorHAnsi" w:eastAsiaTheme="minorEastAsia" w:hAnsiTheme="minorHAnsi" w:cstheme="minorBidi"/>
                <w:noProof/>
                <w:szCs w:val="22"/>
                <w:lang w:eastAsia="en-GB"/>
              </w:rPr>
              <w:tab/>
            </w:r>
            <w:r w:rsidR="00765839" w:rsidRPr="009E3EA7">
              <w:rPr>
                <w:rStyle w:val="Hyperlink"/>
                <w:noProof/>
              </w:rPr>
              <w:t>Night-time Economy</w:t>
            </w:r>
            <w:r w:rsidR="00765839">
              <w:rPr>
                <w:noProof/>
                <w:webHidden/>
              </w:rPr>
              <w:tab/>
            </w:r>
            <w:r w:rsidR="00765839">
              <w:rPr>
                <w:noProof/>
                <w:webHidden/>
              </w:rPr>
              <w:fldChar w:fldCharType="begin"/>
            </w:r>
            <w:r w:rsidR="00765839">
              <w:rPr>
                <w:noProof/>
                <w:webHidden/>
              </w:rPr>
              <w:instrText xml:space="preserve"> PAGEREF _Toc464222942 \h </w:instrText>
            </w:r>
            <w:r w:rsidR="00765839">
              <w:rPr>
                <w:noProof/>
                <w:webHidden/>
              </w:rPr>
            </w:r>
            <w:r w:rsidR="00765839">
              <w:rPr>
                <w:noProof/>
                <w:webHidden/>
              </w:rPr>
              <w:fldChar w:fldCharType="separate"/>
            </w:r>
            <w:r w:rsidR="00765839">
              <w:rPr>
                <w:noProof/>
                <w:webHidden/>
              </w:rPr>
              <w:t>71</w:t>
            </w:r>
            <w:r w:rsidR="00765839">
              <w:rPr>
                <w:noProof/>
                <w:webHidden/>
              </w:rPr>
              <w:fldChar w:fldCharType="end"/>
            </w:r>
          </w:hyperlink>
        </w:p>
        <w:p w14:paraId="4E4D4B65"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43" w:history="1">
            <w:r w:rsidR="00765839" w:rsidRPr="009E3EA7">
              <w:rPr>
                <w:rStyle w:val="Hyperlink"/>
                <w:noProof/>
              </w:rPr>
              <w:t>6.6.4</w:t>
            </w:r>
            <w:r w:rsidR="00765839">
              <w:rPr>
                <w:rFonts w:asciiTheme="minorHAnsi" w:eastAsiaTheme="minorEastAsia" w:hAnsiTheme="minorHAnsi" w:cstheme="minorBidi"/>
                <w:noProof/>
                <w:szCs w:val="22"/>
                <w:lang w:eastAsia="en-GB"/>
              </w:rPr>
              <w:tab/>
            </w:r>
            <w:r w:rsidR="00765839" w:rsidRPr="009E3EA7">
              <w:rPr>
                <w:rStyle w:val="Hyperlink"/>
                <w:noProof/>
              </w:rPr>
              <w:t>City Branding and Creative City indices</w:t>
            </w:r>
            <w:r w:rsidR="00765839">
              <w:rPr>
                <w:noProof/>
                <w:webHidden/>
              </w:rPr>
              <w:tab/>
            </w:r>
            <w:r w:rsidR="00765839">
              <w:rPr>
                <w:noProof/>
                <w:webHidden/>
              </w:rPr>
              <w:fldChar w:fldCharType="begin"/>
            </w:r>
            <w:r w:rsidR="00765839">
              <w:rPr>
                <w:noProof/>
                <w:webHidden/>
              </w:rPr>
              <w:instrText xml:space="preserve"> PAGEREF _Toc464222943 \h </w:instrText>
            </w:r>
            <w:r w:rsidR="00765839">
              <w:rPr>
                <w:noProof/>
                <w:webHidden/>
              </w:rPr>
            </w:r>
            <w:r w:rsidR="00765839">
              <w:rPr>
                <w:noProof/>
                <w:webHidden/>
              </w:rPr>
              <w:fldChar w:fldCharType="separate"/>
            </w:r>
            <w:r w:rsidR="00765839">
              <w:rPr>
                <w:noProof/>
                <w:webHidden/>
              </w:rPr>
              <w:t>72</w:t>
            </w:r>
            <w:r w:rsidR="00765839">
              <w:rPr>
                <w:noProof/>
                <w:webHidden/>
              </w:rPr>
              <w:fldChar w:fldCharType="end"/>
            </w:r>
          </w:hyperlink>
        </w:p>
        <w:p w14:paraId="06522DD3"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44" w:history="1">
            <w:r w:rsidR="00765839" w:rsidRPr="009E3EA7">
              <w:rPr>
                <w:rStyle w:val="Hyperlink"/>
                <w:noProof/>
              </w:rPr>
              <w:t>6.7</w:t>
            </w:r>
            <w:r w:rsidR="00765839">
              <w:rPr>
                <w:rFonts w:asciiTheme="minorHAnsi" w:eastAsiaTheme="minorEastAsia" w:hAnsiTheme="minorHAnsi" w:cstheme="minorBidi"/>
                <w:noProof/>
                <w:szCs w:val="22"/>
                <w:lang w:eastAsia="en-GB"/>
              </w:rPr>
              <w:tab/>
            </w:r>
            <w:r w:rsidR="00765839" w:rsidRPr="009E3EA7">
              <w:rPr>
                <w:rStyle w:val="Hyperlink"/>
                <w:noProof/>
              </w:rPr>
              <w:t>Towards a Conceptual Framework</w:t>
            </w:r>
            <w:r w:rsidR="00765839">
              <w:rPr>
                <w:noProof/>
                <w:webHidden/>
              </w:rPr>
              <w:tab/>
            </w:r>
            <w:r w:rsidR="00765839">
              <w:rPr>
                <w:noProof/>
                <w:webHidden/>
              </w:rPr>
              <w:fldChar w:fldCharType="begin"/>
            </w:r>
            <w:r w:rsidR="00765839">
              <w:rPr>
                <w:noProof/>
                <w:webHidden/>
              </w:rPr>
              <w:instrText xml:space="preserve"> PAGEREF _Toc464222944 \h </w:instrText>
            </w:r>
            <w:r w:rsidR="00765839">
              <w:rPr>
                <w:noProof/>
                <w:webHidden/>
              </w:rPr>
            </w:r>
            <w:r w:rsidR="00765839">
              <w:rPr>
                <w:noProof/>
                <w:webHidden/>
              </w:rPr>
              <w:fldChar w:fldCharType="separate"/>
            </w:r>
            <w:r w:rsidR="00765839">
              <w:rPr>
                <w:noProof/>
                <w:webHidden/>
              </w:rPr>
              <w:t>73</w:t>
            </w:r>
            <w:r w:rsidR="00765839">
              <w:rPr>
                <w:noProof/>
                <w:webHidden/>
              </w:rPr>
              <w:fldChar w:fldCharType="end"/>
            </w:r>
          </w:hyperlink>
        </w:p>
        <w:p w14:paraId="19B499BF" w14:textId="77777777" w:rsidR="00765839" w:rsidRDefault="00395234">
          <w:pPr>
            <w:pStyle w:val="TOC3"/>
            <w:tabs>
              <w:tab w:val="left" w:pos="2149"/>
              <w:tab w:val="right" w:leader="dot" w:pos="9344"/>
            </w:tabs>
            <w:rPr>
              <w:rFonts w:asciiTheme="minorHAnsi" w:eastAsiaTheme="minorEastAsia" w:hAnsiTheme="minorHAnsi" w:cstheme="minorBidi"/>
              <w:noProof/>
              <w:szCs w:val="22"/>
              <w:lang w:eastAsia="en-GB"/>
            </w:rPr>
          </w:pPr>
          <w:hyperlink w:anchor="_Toc464222945" w:history="1">
            <w:r w:rsidR="00765839" w:rsidRPr="009E3EA7">
              <w:rPr>
                <w:rStyle w:val="Hyperlink"/>
                <w:noProof/>
              </w:rPr>
              <w:t>6.7.1</w:t>
            </w:r>
            <w:r w:rsidR="00765839">
              <w:rPr>
                <w:rFonts w:asciiTheme="minorHAnsi" w:eastAsiaTheme="minorEastAsia" w:hAnsiTheme="minorHAnsi" w:cstheme="minorBidi"/>
                <w:noProof/>
                <w:szCs w:val="22"/>
                <w:lang w:eastAsia="en-GB"/>
              </w:rPr>
              <w:tab/>
            </w:r>
            <w:r w:rsidR="00765839" w:rsidRPr="009E3EA7">
              <w:rPr>
                <w:rStyle w:val="Hyperlink"/>
                <w:noProof/>
              </w:rPr>
              <w:t>References</w:t>
            </w:r>
            <w:r w:rsidR="00765839">
              <w:rPr>
                <w:noProof/>
                <w:webHidden/>
              </w:rPr>
              <w:tab/>
            </w:r>
            <w:r w:rsidR="00765839">
              <w:rPr>
                <w:noProof/>
                <w:webHidden/>
              </w:rPr>
              <w:fldChar w:fldCharType="begin"/>
            </w:r>
            <w:r w:rsidR="00765839">
              <w:rPr>
                <w:noProof/>
                <w:webHidden/>
              </w:rPr>
              <w:instrText xml:space="preserve"> PAGEREF _Toc464222945 \h </w:instrText>
            </w:r>
            <w:r w:rsidR="00765839">
              <w:rPr>
                <w:noProof/>
                <w:webHidden/>
              </w:rPr>
            </w:r>
            <w:r w:rsidR="00765839">
              <w:rPr>
                <w:noProof/>
                <w:webHidden/>
              </w:rPr>
              <w:fldChar w:fldCharType="separate"/>
            </w:r>
            <w:r w:rsidR="00765839">
              <w:rPr>
                <w:noProof/>
                <w:webHidden/>
              </w:rPr>
              <w:t>74</w:t>
            </w:r>
            <w:r w:rsidR="00765839">
              <w:rPr>
                <w:noProof/>
                <w:webHidden/>
              </w:rPr>
              <w:fldChar w:fldCharType="end"/>
            </w:r>
          </w:hyperlink>
        </w:p>
        <w:p w14:paraId="407B00AA" w14:textId="77777777" w:rsidR="00765839" w:rsidRDefault="00395234">
          <w:pPr>
            <w:pStyle w:val="TOC1"/>
            <w:tabs>
              <w:tab w:val="right" w:leader="dot" w:pos="9344"/>
            </w:tabs>
            <w:rPr>
              <w:rFonts w:asciiTheme="minorHAnsi" w:eastAsiaTheme="minorEastAsia" w:hAnsiTheme="minorHAnsi" w:cstheme="minorBidi"/>
              <w:b w:val="0"/>
              <w:noProof/>
              <w:szCs w:val="22"/>
              <w:lang w:eastAsia="en-GB"/>
            </w:rPr>
          </w:pPr>
          <w:hyperlink w:anchor="_Toc464222946" w:history="1">
            <w:r w:rsidR="00765839" w:rsidRPr="009E3EA7">
              <w:rPr>
                <w:rStyle w:val="Hyperlink"/>
                <w:rFonts w:eastAsia="Calibri"/>
                <w:noProof/>
              </w:rPr>
              <w:t>7: Appendix II – Quantitative Analysis options</w:t>
            </w:r>
            <w:r w:rsidR="00765839">
              <w:rPr>
                <w:noProof/>
                <w:webHidden/>
              </w:rPr>
              <w:tab/>
            </w:r>
            <w:r w:rsidR="00765839">
              <w:rPr>
                <w:noProof/>
                <w:webHidden/>
              </w:rPr>
              <w:fldChar w:fldCharType="begin"/>
            </w:r>
            <w:r w:rsidR="00765839">
              <w:rPr>
                <w:noProof/>
                <w:webHidden/>
              </w:rPr>
              <w:instrText xml:space="preserve"> PAGEREF _Toc464222946 \h </w:instrText>
            </w:r>
            <w:r w:rsidR="00765839">
              <w:rPr>
                <w:noProof/>
                <w:webHidden/>
              </w:rPr>
            </w:r>
            <w:r w:rsidR="00765839">
              <w:rPr>
                <w:noProof/>
                <w:webHidden/>
              </w:rPr>
              <w:fldChar w:fldCharType="separate"/>
            </w:r>
            <w:r w:rsidR="00765839">
              <w:rPr>
                <w:noProof/>
                <w:webHidden/>
              </w:rPr>
              <w:t>81</w:t>
            </w:r>
            <w:r w:rsidR="00765839">
              <w:rPr>
                <w:noProof/>
                <w:webHidden/>
              </w:rPr>
              <w:fldChar w:fldCharType="end"/>
            </w:r>
          </w:hyperlink>
        </w:p>
        <w:p w14:paraId="49D55026"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47" w:history="1">
            <w:r w:rsidR="00765839" w:rsidRPr="009E3EA7">
              <w:rPr>
                <w:rStyle w:val="Hyperlink"/>
                <w:noProof/>
              </w:rPr>
              <w:t>7.1</w:t>
            </w:r>
            <w:r w:rsidR="00765839">
              <w:rPr>
                <w:rFonts w:asciiTheme="minorHAnsi" w:eastAsiaTheme="minorEastAsia" w:hAnsiTheme="minorHAnsi" w:cstheme="minorBidi"/>
                <w:noProof/>
                <w:szCs w:val="22"/>
                <w:lang w:eastAsia="en-GB"/>
              </w:rPr>
              <w:tab/>
            </w:r>
            <w:r w:rsidR="00765839" w:rsidRPr="009E3EA7">
              <w:rPr>
                <w:rStyle w:val="Hyperlink"/>
                <w:noProof/>
              </w:rPr>
              <w:t>Option 1: exploring direct causal links between CS&amp;H infrastructure and competitiveness</w:t>
            </w:r>
            <w:r w:rsidR="00765839">
              <w:rPr>
                <w:noProof/>
                <w:webHidden/>
              </w:rPr>
              <w:tab/>
            </w:r>
            <w:r w:rsidR="00765839">
              <w:rPr>
                <w:noProof/>
                <w:webHidden/>
              </w:rPr>
              <w:fldChar w:fldCharType="begin"/>
            </w:r>
            <w:r w:rsidR="00765839">
              <w:rPr>
                <w:noProof/>
                <w:webHidden/>
              </w:rPr>
              <w:instrText xml:space="preserve"> PAGEREF _Toc464222947 \h </w:instrText>
            </w:r>
            <w:r w:rsidR="00765839">
              <w:rPr>
                <w:noProof/>
                <w:webHidden/>
              </w:rPr>
            </w:r>
            <w:r w:rsidR="00765839">
              <w:rPr>
                <w:noProof/>
                <w:webHidden/>
              </w:rPr>
              <w:fldChar w:fldCharType="separate"/>
            </w:r>
            <w:r w:rsidR="00765839">
              <w:rPr>
                <w:noProof/>
                <w:webHidden/>
              </w:rPr>
              <w:t>81</w:t>
            </w:r>
            <w:r w:rsidR="00765839">
              <w:rPr>
                <w:noProof/>
                <w:webHidden/>
              </w:rPr>
              <w:fldChar w:fldCharType="end"/>
            </w:r>
          </w:hyperlink>
        </w:p>
        <w:p w14:paraId="1770AC35"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48" w:history="1">
            <w:r w:rsidR="00765839" w:rsidRPr="009E3EA7">
              <w:rPr>
                <w:rStyle w:val="Hyperlink"/>
                <w:noProof/>
              </w:rPr>
              <w:t>7.2</w:t>
            </w:r>
            <w:r w:rsidR="00765839">
              <w:rPr>
                <w:rFonts w:asciiTheme="minorHAnsi" w:eastAsiaTheme="minorEastAsia" w:hAnsiTheme="minorHAnsi" w:cstheme="minorBidi"/>
                <w:noProof/>
                <w:szCs w:val="22"/>
                <w:lang w:eastAsia="en-GB"/>
              </w:rPr>
              <w:tab/>
            </w:r>
            <w:r w:rsidR="00765839" w:rsidRPr="009E3EA7">
              <w:rPr>
                <w:rStyle w:val="Hyperlink"/>
                <w:noProof/>
              </w:rPr>
              <w:t>Option 2: exploring indirect causal links between CS &amp; H infrastructure and competitiveness</w:t>
            </w:r>
            <w:r w:rsidR="00765839">
              <w:rPr>
                <w:noProof/>
                <w:webHidden/>
              </w:rPr>
              <w:tab/>
            </w:r>
            <w:r w:rsidR="00765839">
              <w:rPr>
                <w:noProof/>
                <w:webHidden/>
              </w:rPr>
              <w:fldChar w:fldCharType="begin"/>
            </w:r>
            <w:r w:rsidR="00765839">
              <w:rPr>
                <w:noProof/>
                <w:webHidden/>
              </w:rPr>
              <w:instrText xml:space="preserve"> PAGEREF _Toc464222948 \h </w:instrText>
            </w:r>
            <w:r w:rsidR="00765839">
              <w:rPr>
                <w:noProof/>
                <w:webHidden/>
              </w:rPr>
            </w:r>
            <w:r w:rsidR="00765839">
              <w:rPr>
                <w:noProof/>
                <w:webHidden/>
              </w:rPr>
              <w:fldChar w:fldCharType="separate"/>
            </w:r>
            <w:r w:rsidR="00765839">
              <w:rPr>
                <w:noProof/>
                <w:webHidden/>
              </w:rPr>
              <w:t>82</w:t>
            </w:r>
            <w:r w:rsidR="00765839">
              <w:rPr>
                <w:noProof/>
                <w:webHidden/>
              </w:rPr>
              <w:fldChar w:fldCharType="end"/>
            </w:r>
          </w:hyperlink>
        </w:p>
        <w:p w14:paraId="588B1E08"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49" w:history="1">
            <w:r w:rsidR="00765839" w:rsidRPr="009E3EA7">
              <w:rPr>
                <w:rStyle w:val="Hyperlink"/>
                <w:noProof/>
              </w:rPr>
              <w:t>7.3</w:t>
            </w:r>
            <w:r w:rsidR="00765839">
              <w:rPr>
                <w:rFonts w:asciiTheme="minorHAnsi" w:eastAsiaTheme="minorEastAsia" w:hAnsiTheme="minorHAnsi" w:cstheme="minorBidi"/>
                <w:noProof/>
                <w:szCs w:val="22"/>
                <w:lang w:eastAsia="en-GB"/>
              </w:rPr>
              <w:tab/>
            </w:r>
            <w:r w:rsidR="00765839" w:rsidRPr="009E3EA7">
              <w:rPr>
                <w:rStyle w:val="Hyperlink"/>
                <w:noProof/>
              </w:rPr>
              <w:t>Option 3: exploring indirect causal links between CS &amp; H infrastructure and competitiveness through a two-stage approach</w:t>
            </w:r>
            <w:r w:rsidR="00765839">
              <w:rPr>
                <w:noProof/>
                <w:webHidden/>
              </w:rPr>
              <w:tab/>
            </w:r>
            <w:r w:rsidR="00765839">
              <w:rPr>
                <w:noProof/>
                <w:webHidden/>
              </w:rPr>
              <w:fldChar w:fldCharType="begin"/>
            </w:r>
            <w:r w:rsidR="00765839">
              <w:rPr>
                <w:noProof/>
                <w:webHidden/>
              </w:rPr>
              <w:instrText xml:space="preserve"> PAGEREF _Toc464222949 \h </w:instrText>
            </w:r>
            <w:r w:rsidR="00765839">
              <w:rPr>
                <w:noProof/>
                <w:webHidden/>
              </w:rPr>
            </w:r>
            <w:r w:rsidR="00765839">
              <w:rPr>
                <w:noProof/>
                <w:webHidden/>
              </w:rPr>
              <w:fldChar w:fldCharType="separate"/>
            </w:r>
            <w:r w:rsidR="00765839">
              <w:rPr>
                <w:noProof/>
                <w:webHidden/>
              </w:rPr>
              <w:t>83</w:t>
            </w:r>
            <w:r w:rsidR="00765839">
              <w:rPr>
                <w:noProof/>
                <w:webHidden/>
              </w:rPr>
              <w:fldChar w:fldCharType="end"/>
            </w:r>
          </w:hyperlink>
        </w:p>
        <w:p w14:paraId="6C0BFC42" w14:textId="77777777" w:rsidR="00765839" w:rsidRDefault="00395234">
          <w:pPr>
            <w:pStyle w:val="TOC1"/>
            <w:tabs>
              <w:tab w:val="right" w:leader="dot" w:pos="9344"/>
            </w:tabs>
            <w:rPr>
              <w:rFonts w:asciiTheme="minorHAnsi" w:eastAsiaTheme="minorEastAsia" w:hAnsiTheme="minorHAnsi" w:cstheme="minorBidi"/>
              <w:b w:val="0"/>
              <w:noProof/>
              <w:szCs w:val="22"/>
              <w:lang w:eastAsia="en-GB"/>
            </w:rPr>
          </w:pPr>
          <w:hyperlink w:anchor="_Toc464222950" w:history="1">
            <w:r w:rsidR="00765839" w:rsidRPr="009E3EA7">
              <w:rPr>
                <w:rStyle w:val="Hyperlink"/>
                <w:noProof/>
                <w:lang w:val="en-US"/>
              </w:rPr>
              <w:t>8: Appendix III – Correlation analysis</w:t>
            </w:r>
            <w:r w:rsidR="00765839">
              <w:rPr>
                <w:noProof/>
                <w:webHidden/>
              </w:rPr>
              <w:tab/>
            </w:r>
            <w:r w:rsidR="00765839">
              <w:rPr>
                <w:noProof/>
                <w:webHidden/>
              </w:rPr>
              <w:fldChar w:fldCharType="begin"/>
            </w:r>
            <w:r w:rsidR="00765839">
              <w:rPr>
                <w:noProof/>
                <w:webHidden/>
              </w:rPr>
              <w:instrText xml:space="preserve"> PAGEREF _Toc464222950 \h </w:instrText>
            </w:r>
            <w:r w:rsidR="00765839">
              <w:rPr>
                <w:noProof/>
                <w:webHidden/>
              </w:rPr>
            </w:r>
            <w:r w:rsidR="00765839">
              <w:rPr>
                <w:noProof/>
                <w:webHidden/>
              </w:rPr>
              <w:fldChar w:fldCharType="separate"/>
            </w:r>
            <w:r w:rsidR="00765839">
              <w:rPr>
                <w:noProof/>
                <w:webHidden/>
              </w:rPr>
              <w:t>84</w:t>
            </w:r>
            <w:r w:rsidR="00765839">
              <w:rPr>
                <w:noProof/>
                <w:webHidden/>
              </w:rPr>
              <w:fldChar w:fldCharType="end"/>
            </w:r>
          </w:hyperlink>
        </w:p>
        <w:p w14:paraId="22D96AA3"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51" w:history="1">
            <w:r w:rsidR="00765839" w:rsidRPr="009E3EA7">
              <w:rPr>
                <w:rStyle w:val="Hyperlink"/>
                <w:noProof/>
              </w:rPr>
              <w:t>8.1</w:t>
            </w:r>
            <w:r w:rsidR="00765839">
              <w:rPr>
                <w:rFonts w:asciiTheme="minorHAnsi" w:eastAsiaTheme="minorEastAsia" w:hAnsiTheme="minorHAnsi" w:cstheme="minorBidi"/>
                <w:noProof/>
                <w:szCs w:val="22"/>
                <w:lang w:eastAsia="en-GB"/>
              </w:rPr>
              <w:tab/>
            </w:r>
            <w:r w:rsidR="00765839" w:rsidRPr="009E3EA7">
              <w:rPr>
                <w:rStyle w:val="Hyperlink"/>
                <w:noProof/>
              </w:rPr>
              <w:t>Key findings</w:t>
            </w:r>
            <w:r w:rsidR="00765839">
              <w:rPr>
                <w:noProof/>
                <w:webHidden/>
              </w:rPr>
              <w:tab/>
            </w:r>
            <w:r w:rsidR="00765839">
              <w:rPr>
                <w:noProof/>
                <w:webHidden/>
              </w:rPr>
              <w:fldChar w:fldCharType="begin"/>
            </w:r>
            <w:r w:rsidR="00765839">
              <w:rPr>
                <w:noProof/>
                <w:webHidden/>
              </w:rPr>
              <w:instrText xml:space="preserve"> PAGEREF _Toc464222951 \h </w:instrText>
            </w:r>
            <w:r w:rsidR="00765839">
              <w:rPr>
                <w:noProof/>
                <w:webHidden/>
              </w:rPr>
            </w:r>
            <w:r w:rsidR="00765839">
              <w:rPr>
                <w:noProof/>
                <w:webHidden/>
              </w:rPr>
              <w:fldChar w:fldCharType="separate"/>
            </w:r>
            <w:r w:rsidR="00765839">
              <w:rPr>
                <w:noProof/>
                <w:webHidden/>
              </w:rPr>
              <w:t>84</w:t>
            </w:r>
            <w:r w:rsidR="00765839">
              <w:rPr>
                <w:noProof/>
                <w:webHidden/>
              </w:rPr>
              <w:fldChar w:fldCharType="end"/>
            </w:r>
          </w:hyperlink>
        </w:p>
        <w:p w14:paraId="09DCB008"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52" w:history="1">
            <w:r w:rsidR="00765839" w:rsidRPr="009E3EA7">
              <w:rPr>
                <w:rStyle w:val="Hyperlink"/>
                <w:noProof/>
              </w:rPr>
              <w:t>8.2</w:t>
            </w:r>
            <w:r w:rsidR="00765839">
              <w:rPr>
                <w:rFonts w:asciiTheme="minorHAnsi" w:eastAsiaTheme="minorEastAsia" w:hAnsiTheme="minorHAnsi" w:cstheme="minorBidi"/>
                <w:noProof/>
                <w:szCs w:val="22"/>
                <w:lang w:eastAsia="en-GB"/>
              </w:rPr>
              <w:tab/>
            </w:r>
            <w:r w:rsidR="00765839" w:rsidRPr="009E3EA7">
              <w:rPr>
                <w:rStyle w:val="Hyperlink"/>
                <w:noProof/>
              </w:rPr>
              <w:t>Conclusions</w:t>
            </w:r>
            <w:r w:rsidR="00765839">
              <w:rPr>
                <w:noProof/>
                <w:webHidden/>
              </w:rPr>
              <w:tab/>
            </w:r>
            <w:r w:rsidR="00765839">
              <w:rPr>
                <w:noProof/>
                <w:webHidden/>
              </w:rPr>
              <w:fldChar w:fldCharType="begin"/>
            </w:r>
            <w:r w:rsidR="00765839">
              <w:rPr>
                <w:noProof/>
                <w:webHidden/>
              </w:rPr>
              <w:instrText xml:space="preserve"> PAGEREF _Toc464222952 \h </w:instrText>
            </w:r>
            <w:r w:rsidR="00765839">
              <w:rPr>
                <w:noProof/>
                <w:webHidden/>
              </w:rPr>
            </w:r>
            <w:r w:rsidR="00765839">
              <w:rPr>
                <w:noProof/>
                <w:webHidden/>
              </w:rPr>
              <w:fldChar w:fldCharType="separate"/>
            </w:r>
            <w:r w:rsidR="00765839">
              <w:rPr>
                <w:noProof/>
                <w:webHidden/>
              </w:rPr>
              <w:t>88</w:t>
            </w:r>
            <w:r w:rsidR="00765839">
              <w:rPr>
                <w:noProof/>
                <w:webHidden/>
              </w:rPr>
              <w:fldChar w:fldCharType="end"/>
            </w:r>
          </w:hyperlink>
        </w:p>
        <w:p w14:paraId="7259DAF3" w14:textId="77777777" w:rsidR="00765839" w:rsidRDefault="00395234">
          <w:pPr>
            <w:pStyle w:val="TOC1"/>
            <w:tabs>
              <w:tab w:val="right" w:leader="dot" w:pos="9344"/>
            </w:tabs>
            <w:rPr>
              <w:rFonts w:asciiTheme="minorHAnsi" w:eastAsiaTheme="minorEastAsia" w:hAnsiTheme="minorHAnsi" w:cstheme="minorBidi"/>
              <w:b w:val="0"/>
              <w:noProof/>
              <w:szCs w:val="22"/>
              <w:lang w:eastAsia="en-GB"/>
            </w:rPr>
          </w:pPr>
          <w:hyperlink w:anchor="_Toc464222953" w:history="1">
            <w:r w:rsidR="00765839" w:rsidRPr="009E3EA7">
              <w:rPr>
                <w:rStyle w:val="Hyperlink"/>
                <w:rFonts w:eastAsia="Calibri"/>
                <w:noProof/>
              </w:rPr>
              <w:t>9: Appendix IV – Data review</w:t>
            </w:r>
            <w:r w:rsidR="00765839">
              <w:rPr>
                <w:noProof/>
                <w:webHidden/>
              </w:rPr>
              <w:tab/>
            </w:r>
            <w:r w:rsidR="00765839">
              <w:rPr>
                <w:noProof/>
                <w:webHidden/>
              </w:rPr>
              <w:fldChar w:fldCharType="begin"/>
            </w:r>
            <w:r w:rsidR="00765839">
              <w:rPr>
                <w:noProof/>
                <w:webHidden/>
              </w:rPr>
              <w:instrText xml:space="preserve"> PAGEREF _Toc464222953 \h </w:instrText>
            </w:r>
            <w:r w:rsidR="00765839">
              <w:rPr>
                <w:noProof/>
                <w:webHidden/>
              </w:rPr>
            </w:r>
            <w:r w:rsidR="00765839">
              <w:rPr>
                <w:noProof/>
                <w:webHidden/>
              </w:rPr>
              <w:fldChar w:fldCharType="separate"/>
            </w:r>
            <w:r w:rsidR="00765839">
              <w:rPr>
                <w:noProof/>
                <w:webHidden/>
              </w:rPr>
              <w:t>89</w:t>
            </w:r>
            <w:r w:rsidR="00765839">
              <w:rPr>
                <w:noProof/>
                <w:webHidden/>
              </w:rPr>
              <w:fldChar w:fldCharType="end"/>
            </w:r>
          </w:hyperlink>
        </w:p>
        <w:p w14:paraId="7C319762"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54" w:history="1">
            <w:r w:rsidR="00765839" w:rsidRPr="009E3EA7">
              <w:rPr>
                <w:rStyle w:val="Hyperlink"/>
                <w:noProof/>
              </w:rPr>
              <w:t>9.1</w:t>
            </w:r>
            <w:r w:rsidR="00765839">
              <w:rPr>
                <w:rFonts w:asciiTheme="minorHAnsi" w:eastAsiaTheme="minorEastAsia" w:hAnsiTheme="minorHAnsi" w:cstheme="minorBidi"/>
                <w:noProof/>
                <w:szCs w:val="22"/>
                <w:lang w:eastAsia="en-GB"/>
              </w:rPr>
              <w:tab/>
            </w:r>
            <w:r w:rsidR="00765839" w:rsidRPr="009E3EA7">
              <w:rPr>
                <w:rStyle w:val="Hyperlink"/>
                <w:noProof/>
              </w:rPr>
              <w:t>Assets</w:t>
            </w:r>
            <w:r w:rsidR="00765839">
              <w:rPr>
                <w:noProof/>
                <w:webHidden/>
              </w:rPr>
              <w:tab/>
            </w:r>
            <w:r w:rsidR="00765839">
              <w:rPr>
                <w:noProof/>
                <w:webHidden/>
              </w:rPr>
              <w:fldChar w:fldCharType="begin"/>
            </w:r>
            <w:r w:rsidR="00765839">
              <w:rPr>
                <w:noProof/>
                <w:webHidden/>
              </w:rPr>
              <w:instrText xml:space="preserve"> PAGEREF _Toc464222954 \h </w:instrText>
            </w:r>
            <w:r w:rsidR="00765839">
              <w:rPr>
                <w:noProof/>
                <w:webHidden/>
              </w:rPr>
            </w:r>
            <w:r w:rsidR="00765839">
              <w:rPr>
                <w:noProof/>
                <w:webHidden/>
              </w:rPr>
              <w:fldChar w:fldCharType="separate"/>
            </w:r>
            <w:r w:rsidR="00765839">
              <w:rPr>
                <w:noProof/>
                <w:webHidden/>
              </w:rPr>
              <w:t>90</w:t>
            </w:r>
            <w:r w:rsidR="00765839">
              <w:rPr>
                <w:noProof/>
                <w:webHidden/>
              </w:rPr>
              <w:fldChar w:fldCharType="end"/>
            </w:r>
          </w:hyperlink>
        </w:p>
        <w:p w14:paraId="1589753A"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55" w:history="1">
            <w:r w:rsidR="00765839" w:rsidRPr="009E3EA7">
              <w:rPr>
                <w:rStyle w:val="Hyperlink"/>
                <w:noProof/>
              </w:rPr>
              <w:t>9.2</w:t>
            </w:r>
            <w:r w:rsidR="00765839">
              <w:rPr>
                <w:rFonts w:asciiTheme="minorHAnsi" w:eastAsiaTheme="minorEastAsia" w:hAnsiTheme="minorHAnsi" w:cstheme="minorBidi"/>
                <w:noProof/>
                <w:szCs w:val="22"/>
                <w:lang w:eastAsia="en-GB"/>
              </w:rPr>
              <w:tab/>
            </w:r>
            <w:r w:rsidR="00765839" w:rsidRPr="009E3EA7">
              <w:rPr>
                <w:rStyle w:val="Hyperlink"/>
                <w:noProof/>
              </w:rPr>
              <w:t>Investment</w:t>
            </w:r>
            <w:r w:rsidR="00765839">
              <w:rPr>
                <w:noProof/>
                <w:webHidden/>
              </w:rPr>
              <w:tab/>
            </w:r>
            <w:r w:rsidR="00765839">
              <w:rPr>
                <w:noProof/>
                <w:webHidden/>
              </w:rPr>
              <w:fldChar w:fldCharType="begin"/>
            </w:r>
            <w:r w:rsidR="00765839">
              <w:rPr>
                <w:noProof/>
                <w:webHidden/>
              </w:rPr>
              <w:instrText xml:space="preserve"> PAGEREF _Toc464222955 \h </w:instrText>
            </w:r>
            <w:r w:rsidR="00765839">
              <w:rPr>
                <w:noProof/>
                <w:webHidden/>
              </w:rPr>
            </w:r>
            <w:r w:rsidR="00765839">
              <w:rPr>
                <w:noProof/>
                <w:webHidden/>
              </w:rPr>
              <w:fldChar w:fldCharType="separate"/>
            </w:r>
            <w:r w:rsidR="00765839">
              <w:rPr>
                <w:noProof/>
                <w:webHidden/>
              </w:rPr>
              <w:t>91</w:t>
            </w:r>
            <w:r w:rsidR="00765839">
              <w:rPr>
                <w:noProof/>
                <w:webHidden/>
              </w:rPr>
              <w:fldChar w:fldCharType="end"/>
            </w:r>
          </w:hyperlink>
        </w:p>
        <w:p w14:paraId="5562F7D4"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56" w:history="1">
            <w:r w:rsidR="00765839" w:rsidRPr="009E3EA7">
              <w:rPr>
                <w:rStyle w:val="Hyperlink"/>
                <w:noProof/>
              </w:rPr>
              <w:t>9.3</w:t>
            </w:r>
            <w:r w:rsidR="00765839">
              <w:rPr>
                <w:rFonts w:asciiTheme="minorHAnsi" w:eastAsiaTheme="minorEastAsia" w:hAnsiTheme="minorHAnsi" w:cstheme="minorBidi"/>
                <w:noProof/>
                <w:szCs w:val="22"/>
                <w:lang w:eastAsia="en-GB"/>
              </w:rPr>
              <w:tab/>
            </w:r>
            <w:r w:rsidR="00765839" w:rsidRPr="009E3EA7">
              <w:rPr>
                <w:rStyle w:val="Hyperlink"/>
                <w:noProof/>
              </w:rPr>
              <w:t>Dependent variables</w:t>
            </w:r>
            <w:r w:rsidR="00765839">
              <w:rPr>
                <w:noProof/>
                <w:webHidden/>
              </w:rPr>
              <w:tab/>
            </w:r>
            <w:r w:rsidR="00765839">
              <w:rPr>
                <w:noProof/>
                <w:webHidden/>
              </w:rPr>
              <w:fldChar w:fldCharType="begin"/>
            </w:r>
            <w:r w:rsidR="00765839">
              <w:rPr>
                <w:noProof/>
                <w:webHidden/>
              </w:rPr>
              <w:instrText xml:space="preserve"> PAGEREF _Toc464222956 \h </w:instrText>
            </w:r>
            <w:r w:rsidR="00765839">
              <w:rPr>
                <w:noProof/>
                <w:webHidden/>
              </w:rPr>
            </w:r>
            <w:r w:rsidR="00765839">
              <w:rPr>
                <w:noProof/>
                <w:webHidden/>
              </w:rPr>
              <w:fldChar w:fldCharType="separate"/>
            </w:r>
            <w:r w:rsidR="00765839">
              <w:rPr>
                <w:noProof/>
                <w:webHidden/>
              </w:rPr>
              <w:t>91</w:t>
            </w:r>
            <w:r w:rsidR="00765839">
              <w:rPr>
                <w:noProof/>
                <w:webHidden/>
              </w:rPr>
              <w:fldChar w:fldCharType="end"/>
            </w:r>
          </w:hyperlink>
        </w:p>
        <w:p w14:paraId="50CA5DFA"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57" w:history="1">
            <w:r w:rsidR="00765839" w:rsidRPr="009E3EA7">
              <w:rPr>
                <w:rStyle w:val="Hyperlink"/>
                <w:noProof/>
              </w:rPr>
              <w:t>9.4</w:t>
            </w:r>
            <w:r w:rsidR="00765839">
              <w:rPr>
                <w:rFonts w:asciiTheme="minorHAnsi" w:eastAsiaTheme="minorEastAsia" w:hAnsiTheme="minorHAnsi" w:cstheme="minorBidi"/>
                <w:noProof/>
                <w:szCs w:val="22"/>
                <w:lang w:eastAsia="en-GB"/>
              </w:rPr>
              <w:tab/>
            </w:r>
            <w:r w:rsidR="00765839" w:rsidRPr="009E3EA7">
              <w:rPr>
                <w:rStyle w:val="Hyperlink"/>
                <w:noProof/>
              </w:rPr>
              <w:t>Conclusions</w:t>
            </w:r>
            <w:r w:rsidR="00765839">
              <w:rPr>
                <w:noProof/>
                <w:webHidden/>
              </w:rPr>
              <w:tab/>
            </w:r>
            <w:r w:rsidR="00765839">
              <w:rPr>
                <w:noProof/>
                <w:webHidden/>
              </w:rPr>
              <w:fldChar w:fldCharType="begin"/>
            </w:r>
            <w:r w:rsidR="00765839">
              <w:rPr>
                <w:noProof/>
                <w:webHidden/>
              </w:rPr>
              <w:instrText xml:space="preserve"> PAGEREF _Toc464222957 \h </w:instrText>
            </w:r>
            <w:r w:rsidR="00765839">
              <w:rPr>
                <w:noProof/>
                <w:webHidden/>
              </w:rPr>
            </w:r>
            <w:r w:rsidR="00765839">
              <w:rPr>
                <w:noProof/>
                <w:webHidden/>
              </w:rPr>
              <w:fldChar w:fldCharType="separate"/>
            </w:r>
            <w:r w:rsidR="00765839">
              <w:rPr>
                <w:noProof/>
                <w:webHidden/>
              </w:rPr>
              <w:t>92</w:t>
            </w:r>
            <w:r w:rsidR="00765839">
              <w:rPr>
                <w:noProof/>
                <w:webHidden/>
              </w:rPr>
              <w:fldChar w:fldCharType="end"/>
            </w:r>
          </w:hyperlink>
        </w:p>
        <w:p w14:paraId="7E84111D" w14:textId="77777777" w:rsidR="00765839" w:rsidRDefault="00395234">
          <w:pPr>
            <w:pStyle w:val="TOC1"/>
            <w:tabs>
              <w:tab w:val="right" w:leader="dot" w:pos="9344"/>
            </w:tabs>
            <w:rPr>
              <w:rFonts w:asciiTheme="minorHAnsi" w:eastAsiaTheme="minorEastAsia" w:hAnsiTheme="minorHAnsi" w:cstheme="minorBidi"/>
              <w:b w:val="0"/>
              <w:noProof/>
              <w:szCs w:val="22"/>
              <w:lang w:eastAsia="en-GB"/>
            </w:rPr>
          </w:pPr>
          <w:hyperlink w:anchor="_Toc464222958" w:history="1">
            <w:r w:rsidR="00765839" w:rsidRPr="009E3EA7">
              <w:rPr>
                <w:rStyle w:val="Hyperlink"/>
                <w:rFonts w:eastAsia="Calibri"/>
                <w:noProof/>
              </w:rPr>
              <w:t>10: Appendix V – Sector definitions</w:t>
            </w:r>
            <w:r w:rsidR="00765839">
              <w:rPr>
                <w:noProof/>
                <w:webHidden/>
              </w:rPr>
              <w:tab/>
            </w:r>
            <w:r w:rsidR="00765839">
              <w:rPr>
                <w:noProof/>
                <w:webHidden/>
              </w:rPr>
              <w:fldChar w:fldCharType="begin"/>
            </w:r>
            <w:r w:rsidR="00765839">
              <w:rPr>
                <w:noProof/>
                <w:webHidden/>
              </w:rPr>
              <w:instrText xml:space="preserve"> PAGEREF _Toc464222958 \h </w:instrText>
            </w:r>
            <w:r w:rsidR="00765839">
              <w:rPr>
                <w:noProof/>
                <w:webHidden/>
              </w:rPr>
            </w:r>
            <w:r w:rsidR="00765839">
              <w:rPr>
                <w:noProof/>
                <w:webHidden/>
              </w:rPr>
              <w:fldChar w:fldCharType="separate"/>
            </w:r>
            <w:r w:rsidR="00765839">
              <w:rPr>
                <w:noProof/>
                <w:webHidden/>
              </w:rPr>
              <w:t>93</w:t>
            </w:r>
            <w:r w:rsidR="00765839">
              <w:rPr>
                <w:noProof/>
                <w:webHidden/>
              </w:rPr>
              <w:fldChar w:fldCharType="end"/>
            </w:r>
          </w:hyperlink>
        </w:p>
        <w:p w14:paraId="2B9188D0"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59" w:history="1">
            <w:r w:rsidR="00765839" w:rsidRPr="009E3EA7">
              <w:rPr>
                <w:rStyle w:val="Hyperlink"/>
                <w:noProof/>
              </w:rPr>
              <w:t>10.1</w:t>
            </w:r>
            <w:r w:rsidR="00765839">
              <w:rPr>
                <w:rFonts w:asciiTheme="minorHAnsi" w:eastAsiaTheme="minorEastAsia" w:hAnsiTheme="minorHAnsi" w:cstheme="minorBidi"/>
                <w:noProof/>
                <w:szCs w:val="22"/>
                <w:lang w:eastAsia="en-GB"/>
              </w:rPr>
              <w:tab/>
            </w:r>
            <w:r w:rsidR="00765839" w:rsidRPr="009E3EA7">
              <w:rPr>
                <w:rStyle w:val="Hyperlink"/>
                <w:noProof/>
              </w:rPr>
              <w:t>Creative Industries</w:t>
            </w:r>
            <w:r w:rsidR="00765839">
              <w:rPr>
                <w:noProof/>
                <w:webHidden/>
              </w:rPr>
              <w:tab/>
            </w:r>
            <w:r w:rsidR="00765839">
              <w:rPr>
                <w:noProof/>
                <w:webHidden/>
              </w:rPr>
              <w:fldChar w:fldCharType="begin"/>
            </w:r>
            <w:r w:rsidR="00765839">
              <w:rPr>
                <w:noProof/>
                <w:webHidden/>
              </w:rPr>
              <w:instrText xml:space="preserve"> PAGEREF _Toc464222959 \h </w:instrText>
            </w:r>
            <w:r w:rsidR="00765839">
              <w:rPr>
                <w:noProof/>
                <w:webHidden/>
              </w:rPr>
            </w:r>
            <w:r w:rsidR="00765839">
              <w:rPr>
                <w:noProof/>
                <w:webHidden/>
              </w:rPr>
              <w:fldChar w:fldCharType="separate"/>
            </w:r>
            <w:r w:rsidR="00765839">
              <w:rPr>
                <w:noProof/>
                <w:webHidden/>
              </w:rPr>
              <w:t>93</w:t>
            </w:r>
            <w:r w:rsidR="00765839">
              <w:rPr>
                <w:noProof/>
                <w:webHidden/>
              </w:rPr>
              <w:fldChar w:fldCharType="end"/>
            </w:r>
          </w:hyperlink>
        </w:p>
        <w:p w14:paraId="093A5009"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60" w:history="1">
            <w:r w:rsidR="00765839" w:rsidRPr="009E3EA7">
              <w:rPr>
                <w:rStyle w:val="Hyperlink"/>
                <w:rFonts w:eastAsia="Calibri"/>
                <w:noProof/>
              </w:rPr>
              <w:t>10.2</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Knowledge Industries</w:t>
            </w:r>
            <w:r w:rsidR="00765839">
              <w:rPr>
                <w:noProof/>
                <w:webHidden/>
              </w:rPr>
              <w:tab/>
            </w:r>
            <w:r w:rsidR="00765839">
              <w:rPr>
                <w:noProof/>
                <w:webHidden/>
              </w:rPr>
              <w:fldChar w:fldCharType="begin"/>
            </w:r>
            <w:r w:rsidR="00765839">
              <w:rPr>
                <w:noProof/>
                <w:webHidden/>
              </w:rPr>
              <w:instrText xml:space="preserve"> PAGEREF _Toc464222960 \h </w:instrText>
            </w:r>
            <w:r w:rsidR="00765839">
              <w:rPr>
                <w:noProof/>
                <w:webHidden/>
              </w:rPr>
            </w:r>
            <w:r w:rsidR="00765839">
              <w:rPr>
                <w:noProof/>
                <w:webHidden/>
              </w:rPr>
              <w:fldChar w:fldCharType="separate"/>
            </w:r>
            <w:r w:rsidR="00765839">
              <w:rPr>
                <w:noProof/>
                <w:webHidden/>
              </w:rPr>
              <w:t>95</w:t>
            </w:r>
            <w:r w:rsidR="00765839">
              <w:rPr>
                <w:noProof/>
                <w:webHidden/>
              </w:rPr>
              <w:fldChar w:fldCharType="end"/>
            </w:r>
          </w:hyperlink>
        </w:p>
        <w:p w14:paraId="1D1D0CCA" w14:textId="77777777" w:rsidR="00765839" w:rsidRDefault="00395234">
          <w:pPr>
            <w:pStyle w:val="TOC2"/>
            <w:tabs>
              <w:tab w:val="left" w:pos="1440"/>
              <w:tab w:val="right" w:leader="dot" w:pos="9344"/>
            </w:tabs>
            <w:rPr>
              <w:rFonts w:asciiTheme="minorHAnsi" w:eastAsiaTheme="minorEastAsia" w:hAnsiTheme="minorHAnsi" w:cstheme="minorBidi"/>
              <w:noProof/>
              <w:szCs w:val="22"/>
              <w:lang w:eastAsia="en-GB"/>
            </w:rPr>
          </w:pPr>
          <w:hyperlink w:anchor="_Toc464222961" w:history="1">
            <w:r w:rsidR="00765839" w:rsidRPr="009E3EA7">
              <w:rPr>
                <w:rStyle w:val="Hyperlink"/>
                <w:rFonts w:eastAsia="Calibri"/>
                <w:noProof/>
              </w:rPr>
              <w:t>10.3</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Tourism</w:t>
            </w:r>
            <w:r w:rsidR="00765839">
              <w:rPr>
                <w:noProof/>
                <w:webHidden/>
              </w:rPr>
              <w:tab/>
            </w:r>
            <w:r w:rsidR="00765839">
              <w:rPr>
                <w:noProof/>
                <w:webHidden/>
              </w:rPr>
              <w:fldChar w:fldCharType="begin"/>
            </w:r>
            <w:r w:rsidR="00765839">
              <w:rPr>
                <w:noProof/>
                <w:webHidden/>
              </w:rPr>
              <w:instrText xml:space="preserve"> PAGEREF _Toc464222961 \h </w:instrText>
            </w:r>
            <w:r w:rsidR="00765839">
              <w:rPr>
                <w:noProof/>
                <w:webHidden/>
              </w:rPr>
            </w:r>
            <w:r w:rsidR="00765839">
              <w:rPr>
                <w:noProof/>
                <w:webHidden/>
              </w:rPr>
              <w:fldChar w:fldCharType="separate"/>
            </w:r>
            <w:r w:rsidR="00765839">
              <w:rPr>
                <w:noProof/>
                <w:webHidden/>
              </w:rPr>
              <w:t>98</w:t>
            </w:r>
            <w:r w:rsidR="00765839">
              <w:rPr>
                <w:noProof/>
                <w:webHidden/>
              </w:rPr>
              <w:fldChar w:fldCharType="end"/>
            </w:r>
          </w:hyperlink>
        </w:p>
        <w:p w14:paraId="7E80589A" w14:textId="77777777" w:rsidR="00765839" w:rsidRDefault="00395234">
          <w:pPr>
            <w:pStyle w:val="TOC3"/>
            <w:tabs>
              <w:tab w:val="left" w:pos="2272"/>
              <w:tab w:val="right" w:leader="dot" w:pos="9344"/>
            </w:tabs>
            <w:rPr>
              <w:rFonts w:asciiTheme="minorHAnsi" w:eastAsiaTheme="minorEastAsia" w:hAnsiTheme="minorHAnsi" w:cstheme="minorBidi"/>
              <w:noProof/>
              <w:szCs w:val="22"/>
              <w:lang w:eastAsia="en-GB"/>
            </w:rPr>
          </w:pPr>
          <w:hyperlink w:anchor="_Toc464222962" w:history="1">
            <w:r w:rsidR="00765839" w:rsidRPr="009E3EA7">
              <w:rPr>
                <w:rStyle w:val="Hyperlink"/>
                <w:rFonts w:eastAsia="Calibri"/>
                <w:noProof/>
              </w:rPr>
              <w:t>10.3.2</w:t>
            </w:r>
            <w:r w:rsidR="00765839">
              <w:rPr>
                <w:rFonts w:asciiTheme="minorHAnsi" w:eastAsiaTheme="minorEastAsia" w:hAnsiTheme="minorHAnsi" w:cstheme="minorBidi"/>
                <w:noProof/>
                <w:szCs w:val="22"/>
                <w:lang w:eastAsia="en-GB"/>
              </w:rPr>
              <w:tab/>
            </w:r>
            <w:r w:rsidR="00765839" w:rsidRPr="009E3EA7">
              <w:rPr>
                <w:rStyle w:val="Hyperlink"/>
                <w:rFonts w:eastAsia="Calibri"/>
                <w:noProof/>
              </w:rPr>
              <w:t>Professional Services</w:t>
            </w:r>
            <w:r w:rsidR="00765839">
              <w:rPr>
                <w:noProof/>
                <w:webHidden/>
              </w:rPr>
              <w:tab/>
            </w:r>
            <w:r w:rsidR="00765839">
              <w:rPr>
                <w:noProof/>
                <w:webHidden/>
              </w:rPr>
              <w:fldChar w:fldCharType="begin"/>
            </w:r>
            <w:r w:rsidR="00765839">
              <w:rPr>
                <w:noProof/>
                <w:webHidden/>
              </w:rPr>
              <w:instrText xml:space="preserve"> PAGEREF _Toc464222962 \h </w:instrText>
            </w:r>
            <w:r w:rsidR="00765839">
              <w:rPr>
                <w:noProof/>
                <w:webHidden/>
              </w:rPr>
            </w:r>
            <w:r w:rsidR="00765839">
              <w:rPr>
                <w:noProof/>
                <w:webHidden/>
              </w:rPr>
              <w:fldChar w:fldCharType="separate"/>
            </w:r>
            <w:r w:rsidR="00765839">
              <w:rPr>
                <w:noProof/>
                <w:webHidden/>
              </w:rPr>
              <w:t>100</w:t>
            </w:r>
            <w:r w:rsidR="00765839">
              <w:rPr>
                <w:noProof/>
                <w:webHidden/>
              </w:rPr>
              <w:fldChar w:fldCharType="end"/>
            </w:r>
          </w:hyperlink>
        </w:p>
        <w:p w14:paraId="1CD40721" w14:textId="77777777" w:rsidR="00765839" w:rsidRDefault="00395234">
          <w:pPr>
            <w:pStyle w:val="TOC1"/>
            <w:tabs>
              <w:tab w:val="right" w:leader="dot" w:pos="9344"/>
            </w:tabs>
            <w:rPr>
              <w:rFonts w:asciiTheme="minorHAnsi" w:eastAsiaTheme="minorEastAsia" w:hAnsiTheme="minorHAnsi" w:cstheme="minorBidi"/>
              <w:b w:val="0"/>
              <w:noProof/>
              <w:szCs w:val="22"/>
              <w:lang w:eastAsia="en-GB"/>
            </w:rPr>
          </w:pPr>
          <w:hyperlink w:anchor="_Toc464222963" w:history="1">
            <w:r w:rsidR="00765839" w:rsidRPr="009E3EA7">
              <w:rPr>
                <w:rStyle w:val="Hyperlink"/>
                <w:noProof/>
              </w:rPr>
              <w:t>11: Appendix VI – Data sources and details of variables</w:t>
            </w:r>
            <w:r w:rsidR="00765839">
              <w:rPr>
                <w:noProof/>
                <w:webHidden/>
              </w:rPr>
              <w:tab/>
            </w:r>
            <w:r w:rsidR="00765839">
              <w:rPr>
                <w:noProof/>
                <w:webHidden/>
              </w:rPr>
              <w:fldChar w:fldCharType="begin"/>
            </w:r>
            <w:r w:rsidR="00765839">
              <w:rPr>
                <w:noProof/>
                <w:webHidden/>
              </w:rPr>
              <w:instrText xml:space="preserve"> PAGEREF _Toc464222963 \h </w:instrText>
            </w:r>
            <w:r w:rsidR="00765839">
              <w:rPr>
                <w:noProof/>
                <w:webHidden/>
              </w:rPr>
            </w:r>
            <w:r w:rsidR="00765839">
              <w:rPr>
                <w:noProof/>
                <w:webHidden/>
              </w:rPr>
              <w:fldChar w:fldCharType="separate"/>
            </w:r>
            <w:r w:rsidR="00765839">
              <w:rPr>
                <w:noProof/>
                <w:webHidden/>
              </w:rPr>
              <w:t>101</w:t>
            </w:r>
            <w:r w:rsidR="00765839">
              <w:rPr>
                <w:noProof/>
                <w:webHidden/>
              </w:rPr>
              <w:fldChar w:fldCharType="end"/>
            </w:r>
          </w:hyperlink>
        </w:p>
        <w:p w14:paraId="74928831" w14:textId="77777777" w:rsidR="00FA21CC" w:rsidRPr="00514EFA" w:rsidRDefault="00404FEF">
          <w:pPr>
            <w:rPr>
              <w:rFonts w:cs="Arial"/>
            </w:rPr>
          </w:pPr>
          <w:r w:rsidRPr="00514EFA">
            <w:rPr>
              <w:rFonts w:cs="Arial"/>
              <w:b/>
              <w:bCs/>
              <w:noProof/>
            </w:rPr>
            <w:fldChar w:fldCharType="end"/>
          </w:r>
        </w:p>
      </w:sdtContent>
    </w:sdt>
    <w:p w14:paraId="74928832" w14:textId="77777777" w:rsidR="00C64C00" w:rsidRPr="00514EFA" w:rsidRDefault="00C64C00" w:rsidP="00A02758">
      <w:pPr>
        <w:rPr>
          <w:rFonts w:cs="Arial"/>
          <w:color w:val="673561"/>
        </w:rPr>
      </w:pPr>
    </w:p>
    <w:p w14:paraId="74928833" w14:textId="77777777" w:rsidR="00C63793" w:rsidRPr="00514EFA" w:rsidRDefault="00C64C00" w:rsidP="00F9372E">
      <w:pPr>
        <w:spacing w:before="0"/>
        <w:ind w:left="0"/>
        <w:rPr>
          <w:rFonts w:cs="Arial"/>
        </w:rPr>
      </w:pPr>
      <w:r w:rsidRPr="00514EFA">
        <w:rPr>
          <w:rFonts w:cs="Arial"/>
          <w:color w:val="673561"/>
        </w:rPr>
        <w:br w:type="page"/>
      </w:r>
    </w:p>
    <w:p w14:paraId="74928834" w14:textId="77777777" w:rsidR="00F9372E" w:rsidRPr="00514EFA" w:rsidRDefault="00F9372E" w:rsidP="00F9372E">
      <w:pPr>
        <w:ind w:left="0" w:right="-754"/>
        <w:rPr>
          <w:rFonts w:cs="Arial"/>
          <w:b/>
          <w:bCs/>
        </w:rPr>
      </w:pPr>
      <w:r w:rsidRPr="00514EFA">
        <w:rPr>
          <w:rFonts w:cs="Arial"/>
          <w:b/>
          <w:bCs/>
        </w:rPr>
        <w:t>Figures</w:t>
      </w:r>
    </w:p>
    <w:p w14:paraId="23A8CF6E" w14:textId="77777777" w:rsidR="00F0636B" w:rsidRDefault="00AD0C23">
      <w:pPr>
        <w:pStyle w:val="TableofFigures"/>
        <w:tabs>
          <w:tab w:val="right" w:leader="dot" w:pos="9344"/>
        </w:tabs>
        <w:rPr>
          <w:rFonts w:asciiTheme="minorHAnsi" w:eastAsiaTheme="minorEastAsia" w:hAnsiTheme="minorHAnsi" w:cstheme="minorBidi"/>
          <w:noProof/>
          <w:szCs w:val="22"/>
          <w:lang w:eastAsia="en-GB"/>
        </w:rPr>
      </w:pPr>
      <w:r w:rsidRPr="00514EFA">
        <w:rPr>
          <w:rFonts w:cs="Arial"/>
        </w:rPr>
        <w:fldChar w:fldCharType="begin"/>
      </w:r>
      <w:r w:rsidRPr="00514EFA">
        <w:rPr>
          <w:rFonts w:cs="Arial"/>
        </w:rPr>
        <w:instrText xml:space="preserve"> TOC \h \z \c "Figure" </w:instrText>
      </w:r>
      <w:r w:rsidRPr="00514EFA">
        <w:rPr>
          <w:rFonts w:cs="Arial"/>
        </w:rPr>
        <w:fldChar w:fldCharType="separate"/>
      </w:r>
      <w:hyperlink w:anchor="_Toc464220048" w:history="1">
        <w:r w:rsidR="00F0636B" w:rsidRPr="00930C25">
          <w:rPr>
            <w:rStyle w:val="Hyperlink"/>
            <w:noProof/>
          </w:rPr>
          <w:t>Figure 1: Impact ecosystem</w:t>
        </w:r>
        <w:r w:rsidR="00F0636B">
          <w:rPr>
            <w:noProof/>
            <w:webHidden/>
          </w:rPr>
          <w:tab/>
        </w:r>
        <w:r w:rsidR="00F0636B">
          <w:rPr>
            <w:noProof/>
            <w:webHidden/>
          </w:rPr>
          <w:fldChar w:fldCharType="begin"/>
        </w:r>
        <w:r w:rsidR="00F0636B">
          <w:rPr>
            <w:noProof/>
            <w:webHidden/>
          </w:rPr>
          <w:instrText xml:space="preserve"> PAGEREF _Toc464220048 \h </w:instrText>
        </w:r>
        <w:r w:rsidR="00F0636B">
          <w:rPr>
            <w:noProof/>
            <w:webHidden/>
          </w:rPr>
        </w:r>
        <w:r w:rsidR="00F0636B">
          <w:rPr>
            <w:noProof/>
            <w:webHidden/>
          </w:rPr>
          <w:fldChar w:fldCharType="separate"/>
        </w:r>
        <w:r w:rsidR="00F0636B">
          <w:rPr>
            <w:noProof/>
            <w:webHidden/>
          </w:rPr>
          <w:t>13</w:t>
        </w:r>
        <w:r w:rsidR="00F0636B">
          <w:rPr>
            <w:noProof/>
            <w:webHidden/>
          </w:rPr>
          <w:fldChar w:fldCharType="end"/>
        </w:r>
      </w:hyperlink>
    </w:p>
    <w:p w14:paraId="1E2A6A02" w14:textId="77777777" w:rsidR="00F0636B"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049" w:history="1">
        <w:r w:rsidR="00F0636B" w:rsidRPr="00930C25">
          <w:rPr>
            <w:rStyle w:val="Hyperlink"/>
            <w:noProof/>
          </w:rPr>
          <w:t>Figure 2: London wide map showing performing arts venue distribution and audience penetration</w:t>
        </w:r>
        <w:r w:rsidR="00F0636B">
          <w:rPr>
            <w:noProof/>
            <w:webHidden/>
          </w:rPr>
          <w:tab/>
        </w:r>
        <w:r w:rsidR="00F0636B">
          <w:rPr>
            <w:noProof/>
            <w:webHidden/>
          </w:rPr>
          <w:fldChar w:fldCharType="begin"/>
        </w:r>
        <w:r w:rsidR="00F0636B">
          <w:rPr>
            <w:noProof/>
            <w:webHidden/>
          </w:rPr>
          <w:instrText xml:space="preserve"> PAGEREF _Toc464220049 \h </w:instrText>
        </w:r>
        <w:r w:rsidR="00F0636B">
          <w:rPr>
            <w:noProof/>
            <w:webHidden/>
          </w:rPr>
        </w:r>
        <w:r w:rsidR="00F0636B">
          <w:rPr>
            <w:noProof/>
            <w:webHidden/>
          </w:rPr>
          <w:fldChar w:fldCharType="separate"/>
        </w:r>
        <w:r w:rsidR="00F0636B">
          <w:rPr>
            <w:noProof/>
            <w:webHidden/>
          </w:rPr>
          <w:t>46</w:t>
        </w:r>
        <w:r w:rsidR="00F0636B">
          <w:rPr>
            <w:noProof/>
            <w:webHidden/>
          </w:rPr>
          <w:fldChar w:fldCharType="end"/>
        </w:r>
      </w:hyperlink>
    </w:p>
    <w:p w14:paraId="5C31874C" w14:textId="77777777" w:rsidR="00F0636B"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050" w:history="1">
        <w:r w:rsidR="00F0636B" w:rsidRPr="00930C25">
          <w:rPr>
            <w:rStyle w:val="Hyperlink"/>
            <w:noProof/>
          </w:rPr>
          <w:t>Figure 3: Gateshead Library Usage</w:t>
        </w:r>
        <w:r w:rsidR="00F0636B">
          <w:rPr>
            <w:noProof/>
            <w:webHidden/>
          </w:rPr>
          <w:tab/>
        </w:r>
        <w:r w:rsidR="00F0636B">
          <w:rPr>
            <w:noProof/>
            <w:webHidden/>
          </w:rPr>
          <w:fldChar w:fldCharType="begin"/>
        </w:r>
        <w:r w:rsidR="00F0636B">
          <w:rPr>
            <w:noProof/>
            <w:webHidden/>
          </w:rPr>
          <w:instrText xml:space="preserve"> PAGEREF _Toc464220050 \h </w:instrText>
        </w:r>
        <w:r w:rsidR="00F0636B">
          <w:rPr>
            <w:noProof/>
            <w:webHidden/>
          </w:rPr>
        </w:r>
        <w:r w:rsidR="00F0636B">
          <w:rPr>
            <w:noProof/>
            <w:webHidden/>
          </w:rPr>
          <w:fldChar w:fldCharType="separate"/>
        </w:r>
        <w:r w:rsidR="00F0636B">
          <w:rPr>
            <w:noProof/>
            <w:webHidden/>
          </w:rPr>
          <w:t>48</w:t>
        </w:r>
        <w:r w:rsidR="00F0636B">
          <w:rPr>
            <w:noProof/>
            <w:webHidden/>
          </w:rPr>
          <w:fldChar w:fldCharType="end"/>
        </w:r>
      </w:hyperlink>
    </w:p>
    <w:p w14:paraId="73204DC4" w14:textId="77777777" w:rsidR="00F0636B"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051" w:history="1">
        <w:r w:rsidR="00F0636B" w:rsidRPr="00930C25">
          <w:rPr>
            <w:rStyle w:val="Hyperlink"/>
            <w:noProof/>
          </w:rPr>
          <w:t>Figure 4: Correlation between number of creative industries firms per capita and Lottery investment, by local authority</w:t>
        </w:r>
        <w:r w:rsidR="00F0636B">
          <w:rPr>
            <w:noProof/>
            <w:webHidden/>
          </w:rPr>
          <w:tab/>
        </w:r>
        <w:r w:rsidR="00F0636B">
          <w:rPr>
            <w:noProof/>
            <w:webHidden/>
          </w:rPr>
          <w:fldChar w:fldCharType="begin"/>
        </w:r>
        <w:r w:rsidR="00F0636B">
          <w:rPr>
            <w:noProof/>
            <w:webHidden/>
          </w:rPr>
          <w:instrText xml:space="preserve"> PAGEREF _Toc464220051 \h </w:instrText>
        </w:r>
        <w:r w:rsidR="00F0636B">
          <w:rPr>
            <w:noProof/>
            <w:webHidden/>
          </w:rPr>
        </w:r>
        <w:r w:rsidR="00F0636B">
          <w:rPr>
            <w:noProof/>
            <w:webHidden/>
          </w:rPr>
          <w:fldChar w:fldCharType="separate"/>
        </w:r>
        <w:r w:rsidR="00F0636B">
          <w:rPr>
            <w:noProof/>
            <w:webHidden/>
          </w:rPr>
          <w:t>86</w:t>
        </w:r>
        <w:r w:rsidR="00F0636B">
          <w:rPr>
            <w:noProof/>
            <w:webHidden/>
          </w:rPr>
          <w:fldChar w:fldCharType="end"/>
        </w:r>
      </w:hyperlink>
    </w:p>
    <w:p w14:paraId="39544C45" w14:textId="77777777" w:rsidR="00F0636B"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052" w:history="1">
        <w:r w:rsidR="00F0636B" w:rsidRPr="00930C25">
          <w:rPr>
            <w:rStyle w:val="Hyperlink"/>
            <w:noProof/>
          </w:rPr>
          <w:t>Figure 4: Correlation between number of creative industries firms per capita and Lottery CS&amp;H investment, by local authority (excluding Isles of Scilly and City of London)</w:t>
        </w:r>
        <w:r w:rsidR="00F0636B">
          <w:rPr>
            <w:noProof/>
            <w:webHidden/>
          </w:rPr>
          <w:tab/>
        </w:r>
        <w:r w:rsidR="00F0636B">
          <w:rPr>
            <w:noProof/>
            <w:webHidden/>
          </w:rPr>
          <w:fldChar w:fldCharType="begin"/>
        </w:r>
        <w:r w:rsidR="00F0636B">
          <w:rPr>
            <w:noProof/>
            <w:webHidden/>
          </w:rPr>
          <w:instrText xml:space="preserve"> PAGEREF _Toc464220052 \h </w:instrText>
        </w:r>
        <w:r w:rsidR="00F0636B">
          <w:rPr>
            <w:noProof/>
            <w:webHidden/>
          </w:rPr>
        </w:r>
        <w:r w:rsidR="00F0636B">
          <w:rPr>
            <w:noProof/>
            <w:webHidden/>
          </w:rPr>
          <w:fldChar w:fldCharType="separate"/>
        </w:r>
        <w:r w:rsidR="00F0636B">
          <w:rPr>
            <w:noProof/>
            <w:webHidden/>
          </w:rPr>
          <w:t>86</w:t>
        </w:r>
        <w:r w:rsidR="00F0636B">
          <w:rPr>
            <w:noProof/>
            <w:webHidden/>
          </w:rPr>
          <w:fldChar w:fldCharType="end"/>
        </w:r>
      </w:hyperlink>
    </w:p>
    <w:p w14:paraId="71FEB47A" w14:textId="77777777" w:rsidR="00F0636B"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053" w:history="1">
        <w:r w:rsidR="00F0636B" w:rsidRPr="00930C25">
          <w:rPr>
            <w:rStyle w:val="Hyperlink"/>
            <w:noProof/>
          </w:rPr>
          <w:t>Figure 4: Correlation between turnover growth in creative industries firms and CS&amp;H investment, by local authority</w:t>
        </w:r>
        <w:r w:rsidR="00F0636B">
          <w:rPr>
            <w:noProof/>
            <w:webHidden/>
          </w:rPr>
          <w:tab/>
        </w:r>
        <w:r w:rsidR="00F0636B">
          <w:rPr>
            <w:noProof/>
            <w:webHidden/>
          </w:rPr>
          <w:fldChar w:fldCharType="begin"/>
        </w:r>
        <w:r w:rsidR="00F0636B">
          <w:rPr>
            <w:noProof/>
            <w:webHidden/>
          </w:rPr>
          <w:instrText xml:space="preserve"> PAGEREF _Toc464220053 \h </w:instrText>
        </w:r>
        <w:r w:rsidR="00F0636B">
          <w:rPr>
            <w:noProof/>
            <w:webHidden/>
          </w:rPr>
        </w:r>
        <w:r w:rsidR="00F0636B">
          <w:rPr>
            <w:noProof/>
            <w:webHidden/>
          </w:rPr>
          <w:fldChar w:fldCharType="separate"/>
        </w:r>
        <w:r w:rsidR="00F0636B">
          <w:rPr>
            <w:noProof/>
            <w:webHidden/>
          </w:rPr>
          <w:t>87</w:t>
        </w:r>
        <w:r w:rsidR="00F0636B">
          <w:rPr>
            <w:noProof/>
            <w:webHidden/>
          </w:rPr>
          <w:fldChar w:fldCharType="end"/>
        </w:r>
      </w:hyperlink>
    </w:p>
    <w:p w14:paraId="7492884C" w14:textId="77777777" w:rsidR="00F9372E" w:rsidRPr="00514EFA" w:rsidRDefault="00AD0C23" w:rsidP="00F9372E">
      <w:pPr>
        <w:ind w:left="0" w:right="-754"/>
        <w:rPr>
          <w:rFonts w:cs="Arial"/>
        </w:rPr>
      </w:pPr>
      <w:r w:rsidRPr="00514EFA">
        <w:rPr>
          <w:rFonts w:cs="Arial"/>
        </w:rPr>
        <w:fldChar w:fldCharType="end"/>
      </w:r>
    </w:p>
    <w:p w14:paraId="7492884D" w14:textId="77777777" w:rsidR="00F9372E" w:rsidRPr="00514EFA" w:rsidRDefault="00F9372E" w:rsidP="00F9372E">
      <w:pPr>
        <w:ind w:left="0" w:right="-754"/>
        <w:rPr>
          <w:rFonts w:cs="Arial"/>
          <w:b/>
          <w:bCs/>
        </w:rPr>
      </w:pPr>
      <w:r w:rsidRPr="00514EFA">
        <w:rPr>
          <w:rFonts w:cs="Arial"/>
          <w:b/>
          <w:bCs/>
        </w:rPr>
        <w:t>Tables</w:t>
      </w:r>
    </w:p>
    <w:p w14:paraId="67C34AFF" w14:textId="77777777" w:rsidR="00E3244A" w:rsidRDefault="00AD0C23">
      <w:pPr>
        <w:pStyle w:val="TableofFigures"/>
        <w:tabs>
          <w:tab w:val="right" w:leader="dot" w:pos="9344"/>
        </w:tabs>
        <w:rPr>
          <w:rFonts w:asciiTheme="minorHAnsi" w:eastAsiaTheme="minorEastAsia" w:hAnsiTheme="minorHAnsi" w:cstheme="minorBidi"/>
          <w:noProof/>
          <w:szCs w:val="22"/>
          <w:lang w:eastAsia="en-GB"/>
        </w:rPr>
      </w:pPr>
      <w:r w:rsidRPr="00514EFA">
        <w:rPr>
          <w:rFonts w:cs="Arial"/>
          <w:b/>
          <w:bCs/>
        </w:rPr>
        <w:fldChar w:fldCharType="begin"/>
      </w:r>
      <w:r w:rsidRPr="00514EFA">
        <w:rPr>
          <w:rFonts w:cs="Arial"/>
          <w:b/>
          <w:bCs/>
        </w:rPr>
        <w:instrText xml:space="preserve"> TOC \h \z \c "Table" </w:instrText>
      </w:r>
      <w:r w:rsidRPr="00514EFA">
        <w:rPr>
          <w:rFonts w:cs="Arial"/>
          <w:b/>
          <w:bCs/>
        </w:rPr>
        <w:fldChar w:fldCharType="separate"/>
      </w:r>
      <w:hyperlink w:anchor="_Toc464220255" w:history="1">
        <w:r w:rsidR="00E3244A" w:rsidRPr="00D5706F">
          <w:rPr>
            <w:rStyle w:val="Hyperlink"/>
            <w:noProof/>
          </w:rPr>
          <w:t>Table 1: Data types</w:t>
        </w:r>
        <w:r w:rsidR="00E3244A">
          <w:rPr>
            <w:noProof/>
            <w:webHidden/>
          </w:rPr>
          <w:tab/>
        </w:r>
        <w:r w:rsidR="00E3244A">
          <w:rPr>
            <w:noProof/>
            <w:webHidden/>
          </w:rPr>
          <w:fldChar w:fldCharType="begin"/>
        </w:r>
        <w:r w:rsidR="00E3244A">
          <w:rPr>
            <w:noProof/>
            <w:webHidden/>
          </w:rPr>
          <w:instrText xml:space="preserve"> PAGEREF _Toc464220255 \h </w:instrText>
        </w:r>
        <w:r w:rsidR="00E3244A">
          <w:rPr>
            <w:noProof/>
            <w:webHidden/>
          </w:rPr>
        </w:r>
        <w:r w:rsidR="00E3244A">
          <w:rPr>
            <w:noProof/>
            <w:webHidden/>
          </w:rPr>
          <w:fldChar w:fldCharType="separate"/>
        </w:r>
        <w:r w:rsidR="00E3244A">
          <w:rPr>
            <w:noProof/>
            <w:webHidden/>
          </w:rPr>
          <w:t>27</w:t>
        </w:r>
        <w:r w:rsidR="00E3244A">
          <w:rPr>
            <w:noProof/>
            <w:webHidden/>
          </w:rPr>
          <w:fldChar w:fldCharType="end"/>
        </w:r>
      </w:hyperlink>
    </w:p>
    <w:p w14:paraId="4A21055B"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56" w:history="1">
        <w:r w:rsidR="00E3244A" w:rsidRPr="00D5706F">
          <w:rPr>
            <w:rStyle w:val="Hyperlink"/>
            <w:noProof/>
          </w:rPr>
          <w:t xml:space="preserve">Table 2: </w:t>
        </w:r>
        <w:r w:rsidR="00E3244A" w:rsidRPr="00D5706F">
          <w:rPr>
            <w:rStyle w:val="Hyperlink"/>
            <w:rFonts w:eastAsia="Calibri"/>
            <w:noProof/>
          </w:rPr>
          <w:t>All firms and CS&amp;H assets and investment</w:t>
        </w:r>
        <w:r w:rsidR="00E3244A">
          <w:rPr>
            <w:noProof/>
            <w:webHidden/>
          </w:rPr>
          <w:tab/>
        </w:r>
        <w:r w:rsidR="00E3244A">
          <w:rPr>
            <w:noProof/>
            <w:webHidden/>
          </w:rPr>
          <w:fldChar w:fldCharType="begin"/>
        </w:r>
        <w:r w:rsidR="00E3244A">
          <w:rPr>
            <w:noProof/>
            <w:webHidden/>
          </w:rPr>
          <w:instrText xml:space="preserve"> PAGEREF _Toc464220256 \h </w:instrText>
        </w:r>
        <w:r w:rsidR="00E3244A">
          <w:rPr>
            <w:noProof/>
            <w:webHidden/>
          </w:rPr>
        </w:r>
        <w:r w:rsidR="00E3244A">
          <w:rPr>
            <w:noProof/>
            <w:webHidden/>
          </w:rPr>
          <w:fldChar w:fldCharType="separate"/>
        </w:r>
        <w:r w:rsidR="00E3244A">
          <w:rPr>
            <w:noProof/>
            <w:webHidden/>
          </w:rPr>
          <w:t>28</w:t>
        </w:r>
        <w:r w:rsidR="00E3244A">
          <w:rPr>
            <w:noProof/>
            <w:webHidden/>
          </w:rPr>
          <w:fldChar w:fldCharType="end"/>
        </w:r>
      </w:hyperlink>
    </w:p>
    <w:p w14:paraId="6FD76366"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57" w:history="1">
        <w:r w:rsidR="00E3244A" w:rsidRPr="00D5706F">
          <w:rPr>
            <w:rStyle w:val="Hyperlink"/>
            <w:noProof/>
          </w:rPr>
          <w:t xml:space="preserve">Table 3: </w:t>
        </w:r>
        <w:r w:rsidR="00E3244A" w:rsidRPr="00D5706F">
          <w:rPr>
            <w:rStyle w:val="Hyperlink"/>
            <w:rFonts w:eastAsia="Calibri"/>
            <w:noProof/>
          </w:rPr>
          <w:t>CS&amp;H investment and all firms</w:t>
        </w:r>
        <w:r w:rsidR="00E3244A">
          <w:rPr>
            <w:noProof/>
            <w:webHidden/>
          </w:rPr>
          <w:tab/>
        </w:r>
        <w:r w:rsidR="00E3244A">
          <w:rPr>
            <w:noProof/>
            <w:webHidden/>
          </w:rPr>
          <w:fldChar w:fldCharType="begin"/>
        </w:r>
        <w:r w:rsidR="00E3244A">
          <w:rPr>
            <w:noProof/>
            <w:webHidden/>
          </w:rPr>
          <w:instrText xml:space="preserve"> PAGEREF _Toc464220257 \h </w:instrText>
        </w:r>
        <w:r w:rsidR="00E3244A">
          <w:rPr>
            <w:noProof/>
            <w:webHidden/>
          </w:rPr>
        </w:r>
        <w:r w:rsidR="00E3244A">
          <w:rPr>
            <w:noProof/>
            <w:webHidden/>
          </w:rPr>
          <w:fldChar w:fldCharType="separate"/>
        </w:r>
        <w:r w:rsidR="00E3244A">
          <w:rPr>
            <w:noProof/>
            <w:webHidden/>
          </w:rPr>
          <w:t>29</w:t>
        </w:r>
        <w:r w:rsidR="00E3244A">
          <w:rPr>
            <w:noProof/>
            <w:webHidden/>
          </w:rPr>
          <w:fldChar w:fldCharType="end"/>
        </w:r>
      </w:hyperlink>
    </w:p>
    <w:p w14:paraId="350D3D1C"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58" w:history="1">
        <w:r w:rsidR="00E3244A" w:rsidRPr="00D5706F">
          <w:rPr>
            <w:rStyle w:val="Hyperlink"/>
            <w:noProof/>
          </w:rPr>
          <w:t>Table 4: R</w:t>
        </w:r>
        <w:r w:rsidR="00E3244A" w:rsidRPr="00D5706F">
          <w:rPr>
            <w:rStyle w:val="Hyperlink"/>
            <w:rFonts w:eastAsia="Calibri"/>
            <w:noProof/>
          </w:rPr>
          <w:t>elationships between creative firms and CS&amp;H assets and investment</w:t>
        </w:r>
        <w:r w:rsidR="00E3244A">
          <w:rPr>
            <w:noProof/>
            <w:webHidden/>
          </w:rPr>
          <w:tab/>
        </w:r>
        <w:r w:rsidR="00E3244A">
          <w:rPr>
            <w:noProof/>
            <w:webHidden/>
          </w:rPr>
          <w:fldChar w:fldCharType="begin"/>
        </w:r>
        <w:r w:rsidR="00E3244A">
          <w:rPr>
            <w:noProof/>
            <w:webHidden/>
          </w:rPr>
          <w:instrText xml:space="preserve"> PAGEREF _Toc464220258 \h </w:instrText>
        </w:r>
        <w:r w:rsidR="00E3244A">
          <w:rPr>
            <w:noProof/>
            <w:webHidden/>
          </w:rPr>
        </w:r>
        <w:r w:rsidR="00E3244A">
          <w:rPr>
            <w:noProof/>
            <w:webHidden/>
          </w:rPr>
          <w:fldChar w:fldCharType="separate"/>
        </w:r>
        <w:r w:rsidR="00E3244A">
          <w:rPr>
            <w:noProof/>
            <w:webHidden/>
          </w:rPr>
          <w:t>31</w:t>
        </w:r>
        <w:r w:rsidR="00E3244A">
          <w:rPr>
            <w:noProof/>
            <w:webHidden/>
          </w:rPr>
          <w:fldChar w:fldCharType="end"/>
        </w:r>
      </w:hyperlink>
    </w:p>
    <w:p w14:paraId="57EE3B27"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59" w:history="1">
        <w:r w:rsidR="00E3244A" w:rsidRPr="00D5706F">
          <w:rPr>
            <w:rStyle w:val="Hyperlink"/>
            <w:noProof/>
          </w:rPr>
          <w:t>Table 5: CS&amp;H investment and the location quotient of creative firms</w:t>
        </w:r>
        <w:r w:rsidR="00E3244A">
          <w:rPr>
            <w:noProof/>
            <w:webHidden/>
          </w:rPr>
          <w:tab/>
        </w:r>
        <w:r w:rsidR="00E3244A">
          <w:rPr>
            <w:noProof/>
            <w:webHidden/>
          </w:rPr>
          <w:fldChar w:fldCharType="begin"/>
        </w:r>
        <w:r w:rsidR="00E3244A">
          <w:rPr>
            <w:noProof/>
            <w:webHidden/>
          </w:rPr>
          <w:instrText xml:space="preserve"> PAGEREF _Toc464220259 \h </w:instrText>
        </w:r>
        <w:r w:rsidR="00E3244A">
          <w:rPr>
            <w:noProof/>
            <w:webHidden/>
          </w:rPr>
        </w:r>
        <w:r w:rsidR="00E3244A">
          <w:rPr>
            <w:noProof/>
            <w:webHidden/>
          </w:rPr>
          <w:fldChar w:fldCharType="separate"/>
        </w:r>
        <w:r w:rsidR="00E3244A">
          <w:rPr>
            <w:noProof/>
            <w:webHidden/>
          </w:rPr>
          <w:t>31</w:t>
        </w:r>
        <w:r w:rsidR="00E3244A">
          <w:rPr>
            <w:noProof/>
            <w:webHidden/>
          </w:rPr>
          <w:fldChar w:fldCharType="end"/>
        </w:r>
      </w:hyperlink>
    </w:p>
    <w:p w14:paraId="69603B28"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60" w:history="1">
        <w:r w:rsidR="00E3244A" w:rsidRPr="00D5706F">
          <w:rPr>
            <w:rStyle w:val="Hyperlink"/>
            <w:noProof/>
          </w:rPr>
          <w:t xml:space="preserve">Table 6: </w:t>
        </w:r>
        <w:r w:rsidR="00E3244A" w:rsidRPr="00D5706F">
          <w:rPr>
            <w:rStyle w:val="Hyperlink"/>
            <w:rFonts w:eastAsia="Calibri"/>
            <w:noProof/>
          </w:rPr>
          <w:t>CS&amp;H investment and net migration of creative firms</w:t>
        </w:r>
        <w:r w:rsidR="00E3244A">
          <w:rPr>
            <w:noProof/>
            <w:webHidden/>
          </w:rPr>
          <w:tab/>
        </w:r>
        <w:r w:rsidR="00E3244A">
          <w:rPr>
            <w:noProof/>
            <w:webHidden/>
          </w:rPr>
          <w:fldChar w:fldCharType="begin"/>
        </w:r>
        <w:r w:rsidR="00E3244A">
          <w:rPr>
            <w:noProof/>
            <w:webHidden/>
          </w:rPr>
          <w:instrText xml:space="preserve"> PAGEREF _Toc464220260 \h </w:instrText>
        </w:r>
        <w:r w:rsidR="00E3244A">
          <w:rPr>
            <w:noProof/>
            <w:webHidden/>
          </w:rPr>
        </w:r>
        <w:r w:rsidR="00E3244A">
          <w:rPr>
            <w:noProof/>
            <w:webHidden/>
          </w:rPr>
          <w:fldChar w:fldCharType="separate"/>
        </w:r>
        <w:r w:rsidR="00E3244A">
          <w:rPr>
            <w:noProof/>
            <w:webHidden/>
          </w:rPr>
          <w:t>32</w:t>
        </w:r>
        <w:r w:rsidR="00E3244A">
          <w:rPr>
            <w:noProof/>
            <w:webHidden/>
          </w:rPr>
          <w:fldChar w:fldCharType="end"/>
        </w:r>
      </w:hyperlink>
    </w:p>
    <w:p w14:paraId="2BCA4E44"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61" w:history="1">
        <w:r w:rsidR="00E3244A" w:rsidRPr="00D5706F">
          <w:rPr>
            <w:rStyle w:val="Hyperlink"/>
            <w:noProof/>
          </w:rPr>
          <w:t>Table 7: CS&amp;H investment and creative firms’ turnover</w:t>
        </w:r>
        <w:r w:rsidR="00E3244A">
          <w:rPr>
            <w:noProof/>
            <w:webHidden/>
          </w:rPr>
          <w:tab/>
        </w:r>
        <w:r w:rsidR="00E3244A">
          <w:rPr>
            <w:noProof/>
            <w:webHidden/>
          </w:rPr>
          <w:fldChar w:fldCharType="begin"/>
        </w:r>
        <w:r w:rsidR="00E3244A">
          <w:rPr>
            <w:noProof/>
            <w:webHidden/>
          </w:rPr>
          <w:instrText xml:space="preserve"> PAGEREF _Toc464220261 \h </w:instrText>
        </w:r>
        <w:r w:rsidR="00E3244A">
          <w:rPr>
            <w:noProof/>
            <w:webHidden/>
          </w:rPr>
        </w:r>
        <w:r w:rsidR="00E3244A">
          <w:rPr>
            <w:noProof/>
            <w:webHidden/>
          </w:rPr>
          <w:fldChar w:fldCharType="separate"/>
        </w:r>
        <w:r w:rsidR="00E3244A">
          <w:rPr>
            <w:noProof/>
            <w:webHidden/>
          </w:rPr>
          <w:t>32</w:t>
        </w:r>
        <w:r w:rsidR="00E3244A">
          <w:rPr>
            <w:noProof/>
            <w:webHidden/>
          </w:rPr>
          <w:fldChar w:fldCharType="end"/>
        </w:r>
      </w:hyperlink>
    </w:p>
    <w:p w14:paraId="0B294D4A"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62" w:history="1">
        <w:r w:rsidR="00E3244A" w:rsidRPr="00D5706F">
          <w:rPr>
            <w:rStyle w:val="Hyperlink"/>
            <w:noProof/>
          </w:rPr>
          <w:t>Table 8: R</w:t>
        </w:r>
        <w:r w:rsidR="00E3244A" w:rsidRPr="00D5706F">
          <w:rPr>
            <w:rStyle w:val="Hyperlink"/>
            <w:rFonts w:eastAsia="Calibri"/>
            <w:noProof/>
          </w:rPr>
          <w:t>elationships between other industries and CS&amp;H assets and investment</w:t>
        </w:r>
        <w:r w:rsidR="00E3244A">
          <w:rPr>
            <w:noProof/>
            <w:webHidden/>
          </w:rPr>
          <w:tab/>
        </w:r>
        <w:r w:rsidR="00E3244A">
          <w:rPr>
            <w:noProof/>
            <w:webHidden/>
          </w:rPr>
          <w:fldChar w:fldCharType="begin"/>
        </w:r>
        <w:r w:rsidR="00E3244A">
          <w:rPr>
            <w:noProof/>
            <w:webHidden/>
          </w:rPr>
          <w:instrText xml:space="preserve"> PAGEREF _Toc464220262 \h </w:instrText>
        </w:r>
        <w:r w:rsidR="00E3244A">
          <w:rPr>
            <w:noProof/>
            <w:webHidden/>
          </w:rPr>
        </w:r>
        <w:r w:rsidR="00E3244A">
          <w:rPr>
            <w:noProof/>
            <w:webHidden/>
          </w:rPr>
          <w:fldChar w:fldCharType="separate"/>
        </w:r>
        <w:r w:rsidR="00E3244A">
          <w:rPr>
            <w:noProof/>
            <w:webHidden/>
          </w:rPr>
          <w:t>34</w:t>
        </w:r>
        <w:r w:rsidR="00E3244A">
          <w:rPr>
            <w:noProof/>
            <w:webHidden/>
          </w:rPr>
          <w:fldChar w:fldCharType="end"/>
        </w:r>
      </w:hyperlink>
    </w:p>
    <w:p w14:paraId="4A86C768"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63" w:history="1">
        <w:r w:rsidR="00E3244A" w:rsidRPr="00D5706F">
          <w:rPr>
            <w:rStyle w:val="Hyperlink"/>
            <w:noProof/>
          </w:rPr>
          <w:t>Table 9: Location decision factors and post-relocation value</w:t>
        </w:r>
        <w:r w:rsidR="00E3244A">
          <w:rPr>
            <w:noProof/>
            <w:webHidden/>
          </w:rPr>
          <w:tab/>
        </w:r>
        <w:r w:rsidR="00E3244A">
          <w:rPr>
            <w:noProof/>
            <w:webHidden/>
          </w:rPr>
          <w:fldChar w:fldCharType="begin"/>
        </w:r>
        <w:r w:rsidR="00E3244A">
          <w:rPr>
            <w:noProof/>
            <w:webHidden/>
          </w:rPr>
          <w:instrText xml:space="preserve"> PAGEREF _Toc464220263 \h </w:instrText>
        </w:r>
        <w:r w:rsidR="00E3244A">
          <w:rPr>
            <w:noProof/>
            <w:webHidden/>
          </w:rPr>
        </w:r>
        <w:r w:rsidR="00E3244A">
          <w:rPr>
            <w:noProof/>
            <w:webHidden/>
          </w:rPr>
          <w:fldChar w:fldCharType="separate"/>
        </w:r>
        <w:r w:rsidR="00E3244A">
          <w:rPr>
            <w:noProof/>
            <w:webHidden/>
          </w:rPr>
          <w:t>52</w:t>
        </w:r>
        <w:r w:rsidR="00E3244A">
          <w:rPr>
            <w:noProof/>
            <w:webHidden/>
          </w:rPr>
          <w:fldChar w:fldCharType="end"/>
        </w:r>
      </w:hyperlink>
    </w:p>
    <w:p w14:paraId="2F9CAB1D"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64" w:history="1">
        <w:r w:rsidR="00E3244A" w:rsidRPr="00D5706F">
          <w:rPr>
            <w:rStyle w:val="Hyperlink"/>
            <w:noProof/>
          </w:rPr>
          <w:t>Table 10: Selected correlations between CS&amp;H investment and economic indicators, 2013</w:t>
        </w:r>
        <w:r w:rsidR="00E3244A">
          <w:rPr>
            <w:noProof/>
            <w:webHidden/>
          </w:rPr>
          <w:tab/>
        </w:r>
        <w:r w:rsidR="00E3244A">
          <w:rPr>
            <w:noProof/>
            <w:webHidden/>
          </w:rPr>
          <w:fldChar w:fldCharType="begin"/>
        </w:r>
        <w:r w:rsidR="00E3244A">
          <w:rPr>
            <w:noProof/>
            <w:webHidden/>
          </w:rPr>
          <w:instrText xml:space="preserve"> PAGEREF _Toc464220264 \h </w:instrText>
        </w:r>
        <w:r w:rsidR="00E3244A">
          <w:rPr>
            <w:noProof/>
            <w:webHidden/>
          </w:rPr>
        </w:r>
        <w:r w:rsidR="00E3244A">
          <w:rPr>
            <w:noProof/>
            <w:webHidden/>
          </w:rPr>
          <w:fldChar w:fldCharType="separate"/>
        </w:r>
        <w:r w:rsidR="00E3244A">
          <w:rPr>
            <w:noProof/>
            <w:webHidden/>
          </w:rPr>
          <w:t>85</w:t>
        </w:r>
        <w:r w:rsidR="00E3244A">
          <w:rPr>
            <w:noProof/>
            <w:webHidden/>
          </w:rPr>
          <w:fldChar w:fldCharType="end"/>
        </w:r>
      </w:hyperlink>
    </w:p>
    <w:p w14:paraId="285D3235"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65" w:history="1">
        <w:r w:rsidR="00E3244A" w:rsidRPr="00D5706F">
          <w:rPr>
            <w:rStyle w:val="Hyperlink"/>
            <w:noProof/>
          </w:rPr>
          <w:t>Table 11: Selected correlations between CS&amp;H assets and economic indicators, 2013</w:t>
        </w:r>
        <w:r w:rsidR="00E3244A">
          <w:rPr>
            <w:noProof/>
            <w:webHidden/>
          </w:rPr>
          <w:tab/>
        </w:r>
        <w:r w:rsidR="00E3244A">
          <w:rPr>
            <w:noProof/>
            <w:webHidden/>
          </w:rPr>
          <w:fldChar w:fldCharType="begin"/>
        </w:r>
        <w:r w:rsidR="00E3244A">
          <w:rPr>
            <w:noProof/>
            <w:webHidden/>
          </w:rPr>
          <w:instrText xml:space="preserve"> PAGEREF _Toc464220265 \h </w:instrText>
        </w:r>
        <w:r w:rsidR="00E3244A">
          <w:rPr>
            <w:noProof/>
            <w:webHidden/>
          </w:rPr>
        </w:r>
        <w:r w:rsidR="00E3244A">
          <w:rPr>
            <w:noProof/>
            <w:webHidden/>
          </w:rPr>
          <w:fldChar w:fldCharType="separate"/>
        </w:r>
        <w:r w:rsidR="00E3244A">
          <w:rPr>
            <w:noProof/>
            <w:webHidden/>
          </w:rPr>
          <w:t>88</w:t>
        </w:r>
        <w:r w:rsidR="00E3244A">
          <w:rPr>
            <w:noProof/>
            <w:webHidden/>
          </w:rPr>
          <w:fldChar w:fldCharType="end"/>
        </w:r>
      </w:hyperlink>
    </w:p>
    <w:p w14:paraId="1A5BD759" w14:textId="77777777" w:rsidR="00E3244A" w:rsidRDefault="00395234">
      <w:pPr>
        <w:pStyle w:val="TableofFigures"/>
        <w:tabs>
          <w:tab w:val="right" w:leader="dot" w:pos="9344"/>
        </w:tabs>
        <w:rPr>
          <w:rFonts w:asciiTheme="minorHAnsi" w:eastAsiaTheme="minorEastAsia" w:hAnsiTheme="minorHAnsi" w:cstheme="minorBidi"/>
          <w:noProof/>
          <w:szCs w:val="22"/>
          <w:lang w:eastAsia="en-GB"/>
        </w:rPr>
      </w:pPr>
      <w:hyperlink w:anchor="_Toc464220266" w:history="1">
        <w:r w:rsidR="00E3244A" w:rsidRPr="00D5706F">
          <w:rPr>
            <w:rStyle w:val="Hyperlink"/>
            <w:noProof/>
          </w:rPr>
          <w:t>Table 12: Assets and investment datasets reviewed</w:t>
        </w:r>
        <w:r w:rsidR="00E3244A">
          <w:rPr>
            <w:noProof/>
            <w:webHidden/>
          </w:rPr>
          <w:tab/>
        </w:r>
        <w:r w:rsidR="00E3244A">
          <w:rPr>
            <w:noProof/>
            <w:webHidden/>
          </w:rPr>
          <w:fldChar w:fldCharType="begin"/>
        </w:r>
        <w:r w:rsidR="00E3244A">
          <w:rPr>
            <w:noProof/>
            <w:webHidden/>
          </w:rPr>
          <w:instrText xml:space="preserve"> PAGEREF _Toc464220266 \h </w:instrText>
        </w:r>
        <w:r w:rsidR="00E3244A">
          <w:rPr>
            <w:noProof/>
            <w:webHidden/>
          </w:rPr>
        </w:r>
        <w:r w:rsidR="00E3244A">
          <w:rPr>
            <w:noProof/>
            <w:webHidden/>
          </w:rPr>
          <w:fldChar w:fldCharType="separate"/>
        </w:r>
        <w:r w:rsidR="00E3244A">
          <w:rPr>
            <w:noProof/>
            <w:webHidden/>
          </w:rPr>
          <w:t>90</w:t>
        </w:r>
        <w:r w:rsidR="00E3244A">
          <w:rPr>
            <w:noProof/>
            <w:webHidden/>
          </w:rPr>
          <w:fldChar w:fldCharType="end"/>
        </w:r>
      </w:hyperlink>
    </w:p>
    <w:p w14:paraId="1618AEA9" w14:textId="77777777" w:rsidR="00C22878" w:rsidRPr="00514EFA" w:rsidRDefault="00AD0C23" w:rsidP="00F9372E">
      <w:pPr>
        <w:ind w:left="0" w:right="-754"/>
        <w:rPr>
          <w:rFonts w:cs="Arial"/>
          <w:b/>
          <w:bCs/>
        </w:rPr>
      </w:pPr>
      <w:r w:rsidRPr="00514EFA">
        <w:rPr>
          <w:rFonts w:cs="Arial"/>
          <w:b/>
          <w:bCs/>
        </w:rPr>
        <w:fldChar w:fldCharType="end"/>
      </w:r>
    </w:p>
    <w:p w14:paraId="4BF133CE" w14:textId="77777777" w:rsidR="00C22878" w:rsidRPr="00514EFA" w:rsidRDefault="00C22878" w:rsidP="00F9372E">
      <w:pPr>
        <w:ind w:left="0" w:right="-754"/>
        <w:rPr>
          <w:rFonts w:cs="Arial"/>
          <w:b/>
          <w:bCs/>
        </w:rPr>
      </w:pPr>
    </w:p>
    <w:p w14:paraId="5A2CBB6B" w14:textId="77777777" w:rsidR="00C22878" w:rsidRPr="00514EFA" w:rsidRDefault="00C22878" w:rsidP="00F9372E">
      <w:pPr>
        <w:ind w:left="0" w:right="-754"/>
        <w:rPr>
          <w:rFonts w:cs="Arial"/>
          <w:b/>
          <w:bCs/>
        </w:rPr>
        <w:sectPr w:rsidR="00C22878" w:rsidRPr="00514EFA" w:rsidSect="00796D8C">
          <w:headerReference w:type="default" r:id="rId23"/>
          <w:pgSz w:w="11906" w:h="16838" w:code="9"/>
          <w:pgMar w:top="1134" w:right="1134" w:bottom="1418" w:left="1418" w:header="709" w:footer="408" w:gutter="0"/>
          <w:pgNumType w:start="1"/>
          <w:cols w:space="708"/>
          <w:docGrid w:linePitch="360"/>
        </w:sectPr>
      </w:pPr>
    </w:p>
    <w:p w14:paraId="74928852" w14:textId="522C35B2" w:rsidR="00C41C54" w:rsidRPr="003C72B4" w:rsidRDefault="00C41C54" w:rsidP="00F87951">
      <w:pPr>
        <w:pStyle w:val="Heading1Numbered"/>
      </w:pPr>
      <w:bookmarkStart w:id="2" w:name="_Ref460315620"/>
      <w:bookmarkStart w:id="3" w:name="_Toc464222882"/>
      <w:r w:rsidRPr="003C72B4">
        <w:t>Executive Summary</w:t>
      </w:r>
      <w:bookmarkEnd w:id="2"/>
      <w:bookmarkEnd w:id="3"/>
    </w:p>
    <w:p w14:paraId="6ACA6763" w14:textId="24A3A546" w:rsidR="008E5314" w:rsidRPr="00514EFA" w:rsidRDefault="008E5314" w:rsidP="00176CC9">
      <w:pPr>
        <w:pStyle w:val="Heading2Numbered"/>
      </w:pPr>
      <w:bookmarkStart w:id="4" w:name="_Toc464222883"/>
      <w:r w:rsidRPr="00514EFA">
        <w:t>Study aims and objectives</w:t>
      </w:r>
      <w:bookmarkEnd w:id="4"/>
    </w:p>
    <w:p w14:paraId="606B91C8" w14:textId="42B25A54" w:rsidR="00176CC9" w:rsidRPr="00514EFA" w:rsidRDefault="00176CC9" w:rsidP="00176CC9">
      <w:pPr>
        <w:rPr>
          <w:rFonts w:cs="Arial"/>
        </w:rPr>
      </w:pPr>
      <w:r w:rsidRPr="00514EFA">
        <w:rPr>
          <w:rFonts w:cs="Arial"/>
        </w:rPr>
        <w:t>The CASE programme is a joint strategic research programme led by the Department for Culture, Media and Sport (DCMS) and its sector leading arms-length bodies: Arts Council England, Historic England and Sport England. CASE use</w:t>
      </w:r>
      <w:r w:rsidR="000B13F1">
        <w:rPr>
          <w:rFonts w:cs="Arial"/>
        </w:rPr>
        <w:t>s</w:t>
      </w:r>
      <w:r w:rsidRPr="00514EFA">
        <w:rPr>
          <w:rFonts w:cs="Arial"/>
        </w:rPr>
        <w:t xml:space="preserve"> interdisciplinary research methods and analysis to inform the development of policy in culture and sport. </w:t>
      </w:r>
    </w:p>
    <w:p w14:paraId="0DB47F8C" w14:textId="39308F4E" w:rsidR="00176CC9" w:rsidRPr="00514EFA" w:rsidRDefault="00176CC9" w:rsidP="00176CC9">
      <w:pPr>
        <w:rPr>
          <w:rFonts w:cs="Arial"/>
        </w:rPr>
      </w:pPr>
      <w:r w:rsidRPr="00514EFA">
        <w:rPr>
          <w:rFonts w:cs="Arial"/>
        </w:rPr>
        <w:t>As part of its commitment to build an evidence base regarding the role that culture, sport and heritage (CS&amp;H) play in driving positive economic and social outcomes in local places, in 2015 the CASE programme commissioned a partnership led by Trends Business Research Ltd (TBR)</w:t>
      </w:r>
      <w:r w:rsidR="00AC2448" w:rsidRPr="00514EFA">
        <w:rPr>
          <w:rFonts w:cs="Arial"/>
        </w:rPr>
        <w:t xml:space="preserve"> </w:t>
      </w:r>
      <w:r w:rsidRPr="00514EFA">
        <w:rPr>
          <w:rFonts w:cs="Arial"/>
        </w:rPr>
        <w:t xml:space="preserve">and including NEF Consulting </w:t>
      </w:r>
      <w:r w:rsidR="000B13F1">
        <w:rPr>
          <w:rFonts w:cs="Arial"/>
        </w:rPr>
        <w:t xml:space="preserve">Ltd </w:t>
      </w:r>
      <w:r w:rsidRPr="00514EFA">
        <w:rPr>
          <w:rFonts w:cs="Arial"/>
        </w:rPr>
        <w:t>and Middlesex University to undertake this study.</w:t>
      </w:r>
    </w:p>
    <w:p w14:paraId="20A21B81" w14:textId="58641D57" w:rsidR="004E4628" w:rsidRPr="00514EFA" w:rsidRDefault="004E4628" w:rsidP="004E4628">
      <w:pPr>
        <w:rPr>
          <w:rFonts w:cs="Arial"/>
        </w:rPr>
      </w:pPr>
      <w:r w:rsidRPr="00514EFA">
        <w:rPr>
          <w:rFonts w:cs="Arial"/>
        </w:rPr>
        <w:t xml:space="preserve">This study focuses on generating evidence to support the argument that </w:t>
      </w:r>
      <w:r w:rsidR="000B13F1" w:rsidRPr="00514EFA">
        <w:rPr>
          <w:rFonts w:cs="Arial"/>
        </w:rPr>
        <w:t xml:space="preserve">culture, sport and heritage </w:t>
      </w:r>
      <w:r w:rsidRPr="00514EFA">
        <w:rPr>
          <w:rFonts w:cs="Arial"/>
        </w:rPr>
        <w:t xml:space="preserve">infrastructure and investment have the ability to promote and drive positive economic and social outcomes at the local level. </w:t>
      </w:r>
      <w:r w:rsidR="000B13F1">
        <w:rPr>
          <w:rFonts w:cs="Arial"/>
        </w:rPr>
        <w:t>It</w:t>
      </w:r>
      <w:r w:rsidRPr="00514EFA">
        <w:rPr>
          <w:rFonts w:cs="Arial"/>
        </w:rPr>
        <w:t xml:space="preserve"> </w:t>
      </w:r>
      <w:r w:rsidR="000B13F1">
        <w:rPr>
          <w:rFonts w:cs="Arial"/>
        </w:rPr>
        <w:t>aim</w:t>
      </w:r>
      <w:r w:rsidRPr="00514EFA">
        <w:rPr>
          <w:rFonts w:cs="Arial"/>
        </w:rPr>
        <w:t xml:space="preserve">s to examine the extent to which </w:t>
      </w:r>
      <w:r w:rsidR="000B13F1" w:rsidRPr="00514EFA">
        <w:rPr>
          <w:rFonts w:cs="Arial"/>
        </w:rPr>
        <w:t xml:space="preserve">culture, sport and heritage </w:t>
      </w:r>
      <w:r w:rsidRPr="00514EFA">
        <w:rPr>
          <w:rFonts w:cs="Arial"/>
        </w:rPr>
        <w:t>infrastructure and investment within a place influence (through direct and indirect impacts, tangible and intangible) the economy and society of that place.</w:t>
      </w:r>
      <w:r w:rsidR="00A033C6">
        <w:rPr>
          <w:rFonts w:cs="Arial"/>
        </w:rPr>
        <w:t xml:space="preserve"> </w:t>
      </w:r>
      <w:r>
        <w:rPr>
          <w:rFonts w:cs="Arial"/>
        </w:rPr>
        <w:t>Crucially, the study focuses on a range of potential economic</w:t>
      </w:r>
      <w:r w:rsidR="00A033C6">
        <w:rPr>
          <w:rFonts w:cs="Arial"/>
        </w:rPr>
        <w:t xml:space="preserve"> </w:t>
      </w:r>
      <w:r>
        <w:rPr>
          <w:rFonts w:cs="Arial"/>
        </w:rPr>
        <w:t xml:space="preserve">indicators and linkages to the presence of CS&amp;H </w:t>
      </w:r>
      <w:r w:rsidR="000B13F1">
        <w:rPr>
          <w:rFonts w:cs="Arial"/>
        </w:rPr>
        <w:t>infrastructure (‘</w:t>
      </w:r>
      <w:r>
        <w:rPr>
          <w:rFonts w:cs="Arial"/>
        </w:rPr>
        <w:t>assets</w:t>
      </w:r>
      <w:r w:rsidR="000B13F1">
        <w:rPr>
          <w:rFonts w:cs="Arial"/>
        </w:rPr>
        <w:t>’)</w:t>
      </w:r>
      <w:r>
        <w:rPr>
          <w:rFonts w:cs="Arial"/>
        </w:rPr>
        <w:t xml:space="preserve"> and investment.</w:t>
      </w:r>
    </w:p>
    <w:p w14:paraId="039D1091" w14:textId="10A8ED98" w:rsidR="004E4628" w:rsidRPr="00514EFA" w:rsidRDefault="004E4628" w:rsidP="004E4628">
      <w:pPr>
        <w:rPr>
          <w:rFonts w:cs="Arial"/>
          <w:szCs w:val="22"/>
        </w:rPr>
      </w:pPr>
      <w:r>
        <w:rPr>
          <w:rFonts w:cs="Arial"/>
        </w:rPr>
        <w:t xml:space="preserve">The study therefore represents </w:t>
      </w:r>
      <w:r w:rsidRPr="00980CF7">
        <w:rPr>
          <w:rFonts w:cs="Arial"/>
        </w:rPr>
        <w:t>a</w:t>
      </w:r>
      <w:r w:rsidR="00980CF7" w:rsidRPr="00980CF7">
        <w:rPr>
          <w:rFonts w:cs="Arial"/>
        </w:rPr>
        <w:t xml:space="preserve"> starting</w:t>
      </w:r>
      <w:r w:rsidRPr="00980CF7">
        <w:rPr>
          <w:rFonts w:cs="Arial"/>
        </w:rPr>
        <w:t xml:space="preserve"> point</w:t>
      </w:r>
      <w:r>
        <w:rPr>
          <w:rFonts w:cs="Arial"/>
        </w:rPr>
        <w:t xml:space="preserve"> for </w:t>
      </w:r>
      <w:proofErr w:type="gramStart"/>
      <w:r>
        <w:rPr>
          <w:rFonts w:cs="Arial"/>
        </w:rPr>
        <w:t>research which</w:t>
      </w:r>
      <w:proofErr w:type="gramEnd"/>
      <w:r>
        <w:rPr>
          <w:rFonts w:cs="Arial"/>
        </w:rPr>
        <w:t xml:space="preserve"> seeks to resolve the wider question of the role of CS&amp;H assets and investment in place-shaping.</w:t>
      </w:r>
    </w:p>
    <w:p w14:paraId="10F53518" w14:textId="13C689D2" w:rsidR="00236F8E" w:rsidRPr="00514EFA" w:rsidRDefault="00236F8E" w:rsidP="00236F8E">
      <w:pPr>
        <w:rPr>
          <w:rFonts w:cs="Arial"/>
        </w:rPr>
      </w:pPr>
      <w:r w:rsidRPr="00514EFA">
        <w:rPr>
          <w:rFonts w:cs="Arial"/>
        </w:rPr>
        <w:t>The study is by its very nature exploratory.</w:t>
      </w:r>
      <w:r w:rsidR="00A033C6">
        <w:rPr>
          <w:rFonts w:cs="Arial"/>
        </w:rPr>
        <w:t xml:space="preserve"> </w:t>
      </w:r>
      <w:r w:rsidRPr="00514EFA">
        <w:rPr>
          <w:rFonts w:cs="Arial"/>
        </w:rPr>
        <w:t xml:space="preserve">It </w:t>
      </w:r>
      <w:r w:rsidR="00753A00">
        <w:rPr>
          <w:rFonts w:cs="Arial"/>
        </w:rPr>
        <w:t>builds</w:t>
      </w:r>
      <w:r w:rsidR="00753A00" w:rsidRPr="00514EFA">
        <w:rPr>
          <w:rFonts w:cs="Arial"/>
        </w:rPr>
        <w:t xml:space="preserve"> </w:t>
      </w:r>
      <w:r w:rsidRPr="00514EFA">
        <w:rPr>
          <w:rFonts w:cs="Arial"/>
        </w:rPr>
        <w:t xml:space="preserve">on a feasibility study published by the CASE programme in 2011 – </w:t>
      </w:r>
      <w:r w:rsidRPr="00BB7156">
        <w:rPr>
          <w:rFonts w:cs="Arial"/>
          <w:i/>
        </w:rPr>
        <w:t>The Art of the Possible</w:t>
      </w:r>
      <w:r w:rsidR="000B13F1">
        <w:rPr>
          <w:rStyle w:val="FootnoteReference"/>
          <w:rFonts w:cs="Arial"/>
        </w:rPr>
        <w:footnoteReference w:id="1"/>
      </w:r>
      <w:r w:rsidR="00A033C6">
        <w:rPr>
          <w:rFonts w:cs="Arial"/>
        </w:rPr>
        <w:t xml:space="preserve"> </w:t>
      </w:r>
      <w:r w:rsidRPr="00514EFA">
        <w:rPr>
          <w:rFonts w:cs="Arial"/>
        </w:rPr>
        <w:t>– which identified techniques and data sources that would support an empirical approach to measuring and evidencing economic and social impacts arising from culture, sport and heritage assets and investment.</w:t>
      </w:r>
    </w:p>
    <w:p w14:paraId="71ED260A" w14:textId="71696940" w:rsidR="008E5314" w:rsidRPr="00514EFA" w:rsidRDefault="008E5314" w:rsidP="00511EC8">
      <w:pPr>
        <w:pStyle w:val="Heading2Numbered"/>
      </w:pPr>
      <w:bookmarkStart w:id="5" w:name="_Toc464222884"/>
      <w:r w:rsidRPr="00514EFA">
        <w:t>Methodology</w:t>
      </w:r>
      <w:bookmarkEnd w:id="5"/>
    </w:p>
    <w:p w14:paraId="12035E64" w14:textId="3CD2DED7" w:rsidR="004E4628" w:rsidRPr="004E4628" w:rsidRDefault="004E4628" w:rsidP="004E4628">
      <w:pPr>
        <w:rPr>
          <w:rFonts w:cs="Arial"/>
          <w:szCs w:val="22"/>
        </w:rPr>
      </w:pPr>
      <w:r w:rsidRPr="004E4628">
        <w:rPr>
          <w:rFonts w:cs="Arial"/>
          <w:szCs w:val="22"/>
        </w:rPr>
        <w:t xml:space="preserve">Previous studies </w:t>
      </w:r>
      <w:r w:rsidR="00753A00">
        <w:rPr>
          <w:rFonts w:cs="Arial"/>
          <w:szCs w:val="22"/>
        </w:rPr>
        <w:t xml:space="preserve">in the UK and internationally </w:t>
      </w:r>
      <w:r w:rsidRPr="004E4628">
        <w:rPr>
          <w:rFonts w:cs="Arial"/>
          <w:szCs w:val="22"/>
        </w:rPr>
        <w:t>have focused on quantifying the links between public and private investment in CS&amp;H and the creation of productive creative industries clusters.</w:t>
      </w:r>
      <w:r w:rsidR="00A033C6">
        <w:rPr>
          <w:rFonts w:cs="Arial"/>
          <w:szCs w:val="22"/>
        </w:rPr>
        <w:t xml:space="preserve"> </w:t>
      </w:r>
      <w:r w:rsidRPr="004E4628">
        <w:rPr>
          <w:rFonts w:cs="Arial"/>
          <w:szCs w:val="22"/>
        </w:rPr>
        <w:t xml:space="preserve">This study builds on this approach and examines first, the links between CS&amp;H assets and investment and local </w:t>
      </w:r>
      <w:r w:rsidR="003C72B4" w:rsidRPr="004E4628">
        <w:rPr>
          <w:rFonts w:cs="Arial"/>
          <w:szCs w:val="22"/>
        </w:rPr>
        <w:t>econom</w:t>
      </w:r>
      <w:r w:rsidR="003C72B4">
        <w:rPr>
          <w:rFonts w:cs="Arial"/>
          <w:szCs w:val="22"/>
        </w:rPr>
        <w:t>ic</w:t>
      </w:r>
      <w:r w:rsidR="003C72B4" w:rsidRPr="004E4628">
        <w:rPr>
          <w:rFonts w:cs="Arial"/>
          <w:szCs w:val="22"/>
        </w:rPr>
        <w:t xml:space="preserve"> </w:t>
      </w:r>
      <w:r w:rsidRPr="004E4628">
        <w:rPr>
          <w:rFonts w:cs="Arial"/>
          <w:szCs w:val="22"/>
        </w:rPr>
        <w:t xml:space="preserve">performance more generally and </w:t>
      </w:r>
      <w:r w:rsidRPr="00C17BF2">
        <w:rPr>
          <w:rFonts w:cs="Arial"/>
          <w:szCs w:val="22"/>
        </w:rPr>
        <w:t>secon</w:t>
      </w:r>
      <w:r w:rsidRPr="004E4628">
        <w:rPr>
          <w:rFonts w:cs="Arial"/>
          <w:szCs w:val="22"/>
        </w:rPr>
        <w:t>d, links between CS&amp;H asset</w:t>
      </w:r>
      <w:r w:rsidR="00D44C4D">
        <w:rPr>
          <w:rFonts w:cs="Arial"/>
          <w:szCs w:val="22"/>
        </w:rPr>
        <w:t>s</w:t>
      </w:r>
      <w:r w:rsidRPr="004E4628">
        <w:rPr>
          <w:rFonts w:cs="Arial"/>
          <w:szCs w:val="22"/>
        </w:rPr>
        <w:t xml:space="preserve"> and investment and </w:t>
      </w:r>
      <w:r w:rsidRPr="00C17BF2">
        <w:rPr>
          <w:rFonts w:cs="Arial"/>
          <w:szCs w:val="22"/>
        </w:rPr>
        <w:t>creative industry clusters.</w:t>
      </w:r>
    </w:p>
    <w:p w14:paraId="3FBBC615" w14:textId="3C9AEFF1" w:rsidR="00176CC9" w:rsidRPr="00514EFA" w:rsidRDefault="00D44C4D" w:rsidP="00176CC9">
      <w:pPr>
        <w:rPr>
          <w:rFonts w:cs="Arial"/>
          <w:szCs w:val="22"/>
        </w:rPr>
      </w:pPr>
      <w:r>
        <w:rPr>
          <w:rFonts w:cs="Arial"/>
          <w:szCs w:val="22"/>
        </w:rPr>
        <w:t>D</w:t>
      </w:r>
      <w:r w:rsidR="00E7503E" w:rsidRPr="00514EFA">
        <w:rPr>
          <w:rFonts w:cs="Arial"/>
          <w:szCs w:val="22"/>
        </w:rPr>
        <w:t>ecisions on methodological approach were driven by a number of factors: consideration of the existing literature</w:t>
      </w:r>
      <w:r w:rsidR="003C72B4">
        <w:rPr>
          <w:rFonts w:cs="Arial"/>
          <w:szCs w:val="22"/>
        </w:rPr>
        <w:t>,</w:t>
      </w:r>
      <w:r w:rsidR="003C72B4" w:rsidRPr="00514EFA">
        <w:rPr>
          <w:rFonts w:cs="Arial"/>
          <w:szCs w:val="22"/>
        </w:rPr>
        <w:t xml:space="preserve"> </w:t>
      </w:r>
      <w:r w:rsidR="00E7503E" w:rsidRPr="00514EFA">
        <w:rPr>
          <w:rFonts w:cs="Arial"/>
          <w:szCs w:val="22"/>
        </w:rPr>
        <w:t xml:space="preserve">an assessment of available data for use in any econometric model, and discussions with the client steering group around </w:t>
      </w:r>
      <w:r>
        <w:rPr>
          <w:rFonts w:cs="Arial"/>
          <w:szCs w:val="22"/>
        </w:rPr>
        <w:t>the</w:t>
      </w:r>
      <w:r w:rsidRPr="00514EFA">
        <w:rPr>
          <w:rFonts w:cs="Arial"/>
          <w:szCs w:val="22"/>
        </w:rPr>
        <w:t xml:space="preserve"> </w:t>
      </w:r>
      <w:r w:rsidR="00E7503E" w:rsidRPr="00514EFA">
        <w:rPr>
          <w:rFonts w:cs="Arial"/>
          <w:szCs w:val="22"/>
        </w:rPr>
        <w:t>impact areas to focus on (taking feasibility, evidence gaps and client preference</w:t>
      </w:r>
      <w:r>
        <w:rPr>
          <w:rFonts w:cs="Arial"/>
          <w:szCs w:val="22"/>
        </w:rPr>
        <w:t>s</w:t>
      </w:r>
      <w:r w:rsidR="00E7503E" w:rsidRPr="00514EFA">
        <w:rPr>
          <w:rFonts w:cs="Arial"/>
          <w:szCs w:val="22"/>
        </w:rPr>
        <w:t xml:space="preserve"> into account).</w:t>
      </w:r>
    </w:p>
    <w:p w14:paraId="7D7533CA" w14:textId="30CB8FD9" w:rsidR="003A2B2C" w:rsidRPr="00514EFA" w:rsidRDefault="003A2B2C" w:rsidP="003318C7">
      <w:r w:rsidRPr="00514EFA">
        <w:t xml:space="preserve">The study has generated a </w:t>
      </w:r>
      <w:r w:rsidR="00D44C4D">
        <w:t>large</w:t>
      </w:r>
      <w:r w:rsidRPr="00514EFA">
        <w:t xml:space="preserve">, longitudinal dataset containing </w:t>
      </w:r>
      <w:r w:rsidR="003C72B4">
        <w:t>multiple</w:t>
      </w:r>
      <w:r w:rsidR="003C72B4" w:rsidRPr="00514EFA">
        <w:t xml:space="preserve"> </w:t>
      </w:r>
      <w:r w:rsidRPr="00514EFA">
        <w:t>variables.</w:t>
      </w:r>
      <w:r w:rsidR="00A033C6">
        <w:t xml:space="preserve"> </w:t>
      </w:r>
      <w:r w:rsidRPr="00514EFA">
        <w:t>These were employed in the econometric models as either independent variables (i.e. CS&amp;H assets, CS&amp;H investments), dependent variables (</w:t>
      </w:r>
      <w:r w:rsidR="00D44C4D">
        <w:t>e.g</w:t>
      </w:r>
      <w:r w:rsidR="003C72B4">
        <w:t>.</w:t>
      </w:r>
      <w:r w:rsidRPr="00514EFA">
        <w:t xml:space="preserve"> firm density per capita, turnover, net firm migration) or control variables (e.g. transport infrastructure, population).</w:t>
      </w:r>
      <w:r w:rsidR="00A033C6">
        <w:t xml:space="preserve"> </w:t>
      </w:r>
      <w:r w:rsidR="0049684A" w:rsidRPr="00514EFA">
        <w:t>The dataset cover</w:t>
      </w:r>
      <w:r w:rsidR="003C72B4">
        <w:t>s</w:t>
      </w:r>
      <w:r w:rsidR="0049684A" w:rsidRPr="00514EFA">
        <w:t xml:space="preserve"> the time period 2003</w:t>
      </w:r>
      <w:r w:rsidR="003C72B4">
        <w:t>–</w:t>
      </w:r>
      <w:r w:rsidR="0049684A" w:rsidRPr="00514EFA">
        <w:t>2013 and the data are collected at the local authority level.</w:t>
      </w:r>
    </w:p>
    <w:p w14:paraId="5B259F73" w14:textId="0096ABEE" w:rsidR="006F4AA8" w:rsidRPr="00514EFA" w:rsidRDefault="006169F7" w:rsidP="003318C7">
      <w:r w:rsidRPr="00514EFA">
        <w:t xml:space="preserve">We exploited </w:t>
      </w:r>
      <w:r w:rsidR="003C72B4">
        <w:t>this</w:t>
      </w:r>
      <w:r w:rsidR="003C72B4" w:rsidRPr="00514EFA">
        <w:t xml:space="preserve"> </w:t>
      </w:r>
      <w:r w:rsidRPr="00514EFA">
        <w:t xml:space="preserve">rich dataset to conduct an econometric analysis, </w:t>
      </w:r>
      <w:r w:rsidR="00980CF7" w:rsidRPr="00980CF7">
        <w:t xml:space="preserve">exploring </w:t>
      </w:r>
      <w:r w:rsidRPr="00980CF7">
        <w:t>these links</w:t>
      </w:r>
      <w:r w:rsidRPr="00514EFA">
        <w:t xml:space="preserve"> both cross-sectionally and longitudinally over the last ten years.</w:t>
      </w:r>
      <w:r w:rsidR="006F4AA8" w:rsidRPr="00514EFA">
        <w:t xml:space="preserve"> Our general strategy has been highly exploratory, controlling for as many determinants of outcomes as possible </w:t>
      </w:r>
      <w:r w:rsidR="006E235A">
        <w:t xml:space="preserve">in order </w:t>
      </w:r>
      <w:r w:rsidR="006F4AA8" w:rsidRPr="00514EFA">
        <w:t xml:space="preserve">to identify push/pull factors of location and economic success. These </w:t>
      </w:r>
      <w:r w:rsidR="006E235A">
        <w:t xml:space="preserve">factors </w:t>
      </w:r>
      <w:r w:rsidR="006F4AA8" w:rsidRPr="00514EFA">
        <w:t xml:space="preserve">are </w:t>
      </w:r>
      <w:r w:rsidR="006E235A">
        <w:t>identified in</w:t>
      </w:r>
      <w:r w:rsidR="006F4AA8" w:rsidRPr="00514EFA">
        <w:t xml:space="preserve"> multiple studies as </w:t>
      </w:r>
      <w:r w:rsidR="006E235A">
        <w:t>cited</w:t>
      </w:r>
      <w:r w:rsidR="006E235A" w:rsidRPr="00514EFA">
        <w:t xml:space="preserve"> </w:t>
      </w:r>
      <w:r w:rsidR="006F4AA8" w:rsidRPr="00514EFA">
        <w:t>in Arzauzo-Carod et al</w:t>
      </w:r>
      <w:r w:rsidR="00AC2448">
        <w:t xml:space="preserve"> (2009)</w:t>
      </w:r>
      <w:r w:rsidR="00AC2448">
        <w:rPr>
          <w:rStyle w:val="FootnoteReference"/>
          <w:rFonts w:cs="Arial"/>
        </w:rPr>
        <w:footnoteReference w:id="2"/>
      </w:r>
      <w:r w:rsidR="006F4AA8" w:rsidRPr="00514EFA">
        <w:t>, and Lazzeretti et al</w:t>
      </w:r>
      <w:r w:rsidR="00AC2448">
        <w:t xml:space="preserve"> (2009)</w:t>
      </w:r>
      <w:r w:rsidR="00AC2448">
        <w:rPr>
          <w:rStyle w:val="FootnoteReference"/>
          <w:rFonts w:cs="Arial"/>
        </w:rPr>
        <w:footnoteReference w:id="3"/>
      </w:r>
      <w:r w:rsidR="006F4AA8" w:rsidRPr="00514EFA">
        <w:t>, combining multidisciplinary approaches based on cultural economics, evolutionary geography and urban economics.</w:t>
      </w:r>
    </w:p>
    <w:p w14:paraId="61EBC34A" w14:textId="71737483" w:rsidR="00F23430" w:rsidRPr="00514EFA" w:rsidRDefault="00F23430" w:rsidP="00F23430">
      <w:pPr>
        <w:pStyle w:val="Heading2Numbered"/>
      </w:pPr>
      <w:bookmarkStart w:id="6" w:name="_Toc464222885"/>
      <w:r w:rsidRPr="00514EFA">
        <w:t>Key findings – all firms</w:t>
      </w:r>
      <w:bookmarkEnd w:id="6"/>
    </w:p>
    <w:p w14:paraId="31A5399E" w14:textId="6E27D6DF" w:rsidR="008377F6" w:rsidRDefault="00980CF7" w:rsidP="008377F6">
      <w:pPr>
        <w:rPr>
          <w:rFonts w:cs="Arial"/>
        </w:rPr>
      </w:pPr>
      <w:r w:rsidRPr="00980CF7">
        <w:rPr>
          <w:rFonts w:cs="Arial"/>
        </w:rPr>
        <w:t xml:space="preserve">This section presents </w:t>
      </w:r>
      <w:r w:rsidR="008377F6" w:rsidRPr="00980CF7">
        <w:rPr>
          <w:rFonts w:cs="Arial"/>
        </w:rPr>
        <w:t xml:space="preserve">key findings from the econometric estimation and analysis of the links between CS&amp;H assets and investment and </w:t>
      </w:r>
      <w:r w:rsidR="001A215D" w:rsidRPr="000F6B69">
        <w:rPr>
          <w:rFonts w:cs="Arial"/>
        </w:rPr>
        <w:t>local economic performance</w:t>
      </w:r>
      <w:r w:rsidRPr="00BB0A2F">
        <w:rPr>
          <w:rFonts w:cs="Arial"/>
        </w:rPr>
        <w:t>.</w:t>
      </w:r>
    </w:p>
    <w:p w14:paraId="62EDA024" w14:textId="40C154B7" w:rsidR="00D262DC" w:rsidRPr="00C138AC" w:rsidRDefault="00D262DC" w:rsidP="008377F6">
      <w:pPr>
        <w:rPr>
          <w:rFonts w:cs="Arial"/>
          <w:b/>
        </w:rPr>
      </w:pPr>
      <w:r>
        <w:rPr>
          <w:rFonts w:cs="Arial"/>
          <w:b/>
        </w:rPr>
        <w:t>CS&amp;H assets</w:t>
      </w:r>
    </w:p>
    <w:p w14:paraId="7FE727B8" w14:textId="275EC410" w:rsidR="00F23430" w:rsidRDefault="00F23430" w:rsidP="00F65463">
      <w:pPr>
        <w:pStyle w:val="Bullet"/>
      </w:pPr>
      <w:r w:rsidRPr="00514EFA">
        <w:t xml:space="preserve">The number of firms per capita is strongly and positively associated with </w:t>
      </w:r>
      <w:r w:rsidR="00F21970" w:rsidRPr="00514EFA">
        <w:t>heritage</w:t>
      </w:r>
      <w:r w:rsidRPr="00514EFA">
        <w:t xml:space="preserve"> assets density</w:t>
      </w:r>
      <w:r w:rsidR="00F21970" w:rsidRPr="00514EFA">
        <w:t xml:space="preserve"> as well as </w:t>
      </w:r>
      <w:r w:rsidR="001A215D">
        <w:t>other</w:t>
      </w:r>
      <w:r w:rsidR="00753A00">
        <w:t xml:space="preserve"> </w:t>
      </w:r>
      <w:r w:rsidR="00F21970" w:rsidRPr="00514EFA">
        <w:t>cultural assets</w:t>
      </w:r>
      <w:r w:rsidRPr="00514EFA">
        <w:t xml:space="preserve">. Net migration of all firms is also strongly and positively associated with </w:t>
      </w:r>
      <w:r w:rsidR="00F21970" w:rsidRPr="00514EFA">
        <w:t>cultural assets.</w:t>
      </w:r>
      <w:r w:rsidRPr="00514EFA">
        <w:t xml:space="preserve"> These results are robust when considering </w:t>
      </w:r>
      <w:r w:rsidR="001A215D">
        <w:t>l</w:t>
      </w:r>
      <w:r w:rsidR="001A215D" w:rsidRPr="00514EFA">
        <w:t xml:space="preserve">ocal </w:t>
      </w:r>
      <w:r w:rsidR="001A215D">
        <w:t>a</w:t>
      </w:r>
      <w:r w:rsidR="001A215D" w:rsidRPr="00514EFA">
        <w:t xml:space="preserve">uthorities </w:t>
      </w:r>
      <w:r w:rsidR="00F21970" w:rsidRPr="00514EFA">
        <w:t>in major urban centres</w:t>
      </w:r>
      <w:r w:rsidRPr="00514EFA">
        <w:t xml:space="preserve"> as well as those that are</w:t>
      </w:r>
      <w:r w:rsidR="00753A00">
        <w:t xml:space="preserve"> </w:t>
      </w:r>
      <w:r w:rsidRPr="00514EFA">
        <w:t>n</w:t>
      </w:r>
      <w:r w:rsidR="00753A00">
        <w:t>o</w:t>
      </w:r>
      <w:r w:rsidRPr="00514EFA">
        <w:t>t</w:t>
      </w:r>
      <w:r w:rsidR="00F21970" w:rsidRPr="00514EFA">
        <w:t>.</w:t>
      </w:r>
      <w:r w:rsidR="00A033C6">
        <w:t xml:space="preserve"> </w:t>
      </w:r>
      <w:r w:rsidR="00F21970" w:rsidRPr="00514EFA">
        <w:t>T</w:t>
      </w:r>
      <w:r w:rsidRPr="00514EFA">
        <w:t xml:space="preserve">his is an important result as </w:t>
      </w:r>
      <w:r w:rsidR="00F21970" w:rsidRPr="00514EFA">
        <w:t xml:space="preserve">it </w:t>
      </w:r>
      <w:r w:rsidRPr="00514EFA">
        <w:t xml:space="preserve">suggests </w:t>
      </w:r>
      <w:r w:rsidR="001A215D">
        <w:t xml:space="preserve">a direct relationship, and </w:t>
      </w:r>
      <w:r w:rsidRPr="00514EFA">
        <w:t>not simply that agglomeration is driving a high level of both cultural events and a greater concentration of industry.</w:t>
      </w:r>
    </w:p>
    <w:p w14:paraId="188B4ABE" w14:textId="5C34CFE5" w:rsidR="00D262DC" w:rsidRPr="00514EFA" w:rsidRDefault="00D262DC" w:rsidP="00BB7156">
      <w:pPr>
        <w:pStyle w:val="Bullet"/>
        <w:rPr>
          <w:rFonts w:eastAsia="Calibri"/>
        </w:rPr>
      </w:pPr>
      <w:r w:rsidRPr="00514EFA">
        <w:rPr>
          <w:rFonts w:eastAsia="Calibri"/>
        </w:rPr>
        <w:t xml:space="preserve">Turnover of all firms per capita is associated positively with </w:t>
      </w:r>
      <w:r>
        <w:rPr>
          <w:rFonts w:eastAsia="Calibri"/>
        </w:rPr>
        <w:t>heritage</w:t>
      </w:r>
      <w:r w:rsidRPr="00514EFA">
        <w:rPr>
          <w:rFonts w:eastAsia="Calibri"/>
        </w:rPr>
        <w:t xml:space="preserve"> assets density, and more weakly with population</w:t>
      </w:r>
      <w:r w:rsidR="001A215D">
        <w:rPr>
          <w:rFonts w:eastAsia="Calibri"/>
        </w:rPr>
        <w:t xml:space="preserve"> size</w:t>
      </w:r>
      <w:r w:rsidRPr="00514EFA">
        <w:rPr>
          <w:rFonts w:eastAsia="Calibri"/>
        </w:rPr>
        <w:t>. It is also very strongly associated with GVA per capita, although as with number of firms per capita, this result may be subject to simultaneity bias.</w:t>
      </w:r>
    </w:p>
    <w:p w14:paraId="2A3E0CD3" w14:textId="297ECFFF" w:rsidR="00D262DC" w:rsidRPr="00C138AC" w:rsidRDefault="00D262DC" w:rsidP="00C138AC">
      <w:pPr>
        <w:rPr>
          <w:rFonts w:eastAsia="Calibri" w:cs="Arial"/>
          <w:b/>
        </w:rPr>
      </w:pPr>
      <w:r>
        <w:rPr>
          <w:rFonts w:eastAsia="Calibri" w:cs="Arial"/>
          <w:b/>
        </w:rPr>
        <w:t>CS&amp;H investment</w:t>
      </w:r>
    </w:p>
    <w:p w14:paraId="2D9473EC" w14:textId="77777777" w:rsidR="008377F6" w:rsidRDefault="008377F6" w:rsidP="00BB7156">
      <w:pPr>
        <w:pStyle w:val="Bullet"/>
        <w:rPr>
          <w:rFonts w:eastAsia="Calibri"/>
        </w:rPr>
      </w:pPr>
      <w:r w:rsidRPr="00514EFA">
        <w:rPr>
          <w:rFonts w:eastAsia="Calibri"/>
        </w:rPr>
        <w:t>Investment in CS&amp;H is in general negatively associated with indicators of all firms’ economic performance, although it is only significant for local authority investment and number of firms per capita.</w:t>
      </w:r>
    </w:p>
    <w:p w14:paraId="3DAAAC0F" w14:textId="1C2BDD59" w:rsidR="00D262DC" w:rsidRPr="00514EFA" w:rsidRDefault="00D262DC" w:rsidP="00BB7156">
      <w:pPr>
        <w:pStyle w:val="Bullet"/>
        <w:rPr>
          <w:rFonts w:eastAsia="Calibri"/>
        </w:rPr>
      </w:pPr>
      <w:r w:rsidRPr="00514EFA">
        <w:rPr>
          <w:rFonts w:eastAsia="Calibri"/>
        </w:rPr>
        <w:t xml:space="preserve">Turnover of all firms per capita is negatively associated with per capita investment in CS&amp;H. </w:t>
      </w:r>
    </w:p>
    <w:p w14:paraId="73C88699" w14:textId="6C740325" w:rsidR="00A033C6" w:rsidRPr="00945747" w:rsidRDefault="00D262DC" w:rsidP="00BB7156">
      <w:pPr>
        <w:pStyle w:val="Bullet"/>
        <w:rPr>
          <w:rFonts w:eastAsia="Calibri"/>
          <w:b/>
        </w:rPr>
      </w:pPr>
      <w:r w:rsidRPr="00514EFA">
        <w:rPr>
          <w:rFonts w:eastAsia="Calibri"/>
        </w:rPr>
        <w:t>Lagged investment in CS&amp;H per capita on the other hand is positively associated with number of firms per capita and net migration of firms. Both migration of firms and number of firms variables are less immediately responsive to changes (e</w:t>
      </w:r>
      <w:r w:rsidR="00945747">
        <w:rPr>
          <w:rFonts w:eastAsia="Calibri"/>
        </w:rPr>
        <w:t>.</w:t>
      </w:r>
      <w:r w:rsidRPr="00514EFA">
        <w:rPr>
          <w:rFonts w:eastAsia="Calibri"/>
        </w:rPr>
        <w:t>g. firms must make decisions to relocate or start up) than turnover.</w:t>
      </w:r>
    </w:p>
    <w:p w14:paraId="00FE3F36" w14:textId="698A255E" w:rsidR="00D262DC" w:rsidRPr="00C138AC" w:rsidRDefault="00D262DC" w:rsidP="000A0E5D">
      <w:pPr>
        <w:rPr>
          <w:rFonts w:eastAsia="Calibri" w:cs="Arial"/>
          <w:b/>
        </w:rPr>
      </w:pPr>
      <w:r>
        <w:rPr>
          <w:rFonts w:eastAsia="Calibri" w:cs="Arial"/>
          <w:b/>
        </w:rPr>
        <w:t>Other variables</w:t>
      </w:r>
    </w:p>
    <w:p w14:paraId="537F9C7D" w14:textId="39A98ABE" w:rsidR="008377F6" w:rsidRPr="00514EFA" w:rsidRDefault="008377F6" w:rsidP="00BB7156">
      <w:pPr>
        <w:pStyle w:val="Bullet"/>
        <w:rPr>
          <w:rFonts w:eastAsia="Calibri"/>
        </w:rPr>
      </w:pPr>
      <w:r w:rsidRPr="00514EFA">
        <w:rPr>
          <w:rFonts w:eastAsia="Calibri"/>
        </w:rPr>
        <w:t xml:space="preserve">Number of firms per capita is also significantly associated with the employment rate, the availability of skilled labour, housing density, transport infrastructure, GVA per capita and population. The most significant variable is GVA per capita – however, this variable might be subject to </w:t>
      </w:r>
      <w:r w:rsidR="00945747" w:rsidRPr="00514EFA">
        <w:rPr>
          <w:rFonts w:eastAsia="Calibri"/>
        </w:rPr>
        <w:t xml:space="preserve">simultaneity </w:t>
      </w:r>
      <w:r w:rsidRPr="00514EFA">
        <w:rPr>
          <w:rFonts w:eastAsia="Calibri"/>
        </w:rPr>
        <w:t>bias as it is reasonable to assume the number of firms per capita may contribute to GVA per capita.</w:t>
      </w:r>
    </w:p>
    <w:p w14:paraId="02A5D13A" w14:textId="36E7B479" w:rsidR="008377F6" w:rsidRPr="00514EFA" w:rsidRDefault="008377F6" w:rsidP="00BB7156">
      <w:pPr>
        <w:pStyle w:val="Bullet"/>
        <w:rPr>
          <w:rFonts w:eastAsia="Calibri"/>
        </w:rPr>
      </w:pPr>
      <w:r w:rsidRPr="00514EFA">
        <w:rPr>
          <w:rFonts w:eastAsia="Calibri"/>
        </w:rPr>
        <w:t xml:space="preserve">Net migration of firms is positively associated with employment rate, </w:t>
      </w:r>
      <w:r w:rsidR="00945747">
        <w:rPr>
          <w:rFonts w:eastAsia="Calibri"/>
        </w:rPr>
        <w:t xml:space="preserve">the availability of </w:t>
      </w:r>
      <w:r w:rsidRPr="00514EFA">
        <w:rPr>
          <w:rFonts w:eastAsia="Calibri"/>
        </w:rPr>
        <w:t>skilled labour, life satisfaction and population. These may effectively be thought of as factors that directly attract firms.</w:t>
      </w:r>
    </w:p>
    <w:p w14:paraId="5FC79ED6" w14:textId="77777777" w:rsidR="00236F8E" w:rsidRPr="00514EFA" w:rsidRDefault="00236F8E" w:rsidP="00236F8E">
      <w:pPr>
        <w:pStyle w:val="Heading2Numbered"/>
      </w:pPr>
      <w:bookmarkStart w:id="7" w:name="_Toc464222886"/>
      <w:r w:rsidRPr="00514EFA">
        <w:t>Key findings – creative industries</w:t>
      </w:r>
      <w:bookmarkEnd w:id="7"/>
    </w:p>
    <w:p w14:paraId="08255329" w14:textId="01761E4F" w:rsidR="00236F8E" w:rsidRDefault="00980CF7" w:rsidP="00236F8E">
      <w:pPr>
        <w:rPr>
          <w:rFonts w:cs="Arial"/>
        </w:rPr>
      </w:pPr>
      <w:r w:rsidRPr="00980CF7">
        <w:rPr>
          <w:rFonts w:cs="Arial"/>
        </w:rPr>
        <w:t xml:space="preserve">This section presents </w:t>
      </w:r>
      <w:r w:rsidR="00236F8E" w:rsidRPr="00980CF7">
        <w:rPr>
          <w:rFonts w:cs="Arial"/>
        </w:rPr>
        <w:t xml:space="preserve">key findings from the econometric estimation and analysis of the links between CS&amp;H assets and investment and </w:t>
      </w:r>
      <w:r w:rsidR="006D4A97" w:rsidRPr="000F6B69">
        <w:rPr>
          <w:rFonts w:cs="Arial"/>
        </w:rPr>
        <w:t>econ</w:t>
      </w:r>
      <w:r w:rsidR="006D4A97" w:rsidRPr="00A43B85">
        <w:rPr>
          <w:rFonts w:cs="Arial"/>
        </w:rPr>
        <w:t xml:space="preserve">omic performance </w:t>
      </w:r>
      <w:r w:rsidR="00236F8E" w:rsidRPr="00804037">
        <w:rPr>
          <w:rFonts w:cs="Arial"/>
        </w:rPr>
        <w:t>of the creative industries</w:t>
      </w:r>
      <w:r w:rsidRPr="00BB0A2F">
        <w:rPr>
          <w:rFonts w:cs="Arial"/>
        </w:rPr>
        <w:t>.</w:t>
      </w:r>
    </w:p>
    <w:p w14:paraId="1AF3F016" w14:textId="2B756024" w:rsidR="00236F8E" w:rsidRPr="004A56C1" w:rsidRDefault="00236F8E" w:rsidP="00236F8E">
      <w:pPr>
        <w:rPr>
          <w:rFonts w:cs="Arial"/>
          <w:b/>
        </w:rPr>
      </w:pPr>
      <w:r>
        <w:rPr>
          <w:rFonts w:cs="Arial"/>
          <w:b/>
        </w:rPr>
        <w:t xml:space="preserve">CS&amp;H </w:t>
      </w:r>
      <w:r w:rsidR="005034DE">
        <w:rPr>
          <w:rFonts w:cs="Arial"/>
          <w:b/>
        </w:rPr>
        <w:t>assets</w:t>
      </w:r>
    </w:p>
    <w:p w14:paraId="1B4E4B92" w14:textId="77777777" w:rsidR="00236F8E" w:rsidRPr="00AC2448" w:rsidRDefault="00236F8E" w:rsidP="00BB7156">
      <w:pPr>
        <w:pStyle w:val="Bullet"/>
        <w:rPr>
          <w:rFonts w:eastAsia="Calibri"/>
        </w:rPr>
      </w:pPr>
      <w:r w:rsidRPr="00AC2448">
        <w:rPr>
          <w:rFonts w:eastAsia="Calibri"/>
        </w:rPr>
        <w:t xml:space="preserve">Both creative firms’ location quotient and turnover is positively and significantly associated with the density of heritage assets and the number of cultural events listings per capita (i.e. cultural assets). It should be noted that, particularly with cultural events listings and turnover, there is a risk of reverse causality: if creative firms hold cultural events, this would likely increase turnover. </w:t>
      </w:r>
    </w:p>
    <w:p w14:paraId="25B5CFC5" w14:textId="0C91601C" w:rsidR="00236F8E" w:rsidRPr="00514EFA" w:rsidRDefault="00236F8E" w:rsidP="00BB7156">
      <w:pPr>
        <w:pStyle w:val="Bullet"/>
        <w:rPr>
          <w:rFonts w:eastAsia="Calibri"/>
        </w:rPr>
      </w:pPr>
      <w:r w:rsidRPr="00514EFA">
        <w:rPr>
          <w:rFonts w:eastAsia="Calibri"/>
        </w:rPr>
        <w:t xml:space="preserve">Both relative concentration of creative firms and creative firms’ turnover are negatively associated with density of sports assets. </w:t>
      </w:r>
    </w:p>
    <w:p w14:paraId="4AF08717" w14:textId="4020C546" w:rsidR="00236F8E" w:rsidRPr="004A56C1" w:rsidRDefault="00236F8E" w:rsidP="00236F8E">
      <w:pPr>
        <w:tabs>
          <w:tab w:val="left" w:pos="2655"/>
        </w:tabs>
        <w:rPr>
          <w:rFonts w:cs="Arial"/>
        </w:rPr>
      </w:pPr>
      <w:r>
        <w:rPr>
          <w:rFonts w:cs="Arial"/>
          <w:b/>
        </w:rPr>
        <w:t xml:space="preserve">CS&amp;H </w:t>
      </w:r>
      <w:r w:rsidR="005034DE">
        <w:rPr>
          <w:rFonts w:cs="Arial"/>
          <w:b/>
        </w:rPr>
        <w:t>i</w:t>
      </w:r>
      <w:r>
        <w:rPr>
          <w:rFonts w:cs="Arial"/>
          <w:b/>
        </w:rPr>
        <w:t>nvestment</w:t>
      </w:r>
    </w:p>
    <w:p w14:paraId="087B64FC" w14:textId="443CE3A0" w:rsidR="00236F8E" w:rsidRPr="00514EFA" w:rsidRDefault="00236F8E" w:rsidP="00BB7156">
      <w:pPr>
        <w:pStyle w:val="Bullet"/>
      </w:pPr>
      <w:r w:rsidRPr="00514EFA">
        <w:rPr>
          <w:rFonts w:eastAsia="Calibri"/>
        </w:rPr>
        <w:t xml:space="preserve">Per capita investment in CS&amp;H is strongly and positively associated with the relative concentration of creative firms, both within and outwith major urban centres. </w:t>
      </w:r>
      <w:r w:rsidR="005034DE" w:rsidRPr="00514EFA">
        <w:rPr>
          <w:rFonts w:eastAsia="Calibri"/>
        </w:rPr>
        <w:t>Two</w:t>
      </w:r>
      <w:r w:rsidR="005034DE">
        <w:rPr>
          <w:rFonts w:eastAsia="Calibri"/>
        </w:rPr>
        <w:t>-</w:t>
      </w:r>
      <w:r w:rsidRPr="00514EFA">
        <w:rPr>
          <w:rFonts w:eastAsia="Calibri"/>
        </w:rPr>
        <w:t xml:space="preserve">year lagged investment per capita in CS&amp;H is also strongly associated with the location quotient of creative firms. </w:t>
      </w:r>
    </w:p>
    <w:p w14:paraId="00DDD30B" w14:textId="5FB06905" w:rsidR="00236F8E" w:rsidRDefault="00236F8E" w:rsidP="00BB7156">
      <w:pPr>
        <w:pStyle w:val="Bullet"/>
        <w:rPr>
          <w:rFonts w:eastAsia="Calibri"/>
        </w:rPr>
      </w:pPr>
      <w:r w:rsidRPr="00514EFA">
        <w:rPr>
          <w:rFonts w:eastAsia="Calibri"/>
        </w:rPr>
        <w:t>Lagged (</w:t>
      </w:r>
      <w:r w:rsidR="005034DE" w:rsidRPr="00514EFA">
        <w:rPr>
          <w:rFonts w:eastAsia="Calibri"/>
        </w:rPr>
        <w:t>two</w:t>
      </w:r>
      <w:r w:rsidR="005034DE">
        <w:rPr>
          <w:rFonts w:eastAsia="Calibri"/>
        </w:rPr>
        <w:t>-</w:t>
      </w:r>
      <w:r w:rsidRPr="00514EFA">
        <w:rPr>
          <w:rFonts w:eastAsia="Calibri"/>
        </w:rPr>
        <w:t xml:space="preserve">year) per capita investment in CS&amp;H is significantly and positively associated with turnover of creative firms in major urban centres, but not in </w:t>
      </w:r>
      <w:r w:rsidR="005034DE">
        <w:rPr>
          <w:rFonts w:eastAsia="Calibri"/>
        </w:rPr>
        <w:t>l</w:t>
      </w:r>
      <w:r w:rsidR="005034DE" w:rsidRPr="00514EFA">
        <w:rPr>
          <w:rFonts w:eastAsia="Calibri"/>
        </w:rPr>
        <w:t xml:space="preserve">ocal </w:t>
      </w:r>
      <w:r w:rsidR="005034DE">
        <w:rPr>
          <w:rFonts w:eastAsia="Calibri"/>
        </w:rPr>
        <w:t>a</w:t>
      </w:r>
      <w:r w:rsidR="005034DE" w:rsidRPr="00514EFA">
        <w:rPr>
          <w:rFonts w:eastAsia="Calibri"/>
        </w:rPr>
        <w:t xml:space="preserve">uthorities </w:t>
      </w:r>
      <w:r w:rsidRPr="00514EFA">
        <w:rPr>
          <w:rFonts w:eastAsia="Calibri"/>
        </w:rPr>
        <w:t xml:space="preserve">outside major urban centres. Competitiveness, a </w:t>
      </w:r>
      <w:r w:rsidR="005034DE">
        <w:rPr>
          <w:rFonts w:eastAsia="Calibri"/>
        </w:rPr>
        <w:t xml:space="preserve">composite </w:t>
      </w:r>
      <w:r w:rsidRPr="00514EFA">
        <w:rPr>
          <w:rFonts w:eastAsia="Calibri"/>
        </w:rPr>
        <w:t xml:space="preserve">measure </w:t>
      </w:r>
      <w:r w:rsidRPr="00980CF7">
        <w:rPr>
          <w:rFonts w:eastAsia="Calibri"/>
        </w:rPr>
        <w:t xml:space="preserve">including </w:t>
      </w:r>
      <w:r w:rsidR="00980CF7" w:rsidRPr="00980CF7">
        <w:rPr>
          <w:rFonts w:eastAsia="Calibri"/>
        </w:rPr>
        <w:t>Gross Value Added (</w:t>
      </w:r>
      <w:r w:rsidRPr="00980CF7">
        <w:rPr>
          <w:rFonts w:eastAsia="Calibri"/>
        </w:rPr>
        <w:t>GVA</w:t>
      </w:r>
      <w:r w:rsidR="00980CF7" w:rsidRPr="00980CF7">
        <w:rPr>
          <w:rFonts w:eastAsia="Calibri"/>
        </w:rPr>
        <w:t>)</w:t>
      </w:r>
      <w:r w:rsidRPr="00514EFA">
        <w:rPr>
          <w:rFonts w:eastAsia="Calibri"/>
        </w:rPr>
        <w:t>, is positively associated with turnover in both cases.</w:t>
      </w:r>
    </w:p>
    <w:p w14:paraId="45D6160A" w14:textId="0DB9DE94" w:rsidR="00C138AC" w:rsidRDefault="00C138AC" w:rsidP="00BB7156">
      <w:pPr>
        <w:pStyle w:val="Bullet"/>
        <w:rPr>
          <w:rFonts w:eastAsia="Calibri"/>
        </w:rPr>
      </w:pPr>
      <w:r>
        <w:rPr>
          <w:rFonts w:eastAsia="Calibri"/>
        </w:rPr>
        <w:t>The potential significance of these results is</w:t>
      </w:r>
      <w:r w:rsidR="006D4A97">
        <w:rPr>
          <w:rFonts w:eastAsia="Calibri"/>
        </w:rPr>
        <w:t xml:space="preserve"> that</w:t>
      </w:r>
      <w:r>
        <w:rPr>
          <w:rFonts w:eastAsia="Calibri"/>
        </w:rPr>
        <w:t xml:space="preserve"> they </w:t>
      </w:r>
      <w:r w:rsidR="005034DE">
        <w:rPr>
          <w:rFonts w:eastAsia="Calibri"/>
        </w:rPr>
        <w:t xml:space="preserve">may </w:t>
      </w:r>
      <w:r>
        <w:rPr>
          <w:rFonts w:eastAsia="Calibri"/>
        </w:rPr>
        <w:t>present evidence of drivers of creative industries clustering</w:t>
      </w:r>
      <w:r w:rsidR="006D4A97">
        <w:rPr>
          <w:rFonts w:eastAsia="Calibri"/>
        </w:rPr>
        <w:t xml:space="preserve"> and growth</w:t>
      </w:r>
      <w:r>
        <w:rPr>
          <w:rFonts w:eastAsia="Calibri"/>
        </w:rPr>
        <w:t>.</w:t>
      </w:r>
    </w:p>
    <w:p w14:paraId="58F60903" w14:textId="77777777" w:rsidR="00236F8E" w:rsidRPr="004A56C1" w:rsidRDefault="00236F8E" w:rsidP="00236F8E">
      <w:pPr>
        <w:tabs>
          <w:tab w:val="left" w:pos="2655"/>
        </w:tabs>
        <w:rPr>
          <w:rFonts w:eastAsia="Calibri" w:cs="Arial"/>
          <w:b/>
        </w:rPr>
      </w:pPr>
      <w:r>
        <w:rPr>
          <w:rFonts w:eastAsia="Calibri" w:cs="Arial"/>
          <w:b/>
        </w:rPr>
        <w:t>Other variables</w:t>
      </w:r>
    </w:p>
    <w:p w14:paraId="71C4A4E2" w14:textId="7C79F32D" w:rsidR="00236F8E" w:rsidRPr="00514EFA" w:rsidRDefault="00236F8E" w:rsidP="00BB7156">
      <w:pPr>
        <w:pStyle w:val="Bullet"/>
        <w:rPr>
          <w:rFonts w:eastAsia="Calibri"/>
        </w:rPr>
      </w:pPr>
      <w:r w:rsidRPr="00514EFA">
        <w:rPr>
          <w:rFonts w:eastAsia="Calibri"/>
        </w:rPr>
        <w:t>Net migration of creative firms is not significantly associated with any CS&amp;H assets or investment; the only significant variables for this model are network infrastructure and population.</w:t>
      </w:r>
      <w:r w:rsidR="00150389">
        <w:rPr>
          <w:rFonts w:eastAsia="Calibri"/>
        </w:rPr>
        <w:t xml:space="preserve"> However, testing this relationship more conclusively would require a longer time series.</w:t>
      </w:r>
    </w:p>
    <w:p w14:paraId="73F7B7F4" w14:textId="4D0C8F68" w:rsidR="008E5314" w:rsidRPr="00514EFA" w:rsidRDefault="008377F6" w:rsidP="00176CC9">
      <w:pPr>
        <w:pStyle w:val="Heading2Numbered"/>
      </w:pPr>
      <w:bookmarkStart w:id="8" w:name="_Toc464222887"/>
      <w:r w:rsidRPr="00514EFA">
        <w:t>Conclusions</w:t>
      </w:r>
      <w:bookmarkEnd w:id="8"/>
    </w:p>
    <w:p w14:paraId="41AC8ACF" w14:textId="46F17C34" w:rsidR="008377F6" w:rsidRPr="00514EFA" w:rsidRDefault="008377F6" w:rsidP="008377F6">
      <w:pPr>
        <w:rPr>
          <w:rFonts w:cs="Arial"/>
        </w:rPr>
      </w:pPr>
      <w:r w:rsidRPr="00514EFA">
        <w:rPr>
          <w:rFonts w:cs="Arial"/>
        </w:rPr>
        <w:t xml:space="preserve">The study is by design highly </w:t>
      </w:r>
      <w:r w:rsidR="009F018D">
        <w:rPr>
          <w:rFonts w:cs="Arial"/>
        </w:rPr>
        <w:t>exploratory</w:t>
      </w:r>
      <w:r w:rsidR="009F018D" w:rsidRPr="00514EFA">
        <w:rPr>
          <w:rFonts w:cs="Arial"/>
        </w:rPr>
        <w:t xml:space="preserve"> </w:t>
      </w:r>
      <w:r w:rsidRPr="00514EFA">
        <w:rPr>
          <w:rFonts w:cs="Arial"/>
        </w:rPr>
        <w:t xml:space="preserve">and it is important that this is borne in mind when </w:t>
      </w:r>
      <w:r w:rsidR="005034DE">
        <w:rPr>
          <w:rFonts w:cs="Arial"/>
        </w:rPr>
        <w:t xml:space="preserve">interpreting </w:t>
      </w:r>
      <w:r w:rsidRPr="00514EFA">
        <w:rPr>
          <w:rFonts w:cs="Arial"/>
        </w:rPr>
        <w:t>the results.</w:t>
      </w:r>
      <w:r w:rsidR="00A033C6">
        <w:rPr>
          <w:rFonts w:cs="Arial"/>
        </w:rPr>
        <w:t xml:space="preserve"> </w:t>
      </w:r>
      <w:r w:rsidR="006D4A97">
        <w:rPr>
          <w:rFonts w:cs="Arial"/>
        </w:rPr>
        <w:t>Nevertheless</w:t>
      </w:r>
      <w:r w:rsidRPr="00514EFA">
        <w:rPr>
          <w:rFonts w:cs="Arial"/>
        </w:rPr>
        <w:t>, the study provides some important and interesting evidence of the positive role that CS&amp;H assets and investment play in place</w:t>
      </w:r>
      <w:r w:rsidR="006D4A97">
        <w:rPr>
          <w:rFonts w:cs="Arial"/>
        </w:rPr>
        <w:t>-</w:t>
      </w:r>
      <w:r w:rsidRPr="00514EFA">
        <w:rPr>
          <w:rFonts w:cs="Arial"/>
        </w:rPr>
        <w:t xml:space="preserve">shaping, when examined through the lens of </w:t>
      </w:r>
      <w:r w:rsidR="00F43948">
        <w:rPr>
          <w:rFonts w:cs="Arial"/>
        </w:rPr>
        <w:t xml:space="preserve">the </w:t>
      </w:r>
      <w:r w:rsidRPr="00514EFA">
        <w:rPr>
          <w:rFonts w:cs="Arial"/>
        </w:rPr>
        <w:t>economic performance of the creative industries and the wider local economy more generally.</w:t>
      </w:r>
    </w:p>
    <w:p w14:paraId="1AAA28DA" w14:textId="2BAEE874" w:rsidR="00A46795" w:rsidRPr="00514EFA" w:rsidRDefault="00A46795" w:rsidP="008377F6">
      <w:pPr>
        <w:rPr>
          <w:rFonts w:cs="Arial"/>
        </w:rPr>
      </w:pPr>
      <w:r w:rsidRPr="00514EFA">
        <w:rPr>
          <w:rFonts w:cs="Arial"/>
        </w:rPr>
        <w:t>Further work in this field is required in a number of areas.</w:t>
      </w:r>
      <w:r w:rsidR="00A033C6">
        <w:rPr>
          <w:rFonts w:cs="Arial"/>
        </w:rPr>
        <w:t xml:space="preserve"> </w:t>
      </w:r>
      <w:r w:rsidRPr="00514EFA">
        <w:rPr>
          <w:rFonts w:cs="Arial"/>
        </w:rPr>
        <w:t xml:space="preserve">Case </w:t>
      </w:r>
      <w:proofErr w:type="gramStart"/>
      <w:r w:rsidRPr="00514EFA">
        <w:rPr>
          <w:rFonts w:cs="Arial"/>
        </w:rPr>
        <w:t>studies which examine</w:t>
      </w:r>
      <w:r w:rsidR="005034DE" w:rsidRPr="005034DE">
        <w:rPr>
          <w:rFonts w:cs="Arial"/>
        </w:rPr>
        <w:t xml:space="preserve"> </w:t>
      </w:r>
      <w:r w:rsidR="005034DE" w:rsidRPr="00514EFA">
        <w:rPr>
          <w:rFonts w:cs="Arial"/>
        </w:rPr>
        <w:t>the nature of the local impact ecosystem</w:t>
      </w:r>
      <w:proofErr w:type="gramEnd"/>
      <w:r w:rsidRPr="00514EFA">
        <w:rPr>
          <w:rFonts w:cs="Arial"/>
        </w:rPr>
        <w:t xml:space="preserve"> </w:t>
      </w:r>
      <w:r w:rsidR="005034DE" w:rsidRPr="00514EFA">
        <w:rPr>
          <w:rFonts w:cs="Arial"/>
        </w:rPr>
        <w:t xml:space="preserve">and </w:t>
      </w:r>
      <w:r w:rsidRPr="00514EFA">
        <w:rPr>
          <w:rFonts w:cs="Arial"/>
        </w:rPr>
        <w:t>the mechanisms by which local impact is stimulated could generate vital qualitative evidence to complement quantitative evidence of the direction and scale of impacts.</w:t>
      </w:r>
      <w:r w:rsidR="00A033C6">
        <w:rPr>
          <w:rFonts w:cs="Arial"/>
        </w:rPr>
        <w:t xml:space="preserve"> </w:t>
      </w:r>
      <w:r w:rsidRPr="00514EFA">
        <w:rPr>
          <w:rFonts w:cs="Arial"/>
        </w:rPr>
        <w:t>They could also investigate the crucial local conditions (e.g. cumulative investment, wider investment/regeneration programmes, and so on</w:t>
      </w:r>
      <w:proofErr w:type="gramStart"/>
      <w:r w:rsidRPr="00514EFA">
        <w:rPr>
          <w:rFonts w:cs="Arial"/>
        </w:rPr>
        <w:t>)</w:t>
      </w:r>
      <w:r w:rsidR="006D4A97" w:rsidRPr="00514EFA">
        <w:rPr>
          <w:rFonts w:cs="Arial"/>
        </w:rPr>
        <w:t xml:space="preserve"> which</w:t>
      </w:r>
      <w:proofErr w:type="gramEnd"/>
      <w:r w:rsidR="006D4A97" w:rsidRPr="00514EFA">
        <w:rPr>
          <w:rFonts w:cs="Arial"/>
        </w:rPr>
        <w:t xml:space="preserve"> might influence whether impacts are achieved and their scale</w:t>
      </w:r>
      <w:r w:rsidRPr="00514EFA">
        <w:rPr>
          <w:rFonts w:cs="Arial"/>
        </w:rPr>
        <w:t>.</w:t>
      </w:r>
      <w:r w:rsidR="00A033C6">
        <w:rPr>
          <w:rFonts w:cs="Arial"/>
        </w:rPr>
        <w:t xml:space="preserve"> </w:t>
      </w:r>
      <w:r w:rsidRPr="00514EFA">
        <w:rPr>
          <w:rFonts w:cs="Arial"/>
        </w:rPr>
        <w:t>Data collection in response to a number of key data limitations could also underpin future analysis.</w:t>
      </w:r>
      <w:r w:rsidR="00A033C6">
        <w:rPr>
          <w:rFonts w:cs="Arial"/>
        </w:rPr>
        <w:t xml:space="preserve"> </w:t>
      </w:r>
      <w:r w:rsidRPr="00514EFA">
        <w:rPr>
          <w:rFonts w:cs="Arial"/>
        </w:rPr>
        <w:t>For example, better longitudinal data on assets and investment would enhance results.</w:t>
      </w:r>
      <w:r w:rsidR="00A033C6">
        <w:rPr>
          <w:rFonts w:cs="Arial"/>
        </w:rPr>
        <w:t xml:space="preserve"> </w:t>
      </w:r>
      <w:r w:rsidRPr="00514EFA">
        <w:rPr>
          <w:rFonts w:cs="Arial"/>
        </w:rPr>
        <w:t>Data that is robust at smaller spatial scale than local authority would also allow for wider influencers on economic performance (e.g. the loss of major employers in specific locations within a place) to be controlled out of the analysis.</w:t>
      </w:r>
    </w:p>
    <w:p w14:paraId="50D55995" w14:textId="24EB24F3" w:rsidR="00A46795" w:rsidRPr="00514EFA" w:rsidRDefault="00A46795" w:rsidP="008377F6">
      <w:pPr>
        <w:rPr>
          <w:rFonts w:cs="Arial"/>
        </w:rPr>
      </w:pPr>
      <w:r w:rsidRPr="00514EFA">
        <w:rPr>
          <w:rFonts w:cs="Arial"/>
        </w:rPr>
        <w:t xml:space="preserve">This study represents an important first step on a journey to develop the evidence base around the role that CS&amp;H assets and investment play in </w:t>
      </w:r>
      <w:proofErr w:type="gramStart"/>
      <w:r w:rsidR="006D4A97" w:rsidRPr="00514EFA">
        <w:rPr>
          <w:rFonts w:cs="Arial"/>
        </w:rPr>
        <w:t>place</w:t>
      </w:r>
      <w:r w:rsidR="006D4A97">
        <w:rPr>
          <w:rFonts w:cs="Arial"/>
        </w:rPr>
        <w:t>-</w:t>
      </w:r>
      <w:r w:rsidRPr="00514EFA">
        <w:rPr>
          <w:rFonts w:cs="Arial"/>
        </w:rPr>
        <w:t>shaping</w:t>
      </w:r>
      <w:proofErr w:type="gramEnd"/>
      <w:r w:rsidR="00843D97" w:rsidRPr="00514EFA">
        <w:rPr>
          <w:rFonts w:cs="Arial"/>
        </w:rPr>
        <w:t>.</w:t>
      </w:r>
      <w:r w:rsidR="00A033C6">
        <w:rPr>
          <w:rFonts w:cs="Arial"/>
        </w:rPr>
        <w:t xml:space="preserve"> </w:t>
      </w:r>
      <w:r w:rsidR="00843D97" w:rsidRPr="00514EFA">
        <w:rPr>
          <w:rFonts w:cs="Arial"/>
        </w:rPr>
        <w:t xml:space="preserve">The hope is that it stimulates debate and further work amongst policy </w:t>
      </w:r>
      <w:r w:rsidR="0061177D" w:rsidRPr="00514EFA">
        <w:rPr>
          <w:rFonts w:cs="Arial"/>
        </w:rPr>
        <w:t xml:space="preserve">makers, practitioners </w:t>
      </w:r>
      <w:r w:rsidR="00843D97" w:rsidRPr="00514EFA">
        <w:rPr>
          <w:rFonts w:cs="Arial"/>
        </w:rPr>
        <w:t xml:space="preserve">and </w:t>
      </w:r>
      <w:r w:rsidR="0061177D" w:rsidRPr="00514EFA">
        <w:rPr>
          <w:rFonts w:cs="Arial"/>
        </w:rPr>
        <w:t>the research community</w:t>
      </w:r>
      <w:r w:rsidR="00843D97" w:rsidRPr="00514EFA">
        <w:rPr>
          <w:rFonts w:cs="Arial"/>
        </w:rPr>
        <w:t>.</w:t>
      </w:r>
    </w:p>
    <w:p w14:paraId="4F873675" w14:textId="77777777" w:rsidR="008E5314" w:rsidRPr="00514EFA" w:rsidRDefault="008E5314" w:rsidP="006A73F1">
      <w:pPr>
        <w:spacing w:before="0" w:after="120" w:line="276" w:lineRule="auto"/>
        <w:ind w:left="0"/>
        <w:jc w:val="both"/>
        <w:rPr>
          <w:rFonts w:cs="Arial"/>
          <w:szCs w:val="22"/>
        </w:rPr>
      </w:pPr>
    </w:p>
    <w:p w14:paraId="745011A5" w14:textId="77777777" w:rsidR="00C22878" w:rsidRPr="00514EFA" w:rsidRDefault="00C22878" w:rsidP="006A73F1">
      <w:pPr>
        <w:spacing w:before="0" w:after="120" w:line="276" w:lineRule="auto"/>
        <w:ind w:left="0"/>
        <w:jc w:val="both"/>
        <w:rPr>
          <w:rFonts w:cs="Arial"/>
          <w:b/>
          <w:szCs w:val="22"/>
        </w:rPr>
      </w:pPr>
    </w:p>
    <w:p w14:paraId="3EC1D23D" w14:textId="77777777" w:rsidR="00C22878" w:rsidRPr="00514EFA" w:rsidRDefault="00C22878" w:rsidP="006A73F1">
      <w:pPr>
        <w:spacing w:before="0" w:after="120" w:line="276" w:lineRule="auto"/>
        <w:ind w:left="0"/>
        <w:jc w:val="both"/>
        <w:rPr>
          <w:rFonts w:cs="Arial"/>
          <w:b/>
          <w:szCs w:val="22"/>
        </w:rPr>
      </w:pPr>
    </w:p>
    <w:p w14:paraId="47D7062F" w14:textId="77777777" w:rsidR="00C22878" w:rsidRPr="00514EFA" w:rsidRDefault="00C22878" w:rsidP="006A73F1">
      <w:pPr>
        <w:spacing w:before="0" w:after="120" w:line="276" w:lineRule="auto"/>
        <w:ind w:left="0"/>
        <w:jc w:val="both"/>
        <w:rPr>
          <w:rFonts w:cs="Arial"/>
          <w:b/>
          <w:szCs w:val="22"/>
        </w:rPr>
        <w:sectPr w:rsidR="00C22878" w:rsidRPr="00514EFA" w:rsidSect="00796D8C">
          <w:headerReference w:type="default" r:id="rId24"/>
          <w:pgSz w:w="11906" w:h="16838" w:code="9"/>
          <w:pgMar w:top="1134" w:right="1134" w:bottom="1418" w:left="1418" w:header="709" w:footer="408" w:gutter="0"/>
          <w:pgNumType w:start="1"/>
          <w:cols w:space="708"/>
          <w:docGrid w:linePitch="360"/>
        </w:sectPr>
      </w:pPr>
    </w:p>
    <w:p w14:paraId="7492886D" w14:textId="71B7D078" w:rsidR="00A02758" w:rsidRPr="00F87951" w:rsidRDefault="004E0FEF" w:rsidP="00F87951">
      <w:pPr>
        <w:pStyle w:val="Heading1Numbered"/>
      </w:pPr>
      <w:bookmarkStart w:id="9" w:name="_Toc464222888"/>
      <w:r w:rsidRPr="00F87951">
        <w:t>Introduction</w:t>
      </w:r>
      <w:bookmarkEnd w:id="9"/>
    </w:p>
    <w:p w14:paraId="63CE56FC" w14:textId="75710E1A" w:rsidR="00090A2A" w:rsidRPr="00514EFA" w:rsidRDefault="00090A2A" w:rsidP="00BE7839">
      <w:pPr>
        <w:rPr>
          <w:rFonts w:cs="Arial"/>
        </w:rPr>
      </w:pPr>
      <w:r w:rsidRPr="00514EFA">
        <w:rPr>
          <w:rFonts w:cs="Arial"/>
        </w:rPr>
        <w:t>The CASE programme is a joint strategic research programme led by the Department for Culture, Media and Sport (DCMS) and its sector leading arms-length bodies: Arts Council England, Historic England and Sport England. CASE use</w:t>
      </w:r>
      <w:r w:rsidR="00F5509B">
        <w:rPr>
          <w:rFonts w:cs="Arial"/>
        </w:rPr>
        <w:t>s</w:t>
      </w:r>
      <w:r w:rsidRPr="00514EFA">
        <w:rPr>
          <w:rFonts w:cs="Arial"/>
        </w:rPr>
        <w:t xml:space="preserve"> interdisciplinary research methods and analysis to inform the development of policy in culture and sport. </w:t>
      </w:r>
    </w:p>
    <w:p w14:paraId="6290ABE1" w14:textId="0D36ED91" w:rsidR="00BE7839" w:rsidRPr="00514EFA" w:rsidRDefault="000B13F1" w:rsidP="00BE7839">
      <w:pPr>
        <w:rPr>
          <w:rFonts w:cs="Arial"/>
        </w:rPr>
      </w:pPr>
      <w:r>
        <w:rPr>
          <w:rFonts w:cs="Arial"/>
        </w:rPr>
        <w:t>C</w:t>
      </w:r>
      <w:r w:rsidRPr="00514EFA">
        <w:rPr>
          <w:rFonts w:cs="Arial"/>
        </w:rPr>
        <w:t xml:space="preserve">ulture, sport and heritage </w:t>
      </w:r>
      <w:r w:rsidR="00BE7839" w:rsidRPr="00514EFA">
        <w:rPr>
          <w:rFonts w:cs="Arial"/>
        </w:rPr>
        <w:t xml:space="preserve">have a long history of contributing to places and communities. </w:t>
      </w:r>
      <w:r w:rsidR="00090A2A" w:rsidRPr="00514EFA">
        <w:rPr>
          <w:rFonts w:cs="Arial"/>
        </w:rPr>
        <w:t>I</w:t>
      </w:r>
      <w:r w:rsidR="00BE7839" w:rsidRPr="00514EFA">
        <w:rPr>
          <w:rFonts w:cs="Arial"/>
        </w:rPr>
        <w:t xml:space="preserve">n their many forms </w:t>
      </w:r>
      <w:r w:rsidR="00090A2A" w:rsidRPr="00514EFA">
        <w:rPr>
          <w:rFonts w:cs="Arial"/>
        </w:rPr>
        <w:t xml:space="preserve">they </w:t>
      </w:r>
      <w:r w:rsidR="00BE7839" w:rsidRPr="00514EFA">
        <w:rPr>
          <w:rFonts w:cs="Arial"/>
        </w:rPr>
        <w:t>are uniquely able to comment, reflect, influence, interpret and inspire and are increasingly recognised as a key part of the process that can help shape new places and engage communities.</w:t>
      </w:r>
      <w:r w:rsidR="00A033C6">
        <w:rPr>
          <w:rFonts w:cs="Arial"/>
        </w:rPr>
        <w:t xml:space="preserve"> </w:t>
      </w:r>
      <w:r w:rsidR="00090A2A" w:rsidRPr="00514EFA">
        <w:rPr>
          <w:rFonts w:cs="Arial"/>
        </w:rPr>
        <w:t xml:space="preserve">The CASE programme is committed to continuing to build the evidence base regarding the role of culture, sport and heritage in driving positive economic and social outcomes in local places. </w:t>
      </w:r>
    </w:p>
    <w:p w14:paraId="41B98F85" w14:textId="0F44795E" w:rsidR="0017534C" w:rsidRPr="00514EFA" w:rsidRDefault="00090A2A" w:rsidP="00BE7839">
      <w:pPr>
        <w:rPr>
          <w:rFonts w:cs="Arial"/>
        </w:rPr>
      </w:pPr>
      <w:r w:rsidRPr="00514EFA">
        <w:rPr>
          <w:rFonts w:cs="Arial"/>
        </w:rPr>
        <w:t>As part of this commitment, i</w:t>
      </w:r>
      <w:r w:rsidR="0017534C" w:rsidRPr="00514EFA">
        <w:rPr>
          <w:rFonts w:cs="Arial"/>
        </w:rPr>
        <w:t>n 2015 the CASE programme commissioned a partnership led by Trends Business Research Ltd (TBR)</w:t>
      </w:r>
      <w:r w:rsidR="003A45A9" w:rsidRPr="00514EFA">
        <w:rPr>
          <w:rFonts w:cs="Arial"/>
        </w:rPr>
        <w:t xml:space="preserve"> </w:t>
      </w:r>
      <w:r w:rsidR="0017534C" w:rsidRPr="00514EFA">
        <w:rPr>
          <w:rFonts w:cs="Arial"/>
        </w:rPr>
        <w:t xml:space="preserve">and including NEF Consulting </w:t>
      </w:r>
      <w:r w:rsidR="002642E9">
        <w:rPr>
          <w:rFonts w:cs="Arial"/>
        </w:rPr>
        <w:t xml:space="preserve">Ltd </w:t>
      </w:r>
      <w:r w:rsidR="0017534C" w:rsidRPr="00514EFA">
        <w:rPr>
          <w:rFonts w:cs="Arial"/>
        </w:rPr>
        <w:t xml:space="preserve">and Middlesex University to undertake an important and </w:t>
      </w:r>
      <w:proofErr w:type="gramStart"/>
      <w:r w:rsidR="0017534C" w:rsidRPr="00514EFA">
        <w:rPr>
          <w:rFonts w:cs="Arial"/>
        </w:rPr>
        <w:t>ground-breaking</w:t>
      </w:r>
      <w:proofErr w:type="gramEnd"/>
      <w:r w:rsidR="0017534C" w:rsidRPr="00514EFA">
        <w:rPr>
          <w:rFonts w:cs="Arial"/>
        </w:rPr>
        <w:t xml:space="preserve"> study examining the role that cultural, sport and heritage (CS&amp;H) assets and investment play in shaping local places</w:t>
      </w:r>
      <w:r w:rsidRPr="00514EFA">
        <w:rPr>
          <w:rFonts w:cs="Arial"/>
        </w:rPr>
        <w:t>.</w:t>
      </w:r>
    </w:p>
    <w:p w14:paraId="631EB898" w14:textId="40E7599D" w:rsidR="00BE7839" w:rsidRPr="00514EFA" w:rsidRDefault="00BE7839" w:rsidP="00BE7839">
      <w:pPr>
        <w:rPr>
          <w:rFonts w:cs="Arial"/>
        </w:rPr>
      </w:pPr>
      <w:r w:rsidRPr="00514EFA">
        <w:rPr>
          <w:rFonts w:cs="Arial"/>
        </w:rPr>
        <w:t xml:space="preserve">This study focuses on generating evidence to support the argument that </w:t>
      </w:r>
      <w:r w:rsidR="000B13F1" w:rsidRPr="00514EFA">
        <w:rPr>
          <w:rFonts w:cs="Arial"/>
        </w:rPr>
        <w:t xml:space="preserve">culture, sport and heritage </w:t>
      </w:r>
      <w:r w:rsidRPr="00514EFA">
        <w:rPr>
          <w:rFonts w:cs="Arial"/>
        </w:rPr>
        <w:t xml:space="preserve">infrastructure and investment have the ability to promote </w:t>
      </w:r>
      <w:r w:rsidR="00090A2A" w:rsidRPr="00514EFA">
        <w:rPr>
          <w:rFonts w:cs="Arial"/>
        </w:rPr>
        <w:t xml:space="preserve">and drive positive </w:t>
      </w:r>
      <w:r w:rsidRPr="00514EFA">
        <w:rPr>
          <w:rFonts w:cs="Arial"/>
        </w:rPr>
        <w:t>economic and social outcomes</w:t>
      </w:r>
      <w:r w:rsidR="00090A2A" w:rsidRPr="00514EFA">
        <w:rPr>
          <w:rFonts w:cs="Arial"/>
        </w:rPr>
        <w:t xml:space="preserve"> at the local level</w:t>
      </w:r>
      <w:r w:rsidR="004E4628">
        <w:rPr>
          <w:rFonts w:cs="Arial"/>
        </w:rPr>
        <w:t xml:space="preserve"> and thereby play a role in </w:t>
      </w:r>
      <w:proofErr w:type="gramStart"/>
      <w:r w:rsidR="004E4628">
        <w:rPr>
          <w:rFonts w:cs="Arial"/>
        </w:rPr>
        <w:t>place-shaping</w:t>
      </w:r>
      <w:proofErr w:type="gramEnd"/>
      <w:r w:rsidRPr="00514EFA">
        <w:rPr>
          <w:rFonts w:cs="Arial"/>
        </w:rPr>
        <w:t xml:space="preserve">. The aim of the study is to examine the extent to which </w:t>
      </w:r>
      <w:r w:rsidR="00D44C4D" w:rsidRPr="00514EFA">
        <w:rPr>
          <w:rFonts w:cs="Arial"/>
        </w:rPr>
        <w:t xml:space="preserve">culture, sport and heritage </w:t>
      </w:r>
      <w:r w:rsidRPr="00514EFA">
        <w:rPr>
          <w:rFonts w:cs="Arial"/>
        </w:rPr>
        <w:t>infrastructure and investment within a place influence (through direct and indirect impacts, tangible and intangible) the economy and society of that place.</w:t>
      </w:r>
      <w:r w:rsidR="00A033C6">
        <w:rPr>
          <w:rFonts w:cs="Arial"/>
        </w:rPr>
        <w:t xml:space="preserve"> </w:t>
      </w:r>
      <w:r w:rsidR="009E5B84">
        <w:rPr>
          <w:rFonts w:cs="Arial"/>
        </w:rPr>
        <w:t xml:space="preserve">Crucially, the study focuses on a range of potential economic indicators and linkages to the presence of CS&amp;H </w:t>
      </w:r>
      <w:r w:rsidR="002642E9">
        <w:rPr>
          <w:rFonts w:cs="Arial"/>
        </w:rPr>
        <w:t>infrastructure (‘</w:t>
      </w:r>
      <w:r w:rsidR="009E5B84">
        <w:rPr>
          <w:rFonts w:cs="Arial"/>
        </w:rPr>
        <w:t>assets</w:t>
      </w:r>
      <w:r w:rsidR="002642E9">
        <w:rPr>
          <w:rFonts w:cs="Arial"/>
        </w:rPr>
        <w:t>’)</w:t>
      </w:r>
      <w:r w:rsidR="009E5B84">
        <w:rPr>
          <w:rFonts w:cs="Arial"/>
        </w:rPr>
        <w:t xml:space="preserve"> and investment.</w:t>
      </w:r>
    </w:p>
    <w:p w14:paraId="2C9C819A" w14:textId="49D05EA8" w:rsidR="00BE7839" w:rsidRPr="00514EFA" w:rsidRDefault="00BE7839" w:rsidP="00796D8C">
      <w:pPr>
        <w:rPr>
          <w:rFonts w:cs="Arial"/>
        </w:rPr>
      </w:pPr>
      <w:r w:rsidRPr="00514EFA">
        <w:rPr>
          <w:rFonts w:cs="Arial"/>
        </w:rPr>
        <w:t>The study is by its very nature exploratory.</w:t>
      </w:r>
      <w:r w:rsidR="00A033C6">
        <w:rPr>
          <w:rFonts w:cs="Arial"/>
        </w:rPr>
        <w:t xml:space="preserve"> </w:t>
      </w:r>
      <w:r w:rsidR="00090A2A" w:rsidRPr="00514EFA">
        <w:rPr>
          <w:rFonts w:cs="Arial"/>
        </w:rPr>
        <w:t xml:space="preserve">It </w:t>
      </w:r>
      <w:r w:rsidR="00753A00">
        <w:rPr>
          <w:rFonts w:cs="Arial"/>
        </w:rPr>
        <w:t>builds</w:t>
      </w:r>
      <w:r w:rsidR="00753A00" w:rsidRPr="00514EFA">
        <w:rPr>
          <w:rFonts w:cs="Arial"/>
        </w:rPr>
        <w:t xml:space="preserve"> </w:t>
      </w:r>
      <w:r w:rsidR="00090A2A" w:rsidRPr="00514EFA">
        <w:rPr>
          <w:rFonts w:cs="Arial"/>
        </w:rPr>
        <w:t xml:space="preserve">on a feasibility study published by the CASE programme in 2011 – </w:t>
      </w:r>
      <w:r w:rsidR="00090A2A" w:rsidRPr="00BB7156">
        <w:rPr>
          <w:rFonts w:cs="Arial"/>
          <w:i/>
        </w:rPr>
        <w:t>The Art of the Possible</w:t>
      </w:r>
      <w:r w:rsidR="00090A2A" w:rsidRPr="00514EFA">
        <w:rPr>
          <w:rStyle w:val="FootnoteReference"/>
          <w:rFonts w:cs="Arial"/>
        </w:rPr>
        <w:footnoteReference w:id="4"/>
      </w:r>
      <w:r w:rsidR="00090A2A" w:rsidRPr="00514EFA">
        <w:rPr>
          <w:rFonts w:cs="Arial"/>
        </w:rPr>
        <w:t xml:space="preserve"> – which identified techniques and data sources that would support an empirical approach to measuring and evidencing economic and social impacts arising from culture, sport and heritage assets and investment.</w:t>
      </w:r>
    </w:p>
    <w:p w14:paraId="2E6450E8" w14:textId="59809817" w:rsidR="00B2334C" w:rsidRPr="00514EFA" w:rsidRDefault="00B2334C" w:rsidP="00B2334C">
      <w:pPr>
        <w:pStyle w:val="Heading2Numbered"/>
      </w:pPr>
      <w:bookmarkStart w:id="10" w:name="_Toc464222889"/>
      <w:r w:rsidRPr="00514EFA">
        <w:t>Aims and objectives</w:t>
      </w:r>
      <w:bookmarkEnd w:id="10"/>
    </w:p>
    <w:p w14:paraId="23B36380" w14:textId="1A57AC4F" w:rsidR="00B2334C" w:rsidRPr="00514EFA" w:rsidRDefault="00B2334C" w:rsidP="00B2334C">
      <w:pPr>
        <w:rPr>
          <w:rFonts w:cs="Arial"/>
        </w:rPr>
      </w:pPr>
      <w:r w:rsidRPr="00514EFA">
        <w:rPr>
          <w:rFonts w:cs="Arial"/>
        </w:rPr>
        <w:t>This report is the output of a significant research exercise, undertaken iteratively in order to navigate the various complexities associated with the required analysis, the data upon which it might draw and the lack of ‘tried and tested’ approach</w:t>
      </w:r>
      <w:r w:rsidR="009E49B1">
        <w:rPr>
          <w:rFonts w:cs="Arial"/>
        </w:rPr>
        <w:t>es</w:t>
      </w:r>
      <w:r w:rsidRPr="00514EFA">
        <w:rPr>
          <w:rFonts w:cs="Arial"/>
        </w:rPr>
        <w:t xml:space="preserve"> within the existing literature.</w:t>
      </w:r>
      <w:r w:rsidR="00A033C6">
        <w:rPr>
          <w:rFonts w:cs="Arial"/>
        </w:rPr>
        <w:t xml:space="preserve"> </w:t>
      </w:r>
      <w:r w:rsidR="00DE1304">
        <w:rPr>
          <w:rFonts w:cs="Arial"/>
        </w:rPr>
        <w:t>T</w:t>
      </w:r>
      <w:r w:rsidRPr="00514EFA">
        <w:rPr>
          <w:rFonts w:cs="Arial"/>
        </w:rPr>
        <w:t>he aims and objectives of the study have evolved and been refined as a result of discoveries made along the research pathway and consideration of their implications.</w:t>
      </w:r>
    </w:p>
    <w:p w14:paraId="158EA756" w14:textId="0634F8C4" w:rsidR="00B2334C" w:rsidRDefault="009E5B84" w:rsidP="00B2334C">
      <w:pPr>
        <w:rPr>
          <w:rFonts w:cs="Arial"/>
        </w:rPr>
      </w:pPr>
      <w:r>
        <w:rPr>
          <w:rFonts w:cs="Arial"/>
        </w:rPr>
        <w:t xml:space="preserve">This study contributes to </w:t>
      </w:r>
      <w:r w:rsidR="009E49B1">
        <w:rPr>
          <w:rFonts w:cs="Arial"/>
        </w:rPr>
        <w:t xml:space="preserve">the </w:t>
      </w:r>
      <w:r>
        <w:rPr>
          <w:rFonts w:cs="Arial"/>
        </w:rPr>
        <w:t>wider</w:t>
      </w:r>
      <w:r w:rsidR="00B2334C" w:rsidRPr="00514EFA">
        <w:rPr>
          <w:rFonts w:cs="Arial"/>
        </w:rPr>
        <w:t xml:space="preserve"> ambition of the C</w:t>
      </w:r>
      <w:r>
        <w:rPr>
          <w:rFonts w:cs="Arial"/>
        </w:rPr>
        <w:t>A</w:t>
      </w:r>
      <w:r w:rsidR="00B2334C" w:rsidRPr="00514EFA">
        <w:rPr>
          <w:rFonts w:cs="Arial"/>
        </w:rPr>
        <w:t>SE programme</w:t>
      </w:r>
      <w:r>
        <w:rPr>
          <w:rFonts w:cs="Arial"/>
        </w:rPr>
        <w:t xml:space="preserve"> </w:t>
      </w:r>
      <w:r w:rsidR="00B2334C" w:rsidRPr="00514EFA">
        <w:rPr>
          <w:rFonts w:cs="Arial"/>
        </w:rPr>
        <w:t xml:space="preserve">to build a body of evidence in response to the following </w:t>
      </w:r>
      <w:r w:rsidR="004E4628">
        <w:rPr>
          <w:rFonts w:cs="Arial"/>
        </w:rPr>
        <w:t xml:space="preserve">over-arching research </w:t>
      </w:r>
      <w:r w:rsidR="00B2334C" w:rsidRPr="00514EFA">
        <w:rPr>
          <w:rFonts w:cs="Arial"/>
        </w:rPr>
        <w:t>question</w:t>
      </w:r>
      <w:r w:rsidR="009E49B1">
        <w:rPr>
          <w:rFonts w:cs="Arial"/>
        </w:rPr>
        <w:t>:</w:t>
      </w:r>
    </w:p>
    <w:p w14:paraId="48E50530" w14:textId="77777777" w:rsidR="00DE1304" w:rsidRDefault="00DE1304" w:rsidP="00B2334C">
      <w:pPr>
        <w:rPr>
          <w:rFonts w:cs="Arial"/>
        </w:rPr>
      </w:pPr>
    </w:p>
    <w:tbl>
      <w:tblPr>
        <w:tblStyle w:val="TableGrid"/>
        <w:tblW w:w="0" w:type="auto"/>
        <w:tblInd w:w="1361" w:type="dxa"/>
        <w:tblLook w:val="04A0" w:firstRow="1" w:lastRow="0" w:firstColumn="1" w:lastColumn="0" w:noHBand="0" w:noVBand="1"/>
      </w:tblPr>
      <w:tblGrid>
        <w:gridCol w:w="8209"/>
      </w:tblGrid>
      <w:tr w:rsidR="00DE1304" w14:paraId="00B55E08" w14:textId="77777777" w:rsidTr="00DE1304">
        <w:tc>
          <w:tcPr>
            <w:tcW w:w="9570" w:type="dxa"/>
          </w:tcPr>
          <w:p w14:paraId="36CF704A" w14:textId="0D0FA154" w:rsidR="00DE1304" w:rsidRPr="00514EFA" w:rsidRDefault="00DE1304" w:rsidP="00520273">
            <w:pPr>
              <w:ind w:left="624"/>
            </w:pPr>
            <w:r w:rsidRPr="00514EFA">
              <w:t xml:space="preserve">To what extent does </w:t>
            </w:r>
            <w:r w:rsidR="00D44C4D" w:rsidRPr="00514EFA">
              <w:rPr>
                <w:rFonts w:cs="Arial"/>
              </w:rPr>
              <w:t xml:space="preserve">culture, sport and heritage </w:t>
            </w:r>
            <w:r w:rsidRPr="00514EFA">
              <w:t>infrastructure and investment within a place (e.g. city-region, rural area) influence the:</w:t>
            </w:r>
          </w:p>
          <w:p w14:paraId="3EE16CB1" w14:textId="2BACCEA3" w:rsidR="00DE1304" w:rsidRPr="00514EFA" w:rsidRDefault="00DE1304" w:rsidP="007002B5">
            <w:pPr>
              <w:numPr>
                <w:ilvl w:val="0"/>
                <w:numId w:val="30"/>
              </w:numPr>
              <w:ind w:left="1191"/>
            </w:pPr>
            <w:r w:rsidRPr="00514EFA">
              <w:rPr>
                <w:b/>
                <w:bCs/>
              </w:rPr>
              <w:t>Economy</w:t>
            </w:r>
            <w:r w:rsidRPr="00514EFA">
              <w:t xml:space="preserve">: </w:t>
            </w:r>
            <w:r w:rsidR="007002B5">
              <w:t>p</w:t>
            </w:r>
            <w:r w:rsidR="007002B5" w:rsidRPr="00514EFA">
              <w:t xml:space="preserve">ersonal </w:t>
            </w:r>
            <w:r w:rsidRPr="00514EFA">
              <w:t>income, output (GVA), productivity, property prices, tourism, inward investment, business relocation, employment and skills</w:t>
            </w:r>
            <w:r w:rsidR="007002B5">
              <w:t>,</w:t>
            </w:r>
            <w:r w:rsidRPr="00514EFA">
              <w:t xml:space="preserve"> etc.</w:t>
            </w:r>
          </w:p>
          <w:p w14:paraId="0555A9FD" w14:textId="7274D4E5" w:rsidR="00A033C6" w:rsidRPr="00514EFA" w:rsidRDefault="00DE1304" w:rsidP="007002B5">
            <w:pPr>
              <w:numPr>
                <w:ilvl w:val="0"/>
                <w:numId w:val="30"/>
              </w:numPr>
              <w:ind w:left="1191"/>
              <w:rPr>
                <w:b/>
                <w:bCs/>
              </w:rPr>
            </w:pPr>
            <w:r w:rsidRPr="00514EFA">
              <w:rPr>
                <w:b/>
                <w:bCs/>
              </w:rPr>
              <w:t xml:space="preserve">Society: </w:t>
            </w:r>
            <w:r w:rsidRPr="00514EFA">
              <w:t>demographic characteristics (including ethnicity), education and learning, health, deprivation, social capital, crime and neighbourhood, wellbeing, identity</w:t>
            </w:r>
            <w:r w:rsidR="007002B5">
              <w:t>,</w:t>
            </w:r>
            <w:r w:rsidRPr="00514EFA">
              <w:t xml:space="preserve"> etc.</w:t>
            </w:r>
          </w:p>
          <w:p w14:paraId="4BB52E13" w14:textId="77777777" w:rsidR="00DE1304" w:rsidRDefault="00DE1304" w:rsidP="00520273">
            <w:pPr>
              <w:ind w:left="831"/>
            </w:pPr>
          </w:p>
        </w:tc>
      </w:tr>
    </w:tbl>
    <w:p w14:paraId="76749F75" w14:textId="77777777" w:rsidR="00DE1304" w:rsidRPr="00514EFA" w:rsidRDefault="00DE1304" w:rsidP="00B2334C">
      <w:pPr>
        <w:rPr>
          <w:rFonts w:cs="Arial"/>
        </w:rPr>
      </w:pPr>
    </w:p>
    <w:p w14:paraId="55AC32E5" w14:textId="45D55E9C" w:rsidR="004E4628" w:rsidRDefault="009E5B84" w:rsidP="009E5B84">
      <w:pPr>
        <w:rPr>
          <w:rFonts w:cs="Arial"/>
        </w:rPr>
      </w:pPr>
      <w:r>
        <w:rPr>
          <w:rFonts w:cs="Arial"/>
        </w:rPr>
        <w:t>The specific research questions this study respond</w:t>
      </w:r>
      <w:r w:rsidR="00121553">
        <w:rPr>
          <w:rFonts w:cs="Arial"/>
        </w:rPr>
        <w:t>s</w:t>
      </w:r>
      <w:r>
        <w:rPr>
          <w:rFonts w:cs="Arial"/>
        </w:rPr>
        <w:t xml:space="preserve"> to </w:t>
      </w:r>
      <w:r w:rsidR="00121553">
        <w:rPr>
          <w:rFonts w:cs="Arial"/>
        </w:rPr>
        <w:t>were determined</w:t>
      </w:r>
      <w:r>
        <w:rPr>
          <w:rFonts w:cs="Arial"/>
        </w:rPr>
        <w:t xml:space="preserve"> through a process of </w:t>
      </w:r>
      <w:r w:rsidR="00121553">
        <w:rPr>
          <w:rFonts w:cs="Arial"/>
        </w:rPr>
        <w:t xml:space="preserve">initial </w:t>
      </w:r>
      <w:r>
        <w:rPr>
          <w:rFonts w:cs="Arial"/>
        </w:rPr>
        <w:t>research, data collection</w:t>
      </w:r>
      <w:r w:rsidR="00A67A06">
        <w:rPr>
          <w:rFonts w:cs="Arial"/>
        </w:rPr>
        <w:t xml:space="preserve"> and </w:t>
      </w:r>
      <w:r>
        <w:rPr>
          <w:rFonts w:cs="Arial"/>
        </w:rPr>
        <w:t>assessment</w:t>
      </w:r>
      <w:r w:rsidR="00A67A06">
        <w:rPr>
          <w:rFonts w:cs="Arial"/>
        </w:rPr>
        <w:t>,</w:t>
      </w:r>
      <w:r>
        <w:rPr>
          <w:rFonts w:cs="Arial"/>
        </w:rPr>
        <w:t xml:space="preserve"> and discussion with the project </w:t>
      </w:r>
      <w:r w:rsidR="007002B5">
        <w:rPr>
          <w:rFonts w:cs="Arial"/>
        </w:rPr>
        <w:t xml:space="preserve">steering group </w:t>
      </w:r>
      <w:r>
        <w:rPr>
          <w:rFonts w:cs="Arial"/>
        </w:rPr>
        <w:t xml:space="preserve">(comprising representatives of each of the four organisations involved in the CASE </w:t>
      </w:r>
      <w:r w:rsidR="009E49B1">
        <w:rPr>
          <w:rFonts w:cs="Arial"/>
        </w:rPr>
        <w:t>programme</w:t>
      </w:r>
      <w:r>
        <w:rPr>
          <w:rFonts w:cs="Arial"/>
        </w:rPr>
        <w:t>).</w:t>
      </w:r>
      <w:r w:rsidR="00121553">
        <w:rPr>
          <w:rFonts w:cs="Arial"/>
        </w:rPr>
        <w:t xml:space="preserve"> </w:t>
      </w:r>
      <w:r w:rsidR="00B2334C" w:rsidRPr="00514EFA">
        <w:rPr>
          <w:rFonts w:cs="Arial"/>
        </w:rPr>
        <w:t>Ultimately the nature of data available for both the independent variables (</w:t>
      </w:r>
      <w:r w:rsidR="0078711E" w:rsidRPr="00514EFA">
        <w:rPr>
          <w:rFonts w:cs="Arial"/>
        </w:rPr>
        <w:t>culture, sport and heritage</w:t>
      </w:r>
      <w:r w:rsidR="00B2334C" w:rsidRPr="00514EFA">
        <w:rPr>
          <w:rFonts w:cs="Arial"/>
        </w:rPr>
        <w:t xml:space="preserve"> assets and </w:t>
      </w:r>
      <w:proofErr w:type="gramStart"/>
      <w:r w:rsidR="00B2334C" w:rsidRPr="00514EFA">
        <w:rPr>
          <w:rFonts w:cs="Arial"/>
        </w:rPr>
        <w:t>investment )</w:t>
      </w:r>
      <w:proofErr w:type="gramEnd"/>
      <w:r w:rsidR="00B2334C" w:rsidRPr="00514EFA">
        <w:rPr>
          <w:rFonts w:cs="Arial"/>
        </w:rPr>
        <w:t xml:space="preserve"> and the dependent variables (the range of outcomes that might arise from the factors represented by the independent variables) </w:t>
      </w:r>
      <w:r w:rsidR="000A2868" w:rsidRPr="00514EFA">
        <w:rPr>
          <w:rFonts w:cs="Arial"/>
        </w:rPr>
        <w:t>drove the final decisions on the contribution this study could and should make to the evidence base</w:t>
      </w:r>
      <w:r w:rsidR="00121553">
        <w:rPr>
          <w:rFonts w:cs="Arial"/>
        </w:rPr>
        <w:t>, which</w:t>
      </w:r>
      <w:r w:rsidR="00117F49" w:rsidRPr="00514EFA">
        <w:rPr>
          <w:rFonts w:cs="Arial"/>
        </w:rPr>
        <w:t xml:space="preserve"> the </w:t>
      </w:r>
      <w:r w:rsidR="0078711E" w:rsidRPr="00514EFA">
        <w:rPr>
          <w:rFonts w:cs="Arial"/>
        </w:rPr>
        <w:t>steering group</w:t>
      </w:r>
      <w:r w:rsidR="00117F49" w:rsidRPr="00514EFA">
        <w:rPr>
          <w:rFonts w:cs="Arial"/>
        </w:rPr>
        <w:t xml:space="preserve"> </w:t>
      </w:r>
      <w:r w:rsidR="00121553">
        <w:rPr>
          <w:rFonts w:cs="Arial"/>
        </w:rPr>
        <w:t>agreed should</w:t>
      </w:r>
      <w:r w:rsidR="00117F49" w:rsidRPr="00514EFA">
        <w:rPr>
          <w:rFonts w:cs="Arial"/>
        </w:rPr>
        <w:t xml:space="preserve"> target specific gaps in the current evidence of economic </w:t>
      </w:r>
      <w:r w:rsidR="00EA0CEB">
        <w:rPr>
          <w:rFonts w:cs="Arial"/>
        </w:rPr>
        <w:t>(</w:t>
      </w:r>
      <w:r w:rsidR="00117F49" w:rsidRPr="00514EFA">
        <w:rPr>
          <w:rFonts w:cs="Arial"/>
        </w:rPr>
        <w:t>and social</w:t>
      </w:r>
      <w:r w:rsidR="00EA0CEB">
        <w:rPr>
          <w:rFonts w:cs="Arial"/>
        </w:rPr>
        <w:t>)</w:t>
      </w:r>
      <w:r w:rsidR="00117F49" w:rsidRPr="00514EFA">
        <w:rPr>
          <w:rFonts w:cs="Arial"/>
        </w:rPr>
        <w:t xml:space="preserve"> impacts arising from CS&amp;H assets and investment.</w:t>
      </w:r>
      <w:r w:rsidR="00A033C6">
        <w:rPr>
          <w:rFonts w:cs="Arial"/>
        </w:rPr>
        <w:t xml:space="preserve"> </w:t>
      </w:r>
    </w:p>
    <w:p w14:paraId="689D27F9" w14:textId="55C3C866" w:rsidR="00B2334C" w:rsidRDefault="0078711E" w:rsidP="009E5B84">
      <w:pPr>
        <w:rPr>
          <w:rFonts w:cs="Arial"/>
        </w:rPr>
      </w:pPr>
      <w:r>
        <w:rPr>
          <w:rFonts w:cs="Arial"/>
        </w:rPr>
        <w:t>I</w:t>
      </w:r>
      <w:r w:rsidR="004E4628">
        <w:rPr>
          <w:rFonts w:cs="Arial"/>
        </w:rPr>
        <w:t>t is important to emphasise that a focus on the role of CS&amp;H assets and investment play in place-shaping was maintained through an examination of the linkages between CS&amp;H assets and investment and economic outcomes that are inherent to positive place-shaping (e.g. more and better firms/jobs that residents of a place can access and benefit from).</w:t>
      </w:r>
      <w:r w:rsidR="00A033C6">
        <w:rPr>
          <w:rFonts w:cs="Arial"/>
        </w:rPr>
        <w:t xml:space="preserve"> </w:t>
      </w:r>
      <w:r w:rsidR="00C17BF2">
        <w:rPr>
          <w:rFonts w:cs="Arial"/>
        </w:rPr>
        <w:t xml:space="preserve">A central idea running through this study is, therefore, that positive economic and social impacts are inherent goals associated with </w:t>
      </w:r>
      <w:proofErr w:type="gramStart"/>
      <w:r w:rsidR="00C17BF2">
        <w:rPr>
          <w:rFonts w:cs="Arial"/>
        </w:rPr>
        <w:t>place-shaping</w:t>
      </w:r>
      <w:proofErr w:type="gramEnd"/>
      <w:r w:rsidR="00C17BF2">
        <w:rPr>
          <w:rFonts w:cs="Arial"/>
        </w:rPr>
        <w:t>.</w:t>
      </w:r>
    </w:p>
    <w:p w14:paraId="24C3A084" w14:textId="77777777" w:rsidR="009E5B84" w:rsidRDefault="009E5B84" w:rsidP="009E5B84">
      <w:pPr>
        <w:rPr>
          <w:rFonts w:cs="Arial"/>
        </w:rPr>
      </w:pPr>
      <w:r>
        <w:rPr>
          <w:rFonts w:cs="Arial"/>
        </w:rPr>
        <w:t>This study specifically addresses the following research aim:</w:t>
      </w:r>
    </w:p>
    <w:p w14:paraId="1DA7630B" w14:textId="77777777" w:rsidR="009E5B84" w:rsidRPr="009E5B84" w:rsidRDefault="009E5B84" w:rsidP="00520273">
      <w:pPr>
        <w:ind w:left="1985"/>
        <w:rPr>
          <w:rFonts w:cs="Arial"/>
          <w:b/>
          <w:i/>
        </w:rPr>
      </w:pPr>
      <w:r w:rsidRPr="009E5B84">
        <w:rPr>
          <w:rFonts w:cs="Arial"/>
          <w:b/>
          <w:i/>
        </w:rPr>
        <w:t>To investigate, through econometric estimation, the link between CS&amp;H assets and investment and a range of indicators of economic health, both for local economies as a whole and also the creative industries.</w:t>
      </w:r>
    </w:p>
    <w:p w14:paraId="299CF2B6" w14:textId="1EA979A5" w:rsidR="009E5B84" w:rsidRDefault="003D2B38" w:rsidP="009E5B84">
      <w:pPr>
        <w:rPr>
          <w:rFonts w:cs="Arial"/>
        </w:rPr>
      </w:pPr>
      <w:r w:rsidRPr="00980CF7">
        <w:rPr>
          <w:rFonts w:cs="Arial"/>
        </w:rPr>
        <w:t xml:space="preserve">It is important to </w:t>
      </w:r>
      <w:r w:rsidR="00980CF7" w:rsidRPr="00A43B85">
        <w:rPr>
          <w:rFonts w:cs="Arial"/>
        </w:rPr>
        <w:t xml:space="preserve">note </w:t>
      </w:r>
      <w:r w:rsidRPr="00804037">
        <w:rPr>
          <w:rFonts w:cs="Arial"/>
        </w:rPr>
        <w:t xml:space="preserve">that this is not a </w:t>
      </w:r>
      <w:proofErr w:type="gramStart"/>
      <w:r w:rsidRPr="00804037">
        <w:rPr>
          <w:rFonts w:cs="Arial"/>
        </w:rPr>
        <w:t>study which</w:t>
      </w:r>
      <w:proofErr w:type="gramEnd"/>
      <w:r w:rsidRPr="00804037">
        <w:rPr>
          <w:rFonts w:cs="Arial"/>
        </w:rPr>
        <w:t xml:space="preserve"> seeks to</w:t>
      </w:r>
      <w:r>
        <w:rPr>
          <w:rFonts w:cs="Arial"/>
        </w:rPr>
        <w:t xml:space="preserve"> understand whether CS&amp;H assets agglomerate together (i.e. it is not a ‘cluster’ study).</w:t>
      </w:r>
      <w:r w:rsidR="00A033C6">
        <w:rPr>
          <w:rFonts w:cs="Arial"/>
        </w:rPr>
        <w:t xml:space="preserve"> </w:t>
      </w:r>
      <w:r>
        <w:rPr>
          <w:rFonts w:cs="Arial"/>
        </w:rPr>
        <w:t xml:space="preserve">Rather, </w:t>
      </w:r>
      <w:r w:rsidR="00980CF7">
        <w:rPr>
          <w:rFonts w:cs="Arial"/>
        </w:rPr>
        <w:t xml:space="preserve">the </w:t>
      </w:r>
      <w:r>
        <w:rPr>
          <w:rFonts w:cs="Arial"/>
        </w:rPr>
        <w:t xml:space="preserve">study seeks to understand whether there is a relationship between CS&amp;H critical mass (either in terms of assets density or investment density) and specific place-shaping outcomes. </w:t>
      </w:r>
    </w:p>
    <w:p w14:paraId="197268C7" w14:textId="77777777" w:rsidR="00A033C6" w:rsidRDefault="00A033C6">
      <w:pPr>
        <w:spacing w:before="0"/>
        <w:ind w:left="0"/>
        <w:rPr>
          <w:rFonts w:cs="Arial"/>
          <w:b/>
          <w:bCs/>
          <w:iCs/>
          <w:sz w:val="28"/>
          <w:szCs w:val="28"/>
        </w:rPr>
      </w:pPr>
      <w:r>
        <w:br w:type="page"/>
      </w:r>
    </w:p>
    <w:p w14:paraId="0B24B762" w14:textId="77777777" w:rsidR="00BE7839" w:rsidRPr="00514EFA" w:rsidRDefault="00BE7839" w:rsidP="00BE7839">
      <w:pPr>
        <w:pStyle w:val="Heading2Numbered"/>
      </w:pPr>
      <w:bookmarkStart w:id="11" w:name="_Toc441588950"/>
      <w:bookmarkStart w:id="12" w:name="_Toc464222890"/>
      <w:r w:rsidRPr="00514EFA">
        <w:t>Approach</w:t>
      </w:r>
      <w:bookmarkEnd w:id="11"/>
      <w:bookmarkEnd w:id="12"/>
    </w:p>
    <w:p w14:paraId="1A9BD430" w14:textId="7BD32985" w:rsidR="00BE7839" w:rsidRPr="00514EFA" w:rsidRDefault="00BE7839" w:rsidP="00514EFA">
      <w:pPr>
        <w:rPr>
          <w:rFonts w:cs="Arial"/>
        </w:rPr>
      </w:pPr>
      <w:r w:rsidRPr="00514EFA">
        <w:rPr>
          <w:rFonts w:cs="Arial"/>
        </w:rPr>
        <w:t xml:space="preserve">The approach </w:t>
      </w:r>
      <w:r w:rsidR="00B2334C" w:rsidRPr="00514EFA">
        <w:rPr>
          <w:rFonts w:cs="Arial"/>
        </w:rPr>
        <w:t xml:space="preserve">to the study </w:t>
      </w:r>
      <w:r w:rsidRPr="00514EFA">
        <w:rPr>
          <w:rFonts w:cs="Arial"/>
        </w:rPr>
        <w:t>was based on three key tasks:</w:t>
      </w:r>
    </w:p>
    <w:p w14:paraId="67280802" w14:textId="3B2ADE1F" w:rsidR="00BE7839" w:rsidRPr="00514EFA" w:rsidRDefault="00BE7839" w:rsidP="00BB7156">
      <w:pPr>
        <w:pStyle w:val="NumberedList"/>
      </w:pPr>
      <w:r w:rsidRPr="00514EFA">
        <w:t xml:space="preserve">Literature </w:t>
      </w:r>
      <w:r w:rsidR="004E4628">
        <w:t xml:space="preserve">and data </w:t>
      </w:r>
      <w:r w:rsidRPr="00514EFA">
        <w:t>review: A synthesis of existing evidence</w:t>
      </w:r>
      <w:r w:rsidR="004E4628">
        <w:t xml:space="preserve"> and available relevant data</w:t>
      </w:r>
      <w:r w:rsidRPr="00514EFA">
        <w:t>, covering each area of impact and building them into a ‘conceptual framework’</w:t>
      </w:r>
      <w:r w:rsidR="00B2334C" w:rsidRPr="00514EFA">
        <w:t>.</w:t>
      </w:r>
    </w:p>
    <w:p w14:paraId="05C81503" w14:textId="401C42B1" w:rsidR="00BE7839" w:rsidRPr="00514EFA" w:rsidRDefault="00B2334C" w:rsidP="00BB7156">
      <w:pPr>
        <w:pStyle w:val="NumberedList"/>
      </w:pPr>
      <w:r w:rsidRPr="00514EFA">
        <w:t>Secondary data analysis: Compiling</w:t>
      </w:r>
      <w:r w:rsidR="00BE7839" w:rsidRPr="00514EFA">
        <w:t xml:space="preserve"> and conduct</w:t>
      </w:r>
      <w:r w:rsidRPr="00514EFA">
        <w:t>ing</w:t>
      </w:r>
      <w:r w:rsidR="00BE7839" w:rsidRPr="00514EFA">
        <w:t xml:space="preserve"> analysis </w:t>
      </w:r>
      <w:r w:rsidR="0026757B">
        <w:t xml:space="preserve">on </w:t>
      </w:r>
      <w:r w:rsidR="00BE7839" w:rsidRPr="00514EFA">
        <w:t>secondary datasets (</w:t>
      </w:r>
      <w:r w:rsidR="009E49B1">
        <w:t>including</w:t>
      </w:r>
      <w:r w:rsidR="00BE7839" w:rsidRPr="00514EFA">
        <w:t xml:space="preserve"> </w:t>
      </w:r>
      <w:r w:rsidR="009E49B1">
        <w:t xml:space="preserve">but not limited to </w:t>
      </w:r>
      <w:r w:rsidR="00BE7839" w:rsidRPr="00514EFA">
        <w:t xml:space="preserve">those already identified by previous research) to </w:t>
      </w:r>
      <w:r w:rsidR="0026757B">
        <w:t>explore</w:t>
      </w:r>
      <w:r w:rsidR="0026757B" w:rsidRPr="00514EFA">
        <w:t xml:space="preserve"> </w:t>
      </w:r>
      <w:r w:rsidR="00BE7839" w:rsidRPr="00514EFA">
        <w:t xml:space="preserve">the relationships between </w:t>
      </w:r>
      <w:r w:rsidR="00D44C4D" w:rsidRPr="00514EFA">
        <w:t xml:space="preserve">culture, sport and heritage </w:t>
      </w:r>
      <w:r w:rsidR="00BE7839" w:rsidRPr="00514EFA">
        <w:t>infrastructure and</w:t>
      </w:r>
      <w:r w:rsidR="00A67A06">
        <w:t xml:space="preserve"> investment and their</w:t>
      </w:r>
      <w:r w:rsidR="00BE7839" w:rsidRPr="00514EFA">
        <w:t xml:space="preserve"> impact</w:t>
      </w:r>
      <w:r w:rsidRPr="00514EFA">
        <w:t>.</w:t>
      </w:r>
    </w:p>
    <w:p w14:paraId="67DAD739" w14:textId="173765D5" w:rsidR="00BE7839" w:rsidRPr="00514EFA" w:rsidRDefault="00BE7839" w:rsidP="00BB7156">
      <w:pPr>
        <w:pStyle w:val="NumberedList"/>
      </w:pPr>
      <w:r w:rsidRPr="00514EFA">
        <w:t xml:space="preserve">Primary data analysis: </w:t>
      </w:r>
      <w:r w:rsidR="009E49B1" w:rsidRPr="00514EFA">
        <w:t>explor</w:t>
      </w:r>
      <w:r w:rsidR="009E49B1">
        <w:t>ing</w:t>
      </w:r>
      <w:r w:rsidR="009E49B1" w:rsidRPr="00514EFA">
        <w:t xml:space="preserve"> </w:t>
      </w:r>
      <w:r w:rsidRPr="00514EFA">
        <w:t xml:space="preserve">and </w:t>
      </w:r>
      <w:r w:rsidR="009E49B1" w:rsidRPr="00514EFA">
        <w:t>evaluat</w:t>
      </w:r>
      <w:r w:rsidR="009E49B1">
        <w:t>ing</w:t>
      </w:r>
      <w:r w:rsidR="009E49B1" w:rsidRPr="00514EFA">
        <w:t xml:space="preserve"> </w:t>
      </w:r>
      <w:r w:rsidRPr="00514EFA">
        <w:t xml:space="preserve">gaps in the </w:t>
      </w:r>
      <w:r w:rsidR="000F1138">
        <w:t xml:space="preserve">available </w:t>
      </w:r>
      <w:r w:rsidRPr="00514EFA">
        <w:t xml:space="preserve">data and </w:t>
      </w:r>
      <w:r w:rsidR="000F1138">
        <w:t xml:space="preserve">identifying </w:t>
      </w:r>
      <w:r w:rsidRPr="00514EFA">
        <w:t>primary data options for future analysis.</w:t>
      </w:r>
    </w:p>
    <w:p w14:paraId="517F9C51" w14:textId="07969331" w:rsidR="00BE7839" w:rsidRPr="00514EFA" w:rsidRDefault="00BE7839" w:rsidP="00514EFA">
      <w:pPr>
        <w:rPr>
          <w:rFonts w:cs="Arial"/>
        </w:rPr>
      </w:pPr>
      <w:r w:rsidRPr="00514EFA">
        <w:rPr>
          <w:rFonts w:cs="Arial"/>
        </w:rPr>
        <w:t xml:space="preserve">The main body of this </w:t>
      </w:r>
      <w:r w:rsidR="000F1138">
        <w:rPr>
          <w:rFonts w:cs="Arial"/>
        </w:rPr>
        <w:t>report</w:t>
      </w:r>
      <w:r w:rsidR="000F1138" w:rsidRPr="00514EFA">
        <w:rPr>
          <w:rFonts w:cs="Arial"/>
        </w:rPr>
        <w:t xml:space="preserve"> </w:t>
      </w:r>
      <w:r w:rsidRPr="00514EFA">
        <w:rPr>
          <w:rFonts w:cs="Arial"/>
        </w:rPr>
        <w:t>includes further comments on the methodologies used including the analytical and statistical techniques employed.</w:t>
      </w:r>
      <w:r w:rsidR="00A033C6">
        <w:rPr>
          <w:rFonts w:cs="Arial"/>
        </w:rPr>
        <w:t xml:space="preserve"> </w:t>
      </w:r>
      <w:r w:rsidR="007770D4" w:rsidRPr="00514EFA">
        <w:rPr>
          <w:rFonts w:cs="Arial"/>
        </w:rPr>
        <w:t xml:space="preserve">Specifically, </w:t>
      </w:r>
      <w:r w:rsidR="00195FA3">
        <w:rPr>
          <w:rFonts w:cs="Arial"/>
        </w:rPr>
        <w:t>chapter</w:t>
      </w:r>
      <w:r w:rsidR="00195FA3" w:rsidRPr="00514EFA">
        <w:rPr>
          <w:rFonts w:cs="Arial"/>
        </w:rPr>
        <w:t xml:space="preserve"> </w:t>
      </w:r>
      <w:r w:rsidR="00195FA3">
        <w:rPr>
          <w:rFonts w:cs="Arial"/>
        </w:rPr>
        <w:fldChar w:fldCharType="begin"/>
      </w:r>
      <w:r w:rsidR="00195FA3">
        <w:rPr>
          <w:rFonts w:cs="Arial"/>
        </w:rPr>
        <w:instrText xml:space="preserve"> REF _Ref460315582 \r \h </w:instrText>
      </w:r>
      <w:r w:rsidR="00195FA3">
        <w:rPr>
          <w:rFonts w:cs="Arial"/>
        </w:rPr>
      </w:r>
      <w:r w:rsidR="00195FA3">
        <w:rPr>
          <w:rFonts w:cs="Arial"/>
        </w:rPr>
        <w:fldChar w:fldCharType="separate"/>
      </w:r>
      <w:r w:rsidR="00F0636B">
        <w:rPr>
          <w:rFonts w:cs="Arial"/>
        </w:rPr>
        <w:t>3:</w:t>
      </w:r>
      <w:r w:rsidR="00195FA3">
        <w:rPr>
          <w:rFonts w:cs="Arial"/>
        </w:rPr>
        <w:fldChar w:fldCharType="end"/>
      </w:r>
      <w:r w:rsidR="00195FA3">
        <w:rPr>
          <w:rFonts w:cs="Arial"/>
        </w:rPr>
        <w:t xml:space="preserve"> (p.</w:t>
      </w:r>
      <w:r w:rsidR="00BB7156">
        <w:rPr>
          <w:rFonts w:cs="Arial"/>
        </w:rPr>
        <w:fldChar w:fldCharType="begin"/>
      </w:r>
      <w:r w:rsidR="00BB7156">
        <w:rPr>
          <w:rFonts w:cs="Arial"/>
        </w:rPr>
        <w:instrText xml:space="preserve"> PAGEREF _Ref460315582 \h </w:instrText>
      </w:r>
      <w:r w:rsidR="00BB7156">
        <w:rPr>
          <w:rFonts w:cs="Arial"/>
        </w:rPr>
      </w:r>
      <w:r w:rsidR="00BB7156">
        <w:rPr>
          <w:rFonts w:cs="Arial"/>
        </w:rPr>
        <w:fldChar w:fldCharType="separate"/>
      </w:r>
      <w:r w:rsidR="00F0636B">
        <w:rPr>
          <w:rFonts w:cs="Arial"/>
          <w:noProof/>
        </w:rPr>
        <w:t>18</w:t>
      </w:r>
      <w:r w:rsidR="00BB7156">
        <w:rPr>
          <w:rFonts w:cs="Arial"/>
        </w:rPr>
        <w:fldChar w:fldCharType="end"/>
      </w:r>
      <w:r w:rsidR="00195FA3">
        <w:rPr>
          <w:rFonts w:cs="Arial"/>
        </w:rPr>
        <w:t>)</w:t>
      </w:r>
      <w:r w:rsidR="007770D4" w:rsidRPr="00514EFA">
        <w:rPr>
          <w:rFonts w:cs="Arial"/>
        </w:rPr>
        <w:t xml:space="preserve"> </w:t>
      </w:r>
      <w:proofErr w:type="gramStart"/>
      <w:r w:rsidR="007770D4" w:rsidRPr="00514EFA">
        <w:rPr>
          <w:rFonts w:cs="Arial"/>
        </w:rPr>
        <w:t>outlines</w:t>
      </w:r>
      <w:proofErr w:type="gramEnd"/>
      <w:r w:rsidR="007770D4" w:rsidRPr="00514EFA">
        <w:rPr>
          <w:rFonts w:cs="Arial"/>
        </w:rPr>
        <w:t xml:space="preserve"> the approach to empirical research and analysis.</w:t>
      </w:r>
    </w:p>
    <w:p w14:paraId="6C490AFA" w14:textId="49370D55" w:rsidR="007770D4" w:rsidRPr="00514EFA" w:rsidRDefault="007770D4" w:rsidP="007770D4">
      <w:pPr>
        <w:pStyle w:val="Heading2Numbered"/>
      </w:pPr>
      <w:bookmarkStart w:id="13" w:name="_Toc464222891"/>
      <w:r w:rsidRPr="00514EFA">
        <w:t>A conceptual framework</w:t>
      </w:r>
      <w:bookmarkEnd w:id="13"/>
    </w:p>
    <w:p w14:paraId="2BD65279" w14:textId="476142B0" w:rsidR="00E223F8" w:rsidRPr="00514EFA" w:rsidRDefault="00463ABA" w:rsidP="00514EFA">
      <w:pPr>
        <w:rPr>
          <w:rFonts w:cs="Arial"/>
        </w:rPr>
      </w:pPr>
      <w:r w:rsidRPr="00514EFA">
        <w:rPr>
          <w:rFonts w:cs="Arial"/>
        </w:rPr>
        <w:t>Th</w:t>
      </w:r>
      <w:r>
        <w:rPr>
          <w:rFonts w:cs="Arial"/>
        </w:rPr>
        <w:t>e</w:t>
      </w:r>
      <w:r w:rsidRPr="00514EFA">
        <w:rPr>
          <w:rFonts w:cs="Arial"/>
        </w:rPr>
        <w:t xml:space="preserve"> </w:t>
      </w:r>
      <w:r w:rsidR="00E223F8" w:rsidRPr="00514EFA">
        <w:rPr>
          <w:rFonts w:cs="Arial"/>
        </w:rPr>
        <w:t xml:space="preserve">study focuses on the broad hypothesis that culture, sport and </w:t>
      </w:r>
      <w:proofErr w:type="gramStart"/>
      <w:r w:rsidR="00E223F8" w:rsidRPr="00514EFA">
        <w:rPr>
          <w:rFonts w:cs="Arial"/>
        </w:rPr>
        <w:t>heritage  serve</w:t>
      </w:r>
      <w:proofErr w:type="gramEnd"/>
      <w:r w:rsidR="00E223F8" w:rsidRPr="00514EFA">
        <w:rPr>
          <w:rFonts w:cs="Arial"/>
        </w:rPr>
        <w:t xml:space="preserve"> as important drivers in achieving economic and social goals of economic prosperity, wellbeing, social inclusion and cohesion</w:t>
      </w:r>
      <w:r w:rsidR="004E4628">
        <w:rPr>
          <w:rFonts w:cs="Arial"/>
        </w:rPr>
        <w:t xml:space="preserve"> </w:t>
      </w:r>
      <w:r w:rsidR="002807E8">
        <w:rPr>
          <w:rFonts w:cs="Arial"/>
        </w:rPr>
        <w:t xml:space="preserve">– </w:t>
      </w:r>
      <w:r w:rsidR="004E4628">
        <w:rPr>
          <w:rFonts w:cs="Arial"/>
        </w:rPr>
        <w:t>and that this forms part of a wider place-shaping process</w:t>
      </w:r>
      <w:r w:rsidR="00E223F8" w:rsidRPr="00514EFA">
        <w:rPr>
          <w:rFonts w:cs="Arial"/>
        </w:rPr>
        <w:t>. CS&amp;H in their many forms are uniquely able to comment, reflect, influence, interpret and inspire and are increasingly recognised as a key part of the process that can help shape new places and engage communities. They therefore have a long history of contributing to places and communities.</w:t>
      </w:r>
    </w:p>
    <w:p w14:paraId="5826B6BC" w14:textId="17E8D13A" w:rsidR="00E223F8" w:rsidRPr="00514EFA" w:rsidRDefault="00E223F8" w:rsidP="00514EFA">
      <w:pPr>
        <w:rPr>
          <w:rFonts w:cs="Arial"/>
        </w:rPr>
      </w:pPr>
      <w:r w:rsidRPr="00514EFA">
        <w:rPr>
          <w:rFonts w:cs="Arial"/>
        </w:rPr>
        <w:t>This research focuses on evidence to support the argument that CS&amp;H infrastructure and investment have the ability to promote economic and social outcomes and, thereby, to shape local places to achieve more desirable economic and social goals.</w:t>
      </w:r>
      <w:r w:rsidR="00A033C6">
        <w:rPr>
          <w:rFonts w:cs="Arial"/>
        </w:rPr>
        <w:t xml:space="preserve"> </w:t>
      </w:r>
      <w:r w:rsidR="004E4628">
        <w:rPr>
          <w:rFonts w:cs="Arial"/>
        </w:rPr>
        <w:t xml:space="preserve">It is worth noting that it is ultimately the intrinsic benefits of CS&amp;H assets </w:t>
      </w:r>
      <w:r w:rsidR="001F0947">
        <w:rPr>
          <w:rFonts w:cs="Arial"/>
        </w:rPr>
        <w:t xml:space="preserve">and </w:t>
      </w:r>
      <w:proofErr w:type="gramStart"/>
      <w:r w:rsidR="001F0947">
        <w:rPr>
          <w:rFonts w:cs="Arial"/>
        </w:rPr>
        <w:t xml:space="preserve">investment </w:t>
      </w:r>
      <w:r w:rsidR="004E4628">
        <w:rPr>
          <w:rFonts w:cs="Arial"/>
        </w:rPr>
        <w:t>which</w:t>
      </w:r>
      <w:proofErr w:type="gramEnd"/>
      <w:r w:rsidR="004E4628">
        <w:rPr>
          <w:rFonts w:cs="Arial"/>
        </w:rPr>
        <w:t xml:space="preserve"> lead indirectly to economic and social impacts; for example, encouraging individuals and businesses to locate to a particular area in order to take advantage of the intrinsic value of CS&amp;H assets in that area.</w:t>
      </w:r>
    </w:p>
    <w:p w14:paraId="56E05AAB" w14:textId="405570AB" w:rsidR="00E223F8" w:rsidRPr="00514EFA" w:rsidRDefault="00E223F8" w:rsidP="00514EFA">
      <w:pPr>
        <w:rPr>
          <w:rFonts w:cs="Arial"/>
        </w:rPr>
      </w:pPr>
      <w:r w:rsidRPr="00514EFA">
        <w:rPr>
          <w:rFonts w:cs="Arial"/>
        </w:rPr>
        <w:t xml:space="preserve">This section presents the conceptual </w:t>
      </w:r>
      <w:proofErr w:type="gramStart"/>
      <w:r w:rsidRPr="00514EFA">
        <w:rPr>
          <w:rFonts w:cs="Arial"/>
        </w:rPr>
        <w:t>framework which</w:t>
      </w:r>
      <w:proofErr w:type="gramEnd"/>
      <w:r w:rsidRPr="00514EFA">
        <w:rPr>
          <w:rFonts w:cs="Arial"/>
        </w:rPr>
        <w:t xml:space="preserve"> supports the research. The framework is designed to capture the key themes of the relevant economic literature and to identify the key research and </w:t>
      </w:r>
      <w:r w:rsidR="00A67A06" w:rsidRPr="00514EFA">
        <w:rPr>
          <w:rFonts w:cs="Arial"/>
        </w:rPr>
        <w:t>eviden</w:t>
      </w:r>
      <w:r w:rsidR="00A67A06">
        <w:rPr>
          <w:rFonts w:cs="Arial"/>
        </w:rPr>
        <w:t>ce</w:t>
      </w:r>
      <w:r w:rsidR="00A67A06" w:rsidRPr="00514EFA">
        <w:rPr>
          <w:rFonts w:cs="Arial"/>
        </w:rPr>
        <w:t xml:space="preserve"> </w:t>
      </w:r>
      <w:r w:rsidRPr="00514EFA">
        <w:rPr>
          <w:rFonts w:cs="Arial"/>
        </w:rPr>
        <w:t xml:space="preserve">gaps in </w:t>
      </w:r>
      <w:r w:rsidR="00A67A06" w:rsidRPr="00514EFA">
        <w:rPr>
          <w:rFonts w:cs="Arial"/>
        </w:rPr>
        <w:t>th</w:t>
      </w:r>
      <w:r w:rsidR="00A67A06">
        <w:rPr>
          <w:rFonts w:cs="Arial"/>
        </w:rPr>
        <w:t>e</w:t>
      </w:r>
      <w:r w:rsidR="00A67A06" w:rsidRPr="00514EFA">
        <w:rPr>
          <w:rFonts w:cs="Arial"/>
        </w:rPr>
        <w:t xml:space="preserve"> </w:t>
      </w:r>
      <w:r w:rsidRPr="00514EFA">
        <w:rPr>
          <w:rFonts w:cs="Arial"/>
        </w:rPr>
        <w:t xml:space="preserve">literature. The conceptual framework is used as the basis for </w:t>
      </w:r>
      <w:r w:rsidR="002807E8">
        <w:rPr>
          <w:rFonts w:cs="Arial"/>
        </w:rPr>
        <w:t>defining</w:t>
      </w:r>
      <w:r w:rsidR="002807E8" w:rsidRPr="00514EFA">
        <w:rPr>
          <w:rFonts w:cs="Arial"/>
        </w:rPr>
        <w:t xml:space="preserve"> </w:t>
      </w:r>
      <w:r w:rsidRPr="00514EFA">
        <w:rPr>
          <w:rFonts w:cs="Arial"/>
        </w:rPr>
        <w:t xml:space="preserve">the precise scope of </w:t>
      </w:r>
      <w:r w:rsidR="00A67A06" w:rsidRPr="00514EFA">
        <w:rPr>
          <w:rFonts w:cs="Arial"/>
        </w:rPr>
        <w:t>th</w:t>
      </w:r>
      <w:r w:rsidR="00A67A06">
        <w:rPr>
          <w:rFonts w:cs="Arial"/>
        </w:rPr>
        <w:t>e</w:t>
      </w:r>
      <w:r w:rsidR="00A67A06" w:rsidRPr="00514EFA">
        <w:rPr>
          <w:rFonts w:cs="Arial"/>
        </w:rPr>
        <w:t xml:space="preserve"> </w:t>
      </w:r>
      <w:r w:rsidRPr="00514EFA">
        <w:rPr>
          <w:rFonts w:cs="Arial"/>
        </w:rPr>
        <w:t>study and comprises the following elements:</w:t>
      </w:r>
    </w:p>
    <w:p w14:paraId="2ED99599" w14:textId="69F20792" w:rsidR="00E223F8" w:rsidRPr="00514EFA" w:rsidRDefault="00E223F8" w:rsidP="00BB7156">
      <w:pPr>
        <w:pStyle w:val="Bullet"/>
      </w:pPr>
      <w:r w:rsidRPr="00514EFA">
        <w:t>Definition of terms</w:t>
      </w:r>
    </w:p>
    <w:p w14:paraId="1364340B" w14:textId="795280FD" w:rsidR="00A20FE0" w:rsidRPr="00514EFA" w:rsidRDefault="009C4967" w:rsidP="00BB7156">
      <w:pPr>
        <w:pStyle w:val="Bullet"/>
      </w:pPr>
      <w:r>
        <w:t>Implications for the study arising from a</w:t>
      </w:r>
      <w:r w:rsidR="00A20FE0" w:rsidRPr="00514EFA">
        <w:t xml:space="preserve"> review of conceptual/theoretical literature</w:t>
      </w:r>
    </w:p>
    <w:p w14:paraId="203CF0D0" w14:textId="77777777" w:rsidR="002B0A03" w:rsidRDefault="002B0A03" w:rsidP="00BB7156">
      <w:pPr>
        <w:pStyle w:val="Bullet"/>
      </w:pPr>
      <w:r w:rsidRPr="00514EFA">
        <w:t>A description of the impact ‘ecosystem’</w:t>
      </w:r>
    </w:p>
    <w:p w14:paraId="63C2BD28" w14:textId="6E5CA767" w:rsidR="00A20FE0" w:rsidRPr="00514EFA" w:rsidRDefault="009C4967" w:rsidP="00BB7156">
      <w:pPr>
        <w:pStyle w:val="Bullet"/>
      </w:pPr>
      <w:r>
        <w:t>Implications for the study arising from a</w:t>
      </w:r>
      <w:r w:rsidRPr="00514EFA">
        <w:t xml:space="preserve"> </w:t>
      </w:r>
      <w:r w:rsidR="00A20FE0">
        <w:t>review of empirical literature</w:t>
      </w:r>
    </w:p>
    <w:p w14:paraId="594E13F0" w14:textId="51C16348" w:rsidR="00A04ED0" w:rsidRPr="00514EFA" w:rsidRDefault="00A04ED0" w:rsidP="00BB7156">
      <w:pPr>
        <w:pStyle w:val="Bullet"/>
      </w:pPr>
      <w:r w:rsidRPr="00514EFA">
        <w:t>A review of available secondary data in relation to the study aims and objectives</w:t>
      </w:r>
    </w:p>
    <w:p w14:paraId="5BB15D99" w14:textId="26377C8E" w:rsidR="00E223F8" w:rsidRDefault="00E223F8" w:rsidP="00514EFA">
      <w:pPr>
        <w:rPr>
          <w:rFonts w:cs="Arial"/>
        </w:rPr>
      </w:pPr>
      <w:r w:rsidRPr="00514EFA">
        <w:rPr>
          <w:rFonts w:cs="Arial"/>
        </w:rPr>
        <w:t xml:space="preserve">Each of these </w:t>
      </w:r>
      <w:r w:rsidR="009C4967">
        <w:rPr>
          <w:rFonts w:cs="Arial"/>
        </w:rPr>
        <w:t>five</w:t>
      </w:r>
      <w:r w:rsidRPr="00514EFA">
        <w:rPr>
          <w:rFonts w:cs="Arial"/>
        </w:rPr>
        <w:t xml:space="preserve"> elements is considered separately below.</w:t>
      </w:r>
    </w:p>
    <w:p w14:paraId="3E609751" w14:textId="7F79F8B5" w:rsidR="00E223F8" w:rsidRPr="00514EFA" w:rsidRDefault="00E223F8" w:rsidP="00520273">
      <w:pPr>
        <w:pStyle w:val="Heading3Numbered"/>
      </w:pPr>
      <w:bookmarkStart w:id="14" w:name="_Toc441588953"/>
      <w:bookmarkStart w:id="15" w:name="_Toc464222892"/>
      <w:r w:rsidRPr="00514EFA">
        <w:t>Definition</w:t>
      </w:r>
      <w:r w:rsidR="004E4628">
        <w:t xml:space="preserve"> of terms</w:t>
      </w:r>
      <w:bookmarkEnd w:id="14"/>
      <w:bookmarkEnd w:id="15"/>
    </w:p>
    <w:p w14:paraId="1A99C503" w14:textId="28D02CA9" w:rsidR="00E223F8" w:rsidRPr="00514EFA" w:rsidRDefault="00E223F8" w:rsidP="00514EFA">
      <w:pPr>
        <w:rPr>
          <w:rFonts w:cs="Arial"/>
        </w:rPr>
      </w:pPr>
      <w:r w:rsidRPr="00514EFA">
        <w:rPr>
          <w:rFonts w:cs="Arial"/>
        </w:rPr>
        <w:t xml:space="preserve">In order to achieve the required aims and objectives of a study such as this, it is important first to define a range of </w:t>
      </w:r>
      <w:r w:rsidR="00A67A06" w:rsidRPr="00514EFA">
        <w:rPr>
          <w:rFonts w:cs="Arial"/>
        </w:rPr>
        <w:t>concepts</w:t>
      </w:r>
      <w:r w:rsidR="00A67A06" w:rsidRPr="00A67A06">
        <w:rPr>
          <w:rFonts w:cs="Arial"/>
        </w:rPr>
        <w:t xml:space="preserve"> </w:t>
      </w:r>
      <w:r w:rsidR="00A67A06" w:rsidRPr="00514EFA">
        <w:rPr>
          <w:rFonts w:cs="Arial"/>
        </w:rPr>
        <w:t xml:space="preserve">and </w:t>
      </w:r>
      <w:proofErr w:type="gramStart"/>
      <w:r w:rsidRPr="00514EFA">
        <w:rPr>
          <w:rFonts w:cs="Arial"/>
        </w:rPr>
        <w:t>terms .</w:t>
      </w:r>
      <w:proofErr w:type="gramEnd"/>
      <w:r w:rsidRPr="00514EFA">
        <w:rPr>
          <w:rFonts w:cs="Arial"/>
        </w:rPr>
        <w:t xml:space="preserve"> In the context of this study, these are:</w:t>
      </w:r>
    </w:p>
    <w:p w14:paraId="1827BB9D" w14:textId="77777777" w:rsidR="00E223F8" w:rsidRPr="00514EFA" w:rsidRDefault="00E223F8" w:rsidP="00BB7156">
      <w:pPr>
        <w:pStyle w:val="Bullet"/>
      </w:pPr>
      <w:r w:rsidRPr="00514EFA">
        <w:t>Place-shaping</w:t>
      </w:r>
    </w:p>
    <w:p w14:paraId="4755405D" w14:textId="77777777" w:rsidR="00E223F8" w:rsidRPr="00514EFA" w:rsidRDefault="00E223F8" w:rsidP="00BB7156">
      <w:pPr>
        <w:pStyle w:val="Bullet"/>
      </w:pPr>
      <w:r w:rsidRPr="00514EFA">
        <w:t>Culture, Sport and Heritage Assets</w:t>
      </w:r>
    </w:p>
    <w:p w14:paraId="2C9310D2" w14:textId="77777777" w:rsidR="00E223F8" w:rsidRPr="00514EFA" w:rsidRDefault="00E223F8" w:rsidP="00BB7156">
      <w:pPr>
        <w:pStyle w:val="Bullet"/>
      </w:pPr>
      <w:r w:rsidRPr="00514EFA">
        <w:t>Culture, Sport and Heritage Investment</w:t>
      </w:r>
    </w:p>
    <w:p w14:paraId="20F90462" w14:textId="77777777" w:rsidR="00E223F8" w:rsidRPr="00514EFA" w:rsidRDefault="00E223F8" w:rsidP="00BB7156">
      <w:pPr>
        <w:pStyle w:val="Bullet"/>
      </w:pPr>
      <w:r w:rsidRPr="00514EFA">
        <w:t>Impact</w:t>
      </w:r>
    </w:p>
    <w:p w14:paraId="0C29F102" w14:textId="77777777" w:rsidR="00E223F8" w:rsidRPr="00514EFA" w:rsidRDefault="00E223F8" w:rsidP="00BB7156">
      <w:pPr>
        <w:pStyle w:val="Bullet"/>
      </w:pPr>
      <w:r w:rsidRPr="00514EFA">
        <w:t>Geography of impact</w:t>
      </w:r>
    </w:p>
    <w:p w14:paraId="400F7F31" w14:textId="77777777" w:rsidR="00E223F8" w:rsidRPr="00514EFA" w:rsidRDefault="00E223F8" w:rsidP="00BB7156">
      <w:pPr>
        <w:pStyle w:val="Bullet"/>
      </w:pPr>
      <w:bookmarkStart w:id="16" w:name="_Ref460320332"/>
      <w:r w:rsidRPr="00514EFA">
        <w:t>Culture, Sport and Heritage Ecosystem</w:t>
      </w:r>
      <w:bookmarkEnd w:id="16"/>
    </w:p>
    <w:p w14:paraId="2D8F4DBF" w14:textId="554E0F62" w:rsidR="00E223F8" w:rsidRDefault="00E223F8" w:rsidP="00514EFA">
      <w:pPr>
        <w:rPr>
          <w:rFonts w:cs="Arial"/>
        </w:rPr>
      </w:pPr>
      <w:r w:rsidRPr="00514EFA">
        <w:rPr>
          <w:rFonts w:cs="Arial"/>
        </w:rPr>
        <w:t>These definitions also help to describe the focus and scope of the study. Within the context of the study, the definitions are to some extent dynamic, reflecting the specific application of these terms in various analytical scenarios and responding to the feasibility of delivering certain analyses using different datasets. For example, the definition of culture, sport and heritage itself is used selectively in the study to take account of the specific features of the datasets used in the analysis (which may be constrained by Standard Industrial Classification codes, or focused on specific culture, sport or heritage assets or investment, and so on).</w:t>
      </w:r>
    </w:p>
    <w:p w14:paraId="090E90C2" w14:textId="77777777" w:rsidR="009833F3" w:rsidRDefault="00E223F8" w:rsidP="00A36D8D">
      <w:pPr>
        <w:rPr>
          <w:rFonts w:cs="Arial"/>
          <w:b/>
          <w:szCs w:val="22"/>
        </w:rPr>
      </w:pPr>
      <w:r w:rsidRPr="00874506">
        <w:rPr>
          <w:rFonts w:cs="Arial"/>
          <w:b/>
          <w:szCs w:val="22"/>
        </w:rPr>
        <w:t>Place-shaping</w:t>
      </w:r>
    </w:p>
    <w:p w14:paraId="76A409A6" w14:textId="578384B4" w:rsidR="00B20182" w:rsidRPr="00332310" w:rsidRDefault="00E223F8" w:rsidP="00A36D8D">
      <w:pPr>
        <w:rPr>
          <w:rFonts w:cs="Arial"/>
          <w:szCs w:val="22"/>
          <w:lang w:eastAsia="en-GB"/>
        </w:rPr>
      </w:pPr>
      <w:r w:rsidRPr="00874506">
        <w:rPr>
          <w:rFonts w:cs="Arial"/>
          <w:szCs w:val="22"/>
        </w:rPr>
        <w:t xml:space="preserve">‘Place-shaping’ is not a term or concept used in the literature or policy on culture. The term </w:t>
      </w:r>
      <w:r w:rsidR="00AD6B47">
        <w:rPr>
          <w:rFonts w:cs="Arial"/>
          <w:szCs w:val="22"/>
        </w:rPr>
        <w:t>placemaking</w:t>
      </w:r>
      <w:r w:rsidRPr="00874506">
        <w:rPr>
          <w:rFonts w:cs="Arial"/>
          <w:szCs w:val="22"/>
        </w:rPr>
        <w:t xml:space="preserve"> is more widely used in relation to local and area-based improvement, often associated with environmental design of the public realm, and issues of accessibility and connectivity. </w:t>
      </w:r>
      <w:r w:rsidR="00874506" w:rsidRPr="00874506">
        <w:rPr>
          <w:rFonts w:cs="Arial"/>
          <w:szCs w:val="22"/>
        </w:rPr>
        <w:t>This term also features in recent cultural policy: ‘</w:t>
      </w:r>
      <w:r w:rsidR="00874506" w:rsidRPr="00332310">
        <w:rPr>
          <w:rFonts w:cs="Arial"/>
          <w:szCs w:val="22"/>
          <w:lang w:eastAsia="en-GB"/>
        </w:rPr>
        <w:t>We want</w:t>
      </w:r>
      <w:r w:rsidR="00874506">
        <w:rPr>
          <w:rFonts w:cs="Arial"/>
          <w:szCs w:val="22"/>
          <w:lang w:eastAsia="en-GB"/>
        </w:rPr>
        <w:t xml:space="preserve"> </w:t>
      </w:r>
      <w:r w:rsidR="00874506" w:rsidRPr="00332310">
        <w:rPr>
          <w:rFonts w:cs="Arial"/>
          <w:szCs w:val="22"/>
          <w:lang w:eastAsia="en-GB"/>
        </w:rPr>
        <w:t>to see more partnerships being formed</w:t>
      </w:r>
      <w:r w:rsidR="00874506">
        <w:rPr>
          <w:rFonts w:cs="Arial"/>
          <w:szCs w:val="22"/>
          <w:lang w:eastAsia="en-GB"/>
        </w:rPr>
        <w:t xml:space="preserve"> </w:t>
      </w:r>
      <w:r w:rsidR="00874506" w:rsidRPr="00332310">
        <w:rPr>
          <w:rFonts w:cs="Arial"/>
          <w:szCs w:val="22"/>
          <w:lang w:eastAsia="en-GB"/>
        </w:rPr>
        <w:t>between the national and local levels to</w:t>
      </w:r>
      <w:r w:rsidR="00874506">
        <w:rPr>
          <w:rFonts w:cs="Arial"/>
          <w:szCs w:val="22"/>
          <w:lang w:eastAsia="en-GB"/>
        </w:rPr>
        <w:t xml:space="preserve"> </w:t>
      </w:r>
      <w:r w:rsidR="00874506" w:rsidRPr="00332310">
        <w:rPr>
          <w:rFonts w:cs="Arial"/>
          <w:szCs w:val="22"/>
          <w:lang w:eastAsia="en-GB"/>
        </w:rPr>
        <w:t xml:space="preserve">put culture at the heart of </w:t>
      </w:r>
      <w:r w:rsidR="00AD6B47">
        <w:rPr>
          <w:rFonts w:cs="Arial"/>
          <w:szCs w:val="22"/>
          <w:lang w:eastAsia="en-GB"/>
        </w:rPr>
        <w:t>placemaking</w:t>
      </w:r>
      <w:r w:rsidR="00874506" w:rsidRPr="00332310">
        <w:rPr>
          <w:rFonts w:cs="Arial"/>
          <w:szCs w:val="22"/>
          <w:lang w:eastAsia="en-GB"/>
        </w:rPr>
        <w:t>’</w:t>
      </w:r>
      <w:r w:rsidR="00A36D8D" w:rsidRPr="00A36D8D">
        <w:rPr>
          <w:rStyle w:val="FootnoteReference"/>
          <w:rFonts w:cs="Arial"/>
          <w:szCs w:val="22"/>
        </w:rPr>
        <w:t xml:space="preserve"> </w:t>
      </w:r>
      <w:r w:rsidR="00A36D8D" w:rsidRPr="00874506">
        <w:rPr>
          <w:rStyle w:val="FootnoteReference"/>
          <w:rFonts w:cs="Arial"/>
          <w:szCs w:val="22"/>
        </w:rPr>
        <w:footnoteReference w:id="5"/>
      </w:r>
      <w:r w:rsidR="00874506" w:rsidRPr="00874506">
        <w:rPr>
          <w:rFonts w:cs="Arial"/>
          <w:szCs w:val="22"/>
        </w:rPr>
        <w:t xml:space="preserve">. </w:t>
      </w:r>
      <w:r w:rsidRPr="00874506">
        <w:rPr>
          <w:rFonts w:cs="Arial"/>
          <w:szCs w:val="22"/>
        </w:rPr>
        <w:t xml:space="preserve">The </w:t>
      </w:r>
      <w:r w:rsidRPr="00514EFA">
        <w:rPr>
          <w:rFonts w:cs="Arial"/>
        </w:rPr>
        <w:t xml:space="preserve">related, observed concept of clustering (agglomeration of firms, amenities and occupation groups, e.g. the ‘creative class’) also operates at various scales, including in the ‘compact city’ where a mix of amenities, retail and public transport/accessibility are seen to provide a sustainable and liveable place. </w:t>
      </w:r>
    </w:p>
    <w:p w14:paraId="77D93038" w14:textId="6B86D3D1" w:rsidR="00E223F8" w:rsidRPr="00514EFA" w:rsidRDefault="00E223F8" w:rsidP="00514EFA">
      <w:pPr>
        <w:rPr>
          <w:rFonts w:cs="Arial"/>
        </w:rPr>
      </w:pPr>
      <w:r w:rsidRPr="00514EFA">
        <w:rPr>
          <w:rFonts w:cs="Arial"/>
        </w:rPr>
        <w:t>The term place-shaping was used in local government reform, inspired by the Lyons Inquiry (2007), where the term was seen to cover a wide range of local activity which affects the well-being of the local community, informed by local character and history, community needs and demands, and local politics and leadership</w:t>
      </w:r>
      <w:r w:rsidRPr="00514EFA">
        <w:rPr>
          <w:rStyle w:val="FootnoteReference"/>
          <w:rFonts w:cs="Arial"/>
        </w:rPr>
        <w:footnoteReference w:id="6"/>
      </w:r>
      <w:r w:rsidRPr="00514EFA">
        <w:rPr>
          <w:rFonts w:cs="Arial"/>
        </w:rPr>
        <w:t xml:space="preserve">. Here, well-being is approached not just from a local economic or services perspective, but contains an element of a ‘local sense of belonging and identity’: place-shaping is </w:t>
      </w:r>
      <w:r w:rsidR="00980CF7">
        <w:rPr>
          <w:rFonts w:cs="Arial"/>
        </w:rPr>
        <w:t>“</w:t>
      </w:r>
      <w:r w:rsidRPr="00514EFA">
        <w:rPr>
          <w:rFonts w:cs="Arial"/>
        </w:rPr>
        <w:t>about creating a vision for a locality that is distinctive, identifying and building on its unique selling points, and creating a sense of local identity, distinctiveness and place. It is about creating places that are attractive, vibrant, prosperous, safe and friendly. Places for people to be proud to call home</w:t>
      </w:r>
      <w:r w:rsidR="00980CF7">
        <w:rPr>
          <w:rFonts w:cs="Arial"/>
        </w:rPr>
        <w:t>”</w:t>
      </w:r>
      <w:r w:rsidRPr="00514EFA">
        <w:rPr>
          <w:rFonts w:cs="Arial"/>
        </w:rPr>
        <w:t xml:space="preserve">. </w:t>
      </w:r>
    </w:p>
    <w:p w14:paraId="621BDE82" w14:textId="5246030E" w:rsidR="00E223F8" w:rsidRPr="00A36D8D" w:rsidRDefault="00E223F8" w:rsidP="00514EFA">
      <w:pPr>
        <w:rPr>
          <w:rFonts w:cs="Arial"/>
          <w:szCs w:val="22"/>
        </w:rPr>
      </w:pPr>
      <w:r w:rsidRPr="00514EFA">
        <w:rPr>
          <w:rFonts w:cs="Arial"/>
        </w:rPr>
        <w:t xml:space="preserve">In some </w:t>
      </w:r>
      <w:r w:rsidRPr="00A36D8D">
        <w:rPr>
          <w:rFonts w:cs="Arial"/>
          <w:szCs w:val="22"/>
        </w:rPr>
        <w:t xml:space="preserve">respects this study could be seen to introduce ‘culture’ to this local place-shaping aspiration, building as it does on preceding evidence-based policy around </w:t>
      </w:r>
      <w:r w:rsidR="002A5A29" w:rsidRPr="00A36D8D">
        <w:rPr>
          <w:rFonts w:cs="Arial"/>
          <w:szCs w:val="22"/>
        </w:rPr>
        <w:t xml:space="preserve">culture and regeneration; living places; cultural asset </w:t>
      </w:r>
      <w:r w:rsidR="002A5A29" w:rsidRPr="00332310">
        <w:rPr>
          <w:rFonts w:cs="Arial"/>
          <w:szCs w:val="22"/>
        </w:rPr>
        <w:t xml:space="preserve">mapping and </w:t>
      </w:r>
      <w:r w:rsidR="002A5A29" w:rsidRPr="003B7B9B">
        <w:rPr>
          <w:rFonts w:cs="Arial"/>
          <w:szCs w:val="22"/>
        </w:rPr>
        <w:t xml:space="preserve">investment appraisal </w:t>
      </w:r>
      <w:r w:rsidRPr="003B7B9B">
        <w:rPr>
          <w:rFonts w:cs="Arial"/>
          <w:szCs w:val="22"/>
        </w:rPr>
        <w:t>(</w:t>
      </w:r>
      <w:r w:rsidR="002A5A29" w:rsidRPr="00BB7156">
        <w:rPr>
          <w:rFonts w:cs="Arial"/>
          <w:i/>
          <w:szCs w:val="22"/>
        </w:rPr>
        <w:t xml:space="preserve">The </w:t>
      </w:r>
      <w:r w:rsidRPr="00BB7156">
        <w:rPr>
          <w:rFonts w:cs="Arial"/>
          <w:i/>
          <w:szCs w:val="22"/>
        </w:rPr>
        <w:t>Art of the Possible</w:t>
      </w:r>
      <w:r w:rsidRPr="003B7B9B">
        <w:rPr>
          <w:rFonts w:cs="Arial"/>
          <w:szCs w:val="22"/>
        </w:rPr>
        <w:t>) and a range of impact reviews.</w:t>
      </w:r>
      <w:r w:rsidR="00874506" w:rsidRPr="00FE5530">
        <w:rPr>
          <w:rFonts w:cs="Arial"/>
          <w:szCs w:val="22"/>
        </w:rPr>
        <w:t xml:space="preserve"> This includes the recent </w:t>
      </w:r>
      <w:r w:rsidR="00874506" w:rsidRPr="00955D2E">
        <w:rPr>
          <w:rFonts w:cs="Arial"/>
          <w:szCs w:val="22"/>
        </w:rPr>
        <w:t>AHRC Cultural Value Project</w:t>
      </w:r>
      <w:r w:rsidR="00874506" w:rsidRPr="003B7B9B">
        <w:rPr>
          <w:rStyle w:val="FootnoteReference"/>
          <w:rFonts w:cs="Arial"/>
          <w:szCs w:val="22"/>
        </w:rPr>
        <w:footnoteReference w:id="7"/>
      </w:r>
      <w:proofErr w:type="gramStart"/>
      <w:r w:rsidR="00A36D8D" w:rsidRPr="003B7B9B">
        <w:rPr>
          <w:rFonts w:cs="Arial"/>
          <w:szCs w:val="22"/>
        </w:rPr>
        <w:t xml:space="preserve"> which</w:t>
      </w:r>
      <w:proofErr w:type="gramEnd"/>
      <w:r w:rsidR="00A36D8D" w:rsidRPr="003B7B9B">
        <w:rPr>
          <w:rFonts w:cs="Arial"/>
          <w:szCs w:val="22"/>
        </w:rPr>
        <w:t xml:space="preserve"> emphasises the intrinsic value of cultural experience </w:t>
      </w:r>
      <w:r w:rsidR="00A36D8D" w:rsidRPr="00FE5530">
        <w:rPr>
          <w:rFonts w:cs="Arial"/>
          <w:szCs w:val="22"/>
        </w:rPr>
        <w:t xml:space="preserve">to the individual, wherever this is first gained – </w:t>
      </w:r>
      <w:r w:rsidR="00A36D8D" w:rsidRPr="00955D2E">
        <w:rPr>
          <w:rFonts w:cs="Arial"/>
          <w:szCs w:val="22"/>
        </w:rPr>
        <w:t xml:space="preserve">in the home, school, community or cultural venue. Cultural value that can be appreciated and acquired </w:t>
      </w:r>
      <w:r w:rsidR="00A36D8D" w:rsidRPr="00332310">
        <w:rPr>
          <w:rFonts w:eastAsiaTheme="minorHAnsi" w:cs="Arial"/>
          <w:iCs/>
          <w:szCs w:val="22"/>
        </w:rPr>
        <w:t xml:space="preserve">can both generate new demand and release latent demand. </w:t>
      </w:r>
      <w:r w:rsidR="00332310" w:rsidRPr="00332310">
        <w:rPr>
          <w:rFonts w:cs="Arial"/>
          <w:color w:val="000000"/>
          <w:szCs w:val="22"/>
        </w:rPr>
        <w:t xml:space="preserve">This is also likely to lead to behavioural </w:t>
      </w:r>
      <w:proofErr w:type="gramStart"/>
      <w:r w:rsidR="00332310" w:rsidRPr="00332310">
        <w:rPr>
          <w:rFonts w:cs="Arial"/>
          <w:color w:val="000000"/>
          <w:szCs w:val="22"/>
        </w:rPr>
        <w:t>changes which in turn can effect cultural consumption and participation</w:t>
      </w:r>
      <w:proofErr w:type="gramEnd"/>
      <w:r w:rsidR="00332310" w:rsidRPr="00332310">
        <w:rPr>
          <w:rFonts w:cs="Arial"/>
          <w:color w:val="000000"/>
          <w:szCs w:val="22"/>
        </w:rPr>
        <w:t xml:space="preserve"> and in some situations, location decisions </w:t>
      </w:r>
      <w:r w:rsidR="004A56F9">
        <w:rPr>
          <w:rFonts w:cs="Arial"/>
          <w:color w:val="000000"/>
          <w:szCs w:val="22"/>
        </w:rPr>
        <w:t>–</w:t>
      </w:r>
      <w:r w:rsidR="00332310" w:rsidRPr="00332310">
        <w:rPr>
          <w:rFonts w:cs="Arial"/>
          <w:color w:val="000000"/>
          <w:szCs w:val="22"/>
        </w:rPr>
        <w:t xml:space="preserve"> with direct economic effects arising. Cultural value is recognised in the AHRC review</w:t>
      </w:r>
      <w:r w:rsidR="002807E8">
        <w:rPr>
          <w:rFonts w:cs="Arial"/>
          <w:color w:val="000000"/>
          <w:szCs w:val="22"/>
        </w:rPr>
        <w:t>,</w:t>
      </w:r>
      <w:r w:rsidR="00332310" w:rsidRPr="00332310">
        <w:rPr>
          <w:rFonts w:cs="Arial"/>
          <w:color w:val="000000"/>
          <w:szCs w:val="22"/>
        </w:rPr>
        <w:t xml:space="preserve"> for instance in terms of the ability of arts </w:t>
      </w:r>
      <w:r w:rsidR="002807E8">
        <w:rPr>
          <w:rFonts w:cs="Arial"/>
          <w:color w:val="000000"/>
          <w:szCs w:val="22"/>
        </w:rPr>
        <w:t>and</w:t>
      </w:r>
      <w:r w:rsidR="00332310" w:rsidRPr="00332310">
        <w:rPr>
          <w:rFonts w:cs="Arial"/>
          <w:color w:val="000000"/>
          <w:szCs w:val="22"/>
        </w:rPr>
        <w:t xml:space="preserve"> cultural engagement to help shape reflective individuals</w:t>
      </w:r>
      <w:r w:rsidR="004A56F9">
        <w:rPr>
          <w:rFonts w:cs="Arial"/>
          <w:color w:val="000000"/>
          <w:szCs w:val="22"/>
        </w:rPr>
        <w:t>,</w:t>
      </w:r>
      <w:r w:rsidR="00332310" w:rsidRPr="00332310">
        <w:rPr>
          <w:rFonts w:cs="Arial"/>
          <w:color w:val="000000"/>
          <w:szCs w:val="22"/>
        </w:rPr>
        <w:t xml:space="preserve"> thereby facilitating greater understanding of themselves and empathy for others, as well as producing more engaged citizens, thus promoting civic behaviour and expression. </w:t>
      </w:r>
      <w:r w:rsidR="00A36D8D" w:rsidRPr="00332310">
        <w:rPr>
          <w:rFonts w:eastAsiaTheme="minorHAnsi" w:cs="Arial"/>
          <w:iCs/>
          <w:szCs w:val="22"/>
        </w:rPr>
        <w:t xml:space="preserve">However, access to cultural experiences and opportunities for cultural expression are, as </w:t>
      </w:r>
      <w:r w:rsidR="002A5A29">
        <w:rPr>
          <w:rFonts w:eastAsiaTheme="minorHAnsi" w:cs="Arial"/>
          <w:iCs/>
          <w:szCs w:val="22"/>
        </w:rPr>
        <w:t>the</w:t>
      </w:r>
      <w:r w:rsidR="002A5A29" w:rsidRPr="00332310">
        <w:rPr>
          <w:rFonts w:eastAsiaTheme="minorHAnsi" w:cs="Arial"/>
          <w:iCs/>
          <w:szCs w:val="22"/>
        </w:rPr>
        <w:t xml:space="preserve"> </w:t>
      </w:r>
      <w:r w:rsidR="00A36D8D" w:rsidRPr="00332310">
        <w:rPr>
          <w:rFonts w:eastAsiaTheme="minorHAnsi" w:cs="Arial"/>
          <w:iCs/>
          <w:szCs w:val="22"/>
        </w:rPr>
        <w:t xml:space="preserve">review confirms, uneven and both the generation of ‘demand’ and the cultural ecosystems that can flourish at varying levels require different modes and places of engagement in proximity to where people </w:t>
      </w:r>
      <w:r w:rsidR="00A36D8D">
        <w:rPr>
          <w:rFonts w:eastAsiaTheme="minorHAnsi" w:cs="Arial"/>
          <w:iCs/>
          <w:szCs w:val="22"/>
        </w:rPr>
        <w:t xml:space="preserve">can </w:t>
      </w:r>
      <w:r w:rsidR="00A36D8D" w:rsidRPr="00332310">
        <w:rPr>
          <w:rFonts w:eastAsiaTheme="minorHAnsi" w:cs="Arial"/>
          <w:iCs/>
          <w:szCs w:val="22"/>
        </w:rPr>
        <w:t xml:space="preserve">actually access cultural </w:t>
      </w:r>
      <w:r w:rsidR="00332310">
        <w:rPr>
          <w:rFonts w:eastAsiaTheme="minorHAnsi" w:cs="Arial"/>
          <w:iCs/>
          <w:szCs w:val="22"/>
        </w:rPr>
        <w:t>experiences</w:t>
      </w:r>
      <w:r w:rsidR="00A36D8D">
        <w:rPr>
          <w:rFonts w:eastAsiaTheme="minorHAnsi" w:cs="Arial"/>
          <w:iCs/>
          <w:szCs w:val="22"/>
        </w:rPr>
        <w:t>.</w:t>
      </w:r>
    </w:p>
    <w:p w14:paraId="62341F54" w14:textId="3EA5B7F9" w:rsidR="00E223F8" w:rsidRPr="00514EFA" w:rsidRDefault="00E223F8" w:rsidP="00514EFA">
      <w:pPr>
        <w:rPr>
          <w:rFonts w:cs="Arial"/>
        </w:rPr>
      </w:pPr>
      <w:r w:rsidRPr="00514EFA">
        <w:rPr>
          <w:rFonts w:cs="Arial"/>
        </w:rPr>
        <w:t>Without a clear definition</w:t>
      </w:r>
      <w:r w:rsidR="009833F3">
        <w:rPr>
          <w:rFonts w:cs="Arial"/>
        </w:rPr>
        <w:t xml:space="preserve"> in the literature</w:t>
      </w:r>
      <w:r w:rsidRPr="00514EFA">
        <w:rPr>
          <w:rFonts w:cs="Arial"/>
        </w:rPr>
        <w:t xml:space="preserve">, for our purposes the role and contribution that CS&amp;H assets </w:t>
      </w:r>
      <w:r w:rsidR="003D29BB">
        <w:rPr>
          <w:rFonts w:cs="Arial"/>
        </w:rPr>
        <w:t xml:space="preserve">and investment </w:t>
      </w:r>
      <w:r w:rsidRPr="00514EFA">
        <w:rPr>
          <w:rFonts w:cs="Arial"/>
        </w:rPr>
        <w:t xml:space="preserve">make to shaping places therefore draw on both </w:t>
      </w:r>
      <w:r w:rsidR="00AD6B47">
        <w:rPr>
          <w:rFonts w:cs="Arial"/>
        </w:rPr>
        <w:t>placemaking</w:t>
      </w:r>
      <w:r w:rsidRPr="00514EFA">
        <w:rPr>
          <w:rFonts w:cs="Arial"/>
        </w:rPr>
        <w:t xml:space="preserve"> concepts including spatial and environmental amenity effects (e.g. clusters), and a range of social, economic</w:t>
      </w:r>
      <w:r w:rsidR="00A36D8D">
        <w:rPr>
          <w:rFonts w:cs="Arial"/>
        </w:rPr>
        <w:t>,</w:t>
      </w:r>
      <w:r w:rsidR="00A033C6">
        <w:rPr>
          <w:rFonts w:cs="Arial"/>
        </w:rPr>
        <w:t xml:space="preserve"> </w:t>
      </w:r>
      <w:r w:rsidRPr="00514EFA">
        <w:rPr>
          <w:rFonts w:cs="Arial"/>
        </w:rPr>
        <w:t xml:space="preserve">environmental </w:t>
      </w:r>
      <w:r w:rsidR="00A36D8D">
        <w:rPr>
          <w:rFonts w:cs="Arial"/>
        </w:rPr>
        <w:t xml:space="preserve">and intrinsic values and </w:t>
      </w:r>
      <w:r w:rsidRPr="00514EFA">
        <w:rPr>
          <w:rFonts w:cs="Arial"/>
        </w:rPr>
        <w:t>benefits of a cultural ecosystem that arises from particular CS&amp;H facilities</w:t>
      </w:r>
      <w:r w:rsidR="00A36D8D">
        <w:rPr>
          <w:rFonts w:cs="Arial"/>
        </w:rPr>
        <w:t>, opportunities</w:t>
      </w:r>
      <w:r w:rsidRPr="00514EFA">
        <w:rPr>
          <w:rFonts w:cs="Arial"/>
        </w:rPr>
        <w:t xml:space="preserve"> and activities. The place-shaping strategies identified through local governance and ‘creative city’ </w:t>
      </w:r>
      <w:r w:rsidR="00AD6B47">
        <w:rPr>
          <w:rFonts w:cs="Arial"/>
        </w:rPr>
        <w:t>placemaking</w:t>
      </w:r>
      <w:r w:rsidRPr="00514EFA">
        <w:rPr>
          <w:rFonts w:cs="Arial"/>
        </w:rPr>
        <w:t xml:space="preserve"> approaches (and associated investment) are also a measure of how effective places (boroughs, districts, clusters</w:t>
      </w:r>
      <w:r w:rsidR="009833F3">
        <w:rPr>
          <w:rFonts w:cs="Arial"/>
        </w:rPr>
        <w:t>, etc.</w:t>
      </w:r>
      <w:r w:rsidRPr="00514EFA">
        <w:rPr>
          <w:rFonts w:cs="Arial"/>
        </w:rPr>
        <w:t xml:space="preserve">) are, in generating these positive impacts. </w:t>
      </w:r>
      <w:proofErr w:type="gramStart"/>
      <w:r w:rsidR="009833F3" w:rsidRPr="00514EFA">
        <w:rPr>
          <w:rFonts w:cs="Arial"/>
        </w:rPr>
        <w:t>Place</w:t>
      </w:r>
      <w:r w:rsidR="009833F3">
        <w:rPr>
          <w:rFonts w:cs="Arial"/>
        </w:rPr>
        <w:t>-</w:t>
      </w:r>
      <w:r w:rsidR="00B20182" w:rsidRPr="00514EFA">
        <w:rPr>
          <w:rFonts w:cs="Arial"/>
        </w:rPr>
        <w:t>shaping</w:t>
      </w:r>
      <w:proofErr w:type="gramEnd"/>
      <w:r w:rsidR="00B20182" w:rsidRPr="00514EFA">
        <w:rPr>
          <w:rFonts w:cs="Arial"/>
        </w:rPr>
        <w:t xml:space="preserve"> in the context of this study therefore encompasses a broader range of activities, initiatives and concepts than </w:t>
      </w:r>
      <w:r w:rsidR="00AD6B47">
        <w:rPr>
          <w:rFonts w:cs="Arial"/>
        </w:rPr>
        <w:t>placemaking</w:t>
      </w:r>
      <w:r w:rsidR="00B20182" w:rsidRPr="00514EFA">
        <w:rPr>
          <w:rFonts w:cs="Arial"/>
        </w:rPr>
        <w:t xml:space="preserve"> alone would imply.</w:t>
      </w:r>
      <w:r w:rsidR="00A033C6">
        <w:rPr>
          <w:rFonts w:cs="Arial"/>
        </w:rPr>
        <w:t xml:space="preserve"> </w:t>
      </w:r>
    </w:p>
    <w:p w14:paraId="74CF6D4D" w14:textId="768F9FFA" w:rsidR="00E223F8" w:rsidRPr="00514EFA" w:rsidRDefault="00E223F8" w:rsidP="00514EFA">
      <w:pPr>
        <w:rPr>
          <w:rFonts w:cs="Arial"/>
        </w:rPr>
      </w:pPr>
      <w:r w:rsidRPr="00514EFA">
        <w:rPr>
          <w:rFonts w:cs="Arial"/>
        </w:rPr>
        <w:t xml:space="preserve">The Lyons Inquiry into local government defined </w:t>
      </w:r>
      <w:proofErr w:type="gramStart"/>
      <w:r w:rsidRPr="00514EFA">
        <w:rPr>
          <w:rFonts w:cs="Arial"/>
        </w:rPr>
        <w:t>place-shaping</w:t>
      </w:r>
      <w:proofErr w:type="gramEnd"/>
      <w:r w:rsidRPr="00514EFA">
        <w:rPr>
          <w:rFonts w:cs="Arial"/>
        </w:rPr>
        <w:t xml:space="preserve"> as “the creative use of powers and influence to promote the general well-being of a community and its citizens”</w:t>
      </w:r>
      <w:r w:rsidRPr="00514EFA">
        <w:rPr>
          <w:rStyle w:val="FootnoteReference"/>
          <w:rFonts w:cs="Arial"/>
        </w:rPr>
        <w:footnoteReference w:id="8"/>
      </w:r>
      <w:r w:rsidRPr="00514EFA">
        <w:rPr>
          <w:rFonts w:cs="Arial"/>
        </w:rPr>
        <w:t xml:space="preserve">. Clearly this definition was developed in the context of the policy and investment decision-making power that local government has. </w:t>
      </w:r>
      <w:r w:rsidR="000F6B69">
        <w:rPr>
          <w:rFonts w:cs="Arial"/>
        </w:rPr>
        <w:t>W</w:t>
      </w:r>
      <w:r w:rsidRPr="00514EFA">
        <w:rPr>
          <w:rFonts w:cs="Arial"/>
        </w:rPr>
        <w:t>e suggest that this definition is used</w:t>
      </w:r>
      <w:r w:rsidR="009833F3">
        <w:rPr>
          <w:rFonts w:cs="Arial"/>
        </w:rPr>
        <w:t xml:space="preserve"> in this research</w:t>
      </w:r>
      <w:r w:rsidRPr="00514EFA">
        <w:rPr>
          <w:rFonts w:cs="Arial"/>
        </w:rPr>
        <w:t xml:space="preserve"> </w:t>
      </w:r>
      <w:r w:rsidR="00B20182" w:rsidRPr="00514EFA">
        <w:rPr>
          <w:rFonts w:cs="Arial"/>
        </w:rPr>
        <w:t xml:space="preserve">since it is in the area of policy and investment </w:t>
      </w:r>
      <w:proofErr w:type="gramStart"/>
      <w:r w:rsidR="00B20182" w:rsidRPr="00514EFA">
        <w:rPr>
          <w:rFonts w:cs="Arial"/>
        </w:rPr>
        <w:t>decision making</w:t>
      </w:r>
      <w:proofErr w:type="gramEnd"/>
      <w:r w:rsidR="00B20182" w:rsidRPr="00514EFA">
        <w:rPr>
          <w:rFonts w:cs="Arial"/>
        </w:rPr>
        <w:t xml:space="preserve"> where it is felt the results of the study could have most influence.</w:t>
      </w:r>
      <w:r w:rsidR="00A033C6">
        <w:rPr>
          <w:rFonts w:cs="Arial"/>
        </w:rPr>
        <w:t xml:space="preserve"> </w:t>
      </w:r>
      <w:r w:rsidR="00B20182" w:rsidRPr="00514EFA">
        <w:rPr>
          <w:rFonts w:cs="Arial"/>
        </w:rPr>
        <w:t xml:space="preserve">However, within this study the term should be </w:t>
      </w:r>
      <w:r w:rsidRPr="00514EFA">
        <w:rPr>
          <w:rFonts w:cs="Arial"/>
        </w:rPr>
        <w:t>considered in the context of decisions around policy and investment with respect to culture, sport and heritage assets. We also want to capture specific economic impacts.</w:t>
      </w:r>
    </w:p>
    <w:p w14:paraId="54A10D12" w14:textId="77777777" w:rsidR="00E223F8" w:rsidRPr="00514EFA" w:rsidRDefault="00E223F8" w:rsidP="00514EFA">
      <w:pPr>
        <w:rPr>
          <w:rFonts w:cs="Arial"/>
        </w:rPr>
      </w:pPr>
      <w:r w:rsidRPr="00514EFA">
        <w:rPr>
          <w:rFonts w:cs="Arial"/>
        </w:rPr>
        <w:t xml:space="preserve">The definition of </w:t>
      </w:r>
      <w:proofErr w:type="gramStart"/>
      <w:r w:rsidRPr="00514EFA">
        <w:rPr>
          <w:rFonts w:cs="Arial"/>
        </w:rPr>
        <w:t>place-shaping</w:t>
      </w:r>
      <w:proofErr w:type="gramEnd"/>
      <w:r w:rsidRPr="00514EFA">
        <w:rPr>
          <w:rFonts w:cs="Arial"/>
        </w:rPr>
        <w:t xml:space="preserve"> that we use is:</w:t>
      </w:r>
    </w:p>
    <w:p w14:paraId="417F4D2C" w14:textId="77777777" w:rsidR="00E223F8" w:rsidRPr="00514EFA" w:rsidRDefault="00E223F8" w:rsidP="00514EFA">
      <w:pPr>
        <w:rPr>
          <w:rFonts w:cs="Arial"/>
          <w:i/>
        </w:rPr>
      </w:pPr>
      <w:r w:rsidRPr="00514EFA">
        <w:rPr>
          <w:rFonts w:cs="Arial"/>
          <w:i/>
        </w:rPr>
        <w:t>“The creative use of powers and influence to create, utilise and develop CS&amp;H assets in order to promote the general well-being of a community and its residents and businesses, where well-being captures a range of positive attributes such as better health, high amenity value, good job opportunities, high business performance, low crime, good educational attainment and community cohesion.”</w:t>
      </w:r>
    </w:p>
    <w:p w14:paraId="1221D8C5" w14:textId="7EF92676" w:rsidR="00682D0A" w:rsidRPr="00514EFA" w:rsidRDefault="00E223F8" w:rsidP="00514EFA">
      <w:pPr>
        <w:rPr>
          <w:rFonts w:cs="Arial"/>
          <w:b/>
          <w:color w:val="5F5F5F"/>
        </w:rPr>
      </w:pPr>
      <w:r w:rsidRPr="00514EFA">
        <w:rPr>
          <w:rFonts w:cs="Arial"/>
        </w:rPr>
        <w:t xml:space="preserve">We therefore draw a distinction between place-shaping and </w:t>
      </w:r>
      <w:r w:rsidR="00AD6B47">
        <w:rPr>
          <w:rFonts w:cs="Arial"/>
        </w:rPr>
        <w:t>placemaking</w:t>
      </w:r>
      <w:r w:rsidRPr="00514EFA">
        <w:rPr>
          <w:rFonts w:cs="Arial"/>
        </w:rPr>
        <w:t xml:space="preserve">, where the latter is often seen as a narrower activity focused on an approach to planning, design </w:t>
      </w:r>
      <w:r w:rsidR="00B20182" w:rsidRPr="00514EFA">
        <w:rPr>
          <w:rFonts w:cs="Arial"/>
        </w:rPr>
        <w:t>and management of public spaces and the former is more about creating and delivering a vision of greater economic and social well-being.</w:t>
      </w:r>
      <w:r w:rsidR="00A033C6">
        <w:rPr>
          <w:rFonts w:cs="Arial"/>
        </w:rPr>
        <w:t xml:space="preserve"> </w:t>
      </w:r>
      <w:r w:rsidR="003D29BB">
        <w:rPr>
          <w:rFonts w:cs="Arial"/>
        </w:rPr>
        <w:t>The focus</w:t>
      </w:r>
      <w:r w:rsidR="00B20182" w:rsidRPr="00514EFA">
        <w:rPr>
          <w:rFonts w:cs="Arial"/>
        </w:rPr>
        <w:t xml:space="preserve"> on </w:t>
      </w:r>
      <w:proofErr w:type="gramStart"/>
      <w:r w:rsidR="00B20182" w:rsidRPr="00514EFA">
        <w:rPr>
          <w:rFonts w:cs="Arial"/>
        </w:rPr>
        <w:t>place-shaping</w:t>
      </w:r>
      <w:proofErr w:type="gramEnd"/>
      <w:r w:rsidR="00B20182" w:rsidRPr="00514EFA">
        <w:rPr>
          <w:rFonts w:cs="Arial"/>
        </w:rPr>
        <w:t xml:space="preserve"> </w:t>
      </w:r>
      <w:r w:rsidR="003D29BB">
        <w:rPr>
          <w:rFonts w:cs="Arial"/>
        </w:rPr>
        <w:t>means</w:t>
      </w:r>
      <w:r w:rsidR="003D29BB" w:rsidRPr="00514EFA">
        <w:rPr>
          <w:rFonts w:cs="Arial"/>
        </w:rPr>
        <w:t xml:space="preserve"> </w:t>
      </w:r>
      <w:r w:rsidR="00B20182" w:rsidRPr="00514EFA">
        <w:rPr>
          <w:rFonts w:cs="Arial"/>
        </w:rPr>
        <w:t>that the results of this study and their implications are</w:t>
      </w:r>
      <w:r w:rsidR="003D29BB">
        <w:rPr>
          <w:rFonts w:cs="Arial"/>
        </w:rPr>
        <w:t>, hopefully,</w:t>
      </w:r>
      <w:r w:rsidR="00B20182" w:rsidRPr="00514EFA">
        <w:rPr>
          <w:rFonts w:cs="Arial"/>
        </w:rPr>
        <w:t xml:space="preserve"> relevant to a wider audience.</w:t>
      </w:r>
    </w:p>
    <w:p w14:paraId="1DD0F396" w14:textId="2935DB11" w:rsidR="00E223F8" w:rsidRPr="00514EFA" w:rsidRDefault="00E223F8" w:rsidP="00F640F8">
      <w:pPr>
        <w:spacing w:before="240" w:after="200" w:line="276" w:lineRule="auto"/>
        <w:rPr>
          <w:rFonts w:cs="Arial"/>
          <w:b/>
        </w:rPr>
      </w:pPr>
      <w:r w:rsidRPr="00514EFA">
        <w:rPr>
          <w:rFonts w:cs="Arial"/>
          <w:b/>
        </w:rPr>
        <w:t>Culture, Sport and Heritage Assets</w:t>
      </w:r>
    </w:p>
    <w:p w14:paraId="741D7843" w14:textId="37458BC2" w:rsidR="00E223F8" w:rsidRPr="00514EFA" w:rsidRDefault="00E223F8" w:rsidP="008C75FF">
      <w:r w:rsidRPr="00514EFA">
        <w:t xml:space="preserve">We define CS&amp;H </w:t>
      </w:r>
      <w:r w:rsidR="009833F3">
        <w:t>a</w:t>
      </w:r>
      <w:r w:rsidR="009833F3" w:rsidRPr="00514EFA">
        <w:t>ssets</w:t>
      </w:r>
      <w:r w:rsidRPr="00514EFA">
        <w:rPr>
          <w:rStyle w:val="FootnoteReference"/>
          <w:rFonts w:cs="Arial"/>
        </w:rPr>
        <w:footnoteReference w:id="9"/>
      </w:r>
      <w:r w:rsidRPr="00514EFA">
        <w:t xml:space="preserve"> as:</w:t>
      </w:r>
    </w:p>
    <w:p w14:paraId="299B9A14" w14:textId="31348090" w:rsidR="00E223F8" w:rsidRPr="00514EFA" w:rsidRDefault="00E223F8" w:rsidP="00E223F8">
      <w:pPr>
        <w:rPr>
          <w:rFonts w:cs="Arial"/>
          <w:i/>
        </w:rPr>
      </w:pPr>
      <w:r w:rsidRPr="00514EFA">
        <w:rPr>
          <w:rFonts w:cs="Arial"/>
          <w:i/>
        </w:rPr>
        <w:t>“</w:t>
      </w:r>
      <w:r w:rsidR="003D29BB">
        <w:rPr>
          <w:rFonts w:cs="Arial"/>
          <w:i/>
        </w:rPr>
        <w:t>T</w:t>
      </w:r>
      <w:r w:rsidRPr="00514EFA">
        <w:rPr>
          <w:rFonts w:cs="Arial"/>
          <w:i/>
        </w:rPr>
        <w:t xml:space="preserve">he places (properties, spaces, monuments, buildings, etc.) </w:t>
      </w:r>
      <w:proofErr w:type="gramStart"/>
      <w:r w:rsidRPr="00514EFA">
        <w:rPr>
          <w:rFonts w:cs="Arial"/>
          <w:i/>
        </w:rPr>
        <w:t>that</w:t>
      </w:r>
      <w:proofErr w:type="gramEnd"/>
      <w:r w:rsidRPr="00514EFA">
        <w:rPr>
          <w:rFonts w:cs="Arial"/>
          <w:i/>
        </w:rPr>
        <w:t xml:space="preserve"> produce and provide culture, sport and heritage, and which can be participated in, enjoyed or ‘consumed’.”</w:t>
      </w:r>
    </w:p>
    <w:p w14:paraId="5172AEEE" w14:textId="477D873B" w:rsidR="00E223F8" w:rsidRPr="00514EFA" w:rsidRDefault="00E223F8" w:rsidP="00E223F8">
      <w:pPr>
        <w:rPr>
          <w:rFonts w:cs="Arial"/>
        </w:rPr>
      </w:pPr>
      <w:r w:rsidRPr="00514EFA">
        <w:rPr>
          <w:rFonts w:cs="Arial"/>
        </w:rPr>
        <w:t xml:space="preserve">It should be noted that </w:t>
      </w:r>
      <w:r w:rsidR="003D29BB">
        <w:rPr>
          <w:rFonts w:cs="Arial"/>
        </w:rPr>
        <w:t xml:space="preserve">CS&amp;H </w:t>
      </w:r>
      <w:r w:rsidRPr="00514EFA">
        <w:rPr>
          <w:rFonts w:cs="Arial"/>
        </w:rPr>
        <w:t xml:space="preserve">assets </w:t>
      </w:r>
      <w:proofErr w:type="gramStart"/>
      <w:r w:rsidRPr="00514EFA">
        <w:rPr>
          <w:rFonts w:cs="Arial"/>
        </w:rPr>
        <w:t>can</w:t>
      </w:r>
      <w:proofErr w:type="gramEnd"/>
      <w:r w:rsidRPr="00514EFA">
        <w:rPr>
          <w:rFonts w:cs="Arial"/>
        </w:rPr>
        <w:t xml:space="preserve"> have a positive economic or social impact without this being an intended outcome. There may also be ‘assets’ which do not fit within our definition – for example, storage or archive </w:t>
      </w:r>
      <w:proofErr w:type="gramStart"/>
      <w:r w:rsidRPr="00514EFA">
        <w:rPr>
          <w:rFonts w:cs="Arial"/>
        </w:rPr>
        <w:t>facilities which</w:t>
      </w:r>
      <w:proofErr w:type="gramEnd"/>
      <w:r w:rsidRPr="00514EFA">
        <w:rPr>
          <w:rFonts w:cs="Arial"/>
        </w:rPr>
        <w:t xml:space="preserve"> are not accessible by the public.</w:t>
      </w:r>
    </w:p>
    <w:p w14:paraId="37ADCD1C" w14:textId="77777777" w:rsidR="00E223F8" w:rsidRPr="00514EFA" w:rsidRDefault="00E223F8" w:rsidP="00F640F8">
      <w:pPr>
        <w:spacing w:before="240" w:after="200" w:line="276" w:lineRule="auto"/>
        <w:rPr>
          <w:rFonts w:cs="Arial"/>
          <w:b/>
        </w:rPr>
      </w:pPr>
      <w:r w:rsidRPr="00514EFA">
        <w:rPr>
          <w:rFonts w:cs="Arial"/>
          <w:b/>
        </w:rPr>
        <w:t>Culture, Sport and Heritage Investment</w:t>
      </w:r>
    </w:p>
    <w:p w14:paraId="21A26D30" w14:textId="020F53F1" w:rsidR="00E223F8" w:rsidRPr="00514EFA" w:rsidRDefault="00E223F8" w:rsidP="00E223F8">
      <w:pPr>
        <w:rPr>
          <w:rFonts w:cs="Arial"/>
        </w:rPr>
      </w:pPr>
      <w:r w:rsidRPr="00514EFA">
        <w:rPr>
          <w:rFonts w:cs="Arial"/>
        </w:rPr>
        <w:t xml:space="preserve">We define CS&amp;H </w:t>
      </w:r>
      <w:r w:rsidR="009833F3">
        <w:rPr>
          <w:rFonts w:cs="Arial"/>
        </w:rPr>
        <w:t>i</w:t>
      </w:r>
      <w:r w:rsidRPr="00514EFA">
        <w:rPr>
          <w:rFonts w:cs="Arial"/>
        </w:rPr>
        <w:t>nvestment as:</w:t>
      </w:r>
    </w:p>
    <w:p w14:paraId="6F437EE2" w14:textId="77286545" w:rsidR="00E223F8" w:rsidRPr="00514EFA" w:rsidRDefault="00E223F8" w:rsidP="003C27FD">
      <w:pPr>
        <w:rPr>
          <w:rFonts w:cs="Arial"/>
          <w:i/>
        </w:rPr>
      </w:pPr>
      <w:r w:rsidRPr="00514EFA">
        <w:rPr>
          <w:rFonts w:cs="Arial"/>
          <w:i/>
        </w:rPr>
        <w:t>“</w:t>
      </w:r>
      <w:r w:rsidR="003D29BB">
        <w:rPr>
          <w:rFonts w:cs="Arial"/>
          <w:i/>
        </w:rPr>
        <w:t>F</w:t>
      </w:r>
      <w:r w:rsidRPr="00514EFA">
        <w:rPr>
          <w:rFonts w:cs="Arial"/>
          <w:i/>
        </w:rPr>
        <w:t xml:space="preserve">inancial support (operating, grant and capital expenditures) for culture, sport and </w:t>
      </w:r>
      <w:r w:rsidR="003C27FD">
        <w:rPr>
          <w:rFonts w:cs="Arial"/>
          <w:i/>
        </w:rPr>
        <w:t xml:space="preserve">heritage </w:t>
      </w:r>
      <w:r w:rsidRPr="00514EFA">
        <w:rPr>
          <w:rFonts w:cs="Arial"/>
          <w:i/>
        </w:rPr>
        <w:t>from diverse sources: national government departments and arm’s length bodies; lottery funding; local government; foundations, personal and business giving; private investment; consumer investment.”</w:t>
      </w:r>
    </w:p>
    <w:p w14:paraId="0B67AA01" w14:textId="77777777" w:rsidR="00E223F8" w:rsidRPr="00514EFA" w:rsidRDefault="00E223F8" w:rsidP="00E223F8">
      <w:pPr>
        <w:rPr>
          <w:rFonts w:cs="Arial"/>
        </w:rPr>
      </w:pPr>
      <w:r w:rsidRPr="00514EFA">
        <w:rPr>
          <w:rFonts w:cs="Arial"/>
        </w:rPr>
        <w:t>It should also be noted that investments differ in source and intended use of funds.</w:t>
      </w:r>
    </w:p>
    <w:p w14:paraId="22F18C42" w14:textId="77777777" w:rsidR="00E223F8" w:rsidRPr="00514EFA" w:rsidRDefault="00E223F8" w:rsidP="00520273">
      <w:pPr>
        <w:spacing w:before="240" w:after="200" w:line="276" w:lineRule="auto"/>
        <w:rPr>
          <w:rFonts w:cs="Arial"/>
          <w:b/>
        </w:rPr>
      </w:pPr>
      <w:r w:rsidRPr="00514EFA">
        <w:rPr>
          <w:rFonts w:cs="Arial"/>
          <w:b/>
        </w:rPr>
        <w:t>Impact</w:t>
      </w:r>
    </w:p>
    <w:p w14:paraId="279E73AE" w14:textId="2113FC73" w:rsidR="00E223F8" w:rsidRPr="00514EFA" w:rsidRDefault="00E223F8" w:rsidP="00E223F8">
      <w:pPr>
        <w:rPr>
          <w:rFonts w:cs="Arial"/>
        </w:rPr>
      </w:pPr>
      <w:r w:rsidRPr="00514EFA">
        <w:rPr>
          <w:rFonts w:cs="Arial"/>
        </w:rPr>
        <w:t xml:space="preserve">We define </w:t>
      </w:r>
      <w:r w:rsidR="00FC6C4B">
        <w:rPr>
          <w:rFonts w:cs="Arial"/>
        </w:rPr>
        <w:t>i</w:t>
      </w:r>
      <w:r w:rsidRPr="00514EFA">
        <w:rPr>
          <w:rFonts w:cs="Arial"/>
        </w:rPr>
        <w:t>mpact as:</w:t>
      </w:r>
    </w:p>
    <w:p w14:paraId="04C89A6E" w14:textId="77777777" w:rsidR="00E223F8" w:rsidRPr="00514EFA" w:rsidRDefault="00E223F8" w:rsidP="00E223F8">
      <w:pPr>
        <w:rPr>
          <w:rFonts w:cs="Arial"/>
          <w:i/>
        </w:rPr>
      </w:pPr>
      <w:r w:rsidRPr="00514EFA">
        <w:rPr>
          <w:rFonts w:cs="Arial"/>
          <w:i/>
        </w:rPr>
        <w:t>“The positive outcomes on ‘well-being’ (i.e. liveability and economic performance) of a place that might be generated either directly or indirectly within a study location through CS&amp;H assets or investments.”</w:t>
      </w:r>
    </w:p>
    <w:p w14:paraId="1ED914A0" w14:textId="2712F3ED" w:rsidR="00E223F8" w:rsidRPr="00514EFA" w:rsidRDefault="00E223F8" w:rsidP="00E223F8">
      <w:pPr>
        <w:rPr>
          <w:rFonts w:cs="Arial"/>
        </w:rPr>
      </w:pPr>
      <w:r w:rsidRPr="00514EFA">
        <w:rPr>
          <w:rFonts w:cs="Arial"/>
        </w:rPr>
        <w:t xml:space="preserve">There </w:t>
      </w:r>
      <w:proofErr w:type="gramStart"/>
      <w:r w:rsidRPr="00514EFA">
        <w:rPr>
          <w:rFonts w:cs="Arial"/>
        </w:rPr>
        <w:t>are a wide range</w:t>
      </w:r>
      <w:proofErr w:type="gramEnd"/>
      <w:r w:rsidRPr="00514EFA">
        <w:rPr>
          <w:rFonts w:cs="Arial"/>
        </w:rPr>
        <w:t xml:space="preserve"> of possible impacts that this study is concerned with. The </w:t>
      </w:r>
      <w:r w:rsidR="00FC6C4B">
        <w:rPr>
          <w:rFonts w:cs="Arial"/>
        </w:rPr>
        <w:t>following were</w:t>
      </w:r>
      <w:r w:rsidR="00FC6C4B" w:rsidRPr="00514EFA">
        <w:rPr>
          <w:rFonts w:cs="Arial"/>
        </w:rPr>
        <w:t xml:space="preserve"> </w:t>
      </w:r>
      <w:r w:rsidRPr="00514EFA">
        <w:rPr>
          <w:rFonts w:cs="Arial"/>
        </w:rPr>
        <w:t>identified in the brief:</w:t>
      </w:r>
    </w:p>
    <w:p w14:paraId="08F90D7A" w14:textId="77777777" w:rsidR="00E223F8" w:rsidRPr="00514EFA" w:rsidRDefault="00E223F8" w:rsidP="00BB7156">
      <w:pPr>
        <w:pStyle w:val="Bullet"/>
      </w:pPr>
      <w:r w:rsidRPr="00514EFA">
        <w:rPr>
          <w:b/>
          <w:bCs/>
        </w:rPr>
        <w:t>Economy</w:t>
      </w:r>
      <w:r w:rsidRPr="00514EFA">
        <w:t>: Personal income, output (GVA), productivity, property prices, tourism, inward investment, business relocation, employment and skills, etc.</w:t>
      </w:r>
    </w:p>
    <w:p w14:paraId="5586C282" w14:textId="4841AECE" w:rsidR="00E223F8" w:rsidRPr="003B7B9B" w:rsidRDefault="00E223F8" w:rsidP="00BB7156">
      <w:pPr>
        <w:pStyle w:val="Bullet"/>
        <w:rPr>
          <w:b/>
          <w:bCs/>
        </w:rPr>
      </w:pPr>
      <w:r w:rsidRPr="00514EFA">
        <w:rPr>
          <w:b/>
          <w:bCs/>
        </w:rPr>
        <w:t xml:space="preserve">Society: </w:t>
      </w:r>
      <w:r w:rsidRPr="00514EFA">
        <w:t>demographic characteristics (including ethnicity), education and learning, health, deprivation, social capital, crime and neighbourhood, personal wellbeing, identity.</w:t>
      </w:r>
      <w:r w:rsidR="003B7B9B">
        <w:t xml:space="preserve"> </w:t>
      </w:r>
    </w:p>
    <w:p w14:paraId="4719EA63" w14:textId="54DD0DB0" w:rsidR="003B7B9B" w:rsidRPr="003B7B9B" w:rsidRDefault="003B7B9B" w:rsidP="003B7B9B">
      <w:pPr>
        <w:rPr>
          <w:rFonts w:cs="Arial"/>
          <w:bCs/>
        </w:rPr>
      </w:pPr>
      <w:r w:rsidRPr="003B7B9B">
        <w:rPr>
          <w:rFonts w:cs="Arial"/>
          <w:bCs/>
        </w:rPr>
        <w:t xml:space="preserve">These </w:t>
      </w:r>
      <w:r>
        <w:rPr>
          <w:rFonts w:cs="Arial"/>
          <w:bCs/>
        </w:rPr>
        <w:t>are underpinned and in many respects preceded by the intrinsic value that can be derived from cultural experience at the individual level, which in turn can generate economic and social effects and behavioural change, as noted above.</w:t>
      </w:r>
    </w:p>
    <w:p w14:paraId="72D2B682" w14:textId="1D248000" w:rsidR="00595A32" w:rsidRPr="00514EFA" w:rsidRDefault="004A56F9" w:rsidP="00595A32">
      <w:pPr>
        <w:rPr>
          <w:rFonts w:cs="Arial"/>
          <w:bCs/>
        </w:rPr>
      </w:pPr>
      <w:r>
        <w:rPr>
          <w:rFonts w:cs="Arial"/>
          <w:bCs/>
        </w:rPr>
        <w:t>Despite the range of impacts of interest, h</w:t>
      </w:r>
      <w:r w:rsidRPr="00514EFA">
        <w:rPr>
          <w:rFonts w:cs="Arial"/>
          <w:bCs/>
        </w:rPr>
        <w:t>owever</w:t>
      </w:r>
      <w:r w:rsidR="00595A32" w:rsidRPr="00514EFA">
        <w:rPr>
          <w:rFonts w:cs="Arial"/>
          <w:bCs/>
        </w:rPr>
        <w:t xml:space="preserve">, the data </w:t>
      </w:r>
      <w:r w:rsidR="00FC6C4B" w:rsidRPr="00514EFA">
        <w:rPr>
          <w:rFonts w:cs="Arial"/>
          <w:bCs/>
        </w:rPr>
        <w:t>coll</w:t>
      </w:r>
      <w:r w:rsidR="00FC6C4B">
        <w:rPr>
          <w:rFonts w:cs="Arial"/>
          <w:bCs/>
        </w:rPr>
        <w:t>ec</w:t>
      </w:r>
      <w:r w:rsidR="00FC6C4B" w:rsidRPr="00514EFA">
        <w:rPr>
          <w:rFonts w:cs="Arial"/>
          <w:bCs/>
        </w:rPr>
        <w:t xml:space="preserve">tion </w:t>
      </w:r>
      <w:r w:rsidR="00595A32" w:rsidRPr="00514EFA">
        <w:rPr>
          <w:rFonts w:cs="Arial"/>
          <w:bCs/>
        </w:rPr>
        <w:t>exercise undertaken for this study, along with consideration of the existing evidence base and – importantly – identification of evidence gaps has driven a narrowing of the focus on impacts.</w:t>
      </w:r>
      <w:r w:rsidR="00A033C6">
        <w:rPr>
          <w:rFonts w:cs="Arial"/>
          <w:bCs/>
        </w:rPr>
        <w:t xml:space="preserve"> </w:t>
      </w:r>
    </w:p>
    <w:p w14:paraId="2DE0D01E" w14:textId="77777777" w:rsidR="00E223F8" w:rsidRPr="00514EFA" w:rsidRDefault="00E223F8" w:rsidP="00F640F8">
      <w:pPr>
        <w:spacing w:before="240" w:after="200" w:line="276" w:lineRule="auto"/>
        <w:rPr>
          <w:rFonts w:cs="Arial"/>
          <w:b/>
        </w:rPr>
      </w:pPr>
      <w:r w:rsidRPr="00514EFA">
        <w:rPr>
          <w:rFonts w:cs="Arial"/>
          <w:b/>
        </w:rPr>
        <w:t>Geography of impact</w:t>
      </w:r>
    </w:p>
    <w:p w14:paraId="249CCF0A" w14:textId="77777777" w:rsidR="00E223F8" w:rsidRPr="00514EFA" w:rsidRDefault="00E223F8" w:rsidP="00E223F8">
      <w:pPr>
        <w:rPr>
          <w:rFonts w:cs="Arial"/>
        </w:rPr>
      </w:pPr>
      <w:r w:rsidRPr="00514EFA">
        <w:rPr>
          <w:rFonts w:cs="Arial"/>
        </w:rPr>
        <w:t>We define the term ‘geography of impact’ as:</w:t>
      </w:r>
    </w:p>
    <w:p w14:paraId="2EBF78B1" w14:textId="77777777" w:rsidR="00E223F8" w:rsidRPr="00514EFA" w:rsidRDefault="00E223F8" w:rsidP="00E223F8">
      <w:pPr>
        <w:rPr>
          <w:rFonts w:cs="Arial"/>
          <w:i/>
        </w:rPr>
      </w:pPr>
      <w:r w:rsidRPr="00514EFA">
        <w:rPr>
          <w:rFonts w:cs="Arial"/>
          <w:i/>
        </w:rPr>
        <w:t>“The spatial reach of the direct or indirect impacts arising from CS&amp;H assets and investment.”</w:t>
      </w:r>
    </w:p>
    <w:p w14:paraId="0285F1C6" w14:textId="0BFD025A" w:rsidR="00E223F8" w:rsidRPr="00514EFA" w:rsidRDefault="00E223F8" w:rsidP="00F640F8">
      <w:pPr>
        <w:spacing w:before="240" w:after="200" w:line="276" w:lineRule="auto"/>
        <w:rPr>
          <w:rFonts w:cs="Arial"/>
          <w:b/>
        </w:rPr>
      </w:pPr>
      <w:r w:rsidRPr="00514EFA">
        <w:rPr>
          <w:rFonts w:cs="Arial"/>
          <w:b/>
        </w:rPr>
        <w:t xml:space="preserve">Culture, Sport and Heritage </w:t>
      </w:r>
      <w:r w:rsidR="003D29BB">
        <w:rPr>
          <w:rFonts w:cs="Arial"/>
          <w:b/>
        </w:rPr>
        <w:t>e</w:t>
      </w:r>
      <w:r w:rsidR="003D29BB" w:rsidRPr="00514EFA">
        <w:rPr>
          <w:rFonts w:cs="Arial"/>
          <w:b/>
        </w:rPr>
        <w:t>cosystem</w:t>
      </w:r>
    </w:p>
    <w:p w14:paraId="6798F9BE" w14:textId="044FF9E9" w:rsidR="00E223F8" w:rsidRPr="00514EFA" w:rsidRDefault="00E223F8" w:rsidP="00E223F8">
      <w:pPr>
        <w:rPr>
          <w:rFonts w:cs="Arial"/>
        </w:rPr>
      </w:pPr>
      <w:r w:rsidRPr="00514EFA">
        <w:rPr>
          <w:rFonts w:cs="Arial"/>
        </w:rPr>
        <w:t xml:space="preserve">Lastly, we define the CS&amp;H </w:t>
      </w:r>
      <w:r w:rsidR="003D29BB">
        <w:rPr>
          <w:rFonts w:cs="Arial"/>
        </w:rPr>
        <w:t>e</w:t>
      </w:r>
      <w:r w:rsidR="003D29BB" w:rsidRPr="00514EFA">
        <w:rPr>
          <w:rFonts w:cs="Arial"/>
        </w:rPr>
        <w:t xml:space="preserve">cosystem </w:t>
      </w:r>
      <w:r w:rsidRPr="00514EFA">
        <w:rPr>
          <w:rFonts w:cs="Arial"/>
        </w:rPr>
        <w:t>as:</w:t>
      </w:r>
    </w:p>
    <w:p w14:paraId="72B1CC6F" w14:textId="1C4F3C9F" w:rsidR="00E223F8" w:rsidRPr="00514EFA" w:rsidRDefault="00E223F8" w:rsidP="00E223F8">
      <w:pPr>
        <w:rPr>
          <w:rFonts w:cs="Arial"/>
          <w:i/>
        </w:rPr>
      </w:pPr>
      <w:r w:rsidRPr="00514EFA">
        <w:rPr>
          <w:rFonts w:cs="Arial"/>
          <w:i/>
        </w:rPr>
        <w:t>“The set of processes and interactions whereby CS&amp;H assets and investment not only deliver direct and indirect impacts but also generate numerous spillovers which further enhance the cumulative and total impact of those assets and investment</w:t>
      </w:r>
      <w:r w:rsidR="004E4628">
        <w:rPr>
          <w:rFonts w:cs="Arial"/>
          <w:i/>
        </w:rPr>
        <w:t xml:space="preserve"> (for example, through their role in potentially creating agglomeration effects)</w:t>
      </w:r>
      <w:r w:rsidRPr="00514EFA">
        <w:rPr>
          <w:rFonts w:cs="Arial"/>
          <w:i/>
        </w:rPr>
        <w:t>.”</w:t>
      </w:r>
    </w:p>
    <w:p w14:paraId="5D15562B" w14:textId="6C0F299B" w:rsidR="00E223F8" w:rsidRPr="00514EFA" w:rsidRDefault="009C4967" w:rsidP="00FC6C4B">
      <w:pPr>
        <w:pStyle w:val="Heading3Numbered"/>
      </w:pPr>
      <w:bookmarkStart w:id="17" w:name="_Toc464222893"/>
      <w:bookmarkStart w:id="18" w:name="_Toc441588954"/>
      <w:bookmarkStart w:id="19" w:name="_Ref457312487"/>
      <w:r>
        <w:t xml:space="preserve">Study </w:t>
      </w:r>
      <w:r w:rsidR="00351721">
        <w:t>i</w:t>
      </w:r>
      <w:r>
        <w:t xml:space="preserve">mplications arising from the </w:t>
      </w:r>
      <w:r w:rsidR="00351721" w:rsidRPr="00514EFA">
        <w:t>review</w:t>
      </w:r>
      <w:r w:rsidR="00351721">
        <w:t xml:space="preserve"> of theoretical </w:t>
      </w:r>
      <w:r w:rsidR="00351721" w:rsidRPr="00514EFA">
        <w:t>literature</w:t>
      </w:r>
      <w:bookmarkEnd w:id="17"/>
      <w:r w:rsidR="00351721" w:rsidRPr="00514EFA">
        <w:t xml:space="preserve"> </w:t>
      </w:r>
      <w:bookmarkEnd w:id="18"/>
      <w:bookmarkEnd w:id="19"/>
    </w:p>
    <w:p w14:paraId="6EDBF49B" w14:textId="3424179D" w:rsidR="002B2D81" w:rsidRPr="00514EFA" w:rsidRDefault="00E223F8" w:rsidP="002B2D81">
      <w:pPr>
        <w:rPr>
          <w:rFonts w:eastAsiaTheme="minorHAnsi" w:cs="Arial"/>
        </w:rPr>
      </w:pPr>
      <w:bookmarkStart w:id="20" w:name="_Toc277800297"/>
      <w:r w:rsidRPr="00514EFA">
        <w:rPr>
          <w:rFonts w:cs="Arial"/>
        </w:rPr>
        <w:t xml:space="preserve">The literature review was undertaken as a ‘rapid review’ with the benefit of prior reviews, notably our </w:t>
      </w:r>
      <w:r w:rsidRPr="00514EFA">
        <w:rPr>
          <w:rFonts w:cs="Arial"/>
          <w:i/>
        </w:rPr>
        <w:t>Art the Possible</w:t>
      </w:r>
      <w:r w:rsidRPr="00514EFA">
        <w:rPr>
          <w:rFonts w:cs="Arial"/>
        </w:rPr>
        <w:t xml:space="preserve"> feasibility study undertaken for CASE in </w:t>
      </w:r>
      <w:proofErr w:type="gramStart"/>
      <w:r w:rsidRPr="00514EFA">
        <w:rPr>
          <w:rFonts w:cs="Arial"/>
        </w:rPr>
        <w:t>2010 which</w:t>
      </w:r>
      <w:proofErr w:type="gramEnd"/>
      <w:r w:rsidRPr="00514EFA">
        <w:rPr>
          <w:rFonts w:cs="Arial"/>
        </w:rPr>
        <w:t xml:space="preserve"> looked at literature on CS&amp;H impacts and underlying quantitative methods and data availability</w:t>
      </w:r>
      <w:r w:rsidRPr="00514EFA">
        <w:rPr>
          <w:rStyle w:val="FootnoteReference"/>
          <w:rFonts w:cs="Arial"/>
        </w:rPr>
        <w:footnoteReference w:id="10"/>
      </w:r>
      <w:r w:rsidRPr="00514EFA">
        <w:rPr>
          <w:rFonts w:cs="Arial"/>
        </w:rPr>
        <w:t xml:space="preserve">. More recent reviews include </w:t>
      </w:r>
      <w:r w:rsidRPr="00514EFA">
        <w:rPr>
          <w:rFonts w:eastAsiaTheme="minorHAnsi" w:cs="Arial"/>
          <w:i/>
        </w:rPr>
        <w:t>Evidence Review: Sport and Culture</w:t>
      </w:r>
      <w:r w:rsidRPr="00514EFA">
        <w:rPr>
          <w:rStyle w:val="FootnoteReference"/>
          <w:rFonts w:eastAsiaTheme="minorHAnsi" w:cs="Arial"/>
        </w:rPr>
        <w:footnoteReference w:id="11"/>
      </w:r>
      <w:r w:rsidR="00FC6C4B">
        <w:rPr>
          <w:rFonts w:eastAsiaTheme="minorHAnsi" w:cs="Arial"/>
        </w:rPr>
        <w:t xml:space="preserve"> and</w:t>
      </w:r>
      <w:r w:rsidRPr="00514EFA">
        <w:rPr>
          <w:rFonts w:eastAsiaTheme="minorHAnsi" w:cs="Arial"/>
        </w:rPr>
        <w:t xml:space="preserve"> </w:t>
      </w:r>
      <w:r w:rsidRPr="00514EFA">
        <w:rPr>
          <w:rFonts w:eastAsiaTheme="minorHAnsi" w:cs="Arial"/>
          <w:i/>
        </w:rPr>
        <w:t>Quantifying the Social Impacts of Culture and Sport</w:t>
      </w:r>
      <w:r w:rsidRPr="00514EFA">
        <w:rPr>
          <w:rStyle w:val="FootnoteReference"/>
          <w:rFonts w:eastAsiaTheme="minorHAnsi" w:cs="Arial"/>
        </w:rPr>
        <w:footnoteReference w:id="12"/>
      </w:r>
      <w:r w:rsidRPr="00514EFA">
        <w:rPr>
          <w:rFonts w:eastAsiaTheme="minorHAnsi" w:cs="Arial"/>
        </w:rPr>
        <w:t xml:space="preserve"> as well as </w:t>
      </w:r>
      <w:r w:rsidR="00FC6C4B">
        <w:rPr>
          <w:rFonts w:eastAsiaTheme="minorHAnsi" w:cs="Arial"/>
        </w:rPr>
        <w:t>other</w:t>
      </w:r>
      <w:r w:rsidR="00FC6C4B" w:rsidRPr="00514EFA">
        <w:rPr>
          <w:rFonts w:eastAsiaTheme="minorHAnsi" w:cs="Arial"/>
        </w:rPr>
        <w:t xml:space="preserve"> </w:t>
      </w:r>
      <w:r w:rsidRPr="00514EFA">
        <w:rPr>
          <w:rFonts w:eastAsiaTheme="minorHAnsi" w:cs="Arial"/>
        </w:rPr>
        <w:t>reviews of social impacts</w:t>
      </w:r>
      <w:r w:rsidRPr="00514EFA">
        <w:rPr>
          <w:rStyle w:val="FootnoteReference"/>
          <w:rFonts w:eastAsiaTheme="minorHAnsi" w:cs="Arial"/>
        </w:rPr>
        <w:footnoteReference w:id="13"/>
      </w:r>
      <w:r w:rsidRPr="00514EFA">
        <w:rPr>
          <w:rFonts w:eastAsiaTheme="minorHAnsi" w:cs="Arial"/>
        </w:rPr>
        <w:t xml:space="preserve"> and culture and regeneration</w:t>
      </w:r>
      <w:r w:rsidRPr="00514EFA">
        <w:rPr>
          <w:rStyle w:val="FootnoteReference"/>
          <w:rFonts w:eastAsiaTheme="minorHAnsi" w:cs="Arial"/>
        </w:rPr>
        <w:footnoteReference w:id="14"/>
      </w:r>
      <w:r w:rsidRPr="00514EFA">
        <w:rPr>
          <w:rFonts w:eastAsiaTheme="minorHAnsi" w:cs="Arial"/>
        </w:rPr>
        <w:t>. The literature review has drawn on these sources as well as published material in the form of journal articles, books/chapters and research reports, primarily (but not exclusively) from the UK and North America.</w:t>
      </w:r>
      <w:r w:rsidR="00A033C6">
        <w:rPr>
          <w:rFonts w:eastAsiaTheme="minorHAnsi" w:cs="Arial"/>
        </w:rPr>
        <w:t xml:space="preserve"> </w:t>
      </w:r>
      <w:r w:rsidR="00117F49" w:rsidRPr="00514EFA">
        <w:rPr>
          <w:rFonts w:eastAsiaTheme="minorHAnsi" w:cs="Arial"/>
        </w:rPr>
        <w:t xml:space="preserve">The purpose of the review is to contribute to the design of a framework within which the study </w:t>
      </w:r>
      <w:r w:rsidR="00FC6C4B">
        <w:rPr>
          <w:rFonts w:eastAsiaTheme="minorHAnsi" w:cs="Arial"/>
        </w:rPr>
        <w:t>can</w:t>
      </w:r>
      <w:r w:rsidR="00FC6C4B" w:rsidRPr="00514EFA">
        <w:rPr>
          <w:rFonts w:eastAsiaTheme="minorHAnsi" w:cs="Arial"/>
        </w:rPr>
        <w:t xml:space="preserve"> </w:t>
      </w:r>
      <w:r w:rsidR="00117F49" w:rsidRPr="00514EFA">
        <w:rPr>
          <w:rFonts w:eastAsiaTheme="minorHAnsi" w:cs="Arial"/>
        </w:rPr>
        <w:t xml:space="preserve">operate, including the identification of specific evidence </w:t>
      </w:r>
      <w:proofErr w:type="gramStart"/>
      <w:r w:rsidR="00117F49" w:rsidRPr="00514EFA">
        <w:rPr>
          <w:rFonts w:eastAsiaTheme="minorHAnsi" w:cs="Arial"/>
        </w:rPr>
        <w:t>gaps which</w:t>
      </w:r>
      <w:proofErr w:type="gramEnd"/>
      <w:r w:rsidR="00117F49" w:rsidRPr="00514EFA">
        <w:rPr>
          <w:rFonts w:eastAsiaTheme="minorHAnsi" w:cs="Arial"/>
        </w:rPr>
        <w:t xml:space="preserve"> the study </w:t>
      </w:r>
      <w:r w:rsidR="002B2D81">
        <w:rPr>
          <w:rFonts w:eastAsiaTheme="minorHAnsi" w:cs="Arial"/>
        </w:rPr>
        <w:t>can address, and empirical models/approaches that can be adopted in order to address them</w:t>
      </w:r>
      <w:r w:rsidR="00117F49" w:rsidRPr="00514EFA">
        <w:rPr>
          <w:rFonts w:eastAsiaTheme="minorHAnsi" w:cs="Arial"/>
        </w:rPr>
        <w:t>.</w:t>
      </w:r>
      <w:r w:rsidR="00A033C6">
        <w:rPr>
          <w:rFonts w:eastAsiaTheme="minorHAnsi" w:cs="Arial"/>
        </w:rPr>
        <w:t xml:space="preserve"> </w:t>
      </w:r>
    </w:p>
    <w:p w14:paraId="49C72095" w14:textId="7CC7A1C8" w:rsidR="00E223F8" w:rsidRPr="00514EFA" w:rsidRDefault="00E223F8" w:rsidP="00E223F8">
      <w:pPr>
        <w:rPr>
          <w:rFonts w:cs="Arial"/>
        </w:rPr>
      </w:pPr>
      <w:r w:rsidRPr="00514EFA">
        <w:rPr>
          <w:rFonts w:cs="Arial"/>
        </w:rPr>
        <w:t>This section presents the key points from the literature review of papers related to relevant theoretical concepts and policy, undertaken in order to inform the conceptual framework</w:t>
      </w:r>
      <w:r w:rsidR="000A0E5D">
        <w:rPr>
          <w:rFonts w:cs="Arial"/>
        </w:rPr>
        <w:t xml:space="preserve"> and therefore the focus of the study</w:t>
      </w:r>
      <w:r w:rsidRPr="00514EFA">
        <w:rPr>
          <w:rFonts w:cs="Arial"/>
        </w:rPr>
        <w:t>.</w:t>
      </w:r>
      <w:r w:rsidR="002B2D81">
        <w:rPr>
          <w:rFonts w:cs="Arial"/>
        </w:rPr>
        <w:t xml:space="preserve"> The full review is available in</w:t>
      </w:r>
      <w:r w:rsidR="00FC6C4B">
        <w:rPr>
          <w:rFonts w:cs="Arial"/>
        </w:rPr>
        <w:t xml:space="preserve"> </w:t>
      </w:r>
      <w:r w:rsidR="002062BD">
        <w:rPr>
          <w:rFonts w:cs="Arial"/>
        </w:rPr>
        <w:t>section</w:t>
      </w:r>
      <w:r w:rsidR="00A033C6">
        <w:rPr>
          <w:rFonts w:cs="Arial"/>
        </w:rPr>
        <w:t xml:space="preserve"> </w:t>
      </w:r>
      <w:r w:rsidR="002062BD">
        <w:rPr>
          <w:rFonts w:cs="Arial"/>
        </w:rPr>
        <w:fldChar w:fldCharType="begin"/>
      </w:r>
      <w:r w:rsidR="002062BD">
        <w:rPr>
          <w:rFonts w:cs="Arial"/>
        </w:rPr>
        <w:instrText xml:space="preserve"> REF _Ref460272388 \r \h </w:instrText>
      </w:r>
      <w:r w:rsidR="002062BD">
        <w:rPr>
          <w:rFonts w:cs="Arial"/>
        </w:rPr>
      </w:r>
      <w:r w:rsidR="002062BD">
        <w:rPr>
          <w:rFonts w:cs="Arial"/>
        </w:rPr>
        <w:fldChar w:fldCharType="separate"/>
      </w:r>
      <w:r w:rsidR="00F0636B">
        <w:rPr>
          <w:rFonts w:cs="Arial"/>
        </w:rPr>
        <w:t>6:</w:t>
      </w:r>
      <w:r w:rsidR="002062BD">
        <w:rPr>
          <w:rFonts w:cs="Arial"/>
        </w:rPr>
        <w:fldChar w:fldCharType="end"/>
      </w:r>
      <w:r w:rsidR="002062BD">
        <w:rPr>
          <w:rFonts w:cs="Arial"/>
        </w:rPr>
        <w:t xml:space="preserve"> (p, </w:t>
      </w:r>
      <w:r w:rsidR="002062BD">
        <w:rPr>
          <w:rFonts w:cs="Arial"/>
        </w:rPr>
        <w:fldChar w:fldCharType="begin"/>
      </w:r>
      <w:r w:rsidR="002062BD">
        <w:rPr>
          <w:rFonts w:cs="Arial"/>
        </w:rPr>
        <w:instrText xml:space="preserve"> PAGEREF _Ref460272433 \h </w:instrText>
      </w:r>
      <w:r w:rsidR="002062BD">
        <w:rPr>
          <w:rFonts w:cs="Arial"/>
        </w:rPr>
      </w:r>
      <w:r w:rsidR="002062BD">
        <w:rPr>
          <w:rFonts w:cs="Arial"/>
        </w:rPr>
        <w:fldChar w:fldCharType="separate"/>
      </w:r>
      <w:r w:rsidR="00F0636B">
        <w:rPr>
          <w:rFonts w:cs="Arial"/>
          <w:noProof/>
        </w:rPr>
        <w:t>40</w:t>
      </w:r>
      <w:r w:rsidR="002062BD">
        <w:rPr>
          <w:rFonts w:cs="Arial"/>
        </w:rPr>
        <w:fldChar w:fldCharType="end"/>
      </w:r>
      <w:r w:rsidR="002062BD">
        <w:rPr>
          <w:rFonts w:cs="Arial"/>
        </w:rPr>
        <w:t>)</w:t>
      </w:r>
      <w:r w:rsidRPr="00514EFA">
        <w:rPr>
          <w:rFonts w:cs="Arial"/>
        </w:rPr>
        <w:t>.</w:t>
      </w:r>
    </w:p>
    <w:p w14:paraId="58E30E0A" w14:textId="119664C7" w:rsidR="00BA52C8" w:rsidRDefault="00BA52C8" w:rsidP="00680DD5">
      <w:pPr>
        <w:rPr>
          <w:rFonts w:cs="Arial"/>
        </w:rPr>
      </w:pPr>
      <w:r>
        <w:rPr>
          <w:rFonts w:cs="Arial"/>
        </w:rPr>
        <w:t xml:space="preserve">There is an extensive body of </w:t>
      </w:r>
      <w:proofErr w:type="gramStart"/>
      <w:r>
        <w:rPr>
          <w:rFonts w:cs="Arial"/>
        </w:rPr>
        <w:t>literature which</w:t>
      </w:r>
      <w:proofErr w:type="gramEnd"/>
      <w:r>
        <w:rPr>
          <w:rFonts w:cs="Arial"/>
        </w:rPr>
        <w:t xml:space="preserve"> relates to theoretical concepts that are </w:t>
      </w:r>
      <w:r w:rsidR="002062BD">
        <w:rPr>
          <w:rFonts w:cs="Arial"/>
        </w:rPr>
        <w:t xml:space="preserve">relevant </w:t>
      </w:r>
      <w:r>
        <w:rPr>
          <w:rFonts w:cs="Arial"/>
        </w:rPr>
        <w:t>to this study.</w:t>
      </w:r>
      <w:r w:rsidR="00A033C6">
        <w:rPr>
          <w:rFonts w:cs="Arial"/>
        </w:rPr>
        <w:t xml:space="preserve"> </w:t>
      </w:r>
      <w:r>
        <w:rPr>
          <w:rFonts w:cs="Arial"/>
        </w:rPr>
        <w:t xml:space="preserve">These range from how to define and value assets to the different types of impacts that might arise from their existence (directly and indirectly), from agglomeration effects to the creative and cultural industries and their role in </w:t>
      </w:r>
      <w:r w:rsidR="00AD6B47">
        <w:rPr>
          <w:rFonts w:cs="Arial"/>
        </w:rPr>
        <w:t>placemaking</w:t>
      </w:r>
      <w:r>
        <w:rPr>
          <w:rFonts w:cs="Arial"/>
        </w:rPr>
        <w:t xml:space="preserve"> and place-shaping.</w:t>
      </w:r>
    </w:p>
    <w:p w14:paraId="799D9385" w14:textId="48FEDCB8" w:rsidR="00BA52C8" w:rsidRDefault="00BA52C8" w:rsidP="00680DD5">
      <w:pPr>
        <w:rPr>
          <w:rFonts w:cs="Arial"/>
        </w:rPr>
      </w:pPr>
      <w:r>
        <w:rPr>
          <w:rFonts w:cs="Arial"/>
        </w:rPr>
        <w:t>The literature also identifies a number of conceptual and empirical considerations that should be borne in mind throughout a study of this type, including the notion of variation in the scale of assets and the scale of impact, temporal effects, asset mix, how externalities and spin-offs might occur around assets and how assets might themselves form part of a functioning economic cluster and so on.</w:t>
      </w:r>
    </w:p>
    <w:p w14:paraId="4B7D359A" w14:textId="3E6B1368" w:rsidR="00BA52C8" w:rsidRDefault="002B222A" w:rsidP="00680DD5">
      <w:pPr>
        <w:rPr>
          <w:rFonts w:cs="Arial"/>
        </w:rPr>
      </w:pPr>
      <w:r>
        <w:rPr>
          <w:rFonts w:cs="Arial"/>
        </w:rPr>
        <w:t>We focus here, though, on one of the most relevant aspects of the literature</w:t>
      </w:r>
      <w:r w:rsidR="00FC6C4B">
        <w:rPr>
          <w:rFonts w:cs="Arial"/>
        </w:rPr>
        <w:t>:</w:t>
      </w:r>
      <w:r>
        <w:rPr>
          <w:rFonts w:cs="Arial"/>
        </w:rPr>
        <w:t xml:space="preserve"> the concept of the creative and cultural industries as an ecosystem.</w:t>
      </w:r>
      <w:r w:rsidR="00A033C6">
        <w:rPr>
          <w:rFonts w:cs="Arial"/>
        </w:rPr>
        <w:t xml:space="preserve"> </w:t>
      </w:r>
      <w:r>
        <w:rPr>
          <w:rFonts w:cs="Arial"/>
        </w:rPr>
        <w:t xml:space="preserve">This is important because it was identified in the project brief and exists as a cornerstone within the design of this study. </w:t>
      </w:r>
    </w:p>
    <w:p w14:paraId="6F79493F" w14:textId="2CD4648F" w:rsidR="002B222A" w:rsidRDefault="00C138AC" w:rsidP="00680DD5">
      <w:pPr>
        <w:rPr>
          <w:rFonts w:cs="Arial"/>
        </w:rPr>
      </w:pPr>
      <w:r>
        <w:rPr>
          <w:rFonts w:cs="Arial"/>
        </w:rPr>
        <w:t>The literature identifies three key examples of use of the term ‘ecosystem’</w:t>
      </w:r>
      <w:r w:rsidR="00FC6C4B">
        <w:rPr>
          <w:rFonts w:cs="Arial"/>
        </w:rPr>
        <w:t>:</w:t>
      </w:r>
    </w:p>
    <w:p w14:paraId="6A11D60B" w14:textId="2749E261" w:rsidR="00C138AC" w:rsidRDefault="00C138AC" w:rsidP="00BB7156">
      <w:pPr>
        <w:pStyle w:val="Bullet"/>
      </w:pPr>
      <w:r>
        <w:t xml:space="preserve">Ecosystems in </w:t>
      </w:r>
      <w:r w:rsidR="00FC6C4B">
        <w:t xml:space="preserve">cultural </w:t>
      </w:r>
      <w:r>
        <w:t>and creative industries (derived from innovation/ knowledge exchange, spillover</w:t>
      </w:r>
      <w:r w:rsidR="002062BD">
        <w:t xml:space="preserve"> effect</w:t>
      </w:r>
      <w:r>
        <w:t>s and production chain links</w:t>
      </w:r>
      <w:r w:rsidR="002062BD">
        <w:t>,</w:t>
      </w:r>
      <w:r>
        <w:t xml:space="preserve"> etc</w:t>
      </w:r>
      <w:r w:rsidR="002062BD">
        <w:t>.</w:t>
      </w:r>
      <w:r>
        <w:t>)</w:t>
      </w:r>
      <w:r w:rsidR="00FC6C4B">
        <w:t>,</w:t>
      </w:r>
      <w:r>
        <w:t xml:space="preserve"> such as that discussed in the Warwick Commission report</w:t>
      </w:r>
      <w:r>
        <w:rPr>
          <w:rStyle w:val="FootnoteReference"/>
          <w:rFonts w:ascii="Calibri" w:hAnsi="Calibri"/>
          <w:color w:val="000000"/>
        </w:rPr>
        <w:footnoteReference w:id="15"/>
      </w:r>
      <w:r>
        <w:t xml:space="preserve"> (i.e. creative and cultural industries feed and depend on each other).</w:t>
      </w:r>
    </w:p>
    <w:p w14:paraId="29A48ECA" w14:textId="04C85A04" w:rsidR="00C138AC" w:rsidRDefault="00C138AC" w:rsidP="00BB7156">
      <w:pPr>
        <w:pStyle w:val="Bullet"/>
      </w:pPr>
      <w:proofErr w:type="gramStart"/>
      <w:r>
        <w:t>Ecosystems which</w:t>
      </w:r>
      <w:proofErr w:type="gramEnd"/>
      <w:r>
        <w:t xml:space="preserve"> are applied to arts and cultural activity and facilities which generate both an internal </w:t>
      </w:r>
      <w:r w:rsidR="002062BD">
        <w:t>‘</w:t>
      </w:r>
      <w:r>
        <w:t xml:space="preserve">cultural' ecosystem (e.g. in Holden's </w:t>
      </w:r>
      <w:r w:rsidRPr="00DC2628">
        <w:rPr>
          <w:i/>
        </w:rPr>
        <w:t>Ecology of Culture</w:t>
      </w:r>
      <w:r>
        <w:t xml:space="preserve"> report</w:t>
      </w:r>
      <w:r>
        <w:rPr>
          <w:rStyle w:val="FootnoteReference"/>
          <w:rFonts w:ascii="Calibri" w:hAnsi="Calibri"/>
          <w:color w:val="000000"/>
        </w:rPr>
        <w:footnoteReference w:id="16"/>
      </w:r>
      <w:r>
        <w:t>) and also feed the creative industries and wider economy.</w:t>
      </w:r>
    </w:p>
    <w:p w14:paraId="28879A7E" w14:textId="2BBA171E" w:rsidR="00C138AC" w:rsidRDefault="002062BD" w:rsidP="00BB7156">
      <w:pPr>
        <w:pStyle w:val="Bullet"/>
      </w:pPr>
      <w:r>
        <w:t>E</w:t>
      </w:r>
      <w:r w:rsidR="00C138AC">
        <w:t>cosystem</w:t>
      </w:r>
      <w:r>
        <w:t>s</w:t>
      </w:r>
      <w:r w:rsidR="00C138AC">
        <w:t xml:space="preserve"> of cultural engagement</w:t>
      </w:r>
      <w:r w:rsidR="00FC6C4B">
        <w:t>,</w:t>
      </w:r>
      <w:r>
        <w:t xml:space="preserve"> for</w:t>
      </w:r>
      <w:r w:rsidR="00C138AC">
        <w:t xml:space="preserve"> example ecosystem spillovers from local arts to economic growth </w:t>
      </w:r>
      <w:r w:rsidR="00ED51BF">
        <w:t xml:space="preserve">– </w:t>
      </w:r>
      <w:r w:rsidR="00C138AC">
        <w:t>e.g. Brighton FUSE, as identified by AHRC</w:t>
      </w:r>
      <w:r w:rsidR="00C138AC">
        <w:rPr>
          <w:rStyle w:val="FootnoteReference"/>
          <w:rFonts w:ascii="Calibri" w:hAnsi="Calibri"/>
          <w:color w:val="000000"/>
        </w:rPr>
        <w:footnoteReference w:id="17"/>
      </w:r>
      <w:r w:rsidR="00A033C6">
        <w:t xml:space="preserve"> </w:t>
      </w:r>
      <w:r w:rsidR="00ED51BF">
        <w:t>and</w:t>
      </w:r>
      <w:r w:rsidR="00C138AC">
        <w:t xml:space="preserve"> NESTA</w:t>
      </w:r>
      <w:r w:rsidR="00C138AC">
        <w:rPr>
          <w:rStyle w:val="FootnoteReference"/>
          <w:rFonts w:ascii="Calibri" w:hAnsi="Calibri"/>
          <w:color w:val="000000"/>
        </w:rPr>
        <w:footnoteReference w:id="18"/>
      </w:r>
      <w:r w:rsidR="00ED51BF">
        <w:t>;</w:t>
      </w:r>
      <w:r w:rsidR="00C138AC">
        <w:t xml:space="preserve"> Natural Cultural Districts studies (although Markusen doesn't actually use the term in her Creative Placemaking studies)</w:t>
      </w:r>
      <w:r w:rsidR="001D035E">
        <w:t>, and</w:t>
      </w:r>
      <w:r w:rsidR="00ED51BF">
        <w:t>the</w:t>
      </w:r>
      <w:r w:rsidR="00C138AC">
        <w:t xml:space="preserve"> recent </w:t>
      </w:r>
      <w:r w:rsidR="00C138AC" w:rsidRPr="00DC2628">
        <w:rPr>
          <w:i/>
        </w:rPr>
        <w:t xml:space="preserve">Cultural </w:t>
      </w:r>
      <w:r w:rsidR="001D035E" w:rsidRPr="00DC2628">
        <w:rPr>
          <w:i/>
        </w:rPr>
        <w:t xml:space="preserve">and </w:t>
      </w:r>
      <w:r w:rsidR="00C138AC" w:rsidRPr="00DC2628">
        <w:rPr>
          <w:i/>
        </w:rPr>
        <w:t>Creative Spillovers in Europe</w:t>
      </w:r>
      <w:r w:rsidR="00C138AC">
        <w:t xml:space="preserve"> report</w:t>
      </w:r>
      <w:r w:rsidR="00C138AC">
        <w:rPr>
          <w:rStyle w:val="FootnoteReference"/>
          <w:rFonts w:ascii="Calibri" w:hAnsi="Calibri"/>
          <w:color w:val="000000"/>
        </w:rPr>
        <w:footnoteReference w:id="19"/>
      </w:r>
      <w:r w:rsidR="00C138AC">
        <w:t xml:space="preserve"> where cultural </w:t>
      </w:r>
      <w:r w:rsidR="00ED51BF">
        <w:t xml:space="preserve">and </w:t>
      </w:r>
      <w:r w:rsidR="00C138AC">
        <w:t>creative ecosystems are identified as a network spillover effect.</w:t>
      </w:r>
    </w:p>
    <w:p w14:paraId="1AFBF019" w14:textId="4F605A84" w:rsidR="002B222A" w:rsidRDefault="00C138AC" w:rsidP="00680DD5">
      <w:r>
        <w:t>Bringing these ideas together, the study brief stated that t</w:t>
      </w:r>
      <w:r w:rsidR="001644A5" w:rsidRPr="00514EFA">
        <w:t>he role of CS&amp;H infrastructure and investment in the local area should be thought of as an ecosystem, rather than in isolat</w:t>
      </w:r>
      <w:r w:rsidR="001D035E">
        <w:t>ion</w:t>
      </w:r>
      <w:r w:rsidR="001644A5" w:rsidRPr="00514EFA">
        <w:t>. For example, a new arts centre will create direct employment (including freelance/SMEs) and cultural participation, but it will also create employment in local businesses because of increased trade due to visitors, and in time may also attract related and unrelated business</w:t>
      </w:r>
      <w:r w:rsidR="00ED51BF">
        <w:t>es</w:t>
      </w:r>
      <w:r w:rsidR="001644A5" w:rsidRPr="00514EFA">
        <w:t xml:space="preserve"> and innovation/product development because the original investment has improved wellbeing, local aesthetics or skills leading to a better sense of place or </w:t>
      </w:r>
      <w:r w:rsidR="001D035E">
        <w:t>increased</w:t>
      </w:r>
      <w:r w:rsidR="001D035E" w:rsidRPr="00514EFA">
        <w:t xml:space="preserve"> </w:t>
      </w:r>
      <w:r w:rsidR="001644A5" w:rsidRPr="00514EFA">
        <w:t>human capital.</w:t>
      </w:r>
    </w:p>
    <w:p w14:paraId="26471381" w14:textId="3E7D5C8F" w:rsidR="000A0E5D" w:rsidRDefault="000A0E5D" w:rsidP="00680DD5">
      <w:r>
        <w:t xml:space="preserve">The concept of the impact ecosystem is considered further, alongside the practical implications of employing </w:t>
      </w:r>
      <w:r w:rsidR="00ED51BF">
        <w:t xml:space="preserve">such a </w:t>
      </w:r>
      <w:r>
        <w:t xml:space="preserve">model for this study, in the </w:t>
      </w:r>
      <w:r w:rsidR="001D035E">
        <w:t xml:space="preserve">following </w:t>
      </w:r>
      <w:r>
        <w:t>section.</w:t>
      </w:r>
    </w:p>
    <w:p w14:paraId="327FDD8B" w14:textId="53B474A9" w:rsidR="00A20FE0" w:rsidRPr="00514EFA" w:rsidRDefault="00B6576B" w:rsidP="00520273">
      <w:pPr>
        <w:pStyle w:val="Heading3Numbered"/>
      </w:pPr>
      <w:bookmarkStart w:id="21" w:name="_Ref464048813"/>
      <w:bookmarkStart w:id="22" w:name="_Ref464048822"/>
      <w:bookmarkStart w:id="23" w:name="_Toc464222894"/>
      <w:r>
        <w:t>Developing</w:t>
      </w:r>
      <w:r w:rsidR="001644A5">
        <w:t xml:space="preserve"> the concept of an </w:t>
      </w:r>
      <w:r w:rsidR="001D035E" w:rsidRPr="00514EFA">
        <w:t>impact ecosystem</w:t>
      </w:r>
      <w:bookmarkEnd w:id="21"/>
      <w:bookmarkEnd w:id="22"/>
      <w:bookmarkEnd w:id="23"/>
    </w:p>
    <w:p w14:paraId="65419537" w14:textId="2717F938" w:rsidR="00A20FE0" w:rsidRPr="00514EFA" w:rsidRDefault="001644A5" w:rsidP="00A20FE0">
      <w:pPr>
        <w:rPr>
          <w:rFonts w:cs="Arial"/>
        </w:rPr>
      </w:pPr>
      <w:r>
        <w:rPr>
          <w:rFonts w:cs="Arial"/>
        </w:rPr>
        <w:t>The impact ecosystem is an important part of the conceptual framework for this study.</w:t>
      </w:r>
      <w:r w:rsidR="00A033C6">
        <w:rPr>
          <w:rFonts w:cs="Arial"/>
        </w:rPr>
        <w:t xml:space="preserve"> </w:t>
      </w:r>
      <w:r>
        <w:rPr>
          <w:rFonts w:cs="Arial"/>
        </w:rPr>
        <w:t xml:space="preserve">Some important aspects of the impact ecosystem are articulated and </w:t>
      </w:r>
      <w:r w:rsidR="00A20FE0" w:rsidRPr="00514EFA">
        <w:rPr>
          <w:rFonts w:cs="Arial"/>
        </w:rPr>
        <w:t xml:space="preserve">presented in </w:t>
      </w:r>
      <w:r w:rsidR="00A20FE0" w:rsidRPr="00514EFA">
        <w:rPr>
          <w:rFonts w:cs="Arial"/>
        </w:rPr>
        <w:fldChar w:fldCharType="begin"/>
      </w:r>
      <w:r w:rsidR="00A20FE0" w:rsidRPr="00514EFA">
        <w:rPr>
          <w:rFonts w:cs="Arial"/>
        </w:rPr>
        <w:instrText xml:space="preserve"> REF _Ref450049743 \h </w:instrText>
      </w:r>
      <w:r w:rsidR="00A20FE0">
        <w:rPr>
          <w:rFonts w:cs="Arial"/>
        </w:rPr>
        <w:instrText xml:space="preserve"> \* MERGEFORMAT </w:instrText>
      </w:r>
      <w:r w:rsidR="00A20FE0" w:rsidRPr="00514EFA">
        <w:rPr>
          <w:rFonts w:cs="Arial"/>
        </w:rPr>
      </w:r>
      <w:r w:rsidR="00A20FE0" w:rsidRPr="00514EFA">
        <w:rPr>
          <w:rFonts w:cs="Arial"/>
        </w:rPr>
        <w:fldChar w:fldCharType="separate"/>
      </w:r>
      <w:r w:rsidR="00F0636B" w:rsidRPr="00F0636B">
        <w:rPr>
          <w:rFonts w:cs="Arial"/>
        </w:rPr>
        <w:t xml:space="preserve">Figure </w:t>
      </w:r>
      <w:r w:rsidR="00F0636B" w:rsidRPr="00F0636B">
        <w:rPr>
          <w:rFonts w:cs="Arial"/>
          <w:noProof/>
        </w:rPr>
        <w:t>1</w:t>
      </w:r>
      <w:r w:rsidR="00A20FE0" w:rsidRPr="00514EFA">
        <w:rPr>
          <w:rFonts w:cs="Arial"/>
        </w:rPr>
        <w:fldChar w:fldCharType="end"/>
      </w:r>
      <w:r w:rsidR="00A20FE0" w:rsidRPr="00514EFA">
        <w:rPr>
          <w:rFonts w:cs="Arial"/>
        </w:rPr>
        <w:t xml:space="preserve"> below. This diagram, based on the literature review summarised above</w:t>
      </w:r>
      <w:r>
        <w:rPr>
          <w:rFonts w:cs="Arial"/>
        </w:rPr>
        <w:t xml:space="preserve"> (and set out in full in </w:t>
      </w:r>
      <w:r w:rsidR="00195FA3">
        <w:rPr>
          <w:rFonts w:cs="Arial"/>
        </w:rPr>
        <w:t xml:space="preserve">section </w:t>
      </w:r>
      <w:r w:rsidR="00195FA3">
        <w:rPr>
          <w:rFonts w:cs="Arial"/>
        </w:rPr>
        <w:fldChar w:fldCharType="begin"/>
      </w:r>
      <w:r w:rsidR="00195FA3">
        <w:rPr>
          <w:rFonts w:cs="Arial"/>
        </w:rPr>
        <w:instrText xml:space="preserve"> REF _Ref460315845 \r \h </w:instrText>
      </w:r>
      <w:r w:rsidR="00195FA3">
        <w:rPr>
          <w:rFonts w:cs="Arial"/>
        </w:rPr>
      </w:r>
      <w:r w:rsidR="00195FA3">
        <w:rPr>
          <w:rFonts w:cs="Arial"/>
        </w:rPr>
        <w:fldChar w:fldCharType="separate"/>
      </w:r>
      <w:r w:rsidR="00F0636B">
        <w:rPr>
          <w:rFonts w:cs="Arial"/>
        </w:rPr>
        <w:t>6:</w:t>
      </w:r>
      <w:r w:rsidR="00195FA3">
        <w:rPr>
          <w:rFonts w:cs="Arial"/>
        </w:rPr>
        <w:fldChar w:fldCharType="end"/>
      </w:r>
      <w:r w:rsidR="00195FA3">
        <w:rPr>
          <w:rFonts w:cs="Arial"/>
        </w:rPr>
        <w:t xml:space="preserve"> p.</w:t>
      </w:r>
      <w:r w:rsidR="00195FA3">
        <w:rPr>
          <w:rFonts w:cs="Arial"/>
        </w:rPr>
        <w:fldChar w:fldCharType="begin"/>
      </w:r>
      <w:r w:rsidR="00195FA3">
        <w:rPr>
          <w:rFonts w:cs="Arial"/>
        </w:rPr>
        <w:instrText xml:space="preserve"> PAGEREF _Ref460315850 \h </w:instrText>
      </w:r>
      <w:r w:rsidR="00195FA3">
        <w:rPr>
          <w:rFonts w:cs="Arial"/>
        </w:rPr>
      </w:r>
      <w:r w:rsidR="00195FA3">
        <w:rPr>
          <w:rFonts w:cs="Arial"/>
        </w:rPr>
        <w:fldChar w:fldCharType="separate"/>
      </w:r>
      <w:r w:rsidR="00F0636B">
        <w:rPr>
          <w:rFonts w:cs="Arial"/>
          <w:noProof/>
        </w:rPr>
        <w:t>40</w:t>
      </w:r>
      <w:r w:rsidR="00195FA3">
        <w:rPr>
          <w:rFonts w:cs="Arial"/>
        </w:rPr>
        <w:fldChar w:fldCharType="end"/>
      </w:r>
      <w:r>
        <w:rPr>
          <w:rFonts w:cs="Arial"/>
        </w:rPr>
        <w:t>)</w:t>
      </w:r>
      <w:r w:rsidR="00A20FE0" w:rsidRPr="00514EFA">
        <w:rPr>
          <w:rFonts w:cs="Arial"/>
        </w:rPr>
        <w:t>, captures a</w:t>
      </w:r>
      <w:r w:rsidR="00C81E21">
        <w:rPr>
          <w:rFonts w:cs="Arial"/>
        </w:rPr>
        <w:t>n</w:t>
      </w:r>
      <w:r w:rsidR="00A20FE0" w:rsidRPr="00514EFA">
        <w:rPr>
          <w:rFonts w:cs="Arial"/>
        </w:rPr>
        <w:t xml:space="preserve"> </w:t>
      </w:r>
      <w:r>
        <w:rPr>
          <w:rFonts w:cs="Arial"/>
        </w:rPr>
        <w:t xml:space="preserve">inexhaustive </w:t>
      </w:r>
      <w:r w:rsidR="00A20FE0" w:rsidRPr="00514EFA">
        <w:rPr>
          <w:rFonts w:cs="Arial"/>
        </w:rPr>
        <w:t xml:space="preserve">number of important impact areas (agglomeration, tourism, participation and regeneration) and, for each of these, a number of specific outcomes. These range from </w:t>
      </w:r>
      <w:proofErr w:type="gramStart"/>
      <w:r w:rsidR="00A20FE0" w:rsidRPr="00514EFA">
        <w:rPr>
          <w:rFonts w:cs="Arial"/>
        </w:rPr>
        <w:t>those which</w:t>
      </w:r>
      <w:proofErr w:type="gramEnd"/>
      <w:r w:rsidR="00A20FE0" w:rsidRPr="00514EFA">
        <w:rPr>
          <w:rFonts w:cs="Arial"/>
        </w:rPr>
        <w:t xml:space="preserve"> are evidenced (e.g. participation in culture, sport or heritage has been shown to positively influence education choices, health and wellbeing, social cohesion and economic participation), to those that are postulated (e.g. CS&amp;H assets</w:t>
      </w:r>
      <w:r w:rsidR="001A6213">
        <w:rPr>
          <w:rFonts w:cs="Arial"/>
        </w:rPr>
        <w:t xml:space="preserve"> may</w:t>
      </w:r>
      <w:r w:rsidR="00A20FE0" w:rsidRPr="00514EFA">
        <w:rPr>
          <w:rFonts w:cs="Arial"/>
        </w:rPr>
        <w:t xml:space="preserve"> increase agglomeration which then produces positive outcomes in terms of innovation, skills development, productivity and so on). Note that the diagram does not attempt to be comprehensive, but instead focuses on impact areas and outcomes that are of interest to the study. </w:t>
      </w:r>
    </w:p>
    <w:p w14:paraId="200647F5" w14:textId="77777777" w:rsidR="00A20FE0" w:rsidRPr="00514EFA" w:rsidRDefault="00A20FE0" w:rsidP="00A20FE0">
      <w:pPr>
        <w:pStyle w:val="Caption"/>
      </w:pPr>
    </w:p>
    <w:p w14:paraId="2C0347D7" w14:textId="77777777" w:rsidR="00A20FE0" w:rsidRPr="00514EFA" w:rsidRDefault="00A20FE0" w:rsidP="00A20FE0">
      <w:pPr>
        <w:pStyle w:val="Caption"/>
      </w:pPr>
      <w:bookmarkStart w:id="24" w:name="_Ref450049743"/>
      <w:bookmarkStart w:id="25" w:name="_Toc464220048"/>
      <w:r w:rsidRPr="00514EFA">
        <w:t xml:space="preserve">Figure </w:t>
      </w:r>
      <w:fldSimple w:instr=" SEQ Figure \* ARABIC ">
        <w:r w:rsidR="00F0636B">
          <w:rPr>
            <w:noProof/>
          </w:rPr>
          <w:t>1</w:t>
        </w:r>
      </w:fldSimple>
      <w:bookmarkEnd w:id="24"/>
      <w:r w:rsidRPr="00514EFA">
        <w:t>: Impact ecosystem</w:t>
      </w:r>
      <w:bookmarkEnd w:id="25"/>
    </w:p>
    <w:p w14:paraId="14E7C1AC" w14:textId="77777777" w:rsidR="00A20FE0" w:rsidRPr="00514EFA" w:rsidRDefault="00A20FE0" w:rsidP="00A20FE0">
      <w:pPr>
        <w:widowControl w:val="0"/>
        <w:autoSpaceDE w:val="0"/>
        <w:autoSpaceDN w:val="0"/>
        <w:adjustRightInd w:val="0"/>
        <w:spacing w:before="0" w:after="120" w:line="276" w:lineRule="auto"/>
        <w:ind w:left="0"/>
        <w:contextualSpacing/>
        <w:rPr>
          <w:rFonts w:eastAsia="Calibri" w:cs="Arial"/>
          <w:szCs w:val="22"/>
        </w:rPr>
      </w:pPr>
      <w:r>
        <w:rPr>
          <w:rFonts w:eastAsia="Calibri" w:cs="Arial"/>
          <w:noProof/>
          <w:szCs w:val="22"/>
          <w:lang w:val="en-US"/>
        </w:rPr>
        <w:drawing>
          <wp:inline distT="0" distB="0" distL="0" distR="0" wp14:anchorId="30542A36" wp14:editId="686C77A0">
            <wp:extent cx="5852160" cy="4345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png"/>
                    <pic:cNvPicPr/>
                  </pic:nvPicPr>
                  <pic:blipFill>
                    <a:blip r:embed="rId25">
                      <a:extLst>
                        <a:ext uri="{28A0092B-C50C-407E-A947-70E740481C1C}">
                          <a14:useLocalDpi xmlns:a14="http://schemas.microsoft.com/office/drawing/2010/main" val="0"/>
                        </a:ext>
                      </a:extLst>
                    </a:blip>
                    <a:stretch>
                      <a:fillRect/>
                    </a:stretch>
                  </pic:blipFill>
                  <pic:spPr>
                    <a:xfrm>
                      <a:off x="0" y="0"/>
                      <a:ext cx="5853197" cy="4345784"/>
                    </a:xfrm>
                    <a:prstGeom prst="rect">
                      <a:avLst/>
                    </a:prstGeom>
                  </pic:spPr>
                </pic:pic>
              </a:graphicData>
            </a:graphic>
          </wp:inline>
        </w:drawing>
      </w:r>
    </w:p>
    <w:p w14:paraId="346F20AE" w14:textId="77777777" w:rsidR="00A20FE0" w:rsidRPr="00514EFA" w:rsidRDefault="00A20FE0" w:rsidP="00A20FE0">
      <w:pPr>
        <w:ind w:left="0"/>
        <w:rPr>
          <w:rFonts w:cs="Arial"/>
          <w:sz w:val="18"/>
        </w:rPr>
      </w:pPr>
      <w:r w:rsidRPr="00514EFA">
        <w:rPr>
          <w:rFonts w:cs="Arial"/>
          <w:sz w:val="18"/>
        </w:rPr>
        <w:t>Source: TBR, NEF Consulting, Middlesex University</w:t>
      </w:r>
    </w:p>
    <w:p w14:paraId="70EB01BC" w14:textId="77777777" w:rsidR="001A6213" w:rsidRDefault="001A6213" w:rsidP="00A20FE0">
      <w:pPr>
        <w:rPr>
          <w:rFonts w:cs="Arial"/>
        </w:rPr>
      </w:pPr>
    </w:p>
    <w:p w14:paraId="26459286" w14:textId="7FD6246E" w:rsidR="00A20FE0" w:rsidRDefault="00A20FE0" w:rsidP="00A20FE0">
      <w:pPr>
        <w:rPr>
          <w:rFonts w:cs="Arial"/>
        </w:rPr>
      </w:pPr>
      <w:r w:rsidRPr="00514EFA">
        <w:rPr>
          <w:rFonts w:cs="Arial"/>
        </w:rPr>
        <w:t>The diagram also identifies a number of inter-relationships between different impact areas and outcomes</w:t>
      </w:r>
      <w:r w:rsidR="001A6213">
        <w:rPr>
          <w:rFonts w:cs="Arial"/>
        </w:rPr>
        <w:t>,</w:t>
      </w:r>
      <w:r w:rsidRPr="00514EFA">
        <w:rPr>
          <w:rFonts w:cs="Arial"/>
        </w:rPr>
        <w:t xml:space="preserve"> designed to demonstrate how cumulative impacts might be derived. An increase in business agglomeration, for example, might contribute to demand for commercial property within a specific location, which then might drive investment in the physical infrastructure of that area and therefore </w:t>
      </w:r>
      <w:r w:rsidR="001A6213">
        <w:rPr>
          <w:rFonts w:cs="Arial"/>
        </w:rPr>
        <w:t>lead to</w:t>
      </w:r>
      <w:r w:rsidR="001A6213" w:rsidRPr="00514EFA">
        <w:rPr>
          <w:rFonts w:cs="Arial"/>
        </w:rPr>
        <w:t xml:space="preserve"> </w:t>
      </w:r>
      <w:r w:rsidRPr="00514EFA">
        <w:rPr>
          <w:rFonts w:cs="Arial"/>
        </w:rPr>
        <w:t>physical regeneration.</w:t>
      </w:r>
    </w:p>
    <w:p w14:paraId="5612D3F4" w14:textId="54C1E14A" w:rsidR="00A20FE0" w:rsidRPr="00514EFA" w:rsidRDefault="00A20FE0" w:rsidP="00A20FE0">
      <w:pPr>
        <w:rPr>
          <w:rFonts w:cs="Arial"/>
        </w:rPr>
      </w:pPr>
      <w:r>
        <w:rPr>
          <w:rFonts w:cs="Arial"/>
        </w:rPr>
        <w:t xml:space="preserve">Lastly, the diagram also identifies – in the dark red boxes </w:t>
      </w:r>
      <w:r w:rsidR="001A6213">
        <w:rPr>
          <w:rFonts w:cs="Arial"/>
        </w:rPr>
        <w:t xml:space="preserve">– </w:t>
      </w:r>
      <w:r>
        <w:rPr>
          <w:rFonts w:cs="Arial"/>
        </w:rPr>
        <w:t>the specific economic measures that are the focus of the study.</w:t>
      </w:r>
      <w:r w:rsidR="00A033C6">
        <w:rPr>
          <w:rFonts w:cs="Arial"/>
        </w:rPr>
        <w:t xml:space="preserve"> </w:t>
      </w:r>
      <w:r w:rsidR="001A6213">
        <w:rPr>
          <w:rFonts w:cs="Arial"/>
        </w:rPr>
        <w:t>T</w:t>
      </w:r>
      <w:r>
        <w:rPr>
          <w:rFonts w:cs="Arial"/>
        </w:rPr>
        <w:t xml:space="preserve">hey are at once outcomes of, and measures of, </w:t>
      </w:r>
      <w:r w:rsidR="001A6213">
        <w:rPr>
          <w:rFonts w:cs="Arial"/>
        </w:rPr>
        <w:t>impacts</w:t>
      </w:r>
      <w:r>
        <w:rPr>
          <w:rFonts w:cs="Arial"/>
        </w:rPr>
        <w:t>.</w:t>
      </w:r>
      <w:r w:rsidR="00A033C6">
        <w:rPr>
          <w:rFonts w:cs="Arial"/>
        </w:rPr>
        <w:t xml:space="preserve"> </w:t>
      </w:r>
    </w:p>
    <w:p w14:paraId="2B5A171A" w14:textId="01DA28C3" w:rsidR="00A20FE0" w:rsidRDefault="00A20FE0" w:rsidP="00A20FE0">
      <w:pPr>
        <w:rPr>
          <w:rFonts w:cs="Arial"/>
        </w:rPr>
      </w:pPr>
      <w:r w:rsidRPr="00514EFA">
        <w:rPr>
          <w:rFonts w:cs="Arial"/>
        </w:rPr>
        <w:t xml:space="preserve">The intention in this study </w:t>
      </w:r>
      <w:r>
        <w:rPr>
          <w:rFonts w:cs="Arial"/>
        </w:rPr>
        <w:t>was originally</w:t>
      </w:r>
      <w:r w:rsidRPr="00514EFA">
        <w:rPr>
          <w:rFonts w:cs="Arial"/>
        </w:rPr>
        <w:t xml:space="preserve"> to discover whether evidence of </w:t>
      </w:r>
      <w:r w:rsidR="001A6213">
        <w:rPr>
          <w:rFonts w:cs="Arial"/>
        </w:rPr>
        <w:t>such an</w:t>
      </w:r>
      <w:r w:rsidR="001A6213" w:rsidRPr="00514EFA">
        <w:rPr>
          <w:rFonts w:cs="Arial"/>
        </w:rPr>
        <w:t xml:space="preserve"> </w:t>
      </w:r>
      <w:r w:rsidRPr="00514EFA">
        <w:rPr>
          <w:rFonts w:cs="Arial"/>
        </w:rPr>
        <w:t xml:space="preserve">ecosystem, and the relationships within it, </w:t>
      </w:r>
      <w:r w:rsidR="001A6213">
        <w:rPr>
          <w:rFonts w:cs="Arial"/>
        </w:rPr>
        <w:t>could be found using</w:t>
      </w:r>
      <w:r w:rsidR="001A6213" w:rsidRPr="00514EFA">
        <w:rPr>
          <w:rFonts w:cs="Arial"/>
        </w:rPr>
        <w:t xml:space="preserve"> </w:t>
      </w:r>
      <w:r w:rsidRPr="00514EFA">
        <w:rPr>
          <w:rFonts w:cs="Arial"/>
        </w:rPr>
        <w:t>the available data.</w:t>
      </w:r>
      <w:r w:rsidR="00A033C6">
        <w:rPr>
          <w:rFonts w:cs="Arial"/>
        </w:rPr>
        <w:t xml:space="preserve"> </w:t>
      </w:r>
      <w:r>
        <w:rPr>
          <w:rFonts w:cs="Arial"/>
        </w:rPr>
        <w:t xml:space="preserve">To explore the full ecosystem would require significant resource and, </w:t>
      </w:r>
      <w:r w:rsidR="00DC7067">
        <w:rPr>
          <w:rFonts w:cs="Arial"/>
        </w:rPr>
        <w:t xml:space="preserve">most </w:t>
      </w:r>
      <w:r>
        <w:rPr>
          <w:rFonts w:cs="Arial"/>
        </w:rPr>
        <w:t xml:space="preserve">likely, an iterative </w:t>
      </w:r>
      <w:proofErr w:type="gramStart"/>
      <w:r>
        <w:rPr>
          <w:rFonts w:cs="Arial"/>
        </w:rPr>
        <w:t>approach which</w:t>
      </w:r>
      <w:proofErr w:type="gramEnd"/>
      <w:r>
        <w:rPr>
          <w:rFonts w:cs="Arial"/>
        </w:rPr>
        <w:t xml:space="preserve"> breaks </w:t>
      </w:r>
      <w:r w:rsidR="001A6213">
        <w:rPr>
          <w:rFonts w:cs="Arial"/>
        </w:rPr>
        <w:t xml:space="preserve">down </w:t>
      </w:r>
      <w:r>
        <w:rPr>
          <w:rFonts w:cs="Arial"/>
        </w:rPr>
        <w:t>the relationships and interactions within the ecosystem into manageable, discreet elements.</w:t>
      </w:r>
      <w:r w:rsidR="00A033C6">
        <w:rPr>
          <w:rFonts w:cs="Arial"/>
        </w:rPr>
        <w:t xml:space="preserve"> </w:t>
      </w:r>
    </w:p>
    <w:p w14:paraId="3A3503A8" w14:textId="65674C4F" w:rsidR="00A20FE0" w:rsidRDefault="00A20FE0" w:rsidP="00A20FE0">
      <w:pPr>
        <w:rPr>
          <w:rFonts w:cs="Arial"/>
        </w:rPr>
      </w:pPr>
      <w:r>
        <w:rPr>
          <w:rFonts w:cs="Arial"/>
        </w:rPr>
        <w:t>In effect, this is what has been achieved in this study.</w:t>
      </w:r>
      <w:r w:rsidR="00A033C6">
        <w:rPr>
          <w:rFonts w:cs="Arial"/>
        </w:rPr>
        <w:t xml:space="preserve"> </w:t>
      </w:r>
      <w:r w:rsidR="00195FA3">
        <w:rPr>
          <w:rFonts w:cs="Arial"/>
        </w:rPr>
        <w:t xml:space="preserve">Section </w:t>
      </w:r>
      <w:r w:rsidR="00195FA3">
        <w:rPr>
          <w:rFonts w:cs="Arial"/>
        </w:rPr>
        <w:fldChar w:fldCharType="begin"/>
      </w:r>
      <w:r w:rsidR="00195FA3">
        <w:rPr>
          <w:rFonts w:cs="Arial"/>
        </w:rPr>
        <w:instrText xml:space="preserve"> REF _Ref460315918 \r \h </w:instrText>
      </w:r>
      <w:r w:rsidR="00195FA3">
        <w:rPr>
          <w:rFonts w:cs="Arial"/>
        </w:rPr>
      </w:r>
      <w:r w:rsidR="00195FA3">
        <w:rPr>
          <w:rFonts w:cs="Arial"/>
        </w:rPr>
        <w:fldChar w:fldCharType="separate"/>
      </w:r>
      <w:r w:rsidR="00F0636B">
        <w:rPr>
          <w:rFonts w:cs="Arial"/>
        </w:rPr>
        <w:t>7:</w:t>
      </w:r>
      <w:r w:rsidR="00195FA3">
        <w:rPr>
          <w:rFonts w:cs="Arial"/>
        </w:rPr>
        <w:fldChar w:fldCharType="end"/>
      </w:r>
      <w:r w:rsidR="00195FA3">
        <w:rPr>
          <w:rFonts w:cs="Arial"/>
        </w:rPr>
        <w:t xml:space="preserve"> (p.</w:t>
      </w:r>
      <w:r w:rsidR="00195FA3">
        <w:rPr>
          <w:rFonts w:cs="Arial"/>
        </w:rPr>
        <w:fldChar w:fldCharType="begin"/>
      </w:r>
      <w:r w:rsidR="00195FA3">
        <w:rPr>
          <w:rFonts w:cs="Arial"/>
        </w:rPr>
        <w:instrText xml:space="preserve"> PAGEREF _Ref460315921 \h </w:instrText>
      </w:r>
      <w:r w:rsidR="00195FA3">
        <w:rPr>
          <w:rFonts w:cs="Arial"/>
        </w:rPr>
      </w:r>
      <w:r w:rsidR="00195FA3">
        <w:rPr>
          <w:rFonts w:cs="Arial"/>
        </w:rPr>
        <w:fldChar w:fldCharType="separate"/>
      </w:r>
      <w:r w:rsidR="00F0636B">
        <w:rPr>
          <w:rFonts w:cs="Arial"/>
          <w:noProof/>
        </w:rPr>
        <w:t>82</w:t>
      </w:r>
      <w:r w:rsidR="00195FA3">
        <w:rPr>
          <w:rFonts w:cs="Arial"/>
        </w:rPr>
        <w:fldChar w:fldCharType="end"/>
      </w:r>
      <w:r w:rsidR="00195FA3">
        <w:rPr>
          <w:rFonts w:cs="Arial"/>
        </w:rPr>
        <w:t>)</w:t>
      </w:r>
      <w:r>
        <w:rPr>
          <w:rFonts w:cs="Arial"/>
        </w:rPr>
        <w:t xml:space="preserve"> </w:t>
      </w:r>
      <w:proofErr w:type="gramStart"/>
      <w:r>
        <w:rPr>
          <w:rFonts w:cs="Arial"/>
        </w:rPr>
        <w:t>sets</w:t>
      </w:r>
      <w:proofErr w:type="gramEnd"/>
      <w:r>
        <w:rPr>
          <w:rFonts w:cs="Arial"/>
        </w:rPr>
        <w:t xml:space="preserve"> out three analytical options which were identified during the scoping stage.</w:t>
      </w:r>
      <w:r w:rsidR="00A033C6">
        <w:rPr>
          <w:rFonts w:cs="Arial"/>
        </w:rPr>
        <w:t xml:space="preserve"> </w:t>
      </w:r>
      <w:r>
        <w:rPr>
          <w:rFonts w:cs="Arial"/>
        </w:rPr>
        <w:t xml:space="preserve">These identify examples of how </w:t>
      </w:r>
      <w:r w:rsidR="00DC7067">
        <w:rPr>
          <w:rFonts w:cs="Arial"/>
        </w:rPr>
        <w:t>the relationship between</w:t>
      </w:r>
      <w:r>
        <w:rPr>
          <w:rFonts w:cs="Arial"/>
        </w:rPr>
        <w:t xml:space="preserve"> between CS&amp;H assets</w:t>
      </w:r>
      <w:r w:rsidR="00DC7067">
        <w:rPr>
          <w:rFonts w:cs="Arial"/>
        </w:rPr>
        <w:t xml:space="preserve"> and </w:t>
      </w:r>
      <w:r>
        <w:rPr>
          <w:rFonts w:cs="Arial"/>
        </w:rPr>
        <w:t xml:space="preserve">investment and direct and indirect economic and social outcomes might be </w:t>
      </w:r>
      <w:r w:rsidR="00DC7067">
        <w:rPr>
          <w:rFonts w:cs="Arial"/>
        </w:rPr>
        <w:t>examined</w:t>
      </w:r>
      <w:r>
        <w:rPr>
          <w:rFonts w:cs="Arial"/>
        </w:rPr>
        <w:t>.</w:t>
      </w:r>
      <w:r w:rsidR="00A033C6">
        <w:rPr>
          <w:rFonts w:cs="Arial"/>
        </w:rPr>
        <w:t xml:space="preserve"> </w:t>
      </w:r>
      <w:r>
        <w:rPr>
          <w:rFonts w:cs="Arial"/>
        </w:rPr>
        <w:t>It was decided that the study would focus on test</w:t>
      </w:r>
      <w:r w:rsidR="001A6213">
        <w:rPr>
          <w:rFonts w:cs="Arial"/>
        </w:rPr>
        <w:t>ing</w:t>
      </w:r>
      <w:r>
        <w:rPr>
          <w:rFonts w:cs="Arial"/>
        </w:rPr>
        <w:t xml:space="preserve"> </w:t>
      </w:r>
      <w:r w:rsidR="00DC7067">
        <w:rPr>
          <w:rFonts w:cs="Arial"/>
        </w:rPr>
        <w:t xml:space="preserve">the </w:t>
      </w:r>
      <w:proofErr w:type="gramStart"/>
      <w:r w:rsidR="00DC7067">
        <w:rPr>
          <w:rFonts w:cs="Arial"/>
        </w:rPr>
        <w:t xml:space="preserve">relationships </w:t>
      </w:r>
      <w:r>
        <w:rPr>
          <w:rFonts w:cs="Arial"/>
        </w:rPr>
        <w:t xml:space="preserve"> between</w:t>
      </w:r>
      <w:proofErr w:type="gramEnd"/>
      <w:r>
        <w:rPr>
          <w:rFonts w:cs="Arial"/>
        </w:rPr>
        <w:t xml:space="preserve"> CS&amp;H assets</w:t>
      </w:r>
      <w:r w:rsidR="00DC7067">
        <w:rPr>
          <w:rFonts w:cs="Arial"/>
        </w:rPr>
        <w:t xml:space="preserve"> and </w:t>
      </w:r>
      <w:r>
        <w:rPr>
          <w:rFonts w:cs="Arial"/>
        </w:rPr>
        <w:t xml:space="preserve">investment </w:t>
      </w:r>
      <w:r w:rsidR="001A6213">
        <w:rPr>
          <w:rFonts w:cs="Arial"/>
        </w:rPr>
        <w:t xml:space="preserve">and </w:t>
      </w:r>
      <w:r>
        <w:rPr>
          <w:rFonts w:cs="Arial"/>
        </w:rPr>
        <w:t>positive place-shaping outcomes (i.e. specific measures of economic and social ‘success’).</w:t>
      </w:r>
    </w:p>
    <w:p w14:paraId="1EDA1B40" w14:textId="128EE69C" w:rsidR="00A20FE0" w:rsidRPr="00514EFA" w:rsidRDefault="00A20FE0" w:rsidP="00A20FE0">
      <w:pPr>
        <w:rPr>
          <w:rFonts w:cs="Arial"/>
        </w:rPr>
      </w:pPr>
      <w:r>
        <w:rPr>
          <w:rFonts w:cs="Arial"/>
        </w:rPr>
        <w:t>However,</w:t>
      </w:r>
      <w:r w:rsidR="000A0E5D">
        <w:rPr>
          <w:rFonts w:cs="Arial"/>
        </w:rPr>
        <w:t xml:space="preserve"> </w:t>
      </w:r>
      <w:r>
        <w:rPr>
          <w:rFonts w:cs="Arial"/>
        </w:rPr>
        <w:t>following consideration of the available data and suitable econometric models (see section</w:t>
      </w:r>
      <w:r w:rsidR="00DC7067">
        <w:rPr>
          <w:rFonts w:cs="Arial"/>
        </w:rPr>
        <w:t xml:space="preserve">s </w:t>
      </w:r>
      <w:r w:rsidR="00195FA3">
        <w:rPr>
          <w:rFonts w:cs="Arial"/>
        </w:rPr>
        <w:fldChar w:fldCharType="begin"/>
      </w:r>
      <w:r w:rsidR="00195FA3">
        <w:rPr>
          <w:rFonts w:cs="Arial"/>
        </w:rPr>
        <w:instrText xml:space="preserve"> REF _Ref460315997 \r \h </w:instrText>
      </w:r>
      <w:r w:rsidR="00195FA3">
        <w:rPr>
          <w:rFonts w:cs="Arial"/>
        </w:rPr>
      </w:r>
      <w:r w:rsidR="00195FA3">
        <w:rPr>
          <w:rFonts w:cs="Arial"/>
        </w:rPr>
        <w:fldChar w:fldCharType="separate"/>
      </w:r>
      <w:r w:rsidR="00F0636B">
        <w:rPr>
          <w:rFonts w:cs="Arial"/>
        </w:rPr>
        <w:t>2.3.4</w:t>
      </w:r>
      <w:r w:rsidR="00195FA3">
        <w:rPr>
          <w:rFonts w:cs="Arial"/>
        </w:rPr>
        <w:fldChar w:fldCharType="end"/>
      </w:r>
      <w:r w:rsidR="00195FA3">
        <w:rPr>
          <w:rFonts w:cs="Arial"/>
        </w:rPr>
        <w:t>, p.</w:t>
      </w:r>
      <w:r w:rsidR="00195FA3">
        <w:rPr>
          <w:rFonts w:cs="Arial"/>
        </w:rPr>
        <w:fldChar w:fldCharType="begin"/>
      </w:r>
      <w:r w:rsidR="00195FA3">
        <w:rPr>
          <w:rFonts w:cs="Arial"/>
        </w:rPr>
        <w:instrText xml:space="preserve"> PAGEREF _Ref460316001 \h </w:instrText>
      </w:r>
      <w:r w:rsidR="00195FA3">
        <w:rPr>
          <w:rFonts w:cs="Arial"/>
        </w:rPr>
      </w:r>
      <w:r w:rsidR="00195FA3">
        <w:rPr>
          <w:rFonts w:cs="Arial"/>
        </w:rPr>
        <w:fldChar w:fldCharType="separate"/>
      </w:r>
      <w:proofErr w:type="gramStart"/>
      <w:r w:rsidR="00F0636B">
        <w:rPr>
          <w:rFonts w:cs="Arial"/>
          <w:noProof/>
        </w:rPr>
        <w:t>14</w:t>
      </w:r>
      <w:r w:rsidR="00195FA3">
        <w:rPr>
          <w:rFonts w:cs="Arial"/>
        </w:rPr>
        <w:fldChar w:fldCharType="end"/>
      </w:r>
      <w:r w:rsidR="00195FA3">
        <w:rPr>
          <w:rFonts w:cs="Arial"/>
        </w:rPr>
        <w:t xml:space="preserve"> and </w:t>
      </w:r>
      <w:r w:rsidR="00195FA3">
        <w:rPr>
          <w:rFonts w:cs="Arial"/>
        </w:rPr>
        <w:fldChar w:fldCharType="begin"/>
      </w:r>
      <w:r w:rsidR="00195FA3">
        <w:rPr>
          <w:rFonts w:cs="Arial"/>
        </w:rPr>
        <w:instrText xml:space="preserve"> REF _Ref460316068 \r \h </w:instrText>
      </w:r>
      <w:r w:rsidR="00195FA3">
        <w:rPr>
          <w:rFonts w:cs="Arial"/>
        </w:rPr>
      </w:r>
      <w:r w:rsidR="00195FA3">
        <w:rPr>
          <w:rFonts w:cs="Arial"/>
        </w:rPr>
        <w:fldChar w:fldCharType="separate"/>
      </w:r>
      <w:r w:rsidR="00F0636B">
        <w:rPr>
          <w:rFonts w:cs="Arial"/>
        </w:rPr>
        <w:t>2.3.5</w:t>
      </w:r>
      <w:r w:rsidR="00195FA3">
        <w:rPr>
          <w:rFonts w:cs="Arial"/>
        </w:rPr>
        <w:fldChar w:fldCharType="end"/>
      </w:r>
      <w:r w:rsidR="00195FA3">
        <w:rPr>
          <w:rFonts w:cs="Arial"/>
        </w:rPr>
        <w:t>, p.</w:t>
      </w:r>
      <w:proofErr w:type="gramEnd"/>
      <w:r w:rsidR="00195FA3">
        <w:rPr>
          <w:rFonts w:cs="Arial"/>
        </w:rPr>
        <w:fldChar w:fldCharType="begin"/>
      </w:r>
      <w:r w:rsidR="00195FA3">
        <w:rPr>
          <w:rFonts w:cs="Arial"/>
        </w:rPr>
        <w:instrText xml:space="preserve"> PAGEREF _Ref460316071 \h </w:instrText>
      </w:r>
      <w:r w:rsidR="00195FA3">
        <w:rPr>
          <w:rFonts w:cs="Arial"/>
        </w:rPr>
      </w:r>
      <w:r w:rsidR="00195FA3">
        <w:rPr>
          <w:rFonts w:cs="Arial"/>
        </w:rPr>
        <w:fldChar w:fldCharType="separate"/>
      </w:r>
      <w:r w:rsidR="00F0636B">
        <w:rPr>
          <w:rFonts w:cs="Arial"/>
          <w:noProof/>
        </w:rPr>
        <w:t>15</w:t>
      </w:r>
      <w:r w:rsidR="00195FA3">
        <w:rPr>
          <w:rFonts w:cs="Arial"/>
        </w:rPr>
        <w:fldChar w:fldCharType="end"/>
      </w:r>
      <w:r w:rsidR="007C44FC">
        <w:rPr>
          <w:rFonts w:cs="Arial"/>
        </w:rPr>
        <w:t>)</w:t>
      </w:r>
      <w:r w:rsidR="00DC7067" w:rsidRPr="00DC7067">
        <w:rPr>
          <w:rFonts w:cs="Arial"/>
        </w:rPr>
        <w:t xml:space="preserve"> </w:t>
      </w:r>
      <w:proofErr w:type="gramStart"/>
      <w:r w:rsidR="00DC7067">
        <w:rPr>
          <w:rFonts w:cs="Arial"/>
        </w:rPr>
        <w:t>it</w:t>
      </w:r>
      <w:proofErr w:type="gramEnd"/>
      <w:r w:rsidR="00DC7067">
        <w:rPr>
          <w:rFonts w:cs="Arial"/>
        </w:rPr>
        <w:t xml:space="preserve"> was agreed that the aims and objectives should be further narrowed</w:t>
      </w:r>
      <w:r>
        <w:rPr>
          <w:rFonts w:cs="Arial"/>
        </w:rPr>
        <w:t xml:space="preserve">. Thus the study has focused on more simple relationships than are captured and described by the ecosystem as a </w:t>
      </w:r>
      <w:r w:rsidR="001A6213">
        <w:rPr>
          <w:rFonts w:cs="Arial"/>
        </w:rPr>
        <w:t xml:space="preserve">conceptual </w:t>
      </w:r>
      <w:r>
        <w:rPr>
          <w:rFonts w:cs="Arial"/>
        </w:rPr>
        <w:t>whole.</w:t>
      </w:r>
      <w:r w:rsidR="00A033C6">
        <w:rPr>
          <w:rFonts w:cs="Arial"/>
        </w:rPr>
        <w:t xml:space="preserve"> </w:t>
      </w:r>
      <w:r>
        <w:rPr>
          <w:rFonts w:cs="Arial"/>
        </w:rPr>
        <w:t xml:space="preserve">Should suitable resources and data be available in the future, econometric analysis could be </w:t>
      </w:r>
      <w:r w:rsidR="00C36D76">
        <w:rPr>
          <w:rFonts w:cs="Arial"/>
        </w:rPr>
        <w:t xml:space="preserve">undertaken </w:t>
      </w:r>
      <w:r>
        <w:rPr>
          <w:rFonts w:cs="Arial"/>
        </w:rPr>
        <w:t>which explores other elements of the ecosystem (e.g. whether there is evidence of a relationship between CS&amp;H assets</w:t>
      </w:r>
      <w:r w:rsidR="00DC7067">
        <w:rPr>
          <w:rFonts w:cs="Arial"/>
        </w:rPr>
        <w:t xml:space="preserve"> and </w:t>
      </w:r>
      <w:r>
        <w:rPr>
          <w:rFonts w:cs="Arial"/>
        </w:rPr>
        <w:t>investment and indirect impacts associated with positive place-shaping).</w:t>
      </w:r>
    </w:p>
    <w:p w14:paraId="57B5D2CF" w14:textId="36A60D0D" w:rsidR="00351721" w:rsidRDefault="00351721" w:rsidP="00520273">
      <w:pPr>
        <w:pStyle w:val="Heading3Numbered"/>
      </w:pPr>
      <w:bookmarkStart w:id="26" w:name="_Ref460315997"/>
      <w:bookmarkStart w:id="27" w:name="_Ref460316001"/>
      <w:bookmarkStart w:id="28" w:name="_Toc464222895"/>
      <w:r>
        <w:t>Study implications arising from the review of empirical literature</w:t>
      </w:r>
      <w:bookmarkEnd w:id="26"/>
      <w:bookmarkEnd w:id="27"/>
      <w:bookmarkEnd w:id="28"/>
      <w:r>
        <w:t xml:space="preserve"> </w:t>
      </w:r>
    </w:p>
    <w:bookmarkEnd w:id="20"/>
    <w:p w14:paraId="4D91BF64" w14:textId="211B24ED" w:rsidR="00275064" w:rsidRDefault="007F7B7B" w:rsidP="0079210C">
      <w:pPr>
        <w:rPr>
          <w:rFonts w:cs="Arial"/>
        </w:rPr>
      </w:pPr>
      <w:r>
        <w:rPr>
          <w:rFonts w:cs="Arial"/>
        </w:rPr>
        <w:t xml:space="preserve">While </w:t>
      </w:r>
      <w:r w:rsidR="00351721">
        <w:rPr>
          <w:rFonts w:cs="Arial"/>
        </w:rPr>
        <w:t xml:space="preserve">there is an extensive body of literature relating to the theoretical and conceptual ideas relevant to this study, empirical evidence and literature is </w:t>
      </w:r>
      <w:proofErr w:type="gramStart"/>
      <w:r w:rsidR="00351721">
        <w:rPr>
          <w:rFonts w:cs="Arial"/>
        </w:rPr>
        <w:t>more sparse</w:t>
      </w:r>
      <w:proofErr w:type="gramEnd"/>
      <w:r w:rsidR="00351721">
        <w:rPr>
          <w:rFonts w:cs="Arial"/>
        </w:rPr>
        <w:t>.</w:t>
      </w:r>
      <w:r w:rsidR="00A033C6">
        <w:rPr>
          <w:rFonts w:cs="Arial"/>
        </w:rPr>
        <w:t xml:space="preserve"> </w:t>
      </w:r>
      <w:r w:rsidR="00351721">
        <w:rPr>
          <w:rFonts w:cs="Arial"/>
        </w:rPr>
        <w:t xml:space="preserve">A review of </w:t>
      </w:r>
      <w:r w:rsidR="00940B49">
        <w:rPr>
          <w:rFonts w:cs="Arial"/>
        </w:rPr>
        <w:t xml:space="preserve">key studies is set out in </w:t>
      </w:r>
      <w:r w:rsidR="00195FA3">
        <w:rPr>
          <w:rFonts w:cs="Arial"/>
        </w:rPr>
        <w:t xml:space="preserve">section </w:t>
      </w:r>
      <w:r w:rsidR="00195FA3">
        <w:rPr>
          <w:rFonts w:cs="Arial"/>
        </w:rPr>
        <w:fldChar w:fldCharType="begin"/>
      </w:r>
      <w:r w:rsidR="00195FA3">
        <w:rPr>
          <w:rFonts w:cs="Arial"/>
        </w:rPr>
        <w:instrText xml:space="preserve"> REF _Ref460316122 \r \h </w:instrText>
      </w:r>
      <w:r w:rsidR="00195FA3">
        <w:rPr>
          <w:rFonts w:cs="Arial"/>
        </w:rPr>
      </w:r>
      <w:r w:rsidR="00195FA3">
        <w:rPr>
          <w:rFonts w:cs="Arial"/>
        </w:rPr>
        <w:fldChar w:fldCharType="separate"/>
      </w:r>
      <w:r w:rsidR="00F0636B">
        <w:rPr>
          <w:rFonts w:cs="Arial"/>
          <w:b/>
          <w:bCs/>
          <w:lang w:val="en-US"/>
        </w:rPr>
        <w:t>Error! Reference source not found.</w:t>
      </w:r>
      <w:r w:rsidR="00195FA3">
        <w:rPr>
          <w:rFonts w:cs="Arial"/>
        </w:rPr>
        <w:fldChar w:fldCharType="end"/>
      </w:r>
      <w:r w:rsidR="00195FA3">
        <w:rPr>
          <w:rFonts w:cs="Arial"/>
        </w:rPr>
        <w:t xml:space="preserve"> (p.</w:t>
      </w:r>
      <w:r w:rsidR="00195FA3">
        <w:rPr>
          <w:rFonts w:cs="Arial"/>
        </w:rPr>
        <w:fldChar w:fldCharType="begin"/>
      </w:r>
      <w:r w:rsidR="00195FA3">
        <w:rPr>
          <w:rFonts w:cs="Arial"/>
        </w:rPr>
        <w:instrText xml:space="preserve"> PAGEREF _Ref460316125 \h </w:instrText>
      </w:r>
      <w:r w:rsidR="00195FA3">
        <w:rPr>
          <w:rFonts w:cs="Arial"/>
        </w:rPr>
      </w:r>
      <w:r w:rsidR="00195FA3">
        <w:rPr>
          <w:rFonts w:cs="Arial"/>
        </w:rPr>
        <w:fldChar w:fldCharType="separate"/>
      </w:r>
      <w:r w:rsidR="00F0636B">
        <w:rPr>
          <w:rFonts w:cs="Arial"/>
          <w:b/>
          <w:bCs/>
          <w:noProof/>
          <w:lang w:val="en-US"/>
        </w:rPr>
        <w:t xml:space="preserve">Error! </w:t>
      </w:r>
      <w:proofErr w:type="gramStart"/>
      <w:r w:rsidR="00F0636B">
        <w:rPr>
          <w:rFonts w:cs="Arial"/>
          <w:b/>
          <w:bCs/>
          <w:noProof/>
          <w:lang w:val="en-US"/>
        </w:rPr>
        <w:t>Bookmark not defined.</w:t>
      </w:r>
      <w:r w:rsidR="00195FA3">
        <w:rPr>
          <w:rFonts w:cs="Arial"/>
        </w:rPr>
        <w:fldChar w:fldCharType="end"/>
      </w:r>
      <w:r w:rsidR="00195FA3">
        <w:rPr>
          <w:rFonts w:cs="Arial"/>
        </w:rPr>
        <w:t>)</w:t>
      </w:r>
      <w:r w:rsidR="00940B49">
        <w:rPr>
          <w:rFonts w:cs="Arial"/>
        </w:rPr>
        <w:t>.</w:t>
      </w:r>
      <w:proofErr w:type="gramEnd"/>
      <w:r w:rsidR="00A033C6">
        <w:rPr>
          <w:rFonts w:cs="Arial"/>
        </w:rPr>
        <w:t xml:space="preserve"> </w:t>
      </w:r>
      <w:r w:rsidR="00275064">
        <w:rPr>
          <w:rFonts w:cs="Arial"/>
        </w:rPr>
        <w:t xml:space="preserve">The most </w:t>
      </w:r>
      <w:r w:rsidR="00BC65D9">
        <w:rPr>
          <w:rFonts w:cs="Arial"/>
        </w:rPr>
        <w:t xml:space="preserve">influential </w:t>
      </w:r>
      <w:r w:rsidR="00275064">
        <w:rPr>
          <w:rFonts w:cs="Arial"/>
        </w:rPr>
        <w:t>studies in relation to the design of this study include:</w:t>
      </w:r>
    </w:p>
    <w:p w14:paraId="417FB161" w14:textId="3E3F7DE1" w:rsidR="00275064" w:rsidRPr="000A0E5D" w:rsidRDefault="00BC65D9" w:rsidP="006751CE">
      <w:pPr>
        <w:pStyle w:val="Bullet"/>
      </w:pPr>
      <w:r w:rsidRPr="000A0E5D">
        <w:t xml:space="preserve">Lazzeretti et al (2009), Why do creative industries cluster? An analysis of the determinants of clustering of creative industries, IERMB Working Paper in </w:t>
      </w:r>
      <w:r w:rsidR="0017656A">
        <w:t>Economics, nº 09.02, April 2009</w:t>
      </w:r>
    </w:p>
    <w:p w14:paraId="66BD037A" w14:textId="29645C0F" w:rsidR="00BC65D9" w:rsidRPr="000A0E5D" w:rsidRDefault="00BC65D9" w:rsidP="006751CE">
      <w:pPr>
        <w:pStyle w:val="Bullet"/>
      </w:pPr>
      <w:r w:rsidRPr="000A0E5D">
        <w:rPr>
          <w:rStyle w:val="FootnoteReference"/>
          <w:szCs w:val="20"/>
          <w:vertAlign w:val="baseline"/>
        </w:rPr>
        <w:t>Bakhshi et al (2014) Capital of culture? An econometric analysis of the relationship between arts and cultural clusters, wages and the creative economy in English cities, Nesta Working Paper No.14/06</w:t>
      </w:r>
    </w:p>
    <w:p w14:paraId="3FCC33B0" w14:textId="77777777" w:rsidR="0091774D" w:rsidRPr="000A0E5D" w:rsidRDefault="0091774D" w:rsidP="006751CE">
      <w:pPr>
        <w:pStyle w:val="Bullet"/>
        <w:rPr>
          <w:rStyle w:val="FootnoteReference"/>
          <w:szCs w:val="20"/>
          <w:vertAlign w:val="baseline"/>
        </w:rPr>
      </w:pPr>
      <w:r w:rsidRPr="000A0E5D">
        <w:rPr>
          <w:rStyle w:val="FootnoteReference"/>
          <w:szCs w:val="20"/>
          <w:vertAlign w:val="baseline"/>
        </w:rPr>
        <w:t>Noonan, D (2013) How US Cultural Districts Reshape Neighbourhoods, in Cultural Trends 22(3–4).</w:t>
      </w:r>
    </w:p>
    <w:p w14:paraId="218B543D" w14:textId="77777777" w:rsidR="0091774D" w:rsidRPr="000A0E5D" w:rsidRDefault="0091774D" w:rsidP="006751CE">
      <w:pPr>
        <w:pStyle w:val="Bullet"/>
      </w:pPr>
      <w:r w:rsidRPr="000A0E5D">
        <w:t>Cruz, S. and Teixeira, A.A.C. (2014), The Determinants of Spatial Location of Creative Industries Start-Ups: Evidence from Portugal using a Discrete Choice Model Approach. FEP Working Papers no. 546 October 2014</w:t>
      </w:r>
    </w:p>
    <w:p w14:paraId="3BEF619C" w14:textId="297CFD6E" w:rsidR="0079210C" w:rsidRPr="00514EFA" w:rsidRDefault="00940B49" w:rsidP="0079210C">
      <w:pPr>
        <w:rPr>
          <w:rFonts w:cs="Arial"/>
        </w:rPr>
      </w:pPr>
      <w:r>
        <w:rPr>
          <w:rFonts w:cs="Arial"/>
        </w:rPr>
        <w:t>In summa</w:t>
      </w:r>
      <w:r w:rsidR="00275064">
        <w:rPr>
          <w:rFonts w:cs="Arial"/>
        </w:rPr>
        <w:t>r</w:t>
      </w:r>
      <w:r>
        <w:rPr>
          <w:rFonts w:cs="Arial"/>
        </w:rPr>
        <w:t xml:space="preserve">y, the review of empirical literature </w:t>
      </w:r>
      <w:r w:rsidR="005B5EB0">
        <w:rPr>
          <w:rFonts w:cs="Arial"/>
        </w:rPr>
        <w:t xml:space="preserve">found </w:t>
      </w:r>
      <w:r>
        <w:rPr>
          <w:rFonts w:cs="Arial"/>
        </w:rPr>
        <w:t>that:</w:t>
      </w:r>
    </w:p>
    <w:p w14:paraId="1CF9CD1E" w14:textId="69807F9A" w:rsidR="0079210C" w:rsidRPr="00514EFA" w:rsidRDefault="0079210C" w:rsidP="006751CE">
      <w:pPr>
        <w:pStyle w:val="Bullet"/>
      </w:pPr>
      <w:r w:rsidRPr="00514EFA">
        <w:t>Existing evidence on the links between CS&amp;H and economic outcomes is either:</w:t>
      </w:r>
    </w:p>
    <w:p w14:paraId="363EA84E" w14:textId="77777777" w:rsidR="0079210C" w:rsidRPr="00514EFA" w:rsidRDefault="0079210C" w:rsidP="006751CE">
      <w:pPr>
        <w:pStyle w:val="Bullet2"/>
      </w:pPr>
      <w:r w:rsidRPr="00514EFA">
        <w:t>Case study based and non-econometric</w:t>
      </w:r>
    </w:p>
    <w:p w14:paraId="1CCB78DA" w14:textId="77777777" w:rsidR="0079210C" w:rsidRPr="00514EFA" w:rsidRDefault="0079210C" w:rsidP="006751CE">
      <w:pPr>
        <w:pStyle w:val="Bullet2"/>
      </w:pPr>
      <w:r w:rsidRPr="00514EFA">
        <w:t>Based on effects of amenities on house prices (hedonic pricing models) or human capital</w:t>
      </w:r>
    </w:p>
    <w:p w14:paraId="44E805BB" w14:textId="53D2C9D5" w:rsidR="0079210C" w:rsidRPr="00514EFA" w:rsidRDefault="0079210C" w:rsidP="006751CE">
      <w:pPr>
        <w:pStyle w:val="Bullet2"/>
      </w:pPr>
      <w:r w:rsidRPr="00514EFA">
        <w:t>Cross-sectional (leading to weak causal interpretation)</w:t>
      </w:r>
    </w:p>
    <w:p w14:paraId="1430BC2A" w14:textId="77777777" w:rsidR="0079210C" w:rsidRPr="00514EFA" w:rsidRDefault="0079210C" w:rsidP="006751CE">
      <w:pPr>
        <w:pStyle w:val="Bullet2"/>
      </w:pPr>
      <w:r w:rsidRPr="00514EFA">
        <w:t>Not based in the UK</w:t>
      </w:r>
    </w:p>
    <w:p w14:paraId="2CAF59F2" w14:textId="79447119" w:rsidR="0079210C" w:rsidRPr="00514EFA" w:rsidRDefault="0079210C" w:rsidP="006751CE">
      <w:pPr>
        <w:pStyle w:val="Bullet"/>
      </w:pPr>
      <w:r w:rsidRPr="00514EFA">
        <w:t xml:space="preserve">Traditional measures of firm location and economic performance do not </w:t>
      </w:r>
      <w:r w:rsidR="00731A16">
        <w:t xml:space="preserve">tend to </w:t>
      </w:r>
      <w:r w:rsidRPr="00514EFA">
        <w:t>incorporate quality of life and amenity factors</w:t>
      </w:r>
      <w:r w:rsidR="000A0E5D">
        <w:t>.</w:t>
      </w:r>
    </w:p>
    <w:p w14:paraId="5E1A65B7" w14:textId="3B1336DC" w:rsidR="0079210C" w:rsidRPr="00514EFA" w:rsidRDefault="00D10749" w:rsidP="006751CE">
      <w:pPr>
        <w:pStyle w:val="Bullet"/>
      </w:pPr>
      <w:r w:rsidRPr="00514EFA">
        <w:t>The e</w:t>
      </w:r>
      <w:r w:rsidR="0079210C" w:rsidRPr="00514EFA">
        <w:t>xisting evidence suggests CS&amp;H affects wellbeing, health and quality of life in the UK</w:t>
      </w:r>
      <w:r w:rsidR="00731A16">
        <w:t>, for example</w:t>
      </w:r>
      <w:r w:rsidR="0079210C" w:rsidRPr="00514EFA">
        <w:t>:</w:t>
      </w:r>
    </w:p>
    <w:p w14:paraId="35BCFE4A" w14:textId="77777777" w:rsidR="0079210C" w:rsidRPr="00514EFA" w:rsidRDefault="0079210C" w:rsidP="006751CE">
      <w:pPr>
        <w:pStyle w:val="Bullet2"/>
      </w:pPr>
      <w:proofErr w:type="gramStart"/>
      <w:r w:rsidRPr="00514EFA">
        <w:t>health</w:t>
      </w:r>
      <w:proofErr w:type="gramEnd"/>
      <w:r w:rsidRPr="00514EFA">
        <w:t xml:space="preserve"> and wellbeing benefits of public libraries; </w:t>
      </w:r>
    </w:p>
    <w:p w14:paraId="2E742A6F" w14:textId="77777777" w:rsidR="0079210C" w:rsidRPr="00514EFA" w:rsidRDefault="0079210C" w:rsidP="006751CE">
      <w:pPr>
        <w:pStyle w:val="Bullet2"/>
      </w:pPr>
      <w:proofErr w:type="gramStart"/>
      <w:r w:rsidRPr="00514EFA">
        <w:t>health</w:t>
      </w:r>
      <w:proofErr w:type="gramEnd"/>
      <w:r w:rsidRPr="00514EFA">
        <w:t xml:space="preserve"> and educational benefits of sport and culture; </w:t>
      </w:r>
    </w:p>
    <w:p w14:paraId="398CBE17" w14:textId="77777777" w:rsidR="0079210C" w:rsidRPr="00514EFA" w:rsidRDefault="0079210C" w:rsidP="006751CE">
      <w:pPr>
        <w:pStyle w:val="Bullet2"/>
      </w:pPr>
      <w:proofErr w:type="gramStart"/>
      <w:r w:rsidRPr="00514EFA">
        <w:t>creative</w:t>
      </w:r>
      <w:proofErr w:type="gramEnd"/>
      <w:r w:rsidRPr="00514EFA">
        <w:t xml:space="preserve"> occupations and subjective wellbeing</w:t>
      </w:r>
    </w:p>
    <w:p w14:paraId="3B032C42" w14:textId="60905A99" w:rsidR="000A0E5D" w:rsidRPr="00514EFA" w:rsidRDefault="000A0E5D" w:rsidP="006751CE">
      <w:pPr>
        <w:pStyle w:val="Bullet"/>
      </w:pPr>
      <w:r w:rsidRPr="00514EFA">
        <w:t xml:space="preserve">The links to wellbeing have </w:t>
      </w:r>
      <w:r w:rsidR="005B5EB0">
        <w:t xml:space="preserve">previously </w:t>
      </w:r>
      <w:r w:rsidRPr="00514EFA">
        <w:t>been explored and therefore it would appear appropriate to target this study at economic indicators rather than social indicators.</w:t>
      </w:r>
      <w:r w:rsidR="00A033C6">
        <w:t xml:space="preserve"> </w:t>
      </w:r>
      <w:r>
        <w:t>However,</w:t>
      </w:r>
      <w:r w:rsidR="00A033C6">
        <w:t xml:space="preserve"> </w:t>
      </w:r>
      <w:r w:rsidRPr="00514EFA">
        <w:t>how these variables and factors interact</w:t>
      </w:r>
      <w:r>
        <w:t xml:space="preserve"> is less well explored</w:t>
      </w:r>
      <w:r w:rsidRPr="00514EFA">
        <w:t>.</w:t>
      </w:r>
    </w:p>
    <w:p w14:paraId="598F4C04" w14:textId="076ECC8A" w:rsidR="000A0E5D" w:rsidRPr="00514EFA" w:rsidRDefault="000A0E5D" w:rsidP="006751CE">
      <w:pPr>
        <w:pStyle w:val="Bullet"/>
      </w:pPr>
      <w:r w:rsidRPr="00514EFA">
        <w:t>There is evidence that quality of life/amenity outcomes affect firm location decisions and human capital.</w:t>
      </w:r>
      <w:r w:rsidR="00A033C6">
        <w:t xml:space="preserve"> </w:t>
      </w:r>
      <w:r w:rsidR="00301464">
        <w:t>This may suggest that</w:t>
      </w:r>
      <w:r>
        <w:t xml:space="preserve"> CS&amp;H asset/investment </w:t>
      </w:r>
      <w:r w:rsidR="00301464">
        <w:t xml:space="preserve">can </w:t>
      </w:r>
      <w:r>
        <w:t xml:space="preserve">influence the demand-side factors </w:t>
      </w:r>
      <w:r w:rsidR="00237117">
        <w:t>associated</w:t>
      </w:r>
      <w:r>
        <w:t xml:space="preserve"> with the location decisions made by people and businesses. </w:t>
      </w:r>
    </w:p>
    <w:p w14:paraId="5F7271C0" w14:textId="74E0E663" w:rsidR="00D10749" w:rsidRPr="003001BA" w:rsidRDefault="000A0E5D" w:rsidP="006751CE">
      <w:pPr>
        <w:pStyle w:val="Bullet"/>
      </w:pPr>
      <w:r w:rsidRPr="003001BA">
        <w:t xml:space="preserve">Whilst a tried and tested model to underpin the proposed analysis does not exist, there are </w:t>
      </w:r>
      <w:proofErr w:type="gramStart"/>
      <w:r w:rsidRPr="003001BA">
        <w:t>models which</w:t>
      </w:r>
      <w:proofErr w:type="gramEnd"/>
      <w:r w:rsidRPr="003001BA">
        <w:t xml:space="preserve"> focus on similar empirical questions within the creative industries.</w:t>
      </w:r>
      <w:r w:rsidR="00A033C6">
        <w:t xml:space="preserve"> </w:t>
      </w:r>
      <w:r w:rsidR="00301464">
        <w:t>These</w:t>
      </w:r>
      <w:r w:rsidR="00301464" w:rsidRPr="003001BA">
        <w:t xml:space="preserve"> </w:t>
      </w:r>
      <w:r w:rsidRPr="003001BA">
        <w:t>existing studies align best to the aims and objectives of this study</w:t>
      </w:r>
      <w:r w:rsidR="00301464">
        <w:t>,</w:t>
      </w:r>
      <w:r w:rsidRPr="003001BA">
        <w:t xml:space="preserve"> </w:t>
      </w:r>
      <w:r w:rsidR="00D10749" w:rsidRPr="003001BA">
        <w:t xml:space="preserve">and </w:t>
      </w:r>
      <w:r w:rsidR="00301464">
        <w:t>a key conclusion from the review was that it</w:t>
      </w:r>
      <w:r w:rsidR="00301464" w:rsidRPr="003001BA">
        <w:t xml:space="preserve"> </w:t>
      </w:r>
      <w:r w:rsidR="00301464">
        <w:t>was</w:t>
      </w:r>
      <w:r w:rsidR="00D10749" w:rsidRPr="003001BA">
        <w:t xml:space="preserve"> </w:t>
      </w:r>
      <w:r w:rsidRPr="003001BA">
        <w:t xml:space="preserve">sensible to build on the empirical approaches </w:t>
      </w:r>
      <w:proofErr w:type="gramStart"/>
      <w:r w:rsidRPr="003001BA">
        <w:t>used</w:t>
      </w:r>
      <w:r w:rsidR="00A033C6">
        <w:t xml:space="preserve"> </w:t>
      </w:r>
      <w:r w:rsidR="00301464">
        <w:t>,</w:t>
      </w:r>
      <w:proofErr w:type="gramEnd"/>
      <w:r w:rsidR="00301464">
        <w:t xml:space="preserve"> while </w:t>
      </w:r>
      <w:r w:rsidR="00D10749" w:rsidRPr="003001BA">
        <w:t>develop</w:t>
      </w:r>
      <w:r w:rsidR="00301464">
        <w:t>ing</w:t>
      </w:r>
      <w:r w:rsidR="00D10749" w:rsidRPr="003001BA">
        <w:t xml:space="preserve"> a</w:t>
      </w:r>
      <w:r w:rsidR="00275064" w:rsidRPr="003001BA">
        <w:t xml:space="preserve">n approach which </w:t>
      </w:r>
      <w:r w:rsidR="00301464">
        <w:t>could</w:t>
      </w:r>
      <w:r w:rsidR="00301464" w:rsidRPr="003001BA">
        <w:t xml:space="preserve"> </w:t>
      </w:r>
      <w:r w:rsidR="00275064" w:rsidRPr="003001BA">
        <w:t xml:space="preserve">be </w:t>
      </w:r>
      <w:r w:rsidR="00301464">
        <w:t>extended</w:t>
      </w:r>
      <w:r w:rsidR="00275064" w:rsidRPr="003001BA">
        <w:t xml:space="preserve"> to cover wider economic impacts at the local level (i.e. not restricted to the creative industries)</w:t>
      </w:r>
      <w:r w:rsidR="00D10749" w:rsidRPr="003001BA">
        <w:t>.</w:t>
      </w:r>
    </w:p>
    <w:p w14:paraId="32CA73F6" w14:textId="19347E74" w:rsidR="0079210C" w:rsidRDefault="00D10749" w:rsidP="006751CE">
      <w:pPr>
        <w:pStyle w:val="Bullet"/>
      </w:pPr>
      <w:r w:rsidRPr="00514EFA">
        <w:t xml:space="preserve">Availability of </w:t>
      </w:r>
      <w:r w:rsidR="000A0E5D">
        <w:t xml:space="preserve">suitable static and time-series </w:t>
      </w:r>
      <w:r w:rsidRPr="00514EFA">
        <w:t xml:space="preserve">data </w:t>
      </w:r>
      <w:r w:rsidR="00237117">
        <w:t>has</w:t>
      </w:r>
      <w:r w:rsidR="00275064">
        <w:t xml:space="preserve"> a </w:t>
      </w:r>
      <w:r w:rsidR="00237117">
        <w:t>major</w:t>
      </w:r>
      <w:r w:rsidR="00237117" w:rsidRPr="00514EFA">
        <w:t xml:space="preserve"> </w:t>
      </w:r>
      <w:r w:rsidRPr="00514EFA">
        <w:t>influence on decision</w:t>
      </w:r>
      <w:r w:rsidR="00237117">
        <w:t>s relating to the</w:t>
      </w:r>
      <w:r w:rsidRPr="00514EFA">
        <w:t xml:space="preserve"> empirical analysis.</w:t>
      </w:r>
      <w:r w:rsidR="00A033C6">
        <w:t xml:space="preserve"> </w:t>
      </w:r>
      <w:r w:rsidRPr="00514EFA">
        <w:t xml:space="preserve">The data collection exercise is discussed in more detail in </w:t>
      </w:r>
      <w:r w:rsidR="00A26505">
        <w:t xml:space="preserve">section </w:t>
      </w:r>
      <w:r w:rsidR="00A26505">
        <w:fldChar w:fldCharType="begin"/>
      </w:r>
      <w:r w:rsidR="00A26505">
        <w:instrText xml:space="preserve"> REF _Ref460316353 \r \h </w:instrText>
      </w:r>
      <w:r w:rsidR="00DC1396">
        <w:instrText xml:space="preserve"> \* MERGEFORMAT </w:instrText>
      </w:r>
      <w:r w:rsidR="00A26505">
        <w:fldChar w:fldCharType="separate"/>
      </w:r>
      <w:r w:rsidR="00F0636B">
        <w:t>8:</w:t>
      </w:r>
      <w:r w:rsidR="00A26505">
        <w:fldChar w:fldCharType="end"/>
      </w:r>
      <w:r w:rsidR="00A26505">
        <w:t xml:space="preserve"> (p.</w:t>
      </w:r>
      <w:r w:rsidR="00A26505">
        <w:fldChar w:fldCharType="begin"/>
      </w:r>
      <w:r w:rsidR="00A26505">
        <w:instrText xml:space="preserve"> PAGEREF _Ref460316349 \h </w:instrText>
      </w:r>
      <w:r w:rsidR="00A26505">
        <w:fldChar w:fldCharType="separate"/>
      </w:r>
      <w:r w:rsidR="00F0636B">
        <w:rPr>
          <w:noProof/>
        </w:rPr>
        <w:t>85</w:t>
      </w:r>
      <w:r w:rsidR="00A26505">
        <w:fldChar w:fldCharType="end"/>
      </w:r>
      <w:r w:rsidR="00A26505">
        <w:t>)</w:t>
      </w:r>
      <w:r w:rsidRPr="00514EFA">
        <w:t xml:space="preserve"> </w:t>
      </w:r>
      <w:proofErr w:type="gramStart"/>
      <w:r w:rsidRPr="00514EFA">
        <w:t>and</w:t>
      </w:r>
      <w:proofErr w:type="gramEnd"/>
      <w:r w:rsidRPr="00514EFA">
        <w:t xml:space="preserve">, in terms of its </w:t>
      </w:r>
      <w:r w:rsidR="005969AD" w:rsidRPr="00514EFA">
        <w:t>implications</w:t>
      </w:r>
      <w:r w:rsidRPr="00514EFA">
        <w:t xml:space="preserve"> on the analysis, in the section below.</w:t>
      </w:r>
    </w:p>
    <w:p w14:paraId="21D91521" w14:textId="4B630F19" w:rsidR="000A0E5D" w:rsidRDefault="005B5EB0" w:rsidP="00520273">
      <w:pPr>
        <w:pStyle w:val="Heading3Numbered"/>
      </w:pPr>
      <w:bookmarkStart w:id="29" w:name="_Ref460316068"/>
      <w:bookmarkStart w:id="30" w:name="_Ref460316071"/>
      <w:bookmarkStart w:id="31" w:name="_Toc464222896"/>
      <w:r>
        <w:t xml:space="preserve">Study implications arising </w:t>
      </w:r>
      <w:r w:rsidR="000A0E5D">
        <w:t>from the data review</w:t>
      </w:r>
      <w:bookmarkEnd w:id="29"/>
      <w:bookmarkEnd w:id="30"/>
      <w:bookmarkEnd w:id="31"/>
    </w:p>
    <w:p w14:paraId="40DDA3B1" w14:textId="3247192A" w:rsidR="000A0E5D" w:rsidRDefault="000A0E5D" w:rsidP="00C138AC">
      <w:pPr>
        <w:rPr>
          <w:rFonts w:cs="Arial"/>
        </w:rPr>
      </w:pPr>
      <w:r>
        <w:rPr>
          <w:rFonts w:cs="Arial"/>
        </w:rPr>
        <w:t xml:space="preserve">A key factor in deciding the precise focus of this study </w:t>
      </w:r>
      <w:r w:rsidR="00237117">
        <w:rPr>
          <w:rFonts w:cs="Arial"/>
        </w:rPr>
        <w:t>wa</w:t>
      </w:r>
      <w:r>
        <w:rPr>
          <w:rFonts w:cs="Arial"/>
        </w:rPr>
        <w:t>s the avail</w:t>
      </w:r>
      <w:r w:rsidR="00237117">
        <w:rPr>
          <w:rFonts w:cs="Arial"/>
        </w:rPr>
        <w:t>a</w:t>
      </w:r>
      <w:r>
        <w:rPr>
          <w:rFonts w:cs="Arial"/>
        </w:rPr>
        <w:t>bility of suitable data to represent independent variables (CS&amp;H assets and investment) and dependent variables (desired outcomes related to place-shaping).</w:t>
      </w:r>
    </w:p>
    <w:p w14:paraId="284FECC6" w14:textId="01C94983" w:rsidR="000A0E5D" w:rsidRDefault="000A0E5D" w:rsidP="00C138AC">
      <w:pPr>
        <w:rPr>
          <w:rFonts w:cs="Arial"/>
        </w:rPr>
      </w:pPr>
      <w:r>
        <w:rPr>
          <w:rFonts w:cs="Arial"/>
        </w:rPr>
        <w:t>The data review</w:t>
      </w:r>
      <w:r w:rsidR="00664303">
        <w:rPr>
          <w:rFonts w:cs="Arial"/>
        </w:rPr>
        <w:t xml:space="preserve"> (</w:t>
      </w:r>
      <w:r>
        <w:rPr>
          <w:rFonts w:cs="Arial"/>
        </w:rPr>
        <w:t xml:space="preserve">presented in full in </w:t>
      </w:r>
      <w:r w:rsidR="00A26505">
        <w:rPr>
          <w:rFonts w:cs="Arial"/>
        </w:rPr>
        <w:t xml:space="preserve">section </w:t>
      </w:r>
      <w:r w:rsidR="00A26505">
        <w:rPr>
          <w:rFonts w:cs="Arial"/>
        </w:rPr>
        <w:fldChar w:fldCharType="begin"/>
      </w:r>
      <w:r w:rsidR="00A26505">
        <w:rPr>
          <w:rFonts w:cs="Arial"/>
        </w:rPr>
        <w:instrText xml:space="preserve"> REF _Ref460316353 \r \h </w:instrText>
      </w:r>
      <w:r w:rsidR="00A26505">
        <w:rPr>
          <w:rFonts w:cs="Arial"/>
        </w:rPr>
      </w:r>
      <w:r w:rsidR="00A26505">
        <w:rPr>
          <w:rFonts w:cs="Arial"/>
        </w:rPr>
        <w:fldChar w:fldCharType="separate"/>
      </w:r>
      <w:r w:rsidR="00F0636B">
        <w:rPr>
          <w:rFonts w:cs="Arial"/>
        </w:rPr>
        <w:t>8:</w:t>
      </w:r>
      <w:r w:rsidR="00A26505">
        <w:rPr>
          <w:rFonts w:cs="Arial"/>
        </w:rPr>
        <w:fldChar w:fldCharType="end"/>
      </w:r>
      <w:r w:rsidR="00664303">
        <w:rPr>
          <w:rFonts w:cs="Arial"/>
        </w:rPr>
        <w:t xml:space="preserve"> </w:t>
      </w:r>
      <w:r w:rsidR="00A26505">
        <w:rPr>
          <w:rFonts w:cs="Arial"/>
        </w:rPr>
        <w:t>p.</w:t>
      </w:r>
      <w:r w:rsidR="00A26505">
        <w:rPr>
          <w:rFonts w:cs="Arial"/>
        </w:rPr>
        <w:fldChar w:fldCharType="begin"/>
      </w:r>
      <w:r w:rsidR="00A26505">
        <w:rPr>
          <w:rFonts w:cs="Arial"/>
        </w:rPr>
        <w:instrText xml:space="preserve"> PAGEREF _Ref460316349 \h </w:instrText>
      </w:r>
      <w:r w:rsidR="00A26505">
        <w:rPr>
          <w:rFonts w:cs="Arial"/>
        </w:rPr>
      </w:r>
      <w:r w:rsidR="00A26505">
        <w:rPr>
          <w:rFonts w:cs="Arial"/>
        </w:rPr>
        <w:fldChar w:fldCharType="separate"/>
      </w:r>
      <w:r w:rsidR="00F0636B">
        <w:rPr>
          <w:rFonts w:cs="Arial"/>
          <w:noProof/>
        </w:rPr>
        <w:t>85</w:t>
      </w:r>
      <w:r w:rsidR="00A26505">
        <w:rPr>
          <w:rFonts w:cs="Arial"/>
        </w:rPr>
        <w:fldChar w:fldCharType="end"/>
      </w:r>
      <w:r>
        <w:rPr>
          <w:rFonts w:cs="Arial"/>
        </w:rPr>
        <w:t xml:space="preserve"> </w:t>
      </w:r>
      <w:r w:rsidR="002607C1">
        <w:rPr>
          <w:rFonts w:cs="Arial"/>
        </w:rPr>
        <w:t>found that</w:t>
      </w:r>
      <w:r>
        <w:rPr>
          <w:rFonts w:cs="Arial"/>
        </w:rPr>
        <w:t>:</w:t>
      </w:r>
    </w:p>
    <w:p w14:paraId="757750C8" w14:textId="78E6D198" w:rsidR="002607C1" w:rsidRDefault="000A0E5D" w:rsidP="006751CE">
      <w:pPr>
        <w:pStyle w:val="Bullet"/>
      </w:pPr>
      <w:r w:rsidRPr="00514EFA">
        <w:t xml:space="preserve">Identifying the CS&amp;H assets in a place is relatively straightforward, though a comprehensive picture </w:t>
      </w:r>
      <w:r w:rsidR="002607C1">
        <w:t>needs</w:t>
      </w:r>
      <w:r w:rsidRPr="00514EFA">
        <w:t xml:space="preserve"> to be collated from a number of different data sources. Identifying changes in the number, type and quality of assets</w:t>
      </w:r>
      <w:r w:rsidR="002607C1">
        <w:t xml:space="preserve"> over time</w:t>
      </w:r>
      <w:r w:rsidRPr="00514EFA">
        <w:t xml:space="preserve"> is more difficult. </w:t>
      </w:r>
    </w:p>
    <w:p w14:paraId="24A725B6" w14:textId="60087E85" w:rsidR="000A0E5D" w:rsidRPr="00514EFA" w:rsidRDefault="000A0E5D" w:rsidP="006751CE">
      <w:pPr>
        <w:pStyle w:val="Bullet"/>
      </w:pPr>
      <w:r w:rsidRPr="00514EFA">
        <w:t xml:space="preserve">Similarly, developing a comprehensive picture of investment in CS&amp;H assets is also </w:t>
      </w:r>
      <w:r w:rsidR="002607C1" w:rsidRPr="00514EFA">
        <w:t>difficult</w:t>
      </w:r>
      <w:r w:rsidRPr="00514EFA">
        <w:t>,</w:t>
      </w:r>
      <w:r w:rsidR="002607C1">
        <w:t xml:space="preserve"> and</w:t>
      </w:r>
      <w:r w:rsidRPr="00514EFA">
        <w:t xml:space="preserve"> data availability </w:t>
      </w:r>
      <w:r w:rsidR="002607C1">
        <w:t>should</w:t>
      </w:r>
      <w:r w:rsidR="002607C1" w:rsidRPr="00514EFA">
        <w:t xml:space="preserve"> </w:t>
      </w:r>
      <w:r w:rsidRPr="00514EFA">
        <w:t>determine the specification for analysis.</w:t>
      </w:r>
    </w:p>
    <w:p w14:paraId="3B5E84D2" w14:textId="05223AC1" w:rsidR="000A0E5D" w:rsidRPr="00514EFA" w:rsidRDefault="000A0E5D" w:rsidP="006751CE">
      <w:pPr>
        <w:pStyle w:val="Bullet"/>
      </w:pPr>
      <w:r w:rsidRPr="00514EFA">
        <w:t>A range of indicators is available to examine the impacts of CS&amp;H assets and investment. The available data will also allow impacts to be tested at a range of spatial levels</w:t>
      </w:r>
      <w:r w:rsidR="002607C1">
        <w:t>, though generally not robustly below local authority level</w:t>
      </w:r>
      <w:r w:rsidRPr="00514EFA">
        <w:t xml:space="preserve">. The specific indicators to be used as dependent and control variables </w:t>
      </w:r>
      <w:r w:rsidR="002607C1">
        <w:t>should</w:t>
      </w:r>
      <w:r w:rsidR="002607C1" w:rsidRPr="00514EFA">
        <w:t xml:space="preserve"> </w:t>
      </w:r>
      <w:r w:rsidRPr="00514EFA">
        <w:t>be defined in line with the specification for analysis.</w:t>
      </w:r>
    </w:p>
    <w:p w14:paraId="3FE9B78A" w14:textId="3ADA35AC" w:rsidR="000A0E5D" w:rsidRPr="003E7996" w:rsidRDefault="002607C1" w:rsidP="003E7996">
      <w:pPr>
        <w:rPr>
          <w:rFonts w:eastAsiaTheme="minorHAnsi" w:cs="Arial"/>
        </w:rPr>
      </w:pPr>
      <w:r>
        <w:rPr>
          <w:rFonts w:eastAsiaTheme="minorHAnsi" w:cs="Arial"/>
        </w:rPr>
        <w:t>It was recognised that t</w:t>
      </w:r>
      <w:r w:rsidR="000A0E5D" w:rsidRPr="003E7996">
        <w:rPr>
          <w:rFonts w:eastAsiaTheme="minorHAnsi" w:cs="Arial"/>
        </w:rPr>
        <w:t>he process of reviewing data sources and developing a specification for the analysis is an iterative one</w:t>
      </w:r>
      <w:r>
        <w:rPr>
          <w:rFonts w:eastAsiaTheme="minorHAnsi" w:cs="Arial"/>
        </w:rPr>
        <w:t>,</w:t>
      </w:r>
      <w:r w:rsidR="000A0E5D" w:rsidRPr="003E7996">
        <w:rPr>
          <w:rFonts w:eastAsiaTheme="minorHAnsi" w:cs="Arial"/>
        </w:rPr>
        <w:t xml:space="preserve"> </w:t>
      </w:r>
      <w:r>
        <w:rPr>
          <w:rFonts w:eastAsiaTheme="minorHAnsi" w:cs="Arial"/>
        </w:rPr>
        <w:t xml:space="preserve">with </w:t>
      </w:r>
      <w:r w:rsidR="000A0E5D" w:rsidRPr="003E7996">
        <w:rPr>
          <w:rFonts w:eastAsiaTheme="minorHAnsi" w:cs="Arial"/>
        </w:rPr>
        <w:t xml:space="preserve">each </w:t>
      </w:r>
      <w:r w:rsidRPr="003E7996">
        <w:rPr>
          <w:rFonts w:eastAsiaTheme="minorHAnsi" w:cs="Arial"/>
        </w:rPr>
        <w:t>inform</w:t>
      </w:r>
      <w:r>
        <w:rPr>
          <w:rFonts w:eastAsiaTheme="minorHAnsi" w:cs="Arial"/>
        </w:rPr>
        <w:t>ing</w:t>
      </w:r>
      <w:r w:rsidRPr="003E7996">
        <w:rPr>
          <w:rFonts w:eastAsiaTheme="minorHAnsi" w:cs="Arial"/>
        </w:rPr>
        <w:t xml:space="preserve"> </w:t>
      </w:r>
      <w:r w:rsidR="000A0E5D" w:rsidRPr="003E7996">
        <w:rPr>
          <w:rFonts w:eastAsiaTheme="minorHAnsi" w:cs="Arial"/>
        </w:rPr>
        <w:t xml:space="preserve">the other. A data specification </w:t>
      </w:r>
      <w:r w:rsidRPr="003E7996">
        <w:rPr>
          <w:rFonts w:eastAsiaTheme="minorHAnsi" w:cs="Arial"/>
        </w:rPr>
        <w:t>describ</w:t>
      </w:r>
      <w:r>
        <w:rPr>
          <w:rFonts w:eastAsiaTheme="minorHAnsi" w:cs="Arial"/>
        </w:rPr>
        <w:t>ing</w:t>
      </w:r>
      <w:r w:rsidRPr="003E7996">
        <w:rPr>
          <w:rFonts w:eastAsiaTheme="minorHAnsi" w:cs="Arial"/>
        </w:rPr>
        <w:t xml:space="preserve"> </w:t>
      </w:r>
      <w:r w:rsidR="000A0E5D" w:rsidRPr="003E7996">
        <w:rPr>
          <w:rFonts w:eastAsiaTheme="minorHAnsi" w:cs="Arial"/>
        </w:rPr>
        <w:t xml:space="preserve">the indicators to be used in the analysis and the sources from which they are drawn </w:t>
      </w:r>
      <w:r>
        <w:rPr>
          <w:rFonts w:eastAsiaTheme="minorHAnsi" w:cs="Arial"/>
        </w:rPr>
        <w:t>was</w:t>
      </w:r>
      <w:r w:rsidR="000A0E5D" w:rsidRPr="003E7996">
        <w:rPr>
          <w:rFonts w:eastAsiaTheme="minorHAnsi" w:cs="Arial"/>
        </w:rPr>
        <w:t xml:space="preserve"> developed as </w:t>
      </w:r>
      <w:r>
        <w:rPr>
          <w:rFonts w:eastAsiaTheme="minorHAnsi" w:cs="Arial"/>
        </w:rPr>
        <w:t>the study progressed</w:t>
      </w:r>
      <w:r w:rsidR="000A0E5D" w:rsidRPr="003E7996">
        <w:rPr>
          <w:rFonts w:eastAsiaTheme="minorHAnsi" w:cs="Arial"/>
        </w:rPr>
        <w:t>.</w:t>
      </w:r>
      <w:r>
        <w:rPr>
          <w:rFonts w:eastAsiaTheme="minorHAnsi" w:cs="Arial"/>
        </w:rPr>
        <w:t xml:space="preserve"> Details of the dataset used in the analysis can be found in section </w:t>
      </w:r>
      <w:r>
        <w:rPr>
          <w:rFonts w:eastAsiaTheme="minorHAnsi" w:cs="Arial"/>
        </w:rPr>
        <w:fldChar w:fldCharType="begin"/>
      </w:r>
      <w:r>
        <w:rPr>
          <w:rFonts w:eastAsiaTheme="minorHAnsi" w:cs="Arial"/>
        </w:rPr>
        <w:instrText xml:space="preserve"> REF _Ref460261622 \r \h </w:instrText>
      </w:r>
      <w:r>
        <w:rPr>
          <w:rFonts w:eastAsiaTheme="minorHAnsi" w:cs="Arial"/>
        </w:rPr>
      </w:r>
      <w:r>
        <w:rPr>
          <w:rFonts w:eastAsiaTheme="minorHAnsi" w:cs="Arial"/>
        </w:rPr>
        <w:fldChar w:fldCharType="separate"/>
      </w:r>
      <w:r w:rsidR="00F0636B">
        <w:rPr>
          <w:rFonts w:eastAsiaTheme="minorHAnsi" w:cs="Arial"/>
        </w:rPr>
        <w:t>11:</w:t>
      </w:r>
      <w:r>
        <w:rPr>
          <w:rFonts w:eastAsiaTheme="minorHAnsi" w:cs="Arial"/>
        </w:rPr>
        <w:fldChar w:fldCharType="end"/>
      </w:r>
      <w:r>
        <w:rPr>
          <w:rFonts w:eastAsiaTheme="minorHAnsi" w:cs="Arial"/>
        </w:rPr>
        <w:t xml:space="preserve"> (p.</w:t>
      </w:r>
      <w:r>
        <w:rPr>
          <w:rFonts w:eastAsiaTheme="minorHAnsi" w:cs="Arial"/>
        </w:rPr>
        <w:fldChar w:fldCharType="begin"/>
      </w:r>
      <w:r>
        <w:rPr>
          <w:rFonts w:eastAsiaTheme="minorHAnsi" w:cs="Arial"/>
        </w:rPr>
        <w:instrText xml:space="preserve"> PAGEREF _Ref460261622 \h </w:instrText>
      </w:r>
      <w:r>
        <w:rPr>
          <w:rFonts w:eastAsiaTheme="minorHAnsi" w:cs="Arial"/>
        </w:rPr>
      </w:r>
      <w:r>
        <w:rPr>
          <w:rFonts w:eastAsiaTheme="minorHAnsi" w:cs="Arial"/>
        </w:rPr>
        <w:fldChar w:fldCharType="separate"/>
      </w:r>
      <w:r w:rsidR="00F0636B">
        <w:rPr>
          <w:rFonts w:eastAsiaTheme="minorHAnsi" w:cs="Arial"/>
          <w:noProof/>
        </w:rPr>
        <w:t>102</w:t>
      </w:r>
      <w:r>
        <w:rPr>
          <w:rFonts w:eastAsiaTheme="minorHAnsi" w:cs="Arial"/>
        </w:rPr>
        <w:fldChar w:fldCharType="end"/>
      </w:r>
      <w:r>
        <w:rPr>
          <w:rFonts w:eastAsiaTheme="minorHAnsi" w:cs="Arial"/>
        </w:rPr>
        <w:t>).</w:t>
      </w:r>
    </w:p>
    <w:p w14:paraId="552321BC" w14:textId="709B8E46" w:rsidR="00275064" w:rsidRDefault="00275064" w:rsidP="003E7996">
      <w:pPr>
        <w:pStyle w:val="Heading3Numbered"/>
        <w:rPr>
          <w:rFonts w:eastAsiaTheme="minorHAnsi"/>
        </w:rPr>
      </w:pPr>
      <w:bookmarkStart w:id="32" w:name="_Toc464222897"/>
      <w:r>
        <w:rPr>
          <w:rFonts w:eastAsiaTheme="minorHAnsi"/>
        </w:rPr>
        <w:t xml:space="preserve">Conceptual framework </w:t>
      </w:r>
      <w:r w:rsidR="00E52581">
        <w:rPr>
          <w:rFonts w:eastAsiaTheme="minorHAnsi"/>
        </w:rPr>
        <w:t>summary</w:t>
      </w:r>
      <w:bookmarkEnd w:id="32"/>
    </w:p>
    <w:p w14:paraId="3FD2138C" w14:textId="3580BBCF" w:rsidR="00275064" w:rsidRDefault="00275064" w:rsidP="00775105">
      <w:pPr>
        <w:rPr>
          <w:rFonts w:eastAsiaTheme="minorHAnsi" w:cs="Arial"/>
        </w:rPr>
      </w:pPr>
      <w:r>
        <w:rPr>
          <w:rFonts w:eastAsiaTheme="minorHAnsi" w:cs="Arial"/>
        </w:rPr>
        <w:t>The study began with the objective of generating evidence in relation to the following over-arching research question:</w:t>
      </w:r>
    </w:p>
    <w:p w14:paraId="179E787B" w14:textId="35B34E68" w:rsidR="00275064" w:rsidRDefault="00275064" w:rsidP="00775105">
      <w:pPr>
        <w:rPr>
          <w:rFonts w:cs="Arial"/>
          <w:i/>
        </w:rPr>
      </w:pPr>
      <w:r w:rsidRPr="00514EFA">
        <w:rPr>
          <w:rFonts w:cs="Arial"/>
          <w:i/>
        </w:rPr>
        <w:t xml:space="preserve">To what extent does </w:t>
      </w:r>
      <w:r w:rsidR="00D44C4D" w:rsidRPr="00D44C4D">
        <w:rPr>
          <w:rFonts w:cs="Arial"/>
          <w:i/>
        </w:rPr>
        <w:t xml:space="preserve">culture, sport and heritage </w:t>
      </w:r>
      <w:r w:rsidRPr="00514EFA">
        <w:rPr>
          <w:rFonts w:cs="Arial"/>
          <w:i/>
        </w:rPr>
        <w:t>infrastructure and investment within a place (e.g. city-region, rural area) influence the</w:t>
      </w:r>
      <w:r w:rsidR="00DC121E">
        <w:rPr>
          <w:rFonts w:cs="Arial"/>
          <w:i/>
        </w:rPr>
        <w:t>:</w:t>
      </w:r>
    </w:p>
    <w:p w14:paraId="73BC09A5" w14:textId="77777777" w:rsidR="00275064" w:rsidRPr="006751CE" w:rsidRDefault="00275064" w:rsidP="009640D5">
      <w:pPr>
        <w:pStyle w:val="Bullet"/>
        <w:rPr>
          <w:i/>
        </w:rPr>
      </w:pPr>
      <w:r w:rsidRPr="006751CE">
        <w:rPr>
          <w:b/>
          <w:bCs/>
          <w:i/>
        </w:rPr>
        <w:t>Economy</w:t>
      </w:r>
      <w:r w:rsidRPr="006751CE">
        <w:rPr>
          <w:i/>
        </w:rPr>
        <w:t>: Personal income, output (GVA), productivity, property prices, tourism, inward investment, business relocation, employment and skills etc.</w:t>
      </w:r>
    </w:p>
    <w:p w14:paraId="0FCAF615" w14:textId="77777777" w:rsidR="00275064" w:rsidRPr="006751CE" w:rsidRDefault="00275064" w:rsidP="009640D5">
      <w:pPr>
        <w:pStyle w:val="Bullet"/>
        <w:rPr>
          <w:b/>
          <w:bCs/>
          <w:i/>
        </w:rPr>
      </w:pPr>
      <w:r w:rsidRPr="006751CE">
        <w:rPr>
          <w:b/>
          <w:bCs/>
          <w:i/>
        </w:rPr>
        <w:t xml:space="preserve">Society: </w:t>
      </w:r>
      <w:r w:rsidRPr="006751CE">
        <w:rPr>
          <w:i/>
        </w:rPr>
        <w:t>demographic characteristics (including ethnicity), education and learning, health, deprivation, social capital, crime and neighbourhood, wellbeing, identity etc.</w:t>
      </w:r>
    </w:p>
    <w:p w14:paraId="17E628E8" w14:textId="3AD3BE34" w:rsidR="00275064" w:rsidRDefault="00275064" w:rsidP="00775105">
      <w:pPr>
        <w:rPr>
          <w:rFonts w:eastAsiaTheme="minorHAnsi" w:cs="Arial"/>
        </w:rPr>
      </w:pPr>
      <w:r>
        <w:rPr>
          <w:rFonts w:eastAsiaTheme="minorHAnsi" w:cs="Arial"/>
        </w:rPr>
        <w:t xml:space="preserve">A number of factors influenced the final design of </w:t>
      </w:r>
      <w:r w:rsidR="00DC121E">
        <w:rPr>
          <w:rFonts w:eastAsiaTheme="minorHAnsi" w:cs="Arial"/>
        </w:rPr>
        <w:t xml:space="preserve">the </w:t>
      </w:r>
      <w:r>
        <w:rPr>
          <w:rFonts w:eastAsiaTheme="minorHAnsi" w:cs="Arial"/>
        </w:rPr>
        <w:t>study with respect to this objective.</w:t>
      </w:r>
      <w:r w:rsidR="00A033C6">
        <w:rPr>
          <w:rFonts w:eastAsiaTheme="minorHAnsi" w:cs="Arial"/>
        </w:rPr>
        <w:t xml:space="preserve"> </w:t>
      </w:r>
      <w:r>
        <w:rPr>
          <w:rFonts w:eastAsiaTheme="minorHAnsi" w:cs="Arial"/>
        </w:rPr>
        <w:t>These include:</w:t>
      </w:r>
    </w:p>
    <w:p w14:paraId="784F2FE9" w14:textId="00E3B852" w:rsidR="00275064" w:rsidRDefault="00275064" w:rsidP="006751CE">
      <w:pPr>
        <w:pStyle w:val="Bullet"/>
        <w:rPr>
          <w:rFonts w:eastAsiaTheme="minorHAnsi"/>
        </w:rPr>
      </w:pPr>
      <w:r>
        <w:rPr>
          <w:rFonts w:eastAsiaTheme="minorHAnsi"/>
        </w:rPr>
        <w:t>Existing theoretical literature,</w:t>
      </w:r>
    </w:p>
    <w:p w14:paraId="2F118820" w14:textId="7934CA83" w:rsidR="00275064" w:rsidRDefault="00275064" w:rsidP="006751CE">
      <w:pPr>
        <w:pStyle w:val="Bullet"/>
        <w:rPr>
          <w:rFonts w:eastAsiaTheme="minorHAnsi"/>
        </w:rPr>
      </w:pPr>
      <w:r>
        <w:rPr>
          <w:rFonts w:eastAsiaTheme="minorHAnsi"/>
        </w:rPr>
        <w:t>Consideration of the concept of an impact ecosystem, and the complexity of this concept,</w:t>
      </w:r>
    </w:p>
    <w:p w14:paraId="114A457D" w14:textId="6834A33C" w:rsidR="00275064" w:rsidRDefault="00275064" w:rsidP="006751CE">
      <w:pPr>
        <w:pStyle w:val="Bullet"/>
        <w:rPr>
          <w:rFonts w:eastAsiaTheme="minorHAnsi"/>
        </w:rPr>
      </w:pPr>
      <w:r>
        <w:rPr>
          <w:rFonts w:eastAsiaTheme="minorHAnsi"/>
        </w:rPr>
        <w:t xml:space="preserve">Existing empirical literature and </w:t>
      </w:r>
      <w:proofErr w:type="gramStart"/>
      <w:r>
        <w:rPr>
          <w:rFonts w:eastAsiaTheme="minorHAnsi"/>
        </w:rPr>
        <w:t>models which</w:t>
      </w:r>
      <w:proofErr w:type="gramEnd"/>
      <w:r>
        <w:rPr>
          <w:rFonts w:eastAsiaTheme="minorHAnsi"/>
        </w:rPr>
        <w:t xml:space="preserve"> </w:t>
      </w:r>
      <w:r w:rsidR="0024041C">
        <w:rPr>
          <w:rFonts w:eastAsiaTheme="minorHAnsi"/>
        </w:rPr>
        <w:t xml:space="preserve">might </w:t>
      </w:r>
      <w:r>
        <w:rPr>
          <w:rFonts w:eastAsiaTheme="minorHAnsi"/>
        </w:rPr>
        <w:t>be used or adapted for use in this study</w:t>
      </w:r>
      <w:r w:rsidR="00E90746">
        <w:rPr>
          <w:rFonts w:eastAsiaTheme="minorHAnsi"/>
        </w:rPr>
        <w:t>.</w:t>
      </w:r>
      <w:r w:rsidR="00A033C6">
        <w:rPr>
          <w:rFonts w:eastAsiaTheme="minorHAnsi"/>
        </w:rPr>
        <w:t xml:space="preserve"> </w:t>
      </w:r>
      <w:r w:rsidR="00E90746">
        <w:rPr>
          <w:rFonts w:eastAsiaTheme="minorHAnsi"/>
        </w:rPr>
        <w:t xml:space="preserve">Importantly, </w:t>
      </w:r>
      <w:r w:rsidR="00E90746" w:rsidRPr="000F6B69">
        <w:rPr>
          <w:rFonts w:eastAsiaTheme="minorHAnsi"/>
        </w:rPr>
        <w:t xml:space="preserve">consideration was given to the existence of </w:t>
      </w:r>
      <w:proofErr w:type="gramStart"/>
      <w:r w:rsidR="00E90746" w:rsidRPr="000F6B69">
        <w:rPr>
          <w:rFonts w:eastAsiaTheme="minorHAnsi"/>
        </w:rPr>
        <w:t>evidence which</w:t>
      </w:r>
      <w:proofErr w:type="gramEnd"/>
      <w:r w:rsidR="00E90746" w:rsidRPr="000F6B69">
        <w:rPr>
          <w:rFonts w:eastAsiaTheme="minorHAnsi"/>
        </w:rPr>
        <w:t xml:space="preserve"> directly relates to the over-arching research question</w:t>
      </w:r>
      <w:r w:rsidR="000F6B69" w:rsidRPr="000F6B69">
        <w:rPr>
          <w:rFonts w:eastAsiaTheme="minorHAnsi"/>
        </w:rPr>
        <w:t>,</w:t>
      </w:r>
      <w:r w:rsidR="00E90746" w:rsidRPr="000F6B69">
        <w:rPr>
          <w:rFonts w:eastAsiaTheme="minorHAnsi"/>
        </w:rPr>
        <w:t xml:space="preserve"> with a view to focusing this study on the creation of new evidence</w:t>
      </w:r>
      <w:r w:rsidR="00E90746">
        <w:rPr>
          <w:rFonts w:eastAsiaTheme="minorHAnsi"/>
        </w:rPr>
        <w:t>.</w:t>
      </w:r>
    </w:p>
    <w:p w14:paraId="46409FA3" w14:textId="4667268A" w:rsidR="00275064" w:rsidRDefault="00275064" w:rsidP="006751CE">
      <w:pPr>
        <w:pStyle w:val="Bullet"/>
        <w:rPr>
          <w:rFonts w:eastAsiaTheme="minorHAnsi"/>
        </w:rPr>
      </w:pPr>
      <w:r>
        <w:rPr>
          <w:rFonts w:eastAsiaTheme="minorHAnsi"/>
        </w:rPr>
        <w:t>Availability of data related to both assets and investment (independent variables) and key economic</w:t>
      </w:r>
      <w:r w:rsidR="00DC121E">
        <w:rPr>
          <w:rFonts w:eastAsiaTheme="minorHAnsi"/>
        </w:rPr>
        <w:t xml:space="preserve"> and </w:t>
      </w:r>
      <w:r>
        <w:rPr>
          <w:rFonts w:eastAsiaTheme="minorHAnsi"/>
        </w:rPr>
        <w:t>social outcomes (dependent variables)</w:t>
      </w:r>
      <w:r w:rsidR="0024041C">
        <w:rPr>
          <w:rFonts w:eastAsiaTheme="minorHAnsi"/>
        </w:rPr>
        <w:t>.</w:t>
      </w:r>
    </w:p>
    <w:p w14:paraId="0A4354D7" w14:textId="51B917C6" w:rsidR="00275064" w:rsidRDefault="00275064" w:rsidP="00775105">
      <w:pPr>
        <w:rPr>
          <w:rFonts w:eastAsiaTheme="minorHAnsi" w:cs="Arial"/>
        </w:rPr>
      </w:pPr>
      <w:r>
        <w:rPr>
          <w:rFonts w:eastAsiaTheme="minorHAnsi" w:cs="Arial"/>
        </w:rPr>
        <w:t>Clearly these factors are inter-related.</w:t>
      </w:r>
      <w:r w:rsidR="00A033C6">
        <w:rPr>
          <w:rFonts w:eastAsiaTheme="minorHAnsi" w:cs="Arial"/>
        </w:rPr>
        <w:t xml:space="preserve"> </w:t>
      </w:r>
      <w:r>
        <w:rPr>
          <w:rFonts w:eastAsiaTheme="minorHAnsi" w:cs="Arial"/>
        </w:rPr>
        <w:t>For example, the design of empirical models must carefully consider and be informed by the availability of data.</w:t>
      </w:r>
      <w:r w:rsidR="00A033C6">
        <w:rPr>
          <w:rFonts w:eastAsiaTheme="minorHAnsi" w:cs="Arial"/>
        </w:rPr>
        <w:t xml:space="preserve"> </w:t>
      </w:r>
      <w:r w:rsidR="00E90746">
        <w:rPr>
          <w:rFonts w:eastAsiaTheme="minorHAnsi" w:cs="Arial"/>
        </w:rPr>
        <w:t xml:space="preserve">Having considered all these factors the study team </w:t>
      </w:r>
      <w:r w:rsidR="0024041C">
        <w:rPr>
          <w:rFonts w:eastAsiaTheme="minorHAnsi" w:cs="Arial"/>
        </w:rPr>
        <w:t xml:space="preserve">and steering group </w:t>
      </w:r>
      <w:r w:rsidR="00E90746">
        <w:rPr>
          <w:rFonts w:eastAsiaTheme="minorHAnsi" w:cs="Arial"/>
        </w:rPr>
        <w:t>drew the following conclusions:</w:t>
      </w:r>
    </w:p>
    <w:p w14:paraId="43FFDF2F" w14:textId="41A7357B" w:rsidR="00E90746" w:rsidRDefault="0024041C" w:rsidP="006751CE">
      <w:pPr>
        <w:pStyle w:val="Bullet"/>
        <w:rPr>
          <w:rFonts w:eastAsiaTheme="minorHAnsi"/>
        </w:rPr>
      </w:pPr>
      <w:r>
        <w:rPr>
          <w:rFonts w:eastAsiaTheme="minorHAnsi"/>
        </w:rPr>
        <w:t>T</w:t>
      </w:r>
      <w:r w:rsidR="001D35D6">
        <w:rPr>
          <w:rFonts w:eastAsiaTheme="minorHAnsi"/>
        </w:rPr>
        <w:t xml:space="preserve">his study </w:t>
      </w:r>
      <w:r>
        <w:rPr>
          <w:rFonts w:eastAsiaTheme="minorHAnsi"/>
        </w:rPr>
        <w:t xml:space="preserve">should </w:t>
      </w:r>
      <w:r w:rsidR="001D35D6">
        <w:rPr>
          <w:rFonts w:eastAsiaTheme="minorHAnsi"/>
        </w:rPr>
        <w:t xml:space="preserve">not attempt to </w:t>
      </w:r>
      <w:r w:rsidR="00E90746">
        <w:rPr>
          <w:rFonts w:eastAsiaTheme="minorHAnsi"/>
        </w:rPr>
        <w:t>evidenc</w:t>
      </w:r>
      <w:r w:rsidR="001D35D6">
        <w:rPr>
          <w:rFonts w:eastAsiaTheme="minorHAnsi"/>
        </w:rPr>
        <w:t>e</w:t>
      </w:r>
      <w:r w:rsidR="00E90746">
        <w:rPr>
          <w:rFonts w:eastAsiaTheme="minorHAnsi"/>
        </w:rPr>
        <w:t xml:space="preserve"> the full ecosystem,</w:t>
      </w:r>
      <w:r w:rsidR="001D35D6">
        <w:rPr>
          <w:rFonts w:eastAsiaTheme="minorHAnsi"/>
        </w:rPr>
        <w:t xml:space="preserve"> as was originally intended.</w:t>
      </w:r>
      <w:r w:rsidR="00A033C6">
        <w:rPr>
          <w:rFonts w:eastAsiaTheme="minorHAnsi"/>
        </w:rPr>
        <w:t xml:space="preserve"> </w:t>
      </w:r>
      <w:r w:rsidR="001D35D6">
        <w:rPr>
          <w:rFonts w:eastAsiaTheme="minorHAnsi"/>
        </w:rPr>
        <w:t xml:space="preserve">This decision was taken </w:t>
      </w:r>
      <w:r w:rsidR="00E90746">
        <w:rPr>
          <w:rFonts w:eastAsiaTheme="minorHAnsi"/>
        </w:rPr>
        <w:t xml:space="preserve">on the basis of </w:t>
      </w:r>
      <w:r w:rsidR="001D35D6">
        <w:rPr>
          <w:rFonts w:eastAsiaTheme="minorHAnsi"/>
        </w:rPr>
        <w:t xml:space="preserve">the implied </w:t>
      </w:r>
      <w:r w:rsidR="00E90746">
        <w:rPr>
          <w:rFonts w:eastAsiaTheme="minorHAnsi"/>
        </w:rPr>
        <w:t xml:space="preserve">complexity </w:t>
      </w:r>
      <w:r w:rsidR="001D35D6">
        <w:rPr>
          <w:rFonts w:eastAsiaTheme="minorHAnsi"/>
        </w:rPr>
        <w:t xml:space="preserve">of the task </w:t>
      </w:r>
      <w:r w:rsidR="00E90746">
        <w:rPr>
          <w:rFonts w:eastAsiaTheme="minorHAnsi"/>
        </w:rPr>
        <w:t xml:space="preserve">and a lack of data suitable to </w:t>
      </w:r>
      <w:r w:rsidR="001D35D6">
        <w:rPr>
          <w:rFonts w:eastAsiaTheme="minorHAnsi"/>
        </w:rPr>
        <w:t>support</w:t>
      </w:r>
      <w:r w:rsidR="00E90746">
        <w:rPr>
          <w:rFonts w:eastAsiaTheme="minorHAnsi"/>
        </w:rPr>
        <w:t xml:space="preserve"> </w:t>
      </w:r>
      <w:r w:rsidR="001D35D6">
        <w:rPr>
          <w:rFonts w:eastAsiaTheme="minorHAnsi"/>
        </w:rPr>
        <w:t>it</w:t>
      </w:r>
      <w:r w:rsidR="00E90746">
        <w:rPr>
          <w:rFonts w:eastAsiaTheme="minorHAnsi"/>
        </w:rPr>
        <w:t>.</w:t>
      </w:r>
      <w:r w:rsidR="00A033C6">
        <w:rPr>
          <w:rFonts w:eastAsiaTheme="minorHAnsi"/>
        </w:rPr>
        <w:t xml:space="preserve"> </w:t>
      </w:r>
      <w:r w:rsidR="00E90746">
        <w:rPr>
          <w:rFonts w:eastAsiaTheme="minorHAnsi"/>
        </w:rPr>
        <w:t xml:space="preserve">Instead, it was agreed that the study </w:t>
      </w:r>
      <w:r>
        <w:rPr>
          <w:rFonts w:eastAsiaTheme="minorHAnsi"/>
        </w:rPr>
        <w:t xml:space="preserve">should </w:t>
      </w:r>
      <w:r w:rsidR="00E90746">
        <w:rPr>
          <w:rFonts w:eastAsiaTheme="minorHAnsi"/>
        </w:rPr>
        <w:t xml:space="preserve">examine the </w:t>
      </w:r>
      <w:r w:rsidR="00DC121E">
        <w:rPr>
          <w:rFonts w:eastAsiaTheme="minorHAnsi"/>
        </w:rPr>
        <w:t>relationship</w:t>
      </w:r>
      <w:r w:rsidR="00E90746">
        <w:rPr>
          <w:rFonts w:eastAsiaTheme="minorHAnsi"/>
        </w:rPr>
        <w:t xml:space="preserve"> between CS&amp;H assets</w:t>
      </w:r>
      <w:r w:rsidR="00DC121E">
        <w:rPr>
          <w:rFonts w:eastAsiaTheme="minorHAnsi"/>
        </w:rPr>
        <w:t xml:space="preserve"> and </w:t>
      </w:r>
      <w:r w:rsidR="00E90746">
        <w:rPr>
          <w:rFonts w:eastAsiaTheme="minorHAnsi"/>
        </w:rPr>
        <w:t>investment and economic</w:t>
      </w:r>
      <w:r w:rsidR="00DC121E">
        <w:rPr>
          <w:rFonts w:eastAsiaTheme="minorHAnsi"/>
        </w:rPr>
        <w:t xml:space="preserve"> and </w:t>
      </w:r>
      <w:r w:rsidR="00E90746">
        <w:rPr>
          <w:rFonts w:eastAsiaTheme="minorHAnsi"/>
        </w:rPr>
        <w:t xml:space="preserve">social </w:t>
      </w:r>
      <w:proofErr w:type="gramStart"/>
      <w:r w:rsidR="00E90746">
        <w:rPr>
          <w:rFonts w:eastAsiaTheme="minorHAnsi"/>
        </w:rPr>
        <w:t>indicators which</w:t>
      </w:r>
      <w:proofErr w:type="gramEnd"/>
      <w:r w:rsidR="00E90746">
        <w:rPr>
          <w:rFonts w:eastAsiaTheme="minorHAnsi"/>
        </w:rPr>
        <w:t xml:space="preserve"> are important to positive place-shaping.</w:t>
      </w:r>
    </w:p>
    <w:p w14:paraId="7CCC4E54" w14:textId="30D75B4B" w:rsidR="00E90746" w:rsidRDefault="00E90746" w:rsidP="006751CE">
      <w:pPr>
        <w:pStyle w:val="Bullet"/>
        <w:rPr>
          <w:rFonts w:eastAsiaTheme="minorHAnsi"/>
        </w:rPr>
      </w:pPr>
      <w:r>
        <w:rPr>
          <w:rFonts w:eastAsiaTheme="minorHAnsi"/>
        </w:rPr>
        <w:t>Evidence regarding some social and wellbeing indicators was already in the public domain and that therefore, this study should focus on economic indicators only.</w:t>
      </w:r>
    </w:p>
    <w:p w14:paraId="50D61B85" w14:textId="7CF98D06" w:rsidR="00E90746" w:rsidRDefault="00E90746" w:rsidP="006751CE">
      <w:pPr>
        <w:pStyle w:val="Bullet"/>
        <w:rPr>
          <w:rFonts w:eastAsiaTheme="minorHAnsi"/>
        </w:rPr>
      </w:pPr>
      <w:r>
        <w:rPr>
          <w:rFonts w:eastAsiaTheme="minorHAnsi"/>
        </w:rPr>
        <w:t xml:space="preserve">Existing empirical models have been employed in studies relate to the creative industries </w:t>
      </w:r>
      <w:r w:rsidR="001D35D6">
        <w:rPr>
          <w:rFonts w:eastAsiaTheme="minorHAnsi"/>
        </w:rPr>
        <w:t xml:space="preserve">and these </w:t>
      </w:r>
      <w:r>
        <w:rPr>
          <w:rFonts w:eastAsiaTheme="minorHAnsi"/>
        </w:rPr>
        <w:t>represent the best existing approach</w:t>
      </w:r>
      <w:r w:rsidR="001D35D6">
        <w:rPr>
          <w:rFonts w:eastAsiaTheme="minorHAnsi"/>
        </w:rPr>
        <w:t>.</w:t>
      </w:r>
      <w:r w:rsidR="00A033C6">
        <w:rPr>
          <w:rFonts w:eastAsiaTheme="minorHAnsi"/>
        </w:rPr>
        <w:t xml:space="preserve"> </w:t>
      </w:r>
      <w:r w:rsidR="001D35D6">
        <w:rPr>
          <w:rFonts w:eastAsiaTheme="minorHAnsi"/>
        </w:rPr>
        <w:t>T</w:t>
      </w:r>
      <w:r>
        <w:rPr>
          <w:rFonts w:eastAsiaTheme="minorHAnsi"/>
        </w:rPr>
        <w:t>hese should therefore be modified in order to address the objectives of the study.</w:t>
      </w:r>
    </w:p>
    <w:p w14:paraId="4BF1FAD7" w14:textId="25525770" w:rsidR="00E90746" w:rsidRDefault="00E90746" w:rsidP="006751CE">
      <w:pPr>
        <w:pStyle w:val="Bullet"/>
        <w:rPr>
          <w:rFonts w:eastAsiaTheme="minorHAnsi"/>
        </w:rPr>
      </w:pPr>
      <w:r>
        <w:rPr>
          <w:rFonts w:eastAsiaTheme="minorHAnsi"/>
        </w:rPr>
        <w:t>The most relevant spatial area to be included in the empirical analysis is local authority since this allows for maximum exploitation</w:t>
      </w:r>
      <w:r w:rsidR="00F811CB">
        <w:rPr>
          <w:rFonts w:eastAsiaTheme="minorHAnsi"/>
        </w:rPr>
        <w:t xml:space="preserve"> of the available</w:t>
      </w:r>
      <w:r w:rsidR="00F811CB" w:rsidRPr="00F811CB">
        <w:rPr>
          <w:rFonts w:eastAsiaTheme="minorHAnsi"/>
        </w:rPr>
        <w:t xml:space="preserve"> </w:t>
      </w:r>
      <w:r w:rsidR="00F811CB">
        <w:rPr>
          <w:rFonts w:eastAsiaTheme="minorHAnsi"/>
        </w:rPr>
        <w:t>data</w:t>
      </w:r>
      <w:r>
        <w:rPr>
          <w:rFonts w:eastAsiaTheme="minorHAnsi"/>
        </w:rPr>
        <w:t>.</w:t>
      </w:r>
      <w:r w:rsidR="00A033C6">
        <w:rPr>
          <w:rFonts w:eastAsiaTheme="minorHAnsi"/>
        </w:rPr>
        <w:t xml:space="preserve"> </w:t>
      </w:r>
      <w:r>
        <w:rPr>
          <w:rFonts w:eastAsiaTheme="minorHAnsi"/>
        </w:rPr>
        <w:t xml:space="preserve">However, it is recognised that this has limitations for the study since some impacts may be felt at a spatial level </w:t>
      </w:r>
      <w:r w:rsidR="00F811CB">
        <w:rPr>
          <w:rFonts w:eastAsiaTheme="minorHAnsi"/>
        </w:rPr>
        <w:t>other</w:t>
      </w:r>
      <w:r>
        <w:rPr>
          <w:rFonts w:eastAsiaTheme="minorHAnsi"/>
        </w:rPr>
        <w:t xml:space="preserve"> than this.</w:t>
      </w:r>
    </w:p>
    <w:p w14:paraId="688E955A" w14:textId="0F14E3C0" w:rsidR="00E90746" w:rsidRDefault="001D35D6" w:rsidP="006751CE">
      <w:pPr>
        <w:pStyle w:val="Bullet"/>
        <w:rPr>
          <w:rFonts w:eastAsiaTheme="minorHAnsi"/>
        </w:rPr>
      </w:pPr>
      <w:r>
        <w:rPr>
          <w:rFonts w:eastAsiaTheme="minorHAnsi"/>
        </w:rPr>
        <w:t>As well as focusing on local economies as a whole, and following on from other existing studies, it was agreed that the empirical analysis would also examine the relationships between CS&amp;H assets</w:t>
      </w:r>
      <w:r w:rsidR="0024041C">
        <w:rPr>
          <w:rFonts w:eastAsiaTheme="minorHAnsi"/>
        </w:rPr>
        <w:t xml:space="preserve"> and </w:t>
      </w:r>
      <w:r>
        <w:rPr>
          <w:rFonts w:eastAsiaTheme="minorHAnsi"/>
        </w:rPr>
        <w:t>investment and economic outcomes in the creative industries.</w:t>
      </w:r>
      <w:r w:rsidR="00A033C6">
        <w:rPr>
          <w:rFonts w:eastAsiaTheme="minorHAnsi"/>
        </w:rPr>
        <w:t xml:space="preserve"> </w:t>
      </w:r>
      <w:r>
        <w:rPr>
          <w:rFonts w:eastAsiaTheme="minorHAnsi"/>
        </w:rPr>
        <w:t>This will extend the interest in and utility of the study.</w:t>
      </w:r>
    </w:p>
    <w:p w14:paraId="27D20C94" w14:textId="2F71F2C6" w:rsidR="001D35D6" w:rsidRPr="001D35D6" w:rsidRDefault="001D35D6" w:rsidP="001D35D6">
      <w:pPr>
        <w:rPr>
          <w:rFonts w:cs="Arial"/>
        </w:rPr>
      </w:pPr>
      <w:r w:rsidRPr="001D35D6">
        <w:rPr>
          <w:rFonts w:cs="Arial"/>
        </w:rPr>
        <w:t xml:space="preserve">The </w:t>
      </w:r>
      <w:r>
        <w:rPr>
          <w:rFonts w:cs="Arial"/>
        </w:rPr>
        <w:t>conclusions</w:t>
      </w:r>
      <w:r w:rsidRPr="001D35D6">
        <w:rPr>
          <w:rFonts w:cs="Arial"/>
        </w:rPr>
        <w:t xml:space="preserve"> outlined above have driven an empirical </w:t>
      </w:r>
      <w:proofErr w:type="gramStart"/>
      <w:r w:rsidRPr="001D35D6">
        <w:rPr>
          <w:rFonts w:cs="Arial"/>
        </w:rPr>
        <w:t>approach which</w:t>
      </w:r>
      <w:proofErr w:type="gramEnd"/>
      <w:r w:rsidRPr="001D35D6">
        <w:rPr>
          <w:rFonts w:cs="Arial"/>
        </w:rPr>
        <w:t xml:space="preserve"> is described, along with the results of the estimation and modelling, in the </w:t>
      </w:r>
      <w:r w:rsidR="0024041C">
        <w:rPr>
          <w:rFonts w:cs="Arial"/>
        </w:rPr>
        <w:t xml:space="preserve">following </w:t>
      </w:r>
      <w:r w:rsidRPr="001D35D6">
        <w:rPr>
          <w:rFonts w:cs="Arial"/>
        </w:rPr>
        <w:t>section.</w:t>
      </w:r>
    </w:p>
    <w:p w14:paraId="561F3653" w14:textId="77777777" w:rsidR="00E90746" w:rsidRPr="00514EFA" w:rsidRDefault="00E90746" w:rsidP="00775105">
      <w:pPr>
        <w:rPr>
          <w:rFonts w:eastAsiaTheme="minorHAnsi" w:cs="Arial"/>
        </w:rPr>
      </w:pPr>
    </w:p>
    <w:p w14:paraId="62D65B93" w14:textId="7ED0AAA2" w:rsidR="008E5D32" w:rsidRPr="00514EFA" w:rsidRDefault="005F2AED" w:rsidP="008E5D32">
      <w:pPr>
        <w:pStyle w:val="Heading1Numbered"/>
        <w:rPr>
          <w:rFonts w:cs="Arial"/>
        </w:rPr>
      </w:pPr>
      <w:bookmarkStart w:id="33" w:name="_Ref460315582"/>
      <w:bookmarkStart w:id="34" w:name="_Toc464222898"/>
      <w:r w:rsidRPr="00514EFA">
        <w:rPr>
          <w:rFonts w:cs="Arial"/>
        </w:rPr>
        <w:t>Empirical approach</w:t>
      </w:r>
      <w:bookmarkEnd w:id="33"/>
      <w:bookmarkEnd w:id="34"/>
      <w:r w:rsidRPr="00514EFA">
        <w:rPr>
          <w:rFonts w:cs="Arial"/>
        </w:rPr>
        <w:t xml:space="preserve"> </w:t>
      </w:r>
    </w:p>
    <w:p w14:paraId="5A6BBADB" w14:textId="62F1283F" w:rsidR="00E760C2" w:rsidRPr="0024041C" w:rsidRDefault="00E760C2" w:rsidP="0024041C">
      <w:pPr>
        <w:jc w:val="both"/>
        <w:rPr>
          <w:rFonts w:cs="Arial"/>
        </w:rPr>
      </w:pPr>
      <w:r w:rsidRPr="0024041C">
        <w:rPr>
          <w:rFonts w:cs="Arial"/>
        </w:rPr>
        <w:t xml:space="preserve">This section sets out the empirical approach taken in </w:t>
      </w:r>
      <w:r w:rsidR="00EA637A" w:rsidRPr="0024041C">
        <w:rPr>
          <w:rFonts w:cs="Arial"/>
        </w:rPr>
        <w:t>th</w:t>
      </w:r>
      <w:r w:rsidR="00EA637A">
        <w:rPr>
          <w:rFonts w:cs="Arial"/>
        </w:rPr>
        <w:t>e</w:t>
      </w:r>
      <w:r w:rsidR="00EA637A" w:rsidRPr="0024041C">
        <w:rPr>
          <w:rFonts w:cs="Arial"/>
        </w:rPr>
        <w:t xml:space="preserve"> </w:t>
      </w:r>
      <w:r w:rsidRPr="0024041C">
        <w:rPr>
          <w:rFonts w:cs="Arial"/>
        </w:rPr>
        <w:t>study.</w:t>
      </w:r>
      <w:r w:rsidR="00A033C6">
        <w:rPr>
          <w:rFonts w:cs="Arial"/>
        </w:rPr>
        <w:t xml:space="preserve"> </w:t>
      </w:r>
      <w:r w:rsidRPr="0024041C">
        <w:rPr>
          <w:rFonts w:cs="Arial"/>
        </w:rPr>
        <w:t>Our approach is highly exploratory, and we test a variety of relationships and models to clarify the effects of CS&amp;H assets and investment in terms of a number of potential economic impacts.</w:t>
      </w:r>
    </w:p>
    <w:p w14:paraId="71EC402B" w14:textId="77777777" w:rsidR="00E760C2" w:rsidRPr="00982C4F" w:rsidRDefault="00E760C2" w:rsidP="00E760C2">
      <w:pPr>
        <w:pStyle w:val="Heading2Numbered"/>
      </w:pPr>
      <w:bookmarkStart w:id="35" w:name="_Toc464222899"/>
      <w:r w:rsidRPr="00982C4F">
        <w:t>Empirical strategy</w:t>
      </w:r>
      <w:bookmarkEnd w:id="35"/>
    </w:p>
    <w:p w14:paraId="7CDE95F6" w14:textId="577D8E90" w:rsidR="00E760C2" w:rsidRPr="009548FC" w:rsidRDefault="00E760C2" w:rsidP="00E760C2">
      <w:pPr>
        <w:jc w:val="both"/>
        <w:rPr>
          <w:rFonts w:cs="Arial"/>
        </w:rPr>
      </w:pPr>
      <w:r w:rsidRPr="009548FC">
        <w:rPr>
          <w:rFonts w:cs="Arial"/>
        </w:rPr>
        <w:t>Our empirical approach is informed by a review of the available literature, and the analytical methods used in existing studies. Although research on the location and productivity of firms and plants has been a major topic in economics since Marshall’s influential work in 1890, the research literature varies substantially in terms of modelling specifications, sampling characteristics and determinants. There is no consensus on key location factors or the best way to estimate their importance (Arzauzo-Carod et al, 2010</w:t>
      </w:r>
      <w:r w:rsidR="00E52581">
        <w:rPr>
          <w:rStyle w:val="FootnoteReference"/>
          <w:rFonts w:cs="Arial"/>
        </w:rPr>
        <w:footnoteReference w:id="20"/>
      </w:r>
      <w:r w:rsidRPr="009548FC">
        <w:rPr>
          <w:rFonts w:cs="Arial"/>
        </w:rPr>
        <w:t>), and p</w:t>
      </w:r>
      <w:r w:rsidRPr="009A43FB">
        <w:rPr>
          <w:rFonts w:cs="Arial"/>
        </w:rPr>
        <w:t>revious international studies have used a variety of approaches and indicators (variables) when trying t</w:t>
      </w:r>
      <w:r w:rsidRPr="00175220">
        <w:rPr>
          <w:rFonts w:cs="Arial"/>
        </w:rPr>
        <w:t xml:space="preserve">o answer similar questions to </w:t>
      </w:r>
      <w:r w:rsidR="00EA637A">
        <w:rPr>
          <w:rFonts w:cs="Arial"/>
        </w:rPr>
        <w:t>this study</w:t>
      </w:r>
      <w:r w:rsidRPr="00175220">
        <w:rPr>
          <w:rFonts w:cs="Arial"/>
        </w:rPr>
        <w:t>.</w:t>
      </w:r>
      <w:r w:rsidRPr="009548FC">
        <w:rPr>
          <w:rFonts w:cs="Arial"/>
        </w:rPr>
        <w:t xml:space="preserve"> </w:t>
      </w:r>
      <w:r w:rsidR="00FC61F2">
        <w:rPr>
          <w:rFonts w:cs="Arial"/>
        </w:rPr>
        <w:t>Some approaches take advantage of quasi-natural experiments</w:t>
      </w:r>
      <w:r w:rsidR="00DA47D0">
        <w:rPr>
          <w:rFonts w:cs="Arial"/>
        </w:rPr>
        <w:t>,</w:t>
      </w:r>
      <w:r w:rsidR="00FC61F2">
        <w:rPr>
          <w:rFonts w:cs="Arial"/>
        </w:rPr>
        <w:t xml:space="preserve"> such as Falck et al’s </w:t>
      </w:r>
      <w:r w:rsidR="00EA637A">
        <w:rPr>
          <w:rFonts w:cs="Arial"/>
        </w:rPr>
        <w:t xml:space="preserve">2011 </w:t>
      </w:r>
      <w:r w:rsidR="00FC61F2">
        <w:rPr>
          <w:rFonts w:cs="Arial"/>
        </w:rPr>
        <w:t>study</w:t>
      </w:r>
      <w:r w:rsidR="00FC61F2">
        <w:rPr>
          <w:rStyle w:val="FootnoteReference"/>
          <w:rFonts w:cs="Arial"/>
        </w:rPr>
        <w:footnoteReference w:id="21"/>
      </w:r>
      <w:r w:rsidR="00FC61F2">
        <w:rPr>
          <w:rFonts w:cs="Arial"/>
        </w:rPr>
        <w:t xml:space="preserve"> into the impact of baroque opera houses built before 1800 on the </w:t>
      </w:r>
      <w:r w:rsidR="00FC61F2" w:rsidRPr="000F6B69">
        <w:rPr>
          <w:rFonts w:cs="Arial"/>
        </w:rPr>
        <w:t>spatial equilibrium share</w:t>
      </w:r>
      <w:r w:rsidR="00FC61F2">
        <w:rPr>
          <w:rFonts w:cs="Arial"/>
        </w:rPr>
        <w:t xml:space="preserve"> of high-human-capital employees. Others take a case study approach to consider the impact of cultural, sports or heritage assets or investments, such as Ahlfeldt and Kavetsos’ </w:t>
      </w:r>
      <w:r w:rsidR="00EA637A">
        <w:rPr>
          <w:rFonts w:cs="Arial"/>
        </w:rPr>
        <w:t xml:space="preserve">2014 </w:t>
      </w:r>
      <w:r w:rsidR="00FC61F2">
        <w:rPr>
          <w:rFonts w:cs="Arial"/>
        </w:rPr>
        <w:t>study</w:t>
      </w:r>
      <w:r w:rsidR="00FC61F2">
        <w:rPr>
          <w:rStyle w:val="FootnoteReference"/>
          <w:rFonts w:cs="Arial"/>
        </w:rPr>
        <w:footnoteReference w:id="22"/>
      </w:r>
      <w:r w:rsidR="00FC61F2">
        <w:rPr>
          <w:rFonts w:cs="Arial"/>
        </w:rPr>
        <w:t xml:space="preserve"> into the effect of new sports stadia on property prices in London.</w:t>
      </w:r>
    </w:p>
    <w:p w14:paraId="022C03AB" w14:textId="2C2216C2" w:rsidR="00E760C2" w:rsidRPr="009548FC" w:rsidRDefault="00E760C2" w:rsidP="00E760C2">
      <w:pPr>
        <w:jc w:val="both"/>
        <w:rPr>
          <w:rFonts w:cs="Arial"/>
        </w:rPr>
      </w:pPr>
      <w:r w:rsidRPr="009A43FB">
        <w:rPr>
          <w:rFonts w:cs="Arial"/>
        </w:rPr>
        <w:t xml:space="preserve">This means that there are potentially hundreds of different combinations </w:t>
      </w:r>
      <w:r w:rsidRPr="00175220">
        <w:rPr>
          <w:rFonts w:cs="Arial"/>
        </w:rPr>
        <w:t xml:space="preserve">of variables </w:t>
      </w:r>
      <w:r w:rsidRPr="00873DB7">
        <w:rPr>
          <w:rFonts w:cs="Arial"/>
        </w:rPr>
        <w:t xml:space="preserve">and </w:t>
      </w:r>
      <w:proofErr w:type="gramStart"/>
      <w:r w:rsidRPr="00873DB7">
        <w:rPr>
          <w:rFonts w:cs="Arial"/>
        </w:rPr>
        <w:t>models which</w:t>
      </w:r>
      <w:proofErr w:type="gramEnd"/>
      <w:r w:rsidRPr="00873DB7">
        <w:rPr>
          <w:rFonts w:cs="Arial"/>
        </w:rPr>
        <w:t xml:space="preserve"> could be explored and tested in a regression analysis. The fact that there are always additional (or different) </w:t>
      </w:r>
      <w:proofErr w:type="gramStart"/>
      <w:r w:rsidRPr="00873DB7">
        <w:rPr>
          <w:rFonts w:cs="Arial"/>
        </w:rPr>
        <w:t>v</w:t>
      </w:r>
      <w:r w:rsidRPr="009548FC">
        <w:rPr>
          <w:rFonts w:cs="Arial"/>
        </w:rPr>
        <w:t xml:space="preserve">ariables </w:t>
      </w:r>
      <w:r w:rsidR="00EA637A">
        <w:rPr>
          <w:rFonts w:cs="Arial"/>
        </w:rPr>
        <w:t xml:space="preserve">which </w:t>
      </w:r>
      <w:r w:rsidRPr="009548FC">
        <w:rPr>
          <w:rFonts w:cs="Arial"/>
        </w:rPr>
        <w:t xml:space="preserve">could </w:t>
      </w:r>
      <w:r w:rsidR="00EA637A">
        <w:rPr>
          <w:rFonts w:cs="Arial"/>
        </w:rPr>
        <w:t xml:space="preserve">be </w:t>
      </w:r>
      <w:r w:rsidRPr="009548FC">
        <w:rPr>
          <w:rFonts w:cs="Arial"/>
        </w:rPr>
        <w:t>use</w:t>
      </w:r>
      <w:r w:rsidR="00EA637A">
        <w:rPr>
          <w:rFonts w:cs="Arial"/>
        </w:rPr>
        <w:t>d</w:t>
      </w:r>
      <w:proofErr w:type="gramEnd"/>
      <w:r w:rsidRPr="009548FC">
        <w:rPr>
          <w:rFonts w:cs="Arial"/>
        </w:rPr>
        <w:t xml:space="preserve"> also means that </w:t>
      </w:r>
      <w:r w:rsidR="0024041C">
        <w:rPr>
          <w:rFonts w:cs="Arial"/>
        </w:rPr>
        <w:t>it</w:t>
      </w:r>
      <w:r w:rsidR="0024041C" w:rsidRPr="009548FC">
        <w:rPr>
          <w:rFonts w:cs="Arial"/>
        </w:rPr>
        <w:t xml:space="preserve"> </w:t>
      </w:r>
      <w:r w:rsidRPr="009548FC">
        <w:rPr>
          <w:rFonts w:cs="Arial"/>
        </w:rPr>
        <w:t xml:space="preserve">may not be </w:t>
      </w:r>
      <w:r w:rsidR="0024041C">
        <w:rPr>
          <w:rFonts w:cs="Arial"/>
        </w:rPr>
        <w:t>possible</w:t>
      </w:r>
      <w:r w:rsidR="0024041C" w:rsidRPr="009548FC">
        <w:rPr>
          <w:rFonts w:cs="Arial"/>
        </w:rPr>
        <w:t xml:space="preserve"> </w:t>
      </w:r>
      <w:r w:rsidRPr="009548FC">
        <w:rPr>
          <w:rFonts w:cs="Arial"/>
        </w:rPr>
        <w:t xml:space="preserve">to reach definitive conclusions. We acknowledge that this embedded complexity is one of the limits of this </w:t>
      </w:r>
      <w:r w:rsidR="0024041C">
        <w:rPr>
          <w:rFonts w:cs="Arial"/>
        </w:rPr>
        <w:t>study</w:t>
      </w:r>
      <w:r w:rsidRPr="009548FC">
        <w:rPr>
          <w:rFonts w:cs="Arial"/>
        </w:rPr>
        <w:t>, given the impossibility of testing absolutely all potential combinations</w:t>
      </w:r>
      <w:r w:rsidR="00EA637A">
        <w:rPr>
          <w:rFonts w:cs="Arial"/>
        </w:rPr>
        <w:t>,</w:t>
      </w:r>
      <w:r w:rsidRPr="009548FC">
        <w:rPr>
          <w:rFonts w:cs="Arial"/>
        </w:rPr>
        <w:t xml:space="preserve"> and the uncertainties entailed in obtaining different results when the combination of variables is altered. </w:t>
      </w:r>
    </w:p>
    <w:p w14:paraId="6D956FFD" w14:textId="3F815F83" w:rsidR="00E760C2" w:rsidRPr="00175220" w:rsidRDefault="00E760C2" w:rsidP="00E760C2">
      <w:pPr>
        <w:jc w:val="both"/>
        <w:rPr>
          <w:rFonts w:cs="Arial"/>
        </w:rPr>
      </w:pPr>
      <w:r w:rsidRPr="009548FC">
        <w:rPr>
          <w:rFonts w:cs="Arial"/>
        </w:rPr>
        <w:t xml:space="preserve">Our general strategy has therefore been highly exploratory, controlling for as many determinants of outcomes as possible (given the data available to the study) to identify push/pull factors of location and economic success. These </w:t>
      </w:r>
      <w:r w:rsidR="009640D5">
        <w:rPr>
          <w:rFonts w:cs="Arial"/>
        </w:rPr>
        <w:t xml:space="preserve">factors </w:t>
      </w:r>
      <w:r w:rsidRPr="009548FC">
        <w:rPr>
          <w:rFonts w:cs="Arial"/>
        </w:rPr>
        <w:t>are drawn from multiple studies as identified in Arzauzo-Carod et al</w:t>
      </w:r>
      <w:r w:rsidR="00E52581">
        <w:rPr>
          <w:rStyle w:val="FootnoteReference"/>
          <w:rFonts w:cs="Arial"/>
        </w:rPr>
        <w:footnoteReference w:id="23"/>
      </w:r>
      <w:r w:rsidRPr="009548FC">
        <w:rPr>
          <w:rFonts w:cs="Arial"/>
        </w:rPr>
        <w:t>, and Lazzeretti et al</w:t>
      </w:r>
      <w:r w:rsidR="00E52581">
        <w:rPr>
          <w:rStyle w:val="FootnoteReference"/>
          <w:rFonts w:cs="Arial"/>
        </w:rPr>
        <w:footnoteReference w:id="24"/>
      </w:r>
      <w:r w:rsidRPr="009548FC">
        <w:rPr>
          <w:rFonts w:cs="Arial"/>
        </w:rPr>
        <w:t xml:space="preserve">, combining multidisciplinary approaches based on cultural economics, evolutionary geography </w:t>
      </w:r>
      <w:r w:rsidRPr="009A43FB">
        <w:rPr>
          <w:rFonts w:cs="Arial"/>
        </w:rPr>
        <w:t>and urban economics.</w:t>
      </w:r>
    </w:p>
    <w:p w14:paraId="18F637F3" w14:textId="77777777" w:rsidR="00E760C2" w:rsidRPr="00873DB7" w:rsidRDefault="00E760C2" w:rsidP="00E760C2">
      <w:pPr>
        <w:jc w:val="both"/>
        <w:rPr>
          <w:rFonts w:cs="Arial"/>
        </w:rPr>
      </w:pPr>
    </w:p>
    <w:tbl>
      <w:tblPr>
        <w:tblStyle w:val="TableGrid"/>
        <w:tblW w:w="0" w:type="auto"/>
        <w:tblInd w:w="1361" w:type="dxa"/>
        <w:tblLook w:val="04A0" w:firstRow="1" w:lastRow="0" w:firstColumn="1" w:lastColumn="0" w:noHBand="0" w:noVBand="1"/>
      </w:tblPr>
      <w:tblGrid>
        <w:gridCol w:w="8209"/>
      </w:tblGrid>
      <w:tr w:rsidR="00E760C2" w:rsidRPr="009548FC" w14:paraId="1D94A4A3" w14:textId="77777777" w:rsidTr="00753A00">
        <w:tc>
          <w:tcPr>
            <w:tcW w:w="9570" w:type="dxa"/>
          </w:tcPr>
          <w:p w14:paraId="38CD1336" w14:textId="77777777" w:rsidR="00E760C2" w:rsidRPr="00873DB7" w:rsidRDefault="00E760C2" w:rsidP="00E760C2">
            <w:pPr>
              <w:pStyle w:val="Heading3Numbered"/>
              <w:numPr>
                <w:ilvl w:val="0"/>
                <w:numId w:val="0"/>
              </w:numPr>
              <w:spacing w:before="240"/>
            </w:pPr>
            <w:r w:rsidRPr="00873DB7">
              <w:t>Determinants of industrial location</w:t>
            </w:r>
          </w:p>
          <w:p w14:paraId="2E66BF5B" w14:textId="25719E0C" w:rsidR="00E760C2" w:rsidRPr="009548FC" w:rsidRDefault="00E760C2" w:rsidP="004B498D">
            <w:pPr>
              <w:pStyle w:val="ListParagraph"/>
              <w:numPr>
                <w:ilvl w:val="0"/>
                <w:numId w:val="37"/>
              </w:numPr>
              <w:spacing w:before="120"/>
              <w:ind w:left="340" w:hanging="340"/>
              <w:contextualSpacing w:val="0"/>
              <w:rPr>
                <w:rFonts w:ascii="Arial" w:hAnsi="Arial" w:cs="Arial"/>
                <w:sz w:val="22"/>
                <w:szCs w:val="22"/>
              </w:rPr>
            </w:pPr>
            <w:r w:rsidRPr="009548FC">
              <w:rPr>
                <w:rFonts w:ascii="Arial" w:hAnsi="Arial" w:cs="Arial"/>
                <w:sz w:val="22"/>
                <w:szCs w:val="22"/>
              </w:rPr>
              <w:t>Agglomeration economies, advantages in costs or quality due to the spatial concentration of productive resources and actors. In particular</w:t>
            </w:r>
            <w:r w:rsidR="004B498D">
              <w:rPr>
                <w:rFonts w:ascii="Arial" w:hAnsi="Arial" w:cs="Arial"/>
                <w:sz w:val="22"/>
                <w:szCs w:val="22"/>
              </w:rPr>
              <w:t>,</w:t>
            </w:r>
            <w:r w:rsidRPr="009548FC">
              <w:rPr>
                <w:rFonts w:ascii="Arial" w:hAnsi="Arial" w:cs="Arial"/>
                <w:sz w:val="22"/>
                <w:szCs w:val="22"/>
              </w:rPr>
              <w:t xml:space="preserve"> these can be of two types:</w:t>
            </w:r>
          </w:p>
          <w:p w14:paraId="36C7DD80" w14:textId="77777777" w:rsidR="00E760C2" w:rsidRPr="009548FC" w:rsidRDefault="00E760C2" w:rsidP="004B498D">
            <w:pPr>
              <w:pStyle w:val="ListParagraph"/>
              <w:numPr>
                <w:ilvl w:val="1"/>
                <w:numId w:val="37"/>
              </w:numPr>
              <w:spacing w:before="120"/>
              <w:ind w:left="680" w:hanging="340"/>
              <w:contextualSpacing w:val="0"/>
              <w:rPr>
                <w:rFonts w:ascii="Arial" w:hAnsi="Arial" w:cs="Arial"/>
                <w:sz w:val="22"/>
                <w:szCs w:val="22"/>
              </w:rPr>
            </w:pPr>
            <w:r w:rsidRPr="009548FC">
              <w:rPr>
                <w:rFonts w:ascii="Arial" w:hAnsi="Arial" w:cs="Arial"/>
                <w:sz w:val="22"/>
                <w:szCs w:val="22"/>
              </w:rPr>
              <w:t>Urbanisation economies – concentration of industries in general in larger cities</w:t>
            </w:r>
          </w:p>
          <w:p w14:paraId="2C89505E" w14:textId="32CFEDEA" w:rsidR="00E760C2" w:rsidRPr="009548FC" w:rsidRDefault="00E760C2" w:rsidP="004B498D">
            <w:pPr>
              <w:pStyle w:val="ListParagraph"/>
              <w:numPr>
                <w:ilvl w:val="1"/>
                <w:numId w:val="37"/>
              </w:numPr>
              <w:spacing w:before="120"/>
              <w:ind w:left="680" w:hanging="340"/>
              <w:contextualSpacing w:val="0"/>
              <w:rPr>
                <w:rFonts w:ascii="Arial" w:hAnsi="Arial" w:cs="Arial"/>
                <w:sz w:val="22"/>
                <w:szCs w:val="22"/>
              </w:rPr>
            </w:pPr>
            <w:r w:rsidRPr="009548FC">
              <w:rPr>
                <w:rFonts w:ascii="Arial" w:hAnsi="Arial" w:cs="Arial"/>
                <w:sz w:val="22"/>
                <w:szCs w:val="22"/>
              </w:rPr>
              <w:t>Marshallian-sectoral economies – the concentration of firms of similar characteristics in particular localities, to benefit from local knowledge spillovers</w:t>
            </w:r>
          </w:p>
          <w:p w14:paraId="2ADCE9F6" w14:textId="77777777" w:rsidR="00E760C2" w:rsidRPr="009548FC" w:rsidRDefault="00E760C2" w:rsidP="004B498D">
            <w:pPr>
              <w:pStyle w:val="ListParagraph"/>
              <w:numPr>
                <w:ilvl w:val="0"/>
                <w:numId w:val="37"/>
              </w:numPr>
              <w:spacing w:before="120"/>
              <w:ind w:left="340" w:hanging="340"/>
              <w:contextualSpacing w:val="0"/>
              <w:rPr>
                <w:rFonts w:ascii="Arial" w:hAnsi="Arial" w:cs="Arial"/>
                <w:sz w:val="22"/>
                <w:szCs w:val="22"/>
              </w:rPr>
            </w:pPr>
            <w:r w:rsidRPr="009548FC">
              <w:rPr>
                <w:rFonts w:ascii="Arial" w:hAnsi="Arial" w:cs="Arial"/>
                <w:sz w:val="22"/>
                <w:szCs w:val="22"/>
              </w:rPr>
              <w:t>Local amenities and quality of life factors, including:</w:t>
            </w:r>
          </w:p>
          <w:p w14:paraId="7808449A" w14:textId="77777777" w:rsidR="00E760C2" w:rsidRPr="009548FC" w:rsidRDefault="00E760C2" w:rsidP="004B498D">
            <w:pPr>
              <w:pStyle w:val="ListParagraph"/>
              <w:numPr>
                <w:ilvl w:val="1"/>
                <w:numId w:val="37"/>
              </w:numPr>
              <w:spacing w:before="120"/>
              <w:ind w:left="680" w:hanging="340"/>
              <w:contextualSpacing w:val="0"/>
              <w:rPr>
                <w:rFonts w:ascii="Arial" w:hAnsi="Arial" w:cs="Arial"/>
                <w:sz w:val="22"/>
                <w:szCs w:val="22"/>
              </w:rPr>
            </w:pPr>
            <w:r w:rsidRPr="009548FC">
              <w:rPr>
                <w:rFonts w:ascii="Arial" w:hAnsi="Arial" w:cs="Arial"/>
                <w:b/>
                <w:sz w:val="22"/>
                <w:szCs w:val="22"/>
              </w:rPr>
              <w:t>Culture, arts and heritage of the area</w:t>
            </w:r>
            <w:r w:rsidRPr="009548FC">
              <w:rPr>
                <w:rFonts w:ascii="Arial" w:hAnsi="Arial" w:cs="Arial"/>
                <w:sz w:val="22"/>
                <w:szCs w:val="22"/>
              </w:rPr>
              <w:t>, including green spaces</w:t>
            </w:r>
          </w:p>
          <w:p w14:paraId="703CB7A9" w14:textId="77777777" w:rsidR="00E760C2" w:rsidRPr="009548FC" w:rsidRDefault="00E760C2" w:rsidP="004B498D">
            <w:pPr>
              <w:pStyle w:val="ListParagraph"/>
              <w:numPr>
                <w:ilvl w:val="1"/>
                <w:numId w:val="37"/>
              </w:numPr>
              <w:spacing w:before="120"/>
              <w:ind w:left="680" w:hanging="340"/>
              <w:contextualSpacing w:val="0"/>
              <w:rPr>
                <w:rFonts w:ascii="Arial" w:hAnsi="Arial" w:cs="Arial"/>
                <w:sz w:val="22"/>
                <w:szCs w:val="22"/>
              </w:rPr>
            </w:pPr>
            <w:r w:rsidRPr="009548FC">
              <w:rPr>
                <w:rFonts w:ascii="Arial" w:hAnsi="Arial" w:cs="Arial"/>
                <w:sz w:val="22"/>
                <w:szCs w:val="22"/>
              </w:rPr>
              <w:t>Life satisfaction in an area</w:t>
            </w:r>
          </w:p>
          <w:p w14:paraId="645EC800" w14:textId="77777777" w:rsidR="00E760C2" w:rsidRPr="009548FC" w:rsidRDefault="00E760C2" w:rsidP="004B498D">
            <w:pPr>
              <w:pStyle w:val="ListParagraph"/>
              <w:numPr>
                <w:ilvl w:val="0"/>
                <w:numId w:val="37"/>
              </w:numPr>
              <w:spacing w:before="120"/>
              <w:ind w:left="340" w:hanging="340"/>
              <w:contextualSpacing w:val="0"/>
              <w:rPr>
                <w:rFonts w:ascii="Arial" w:hAnsi="Arial" w:cs="Arial"/>
                <w:sz w:val="22"/>
                <w:szCs w:val="22"/>
              </w:rPr>
            </w:pPr>
            <w:r w:rsidRPr="009548FC">
              <w:rPr>
                <w:rFonts w:ascii="Arial" w:hAnsi="Arial" w:cs="Arial"/>
                <w:sz w:val="22"/>
                <w:szCs w:val="22"/>
              </w:rPr>
              <w:t>Transport and network infrastructures</w:t>
            </w:r>
          </w:p>
          <w:p w14:paraId="232BA0B6" w14:textId="77777777" w:rsidR="00E760C2" w:rsidRPr="009548FC" w:rsidRDefault="00E760C2" w:rsidP="004B498D">
            <w:pPr>
              <w:pStyle w:val="ListParagraph"/>
              <w:numPr>
                <w:ilvl w:val="0"/>
                <w:numId w:val="37"/>
              </w:numPr>
              <w:spacing w:before="120"/>
              <w:ind w:left="340" w:hanging="340"/>
              <w:contextualSpacing w:val="0"/>
              <w:rPr>
                <w:rFonts w:ascii="Arial" w:hAnsi="Arial" w:cs="Arial"/>
                <w:sz w:val="22"/>
                <w:szCs w:val="22"/>
              </w:rPr>
            </w:pPr>
            <w:r w:rsidRPr="009548FC">
              <w:rPr>
                <w:rFonts w:ascii="Arial" w:hAnsi="Arial" w:cs="Arial"/>
                <w:sz w:val="22"/>
                <w:szCs w:val="22"/>
              </w:rPr>
              <w:t>Human capital characteristics</w:t>
            </w:r>
          </w:p>
          <w:p w14:paraId="5BC1317E" w14:textId="77777777" w:rsidR="00E760C2" w:rsidRPr="009548FC" w:rsidRDefault="00E760C2" w:rsidP="00753A00">
            <w:pPr>
              <w:ind w:left="0"/>
              <w:jc w:val="both"/>
              <w:rPr>
                <w:rFonts w:cs="Arial"/>
              </w:rPr>
            </w:pPr>
          </w:p>
        </w:tc>
      </w:tr>
    </w:tbl>
    <w:p w14:paraId="6A7CD056" w14:textId="77777777" w:rsidR="00E760C2" w:rsidRPr="009548FC" w:rsidRDefault="00E760C2" w:rsidP="00E760C2">
      <w:pPr>
        <w:ind w:left="0"/>
        <w:jc w:val="both"/>
        <w:rPr>
          <w:rFonts w:cs="Arial"/>
        </w:rPr>
      </w:pPr>
    </w:p>
    <w:p w14:paraId="51516C40" w14:textId="6F819262" w:rsidR="00E760C2" w:rsidRPr="00E760C2" w:rsidRDefault="00E760C2" w:rsidP="00E760C2">
      <w:pPr>
        <w:jc w:val="both"/>
        <w:rPr>
          <w:color w:val="000000"/>
        </w:rPr>
      </w:pPr>
      <w:r w:rsidRPr="009548FC">
        <w:rPr>
          <w:rFonts w:cs="Arial"/>
        </w:rPr>
        <w:t>While t</w:t>
      </w:r>
      <w:r w:rsidRPr="009548FC">
        <w:rPr>
          <w:color w:val="000000"/>
        </w:rPr>
        <w:t xml:space="preserve">here is some evidence that CS&amp;H assets and investment stimulate the economy and contribute to </w:t>
      </w:r>
      <w:proofErr w:type="gramStart"/>
      <w:r w:rsidRPr="009548FC">
        <w:rPr>
          <w:color w:val="000000"/>
        </w:rPr>
        <w:t>place-shaping</w:t>
      </w:r>
      <w:proofErr w:type="gramEnd"/>
      <w:r w:rsidRPr="009548FC">
        <w:rPr>
          <w:color w:val="000000"/>
        </w:rPr>
        <w:t>, in practice existing econometric analysis</w:t>
      </w:r>
      <w:r w:rsidR="004B498D">
        <w:rPr>
          <w:color w:val="000000"/>
        </w:rPr>
        <w:t xml:space="preserve"> (</w:t>
      </w:r>
      <w:r w:rsidR="004B498D" w:rsidRPr="009548FC">
        <w:rPr>
          <w:rFonts w:cs="Arial"/>
        </w:rPr>
        <w:t xml:space="preserve">as section </w:t>
      </w:r>
      <w:r w:rsidR="004B498D" w:rsidRPr="009548FC">
        <w:rPr>
          <w:rFonts w:cs="Arial"/>
        </w:rPr>
        <w:fldChar w:fldCharType="begin"/>
      </w:r>
      <w:r w:rsidR="004B498D" w:rsidRPr="009548FC">
        <w:rPr>
          <w:rFonts w:cs="Arial"/>
        </w:rPr>
        <w:instrText xml:space="preserve"> REF _Ref457312487 \r \h  \* MERGEFORMAT </w:instrText>
      </w:r>
      <w:r w:rsidR="004B498D" w:rsidRPr="009548FC">
        <w:rPr>
          <w:rFonts w:cs="Arial"/>
        </w:rPr>
      </w:r>
      <w:r w:rsidR="004B498D" w:rsidRPr="009548FC">
        <w:rPr>
          <w:rFonts w:cs="Arial"/>
        </w:rPr>
        <w:fldChar w:fldCharType="separate"/>
      </w:r>
      <w:r w:rsidR="00F0636B">
        <w:rPr>
          <w:rFonts w:cs="Arial"/>
        </w:rPr>
        <w:t>2.3.2</w:t>
      </w:r>
      <w:r w:rsidR="004B498D" w:rsidRPr="009548FC">
        <w:rPr>
          <w:rFonts w:cs="Arial"/>
        </w:rPr>
        <w:fldChar w:fldCharType="end"/>
      </w:r>
      <w:r w:rsidR="004B498D" w:rsidRPr="009548FC">
        <w:rPr>
          <w:rFonts w:cs="Arial"/>
        </w:rPr>
        <w:t xml:space="preserve"> indicates</w:t>
      </w:r>
      <w:r w:rsidR="004B498D">
        <w:rPr>
          <w:rFonts w:cs="Arial"/>
        </w:rPr>
        <w:t>)</w:t>
      </w:r>
      <w:r w:rsidRPr="009548FC">
        <w:rPr>
          <w:color w:val="000000"/>
        </w:rPr>
        <w:t xml:space="preserve"> has tended to focus on the relationship between CS&amp;H assets</w:t>
      </w:r>
      <w:r w:rsidR="004B498D">
        <w:rPr>
          <w:color w:val="000000"/>
        </w:rPr>
        <w:t xml:space="preserve"> and </w:t>
      </w:r>
      <w:r w:rsidRPr="009548FC">
        <w:rPr>
          <w:color w:val="000000"/>
        </w:rPr>
        <w:t xml:space="preserve">investment and creative industries firms. Our approach has therefore been to expand the models used in previous research, in order to examine the relationship between CS&amp;H assets and investment and </w:t>
      </w:r>
      <w:r w:rsidRPr="009548FC">
        <w:rPr>
          <w:i/>
          <w:color w:val="000000"/>
        </w:rPr>
        <w:t>all</w:t>
      </w:r>
      <w:r w:rsidRPr="009548FC">
        <w:rPr>
          <w:color w:val="000000"/>
        </w:rPr>
        <w:t xml:space="preserve"> firms. First we </w:t>
      </w:r>
      <w:r w:rsidR="004B498D">
        <w:rPr>
          <w:color w:val="000000"/>
        </w:rPr>
        <w:t>tested</w:t>
      </w:r>
      <w:r w:rsidR="004B498D" w:rsidRPr="009548FC">
        <w:rPr>
          <w:color w:val="000000"/>
        </w:rPr>
        <w:t xml:space="preserve"> </w:t>
      </w:r>
      <w:r w:rsidRPr="009548FC">
        <w:rPr>
          <w:color w:val="000000"/>
        </w:rPr>
        <w:t>whether the relationship between CSH assets and investment and the creative industries found in other studies holds for the UK</w:t>
      </w:r>
      <w:r w:rsidR="004B498D">
        <w:rPr>
          <w:color w:val="000000"/>
        </w:rPr>
        <w:t>. W</w:t>
      </w:r>
      <w:r w:rsidRPr="009548FC">
        <w:rPr>
          <w:color w:val="000000"/>
        </w:rPr>
        <w:t>e then looked at the relationship between CS</w:t>
      </w:r>
      <w:r w:rsidR="004B498D">
        <w:rPr>
          <w:color w:val="000000"/>
        </w:rPr>
        <w:t>&amp;</w:t>
      </w:r>
      <w:r w:rsidRPr="009548FC">
        <w:rPr>
          <w:color w:val="000000"/>
        </w:rPr>
        <w:t>H assets and investment and the wider economy, which was the main focus of this study.</w:t>
      </w:r>
    </w:p>
    <w:p w14:paraId="3BB2BA80" w14:textId="0C1487C5" w:rsidR="00E760C2" w:rsidRPr="009548FC" w:rsidRDefault="00E760C2" w:rsidP="00E760C2">
      <w:pPr>
        <w:jc w:val="both"/>
        <w:rPr>
          <w:rFonts w:cs="Arial"/>
        </w:rPr>
      </w:pPr>
      <w:r w:rsidRPr="009548FC">
        <w:rPr>
          <w:rFonts w:cs="Arial"/>
        </w:rPr>
        <w:t xml:space="preserve">This means that our empirical work is focused on understanding, through the application of specific econometric models, whether evidence can be detected of a </w:t>
      </w:r>
      <w:r w:rsidR="004B498D">
        <w:rPr>
          <w:rFonts w:cs="Arial"/>
        </w:rPr>
        <w:t>relationship</w:t>
      </w:r>
      <w:r w:rsidR="004B498D" w:rsidRPr="009548FC">
        <w:rPr>
          <w:rFonts w:cs="Arial"/>
        </w:rPr>
        <w:t xml:space="preserve"> </w:t>
      </w:r>
      <w:r w:rsidRPr="009548FC">
        <w:rPr>
          <w:rFonts w:cs="Arial"/>
        </w:rPr>
        <w:t>between CS&amp;H assets and investment and creative industries at a local level, as reported in the research literature.</w:t>
      </w:r>
      <w:r w:rsidR="00A033C6">
        <w:rPr>
          <w:rFonts w:cs="Arial"/>
        </w:rPr>
        <w:t xml:space="preserve"> </w:t>
      </w:r>
      <w:r w:rsidRPr="009548FC">
        <w:rPr>
          <w:rFonts w:cs="Arial"/>
        </w:rPr>
        <w:t>We then expand this analysis to consider whether CS&amp;H assets and investment contribute to more general sustained economic productivity</w:t>
      </w:r>
      <w:r w:rsidRPr="000D2FF7">
        <w:rPr>
          <w:rFonts w:cs="Arial"/>
        </w:rPr>
        <w:t>; in doing so w</w:t>
      </w:r>
      <w:r w:rsidRPr="009548FC">
        <w:rPr>
          <w:rFonts w:cs="Arial"/>
        </w:rPr>
        <w:t xml:space="preserve">e look at all firms, </w:t>
      </w:r>
      <w:r w:rsidRPr="000D2FF7">
        <w:rPr>
          <w:rFonts w:cs="Arial"/>
        </w:rPr>
        <w:t>as well as</w:t>
      </w:r>
      <w:r w:rsidRPr="009548FC">
        <w:rPr>
          <w:rFonts w:cs="Arial"/>
        </w:rPr>
        <w:t xml:space="preserve"> </w:t>
      </w:r>
      <w:r w:rsidR="004B498D">
        <w:rPr>
          <w:rFonts w:cs="Arial"/>
        </w:rPr>
        <w:t xml:space="preserve">other </w:t>
      </w:r>
      <w:r w:rsidRPr="009548FC">
        <w:rPr>
          <w:rFonts w:cs="Arial"/>
        </w:rPr>
        <w:t>specific industries</w:t>
      </w:r>
      <w:r w:rsidRPr="000D2FF7">
        <w:rPr>
          <w:rFonts w:cs="Arial"/>
        </w:rPr>
        <w:t xml:space="preserve"> including </w:t>
      </w:r>
      <w:r w:rsidRPr="009548FC">
        <w:rPr>
          <w:rFonts w:cs="Arial"/>
        </w:rPr>
        <w:t xml:space="preserve">the </w:t>
      </w:r>
      <w:r w:rsidRPr="000D2FF7">
        <w:rPr>
          <w:rFonts w:cs="Arial"/>
        </w:rPr>
        <w:t>knowledge economy</w:t>
      </w:r>
      <w:r w:rsidRPr="009548FC">
        <w:rPr>
          <w:rFonts w:cs="Arial"/>
        </w:rPr>
        <w:t xml:space="preserve">, </w:t>
      </w:r>
      <w:r w:rsidRPr="000D2FF7">
        <w:rPr>
          <w:rFonts w:cs="Arial"/>
        </w:rPr>
        <w:t>the tourism sector and professional and business services</w:t>
      </w:r>
      <w:r w:rsidRPr="009548FC">
        <w:rPr>
          <w:rFonts w:cs="Arial"/>
        </w:rPr>
        <w:t>.</w:t>
      </w:r>
    </w:p>
    <w:p w14:paraId="4737A998" w14:textId="0AA94CE3" w:rsidR="00A033C6" w:rsidRDefault="00A033C6">
      <w:pPr>
        <w:spacing w:before="0"/>
        <w:ind w:left="0"/>
        <w:rPr>
          <w:rFonts w:cs="Arial"/>
        </w:rPr>
      </w:pPr>
    </w:p>
    <w:p w14:paraId="52A9A5E1" w14:textId="35DBAAE3" w:rsidR="00E760C2" w:rsidRPr="009A43FB" w:rsidRDefault="00E760C2" w:rsidP="00E760C2">
      <w:pPr>
        <w:rPr>
          <w:rFonts w:cs="Arial"/>
        </w:rPr>
      </w:pPr>
      <w:r w:rsidRPr="009A43FB">
        <w:rPr>
          <w:rFonts w:cs="Arial"/>
        </w:rPr>
        <w:t>In summary, our research questions are as follows:</w:t>
      </w:r>
    </w:p>
    <w:p w14:paraId="514D795C" w14:textId="77777777" w:rsidR="00E760C2" w:rsidRPr="00873DB7" w:rsidRDefault="00E760C2" w:rsidP="006751CE">
      <w:pPr>
        <w:pStyle w:val="Bullet"/>
      </w:pPr>
      <w:r w:rsidRPr="00873DB7">
        <w:t>Do CS&amp;H assets and/or investment influence the location and economic success of creative industries?</w:t>
      </w:r>
    </w:p>
    <w:p w14:paraId="2435A959" w14:textId="77777777" w:rsidR="00E760C2" w:rsidRPr="009548FC" w:rsidRDefault="00E760C2" w:rsidP="006751CE">
      <w:pPr>
        <w:pStyle w:val="Bullet"/>
      </w:pPr>
      <w:r w:rsidRPr="009548FC">
        <w:t xml:space="preserve">More generally, do CS&amp;H assets and/or investment influence the location of other industries and the local economic performance of an area? </w:t>
      </w:r>
    </w:p>
    <w:p w14:paraId="5E1259E0" w14:textId="77777777" w:rsidR="00E760C2" w:rsidRPr="00175220" w:rsidRDefault="00E760C2" w:rsidP="00E760C2">
      <w:pPr>
        <w:pStyle w:val="Heading3Numbered"/>
      </w:pPr>
      <w:bookmarkStart w:id="36" w:name="_Toc464222900"/>
      <w:r w:rsidRPr="00175220">
        <w:t>Model specifications</w:t>
      </w:r>
      <w:bookmarkEnd w:id="36"/>
    </w:p>
    <w:p w14:paraId="010EC444" w14:textId="63EACF3A" w:rsidR="00E760C2" w:rsidRPr="009548FC" w:rsidRDefault="00E760C2" w:rsidP="00E760C2">
      <w:pPr>
        <w:rPr>
          <w:rFonts w:cs="Arial"/>
        </w:rPr>
      </w:pPr>
      <w:r w:rsidRPr="00873DB7">
        <w:rPr>
          <w:rFonts w:cs="Arial"/>
        </w:rPr>
        <w:t xml:space="preserve">For our initial model (concentration of </w:t>
      </w:r>
      <w:r w:rsidRPr="009548FC">
        <w:rPr>
          <w:rFonts w:cs="Arial"/>
        </w:rPr>
        <w:t>industries), we follow Lazzeretti et al (2011), in specifying an exponential distribution for the location of industries:</w:t>
      </w:r>
    </w:p>
    <w:p w14:paraId="2E8C08AC" w14:textId="7BA0E79B" w:rsidR="00E760C2" w:rsidRPr="00175220" w:rsidRDefault="00E760C2" w:rsidP="00E760C2">
      <w:pPr>
        <w:tabs>
          <w:tab w:val="right" w:pos="9356"/>
        </w:tabs>
        <w:ind w:left="720" w:firstLine="720"/>
        <w:rPr>
          <w:rFonts w:cs="Arial"/>
        </w:rPr>
      </w:pPr>
      <m:oMath>
        <m:r>
          <w:rPr>
            <w:rFonts w:ascii="Cambria Math" w:hAnsi="Cambria Math" w:cs="Arial"/>
          </w:rPr>
          <m:t>Y=a</m:t>
        </m:r>
        <m:sSubSup>
          <m:sSubSupPr>
            <m:ctrlPr>
              <w:rPr>
                <w:rFonts w:ascii="Cambria Math" w:hAnsi="Cambria Math" w:cs="Arial"/>
                <w:i/>
                <w:szCs w:val="22"/>
              </w:rPr>
            </m:ctrlPr>
          </m:sSubSupPr>
          <m:e>
            <m:r>
              <w:rPr>
                <w:rFonts w:ascii="Cambria Math" w:hAnsi="Cambria Math" w:cs="Arial"/>
              </w:rPr>
              <m:t>CSH</m:t>
            </m:r>
          </m:e>
          <m:sub>
            <m:r>
              <w:rPr>
                <w:rFonts w:ascii="Cambria Math" w:hAnsi="Cambria Math" w:cs="Arial"/>
              </w:rPr>
              <m:t>i</m:t>
            </m:r>
          </m:sub>
          <m:sup>
            <m:sSub>
              <m:sSubPr>
                <m:ctrlPr>
                  <w:rPr>
                    <w:rFonts w:ascii="Cambria Math" w:hAnsi="Cambria Math" w:cs="Arial"/>
                    <w:i/>
                    <w:szCs w:val="22"/>
                  </w:rPr>
                </m:ctrlPr>
              </m:sSubPr>
              <m:e>
                <m:r>
                  <w:rPr>
                    <w:rFonts w:ascii="Cambria Math" w:hAnsi="Cambria Math" w:cs="Arial"/>
                  </w:rPr>
                  <m:t>β</m:t>
                </m:r>
              </m:e>
              <m:sub>
                <m:r>
                  <w:rPr>
                    <w:rFonts w:ascii="Cambria Math" w:hAnsi="Cambria Math" w:cs="Arial"/>
                  </w:rPr>
                  <m:t>1</m:t>
                </m:r>
              </m:sub>
            </m:sSub>
          </m:sup>
        </m:sSubSup>
        <m:sSubSup>
          <m:sSubSupPr>
            <m:ctrlPr>
              <w:rPr>
                <w:rFonts w:ascii="Cambria Math" w:hAnsi="Cambria Math" w:cs="Arial"/>
                <w:i/>
                <w:szCs w:val="22"/>
              </w:rPr>
            </m:ctrlPr>
          </m:sSubSupPr>
          <m:e>
            <m:r>
              <w:rPr>
                <w:rFonts w:ascii="Cambria Math" w:hAnsi="Cambria Math" w:cs="Arial"/>
              </w:rPr>
              <m:t>Q</m:t>
            </m:r>
          </m:e>
          <m:sub>
            <m:r>
              <w:rPr>
                <w:rFonts w:ascii="Cambria Math" w:hAnsi="Cambria Math" w:cs="Arial"/>
              </w:rPr>
              <m:t>i</m:t>
            </m:r>
          </m:sub>
          <m:sup>
            <m:sSub>
              <m:sSubPr>
                <m:ctrlPr>
                  <w:rPr>
                    <w:rFonts w:ascii="Cambria Math" w:hAnsi="Cambria Math" w:cs="Arial"/>
                    <w:i/>
                    <w:szCs w:val="22"/>
                  </w:rPr>
                </m:ctrlPr>
              </m:sSubPr>
              <m:e>
                <m:r>
                  <w:rPr>
                    <w:rFonts w:ascii="Cambria Math" w:hAnsi="Cambria Math" w:cs="Arial"/>
                  </w:rPr>
                  <m:t>β</m:t>
                </m:r>
              </m:e>
              <m:sub>
                <m:r>
                  <w:rPr>
                    <w:rFonts w:ascii="Cambria Math" w:hAnsi="Cambria Math" w:cs="Arial"/>
                  </w:rPr>
                  <m:t>2</m:t>
                </m:r>
              </m:sub>
            </m:sSub>
          </m:sup>
        </m:sSubSup>
      </m:oMath>
      <w:r w:rsidRPr="009548FC">
        <w:rPr>
          <w:rFonts w:eastAsiaTheme="minorEastAsia" w:cs="Arial"/>
        </w:rPr>
        <w:tab/>
      </w:r>
      <w:r w:rsidRPr="009A43FB">
        <w:rPr>
          <w:rFonts w:eastAsiaTheme="minorEastAsia" w:cs="Arial"/>
          <w:b/>
        </w:rPr>
        <w:t>(</w:t>
      </w:r>
      <w:proofErr w:type="gramStart"/>
      <w:r w:rsidRPr="00175220">
        <w:rPr>
          <w:rFonts w:eastAsiaTheme="minorEastAsia" w:cs="Arial"/>
          <w:b/>
        </w:rPr>
        <w:t>equation</w:t>
      </w:r>
      <w:proofErr w:type="gramEnd"/>
      <w:r w:rsidRPr="00175220">
        <w:rPr>
          <w:rFonts w:eastAsiaTheme="minorEastAsia" w:cs="Arial"/>
          <w:b/>
        </w:rPr>
        <w:t xml:space="preserve"> 1)</w:t>
      </w:r>
    </w:p>
    <w:p w14:paraId="4D356927" w14:textId="77777777" w:rsidR="00E760C2" w:rsidRPr="00873DB7" w:rsidRDefault="00E760C2" w:rsidP="00E760C2">
      <w:pPr>
        <w:rPr>
          <w:rFonts w:cs="Arial"/>
        </w:rPr>
      </w:pPr>
      <w:r w:rsidRPr="00873DB7">
        <w:rPr>
          <w:rFonts w:cs="Arial"/>
        </w:rPr>
        <w:t>Where:</w:t>
      </w:r>
    </w:p>
    <w:p w14:paraId="150FEB21" w14:textId="66E21FBD" w:rsidR="00E760C2" w:rsidRPr="009548FC" w:rsidRDefault="00E760C2" w:rsidP="006751CE">
      <w:pPr>
        <w:pStyle w:val="Bullet"/>
      </w:pPr>
      <w:r w:rsidRPr="009548FC">
        <w:t>Y</w:t>
      </w:r>
      <w:r w:rsidRPr="009548FC">
        <w:rPr>
          <w:vertAlign w:val="subscript"/>
        </w:rPr>
        <w:t>i</w:t>
      </w:r>
      <w:r w:rsidRPr="009548FC">
        <w:t xml:space="preserve"> is the measure of local </w:t>
      </w:r>
      <w:r w:rsidR="008F3611" w:rsidRPr="009548FC">
        <w:t>econom</w:t>
      </w:r>
      <w:r w:rsidR="008F3611">
        <w:t>ic performance</w:t>
      </w:r>
      <w:r w:rsidR="008F3611" w:rsidRPr="009548FC">
        <w:t xml:space="preserve"> </w:t>
      </w:r>
      <w:r w:rsidRPr="009548FC">
        <w:t xml:space="preserve">in local authority </w:t>
      </w:r>
      <w:r w:rsidRPr="009548FC">
        <w:rPr>
          <w:i/>
        </w:rPr>
        <w:t>i</w:t>
      </w:r>
    </w:p>
    <w:p w14:paraId="1EBC06A4" w14:textId="77777777" w:rsidR="00E760C2" w:rsidRPr="009548FC" w:rsidRDefault="00E760C2" w:rsidP="006751CE">
      <w:pPr>
        <w:pStyle w:val="Bullet"/>
      </w:pPr>
      <w:r w:rsidRPr="009548FC">
        <w:t>CSH</w:t>
      </w:r>
      <w:r w:rsidRPr="009548FC">
        <w:rPr>
          <w:vertAlign w:val="subscript"/>
        </w:rPr>
        <w:t xml:space="preserve">i </w:t>
      </w:r>
      <w:r w:rsidRPr="009548FC">
        <w:t>is a vector containing measures of culture, sport and heritage assets and investment in local authority</w:t>
      </w:r>
      <w:r w:rsidRPr="006751CE">
        <w:rPr>
          <w:i/>
        </w:rPr>
        <w:t xml:space="preserve"> i</w:t>
      </w:r>
    </w:p>
    <w:p w14:paraId="2E577727" w14:textId="77777777" w:rsidR="00E760C2" w:rsidRPr="009548FC" w:rsidRDefault="00E760C2" w:rsidP="006751CE">
      <w:pPr>
        <w:pStyle w:val="Bullet"/>
      </w:pPr>
      <w:r w:rsidRPr="009548FC">
        <w:t>Q is a vector of additional push/pull factors in the local authority as described above – note that these vary depending on availability of data in the cross-sectional and panel models</w:t>
      </w:r>
    </w:p>
    <w:p w14:paraId="6C82E822" w14:textId="77777777" w:rsidR="00E760C2" w:rsidRPr="009548FC" w:rsidRDefault="00E760C2" w:rsidP="006751CE">
      <w:pPr>
        <w:pStyle w:val="Bullet"/>
      </w:pPr>
      <w:proofErr w:type="gramStart"/>
      <w:r w:rsidRPr="009548FC">
        <w:rPr>
          <w:i/>
        </w:rPr>
        <w:t>a</w:t>
      </w:r>
      <w:proofErr w:type="gramEnd"/>
      <w:r w:rsidRPr="009548FC">
        <w:t xml:space="preserve"> is a constant</w:t>
      </w:r>
    </w:p>
    <w:p w14:paraId="75105FCD" w14:textId="77777777" w:rsidR="00E760C2" w:rsidRPr="009548FC" w:rsidRDefault="00E760C2" w:rsidP="006751CE">
      <w:pPr>
        <w:pStyle w:val="Bullet"/>
      </w:pPr>
      <w:r w:rsidRPr="009548FC">
        <w:rPr>
          <w:i/>
        </w:rPr>
        <w:t>β</w:t>
      </w:r>
      <w:r w:rsidRPr="009548FC">
        <w:rPr>
          <w:i/>
          <w:vertAlign w:val="subscript"/>
        </w:rPr>
        <w:t>i</w:t>
      </w:r>
      <w:r w:rsidRPr="009548FC">
        <w:rPr>
          <w:vertAlign w:val="subscript"/>
        </w:rPr>
        <w:t xml:space="preserve"> </w:t>
      </w:r>
      <w:r w:rsidRPr="009548FC">
        <w:t>are the parameters to be estimated</w:t>
      </w:r>
    </w:p>
    <w:p w14:paraId="10383AA1" w14:textId="77777777" w:rsidR="00E760C2" w:rsidRPr="009548FC" w:rsidRDefault="00E760C2" w:rsidP="00E760C2">
      <w:pPr>
        <w:rPr>
          <w:rFonts w:cs="Arial"/>
        </w:rPr>
      </w:pPr>
      <w:r w:rsidRPr="009548FC">
        <w:rPr>
          <w:rFonts w:cs="Arial"/>
        </w:rPr>
        <w:t>This functional form can be linearized using logarithms to give the following model, where estimated parameters can be interpreted as elasticities:</w:t>
      </w:r>
    </w:p>
    <w:p w14:paraId="582DEF67" w14:textId="5063E249" w:rsidR="00E760C2" w:rsidRPr="00E760C2" w:rsidRDefault="00395234" w:rsidP="00E760C2">
      <w:pPr>
        <w:tabs>
          <w:tab w:val="right" w:pos="9356"/>
        </w:tabs>
        <w:ind w:left="720" w:firstLine="720"/>
        <w:rPr>
          <w:rFonts w:ascii="Cambria Math" w:hAnsi="Cambria Math" w:cs="Arial"/>
          <w:i/>
        </w:rPr>
      </w:pPr>
      <m:oMath>
        <m:func>
          <m:funcPr>
            <m:ctrlPr>
              <w:rPr>
                <w:rFonts w:ascii="Cambria Math" w:hAnsi="Cambria Math" w:cs="Arial"/>
                <w:i/>
              </w:rPr>
            </m:ctrlPr>
          </m:funcPr>
          <m:fName>
            <m:r>
              <w:rPr>
                <w:rFonts w:ascii="Cambria Math" w:hAnsi="Cambria Math" w:cs="Arial"/>
              </w:rPr>
              <m:t>ln</m:t>
            </m:r>
          </m:fName>
          <m:e>
            <m:d>
              <m:dPr>
                <m:ctrlPr>
                  <w:rPr>
                    <w:rFonts w:ascii="Cambria Math" w:hAnsi="Cambria Math" w:cs="Arial"/>
                    <w:i/>
                  </w:rPr>
                </m:ctrlPr>
              </m:dPr>
              <m:e>
                <m:r>
                  <w:rPr>
                    <w:rFonts w:ascii="Cambria Math" w:hAnsi="Cambria Math" w:cs="Arial"/>
                  </w:rPr>
                  <m:t>Yi</m:t>
                </m:r>
              </m:e>
            </m:d>
          </m:e>
        </m:func>
        <m:r>
          <w:rPr>
            <w:rFonts w:ascii="Cambria Math" w:hAnsi="Cambria Math" w:cs="Arial"/>
          </w:rPr>
          <m:t xml:space="preserve">=a+ </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ln⁡(</m:t>
        </m:r>
        <m:sSub>
          <m:sSubPr>
            <m:ctrlPr>
              <w:rPr>
                <w:rFonts w:ascii="Cambria Math" w:hAnsi="Cambria Math" w:cs="Arial"/>
                <w:i/>
              </w:rPr>
            </m:ctrlPr>
          </m:sSubPr>
          <m:e>
            <m:r>
              <w:rPr>
                <w:rFonts w:ascii="Cambria Math" w:hAnsi="Cambria Math" w:cs="Arial"/>
              </w:rPr>
              <m:t>CSH</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r>
              <w:rPr>
                <w:rFonts w:ascii="Cambria Math" w:hAnsi="Cambria Math" w:cs="Arial"/>
              </w:rPr>
              <m:t>ln⁡( Q</m:t>
            </m:r>
          </m:e>
          <m:sub>
            <m:r>
              <w:rPr>
                <w:rFonts w:ascii="Cambria Math" w:hAnsi="Cambria Math" w:cs="Arial"/>
              </w:rPr>
              <m:t>i</m:t>
            </m:r>
          </m:sub>
        </m:sSub>
        <m:r>
          <w:rPr>
            <w:rFonts w:ascii="Cambria Math" w:hAnsi="Cambria Math" w:cs="Arial"/>
          </w:rPr>
          <m:t>)+ ϵ</m:t>
        </m:r>
      </m:oMath>
      <w:r w:rsidR="00E760C2" w:rsidRPr="00E760C2">
        <w:rPr>
          <w:rFonts w:ascii="Cambria Math" w:hAnsi="Cambria Math" w:cs="Arial"/>
          <w:i/>
        </w:rPr>
        <w:tab/>
      </w:r>
      <w:r w:rsidR="00E760C2" w:rsidRPr="009548FC">
        <w:rPr>
          <w:rFonts w:eastAsiaTheme="minorEastAsia" w:cs="Arial"/>
          <w:b/>
        </w:rPr>
        <w:t>(</w:t>
      </w:r>
      <w:proofErr w:type="gramStart"/>
      <w:r w:rsidR="00E760C2" w:rsidRPr="009548FC">
        <w:rPr>
          <w:rFonts w:eastAsiaTheme="minorEastAsia" w:cs="Arial"/>
          <w:b/>
        </w:rPr>
        <w:t>equation</w:t>
      </w:r>
      <w:proofErr w:type="gramEnd"/>
      <w:r w:rsidR="00E760C2" w:rsidRPr="009548FC">
        <w:rPr>
          <w:rFonts w:eastAsiaTheme="minorEastAsia" w:cs="Arial"/>
          <w:b/>
        </w:rPr>
        <w:t xml:space="preserve"> </w:t>
      </w:r>
      <w:r w:rsidR="00E760C2" w:rsidRPr="009A43FB">
        <w:rPr>
          <w:rFonts w:eastAsiaTheme="minorEastAsia" w:cs="Arial"/>
          <w:b/>
        </w:rPr>
        <w:t>2)</w:t>
      </w:r>
    </w:p>
    <w:p w14:paraId="7546361B" w14:textId="77777777" w:rsidR="00E760C2" w:rsidRPr="009A43FB" w:rsidRDefault="00E760C2" w:rsidP="00E760C2">
      <w:pPr>
        <w:rPr>
          <w:rFonts w:eastAsiaTheme="minorEastAsia" w:cs="Arial"/>
        </w:rPr>
      </w:pPr>
      <w:proofErr w:type="gramStart"/>
      <w:r w:rsidRPr="009548FC">
        <w:rPr>
          <w:rFonts w:cs="Arial"/>
        </w:rPr>
        <w:t>where</w:t>
      </w:r>
      <w:proofErr w:type="gramEnd"/>
      <w:r w:rsidRPr="009548FC">
        <w:rPr>
          <w:rFonts w:cs="Arial"/>
        </w:rPr>
        <w:t xml:space="preserve"> </w:t>
      </w:r>
      <m:oMath>
        <m:r>
          <w:rPr>
            <w:rFonts w:ascii="Cambria Math" w:hAnsi="Cambria Math" w:cs="Arial"/>
          </w:rPr>
          <m:t>ϵ</m:t>
        </m:r>
      </m:oMath>
      <w:r w:rsidRPr="009A43FB">
        <w:rPr>
          <w:rFonts w:eastAsiaTheme="minorEastAsia" w:cs="Arial"/>
        </w:rPr>
        <w:t xml:space="preserve"> is an error term.</w:t>
      </w:r>
    </w:p>
    <w:p w14:paraId="21969508" w14:textId="77777777" w:rsidR="00E760C2" w:rsidRPr="009548FC" w:rsidRDefault="00E760C2" w:rsidP="00E760C2">
      <w:pPr>
        <w:rPr>
          <w:rFonts w:eastAsiaTheme="minorEastAsia" w:cs="Arial"/>
          <w:b/>
        </w:rPr>
      </w:pPr>
      <w:r w:rsidRPr="00873DB7">
        <w:rPr>
          <w:rFonts w:eastAsiaTheme="minorEastAsia" w:cs="Arial"/>
        </w:rPr>
        <w:t>Note that this model was estimated for both cross-s</w:t>
      </w:r>
      <w:r w:rsidRPr="009548FC">
        <w:rPr>
          <w:rFonts w:eastAsiaTheme="minorEastAsia" w:cs="Arial"/>
        </w:rPr>
        <w:t>ectional and panel models.</w:t>
      </w:r>
      <w:r w:rsidRPr="009548FC">
        <w:rPr>
          <w:rFonts w:eastAsiaTheme="minorEastAsia" w:cs="Arial"/>
          <w:b/>
        </w:rPr>
        <w:t xml:space="preserve"> </w:t>
      </w:r>
    </w:p>
    <w:p w14:paraId="28E02B0D" w14:textId="77777777" w:rsidR="00E760C2" w:rsidRPr="009548FC" w:rsidRDefault="00E760C2" w:rsidP="00E760C2">
      <w:pPr>
        <w:rPr>
          <w:rFonts w:eastAsiaTheme="minorEastAsia" w:cs="Arial"/>
        </w:rPr>
      </w:pPr>
      <w:r w:rsidRPr="009548FC">
        <w:rPr>
          <w:rFonts w:eastAsiaTheme="minorEastAsia" w:cs="Arial"/>
        </w:rPr>
        <w:t>We use different definitions and permutations of local economic performance, and run several different base models as follows:</w:t>
      </w:r>
    </w:p>
    <w:p w14:paraId="3AE04EB7" w14:textId="77777777" w:rsidR="00E760C2" w:rsidRPr="00982C4F" w:rsidRDefault="00E760C2" w:rsidP="006751CE">
      <w:pPr>
        <w:pStyle w:val="ListParagraph"/>
        <w:ind w:left="1701"/>
        <w:rPr>
          <w:rFonts w:eastAsiaTheme="minorEastAsia" w:cs="Arial"/>
        </w:rPr>
      </w:pPr>
    </w:p>
    <w:p w14:paraId="4A3896C6" w14:textId="22ECEE8D" w:rsidR="00E760C2" w:rsidRPr="009548FC" w:rsidRDefault="00E760C2" w:rsidP="006751CE">
      <w:pPr>
        <w:tabs>
          <w:tab w:val="right" w:pos="9356"/>
        </w:tabs>
        <w:ind w:left="1701"/>
        <w:rPr>
          <w:rFonts w:eastAsiaTheme="minorEastAsia" w:cs="Arial"/>
          <w:b/>
        </w:rPr>
      </w:pPr>
      <w:r w:rsidRPr="009548FC">
        <w:rPr>
          <w:rFonts w:eastAsiaTheme="minorEastAsia" w:cs="Arial"/>
          <w:b/>
        </w:rPr>
        <w:t>Industry concentration cross</w:t>
      </w:r>
      <w:r w:rsidR="008F3611">
        <w:rPr>
          <w:rFonts w:eastAsiaTheme="minorEastAsia" w:cs="Arial"/>
          <w:b/>
        </w:rPr>
        <w:t>-</w:t>
      </w:r>
      <w:r w:rsidRPr="009548FC">
        <w:rPr>
          <w:rFonts w:eastAsiaTheme="minorEastAsia" w:cs="Arial"/>
          <w:b/>
        </w:rPr>
        <w:t>sectional model 1</w:t>
      </w:r>
      <w:r w:rsidRPr="009548FC">
        <w:rPr>
          <w:rFonts w:eastAsiaTheme="minorEastAsia" w:cs="Arial"/>
          <w:b/>
        </w:rPr>
        <w:tab/>
        <w:t>(equation 2.1)</w:t>
      </w:r>
    </w:p>
    <w:p w14:paraId="77FD1107" w14:textId="0EC7E4D1" w:rsidR="00E760C2" w:rsidRPr="009548FC" w:rsidRDefault="00E760C2" w:rsidP="006751CE">
      <w:pPr>
        <w:ind w:left="1701"/>
        <w:rPr>
          <w:rFonts w:eastAsiaTheme="minorEastAsia" w:cs="Arial"/>
        </w:rPr>
      </w:pPr>
      <w:r w:rsidRPr="009548FC">
        <w:rPr>
          <w:rFonts w:eastAsiaTheme="minorEastAsia" w:cs="Arial"/>
        </w:rPr>
        <w:t>Equation 2 where Y = [location quotient of industry] and Q = [heritage assets density, sports assets density, libraries density, cultural events, cumulative local authority investment in culture per capita, cumulative local authority investment in heritage per capita, cumulative local authority investment in sports per capita, cumulative arts lottery investment per capita, cumulative sports lottery investment per capita, cumulative heritage lottery investment per capita, number of individuals in creative employment, employment rate, proportion of labour with level 4</w:t>
      </w:r>
      <w:r w:rsidR="008F3611">
        <w:rPr>
          <w:rFonts w:eastAsiaTheme="minorEastAsia" w:cs="Arial"/>
        </w:rPr>
        <w:t>+</w:t>
      </w:r>
      <w:r w:rsidRPr="009548FC">
        <w:rPr>
          <w:rFonts w:eastAsiaTheme="minorEastAsia" w:cs="Arial"/>
        </w:rPr>
        <w:t xml:space="preserve"> qualifications, housing density, network infrastructure, transport infrastructure, life satisfaction, proportion of population meeting physical activity guidelines, size of the market, GVA per capita]</w:t>
      </w:r>
    </w:p>
    <w:p w14:paraId="42833759" w14:textId="77777777" w:rsidR="00E760C2" w:rsidRPr="009548FC" w:rsidRDefault="00E760C2" w:rsidP="006751CE">
      <w:pPr>
        <w:pStyle w:val="ListParagraph"/>
        <w:ind w:left="1701"/>
        <w:rPr>
          <w:rFonts w:ascii="Arial" w:eastAsiaTheme="minorEastAsia" w:hAnsi="Arial" w:cs="Arial"/>
        </w:rPr>
      </w:pPr>
    </w:p>
    <w:p w14:paraId="3EEF2A46" w14:textId="76885D81" w:rsidR="00E760C2" w:rsidRPr="009548FC" w:rsidRDefault="00E760C2" w:rsidP="006751CE">
      <w:pPr>
        <w:tabs>
          <w:tab w:val="right" w:pos="9356"/>
        </w:tabs>
        <w:ind w:left="1701"/>
        <w:rPr>
          <w:rFonts w:eastAsiaTheme="minorEastAsia" w:cs="Arial"/>
          <w:b/>
        </w:rPr>
      </w:pPr>
      <w:r w:rsidRPr="009548FC">
        <w:rPr>
          <w:rFonts w:eastAsiaTheme="minorEastAsia" w:cs="Arial"/>
          <w:b/>
        </w:rPr>
        <w:t>Industry concentration cross</w:t>
      </w:r>
      <w:r w:rsidR="008F3611">
        <w:rPr>
          <w:rFonts w:eastAsiaTheme="minorEastAsia" w:cs="Arial"/>
          <w:b/>
        </w:rPr>
        <w:t>-</w:t>
      </w:r>
      <w:r w:rsidRPr="009548FC">
        <w:rPr>
          <w:rFonts w:eastAsiaTheme="minorEastAsia" w:cs="Arial"/>
          <w:b/>
        </w:rPr>
        <w:t>sectional model 2</w:t>
      </w:r>
      <w:r w:rsidRPr="009548FC">
        <w:rPr>
          <w:rFonts w:eastAsiaTheme="minorEastAsia" w:cs="Arial"/>
          <w:b/>
        </w:rPr>
        <w:tab/>
        <w:t>(equation 2.2)</w:t>
      </w:r>
    </w:p>
    <w:p w14:paraId="78358A34" w14:textId="25A1CFD0" w:rsidR="00E760C2" w:rsidRPr="009548FC" w:rsidRDefault="00E760C2" w:rsidP="006751CE">
      <w:pPr>
        <w:ind w:left="1701"/>
        <w:rPr>
          <w:rFonts w:eastAsiaTheme="minorEastAsia" w:cs="Arial"/>
        </w:rPr>
      </w:pPr>
      <w:r w:rsidRPr="009548FC">
        <w:rPr>
          <w:rFonts w:eastAsiaTheme="minorEastAsia" w:cs="Arial"/>
        </w:rPr>
        <w:t>As equation 2.1 but Y = [net migration of industry] and Q = [heritage assets density, sports assets density, libraries density, cultural events listings per capita, annual local authority investment in culture per capita, annual local authority investment in heritage per capita, annual local authority investment in sports per capita, annual arts lottery investment per capita, annual sports lottery investment per capita, annual heritage lottery investment per capita, number of individuals in creative employment, employment rate, proportion of labour with level 4</w:t>
      </w:r>
      <w:r w:rsidR="008F3611">
        <w:rPr>
          <w:rFonts w:eastAsiaTheme="minorEastAsia" w:cs="Arial"/>
        </w:rPr>
        <w:t>+</w:t>
      </w:r>
      <w:r w:rsidRPr="009548FC">
        <w:rPr>
          <w:rFonts w:eastAsiaTheme="minorEastAsia" w:cs="Arial"/>
        </w:rPr>
        <w:t xml:space="preserve"> qualifications, housing density, network infrastructure, transport infrastructure, life satisfaction, proportion of population meeting physical activity guidelines, size of the market, GVA per capita]</w:t>
      </w:r>
    </w:p>
    <w:p w14:paraId="3903F7BC" w14:textId="77777777" w:rsidR="00E760C2" w:rsidRPr="009548FC" w:rsidRDefault="00E760C2" w:rsidP="006751CE">
      <w:pPr>
        <w:pStyle w:val="ListParagraph"/>
        <w:ind w:left="1701"/>
        <w:rPr>
          <w:rFonts w:ascii="Arial" w:eastAsiaTheme="minorEastAsia" w:hAnsi="Arial" w:cs="Arial"/>
        </w:rPr>
      </w:pPr>
    </w:p>
    <w:p w14:paraId="6843B119" w14:textId="6878063C" w:rsidR="00E760C2" w:rsidRPr="009548FC" w:rsidRDefault="00E760C2" w:rsidP="006751CE">
      <w:pPr>
        <w:tabs>
          <w:tab w:val="right" w:pos="9356"/>
        </w:tabs>
        <w:ind w:left="1701"/>
        <w:rPr>
          <w:rFonts w:eastAsiaTheme="minorEastAsia" w:cs="Arial"/>
          <w:b/>
        </w:rPr>
      </w:pPr>
      <w:r w:rsidRPr="009548FC">
        <w:rPr>
          <w:rFonts w:eastAsiaTheme="minorEastAsia" w:cs="Arial"/>
          <w:b/>
        </w:rPr>
        <w:t>Industry turnover cross</w:t>
      </w:r>
      <w:r w:rsidR="008F3611">
        <w:rPr>
          <w:rFonts w:eastAsiaTheme="minorEastAsia" w:cs="Arial"/>
          <w:b/>
        </w:rPr>
        <w:t>-</w:t>
      </w:r>
      <w:r w:rsidRPr="009548FC">
        <w:rPr>
          <w:rFonts w:eastAsiaTheme="minorEastAsia" w:cs="Arial"/>
          <w:b/>
        </w:rPr>
        <w:t xml:space="preserve">sectional model </w:t>
      </w:r>
      <w:r w:rsidRPr="009548FC">
        <w:rPr>
          <w:rFonts w:eastAsiaTheme="minorEastAsia" w:cs="Arial"/>
          <w:b/>
        </w:rPr>
        <w:tab/>
        <w:t>(equation 2.3)</w:t>
      </w:r>
    </w:p>
    <w:p w14:paraId="07EE0911" w14:textId="1F78BB19" w:rsidR="00E760C2" w:rsidRPr="009548FC" w:rsidRDefault="00E760C2" w:rsidP="006751CE">
      <w:pPr>
        <w:ind w:left="1701"/>
        <w:rPr>
          <w:rFonts w:eastAsiaTheme="minorEastAsia" w:cs="Arial"/>
        </w:rPr>
      </w:pPr>
      <w:r w:rsidRPr="009548FC">
        <w:rPr>
          <w:rFonts w:eastAsiaTheme="minorEastAsia" w:cs="Arial"/>
        </w:rPr>
        <w:t xml:space="preserve">As equation 2.1 but Y = [turnover of industry] </w:t>
      </w:r>
    </w:p>
    <w:p w14:paraId="51DE83C0" w14:textId="77777777" w:rsidR="00E760C2" w:rsidRPr="009548FC" w:rsidRDefault="00E760C2" w:rsidP="006751CE">
      <w:pPr>
        <w:ind w:left="1701"/>
        <w:rPr>
          <w:rFonts w:cs="Arial"/>
        </w:rPr>
      </w:pPr>
    </w:p>
    <w:p w14:paraId="60714DE4" w14:textId="77777777" w:rsidR="00E760C2" w:rsidRPr="009548FC" w:rsidRDefault="00E760C2" w:rsidP="00E760C2">
      <w:pPr>
        <w:rPr>
          <w:rFonts w:cs="Arial"/>
          <w:b/>
        </w:rPr>
      </w:pPr>
      <w:r w:rsidRPr="009548FC">
        <w:rPr>
          <w:rFonts w:cs="Arial"/>
        </w:rPr>
        <w:t>Models were also tested to exploit the availability of panel data where possible, considering both turnover of firms and location/concentration of firms. Lagged investment was used as firm location decisions may not occur immediately, and firms’ success may depend on prior investment that is not realised immediately.</w:t>
      </w:r>
      <w:r w:rsidRPr="009548FC">
        <w:rPr>
          <w:rFonts w:cs="Arial"/>
          <w:b/>
        </w:rPr>
        <w:t xml:space="preserve"> </w:t>
      </w:r>
    </w:p>
    <w:p w14:paraId="75C6084E" w14:textId="77777777" w:rsidR="00E760C2" w:rsidRPr="00873DB7" w:rsidRDefault="00E760C2" w:rsidP="00E760C2">
      <w:pPr>
        <w:rPr>
          <w:rFonts w:cs="Arial"/>
        </w:rPr>
      </w:pPr>
      <w:proofErr w:type="gramStart"/>
      <w:r w:rsidRPr="009548FC">
        <w:rPr>
          <w:rFonts w:cs="Arial"/>
        </w:rPr>
        <w:t>Results were separated by location for local authorities within major urban centres and those outside, using government definitions of rural-urban classification</w:t>
      </w:r>
      <w:proofErr w:type="gramEnd"/>
      <w:r w:rsidRPr="009548FC">
        <w:rPr>
          <w:rStyle w:val="FootnoteReference"/>
          <w:rFonts w:cs="Arial"/>
        </w:rPr>
        <w:footnoteReference w:id="25"/>
      </w:r>
      <w:r w:rsidRPr="009548FC">
        <w:rPr>
          <w:rFonts w:cs="Arial"/>
        </w:rPr>
        <w:t>. This is important</w:t>
      </w:r>
      <w:r w:rsidRPr="009A43FB">
        <w:rPr>
          <w:rFonts w:cs="Arial"/>
        </w:rPr>
        <w:t xml:space="preserve"> </w:t>
      </w:r>
      <w:r w:rsidRPr="008666BF">
        <w:rPr>
          <w:rFonts w:cs="Arial"/>
        </w:rPr>
        <w:t xml:space="preserve">as if results are the same across both specifications we can be more confident that </w:t>
      </w:r>
      <w:r w:rsidRPr="00873DB7">
        <w:rPr>
          <w:rFonts w:cs="Arial"/>
        </w:rPr>
        <w:t>our results are not just showing urban agglomeration effects.</w:t>
      </w:r>
    </w:p>
    <w:p w14:paraId="4939886E" w14:textId="77777777" w:rsidR="00E760C2" w:rsidRPr="009548FC" w:rsidRDefault="00E760C2" w:rsidP="00E760C2">
      <w:pPr>
        <w:rPr>
          <w:rFonts w:cs="Arial"/>
          <w:szCs w:val="22"/>
        </w:rPr>
      </w:pPr>
      <w:r w:rsidRPr="009548FC">
        <w:rPr>
          <w:rFonts w:cs="Arial"/>
          <w:szCs w:val="22"/>
        </w:rPr>
        <w:t>Both fixed effects and random effects models were considered:</w:t>
      </w:r>
    </w:p>
    <w:p w14:paraId="3F33B39C" w14:textId="77777777" w:rsidR="00E760C2" w:rsidRPr="00511EC8" w:rsidRDefault="00E760C2" w:rsidP="006751CE">
      <w:pPr>
        <w:pStyle w:val="Bullet"/>
      </w:pPr>
      <w:r w:rsidRPr="00511EC8">
        <w:t xml:space="preserve">Random effects models control for unobserved heterogeneity when it is constant over time, by assuming that individual specific effects are uncorrelated with independent variable. Variables remaining constant over time can be included in the model. </w:t>
      </w:r>
    </w:p>
    <w:p w14:paraId="3D7E44BC" w14:textId="77777777" w:rsidR="00E760C2" w:rsidRPr="00511EC8" w:rsidRDefault="00E760C2" w:rsidP="006751CE">
      <w:pPr>
        <w:pStyle w:val="Bullet"/>
      </w:pPr>
      <w:r w:rsidRPr="00511EC8">
        <w:t>Fixed effects models control for time-independent effects in our unit of analysis (local authorities), but is less strict: it does not require individual specific effects be uncorrelated with independent variables. Our results are not biased only if we omit time-independent causal variables. However, we cannot include time-invariant variables (such as assets data).</w:t>
      </w:r>
    </w:p>
    <w:p w14:paraId="301FAAB4" w14:textId="77777777" w:rsidR="00E760C2" w:rsidRPr="009548FC" w:rsidRDefault="00E760C2" w:rsidP="00E760C2">
      <w:pPr>
        <w:rPr>
          <w:rFonts w:cs="Arial"/>
        </w:rPr>
      </w:pPr>
      <w:r w:rsidRPr="009548FC">
        <w:rPr>
          <w:rFonts w:cs="Arial"/>
        </w:rPr>
        <w:t>The Hausman Test was used to determine the appropriate statistical model, which determined that fixed effects was likely to be more appropriate than the random effects model. However, this means that time invariant variables must be excluded – which applies to all the CS&amp;H assets data we have available.</w:t>
      </w:r>
      <w:r w:rsidRPr="009548FC">
        <w:rPr>
          <w:rFonts w:cs="Arial"/>
          <w:b/>
        </w:rPr>
        <w:t xml:space="preserve"> </w:t>
      </w:r>
    </w:p>
    <w:p w14:paraId="49E47D07" w14:textId="77777777" w:rsidR="00E760C2" w:rsidRDefault="00E760C2" w:rsidP="00E760C2">
      <w:pPr>
        <w:rPr>
          <w:rFonts w:cs="Arial"/>
        </w:rPr>
      </w:pPr>
      <w:r w:rsidRPr="009548FC">
        <w:rPr>
          <w:rFonts w:cs="Arial"/>
        </w:rPr>
        <w:t xml:space="preserve">Errors are clustered at the Local Authority level – this means the observations may be correlated within local authorities but would be independent between them. </w:t>
      </w:r>
    </w:p>
    <w:p w14:paraId="3415A965" w14:textId="77777777" w:rsidR="00F447A6" w:rsidRPr="009548FC" w:rsidRDefault="00F447A6" w:rsidP="006751CE">
      <w:pPr>
        <w:ind w:left="1701"/>
        <w:rPr>
          <w:rFonts w:cs="Arial"/>
        </w:rPr>
      </w:pPr>
    </w:p>
    <w:p w14:paraId="77A7AC83" w14:textId="3E575752" w:rsidR="00E760C2" w:rsidRPr="008666BF" w:rsidRDefault="00E760C2" w:rsidP="006751CE">
      <w:pPr>
        <w:tabs>
          <w:tab w:val="right" w:pos="9356"/>
        </w:tabs>
        <w:ind w:left="1701"/>
        <w:rPr>
          <w:rFonts w:eastAsiaTheme="minorEastAsia" w:cs="Arial"/>
          <w:b/>
        </w:rPr>
      </w:pPr>
      <w:r w:rsidRPr="008666BF">
        <w:rPr>
          <w:rFonts w:eastAsiaTheme="minorEastAsia" w:cs="Arial"/>
          <w:b/>
        </w:rPr>
        <w:t>Industry concentration panel model 1</w:t>
      </w:r>
      <w:r w:rsidRPr="008666BF">
        <w:rPr>
          <w:rFonts w:eastAsiaTheme="minorEastAsia" w:cs="Arial"/>
          <w:b/>
        </w:rPr>
        <w:tab/>
        <w:t>(equation 2.4)</w:t>
      </w:r>
    </w:p>
    <w:p w14:paraId="76920C42" w14:textId="5F942D0C" w:rsidR="00E760C2" w:rsidRPr="009548FC" w:rsidRDefault="00E760C2" w:rsidP="006751CE">
      <w:pPr>
        <w:ind w:left="1701"/>
        <w:rPr>
          <w:rFonts w:eastAsiaTheme="minorEastAsia" w:cs="Arial"/>
        </w:rPr>
      </w:pPr>
      <w:r w:rsidRPr="00873DB7">
        <w:rPr>
          <w:rFonts w:eastAsiaTheme="minorEastAsia" w:cs="Arial"/>
        </w:rPr>
        <w:t xml:space="preserve">As equation 2.1 but Q = [per capita investment in CS&amp;H, lagged per capita investment in CS&amp;H, </w:t>
      </w:r>
      <w:r w:rsidR="00F447A6">
        <w:rPr>
          <w:rFonts w:eastAsiaTheme="minorEastAsia" w:cs="Arial"/>
        </w:rPr>
        <w:t>two</w:t>
      </w:r>
      <w:r w:rsidRPr="009548FC">
        <w:rPr>
          <w:rFonts w:eastAsiaTheme="minorEastAsia" w:cs="Arial"/>
        </w:rPr>
        <w:t>-year lagged per capita investment in CS&amp;H, employment rate, skilled employment proportion, GVA, proportion of population meeting physical activity guidelines]</w:t>
      </w:r>
    </w:p>
    <w:p w14:paraId="5BED24C1" w14:textId="5CE5E222" w:rsidR="00E760C2" w:rsidRPr="009548FC" w:rsidRDefault="00E760C2" w:rsidP="006751CE">
      <w:pPr>
        <w:pStyle w:val="ListParagraph"/>
        <w:ind w:left="1701"/>
        <w:rPr>
          <w:rFonts w:ascii="Arial" w:eastAsiaTheme="minorEastAsia" w:hAnsi="Arial" w:cs="Arial"/>
        </w:rPr>
      </w:pPr>
    </w:p>
    <w:p w14:paraId="33A7E5CB" w14:textId="3C5B6577" w:rsidR="00E760C2" w:rsidRPr="009548FC" w:rsidRDefault="00E760C2" w:rsidP="006751CE">
      <w:pPr>
        <w:tabs>
          <w:tab w:val="right" w:pos="9356"/>
        </w:tabs>
        <w:ind w:left="1701"/>
        <w:rPr>
          <w:rFonts w:eastAsiaTheme="minorEastAsia" w:cs="Arial"/>
          <w:b/>
        </w:rPr>
      </w:pPr>
      <w:r w:rsidRPr="009548FC">
        <w:rPr>
          <w:rFonts w:eastAsiaTheme="minorEastAsia" w:cs="Arial"/>
          <w:b/>
        </w:rPr>
        <w:t>Industry concentration panel model 2</w:t>
      </w:r>
      <w:r w:rsidRPr="009548FC">
        <w:rPr>
          <w:rFonts w:eastAsiaTheme="minorEastAsia" w:cs="Arial"/>
          <w:b/>
        </w:rPr>
        <w:tab/>
        <w:t>(equation 2.5)</w:t>
      </w:r>
    </w:p>
    <w:p w14:paraId="4B2762E1" w14:textId="52910BDC" w:rsidR="00E760C2" w:rsidRPr="009548FC" w:rsidRDefault="00E760C2" w:rsidP="006751CE">
      <w:pPr>
        <w:ind w:left="1701"/>
        <w:rPr>
          <w:rFonts w:eastAsiaTheme="minorEastAsia" w:cs="Arial"/>
        </w:rPr>
      </w:pPr>
      <w:r w:rsidRPr="009548FC">
        <w:rPr>
          <w:rFonts w:eastAsiaTheme="minorEastAsia" w:cs="Arial"/>
        </w:rPr>
        <w:t xml:space="preserve">As equation 2.2 but Q = [per capita investment in CS&amp;H, lagged per capita investment in CS&amp;H, </w:t>
      </w:r>
      <w:r w:rsidR="00F447A6">
        <w:rPr>
          <w:rFonts w:eastAsiaTheme="minorEastAsia" w:cs="Arial"/>
        </w:rPr>
        <w:t>two</w:t>
      </w:r>
      <w:r w:rsidRPr="009548FC">
        <w:rPr>
          <w:rFonts w:eastAsiaTheme="minorEastAsia" w:cs="Arial"/>
        </w:rPr>
        <w:t>-year lagged per capita investment in CS&amp;H, employment rate, skilled employment proportion, GVA]</w:t>
      </w:r>
    </w:p>
    <w:p w14:paraId="41092C2D" w14:textId="77777777" w:rsidR="00E760C2" w:rsidRPr="009548FC" w:rsidRDefault="00E760C2" w:rsidP="006751CE">
      <w:pPr>
        <w:pStyle w:val="ListParagraph"/>
        <w:tabs>
          <w:tab w:val="left" w:pos="1134"/>
        </w:tabs>
        <w:ind w:left="1701"/>
        <w:rPr>
          <w:rFonts w:ascii="Arial" w:eastAsiaTheme="minorEastAsia" w:hAnsi="Arial" w:cs="Arial"/>
        </w:rPr>
      </w:pPr>
    </w:p>
    <w:p w14:paraId="17F09D68" w14:textId="5134BC30" w:rsidR="00E760C2" w:rsidRPr="009548FC" w:rsidRDefault="00E760C2" w:rsidP="006751CE">
      <w:pPr>
        <w:tabs>
          <w:tab w:val="right" w:pos="9356"/>
        </w:tabs>
        <w:ind w:left="1701"/>
        <w:rPr>
          <w:rFonts w:eastAsiaTheme="minorEastAsia" w:cs="Arial"/>
          <w:b/>
        </w:rPr>
      </w:pPr>
      <w:r w:rsidRPr="009548FC">
        <w:rPr>
          <w:rFonts w:eastAsiaTheme="minorEastAsia" w:cs="Arial"/>
          <w:b/>
        </w:rPr>
        <w:t xml:space="preserve">Industry turnover panel model </w:t>
      </w:r>
      <w:r w:rsidRPr="009548FC">
        <w:rPr>
          <w:rFonts w:eastAsiaTheme="minorEastAsia" w:cs="Arial"/>
          <w:b/>
        </w:rPr>
        <w:tab/>
        <w:t>(equation 2.6)</w:t>
      </w:r>
    </w:p>
    <w:p w14:paraId="04D35735" w14:textId="2180E358" w:rsidR="00E760C2" w:rsidRPr="009548FC" w:rsidRDefault="00E760C2" w:rsidP="006751CE">
      <w:pPr>
        <w:tabs>
          <w:tab w:val="right" w:pos="9356"/>
        </w:tabs>
        <w:ind w:left="1701"/>
        <w:rPr>
          <w:rFonts w:eastAsiaTheme="minorEastAsia" w:cs="Arial"/>
        </w:rPr>
      </w:pPr>
      <w:r w:rsidRPr="009548FC">
        <w:rPr>
          <w:rFonts w:eastAsiaTheme="minorEastAsia" w:cs="Arial"/>
        </w:rPr>
        <w:t xml:space="preserve">As equation 2.3 but Q = [per capita investment in CS&amp;H, lagged per capita investment in CS&amp;H, </w:t>
      </w:r>
      <w:r w:rsidR="00F447A6">
        <w:rPr>
          <w:rFonts w:eastAsiaTheme="minorEastAsia" w:cs="Arial"/>
        </w:rPr>
        <w:t>two-</w:t>
      </w:r>
      <w:r w:rsidRPr="009548FC">
        <w:rPr>
          <w:rFonts w:eastAsiaTheme="minorEastAsia" w:cs="Arial"/>
        </w:rPr>
        <w:t>year lagged per capita investment in CS&amp;H, employment rate, skilled employment proportion, GVA]</w:t>
      </w:r>
    </w:p>
    <w:p w14:paraId="3AC5371D" w14:textId="77777777" w:rsidR="00E760C2" w:rsidRPr="009548FC" w:rsidRDefault="00E760C2" w:rsidP="006751CE">
      <w:pPr>
        <w:pStyle w:val="ListParagraph"/>
        <w:tabs>
          <w:tab w:val="left" w:pos="1134"/>
        </w:tabs>
        <w:ind w:left="1701"/>
        <w:rPr>
          <w:rFonts w:ascii="Arial" w:eastAsiaTheme="minorEastAsia" w:hAnsi="Arial" w:cs="Arial"/>
        </w:rPr>
      </w:pPr>
    </w:p>
    <w:p w14:paraId="3AE0297B" w14:textId="77777777" w:rsidR="00E760C2" w:rsidRPr="009548FC" w:rsidRDefault="00E760C2" w:rsidP="00E760C2">
      <w:pPr>
        <w:rPr>
          <w:rFonts w:eastAsiaTheme="minorEastAsia" w:cs="Arial"/>
        </w:rPr>
      </w:pPr>
      <w:r w:rsidRPr="009548FC">
        <w:rPr>
          <w:rFonts w:eastAsiaTheme="minorEastAsia" w:cs="Arial"/>
        </w:rPr>
        <w:t>Equations 2.2, 2.3, 2.5, and 2.6 were re-estimated for all firms.</w:t>
      </w:r>
    </w:p>
    <w:p w14:paraId="233E6E97" w14:textId="6E53E742" w:rsidR="00E760C2" w:rsidRPr="009548FC" w:rsidRDefault="00E760C2" w:rsidP="00E760C2">
      <w:pPr>
        <w:pStyle w:val="Heading2Numbered"/>
      </w:pPr>
      <w:bookmarkStart w:id="37" w:name="_Toc464222901"/>
      <w:r w:rsidRPr="009548FC">
        <w:t>Data and model specifications</w:t>
      </w:r>
      <w:bookmarkEnd w:id="37"/>
    </w:p>
    <w:p w14:paraId="2D256649" w14:textId="689E7A70" w:rsidR="00E760C2" w:rsidRPr="009548FC" w:rsidRDefault="00E760C2" w:rsidP="00E760C2">
      <w:pPr>
        <w:jc w:val="both"/>
        <w:rPr>
          <w:rFonts w:cs="Arial"/>
        </w:rPr>
      </w:pPr>
      <w:r w:rsidRPr="009548FC">
        <w:rPr>
          <w:rFonts w:cs="Arial"/>
        </w:rPr>
        <w:t xml:space="preserve">To enable our analysis, we developed an extensive and unique local authority level database consisting of </w:t>
      </w:r>
      <w:r w:rsidR="00427EE1">
        <w:rPr>
          <w:rFonts w:cs="Arial"/>
        </w:rPr>
        <w:t>multiple variables and observations o</w:t>
      </w:r>
      <w:r w:rsidRPr="009548FC">
        <w:rPr>
          <w:rFonts w:cs="Arial"/>
        </w:rPr>
        <w:t>ver the time period 2003–2013. This database covers all English local authorities and encompasses a wide range of socio-economic indicators (variables), clustered in</w:t>
      </w:r>
      <w:r w:rsidR="00634025">
        <w:rPr>
          <w:rFonts w:cs="Arial"/>
        </w:rPr>
        <w:t>to</w:t>
      </w:r>
      <w:r w:rsidRPr="009548FC">
        <w:rPr>
          <w:rFonts w:cs="Arial"/>
        </w:rPr>
        <w:t xml:space="preserve"> the following groups:</w:t>
      </w:r>
      <w:r w:rsidR="00A033C6">
        <w:rPr>
          <w:rFonts w:cs="Arial"/>
        </w:rPr>
        <w:t xml:space="preserve">  </w:t>
      </w:r>
    </w:p>
    <w:p w14:paraId="0ED1B752" w14:textId="05873E55" w:rsidR="00E760C2" w:rsidRPr="009548FC" w:rsidRDefault="00E760C2" w:rsidP="006751CE">
      <w:pPr>
        <w:pStyle w:val="Bullet"/>
      </w:pPr>
      <w:r w:rsidRPr="009548FC">
        <w:t xml:space="preserve">CS&amp;H investment variables, including </w:t>
      </w:r>
      <w:r w:rsidR="004F518D">
        <w:t>a</w:t>
      </w:r>
      <w:r w:rsidR="004F518D" w:rsidRPr="009548FC">
        <w:t xml:space="preserve"> </w:t>
      </w:r>
      <w:r w:rsidRPr="009548FC">
        <w:t xml:space="preserve">breakdown of investment </w:t>
      </w:r>
      <w:r w:rsidR="004F518D">
        <w:t>by</w:t>
      </w:r>
      <w:r w:rsidRPr="009548FC">
        <w:t xml:space="preserve"> source (e.g. Big Lottery investment) and type (</w:t>
      </w:r>
      <w:r w:rsidR="004F518D">
        <w:t xml:space="preserve">e.g. </w:t>
      </w:r>
      <w:r w:rsidRPr="009548FC">
        <w:t>arts).</w:t>
      </w:r>
    </w:p>
    <w:p w14:paraId="1E726C21" w14:textId="306F01BF" w:rsidR="00E760C2" w:rsidRPr="009548FC" w:rsidRDefault="00E760C2" w:rsidP="006751CE">
      <w:pPr>
        <w:pStyle w:val="Bullet"/>
      </w:pPr>
      <w:r w:rsidRPr="009548FC">
        <w:t>CS&amp;H assets variables</w:t>
      </w:r>
      <w:r w:rsidR="004F518D">
        <w:t>,</w:t>
      </w:r>
      <w:r w:rsidR="004F518D" w:rsidRPr="009548FC">
        <w:t xml:space="preserve"> </w:t>
      </w:r>
      <w:r w:rsidRPr="009548FC">
        <w:t>as with investment including variables representing the type of assets and their ownership.</w:t>
      </w:r>
    </w:p>
    <w:p w14:paraId="26AAEF54" w14:textId="2DA2BF13" w:rsidR="00E760C2" w:rsidRPr="009548FC" w:rsidRDefault="00E760C2" w:rsidP="006751CE">
      <w:pPr>
        <w:pStyle w:val="Bullet"/>
      </w:pPr>
      <w:r w:rsidRPr="009548FC">
        <w:t xml:space="preserve">Creative industry-related variables, including for example net </w:t>
      </w:r>
      <w:r w:rsidR="004F518D">
        <w:t xml:space="preserve">firm </w:t>
      </w:r>
      <w:r w:rsidRPr="009548FC">
        <w:t>migration in and out of respective local authorities and measures of creative industry concentration.</w:t>
      </w:r>
    </w:p>
    <w:p w14:paraId="06AC2BFB" w14:textId="4407DF3B" w:rsidR="00E760C2" w:rsidRPr="009548FC" w:rsidRDefault="00E760C2" w:rsidP="006751CE">
      <w:pPr>
        <w:pStyle w:val="Bullet"/>
      </w:pPr>
      <w:r w:rsidRPr="009548FC">
        <w:t>Wider industry performance variables, including net migration of all firms, turnover growth of firms, and variables as for the creative industries for a number of other sectors of interest – the knowledge economy, tourism and professional and business services.</w:t>
      </w:r>
    </w:p>
    <w:p w14:paraId="161FF415" w14:textId="4069EC14" w:rsidR="00E760C2" w:rsidRDefault="00E760C2" w:rsidP="006751CE">
      <w:pPr>
        <w:pStyle w:val="Bullet"/>
      </w:pPr>
      <w:r w:rsidRPr="009548FC">
        <w:t>A set of control variables, accounting for different characteristics of local authorities including</w:t>
      </w:r>
      <w:r w:rsidR="004F518D">
        <w:t>,</w:t>
      </w:r>
      <w:r w:rsidRPr="009548FC">
        <w:t xml:space="preserve"> for example</w:t>
      </w:r>
      <w:r w:rsidR="004F518D">
        <w:t>,</w:t>
      </w:r>
      <w:r w:rsidRPr="009548FC">
        <w:t xml:space="preserve"> economic performance, infrastructure development, employment, human capital (education levels) and well-being indicators (e.g. life satisfaction scores and physical activity rates).</w:t>
      </w:r>
      <w:r w:rsidR="00A033C6">
        <w:t xml:space="preserve"> </w:t>
      </w:r>
    </w:p>
    <w:p w14:paraId="1C7A9B59" w14:textId="77777777" w:rsidR="003251F5" w:rsidRDefault="0043732F" w:rsidP="006658AF">
      <w:pPr>
        <w:rPr>
          <w:rFonts w:cs="Arial"/>
        </w:rPr>
      </w:pPr>
      <w:r>
        <w:rPr>
          <w:rFonts w:cs="Arial"/>
        </w:rPr>
        <w:t xml:space="preserve">The variables used in our analysis are not exhaustive. The choice of variables is limited by data </w:t>
      </w:r>
      <w:r w:rsidRPr="009548FC">
        <w:rPr>
          <w:rFonts w:cs="Arial"/>
        </w:rPr>
        <w:t>availability</w:t>
      </w:r>
      <w:r>
        <w:rPr>
          <w:rFonts w:cs="Arial"/>
        </w:rPr>
        <w:t xml:space="preserve"> (including the availability of longitudinal data)</w:t>
      </w:r>
      <w:r w:rsidRPr="009548FC">
        <w:rPr>
          <w:rFonts w:cs="Arial"/>
        </w:rPr>
        <w:t xml:space="preserve"> at local authority level</w:t>
      </w:r>
      <w:r>
        <w:rPr>
          <w:rFonts w:cs="Arial"/>
        </w:rPr>
        <w:t xml:space="preserve">. </w:t>
      </w:r>
      <w:r w:rsidR="00752E72">
        <w:rPr>
          <w:rFonts w:cs="Arial"/>
        </w:rPr>
        <w:t>Initial correlation analysis was also undertaken to examine whether relationships exist between infrastructure and investment indicators, and indicators of local economic performance</w:t>
      </w:r>
      <w:r w:rsidR="003251F5">
        <w:rPr>
          <w:rFonts w:cs="Arial"/>
        </w:rPr>
        <w:t>; effectively, this tested whether subsequent regression analysis would be likely to yield results.</w:t>
      </w:r>
    </w:p>
    <w:p w14:paraId="05F71B83" w14:textId="226C5A42" w:rsidR="00D3786B" w:rsidRDefault="003251F5" w:rsidP="006658AF">
      <w:pPr>
        <w:rPr>
          <w:rFonts w:cs="Arial"/>
        </w:rPr>
      </w:pPr>
      <w:r>
        <w:rPr>
          <w:rFonts w:cs="Arial"/>
        </w:rPr>
        <w:t xml:space="preserve">Correlation analysis found positive relationships between CS&amp;H investment </w:t>
      </w:r>
      <w:r w:rsidR="00EB6B21">
        <w:rPr>
          <w:rFonts w:cs="Arial"/>
        </w:rPr>
        <w:t xml:space="preserve">(and lagged investment) </w:t>
      </w:r>
      <w:r>
        <w:rPr>
          <w:rFonts w:cs="Arial"/>
        </w:rPr>
        <w:t>and many local economic indicators. These relationships persisted across years, but some weakened when outliers (in particular, the City of London and Isles</w:t>
      </w:r>
      <w:r w:rsidR="00EB6B21">
        <w:rPr>
          <w:rFonts w:cs="Arial"/>
        </w:rPr>
        <w:t xml:space="preserve"> of Scilly) were removed. In particular, </w:t>
      </w:r>
      <w:r w:rsidR="00D3786B">
        <w:rPr>
          <w:rFonts w:cs="Arial"/>
        </w:rPr>
        <w:t>the analysis suggested strong relationships between CS&amp;H investment and firm numbers (total firms and creative industries firms), turnover growth rates and firm migration. These were identified as indicators on which further analysis should focus.</w:t>
      </w:r>
    </w:p>
    <w:p w14:paraId="31435A0A" w14:textId="37F62E3A" w:rsidR="0043732F" w:rsidRDefault="003251F5" w:rsidP="006658AF">
      <w:pPr>
        <w:rPr>
          <w:rFonts w:cs="Arial"/>
        </w:rPr>
      </w:pPr>
      <w:r>
        <w:rPr>
          <w:rFonts w:cs="Arial"/>
        </w:rPr>
        <w:t>Weaker relationships were found between CS&amp;H asset</w:t>
      </w:r>
      <w:r w:rsidR="00EB6B21">
        <w:rPr>
          <w:rFonts w:cs="Arial"/>
        </w:rPr>
        <w:t xml:space="preserve">s and local economic indicators, </w:t>
      </w:r>
      <w:r w:rsidR="00E11FF1">
        <w:rPr>
          <w:rFonts w:cs="Arial"/>
        </w:rPr>
        <w:t xml:space="preserve">and the correlation analysis suggested that further exploration of the relationships between assets and local economic performance would be unlikely to yield meaningful results. </w:t>
      </w:r>
      <w:r w:rsidR="00673CA3">
        <w:rPr>
          <w:rFonts w:cs="Arial"/>
        </w:rPr>
        <w:t>D</w:t>
      </w:r>
      <w:r w:rsidR="00CF7CE6">
        <w:rPr>
          <w:rFonts w:cs="Arial"/>
        </w:rPr>
        <w:t>ata quality</w:t>
      </w:r>
      <w:r w:rsidR="00E11FF1">
        <w:rPr>
          <w:rFonts w:cs="Arial"/>
        </w:rPr>
        <w:t>, and the absence of longitudinal data on CS&amp;H assets in particular,</w:t>
      </w:r>
      <w:r w:rsidR="00CF7CE6">
        <w:rPr>
          <w:rFonts w:cs="Arial"/>
        </w:rPr>
        <w:t xml:space="preserve"> </w:t>
      </w:r>
      <w:r w:rsidR="00E11FF1">
        <w:rPr>
          <w:rFonts w:cs="Arial"/>
        </w:rPr>
        <w:t xml:space="preserve">was identified </w:t>
      </w:r>
      <w:proofErr w:type="gramStart"/>
      <w:r w:rsidR="00E11FF1">
        <w:rPr>
          <w:rFonts w:cs="Arial"/>
        </w:rPr>
        <w:t>a</w:t>
      </w:r>
      <w:r w:rsidR="00CF7CE6">
        <w:rPr>
          <w:rFonts w:cs="Arial"/>
        </w:rPr>
        <w:t xml:space="preserve"> an</w:t>
      </w:r>
      <w:proofErr w:type="gramEnd"/>
      <w:r w:rsidR="00CF7CE6">
        <w:rPr>
          <w:rFonts w:cs="Arial"/>
        </w:rPr>
        <w:t xml:space="preserve"> issue. For example,</w:t>
      </w:r>
      <w:r w:rsidR="00D3786B">
        <w:rPr>
          <w:rFonts w:cs="Arial"/>
        </w:rPr>
        <w:t xml:space="preserve"> </w:t>
      </w:r>
      <w:r w:rsidR="00EB6B21">
        <w:rPr>
          <w:rFonts w:cs="Arial"/>
        </w:rPr>
        <w:t xml:space="preserve">there tends to be a lag in </w:t>
      </w:r>
      <w:r w:rsidR="00D3786B">
        <w:rPr>
          <w:rFonts w:cs="Arial"/>
        </w:rPr>
        <w:t xml:space="preserve">of one to two years in </w:t>
      </w:r>
      <w:r w:rsidR="00EB6B21">
        <w:rPr>
          <w:rFonts w:cs="Arial"/>
        </w:rPr>
        <w:t>availability of economic variables (the most recent consistently available data was for 2013)</w:t>
      </w:r>
      <w:r w:rsidR="00D3786B">
        <w:rPr>
          <w:rFonts w:cs="Arial"/>
        </w:rPr>
        <w:t xml:space="preserve"> while data on CS&amp;H assets is largely based on a more current snapshot</w:t>
      </w:r>
      <w:r w:rsidR="00CF7CE6">
        <w:rPr>
          <w:rFonts w:cs="Arial"/>
        </w:rPr>
        <w:t>. T</w:t>
      </w:r>
      <w:r w:rsidR="00EB6B21">
        <w:rPr>
          <w:rFonts w:cs="Arial"/>
        </w:rPr>
        <w:t>h</w:t>
      </w:r>
      <w:r w:rsidR="00CF7CE6">
        <w:rPr>
          <w:rFonts w:cs="Arial"/>
        </w:rPr>
        <w:t>is means that th</w:t>
      </w:r>
      <w:r w:rsidR="00EB6B21">
        <w:rPr>
          <w:rFonts w:cs="Arial"/>
        </w:rPr>
        <w:t xml:space="preserve">e analysis does not test </w:t>
      </w:r>
      <w:r w:rsidR="00CF7CE6">
        <w:rPr>
          <w:rFonts w:cs="Arial"/>
        </w:rPr>
        <w:t xml:space="preserve">correlation in </w:t>
      </w:r>
      <w:r w:rsidR="00EB6B21">
        <w:rPr>
          <w:rFonts w:cs="Arial"/>
        </w:rPr>
        <w:t>like-for-like time periods.</w:t>
      </w:r>
      <w:r w:rsidR="00CF7CE6">
        <w:rPr>
          <w:rFonts w:cs="Arial"/>
        </w:rPr>
        <w:t xml:space="preserve"> </w:t>
      </w:r>
    </w:p>
    <w:p w14:paraId="7E2D9899" w14:textId="33351B62" w:rsidR="00752E72" w:rsidRDefault="00E11FF1" w:rsidP="006658AF">
      <w:pPr>
        <w:rPr>
          <w:rFonts w:cs="Arial"/>
        </w:rPr>
      </w:pPr>
      <w:r>
        <w:rPr>
          <w:rFonts w:cs="Arial"/>
        </w:rPr>
        <w:t xml:space="preserve">The results of the correlation analysis can be found in section </w:t>
      </w:r>
    </w:p>
    <w:p w14:paraId="785B09F3" w14:textId="1D821920" w:rsidR="006658AF" w:rsidRPr="009548FC" w:rsidRDefault="006658AF" w:rsidP="006658AF">
      <w:pPr>
        <w:rPr>
          <w:rFonts w:cs="Arial"/>
        </w:rPr>
      </w:pPr>
      <w:r>
        <w:rPr>
          <w:rFonts w:cs="Arial"/>
        </w:rPr>
        <w:t xml:space="preserve">The following sections describe the variables used in our models. A detailed list of data sources used in the analysis can be found section </w:t>
      </w:r>
      <w:r>
        <w:rPr>
          <w:rFonts w:cs="Arial"/>
        </w:rPr>
        <w:fldChar w:fldCharType="begin"/>
      </w:r>
      <w:r>
        <w:rPr>
          <w:rFonts w:cs="Arial"/>
        </w:rPr>
        <w:instrText xml:space="preserve"> REF _Ref460261622 \r \h </w:instrText>
      </w:r>
      <w:r>
        <w:rPr>
          <w:rFonts w:cs="Arial"/>
        </w:rPr>
      </w:r>
      <w:r>
        <w:rPr>
          <w:rFonts w:cs="Arial"/>
        </w:rPr>
        <w:fldChar w:fldCharType="separate"/>
      </w:r>
      <w:r w:rsidR="00F0636B">
        <w:rPr>
          <w:rFonts w:cs="Arial"/>
        </w:rPr>
        <w:t>11:</w:t>
      </w:r>
      <w:r>
        <w:rPr>
          <w:rFonts w:cs="Arial"/>
        </w:rPr>
        <w:fldChar w:fldCharType="end"/>
      </w:r>
      <w:r>
        <w:rPr>
          <w:rFonts w:cs="Arial"/>
        </w:rPr>
        <w:t xml:space="preserve"> (p.</w:t>
      </w:r>
      <w:r>
        <w:rPr>
          <w:rFonts w:cs="Arial"/>
        </w:rPr>
        <w:fldChar w:fldCharType="begin"/>
      </w:r>
      <w:r>
        <w:rPr>
          <w:rFonts w:cs="Arial"/>
        </w:rPr>
        <w:instrText xml:space="preserve"> PAGEREF _Ref460261622 \h </w:instrText>
      </w:r>
      <w:r>
        <w:rPr>
          <w:rFonts w:cs="Arial"/>
        </w:rPr>
      </w:r>
      <w:r>
        <w:rPr>
          <w:rFonts w:cs="Arial"/>
        </w:rPr>
        <w:fldChar w:fldCharType="separate"/>
      </w:r>
      <w:r w:rsidR="00F0636B">
        <w:rPr>
          <w:rFonts w:cs="Arial"/>
          <w:noProof/>
        </w:rPr>
        <w:t>102</w:t>
      </w:r>
      <w:r>
        <w:rPr>
          <w:rFonts w:cs="Arial"/>
        </w:rPr>
        <w:fldChar w:fldCharType="end"/>
      </w:r>
      <w:r>
        <w:rPr>
          <w:rFonts w:cs="Arial"/>
        </w:rPr>
        <w:t>).</w:t>
      </w:r>
    </w:p>
    <w:p w14:paraId="62E3906F" w14:textId="77777777" w:rsidR="00E760C2" w:rsidRPr="009548FC" w:rsidRDefault="00E760C2" w:rsidP="00E760C2">
      <w:pPr>
        <w:pStyle w:val="Heading3Numbered"/>
      </w:pPr>
      <w:bookmarkStart w:id="38" w:name="_Toc464222902"/>
      <w:r w:rsidRPr="009548FC">
        <w:t>Dependent variables</w:t>
      </w:r>
      <w:bookmarkEnd w:id="38"/>
    </w:p>
    <w:p w14:paraId="4F28E51D" w14:textId="27839019" w:rsidR="00E760C2" w:rsidRPr="009548FC" w:rsidRDefault="00E760C2" w:rsidP="00E760C2">
      <w:pPr>
        <w:rPr>
          <w:rFonts w:cs="Arial"/>
        </w:rPr>
      </w:pPr>
      <w:r w:rsidRPr="009548FC">
        <w:rPr>
          <w:rFonts w:cs="Arial"/>
        </w:rPr>
        <w:t>We tested multiple indicators as dependent variables in order to obtain different information regarding the impacts of CS&amp;H assets and investment at local authority level. For the wider economy, we considered:</w:t>
      </w:r>
    </w:p>
    <w:p w14:paraId="6EEA6DDD" w14:textId="77777777" w:rsidR="00E760C2" w:rsidRPr="009548FC" w:rsidRDefault="00E760C2" w:rsidP="006751CE">
      <w:pPr>
        <w:pStyle w:val="Bullet"/>
      </w:pPr>
      <w:r w:rsidRPr="009548FC">
        <w:t>Net migration of all firms per local authority</w:t>
      </w:r>
    </w:p>
    <w:p w14:paraId="32859971" w14:textId="77777777" w:rsidR="00E760C2" w:rsidRPr="009548FC" w:rsidRDefault="00E760C2" w:rsidP="006751CE">
      <w:pPr>
        <w:pStyle w:val="Bullet"/>
      </w:pPr>
      <w:r w:rsidRPr="009548FC">
        <w:t>Total turnover of all firms per local authority</w:t>
      </w:r>
    </w:p>
    <w:p w14:paraId="4A5C5C17" w14:textId="77777777" w:rsidR="00E760C2" w:rsidRPr="009548FC" w:rsidRDefault="00E760C2" w:rsidP="006751CE">
      <w:pPr>
        <w:pStyle w:val="Bullet"/>
      </w:pPr>
      <w:r w:rsidRPr="009548FC">
        <w:t>Total turnover of knowledge industries per local authority</w:t>
      </w:r>
    </w:p>
    <w:p w14:paraId="5445C89A" w14:textId="77777777" w:rsidR="00E760C2" w:rsidRPr="009548FC" w:rsidRDefault="00E760C2" w:rsidP="006751CE">
      <w:pPr>
        <w:pStyle w:val="Bullet"/>
      </w:pPr>
      <w:r w:rsidRPr="009548FC">
        <w:t>Total turnover of tourism industries per local authority</w:t>
      </w:r>
    </w:p>
    <w:p w14:paraId="142DAB84" w14:textId="77777777" w:rsidR="00E760C2" w:rsidRPr="009548FC" w:rsidRDefault="00E760C2" w:rsidP="006751CE">
      <w:pPr>
        <w:pStyle w:val="Bullet"/>
      </w:pPr>
      <w:r w:rsidRPr="009548FC">
        <w:t>Total turnover of professional services industries per local authority</w:t>
      </w:r>
    </w:p>
    <w:p w14:paraId="3719AC30" w14:textId="229850A7" w:rsidR="00E760C2" w:rsidRPr="002B2A84" w:rsidRDefault="00E760C2" w:rsidP="00E760C2">
      <w:pPr>
        <w:rPr>
          <w:rFonts w:cs="Arial"/>
        </w:rPr>
      </w:pPr>
      <w:r w:rsidRPr="009548FC">
        <w:rPr>
          <w:rFonts w:cs="Arial"/>
        </w:rPr>
        <w:t>For the creative industries, t</w:t>
      </w:r>
      <w:r w:rsidRPr="009A43FB">
        <w:rPr>
          <w:rFonts w:cs="Arial"/>
        </w:rPr>
        <w:t xml:space="preserve">he </w:t>
      </w:r>
      <w:r w:rsidRPr="008666BF">
        <w:rPr>
          <w:rFonts w:cs="Arial"/>
        </w:rPr>
        <w:t xml:space="preserve">key indicators we tested </w:t>
      </w:r>
      <w:r w:rsidRPr="002B2A84">
        <w:rPr>
          <w:rFonts w:cs="Arial"/>
        </w:rPr>
        <w:t>were:</w:t>
      </w:r>
    </w:p>
    <w:p w14:paraId="6EEF80FB" w14:textId="77777777" w:rsidR="00E760C2" w:rsidRPr="00873DB7" w:rsidRDefault="00E760C2" w:rsidP="006751CE">
      <w:pPr>
        <w:pStyle w:val="Bullet"/>
      </w:pPr>
      <w:r w:rsidRPr="00873DB7">
        <w:t>Net migration of creative firms per local authority</w:t>
      </w:r>
    </w:p>
    <w:p w14:paraId="75340B53" w14:textId="617C3769" w:rsidR="00E760C2" w:rsidRPr="009548FC" w:rsidRDefault="00E760C2" w:rsidP="006751CE">
      <w:pPr>
        <w:pStyle w:val="Bullet"/>
      </w:pPr>
      <w:r w:rsidRPr="009548FC">
        <w:t>Total turnover of creative firms per local authority</w:t>
      </w:r>
    </w:p>
    <w:p w14:paraId="68A36FF4" w14:textId="7BCA8042" w:rsidR="00E760C2" w:rsidRPr="009A43FB" w:rsidRDefault="00E760C2" w:rsidP="006751CE">
      <w:pPr>
        <w:pStyle w:val="Bullet"/>
      </w:pPr>
      <w:r w:rsidRPr="009548FC">
        <w:t>The location quotient for creative firms in a local authority</w:t>
      </w:r>
    </w:p>
    <w:p w14:paraId="610AC6C5" w14:textId="77777777" w:rsidR="00E760C2" w:rsidRPr="00873DB7" w:rsidRDefault="00E760C2" w:rsidP="00E760C2">
      <w:pPr>
        <w:rPr>
          <w:rFonts w:cs="Arial"/>
        </w:rPr>
      </w:pPr>
    </w:p>
    <w:tbl>
      <w:tblPr>
        <w:tblStyle w:val="TableGrid"/>
        <w:tblW w:w="0" w:type="auto"/>
        <w:tblInd w:w="1361" w:type="dxa"/>
        <w:tblLook w:val="04A0" w:firstRow="1" w:lastRow="0" w:firstColumn="1" w:lastColumn="0" w:noHBand="0" w:noVBand="1"/>
      </w:tblPr>
      <w:tblGrid>
        <w:gridCol w:w="8209"/>
      </w:tblGrid>
      <w:tr w:rsidR="00E760C2" w:rsidRPr="009548FC" w14:paraId="7613DC9C" w14:textId="77777777" w:rsidTr="00753A00">
        <w:tc>
          <w:tcPr>
            <w:tcW w:w="9570" w:type="dxa"/>
          </w:tcPr>
          <w:p w14:paraId="75785951" w14:textId="77777777" w:rsidR="00E760C2" w:rsidRPr="00873DB7" w:rsidRDefault="00E760C2" w:rsidP="00E760C2">
            <w:pPr>
              <w:pStyle w:val="Heading3Numbered"/>
              <w:numPr>
                <w:ilvl w:val="0"/>
                <w:numId w:val="0"/>
              </w:numPr>
            </w:pPr>
            <w:r w:rsidRPr="00873DB7">
              <w:t>Location quotients</w:t>
            </w:r>
          </w:p>
          <w:p w14:paraId="25076BE4" w14:textId="77777777" w:rsidR="00E760C2" w:rsidRPr="009548FC" w:rsidRDefault="00E760C2" w:rsidP="00753A00">
            <w:pPr>
              <w:ind w:left="0"/>
              <w:rPr>
                <w:rFonts w:cs="Arial"/>
              </w:rPr>
            </w:pPr>
            <w:r w:rsidRPr="009548FC">
              <w:rPr>
                <w:rFonts w:cs="Arial"/>
              </w:rPr>
              <w:t>To determine the patterns of spatial clustering of creative industries, we created a territorial indicator of concentration-specialisation to indicate whether a place is specialised in creative industries, and if this is a relatively important part of industry in the area. Our unit of analysis is the local authority, and the location quotient is defined as:</w:t>
            </w:r>
          </w:p>
          <w:p w14:paraId="28C2E039" w14:textId="77777777" w:rsidR="00E760C2" w:rsidRPr="009548FC" w:rsidRDefault="00395234" w:rsidP="00753A00">
            <w:pPr>
              <w:ind w:left="0"/>
              <w:rPr>
                <w:rFonts w:cs="Arial"/>
                <w:sz w:val="20"/>
                <w:szCs w:val="20"/>
              </w:rPr>
            </w:pPr>
            <m:oMathPara>
              <m:oMath>
                <m:sSub>
                  <m:sSubPr>
                    <m:ctrlPr>
                      <w:rPr>
                        <w:rFonts w:ascii="Cambria Math" w:hAnsi="Cambria Math" w:cs="Arial"/>
                        <w:i/>
                      </w:rPr>
                    </m:ctrlPr>
                  </m:sSubPr>
                  <m:e>
                    <m:r>
                      <w:rPr>
                        <w:rFonts w:ascii="Cambria Math" w:hAnsi="Cambria Math" w:cs="Arial"/>
                        <w:sz w:val="20"/>
                        <w:szCs w:val="20"/>
                      </w:rPr>
                      <m:t>LQ</m:t>
                    </m:r>
                  </m:e>
                  <m:sub>
                    <m:r>
                      <w:rPr>
                        <w:rFonts w:ascii="Cambria Math" w:hAnsi="Cambria Math" w:cs="Arial"/>
                        <w:sz w:val="20"/>
                        <w:szCs w:val="20"/>
                      </w:rPr>
                      <m:t>local_authority</m:t>
                    </m:r>
                  </m:sub>
                </m:sSub>
                <m:r>
                  <w:rPr>
                    <w:rFonts w:ascii="Cambria Math" w:hAnsi="Cambria Math" w:cs="Arial"/>
                    <w:sz w:val="20"/>
                    <w:szCs w:val="20"/>
                  </w:rPr>
                  <m:t xml:space="preserve">= </m:t>
                </m:r>
                <m:f>
                  <m:fPr>
                    <m:ctrlPr>
                      <w:rPr>
                        <w:rFonts w:ascii="Cambria Math" w:hAnsi="Cambria Math" w:cs="Arial"/>
                        <w:i/>
                      </w:rPr>
                    </m:ctrlPr>
                  </m:fPr>
                  <m:num>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sz w:val="20"/>
                                <w:szCs w:val="20"/>
                              </w:rPr>
                              <m:t>Creative firms</m:t>
                            </m:r>
                          </m:e>
                          <m:sub>
                            <m:r>
                              <w:rPr>
                                <w:rFonts w:ascii="Cambria Math" w:hAnsi="Cambria Math" w:cs="Arial"/>
                                <w:sz w:val="20"/>
                                <w:szCs w:val="20"/>
                              </w:rPr>
                              <m:t>local_authority</m:t>
                            </m:r>
                          </m:sub>
                        </m:sSub>
                      </m:num>
                      <m:den>
                        <m:sSub>
                          <m:sSubPr>
                            <m:ctrlPr>
                              <w:rPr>
                                <w:rFonts w:ascii="Cambria Math" w:hAnsi="Cambria Math" w:cs="Arial"/>
                                <w:i/>
                              </w:rPr>
                            </m:ctrlPr>
                          </m:sSubPr>
                          <m:e>
                            <m:r>
                              <w:rPr>
                                <w:rFonts w:ascii="Cambria Math" w:hAnsi="Cambria Math" w:cs="Arial"/>
                                <w:sz w:val="20"/>
                                <w:szCs w:val="20"/>
                              </w:rPr>
                              <m:t>C</m:t>
                            </m:r>
                            <m:r>
                              <w:rPr>
                                <w:rFonts w:ascii="Cambria Math" w:hAnsi="Cambria Math" w:cs="Arial"/>
                                <w:sz w:val="20"/>
                                <w:szCs w:val="20"/>
                              </w:rPr>
                              <m:t>reative firms</m:t>
                            </m:r>
                          </m:e>
                          <m:sub>
                            <m:r>
                              <w:rPr>
                                <w:rFonts w:ascii="Cambria Math" w:hAnsi="Cambria Math" w:cs="Arial"/>
                                <w:sz w:val="20"/>
                                <w:szCs w:val="20"/>
                              </w:rPr>
                              <m:t>national</m:t>
                            </m:r>
                          </m:sub>
                        </m:sSub>
                      </m:den>
                    </m:f>
                  </m:num>
                  <m:den>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sz w:val="20"/>
                                <w:szCs w:val="20"/>
                              </w:rPr>
                              <m:t>All firms</m:t>
                            </m:r>
                          </m:e>
                          <m:sub>
                            <m:r>
                              <w:rPr>
                                <w:rFonts w:ascii="Cambria Math" w:hAnsi="Cambria Math" w:cs="Arial"/>
                                <w:sz w:val="20"/>
                                <w:szCs w:val="20"/>
                              </w:rPr>
                              <m:t>local_authority</m:t>
                            </m:r>
                          </m:sub>
                        </m:sSub>
                      </m:num>
                      <m:den>
                        <m:sSub>
                          <m:sSubPr>
                            <m:ctrlPr>
                              <w:rPr>
                                <w:rFonts w:ascii="Cambria Math" w:hAnsi="Cambria Math" w:cs="Arial"/>
                                <w:i/>
                              </w:rPr>
                            </m:ctrlPr>
                          </m:sSubPr>
                          <m:e>
                            <m:r>
                              <w:rPr>
                                <w:rFonts w:ascii="Cambria Math" w:hAnsi="Cambria Math" w:cs="Arial"/>
                                <w:sz w:val="20"/>
                                <w:szCs w:val="20"/>
                              </w:rPr>
                              <m:t>All firms</m:t>
                            </m:r>
                          </m:e>
                          <m:sub>
                            <m:r>
                              <w:rPr>
                                <w:rFonts w:ascii="Cambria Math" w:hAnsi="Cambria Math" w:cs="Arial"/>
                                <w:sz w:val="20"/>
                                <w:szCs w:val="20"/>
                              </w:rPr>
                              <m:t>national</m:t>
                            </m:r>
                          </m:sub>
                        </m:sSub>
                      </m:den>
                    </m:f>
                  </m:den>
                </m:f>
              </m:oMath>
            </m:oMathPara>
          </w:p>
          <w:p w14:paraId="5720AEBE" w14:textId="226904BE" w:rsidR="00E760C2" w:rsidRPr="009548FC" w:rsidRDefault="004F518D" w:rsidP="00753A00">
            <w:pPr>
              <w:ind w:left="0"/>
              <w:rPr>
                <w:rFonts w:cstheme="minorBidi"/>
              </w:rPr>
            </w:pPr>
            <w:r>
              <w:rPr>
                <w:rFonts w:cs="Arial"/>
              </w:rPr>
              <w:t>Location quotients</w:t>
            </w:r>
            <w:r w:rsidR="00E760C2" w:rsidRPr="002B2A84">
              <w:rPr>
                <w:rFonts w:cs="Arial"/>
              </w:rPr>
              <w:t xml:space="preserve"> can be used </w:t>
            </w:r>
            <w:r>
              <w:rPr>
                <w:rFonts w:cs="Arial"/>
              </w:rPr>
              <w:t>to</w:t>
            </w:r>
            <w:r w:rsidRPr="002B2A84">
              <w:rPr>
                <w:rFonts w:cs="Arial"/>
              </w:rPr>
              <w:t xml:space="preserve"> compar</w:t>
            </w:r>
            <w:r>
              <w:rPr>
                <w:rFonts w:cs="Arial"/>
              </w:rPr>
              <w:t>e</w:t>
            </w:r>
            <w:r w:rsidRPr="002B2A84">
              <w:rPr>
                <w:rFonts w:cs="Arial"/>
              </w:rPr>
              <w:t xml:space="preserve"> </w:t>
            </w:r>
            <w:r w:rsidR="00E760C2" w:rsidRPr="002B2A84">
              <w:rPr>
                <w:rFonts w:cs="Arial"/>
              </w:rPr>
              <w:t xml:space="preserve">the relative concentration of creative firms in a local area compared </w:t>
            </w:r>
            <w:r w:rsidR="00E760C2" w:rsidRPr="00873DB7">
              <w:rPr>
                <w:rFonts w:cs="Arial"/>
              </w:rPr>
              <w:t>with</w:t>
            </w:r>
            <w:r w:rsidR="00E760C2" w:rsidRPr="009548FC">
              <w:rPr>
                <w:rFonts w:cs="Arial"/>
              </w:rPr>
              <w:t xml:space="preserve"> </w:t>
            </w:r>
            <w:r>
              <w:rPr>
                <w:rFonts w:cs="Arial"/>
              </w:rPr>
              <w:t>a wider comparator area (in this study, the country as a whole)</w:t>
            </w:r>
            <w:r w:rsidR="00E760C2" w:rsidRPr="009548FC">
              <w:rPr>
                <w:rFonts w:cs="Arial"/>
              </w:rPr>
              <w:t>. A location quotient of more than one indicates the clustering of creative industry in a local authority is higher than the national average, and the local labour market is specialised in creative industries. Higher concentrations of creative firms are most likely to be found in London, the South East and the West Midlands.</w:t>
            </w:r>
          </w:p>
          <w:p w14:paraId="1BDC862B" w14:textId="77777777" w:rsidR="00E760C2" w:rsidRPr="009548FC" w:rsidRDefault="00E760C2" w:rsidP="00753A00">
            <w:pPr>
              <w:ind w:left="0"/>
              <w:rPr>
                <w:rFonts w:cs="Arial"/>
              </w:rPr>
            </w:pPr>
          </w:p>
        </w:tc>
      </w:tr>
    </w:tbl>
    <w:p w14:paraId="73034754" w14:textId="77777777" w:rsidR="00E760C2" w:rsidRPr="009548FC" w:rsidRDefault="00E760C2" w:rsidP="00E760C2">
      <w:pPr>
        <w:rPr>
          <w:rFonts w:cs="Arial"/>
        </w:rPr>
      </w:pPr>
    </w:p>
    <w:p w14:paraId="38171323" w14:textId="77777777" w:rsidR="00E760C2" w:rsidRPr="009548FC" w:rsidRDefault="00E760C2" w:rsidP="00E760C2">
      <w:pPr>
        <w:pStyle w:val="Heading3Numbered"/>
      </w:pPr>
      <w:bookmarkStart w:id="39" w:name="_Toc464222903"/>
      <w:r w:rsidRPr="009548FC">
        <w:t>Independent variables</w:t>
      </w:r>
      <w:bookmarkEnd w:id="39"/>
    </w:p>
    <w:p w14:paraId="6845E4E1" w14:textId="31E7B9FA" w:rsidR="00E760C2" w:rsidRPr="009548FC" w:rsidRDefault="00E760C2" w:rsidP="00E760C2">
      <w:pPr>
        <w:rPr>
          <w:rFonts w:cs="Arial"/>
        </w:rPr>
      </w:pPr>
      <w:r w:rsidRPr="009548FC">
        <w:rPr>
          <w:rFonts w:cs="Arial"/>
        </w:rPr>
        <w:t xml:space="preserve">In order to test the impact of CS&amp;H assets and investment </w:t>
      </w:r>
      <w:r w:rsidR="00984816">
        <w:rPr>
          <w:rFonts w:cs="Arial"/>
        </w:rPr>
        <w:t>i</w:t>
      </w:r>
      <w:r w:rsidR="00984816" w:rsidRPr="009548FC">
        <w:rPr>
          <w:rFonts w:cs="Arial"/>
        </w:rPr>
        <w:t xml:space="preserve">n </w:t>
      </w:r>
      <w:r w:rsidRPr="009548FC">
        <w:rPr>
          <w:rFonts w:cs="Arial"/>
        </w:rPr>
        <w:t>local areas across England, we collected data on both stocks and flows</w:t>
      </w:r>
      <w:r w:rsidR="00427EE1">
        <w:rPr>
          <w:rFonts w:cs="Arial"/>
        </w:rPr>
        <w:t>.</w:t>
      </w:r>
    </w:p>
    <w:p w14:paraId="5C6A6A4C" w14:textId="438BA20F" w:rsidR="00E760C2" w:rsidRPr="009548FC" w:rsidRDefault="00E760C2" w:rsidP="006751CE">
      <w:pPr>
        <w:pStyle w:val="Bullet"/>
      </w:pPr>
      <w:r w:rsidRPr="009548FC">
        <w:t xml:space="preserve">Stocks reflect the concentration of different CS&amp;H assets in respective local authorities. This data is not available on a longitudinal basis, but only for 2013. </w:t>
      </w:r>
      <w:r w:rsidR="00C966AD" w:rsidRPr="009548FC">
        <w:t>Despite not being exhaustive, this data can be used as a proxy for CS&amp;H assets</w:t>
      </w:r>
      <w:r w:rsidR="00984816">
        <w:t>.</w:t>
      </w:r>
      <w:r w:rsidR="00C966AD" w:rsidRPr="009548FC">
        <w:t xml:space="preserve"> </w:t>
      </w:r>
      <w:r w:rsidRPr="009548FC">
        <w:t>It includes:</w:t>
      </w:r>
    </w:p>
    <w:p w14:paraId="1D15AA80" w14:textId="791E5F11" w:rsidR="00427EE1" w:rsidRPr="009548FC" w:rsidRDefault="00E760C2" w:rsidP="006751CE">
      <w:pPr>
        <w:pStyle w:val="Bullet2"/>
      </w:pPr>
      <w:r w:rsidRPr="009548FC">
        <w:t>Active places (i.e. sports venues – the variable is named ‘sports assets’ in the analysis)</w:t>
      </w:r>
    </w:p>
    <w:p w14:paraId="431CA130" w14:textId="2E3C0B58" w:rsidR="00E760C2" w:rsidRPr="00427EE1" w:rsidRDefault="00931A3D" w:rsidP="006751CE">
      <w:pPr>
        <w:pStyle w:val="Bullet2"/>
      </w:pPr>
      <w:r>
        <w:t>Listed and designated heritage sites</w:t>
      </w:r>
      <w:r w:rsidR="00427EE1">
        <w:t xml:space="preserve"> </w:t>
      </w:r>
      <w:r w:rsidR="00E760C2" w:rsidRPr="00427EE1">
        <w:t>(‘heritage assets’)</w:t>
      </w:r>
    </w:p>
    <w:p w14:paraId="3C609444" w14:textId="77777777" w:rsidR="00E760C2" w:rsidRPr="002B2A84" w:rsidRDefault="00E760C2" w:rsidP="006751CE">
      <w:pPr>
        <w:pStyle w:val="Bullet2"/>
      </w:pPr>
      <w:r w:rsidRPr="009A43FB">
        <w:t>Culture24 events</w:t>
      </w:r>
      <w:r w:rsidRPr="002B2A84">
        <w:t xml:space="preserve"> listings (‘cultural events’)</w:t>
      </w:r>
    </w:p>
    <w:p w14:paraId="6024C8C5" w14:textId="77777777" w:rsidR="00E760C2" w:rsidRPr="00873DB7" w:rsidRDefault="00E760C2" w:rsidP="006751CE">
      <w:pPr>
        <w:pStyle w:val="Bullet2"/>
      </w:pPr>
      <w:r w:rsidRPr="00873DB7">
        <w:t>Libraries</w:t>
      </w:r>
    </w:p>
    <w:p w14:paraId="24BE7D6E" w14:textId="6FF1E30A" w:rsidR="00E760C2" w:rsidRPr="00C966AD" w:rsidRDefault="00E760C2" w:rsidP="006751CE">
      <w:pPr>
        <w:pStyle w:val="Bullet"/>
      </w:pPr>
      <w:r w:rsidRPr="00C966AD">
        <w:t>Flows reflect the yearly investment in CS&amp;H in respective local authorities. This data is available for the period 2003</w:t>
      </w:r>
      <w:r w:rsidR="00D65C9E">
        <w:t>–</w:t>
      </w:r>
      <w:r w:rsidRPr="00C966AD">
        <w:t xml:space="preserve">2013, and accounts both for local authority investment and Big Lottery investment (sports, arts and heritage </w:t>
      </w:r>
      <w:r w:rsidR="00984816">
        <w:t>L</w:t>
      </w:r>
      <w:r w:rsidR="00984816" w:rsidRPr="00C966AD">
        <w:t>otter</w:t>
      </w:r>
      <w:r w:rsidR="00984816">
        <w:t>y funding</w:t>
      </w:r>
      <w:r w:rsidRPr="00C966AD">
        <w:t xml:space="preserve">). </w:t>
      </w:r>
    </w:p>
    <w:p w14:paraId="3ADEBCB4" w14:textId="2D9FE0A8" w:rsidR="00E760C2" w:rsidRPr="009548FC" w:rsidRDefault="00E760C2" w:rsidP="00E760C2">
      <w:pPr>
        <w:rPr>
          <w:rFonts w:cs="Arial"/>
        </w:rPr>
      </w:pPr>
      <w:r w:rsidRPr="009548FC">
        <w:rPr>
          <w:rFonts w:cs="Arial"/>
        </w:rPr>
        <w:t>Overall, investment data is of considerably better quality and covers a wider range of CS&amp;H components than assets data.</w:t>
      </w:r>
      <w:r w:rsidR="00A033C6">
        <w:rPr>
          <w:rFonts w:cs="Arial"/>
        </w:rPr>
        <w:t xml:space="preserve"> </w:t>
      </w:r>
    </w:p>
    <w:p w14:paraId="0DFA13C5" w14:textId="77777777" w:rsidR="00E760C2" w:rsidRPr="009548FC" w:rsidRDefault="00E760C2" w:rsidP="00E760C2">
      <w:pPr>
        <w:rPr>
          <w:rFonts w:cs="Arial"/>
        </w:rPr>
      </w:pPr>
      <w:r w:rsidRPr="009548FC">
        <w:rPr>
          <w:rFonts w:cs="Arial"/>
        </w:rPr>
        <w:t xml:space="preserve">The raw data was also used to generate a number of composite indicators, such as: </w:t>
      </w:r>
    </w:p>
    <w:p w14:paraId="4DD51FE4" w14:textId="77777777" w:rsidR="00E760C2" w:rsidRPr="009548FC" w:rsidRDefault="00E760C2" w:rsidP="006751CE">
      <w:pPr>
        <w:pStyle w:val="Bullet"/>
      </w:pPr>
      <w:r w:rsidRPr="009548FC">
        <w:t xml:space="preserve">Total annual investment per capita </w:t>
      </w:r>
    </w:p>
    <w:p w14:paraId="043557EE" w14:textId="77777777" w:rsidR="00E760C2" w:rsidRPr="009548FC" w:rsidRDefault="00E760C2" w:rsidP="006751CE">
      <w:pPr>
        <w:pStyle w:val="Bullet"/>
      </w:pPr>
      <w:r w:rsidRPr="009548FC">
        <w:t xml:space="preserve">Total annual investment per capita by investment source (local authority and Big Lottery respectively) </w:t>
      </w:r>
    </w:p>
    <w:p w14:paraId="0D7B00BC" w14:textId="77777777" w:rsidR="00E760C2" w:rsidRPr="009548FC" w:rsidRDefault="00E760C2" w:rsidP="006751CE">
      <w:pPr>
        <w:pStyle w:val="Bullet"/>
      </w:pPr>
      <w:r w:rsidRPr="009548FC">
        <w:t>Total annual investment per capita by source and type (e.g. open spaces, museums, galleries, theatres, libraries, sports facilities, etc.)</w:t>
      </w:r>
    </w:p>
    <w:p w14:paraId="42D7D369" w14:textId="70AFCFAB" w:rsidR="00E760C2" w:rsidRPr="009548FC" w:rsidRDefault="00E760C2" w:rsidP="006751CE">
      <w:pPr>
        <w:pStyle w:val="Bullet"/>
      </w:pPr>
      <w:r w:rsidRPr="009548FC">
        <w:t>Cumulative investment in CS&amp;H for the period 2003</w:t>
      </w:r>
      <w:r w:rsidR="00D65C9E">
        <w:t>–</w:t>
      </w:r>
      <w:r w:rsidRPr="009548FC">
        <w:t>2013, in aggregate and by source and type</w:t>
      </w:r>
    </w:p>
    <w:p w14:paraId="6CD635F0" w14:textId="77777777" w:rsidR="00E760C2" w:rsidRPr="009548FC" w:rsidRDefault="00E760C2" w:rsidP="006751CE">
      <w:pPr>
        <w:pStyle w:val="Bullet"/>
      </w:pPr>
      <w:r w:rsidRPr="009548FC">
        <w:t xml:space="preserve">Assets density per local authority </w:t>
      </w:r>
    </w:p>
    <w:p w14:paraId="70E02D5F" w14:textId="17EBC922" w:rsidR="00E760C2" w:rsidRPr="009548FC" w:rsidRDefault="00E760C2" w:rsidP="00E760C2">
      <w:pPr>
        <w:rPr>
          <w:rFonts w:cs="Arial"/>
        </w:rPr>
      </w:pPr>
      <w:r w:rsidRPr="009548FC">
        <w:rPr>
          <w:rFonts w:cs="Arial"/>
        </w:rPr>
        <w:t xml:space="preserve">These composite indicators potentially allow identification of the components of CS&amp;H assets and </w:t>
      </w:r>
      <w:proofErr w:type="gramStart"/>
      <w:r w:rsidRPr="009548FC">
        <w:rPr>
          <w:rFonts w:cs="Arial"/>
        </w:rPr>
        <w:t>investment which</w:t>
      </w:r>
      <w:proofErr w:type="gramEnd"/>
      <w:r w:rsidRPr="009548FC">
        <w:rPr>
          <w:rFonts w:cs="Arial"/>
        </w:rPr>
        <w:t xml:space="preserve"> may</w:t>
      </w:r>
      <w:r w:rsidR="00984816">
        <w:rPr>
          <w:rFonts w:cs="Arial"/>
        </w:rPr>
        <w:t xml:space="preserve"> lead to particular</w:t>
      </w:r>
      <w:r w:rsidRPr="009548FC">
        <w:rPr>
          <w:rFonts w:cs="Arial"/>
        </w:rPr>
        <w:t xml:space="preserve"> impacts.</w:t>
      </w:r>
    </w:p>
    <w:p w14:paraId="63399902" w14:textId="1B78A0C7" w:rsidR="00E760C2" w:rsidRPr="009548FC" w:rsidRDefault="00E760C2" w:rsidP="00E760C2">
      <w:pPr>
        <w:jc w:val="both"/>
        <w:rPr>
          <w:rFonts w:cs="Arial"/>
          <w:b/>
        </w:rPr>
      </w:pPr>
      <w:r w:rsidRPr="009548FC">
        <w:rPr>
          <w:rFonts w:cs="Arial"/>
        </w:rPr>
        <w:t>As with dependent variables, we interchangeably tested respective independent variables. The variables used in each model are specified in the respective model.</w:t>
      </w:r>
    </w:p>
    <w:p w14:paraId="33AFD98A" w14:textId="77777777" w:rsidR="00E760C2" w:rsidRPr="009548FC" w:rsidRDefault="00E760C2" w:rsidP="00E760C2">
      <w:pPr>
        <w:pStyle w:val="Heading3Numbered"/>
      </w:pPr>
      <w:bookmarkStart w:id="40" w:name="_Toc464222904"/>
      <w:r w:rsidRPr="009548FC">
        <w:t>Control variables</w:t>
      </w:r>
      <w:bookmarkEnd w:id="40"/>
    </w:p>
    <w:p w14:paraId="7C39479D" w14:textId="56961868" w:rsidR="00E760C2" w:rsidRPr="009548FC" w:rsidRDefault="00E760C2" w:rsidP="00E760C2">
      <w:pPr>
        <w:rPr>
          <w:rFonts w:cs="Arial"/>
        </w:rPr>
      </w:pPr>
      <w:r w:rsidRPr="009548FC">
        <w:rPr>
          <w:rFonts w:cs="Arial"/>
        </w:rPr>
        <w:t xml:space="preserve">In order to test the impact of CS&amp;H assets and investment, it is necessary to account for other push and pull factors affecting firms’ location decisions as well as other socio-economic </w:t>
      </w:r>
      <w:proofErr w:type="gramStart"/>
      <w:r w:rsidRPr="009548FC">
        <w:rPr>
          <w:rFonts w:cs="Arial"/>
        </w:rPr>
        <w:t>characteristics which</w:t>
      </w:r>
      <w:proofErr w:type="gramEnd"/>
      <w:r w:rsidRPr="009548FC">
        <w:rPr>
          <w:rFonts w:cs="Arial"/>
        </w:rPr>
        <w:t xml:space="preserve"> may affect sector performance and size</w:t>
      </w:r>
      <w:r w:rsidR="004E34F8">
        <w:rPr>
          <w:rFonts w:cs="Arial"/>
        </w:rPr>
        <w:t xml:space="preserve"> at the local authority level</w:t>
      </w:r>
      <w:r w:rsidRPr="009548FC">
        <w:rPr>
          <w:rFonts w:cs="Arial"/>
        </w:rPr>
        <w:t xml:space="preserve">. </w:t>
      </w:r>
      <w:r w:rsidR="004E34F8">
        <w:rPr>
          <w:rFonts w:cs="Arial"/>
        </w:rPr>
        <w:t>W</w:t>
      </w:r>
      <w:r w:rsidRPr="009548FC">
        <w:rPr>
          <w:rFonts w:cs="Arial"/>
        </w:rPr>
        <w:t xml:space="preserve">e collected a range of control variables </w:t>
      </w:r>
      <w:r w:rsidR="004E34F8">
        <w:rPr>
          <w:rFonts w:cs="Arial"/>
        </w:rPr>
        <w:t>for this purpose</w:t>
      </w:r>
      <w:r w:rsidRPr="009548FC">
        <w:rPr>
          <w:rFonts w:cs="Arial"/>
        </w:rPr>
        <w:t xml:space="preserve">. </w:t>
      </w:r>
    </w:p>
    <w:p w14:paraId="3C7D52FD" w14:textId="076A080A" w:rsidR="00E760C2" w:rsidRPr="009548FC" w:rsidRDefault="00E760C2" w:rsidP="00E760C2">
      <w:pPr>
        <w:rPr>
          <w:rFonts w:cs="Arial"/>
        </w:rPr>
      </w:pPr>
      <w:r w:rsidRPr="009548FC">
        <w:rPr>
          <w:rFonts w:cs="Arial"/>
        </w:rPr>
        <w:t xml:space="preserve">The control variables are not exhaustive. Indeed, the choice has been subject to </w:t>
      </w:r>
      <w:r w:rsidR="00D65C9E">
        <w:rPr>
          <w:rFonts w:cs="Arial"/>
        </w:rPr>
        <w:t xml:space="preserve">data </w:t>
      </w:r>
      <w:r w:rsidRPr="009548FC">
        <w:rPr>
          <w:rFonts w:cs="Arial"/>
        </w:rPr>
        <w:t xml:space="preserve">availability at local authority level. We also attempted, inasmuch as possible, to collect </w:t>
      </w:r>
      <w:proofErr w:type="gramStart"/>
      <w:r w:rsidRPr="009548FC">
        <w:rPr>
          <w:rFonts w:cs="Arial"/>
        </w:rPr>
        <w:t>information which</w:t>
      </w:r>
      <w:proofErr w:type="gramEnd"/>
      <w:r w:rsidRPr="009548FC">
        <w:rPr>
          <w:rFonts w:cs="Arial"/>
        </w:rPr>
        <w:t xml:space="preserve"> is available for multiple years. Although numerous control indicators were explored</w:t>
      </w:r>
      <w:r w:rsidR="0043732F">
        <w:rPr>
          <w:rFonts w:cs="Arial"/>
        </w:rPr>
        <w:t xml:space="preserve"> (see section </w:t>
      </w:r>
      <w:r w:rsidR="0043732F">
        <w:rPr>
          <w:rFonts w:cs="Arial"/>
        </w:rPr>
        <w:fldChar w:fldCharType="begin"/>
      </w:r>
      <w:r w:rsidR="0043732F">
        <w:rPr>
          <w:rFonts w:cs="Arial"/>
        </w:rPr>
        <w:instrText xml:space="preserve"> REF _Ref464204652 \r \h </w:instrText>
      </w:r>
      <w:r w:rsidR="0043732F">
        <w:rPr>
          <w:rFonts w:cs="Arial"/>
        </w:rPr>
      </w:r>
      <w:r w:rsidR="0043732F">
        <w:rPr>
          <w:rFonts w:cs="Arial"/>
        </w:rPr>
        <w:fldChar w:fldCharType="separate"/>
      </w:r>
      <w:r w:rsidR="00F0636B">
        <w:rPr>
          <w:rFonts w:cs="Arial"/>
        </w:rPr>
        <w:t>8:</w:t>
      </w:r>
      <w:r w:rsidR="0043732F">
        <w:rPr>
          <w:rFonts w:cs="Arial"/>
        </w:rPr>
        <w:fldChar w:fldCharType="end"/>
      </w:r>
      <w:r w:rsidR="0043732F">
        <w:rPr>
          <w:rFonts w:cs="Arial"/>
        </w:rPr>
        <w:t xml:space="preserve"> p.</w:t>
      </w:r>
      <w:r w:rsidR="0043732F">
        <w:rPr>
          <w:rFonts w:cs="Arial"/>
        </w:rPr>
        <w:fldChar w:fldCharType="begin"/>
      </w:r>
      <w:r w:rsidR="0043732F">
        <w:rPr>
          <w:rFonts w:cs="Arial"/>
        </w:rPr>
        <w:instrText xml:space="preserve"> PAGEREF _Ref464204674 \h </w:instrText>
      </w:r>
      <w:r w:rsidR="0043732F">
        <w:rPr>
          <w:rFonts w:cs="Arial"/>
        </w:rPr>
      </w:r>
      <w:r w:rsidR="0043732F">
        <w:rPr>
          <w:rFonts w:cs="Arial"/>
        </w:rPr>
        <w:fldChar w:fldCharType="separate"/>
      </w:r>
      <w:r w:rsidR="00F0636B">
        <w:rPr>
          <w:rFonts w:cs="Arial"/>
          <w:noProof/>
        </w:rPr>
        <w:t>85</w:t>
      </w:r>
      <w:r w:rsidR="0043732F">
        <w:rPr>
          <w:rFonts w:cs="Arial"/>
        </w:rPr>
        <w:fldChar w:fldCharType="end"/>
      </w:r>
      <w:r w:rsidR="0043732F">
        <w:rPr>
          <w:rFonts w:cs="Arial"/>
        </w:rPr>
        <w:t>)</w:t>
      </w:r>
      <w:r w:rsidRPr="009548FC">
        <w:rPr>
          <w:rFonts w:cs="Arial"/>
        </w:rPr>
        <w:t>, those ultimately used for the quantitative analysis</w:t>
      </w:r>
      <w:r w:rsidR="004E34F8">
        <w:rPr>
          <w:rFonts w:cs="Arial"/>
        </w:rPr>
        <w:t xml:space="preserve"> </w:t>
      </w:r>
      <w:r w:rsidR="00747EB9">
        <w:rPr>
          <w:rFonts w:cs="Arial"/>
        </w:rPr>
        <w:t>i</w:t>
      </w:r>
      <w:r w:rsidR="004E34F8">
        <w:rPr>
          <w:rFonts w:cs="Arial"/>
        </w:rPr>
        <w:t xml:space="preserve">nclude: </w:t>
      </w:r>
    </w:p>
    <w:p w14:paraId="2EE57E9D" w14:textId="77777777" w:rsidR="00E760C2" w:rsidRPr="006751CE" w:rsidRDefault="00E760C2" w:rsidP="009640D5">
      <w:pPr>
        <w:rPr>
          <w:b/>
        </w:rPr>
      </w:pPr>
      <w:r w:rsidRPr="006751CE">
        <w:rPr>
          <w:b/>
        </w:rPr>
        <w:t>Wider economic performance</w:t>
      </w:r>
    </w:p>
    <w:p w14:paraId="2D7F6364" w14:textId="0968E55E" w:rsidR="00634025" w:rsidRPr="009548FC" w:rsidRDefault="00E760C2">
      <w:pPr>
        <w:rPr>
          <w:rFonts w:cs="Arial"/>
        </w:rPr>
      </w:pPr>
      <w:r w:rsidRPr="009548FC">
        <w:rPr>
          <w:rFonts w:cs="Arial"/>
        </w:rPr>
        <w:t xml:space="preserve">The wider socio-economic performance of local authorities may obviously play a critical role in a) attracting businesses, b) the birth of new businesses and c) business performance (e.g. aggregate turnover). </w:t>
      </w:r>
    </w:p>
    <w:p w14:paraId="20680AB6" w14:textId="77777777" w:rsidR="00E760C2" w:rsidRPr="006751CE" w:rsidRDefault="00E760C2" w:rsidP="009640D5">
      <w:pPr>
        <w:rPr>
          <w:b/>
        </w:rPr>
      </w:pPr>
      <w:r w:rsidRPr="006751CE">
        <w:rPr>
          <w:b/>
        </w:rPr>
        <w:t>Availability of human capital</w:t>
      </w:r>
    </w:p>
    <w:p w14:paraId="526FB764" w14:textId="09C32035" w:rsidR="00E760C2" w:rsidRPr="002B2A84" w:rsidRDefault="00E760C2" w:rsidP="00E760C2">
      <w:pPr>
        <w:rPr>
          <w:rFonts w:cs="Arial"/>
        </w:rPr>
      </w:pPr>
      <w:r w:rsidRPr="00873DB7">
        <w:rPr>
          <w:rFonts w:cs="Arial"/>
        </w:rPr>
        <w:t>The availability of human capital is impor</w:t>
      </w:r>
      <w:r w:rsidRPr="009548FC">
        <w:rPr>
          <w:rFonts w:cs="Arial"/>
        </w:rPr>
        <w:t xml:space="preserve">tant both in terms of attracting existing businesses and </w:t>
      </w:r>
      <w:r w:rsidR="00864B69">
        <w:rPr>
          <w:rFonts w:cs="Arial"/>
        </w:rPr>
        <w:t>the</w:t>
      </w:r>
      <w:r w:rsidRPr="009548FC">
        <w:rPr>
          <w:rFonts w:cs="Arial"/>
        </w:rPr>
        <w:t xml:space="preserve"> creation of new businesses.</w:t>
      </w:r>
    </w:p>
    <w:p w14:paraId="22DB57EA" w14:textId="77777777" w:rsidR="00E760C2" w:rsidRPr="006751CE" w:rsidRDefault="00E760C2" w:rsidP="009640D5">
      <w:pPr>
        <w:rPr>
          <w:b/>
        </w:rPr>
      </w:pPr>
      <w:r w:rsidRPr="006751CE">
        <w:rPr>
          <w:b/>
        </w:rPr>
        <w:t>Transport infrastructure</w:t>
      </w:r>
    </w:p>
    <w:p w14:paraId="0A2D8921" w14:textId="21FDE2C2" w:rsidR="00427EE1" w:rsidRDefault="00427EE1" w:rsidP="009640D5">
      <w:pPr>
        <w:rPr>
          <w:rFonts w:cs="Arial"/>
        </w:rPr>
      </w:pPr>
      <w:r>
        <w:rPr>
          <w:rFonts w:cs="Arial"/>
        </w:rPr>
        <w:t>Transport infrastructure may be a factor in economic development, providing better access to jobs and markets, as well as reducing costs of production.</w:t>
      </w:r>
    </w:p>
    <w:p w14:paraId="49CA40CC" w14:textId="1BA0A26D" w:rsidR="00E760C2" w:rsidRPr="006751CE" w:rsidRDefault="00E760C2" w:rsidP="009640D5">
      <w:pPr>
        <w:rPr>
          <w:b/>
        </w:rPr>
      </w:pPr>
      <w:r w:rsidRPr="006751CE">
        <w:rPr>
          <w:b/>
        </w:rPr>
        <w:t>Network infrastructure</w:t>
      </w:r>
    </w:p>
    <w:p w14:paraId="4E9FABE6" w14:textId="7C83F0EF" w:rsidR="00427EE1" w:rsidRPr="009548FC" w:rsidRDefault="00427EE1" w:rsidP="009640D5">
      <w:pPr>
        <w:rPr>
          <w:rFonts w:cs="Arial"/>
        </w:rPr>
      </w:pPr>
      <w:r>
        <w:rPr>
          <w:rFonts w:cs="Arial"/>
        </w:rPr>
        <w:t>Network infrastructure may be a crucial pull factor for digital or media businesses. Digital and technology companies are a</w:t>
      </w:r>
      <w:r w:rsidR="00D65C9E">
        <w:rPr>
          <w:rFonts w:cs="Arial"/>
        </w:rPr>
        <w:t>n important</w:t>
      </w:r>
      <w:r w:rsidR="00864B69">
        <w:rPr>
          <w:rFonts w:cs="Arial"/>
        </w:rPr>
        <w:t xml:space="preserve"> </w:t>
      </w:r>
      <w:r>
        <w:rPr>
          <w:rFonts w:cs="Arial"/>
        </w:rPr>
        <w:t xml:space="preserve">driver of current economic </w:t>
      </w:r>
      <w:r w:rsidR="00864B69">
        <w:rPr>
          <w:rFonts w:cs="Arial"/>
        </w:rPr>
        <w:t xml:space="preserve">performance </w:t>
      </w:r>
      <w:r>
        <w:rPr>
          <w:rFonts w:cs="Arial"/>
        </w:rPr>
        <w:t>in the UK.</w:t>
      </w:r>
    </w:p>
    <w:p w14:paraId="6A759703" w14:textId="7103DC72" w:rsidR="00E760C2" w:rsidRPr="006751CE" w:rsidRDefault="00E760C2" w:rsidP="009640D5">
      <w:pPr>
        <w:rPr>
          <w:b/>
        </w:rPr>
      </w:pPr>
      <w:r w:rsidRPr="006751CE">
        <w:rPr>
          <w:b/>
        </w:rPr>
        <w:t>Housing density</w:t>
      </w:r>
    </w:p>
    <w:p w14:paraId="3C2F3378" w14:textId="6CBEE9A6" w:rsidR="00E760C2" w:rsidRPr="009548FC" w:rsidRDefault="00864B69" w:rsidP="00E760C2">
      <w:pPr>
        <w:rPr>
          <w:rFonts w:cs="Arial"/>
        </w:rPr>
      </w:pPr>
      <w:r>
        <w:rPr>
          <w:rFonts w:cs="Arial"/>
        </w:rPr>
        <w:t>Housing density</w:t>
      </w:r>
      <w:r w:rsidR="00E760C2" w:rsidRPr="009548FC">
        <w:rPr>
          <w:rFonts w:cs="Arial"/>
        </w:rPr>
        <w:t xml:space="preserve"> was used as a proxy for the degree of “urbanity” of respective local authorities. This may indeed influence business location, either as a push or a pull factor. The push component may be linked to higher premises prices in densely populated areas. The pull component may consist in wanting to locate in densely populated urban centres rather than in semi-urban or rural local authorities. </w:t>
      </w:r>
    </w:p>
    <w:p w14:paraId="5211BFF3" w14:textId="5788157E" w:rsidR="00682CD3" w:rsidRPr="006751CE" w:rsidRDefault="00682CD3" w:rsidP="009640D5">
      <w:pPr>
        <w:rPr>
          <w:b/>
        </w:rPr>
      </w:pPr>
      <w:r w:rsidRPr="006751CE">
        <w:rPr>
          <w:b/>
        </w:rPr>
        <w:t>Population</w:t>
      </w:r>
    </w:p>
    <w:p w14:paraId="0DFDAAA4" w14:textId="740E5EDD" w:rsidR="00682CD3" w:rsidRDefault="00682CD3" w:rsidP="00171CF3">
      <w:pPr>
        <w:rPr>
          <w:rFonts w:cs="Arial"/>
        </w:rPr>
      </w:pPr>
      <w:r>
        <w:rPr>
          <w:rFonts w:cs="Arial"/>
        </w:rPr>
        <w:t xml:space="preserve">The </w:t>
      </w:r>
      <w:proofErr w:type="gramStart"/>
      <w:r>
        <w:rPr>
          <w:rFonts w:cs="Arial"/>
        </w:rPr>
        <w:t>‘size of the market’ can be represented by the population</w:t>
      </w:r>
      <w:proofErr w:type="gramEnd"/>
      <w:r>
        <w:rPr>
          <w:rFonts w:cs="Arial"/>
        </w:rPr>
        <w:t>.</w:t>
      </w:r>
    </w:p>
    <w:p w14:paraId="675D328C" w14:textId="731663A3" w:rsidR="00E760C2" w:rsidRPr="006751CE" w:rsidRDefault="00E760C2" w:rsidP="009640D5">
      <w:pPr>
        <w:rPr>
          <w:b/>
        </w:rPr>
      </w:pPr>
      <w:r w:rsidRPr="006751CE">
        <w:rPr>
          <w:b/>
        </w:rPr>
        <w:t>Wellbeing</w:t>
      </w:r>
    </w:p>
    <w:p w14:paraId="4C87298C" w14:textId="3CF9586E" w:rsidR="00427EE1" w:rsidRDefault="00E760C2">
      <w:pPr>
        <w:rPr>
          <w:rFonts w:cs="Arial"/>
        </w:rPr>
      </w:pPr>
      <w:r w:rsidRPr="009548FC">
        <w:rPr>
          <w:rFonts w:cs="Arial"/>
        </w:rPr>
        <w:t xml:space="preserve">Beyond strictly “hard” economic push and pull factors, other aspects may also attract firms or constitute enabling conditions for businesses. For example, areas of high wellbeing may constitute a pull factor for entrepreneurs – and by extension for firms. </w:t>
      </w:r>
    </w:p>
    <w:p w14:paraId="43E55DD3" w14:textId="77777777" w:rsidR="00E760C2" w:rsidRPr="009548FC" w:rsidRDefault="00E760C2" w:rsidP="00E760C2">
      <w:pPr>
        <w:pStyle w:val="Heading3Numbered"/>
      </w:pPr>
      <w:bookmarkStart w:id="41" w:name="_Toc464222905"/>
      <w:r w:rsidRPr="009548FC">
        <w:t>Spatial considerations</w:t>
      </w:r>
      <w:bookmarkEnd w:id="41"/>
    </w:p>
    <w:p w14:paraId="61F7FBAE" w14:textId="77777777" w:rsidR="003F0EF7" w:rsidRDefault="00E760C2" w:rsidP="00E760C2">
      <w:pPr>
        <w:rPr>
          <w:rFonts w:cs="Arial"/>
        </w:rPr>
      </w:pPr>
      <w:r w:rsidRPr="009548FC">
        <w:rPr>
          <w:rFonts w:cs="Arial"/>
        </w:rPr>
        <w:t>In additional to control indicators, we also derived proxy indicators to make the geographical distinction between different groups of local authorities. Indeed, it may be challenging to understand the impact of CS&amp;H assets and investment by simply aggregating all local authorities, regardless of whether they are predominantly urban or rural, or indeed located in major urban centres or not.</w:t>
      </w:r>
    </w:p>
    <w:p w14:paraId="068BD791" w14:textId="77777777" w:rsidR="003F0EF7" w:rsidRDefault="003F0EF7" w:rsidP="003F0EF7">
      <w:pPr>
        <w:rPr>
          <w:rFonts w:cs="Arial"/>
        </w:rPr>
      </w:pPr>
      <w:r>
        <w:rPr>
          <w:rFonts w:cs="Arial"/>
        </w:rPr>
        <w:t>Areas more central to cities may tend to have more listed buildings, and a higher concentration of firms. Therefore, effects of the impact of cultural and heritage assets on economic development in an area may relate to the fact that both are more likely to occur in centrally located local authorities in urban areas. In larger urban population centres with multiple local authorities, the distribution of listed buildings is important, and thus results are sensitive to geography.</w:t>
      </w:r>
    </w:p>
    <w:p w14:paraId="514D368D" w14:textId="5F71D1A2" w:rsidR="00E760C2" w:rsidRPr="009548FC" w:rsidRDefault="00E760C2" w:rsidP="00E760C2">
      <w:pPr>
        <w:rPr>
          <w:rFonts w:cs="Arial"/>
        </w:rPr>
      </w:pPr>
      <w:r w:rsidRPr="009548FC">
        <w:rPr>
          <w:rFonts w:cs="Arial"/>
        </w:rPr>
        <w:t xml:space="preserve">To account for these differences, we </w:t>
      </w:r>
      <w:r w:rsidR="00D65C9E">
        <w:rPr>
          <w:rFonts w:cs="Arial"/>
        </w:rPr>
        <w:t>grouped</w:t>
      </w:r>
      <w:r w:rsidR="00D65C9E" w:rsidRPr="009548FC">
        <w:rPr>
          <w:rFonts w:cs="Arial"/>
        </w:rPr>
        <w:t xml:space="preserve"> </w:t>
      </w:r>
      <w:r w:rsidRPr="009548FC">
        <w:rPr>
          <w:rFonts w:cs="Arial"/>
        </w:rPr>
        <w:t xml:space="preserve">local authorities into </w:t>
      </w:r>
      <w:r w:rsidR="003F0EF7">
        <w:rPr>
          <w:rFonts w:cs="Arial"/>
        </w:rPr>
        <w:t>two</w:t>
      </w:r>
      <w:r w:rsidR="003F0EF7" w:rsidRPr="009548FC">
        <w:rPr>
          <w:rFonts w:cs="Arial"/>
        </w:rPr>
        <w:t xml:space="preserve"> </w:t>
      </w:r>
      <w:r w:rsidRPr="009548FC">
        <w:rPr>
          <w:rFonts w:cs="Arial"/>
        </w:rPr>
        <w:t>categories</w:t>
      </w:r>
      <w:r w:rsidR="003F0EF7" w:rsidRPr="003F0EF7">
        <w:rPr>
          <w:rFonts w:cs="Arial"/>
        </w:rPr>
        <w:t xml:space="preserve">, to test if results </w:t>
      </w:r>
      <w:r w:rsidR="003F0EF7">
        <w:rPr>
          <w:rFonts w:cs="Arial"/>
        </w:rPr>
        <w:t>varied</w:t>
      </w:r>
      <w:r w:rsidR="003F0EF7" w:rsidRPr="003F0EF7">
        <w:rPr>
          <w:rFonts w:cs="Arial"/>
        </w:rPr>
        <w:t xml:space="preserve"> in different areas</w:t>
      </w:r>
      <w:r w:rsidRPr="009548FC">
        <w:rPr>
          <w:rFonts w:cs="Arial"/>
        </w:rPr>
        <w:t xml:space="preserve">: </w:t>
      </w:r>
    </w:p>
    <w:p w14:paraId="23B09AC5" w14:textId="77777777" w:rsidR="00E760C2" w:rsidRPr="009548FC" w:rsidRDefault="00E760C2" w:rsidP="006751CE">
      <w:pPr>
        <w:pStyle w:val="Bullet"/>
      </w:pPr>
      <w:r w:rsidRPr="009548FC">
        <w:t>Those which form part of a major urban centre (even if partially), including Greater London</w:t>
      </w:r>
    </w:p>
    <w:p w14:paraId="492E3575" w14:textId="6380B4C7" w:rsidR="00E760C2" w:rsidRPr="009548FC" w:rsidRDefault="00E760C2" w:rsidP="006751CE">
      <w:pPr>
        <w:pStyle w:val="Bullet"/>
      </w:pPr>
      <w:r w:rsidRPr="009548FC">
        <w:t xml:space="preserve">Those which contain no urban centre at all, i.e. </w:t>
      </w:r>
      <w:r w:rsidR="000D590D">
        <w:t>those</w:t>
      </w:r>
      <w:r w:rsidRPr="009548FC">
        <w:t xml:space="preserve"> which are predominantly rural</w:t>
      </w:r>
    </w:p>
    <w:p w14:paraId="465309F2" w14:textId="5BA42602" w:rsidR="003F0EF7" w:rsidRDefault="00E760C2" w:rsidP="00E760C2">
      <w:pPr>
        <w:rPr>
          <w:rFonts w:cs="Arial"/>
        </w:rPr>
      </w:pPr>
      <w:r w:rsidRPr="009548FC">
        <w:rPr>
          <w:rFonts w:cs="Arial"/>
        </w:rPr>
        <w:t xml:space="preserve">This clustering allowed us to provide aggregate estimations for each of the regressions run, </w:t>
      </w:r>
      <w:r w:rsidR="00D65C9E">
        <w:rPr>
          <w:rFonts w:cs="Arial"/>
        </w:rPr>
        <w:t>and</w:t>
      </w:r>
      <w:r w:rsidRPr="009548FC">
        <w:rPr>
          <w:rFonts w:cs="Arial"/>
        </w:rPr>
        <w:t xml:space="preserve"> to test relationship</w:t>
      </w:r>
      <w:r w:rsidR="000D590D">
        <w:rPr>
          <w:rFonts w:cs="Arial"/>
        </w:rPr>
        <w:t>s</w:t>
      </w:r>
      <w:r w:rsidRPr="009548FC">
        <w:rPr>
          <w:rFonts w:cs="Arial"/>
        </w:rPr>
        <w:t xml:space="preserve"> for different groups of local authorities.</w:t>
      </w:r>
    </w:p>
    <w:p w14:paraId="0CC5A4B2" w14:textId="43531443" w:rsidR="00E760C2" w:rsidRPr="009548FC" w:rsidRDefault="003F0EF7" w:rsidP="00E760C2">
      <w:pPr>
        <w:rPr>
          <w:rFonts w:cs="Arial"/>
        </w:rPr>
      </w:pPr>
      <w:r>
        <w:rPr>
          <w:rFonts w:cs="Arial"/>
        </w:rPr>
        <w:t>The results were run separately in the panel data for local authorities in rural and urban locations, to account for these differences. These are reported for the creative firms analysis, where it can be seen that results do not vary significantly whether the Local Authority contains a major urban centre or not.</w:t>
      </w:r>
    </w:p>
    <w:p w14:paraId="154BF651" w14:textId="77777777" w:rsidR="00E760C2" w:rsidRPr="009548FC" w:rsidRDefault="00E760C2" w:rsidP="00E760C2">
      <w:pPr>
        <w:pStyle w:val="Heading3Numbered"/>
      </w:pPr>
      <w:bookmarkStart w:id="42" w:name="_Toc464222906"/>
      <w:r w:rsidRPr="009548FC">
        <w:t>Temporal considerations</w:t>
      </w:r>
      <w:bookmarkEnd w:id="42"/>
    </w:p>
    <w:p w14:paraId="1E353700" w14:textId="77777777" w:rsidR="00E760C2" w:rsidRPr="009548FC" w:rsidRDefault="00E760C2" w:rsidP="00E760C2">
      <w:pPr>
        <w:jc w:val="both"/>
        <w:rPr>
          <w:rFonts w:cs="Arial"/>
        </w:rPr>
      </w:pPr>
      <w:r w:rsidRPr="009548FC">
        <w:rPr>
          <w:rFonts w:cs="Arial"/>
        </w:rPr>
        <w:t>Some of the data was only available at a single point in time, and was not available longitudinally. Therefore we estimate two sets of models:</w:t>
      </w:r>
    </w:p>
    <w:p w14:paraId="7A8BCFF7" w14:textId="228DD79D" w:rsidR="00E760C2" w:rsidRPr="009548FC" w:rsidRDefault="00E760C2" w:rsidP="006751CE">
      <w:pPr>
        <w:pStyle w:val="Bullet"/>
      </w:pPr>
      <w:r w:rsidRPr="009548FC">
        <w:t>Cross-sectional models</w:t>
      </w:r>
    </w:p>
    <w:p w14:paraId="60B6362F" w14:textId="77777777" w:rsidR="00E760C2" w:rsidRPr="009548FC" w:rsidRDefault="00E760C2" w:rsidP="006751CE">
      <w:pPr>
        <w:pStyle w:val="Bullet"/>
      </w:pPr>
      <w:r w:rsidRPr="009548FC">
        <w:t>Panel data models</w:t>
      </w:r>
    </w:p>
    <w:p w14:paraId="494981DD" w14:textId="7A27427A" w:rsidR="00E760C2" w:rsidRPr="009548FC" w:rsidRDefault="00E760C2" w:rsidP="00E760C2">
      <w:pPr>
        <w:jc w:val="both"/>
        <w:rPr>
          <w:rFonts w:cs="Arial"/>
        </w:rPr>
      </w:pPr>
      <w:r w:rsidRPr="009548FC">
        <w:rPr>
          <w:rFonts w:cs="Arial"/>
        </w:rPr>
        <w:t xml:space="preserve">Cross-sectional models are estimated using point in time data for 2013 only. This allows more variables to be included. </w:t>
      </w:r>
    </w:p>
    <w:p w14:paraId="2407DE7E" w14:textId="653D19A4" w:rsidR="00E760C2" w:rsidRPr="009548FC" w:rsidRDefault="00E760C2" w:rsidP="00E760C2">
      <w:pPr>
        <w:jc w:val="both"/>
        <w:rPr>
          <w:rFonts w:cs="Arial"/>
        </w:rPr>
      </w:pPr>
      <w:r w:rsidRPr="009548FC">
        <w:rPr>
          <w:rFonts w:cs="Arial"/>
        </w:rPr>
        <w:t>Panel data models allow us to test data over multiple points in time, although fewer variables can be tested. This has a stronger causal interpretation, as we can control for unobserved area-specific agglomeration effects (i</w:t>
      </w:r>
      <w:r w:rsidR="000D590D">
        <w:rPr>
          <w:rFonts w:cs="Arial"/>
        </w:rPr>
        <w:t>.</w:t>
      </w:r>
      <w:r w:rsidRPr="009548FC">
        <w:rPr>
          <w:rFonts w:cs="Arial"/>
        </w:rPr>
        <w:t>e. any time-invariant characteristics of an area for which we do not currently have data but may be skewing results).</w:t>
      </w:r>
    </w:p>
    <w:p w14:paraId="5CEF4E21" w14:textId="4878D034" w:rsidR="00E760C2" w:rsidRPr="00873DB7" w:rsidRDefault="00E760C2" w:rsidP="00E760C2">
      <w:pPr>
        <w:jc w:val="both"/>
        <w:rPr>
          <w:rFonts w:cs="Arial"/>
        </w:rPr>
      </w:pPr>
      <w:r w:rsidRPr="009A43FB">
        <w:rPr>
          <w:rFonts w:cs="Arial"/>
        </w:rPr>
        <w:fldChar w:fldCharType="begin"/>
      </w:r>
      <w:r w:rsidRPr="009548FC">
        <w:rPr>
          <w:rFonts w:cs="Arial"/>
        </w:rPr>
        <w:instrText xml:space="preserve"> REF _Ref457387995 \h </w:instrText>
      </w:r>
      <w:r>
        <w:rPr>
          <w:rFonts w:cs="Arial"/>
        </w:rPr>
        <w:instrText xml:space="preserve"> \* MERGEFORMAT </w:instrText>
      </w:r>
      <w:r w:rsidRPr="009A43FB">
        <w:rPr>
          <w:rFonts w:cs="Arial"/>
        </w:rPr>
      </w:r>
      <w:r w:rsidRPr="009A43FB">
        <w:rPr>
          <w:rFonts w:cs="Arial"/>
        </w:rPr>
        <w:fldChar w:fldCharType="separate"/>
      </w:r>
      <w:r w:rsidR="00F0636B" w:rsidRPr="009548FC">
        <w:t xml:space="preserve">Table </w:t>
      </w:r>
      <w:r w:rsidR="00F0636B">
        <w:rPr>
          <w:noProof/>
        </w:rPr>
        <w:t>1</w:t>
      </w:r>
      <w:r w:rsidRPr="009A43FB">
        <w:rPr>
          <w:rFonts w:cs="Arial"/>
        </w:rPr>
        <w:fldChar w:fldCharType="end"/>
      </w:r>
      <w:r w:rsidRPr="009548FC">
        <w:rPr>
          <w:rFonts w:cs="Arial"/>
        </w:rPr>
        <w:t xml:space="preserve"> </w:t>
      </w:r>
      <w:r w:rsidRPr="009A43FB">
        <w:rPr>
          <w:rFonts w:cs="Arial"/>
        </w:rPr>
        <w:t>show</w:t>
      </w:r>
      <w:r w:rsidRPr="00873DB7">
        <w:rPr>
          <w:rFonts w:cs="Arial"/>
        </w:rPr>
        <w:t>s the variables for which we have single or multiple points.</w:t>
      </w:r>
    </w:p>
    <w:p w14:paraId="63953754" w14:textId="77777777" w:rsidR="00E760C2" w:rsidRPr="009548FC" w:rsidRDefault="00E760C2" w:rsidP="00E760C2">
      <w:pPr>
        <w:jc w:val="both"/>
        <w:rPr>
          <w:rFonts w:cs="Arial"/>
        </w:rPr>
      </w:pPr>
    </w:p>
    <w:p w14:paraId="6E788E92" w14:textId="77777777" w:rsidR="00E760C2" w:rsidRPr="009548FC" w:rsidRDefault="00E760C2" w:rsidP="00E760C2">
      <w:pPr>
        <w:pStyle w:val="Caption"/>
      </w:pPr>
      <w:bookmarkStart w:id="43" w:name="_Ref457387995"/>
      <w:bookmarkStart w:id="44" w:name="_Ref457387988"/>
      <w:bookmarkStart w:id="45" w:name="_Toc464220255"/>
      <w:r w:rsidRPr="009548FC">
        <w:t xml:space="preserve">Table </w:t>
      </w:r>
      <w:r w:rsidRPr="00982C4F">
        <w:fldChar w:fldCharType="begin"/>
      </w:r>
      <w:r w:rsidRPr="009548FC">
        <w:instrText xml:space="preserve"> SEQ Table \* ARABIC </w:instrText>
      </w:r>
      <w:r w:rsidRPr="00982C4F">
        <w:fldChar w:fldCharType="separate"/>
      </w:r>
      <w:r w:rsidR="00F0636B">
        <w:rPr>
          <w:noProof/>
        </w:rPr>
        <w:t>1</w:t>
      </w:r>
      <w:r w:rsidRPr="00982C4F">
        <w:rPr>
          <w:noProof/>
        </w:rPr>
        <w:fldChar w:fldCharType="end"/>
      </w:r>
      <w:bookmarkEnd w:id="43"/>
      <w:r w:rsidRPr="009548FC">
        <w:t>: Data types</w:t>
      </w:r>
      <w:bookmarkEnd w:id="44"/>
      <w:bookmarkEnd w:id="45"/>
    </w:p>
    <w:tbl>
      <w:tblPr>
        <w:tblStyle w:val="TableGrid"/>
        <w:tblW w:w="0" w:type="auto"/>
        <w:tblLook w:val="04A0" w:firstRow="1" w:lastRow="0" w:firstColumn="1" w:lastColumn="0" w:noHBand="0" w:noVBand="1"/>
      </w:tblPr>
      <w:tblGrid>
        <w:gridCol w:w="4508"/>
        <w:gridCol w:w="4508"/>
      </w:tblGrid>
      <w:tr w:rsidR="00E760C2" w:rsidRPr="009548FC" w14:paraId="6082ABAD" w14:textId="77777777" w:rsidTr="00753A00">
        <w:tc>
          <w:tcPr>
            <w:tcW w:w="4508" w:type="dxa"/>
            <w:tcBorders>
              <w:top w:val="single" w:sz="4" w:space="0" w:color="auto"/>
              <w:left w:val="single" w:sz="4" w:space="0" w:color="auto"/>
              <w:bottom w:val="single" w:sz="4" w:space="0" w:color="auto"/>
              <w:right w:val="single" w:sz="4" w:space="0" w:color="auto"/>
            </w:tcBorders>
            <w:hideMark/>
          </w:tcPr>
          <w:p w14:paraId="220256F3" w14:textId="4F2E48E4" w:rsidR="00E760C2" w:rsidRPr="009548FC" w:rsidRDefault="00E760C2" w:rsidP="00753A00">
            <w:pPr>
              <w:spacing w:after="120"/>
              <w:ind w:left="0"/>
              <w:rPr>
                <w:rFonts w:cs="Arial"/>
                <w:szCs w:val="22"/>
              </w:rPr>
            </w:pPr>
            <w:r w:rsidRPr="009548FC">
              <w:rPr>
                <w:rFonts w:cs="Arial"/>
              </w:rPr>
              <w:t>Cross-sectional data</w:t>
            </w:r>
          </w:p>
        </w:tc>
        <w:tc>
          <w:tcPr>
            <w:tcW w:w="4508" w:type="dxa"/>
            <w:tcBorders>
              <w:top w:val="single" w:sz="4" w:space="0" w:color="auto"/>
              <w:left w:val="single" w:sz="4" w:space="0" w:color="auto"/>
              <w:bottom w:val="single" w:sz="4" w:space="0" w:color="auto"/>
              <w:right w:val="single" w:sz="4" w:space="0" w:color="auto"/>
            </w:tcBorders>
            <w:hideMark/>
          </w:tcPr>
          <w:p w14:paraId="4ECE6EEF" w14:textId="77777777" w:rsidR="00E760C2" w:rsidRPr="009548FC" w:rsidRDefault="00E760C2" w:rsidP="00753A00">
            <w:pPr>
              <w:spacing w:after="120"/>
              <w:ind w:left="0"/>
              <w:rPr>
                <w:rFonts w:cs="Arial"/>
                <w:szCs w:val="22"/>
              </w:rPr>
            </w:pPr>
            <w:r w:rsidRPr="009548FC">
              <w:rPr>
                <w:rFonts w:cs="Arial"/>
              </w:rPr>
              <w:t>Panel data</w:t>
            </w:r>
          </w:p>
        </w:tc>
      </w:tr>
      <w:tr w:rsidR="00E760C2" w:rsidRPr="009548FC" w14:paraId="28A386B4" w14:textId="77777777" w:rsidTr="00753A00">
        <w:tc>
          <w:tcPr>
            <w:tcW w:w="4508" w:type="dxa"/>
            <w:tcBorders>
              <w:top w:val="single" w:sz="4" w:space="0" w:color="auto"/>
              <w:left w:val="single" w:sz="4" w:space="0" w:color="auto"/>
              <w:bottom w:val="single" w:sz="4" w:space="0" w:color="auto"/>
              <w:right w:val="single" w:sz="4" w:space="0" w:color="auto"/>
            </w:tcBorders>
            <w:hideMark/>
          </w:tcPr>
          <w:p w14:paraId="1000F86C" w14:textId="77777777" w:rsidR="00E760C2" w:rsidRPr="009548FC" w:rsidRDefault="00E760C2" w:rsidP="00753A00">
            <w:pPr>
              <w:ind w:left="0"/>
              <w:rPr>
                <w:rFonts w:cs="Arial"/>
              </w:rPr>
            </w:pPr>
            <w:r w:rsidRPr="009548FC">
              <w:rPr>
                <w:rFonts w:cs="Arial"/>
              </w:rPr>
              <w:t>Heritage assets density (natural assets and listed buildings/monuments)</w:t>
            </w:r>
          </w:p>
          <w:p w14:paraId="10470248" w14:textId="77777777" w:rsidR="00E760C2" w:rsidRPr="009548FC" w:rsidRDefault="00E760C2" w:rsidP="00753A00">
            <w:pPr>
              <w:ind w:left="0"/>
              <w:rPr>
                <w:rFonts w:cs="Arial"/>
              </w:rPr>
            </w:pPr>
            <w:r w:rsidRPr="009548FC">
              <w:rPr>
                <w:rFonts w:cs="Arial"/>
              </w:rPr>
              <w:t>Sports assets density</w:t>
            </w:r>
          </w:p>
          <w:p w14:paraId="0F2F3CBB" w14:textId="77777777" w:rsidR="00E760C2" w:rsidRPr="009548FC" w:rsidRDefault="00E760C2" w:rsidP="00753A00">
            <w:pPr>
              <w:ind w:left="0"/>
              <w:rPr>
                <w:rFonts w:cs="Arial"/>
              </w:rPr>
            </w:pPr>
            <w:r w:rsidRPr="009548FC">
              <w:rPr>
                <w:rFonts w:cs="Arial"/>
              </w:rPr>
              <w:t>Libraries</w:t>
            </w:r>
          </w:p>
          <w:p w14:paraId="22398ABB" w14:textId="77777777" w:rsidR="00E760C2" w:rsidRPr="009548FC" w:rsidRDefault="00E760C2" w:rsidP="00753A00">
            <w:pPr>
              <w:ind w:left="0"/>
              <w:rPr>
                <w:rFonts w:cs="Arial"/>
              </w:rPr>
            </w:pPr>
            <w:r w:rsidRPr="009548FC">
              <w:rPr>
                <w:rFonts w:cs="Arial"/>
              </w:rPr>
              <w:t>Life satisfaction</w:t>
            </w:r>
          </w:p>
          <w:p w14:paraId="148BF5A3" w14:textId="77777777" w:rsidR="00E760C2" w:rsidRPr="009548FC" w:rsidRDefault="00E760C2" w:rsidP="00753A00">
            <w:pPr>
              <w:ind w:left="0"/>
              <w:rPr>
                <w:rFonts w:cs="Arial"/>
              </w:rPr>
            </w:pPr>
            <w:r w:rsidRPr="009548FC">
              <w:rPr>
                <w:rFonts w:cs="Arial"/>
              </w:rPr>
              <w:t>Transport infrastructure</w:t>
            </w:r>
          </w:p>
          <w:p w14:paraId="585B2F8D" w14:textId="77777777" w:rsidR="00E760C2" w:rsidRPr="009548FC" w:rsidRDefault="00E760C2" w:rsidP="00753A00">
            <w:pPr>
              <w:spacing w:after="120"/>
              <w:ind w:left="0"/>
              <w:rPr>
                <w:rFonts w:cs="Arial"/>
                <w:szCs w:val="22"/>
              </w:rPr>
            </w:pPr>
            <w:r w:rsidRPr="009548FC">
              <w:rPr>
                <w:rFonts w:cs="Arial"/>
              </w:rPr>
              <w:t>Network infrastructure</w:t>
            </w:r>
          </w:p>
        </w:tc>
        <w:tc>
          <w:tcPr>
            <w:tcW w:w="4508" w:type="dxa"/>
            <w:tcBorders>
              <w:top w:val="single" w:sz="4" w:space="0" w:color="auto"/>
              <w:left w:val="single" w:sz="4" w:space="0" w:color="auto"/>
              <w:bottom w:val="single" w:sz="4" w:space="0" w:color="auto"/>
              <w:right w:val="single" w:sz="4" w:space="0" w:color="auto"/>
            </w:tcBorders>
            <w:hideMark/>
          </w:tcPr>
          <w:p w14:paraId="3D3C1D0C" w14:textId="77777777" w:rsidR="00E760C2" w:rsidRPr="009548FC" w:rsidRDefault="00E760C2" w:rsidP="00753A00">
            <w:pPr>
              <w:ind w:left="0"/>
              <w:rPr>
                <w:rFonts w:cs="Arial"/>
              </w:rPr>
            </w:pPr>
            <w:r w:rsidRPr="009548FC">
              <w:rPr>
                <w:rFonts w:cs="Arial"/>
              </w:rPr>
              <w:t>Per capita investment in CS&amp;H</w:t>
            </w:r>
          </w:p>
          <w:p w14:paraId="4633339E" w14:textId="77777777" w:rsidR="00E760C2" w:rsidRPr="009548FC" w:rsidRDefault="00E760C2" w:rsidP="00753A00">
            <w:pPr>
              <w:ind w:left="0"/>
              <w:rPr>
                <w:rFonts w:cs="Arial"/>
              </w:rPr>
            </w:pPr>
            <w:r w:rsidRPr="009548FC">
              <w:rPr>
                <w:rFonts w:cs="Arial"/>
              </w:rPr>
              <w:t>Employment rate</w:t>
            </w:r>
          </w:p>
          <w:p w14:paraId="35502192" w14:textId="77777777" w:rsidR="00E760C2" w:rsidRPr="009548FC" w:rsidRDefault="00E760C2" w:rsidP="00753A00">
            <w:pPr>
              <w:ind w:left="0"/>
              <w:rPr>
                <w:rFonts w:cs="Arial"/>
              </w:rPr>
            </w:pPr>
            <w:r w:rsidRPr="009548FC">
              <w:rPr>
                <w:rFonts w:cs="Arial"/>
              </w:rPr>
              <w:t>Proportion of skilled employment</w:t>
            </w:r>
          </w:p>
          <w:p w14:paraId="5E24AA77" w14:textId="77777777" w:rsidR="00E760C2" w:rsidRPr="009548FC" w:rsidRDefault="00E760C2" w:rsidP="00753A00">
            <w:pPr>
              <w:ind w:left="0"/>
              <w:rPr>
                <w:rFonts w:cs="Arial"/>
              </w:rPr>
            </w:pPr>
            <w:r w:rsidRPr="009548FC">
              <w:rPr>
                <w:rFonts w:cs="Arial"/>
              </w:rPr>
              <w:t>GVA</w:t>
            </w:r>
          </w:p>
          <w:p w14:paraId="3FAC7B8F" w14:textId="77777777" w:rsidR="00E760C2" w:rsidRPr="009548FC" w:rsidRDefault="00E760C2" w:rsidP="00753A00">
            <w:pPr>
              <w:ind w:left="0"/>
              <w:rPr>
                <w:rFonts w:cs="Arial"/>
              </w:rPr>
            </w:pPr>
            <w:r w:rsidRPr="009548FC">
              <w:rPr>
                <w:rFonts w:cs="Arial"/>
              </w:rPr>
              <w:t>Size of the market (population)</w:t>
            </w:r>
          </w:p>
          <w:p w14:paraId="570CFF1B" w14:textId="77777777" w:rsidR="00E760C2" w:rsidRPr="009548FC" w:rsidRDefault="00E760C2" w:rsidP="00753A00">
            <w:pPr>
              <w:spacing w:after="120"/>
              <w:ind w:left="0"/>
              <w:rPr>
                <w:rFonts w:cs="Arial"/>
                <w:szCs w:val="22"/>
              </w:rPr>
            </w:pPr>
            <w:r w:rsidRPr="009548FC">
              <w:rPr>
                <w:rFonts w:cs="Arial"/>
              </w:rPr>
              <w:t>Housing density</w:t>
            </w:r>
          </w:p>
        </w:tc>
      </w:tr>
    </w:tbl>
    <w:p w14:paraId="121FD4A8" w14:textId="77777777" w:rsidR="00E760C2" w:rsidRPr="009548FC" w:rsidRDefault="00E760C2" w:rsidP="00E760C2">
      <w:pPr>
        <w:widowControl w:val="0"/>
        <w:autoSpaceDE w:val="0"/>
        <w:autoSpaceDN w:val="0"/>
        <w:adjustRightInd w:val="0"/>
        <w:spacing w:before="0" w:after="120" w:line="276" w:lineRule="auto"/>
        <w:ind w:left="0"/>
        <w:contextualSpacing/>
        <w:rPr>
          <w:rFonts w:eastAsia="Calibri" w:cs="Arial"/>
          <w:szCs w:val="22"/>
        </w:rPr>
      </w:pPr>
    </w:p>
    <w:p w14:paraId="6A2DF9B6" w14:textId="77777777" w:rsidR="00E760C2" w:rsidRPr="009548FC" w:rsidRDefault="00E760C2" w:rsidP="00E760C2">
      <w:pPr>
        <w:pStyle w:val="Heading1Numbered"/>
        <w:rPr>
          <w:rFonts w:eastAsia="Calibri" w:cs="Arial"/>
        </w:rPr>
      </w:pPr>
      <w:bookmarkStart w:id="46" w:name="_Toc464222907"/>
      <w:r w:rsidRPr="009548FC">
        <w:rPr>
          <w:rFonts w:eastAsia="Calibri" w:cs="Arial"/>
        </w:rPr>
        <w:t>Econometric analysis and findings</w:t>
      </w:r>
      <w:bookmarkEnd w:id="46"/>
    </w:p>
    <w:p w14:paraId="00D19C4E" w14:textId="5DD82D3C" w:rsidR="00E760C2" w:rsidRPr="009548FC" w:rsidRDefault="00E760C2" w:rsidP="00E760C2">
      <w:pPr>
        <w:rPr>
          <w:rFonts w:eastAsia="Calibri" w:cs="Arial"/>
        </w:rPr>
      </w:pPr>
      <w:r w:rsidRPr="009548FC">
        <w:rPr>
          <w:rFonts w:eastAsia="Calibri" w:cs="Arial"/>
        </w:rPr>
        <w:t>This chapter sets out the results of our econometric analysis. Although some results are promising and there are clear links between some variables and CS&amp;H assets and investment, results are not always consistent across models or specifications. Therefore the chapter concludes by discussing some important caveats of the results.</w:t>
      </w:r>
    </w:p>
    <w:p w14:paraId="04660001" w14:textId="77777777" w:rsidR="00E760C2" w:rsidRPr="009548FC" w:rsidRDefault="00E760C2" w:rsidP="00E760C2">
      <w:pPr>
        <w:pStyle w:val="Heading2Numbered"/>
        <w:rPr>
          <w:rFonts w:eastAsia="Calibri"/>
        </w:rPr>
      </w:pPr>
      <w:bookmarkStart w:id="47" w:name="_Toc464222908"/>
      <w:r w:rsidRPr="009548FC">
        <w:rPr>
          <w:rFonts w:eastAsia="Calibri"/>
        </w:rPr>
        <w:t>All firms</w:t>
      </w:r>
      <w:bookmarkEnd w:id="47"/>
    </w:p>
    <w:p w14:paraId="5FC39BFA" w14:textId="494C488A" w:rsidR="00135AE3" w:rsidRDefault="00E760C2" w:rsidP="00E760C2">
      <w:pPr>
        <w:rPr>
          <w:rFonts w:eastAsia="Calibri" w:cs="Arial"/>
        </w:rPr>
      </w:pPr>
      <w:r w:rsidRPr="009548FC">
        <w:rPr>
          <w:rFonts w:eastAsia="Calibri" w:cs="Arial"/>
        </w:rPr>
        <w:t>We first present the results of our analysis of the relationship</w:t>
      </w:r>
      <w:r w:rsidR="0044105E">
        <w:rPr>
          <w:rFonts w:eastAsia="Calibri" w:cs="Arial"/>
        </w:rPr>
        <w:t>s</w:t>
      </w:r>
      <w:r w:rsidRPr="009548FC">
        <w:rPr>
          <w:rFonts w:eastAsia="Calibri" w:cs="Arial"/>
        </w:rPr>
        <w:t xml:space="preserve"> between CS&amp;H assets and investment and local economies as a whole (including all firms). As this is an analysis that – to the authors’ knowledge – has not been considered econometrically before, these results are highly exploratory and should be considered a starting point for future research.</w:t>
      </w:r>
    </w:p>
    <w:p w14:paraId="581AEB86" w14:textId="0E87A5A3" w:rsidR="00E760C2" w:rsidRPr="009548FC" w:rsidRDefault="00E760C2" w:rsidP="00E760C2">
      <w:pPr>
        <w:rPr>
          <w:rFonts w:eastAsia="Calibri" w:cs="Arial"/>
        </w:rPr>
      </w:pPr>
      <w:r w:rsidRPr="009548FC">
        <w:rPr>
          <w:rFonts w:eastAsia="Calibri" w:cs="Arial"/>
        </w:rPr>
        <w:t xml:space="preserve">All models are estimated using data for the year 2013. </w:t>
      </w:r>
    </w:p>
    <w:p w14:paraId="1BCA4BC1" w14:textId="77777777" w:rsidR="00E760C2" w:rsidRPr="009548FC" w:rsidRDefault="00E760C2" w:rsidP="00E760C2">
      <w:pPr>
        <w:pStyle w:val="Heading3Numbered"/>
        <w:rPr>
          <w:rFonts w:eastAsia="Calibri"/>
        </w:rPr>
      </w:pPr>
      <w:bookmarkStart w:id="48" w:name="_Toc464222909"/>
      <w:r w:rsidRPr="009548FC">
        <w:rPr>
          <w:rFonts w:eastAsia="Calibri"/>
        </w:rPr>
        <w:t>Cross-sectional models – all firms</w:t>
      </w:r>
      <w:bookmarkEnd w:id="48"/>
    </w:p>
    <w:p w14:paraId="3AC8FE0F" w14:textId="0F65F77C" w:rsidR="00E760C2" w:rsidRPr="009548FC" w:rsidRDefault="00E760C2" w:rsidP="00E760C2">
      <w:pPr>
        <w:rPr>
          <w:rFonts w:eastAsia="Calibri" w:cs="Arial"/>
        </w:rPr>
      </w:pPr>
      <w:r w:rsidRPr="009548FC">
        <w:rPr>
          <w:rFonts w:eastAsia="Calibri" w:cs="Arial"/>
        </w:rPr>
        <w:t xml:space="preserve">The results for the relationships between all firms’ turnover, concentration and migration and CS&amp;H assets and investment are presented below in </w:t>
      </w:r>
      <w:r w:rsidRPr="00E760C2">
        <w:rPr>
          <w:rFonts w:eastAsia="Calibri" w:cs="Arial"/>
        </w:rPr>
        <w:fldChar w:fldCharType="begin"/>
      </w:r>
      <w:r w:rsidRPr="009548FC">
        <w:rPr>
          <w:rFonts w:eastAsia="Calibri" w:cs="Arial"/>
        </w:rPr>
        <w:instrText xml:space="preserve"> REF _Ref450040279 \h  \* MERGEFORMAT </w:instrText>
      </w:r>
      <w:r w:rsidRPr="00E760C2">
        <w:rPr>
          <w:rFonts w:eastAsia="Calibri" w:cs="Arial"/>
        </w:rPr>
      </w:r>
      <w:r w:rsidRPr="00E760C2">
        <w:rPr>
          <w:rFonts w:eastAsia="Calibri" w:cs="Arial"/>
        </w:rPr>
        <w:fldChar w:fldCharType="separate"/>
      </w:r>
      <w:r w:rsidR="00F0636B" w:rsidRPr="00F0636B">
        <w:rPr>
          <w:rFonts w:cs="Arial"/>
        </w:rPr>
        <w:t xml:space="preserve">Table </w:t>
      </w:r>
      <w:r w:rsidR="00F0636B" w:rsidRPr="00F0636B">
        <w:rPr>
          <w:rFonts w:cs="Arial"/>
          <w:noProof/>
        </w:rPr>
        <w:t>2</w:t>
      </w:r>
      <w:r w:rsidRPr="00E760C2">
        <w:rPr>
          <w:rFonts w:eastAsia="Calibri" w:cs="Arial"/>
        </w:rPr>
        <w:fldChar w:fldCharType="end"/>
      </w:r>
      <w:r w:rsidRPr="009548FC">
        <w:rPr>
          <w:rFonts w:eastAsia="Calibri" w:cs="Arial"/>
        </w:rPr>
        <w:t>.</w:t>
      </w:r>
    </w:p>
    <w:p w14:paraId="4BC76236" w14:textId="696673B8" w:rsidR="00E760C2" w:rsidRDefault="00E760C2" w:rsidP="00E760C2">
      <w:pPr>
        <w:rPr>
          <w:rFonts w:eastAsia="Calibri" w:cs="Arial"/>
        </w:rPr>
      </w:pPr>
      <w:r w:rsidRPr="009A43FB">
        <w:rPr>
          <w:rFonts w:eastAsia="Calibri" w:cs="Arial"/>
        </w:rPr>
        <w:t xml:space="preserve">The number of firms per capita is strongly and positively associated with </w:t>
      </w:r>
      <w:r w:rsidRPr="00873DB7">
        <w:rPr>
          <w:rFonts w:eastAsia="Calibri" w:cs="Arial"/>
        </w:rPr>
        <w:t xml:space="preserve">heritage assets density, and cultural events per capita. Net migration of all firms is also strongly and positively associated with cultural events per capita. </w:t>
      </w:r>
      <w:r w:rsidRPr="009548FC">
        <w:rPr>
          <w:rFonts w:eastAsia="Calibri" w:cs="Arial"/>
        </w:rPr>
        <w:t xml:space="preserve">These results are robust when considering local authorities in major urban centres, as well as those that aren’t – this is an important result as it suggests </w:t>
      </w:r>
      <w:r w:rsidR="002D2364">
        <w:rPr>
          <w:rFonts w:eastAsia="Calibri" w:cs="Arial"/>
        </w:rPr>
        <w:t>a direct relationship, and</w:t>
      </w:r>
      <w:r w:rsidRPr="009548FC">
        <w:rPr>
          <w:rFonts w:eastAsia="Calibri" w:cs="Arial"/>
        </w:rPr>
        <w:t xml:space="preserve"> not simply that agglomeration is driving a high level of both cultural events and a greater concentration of industry.</w:t>
      </w:r>
    </w:p>
    <w:p w14:paraId="3F592176" w14:textId="77777777" w:rsidR="00F87951" w:rsidRPr="009548FC" w:rsidRDefault="00F87951" w:rsidP="00F87951">
      <w:pPr>
        <w:rPr>
          <w:rFonts w:eastAsia="Calibri" w:cs="Arial"/>
        </w:rPr>
      </w:pPr>
      <w:r w:rsidRPr="009548FC">
        <w:rPr>
          <w:rFonts w:eastAsia="Calibri" w:cs="Arial"/>
        </w:rPr>
        <w:t>Investment in CS&amp;H is in general negatively associated with indicators of all firms’ economic performance, although it is only significant for local authority investment and number of firms per capita.</w:t>
      </w:r>
    </w:p>
    <w:p w14:paraId="596592D1" w14:textId="4352A96F" w:rsidR="00F87951" w:rsidRPr="009548FC" w:rsidRDefault="00F87951" w:rsidP="00F87951">
      <w:pPr>
        <w:rPr>
          <w:rFonts w:eastAsia="Calibri" w:cs="Arial"/>
        </w:rPr>
      </w:pPr>
      <w:r w:rsidRPr="009548FC">
        <w:rPr>
          <w:rFonts w:eastAsia="Calibri" w:cs="Arial"/>
        </w:rPr>
        <w:t>Number of firms per capita is also significantly associated with the employment rate, the availability of skilled labour, housing density, transport infrastructure, GVA per capita and population</w:t>
      </w:r>
      <w:r w:rsidR="000B6D23">
        <w:rPr>
          <w:rFonts w:eastAsia="Calibri" w:cs="Arial"/>
        </w:rPr>
        <w:t xml:space="preserve"> size</w:t>
      </w:r>
      <w:r w:rsidRPr="009548FC">
        <w:rPr>
          <w:rFonts w:eastAsia="Calibri" w:cs="Arial"/>
        </w:rPr>
        <w:t xml:space="preserve">. The most significant variable is GVA per capita – however, this variable </w:t>
      </w:r>
      <w:r w:rsidR="008D5892">
        <w:rPr>
          <w:rFonts w:eastAsia="Calibri" w:cs="Arial"/>
        </w:rPr>
        <w:t>may</w:t>
      </w:r>
      <w:r w:rsidR="008D5892" w:rsidRPr="009548FC">
        <w:rPr>
          <w:rFonts w:eastAsia="Calibri" w:cs="Arial"/>
        </w:rPr>
        <w:t xml:space="preserve"> </w:t>
      </w:r>
      <w:r w:rsidRPr="009548FC">
        <w:rPr>
          <w:rFonts w:eastAsia="Calibri" w:cs="Arial"/>
        </w:rPr>
        <w:t xml:space="preserve">be subject to </w:t>
      </w:r>
      <w:r w:rsidR="008D5892" w:rsidRPr="009548FC">
        <w:rPr>
          <w:rFonts w:eastAsia="Calibri" w:cs="Arial"/>
        </w:rPr>
        <w:t xml:space="preserve">simultaneity </w:t>
      </w:r>
      <w:r w:rsidRPr="009548FC">
        <w:rPr>
          <w:rFonts w:eastAsia="Calibri" w:cs="Arial"/>
        </w:rPr>
        <w:t>bias as it is reasonable to assume the number of firms per capita may contribute to GVA per capita.</w:t>
      </w:r>
    </w:p>
    <w:p w14:paraId="51A82233" w14:textId="77777777" w:rsidR="00F87951" w:rsidRPr="009548FC" w:rsidRDefault="00F87951" w:rsidP="00E760C2">
      <w:pPr>
        <w:widowControl w:val="0"/>
        <w:autoSpaceDE w:val="0"/>
        <w:autoSpaceDN w:val="0"/>
        <w:adjustRightInd w:val="0"/>
        <w:spacing w:before="0" w:after="120" w:line="276" w:lineRule="auto"/>
        <w:ind w:left="1134"/>
        <w:contextualSpacing/>
        <w:rPr>
          <w:rFonts w:eastAsia="Calibri" w:cs="Arial"/>
          <w:b/>
          <w:szCs w:val="22"/>
        </w:rPr>
      </w:pPr>
    </w:p>
    <w:p w14:paraId="36E36492" w14:textId="77777777" w:rsidR="00E3244A" w:rsidRDefault="00E3244A" w:rsidP="00E760C2">
      <w:pPr>
        <w:pStyle w:val="Caption"/>
      </w:pPr>
      <w:bookmarkStart w:id="49" w:name="_Ref450040279"/>
      <w:bookmarkStart w:id="50" w:name="_Toc464220256"/>
      <w:r>
        <w:br w:type="page"/>
      </w:r>
    </w:p>
    <w:p w14:paraId="5DA821B6" w14:textId="3DB07E20" w:rsidR="00E760C2" w:rsidRPr="009548FC" w:rsidRDefault="00E760C2" w:rsidP="00E760C2">
      <w:pPr>
        <w:pStyle w:val="Caption"/>
        <w:rPr>
          <w:rFonts w:eastAsia="Calibri"/>
          <w:szCs w:val="22"/>
        </w:rPr>
      </w:pPr>
      <w:r w:rsidRPr="009548FC">
        <w:t xml:space="preserve">Table </w:t>
      </w:r>
      <w:r w:rsidRPr="00982C4F">
        <w:fldChar w:fldCharType="begin"/>
      </w:r>
      <w:r w:rsidRPr="009548FC">
        <w:instrText xml:space="preserve"> SEQ Table \* ARABIC </w:instrText>
      </w:r>
      <w:r w:rsidRPr="00982C4F">
        <w:fldChar w:fldCharType="separate"/>
      </w:r>
      <w:r w:rsidR="00F0636B">
        <w:rPr>
          <w:noProof/>
        </w:rPr>
        <w:t>2</w:t>
      </w:r>
      <w:r w:rsidRPr="00982C4F">
        <w:rPr>
          <w:noProof/>
        </w:rPr>
        <w:fldChar w:fldCharType="end"/>
      </w:r>
      <w:bookmarkEnd w:id="49"/>
      <w:r w:rsidRPr="009548FC">
        <w:t xml:space="preserve">: </w:t>
      </w:r>
      <w:r w:rsidRPr="009548FC">
        <w:rPr>
          <w:rFonts w:eastAsia="Calibri"/>
          <w:szCs w:val="22"/>
        </w:rPr>
        <w:t>All firms and CS&amp;H assets and investment</w:t>
      </w:r>
      <w:bookmarkEnd w:id="50"/>
    </w:p>
    <w:tbl>
      <w:tblPr>
        <w:tblStyle w:val="TableGridLight1"/>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1512"/>
        <w:gridCol w:w="1512"/>
        <w:gridCol w:w="1512"/>
      </w:tblGrid>
      <w:tr w:rsidR="00E760C2" w:rsidRPr="009548FC" w14:paraId="06162C7B" w14:textId="77777777" w:rsidTr="00753A00">
        <w:trPr>
          <w:trHeight w:val="270"/>
        </w:trPr>
        <w:tc>
          <w:tcPr>
            <w:tcW w:w="4962" w:type="dxa"/>
            <w:tcBorders>
              <w:top w:val="single" w:sz="4" w:space="0" w:color="auto"/>
              <w:bottom w:val="single" w:sz="4" w:space="0" w:color="auto"/>
            </w:tcBorders>
            <w:hideMark/>
          </w:tcPr>
          <w:p w14:paraId="16221FF5" w14:textId="77777777" w:rsidR="00E760C2" w:rsidRPr="009548FC" w:rsidRDefault="00E760C2" w:rsidP="00753A00">
            <w:pPr>
              <w:ind w:left="34"/>
              <w:rPr>
                <w:rFonts w:cs="Arial"/>
                <w:b/>
                <w:sz w:val="18"/>
                <w:szCs w:val="18"/>
              </w:rPr>
            </w:pPr>
          </w:p>
        </w:tc>
        <w:tc>
          <w:tcPr>
            <w:tcW w:w="1512" w:type="dxa"/>
            <w:tcBorders>
              <w:top w:val="single" w:sz="4" w:space="0" w:color="auto"/>
              <w:bottom w:val="single" w:sz="4" w:space="0" w:color="auto"/>
            </w:tcBorders>
            <w:hideMark/>
          </w:tcPr>
          <w:p w14:paraId="3630AF81" w14:textId="77777777" w:rsidR="00E760C2" w:rsidRPr="009548FC" w:rsidRDefault="00E760C2" w:rsidP="00753A00">
            <w:pPr>
              <w:ind w:left="112"/>
              <w:jc w:val="center"/>
              <w:rPr>
                <w:rFonts w:cs="Arial"/>
                <w:sz w:val="18"/>
                <w:szCs w:val="18"/>
              </w:rPr>
            </w:pPr>
            <w:r w:rsidRPr="009548FC">
              <w:rPr>
                <w:rFonts w:cs="Arial"/>
                <w:b/>
                <w:bCs/>
                <w:sz w:val="18"/>
                <w:szCs w:val="18"/>
              </w:rPr>
              <w:t>Number of firms per capita</w:t>
            </w:r>
          </w:p>
        </w:tc>
        <w:tc>
          <w:tcPr>
            <w:tcW w:w="1512" w:type="dxa"/>
            <w:tcBorders>
              <w:top w:val="single" w:sz="4" w:space="0" w:color="auto"/>
              <w:bottom w:val="single" w:sz="4" w:space="0" w:color="auto"/>
            </w:tcBorders>
          </w:tcPr>
          <w:p w14:paraId="04C9B5DE" w14:textId="77777777" w:rsidR="00E760C2" w:rsidRPr="009548FC" w:rsidRDefault="00E760C2" w:rsidP="00753A00">
            <w:pPr>
              <w:ind w:left="271"/>
              <w:jc w:val="center"/>
              <w:rPr>
                <w:rFonts w:cs="Arial"/>
                <w:b/>
                <w:bCs/>
                <w:sz w:val="18"/>
                <w:szCs w:val="18"/>
              </w:rPr>
            </w:pPr>
            <w:r w:rsidRPr="009548FC">
              <w:rPr>
                <w:rFonts w:cs="Arial"/>
                <w:b/>
                <w:bCs/>
                <w:sz w:val="18"/>
                <w:szCs w:val="18"/>
              </w:rPr>
              <w:t>Turnover (all firms) per capita</w:t>
            </w:r>
          </w:p>
        </w:tc>
        <w:tc>
          <w:tcPr>
            <w:tcW w:w="1512" w:type="dxa"/>
            <w:tcBorders>
              <w:top w:val="single" w:sz="4" w:space="0" w:color="auto"/>
              <w:bottom w:val="single" w:sz="4" w:space="0" w:color="auto"/>
            </w:tcBorders>
          </w:tcPr>
          <w:p w14:paraId="4952BC7F" w14:textId="77777777" w:rsidR="00E760C2" w:rsidRPr="009548FC" w:rsidRDefault="00E760C2" w:rsidP="00753A00">
            <w:pPr>
              <w:ind w:left="271"/>
              <w:jc w:val="center"/>
              <w:rPr>
                <w:rFonts w:cs="Arial"/>
                <w:b/>
                <w:bCs/>
                <w:sz w:val="18"/>
                <w:szCs w:val="18"/>
              </w:rPr>
            </w:pPr>
            <w:r w:rsidRPr="009548FC">
              <w:rPr>
                <w:rFonts w:cs="Arial"/>
                <w:b/>
                <w:bCs/>
                <w:sz w:val="18"/>
                <w:szCs w:val="18"/>
              </w:rPr>
              <w:t>Net migration of firms per capita</w:t>
            </w:r>
          </w:p>
        </w:tc>
      </w:tr>
      <w:tr w:rsidR="00E760C2" w:rsidRPr="009548FC" w14:paraId="239F2D6E" w14:textId="77777777" w:rsidTr="00753A00">
        <w:trPr>
          <w:trHeight w:val="270"/>
        </w:trPr>
        <w:tc>
          <w:tcPr>
            <w:tcW w:w="4962" w:type="dxa"/>
            <w:tcBorders>
              <w:top w:val="single" w:sz="4" w:space="0" w:color="auto"/>
              <w:bottom w:val="single" w:sz="4" w:space="0" w:color="auto"/>
            </w:tcBorders>
          </w:tcPr>
          <w:p w14:paraId="1BB52415" w14:textId="77777777" w:rsidR="00E760C2" w:rsidRPr="009548FC" w:rsidRDefault="00E760C2" w:rsidP="00753A00">
            <w:pPr>
              <w:ind w:left="34"/>
              <w:rPr>
                <w:rFonts w:cs="Arial"/>
                <w:b/>
                <w:bCs/>
                <w:sz w:val="18"/>
                <w:szCs w:val="18"/>
              </w:rPr>
            </w:pPr>
            <w:r w:rsidRPr="009548FC">
              <w:rPr>
                <w:rFonts w:cs="Arial"/>
                <w:b/>
                <w:bCs/>
                <w:sz w:val="18"/>
                <w:szCs w:val="18"/>
              </w:rPr>
              <w:t>Variable</w:t>
            </w:r>
          </w:p>
        </w:tc>
        <w:tc>
          <w:tcPr>
            <w:tcW w:w="4536" w:type="dxa"/>
            <w:gridSpan w:val="3"/>
            <w:tcBorders>
              <w:top w:val="single" w:sz="4" w:space="0" w:color="auto"/>
              <w:bottom w:val="single" w:sz="4" w:space="0" w:color="auto"/>
            </w:tcBorders>
          </w:tcPr>
          <w:p w14:paraId="0F35F25A" w14:textId="77777777" w:rsidR="00E760C2" w:rsidRPr="009548FC" w:rsidRDefault="00E760C2" w:rsidP="00753A00">
            <w:pPr>
              <w:ind w:left="271"/>
              <w:jc w:val="center"/>
              <w:rPr>
                <w:rFonts w:cs="Arial"/>
                <w:b/>
                <w:bCs/>
                <w:sz w:val="18"/>
                <w:szCs w:val="18"/>
              </w:rPr>
            </w:pPr>
            <w:r w:rsidRPr="009548FC">
              <w:rPr>
                <w:rFonts w:cs="Arial"/>
                <w:b/>
                <w:bCs/>
                <w:sz w:val="18"/>
                <w:szCs w:val="18"/>
              </w:rPr>
              <w:t>Coefficients</w:t>
            </w:r>
          </w:p>
        </w:tc>
      </w:tr>
      <w:tr w:rsidR="00E760C2" w:rsidRPr="009548FC" w14:paraId="5370AAB2" w14:textId="77777777" w:rsidTr="00753A00">
        <w:trPr>
          <w:trHeight w:val="270"/>
        </w:trPr>
        <w:tc>
          <w:tcPr>
            <w:tcW w:w="4962" w:type="dxa"/>
            <w:tcBorders>
              <w:top w:val="single" w:sz="4" w:space="0" w:color="auto"/>
            </w:tcBorders>
            <w:hideMark/>
          </w:tcPr>
          <w:p w14:paraId="2C9E9A6C" w14:textId="77777777" w:rsidR="00E760C2" w:rsidRPr="009548FC" w:rsidRDefault="00E760C2" w:rsidP="00753A00">
            <w:pPr>
              <w:ind w:left="34"/>
              <w:rPr>
                <w:rFonts w:cs="Arial"/>
                <w:b/>
                <w:sz w:val="18"/>
                <w:szCs w:val="18"/>
                <w:u w:val="single"/>
              </w:rPr>
            </w:pPr>
            <w:r w:rsidRPr="009548FC">
              <w:rPr>
                <w:rFonts w:cs="Arial"/>
                <w:b/>
                <w:bCs/>
                <w:sz w:val="18"/>
                <w:szCs w:val="18"/>
                <w:u w:val="single"/>
              </w:rPr>
              <w:t>Assets</w:t>
            </w:r>
          </w:p>
        </w:tc>
        <w:tc>
          <w:tcPr>
            <w:tcW w:w="1512" w:type="dxa"/>
            <w:tcBorders>
              <w:top w:val="single" w:sz="4" w:space="0" w:color="auto"/>
            </w:tcBorders>
          </w:tcPr>
          <w:p w14:paraId="5B96E352" w14:textId="77777777" w:rsidR="00E760C2" w:rsidRPr="009548FC" w:rsidRDefault="00E760C2" w:rsidP="00753A00">
            <w:pPr>
              <w:ind w:left="112"/>
              <w:jc w:val="center"/>
              <w:rPr>
                <w:rFonts w:cs="Arial"/>
                <w:sz w:val="18"/>
                <w:szCs w:val="18"/>
              </w:rPr>
            </w:pPr>
          </w:p>
        </w:tc>
        <w:tc>
          <w:tcPr>
            <w:tcW w:w="1512" w:type="dxa"/>
            <w:tcBorders>
              <w:top w:val="single" w:sz="4" w:space="0" w:color="auto"/>
            </w:tcBorders>
          </w:tcPr>
          <w:p w14:paraId="469BA292" w14:textId="77777777" w:rsidR="00E760C2" w:rsidRPr="009548FC" w:rsidRDefault="00E760C2" w:rsidP="00753A00">
            <w:pPr>
              <w:ind w:left="271"/>
              <w:jc w:val="center"/>
              <w:rPr>
                <w:rFonts w:cs="Arial"/>
                <w:sz w:val="18"/>
                <w:szCs w:val="18"/>
              </w:rPr>
            </w:pPr>
          </w:p>
        </w:tc>
        <w:tc>
          <w:tcPr>
            <w:tcW w:w="1512" w:type="dxa"/>
            <w:tcBorders>
              <w:top w:val="single" w:sz="4" w:space="0" w:color="auto"/>
            </w:tcBorders>
          </w:tcPr>
          <w:p w14:paraId="5BB89673" w14:textId="77777777" w:rsidR="00E760C2" w:rsidRPr="009548FC" w:rsidRDefault="00E760C2" w:rsidP="00753A00">
            <w:pPr>
              <w:ind w:left="271"/>
              <w:jc w:val="center"/>
              <w:rPr>
                <w:rFonts w:cs="Arial"/>
                <w:sz w:val="18"/>
                <w:szCs w:val="18"/>
              </w:rPr>
            </w:pPr>
          </w:p>
        </w:tc>
      </w:tr>
      <w:tr w:rsidR="00E760C2" w:rsidRPr="009548FC" w14:paraId="57692589" w14:textId="77777777" w:rsidTr="00753A00">
        <w:trPr>
          <w:trHeight w:val="270"/>
        </w:trPr>
        <w:tc>
          <w:tcPr>
            <w:tcW w:w="4962" w:type="dxa"/>
            <w:hideMark/>
          </w:tcPr>
          <w:p w14:paraId="24513E3D" w14:textId="77777777" w:rsidR="00E760C2" w:rsidRPr="009548FC" w:rsidRDefault="00E760C2" w:rsidP="00753A00">
            <w:pPr>
              <w:ind w:left="34"/>
              <w:rPr>
                <w:rFonts w:cs="Arial"/>
                <w:sz w:val="18"/>
                <w:szCs w:val="18"/>
              </w:rPr>
            </w:pPr>
            <w:r w:rsidRPr="009548FC">
              <w:rPr>
                <w:rFonts w:eastAsia="Calibri" w:cs="Arial"/>
                <w:sz w:val="20"/>
                <w:szCs w:val="20"/>
              </w:rPr>
              <w:t>Heritage assets density</w:t>
            </w:r>
          </w:p>
        </w:tc>
        <w:tc>
          <w:tcPr>
            <w:tcW w:w="1512" w:type="dxa"/>
          </w:tcPr>
          <w:p w14:paraId="5BCD8040" w14:textId="77777777" w:rsidR="00E760C2" w:rsidRPr="009548FC" w:rsidRDefault="00E760C2" w:rsidP="00753A00">
            <w:pPr>
              <w:ind w:left="112"/>
              <w:jc w:val="center"/>
              <w:rPr>
                <w:rFonts w:cs="Arial"/>
                <w:sz w:val="18"/>
                <w:szCs w:val="18"/>
              </w:rPr>
            </w:pPr>
            <w:r w:rsidRPr="009548FC">
              <w:rPr>
                <w:rFonts w:cs="Arial"/>
                <w:sz w:val="18"/>
                <w:szCs w:val="18"/>
              </w:rPr>
              <w:t>0.031***</w:t>
            </w:r>
          </w:p>
        </w:tc>
        <w:tc>
          <w:tcPr>
            <w:tcW w:w="1512" w:type="dxa"/>
          </w:tcPr>
          <w:p w14:paraId="75BE0C23" w14:textId="77777777" w:rsidR="00E760C2" w:rsidRPr="009548FC" w:rsidRDefault="00E760C2" w:rsidP="00753A00">
            <w:pPr>
              <w:ind w:left="271"/>
              <w:jc w:val="center"/>
              <w:rPr>
                <w:rFonts w:cs="Arial"/>
                <w:sz w:val="18"/>
                <w:szCs w:val="18"/>
              </w:rPr>
            </w:pPr>
            <w:r w:rsidRPr="009548FC">
              <w:rPr>
                <w:rFonts w:cs="Arial"/>
                <w:sz w:val="18"/>
                <w:szCs w:val="18"/>
              </w:rPr>
              <w:t>0.050**</w:t>
            </w:r>
          </w:p>
        </w:tc>
        <w:tc>
          <w:tcPr>
            <w:tcW w:w="1512" w:type="dxa"/>
          </w:tcPr>
          <w:p w14:paraId="16E48258" w14:textId="77777777" w:rsidR="00E760C2" w:rsidRPr="009548FC" w:rsidRDefault="00E760C2" w:rsidP="00753A00">
            <w:pPr>
              <w:ind w:left="271"/>
              <w:jc w:val="center"/>
              <w:rPr>
                <w:rFonts w:cs="Arial"/>
                <w:sz w:val="18"/>
                <w:szCs w:val="18"/>
              </w:rPr>
            </w:pPr>
            <w:r w:rsidRPr="009548FC">
              <w:rPr>
                <w:rFonts w:cs="Arial"/>
                <w:sz w:val="18"/>
                <w:szCs w:val="18"/>
              </w:rPr>
              <w:t>0.015</w:t>
            </w:r>
          </w:p>
        </w:tc>
      </w:tr>
      <w:tr w:rsidR="00E760C2" w:rsidRPr="009548FC" w14:paraId="6A329354" w14:textId="77777777" w:rsidTr="00753A00">
        <w:trPr>
          <w:trHeight w:val="270"/>
        </w:trPr>
        <w:tc>
          <w:tcPr>
            <w:tcW w:w="4962" w:type="dxa"/>
            <w:hideMark/>
          </w:tcPr>
          <w:p w14:paraId="77D1E21E" w14:textId="77777777" w:rsidR="00E760C2" w:rsidRPr="009548FC" w:rsidRDefault="00E760C2" w:rsidP="00753A00">
            <w:pPr>
              <w:ind w:left="34"/>
              <w:rPr>
                <w:rFonts w:cs="Arial"/>
                <w:sz w:val="18"/>
                <w:szCs w:val="18"/>
              </w:rPr>
            </w:pPr>
            <w:r w:rsidRPr="009548FC">
              <w:rPr>
                <w:rFonts w:eastAsia="Calibri" w:cs="Arial"/>
                <w:sz w:val="20"/>
                <w:szCs w:val="20"/>
              </w:rPr>
              <w:t>Sports assets density</w:t>
            </w:r>
          </w:p>
        </w:tc>
        <w:tc>
          <w:tcPr>
            <w:tcW w:w="1512" w:type="dxa"/>
          </w:tcPr>
          <w:p w14:paraId="49DC8193" w14:textId="77777777" w:rsidR="00E760C2" w:rsidRPr="009548FC" w:rsidRDefault="00E760C2" w:rsidP="00753A00">
            <w:pPr>
              <w:ind w:left="112"/>
              <w:jc w:val="center"/>
              <w:rPr>
                <w:rFonts w:cs="Arial"/>
                <w:sz w:val="18"/>
                <w:szCs w:val="18"/>
              </w:rPr>
            </w:pPr>
            <w:r w:rsidRPr="009548FC">
              <w:rPr>
                <w:rFonts w:cs="Arial"/>
                <w:sz w:val="18"/>
                <w:szCs w:val="18"/>
              </w:rPr>
              <w:t>0.092</w:t>
            </w:r>
          </w:p>
        </w:tc>
        <w:tc>
          <w:tcPr>
            <w:tcW w:w="1512" w:type="dxa"/>
          </w:tcPr>
          <w:p w14:paraId="2B63B4CD" w14:textId="77777777" w:rsidR="00E760C2" w:rsidRPr="009548FC" w:rsidRDefault="00E760C2" w:rsidP="00753A00">
            <w:pPr>
              <w:ind w:left="271"/>
              <w:jc w:val="center"/>
              <w:rPr>
                <w:rFonts w:cs="Arial"/>
                <w:sz w:val="18"/>
                <w:szCs w:val="18"/>
              </w:rPr>
            </w:pPr>
            <w:r w:rsidRPr="009548FC">
              <w:rPr>
                <w:rFonts w:cs="Arial"/>
                <w:sz w:val="18"/>
                <w:szCs w:val="18"/>
              </w:rPr>
              <w:t>-0.040</w:t>
            </w:r>
          </w:p>
        </w:tc>
        <w:tc>
          <w:tcPr>
            <w:tcW w:w="1512" w:type="dxa"/>
          </w:tcPr>
          <w:p w14:paraId="2B1BF27E" w14:textId="77777777" w:rsidR="00E760C2" w:rsidRPr="009548FC" w:rsidRDefault="00E760C2" w:rsidP="00753A00">
            <w:pPr>
              <w:ind w:left="271"/>
              <w:jc w:val="center"/>
              <w:rPr>
                <w:rFonts w:cs="Arial"/>
                <w:sz w:val="18"/>
                <w:szCs w:val="18"/>
              </w:rPr>
            </w:pPr>
            <w:r w:rsidRPr="009548FC">
              <w:rPr>
                <w:rFonts w:cs="Arial"/>
                <w:sz w:val="18"/>
                <w:szCs w:val="18"/>
              </w:rPr>
              <w:t>0.057</w:t>
            </w:r>
          </w:p>
        </w:tc>
      </w:tr>
      <w:tr w:rsidR="00E760C2" w:rsidRPr="009548FC" w14:paraId="4C1CCE2E" w14:textId="77777777" w:rsidTr="00753A00">
        <w:trPr>
          <w:trHeight w:val="270"/>
        </w:trPr>
        <w:tc>
          <w:tcPr>
            <w:tcW w:w="4962" w:type="dxa"/>
          </w:tcPr>
          <w:p w14:paraId="314AE944" w14:textId="77777777" w:rsidR="00E760C2" w:rsidRPr="009548FC" w:rsidRDefault="00E760C2" w:rsidP="00753A00">
            <w:pPr>
              <w:ind w:left="34"/>
              <w:rPr>
                <w:rFonts w:cs="Arial"/>
                <w:bCs/>
                <w:sz w:val="18"/>
                <w:szCs w:val="18"/>
              </w:rPr>
            </w:pPr>
            <w:r w:rsidRPr="009548FC">
              <w:rPr>
                <w:rFonts w:eastAsia="Calibri" w:cs="Arial"/>
                <w:sz w:val="20"/>
                <w:szCs w:val="20"/>
              </w:rPr>
              <w:t xml:space="preserve">Cultural events per capita </w:t>
            </w:r>
          </w:p>
        </w:tc>
        <w:tc>
          <w:tcPr>
            <w:tcW w:w="1512" w:type="dxa"/>
          </w:tcPr>
          <w:p w14:paraId="21E390D3" w14:textId="77777777" w:rsidR="00E760C2" w:rsidRPr="009548FC" w:rsidRDefault="00E760C2" w:rsidP="00753A00">
            <w:pPr>
              <w:ind w:left="112"/>
              <w:jc w:val="center"/>
              <w:rPr>
                <w:rFonts w:cs="Arial"/>
                <w:sz w:val="18"/>
                <w:szCs w:val="18"/>
              </w:rPr>
            </w:pPr>
            <w:r w:rsidRPr="009548FC">
              <w:rPr>
                <w:rFonts w:cs="Arial"/>
                <w:sz w:val="18"/>
                <w:szCs w:val="18"/>
              </w:rPr>
              <w:t>0.211***</w:t>
            </w:r>
          </w:p>
        </w:tc>
        <w:tc>
          <w:tcPr>
            <w:tcW w:w="1512" w:type="dxa"/>
          </w:tcPr>
          <w:p w14:paraId="3237AE31" w14:textId="77777777" w:rsidR="00E760C2" w:rsidRPr="009548FC" w:rsidRDefault="00E760C2" w:rsidP="00753A00">
            <w:pPr>
              <w:ind w:left="271"/>
              <w:jc w:val="center"/>
              <w:rPr>
                <w:rFonts w:cs="Arial"/>
                <w:sz w:val="18"/>
                <w:szCs w:val="18"/>
              </w:rPr>
            </w:pPr>
            <w:r w:rsidRPr="009548FC">
              <w:rPr>
                <w:rFonts w:cs="Arial"/>
                <w:sz w:val="18"/>
                <w:szCs w:val="18"/>
              </w:rPr>
              <w:t>0.104</w:t>
            </w:r>
          </w:p>
        </w:tc>
        <w:tc>
          <w:tcPr>
            <w:tcW w:w="1512" w:type="dxa"/>
          </w:tcPr>
          <w:p w14:paraId="1D2268D7" w14:textId="77777777" w:rsidR="00E760C2" w:rsidRPr="009548FC" w:rsidRDefault="00E760C2" w:rsidP="00753A00">
            <w:pPr>
              <w:ind w:left="271"/>
              <w:jc w:val="center"/>
              <w:rPr>
                <w:rFonts w:cs="Arial"/>
                <w:sz w:val="18"/>
                <w:szCs w:val="18"/>
              </w:rPr>
            </w:pPr>
            <w:r w:rsidRPr="009548FC">
              <w:rPr>
                <w:rFonts w:cs="Arial"/>
                <w:sz w:val="18"/>
                <w:szCs w:val="18"/>
              </w:rPr>
              <w:t>0.210***</w:t>
            </w:r>
          </w:p>
        </w:tc>
      </w:tr>
      <w:tr w:rsidR="00E760C2" w:rsidRPr="009548FC" w14:paraId="31E469BC" w14:textId="77777777" w:rsidTr="00753A00">
        <w:trPr>
          <w:trHeight w:val="270"/>
        </w:trPr>
        <w:tc>
          <w:tcPr>
            <w:tcW w:w="4962" w:type="dxa"/>
            <w:hideMark/>
          </w:tcPr>
          <w:p w14:paraId="081E9EE5" w14:textId="77777777" w:rsidR="00E760C2" w:rsidRPr="009548FC" w:rsidRDefault="00E760C2" w:rsidP="00753A00">
            <w:pPr>
              <w:ind w:left="34"/>
              <w:rPr>
                <w:rFonts w:cs="Arial"/>
                <w:sz w:val="18"/>
                <w:szCs w:val="18"/>
              </w:rPr>
            </w:pPr>
            <w:r w:rsidRPr="009548FC">
              <w:rPr>
                <w:rFonts w:eastAsia="Calibri" w:cs="Arial"/>
                <w:sz w:val="20"/>
                <w:szCs w:val="20"/>
              </w:rPr>
              <w:t>Libraries density</w:t>
            </w:r>
          </w:p>
        </w:tc>
        <w:tc>
          <w:tcPr>
            <w:tcW w:w="1512" w:type="dxa"/>
          </w:tcPr>
          <w:p w14:paraId="19C2650D" w14:textId="77777777" w:rsidR="00E760C2" w:rsidRPr="009548FC" w:rsidRDefault="00E760C2" w:rsidP="00753A00">
            <w:pPr>
              <w:ind w:left="112"/>
              <w:jc w:val="center"/>
              <w:rPr>
                <w:rFonts w:cs="Arial"/>
                <w:sz w:val="18"/>
                <w:szCs w:val="18"/>
              </w:rPr>
            </w:pPr>
            <w:r w:rsidRPr="009548FC">
              <w:rPr>
                <w:rFonts w:cs="Arial"/>
                <w:sz w:val="18"/>
                <w:szCs w:val="18"/>
              </w:rPr>
              <w:t>-0.068**</w:t>
            </w:r>
          </w:p>
        </w:tc>
        <w:tc>
          <w:tcPr>
            <w:tcW w:w="1512" w:type="dxa"/>
          </w:tcPr>
          <w:p w14:paraId="51AB5D7E" w14:textId="77777777" w:rsidR="00E760C2" w:rsidRPr="009548FC" w:rsidRDefault="00E760C2" w:rsidP="00753A00">
            <w:pPr>
              <w:ind w:left="271"/>
              <w:jc w:val="center"/>
              <w:rPr>
                <w:rFonts w:cs="Arial"/>
                <w:sz w:val="18"/>
                <w:szCs w:val="18"/>
              </w:rPr>
            </w:pPr>
            <w:r w:rsidRPr="009548FC">
              <w:rPr>
                <w:rFonts w:cs="Arial"/>
                <w:sz w:val="18"/>
                <w:szCs w:val="18"/>
              </w:rPr>
              <w:t>-0.007</w:t>
            </w:r>
          </w:p>
        </w:tc>
        <w:tc>
          <w:tcPr>
            <w:tcW w:w="1512" w:type="dxa"/>
          </w:tcPr>
          <w:p w14:paraId="362E8656" w14:textId="77777777" w:rsidR="00E760C2" w:rsidRPr="009548FC" w:rsidRDefault="00E760C2" w:rsidP="00753A00">
            <w:pPr>
              <w:ind w:left="271"/>
              <w:jc w:val="center"/>
              <w:rPr>
                <w:rFonts w:cs="Arial"/>
                <w:sz w:val="18"/>
                <w:szCs w:val="18"/>
              </w:rPr>
            </w:pPr>
            <w:r w:rsidRPr="009548FC">
              <w:rPr>
                <w:rFonts w:cs="Arial"/>
                <w:sz w:val="18"/>
                <w:szCs w:val="18"/>
              </w:rPr>
              <w:t>-0.086***</w:t>
            </w:r>
          </w:p>
        </w:tc>
      </w:tr>
      <w:tr w:rsidR="00E760C2" w:rsidRPr="009548FC" w14:paraId="528BCF21" w14:textId="77777777" w:rsidTr="00753A00">
        <w:trPr>
          <w:trHeight w:val="270"/>
        </w:trPr>
        <w:tc>
          <w:tcPr>
            <w:tcW w:w="4962" w:type="dxa"/>
            <w:hideMark/>
          </w:tcPr>
          <w:p w14:paraId="22B918A1" w14:textId="77777777" w:rsidR="00E760C2" w:rsidRPr="009548FC" w:rsidRDefault="00E760C2" w:rsidP="00753A00">
            <w:pPr>
              <w:ind w:left="34"/>
              <w:rPr>
                <w:rFonts w:cs="Arial"/>
                <w:b/>
                <w:i/>
                <w:sz w:val="18"/>
                <w:szCs w:val="18"/>
              </w:rPr>
            </w:pPr>
            <w:r w:rsidRPr="009548FC">
              <w:rPr>
                <w:rFonts w:cs="Arial"/>
                <w:b/>
                <w:bCs/>
                <w:sz w:val="18"/>
                <w:szCs w:val="18"/>
                <w:u w:val="single"/>
              </w:rPr>
              <w:t>Investment</w:t>
            </w:r>
            <w:r w:rsidRPr="009548FC">
              <w:rPr>
                <w:rFonts w:cs="Arial"/>
                <w:b/>
                <w:bCs/>
                <w:i/>
                <w:sz w:val="18"/>
                <w:szCs w:val="18"/>
              </w:rPr>
              <w:t> </w:t>
            </w:r>
          </w:p>
        </w:tc>
        <w:tc>
          <w:tcPr>
            <w:tcW w:w="1512" w:type="dxa"/>
          </w:tcPr>
          <w:p w14:paraId="31F2AF55" w14:textId="77777777" w:rsidR="00E760C2" w:rsidRPr="009548FC" w:rsidRDefault="00E760C2" w:rsidP="00753A00">
            <w:pPr>
              <w:ind w:left="112"/>
              <w:jc w:val="center"/>
              <w:rPr>
                <w:rFonts w:cs="Arial"/>
                <w:sz w:val="18"/>
                <w:szCs w:val="18"/>
              </w:rPr>
            </w:pPr>
          </w:p>
        </w:tc>
        <w:tc>
          <w:tcPr>
            <w:tcW w:w="1512" w:type="dxa"/>
          </w:tcPr>
          <w:p w14:paraId="463D175C" w14:textId="77777777" w:rsidR="00E760C2" w:rsidRPr="009548FC" w:rsidRDefault="00E760C2" w:rsidP="00753A00">
            <w:pPr>
              <w:ind w:left="271"/>
              <w:jc w:val="center"/>
              <w:rPr>
                <w:rFonts w:cs="Arial"/>
                <w:sz w:val="18"/>
                <w:szCs w:val="18"/>
              </w:rPr>
            </w:pPr>
          </w:p>
        </w:tc>
        <w:tc>
          <w:tcPr>
            <w:tcW w:w="1512" w:type="dxa"/>
          </w:tcPr>
          <w:p w14:paraId="30B60934" w14:textId="77777777" w:rsidR="00E760C2" w:rsidRPr="009548FC" w:rsidRDefault="00E760C2" w:rsidP="00753A00">
            <w:pPr>
              <w:ind w:left="271"/>
              <w:jc w:val="center"/>
              <w:rPr>
                <w:rFonts w:cs="Arial"/>
                <w:sz w:val="18"/>
                <w:szCs w:val="18"/>
              </w:rPr>
            </w:pPr>
          </w:p>
        </w:tc>
      </w:tr>
      <w:tr w:rsidR="00E760C2" w:rsidRPr="009548FC" w14:paraId="7AD3E356" w14:textId="77777777" w:rsidTr="00753A00">
        <w:trPr>
          <w:trHeight w:val="270"/>
        </w:trPr>
        <w:tc>
          <w:tcPr>
            <w:tcW w:w="4962" w:type="dxa"/>
            <w:hideMark/>
          </w:tcPr>
          <w:p w14:paraId="58960A84" w14:textId="77777777" w:rsidR="00E760C2" w:rsidRPr="009548FC" w:rsidRDefault="00E760C2" w:rsidP="00753A00">
            <w:pPr>
              <w:ind w:left="34"/>
              <w:rPr>
                <w:rFonts w:cs="Arial"/>
                <w:sz w:val="18"/>
                <w:szCs w:val="18"/>
              </w:rPr>
            </w:pPr>
            <w:r w:rsidRPr="009548FC">
              <w:rPr>
                <w:rFonts w:cs="Arial"/>
                <w:bCs/>
                <w:sz w:val="18"/>
                <w:szCs w:val="18"/>
              </w:rPr>
              <w:t>Local authority investment in culture, sports and heritage</w:t>
            </w:r>
          </w:p>
        </w:tc>
        <w:tc>
          <w:tcPr>
            <w:tcW w:w="1512" w:type="dxa"/>
          </w:tcPr>
          <w:p w14:paraId="0F1E4884" w14:textId="77777777" w:rsidR="00E760C2" w:rsidRPr="009548FC" w:rsidRDefault="00E760C2" w:rsidP="00753A00">
            <w:pPr>
              <w:ind w:left="112"/>
              <w:jc w:val="center"/>
              <w:rPr>
                <w:rFonts w:cs="Arial"/>
                <w:sz w:val="18"/>
                <w:szCs w:val="18"/>
              </w:rPr>
            </w:pPr>
            <w:r w:rsidRPr="009548FC">
              <w:rPr>
                <w:rFonts w:cs="Arial"/>
                <w:sz w:val="18"/>
                <w:szCs w:val="18"/>
              </w:rPr>
              <w:t>-0.051**</w:t>
            </w:r>
          </w:p>
        </w:tc>
        <w:tc>
          <w:tcPr>
            <w:tcW w:w="1512" w:type="dxa"/>
          </w:tcPr>
          <w:p w14:paraId="17D0AC46" w14:textId="77777777" w:rsidR="00E760C2" w:rsidRPr="009548FC" w:rsidRDefault="00E760C2" w:rsidP="00753A00">
            <w:pPr>
              <w:ind w:left="271"/>
              <w:jc w:val="center"/>
              <w:rPr>
                <w:rFonts w:cs="Arial"/>
                <w:sz w:val="18"/>
                <w:szCs w:val="18"/>
              </w:rPr>
            </w:pPr>
            <w:r w:rsidRPr="009548FC">
              <w:rPr>
                <w:rFonts w:cs="Arial"/>
                <w:sz w:val="18"/>
                <w:szCs w:val="18"/>
              </w:rPr>
              <w:t>-0.081</w:t>
            </w:r>
          </w:p>
        </w:tc>
        <w:tc>
          <w:tcPr>
            <w:tcW w:w="1512" w:type="dxa"/>
          </w:tcPr>
          <w:p w14:paraId="3B6DB55F" w14:textId="77777777" w:rsidR="00E760C2" w:rsidRPr="009548FC" w:rsidRDefault="00E760C2" w:rsidP="00753A00">
            <w:pPr>
              <w:ind w:left="271"/>
              <w:jc w:val="center"/>
              <w:rPr>
                <w:rFonts w:cs="Arial"/>
                <w:sz w:val="18"/>
                <w:szCs w:val="18"/>
              </w:rPr>
            </w:pPr>
            <w:r w:rsidRPr="009548FC">
              <w:rPr>
                <w:rFonts w:cs="Arial"/>
                <w:sz w:val="18"/>
                <w:szCs w:val="18"/>
              </w:rPr>
              <w:t>-0.013</w:t>
            </w:r>
          </w:p>
        </w:tc>
      </w:tr>
      <w:tr w:rsidR="00E760C2" w:rsidRPr="009548FC" w14:paraId="254EDCC3" w14:textId="77777777" w:rsidTr="00753A00">
        <w:trPr>
          <w:trHeight w:val="270"/>
        </w:trPr>
        <w:tc>
          <w:tcPr>
            <w:tcW w:w="4962" w:type="dxa"/>
            <w:hideMark/>
          </w:tcPr>
          <w:p w14:paraId="2DC554AD" w14:textId="77777777" w:rsidR="00E760C2" w:rsidRPr="009548FC" w:rsidRDefault="00E760C2" w:rsidP="00753A00">
            <w:pPr>
              <w:ind w:left="34"/>
              <w:rPr>
                <w:rFonts w:cs="Arial"/>
                <w:sz w:val="18"/>
                <w:szCs w:val="18"/>
              </w:rPr>
            </w:pPr>
            <w:r w:rsidRPr="009548FC">
              <w:rPr>
                <w:rFonts w:cs="Arial"/>
                <w:bCs/>
                <w:sz w:val="18"/>
                <w:szCs w:val="18"/>
              </w:rPr>
              <w:t>Lottery investment in arts, sports and heritage</w:t>
            </w:r>
          </w:p>
        </w:tc>
        <w:tc>
          <w:tcPr>
            <w:tcW w:w="1512" w:type="dxa"/>
          </w:tcPr>
          <w:p w14:paraId="064E4333" w14:textId="77777777" w:rsidR="00E760C2" w:rsidRPr="009548FC" w:rsidRDefault="00E760C2" w:rsidP="00753A00">
            <w:pPr>
              <w:ind w:left="112"/>
              <w:jc w:val="center"/>
              <w:rPr>
                <w:rFonts w:cs="Arial"/>
                <w:sz w:val="18"/>
                <w:szCs w:val="18"/>
              </w:rPr>
            </w:pPr>
            <w:r w:rsidRPr="009548FC">
              <w:rPr>
                <w:rFonts w:cs="Arial"/>
                <w:sz w:val="18"/>
                <w:szCs w:val="18"/>
              </w:rPr>
              <w:t>-0.013</w:t>
            </w:r>
          </w:p>
        </w:tc>
        <w:tc>
          <w:tcPr>
            <w:tcW w:w="1512" w:type="dxa"/>
          </w:tcPr>
          <w:p w14:paraId="0374A08C" w14:textId="77777777" w:rsidR="00E760C2" w:rsidRPr="009548FC" w:rsidRDefault="00E760C2" w:rsidP="00753A00">
            <w:pPr>
              <w:ind w:left="271"/>
              <w:jc w:val="center"/>
              <w:rPr>
                <w:rFonts w:cs="Arial"/>
                <w:sz w:val="18"/>
                <w:szCs w:val="18"/>
              </w:rPr>
            </w:pPr>
            <w:r w:rsidRPr="009548FC">
              <w:rPr>
                <w:rFonts w:cs="Arial"/>
                <w:sz w:val="18"/>
                <w:szCs w:val="18"/>
              </w:rPr>
              <w:t>-0.027</w:t>
            </w:r>
          </w:p>
        </w:tc>
        <w:tc>
          <w:tcPr>
            <w:tcW w:w="1512" w:type="dxa"/>
          </w:tcPr>
          <w:p w14:paraId="2C3FC3FF" w14:textId="77777777" w:rsidR="00E760C2" w:rsidRPr="009548FC" w:rsidRDefault="00E760C2" w:rsidP="00753A00">
            <w:pPr>
              <w:ind w:left="271"/>
              <w:jc w:val="center"/>
              <w:rPr>
                <w:rFonts w:cs="Arial"/>
                <w:sz w:val="18"/>
                <w:szCs w:val="18"/>
              </w:rPr>
            </w:pPr>
            <w:r w:rsidRPr="009548FC">
              <w:rPr>
                <w:rFonts w:cs="Arial"/>
                <w:sz w:val="18"/>
                <w:szCs w:val="18"/>
              </w:rPr>
              <w:t>0.002</w:t>
            </w:r>
          </w:p>
        </w:tc>
      </w:tr>
      <w:tr w:rsidR="00E760C2" w:rsidRPr="009548FC" w14:paraId="37327954" w14:textId="77777777" w:rsidTr="00753A00">
        <w:trPr>
          <w:trHeight w:val="270"/>
        </w:trPr>
        <w:tc>
          <w:tcPr>
            <w:tcW w:w="4962" w:type="dxa"/>
          </w:tcPr>
          <w:p w14:paraId="5D77F77C" w14:textId="77777777" w:rsidR="00E760C2" w:rsidRPr="009548FC" w:rsidRDefault="00E760C2" w:rsidP="00753A00">
            <w:pPr>
              <w:ind w:left="34"/>
              <w:rPr>
                <w:rFonts w:cs="Arial"/>
                <w:b/>
                <w:bCs/>
                <w:sz w:val="18"/>
                <w:szCs w:val="18"/>
                <w:u w:val="single"/>
              </w:rPr>
            </w:pPr>
            <w:r w:rsidRPr="009548FC">
              <w:rPr>
                <w:rFonts w:cs="Arial"/>
                <w:b/>
                <w:bCs/>
                <w:sz w:val="18"/>
                <w:szCs w:val="18"/>
                <w:u w:val="single"/>
              </w:rPr>
              <w:t>Additional push/pull factors</w:t>
            </w:r>
          </w:p>
        </w:tc>
        <w:tc>
          <w:tcPr>
            <w:tcW w:w="1512" w:type="dxa"/>
          </w:tcPr>
          <w:p w14:paraId="5E5E374C" w14:textId="77777777" w:rsidR="00E760C2" w:rsidRPr="009548FC" w:rsidRDefault="00E760C2" w:rsidP="00753A00">
            <w:pPr>
              <w:ind w:left="112"/>
              <w:jc w:val="center"/>
              <w:rPr>
                <w:rFonts w:cs="Arial"/>
                <w:sz w:val="18"/>
                <w:szCs w:val="18"/>
              </w:rPr>
            </w:pPr>
          </w:p>
        </w:tc>
        <w:tc>
          <w:tcPr>
            <w:tcW w:w="1512" w:type="dxa"/>
          </w:tcPr>
          <w:p w14:paraId="5F7C43FC" w14:textId="77777777" w:rsidR="00E760C2" w:rsidRPr="009548FC" w:rsidRDefault="00E760C2" w:rsidP="00753A00">
            <w:pPr>
              <w:ind w:left="271"/>
              <w:jc w:val="center"/>
              <w:rPr>
                <w:rFonts w:cs="Arial"/>
                <w:sz w:val="18"/>
                <w:szCs w:val="18"/>
              </w:rPr>
            </w:pPr>
          </w:p>
        </w:tc>
        <w:tc>
          <w:tcPr>
            <w:tcW w:w="1512" w:type="dxa"/>
          </w:tcPr>
          <w:p w14:paraId="3D491189" w14:textId="77777777" w:rsidR="00E760C2" w:rsidRPr="009548FC" w:rsidRDefault="00E760C2" w:rsidP="00753A00">
            <w:pPr>
              <w:ind w:left="271"/>
              <w:jc w:val="center"/>
              <w:rPr>
                <w:rFonts w:cs="Arial"/>
                <w:sz w:val="18"/>
                <w:szCs w:val="18"/>
              </w:rPr>
            </w:pPr>
          </w:p>
        </w:tc>
      </w:tr>
      <w:tr w:rsidR="00E760C2" w:rsidRPr="009548FC" w14:paraId="507A51FF" w14:textId="77777777" w:rsidTr="00753A00">
        <w:trPr>
          <w:trHeight w:val="270"/>
        </w:trPr>
        <w:tc>
          <w:tcPr>
            <w:tcW w:w="4962" w:type="dxa"/>
            <w:hideMark/>
          </w:tcPr>
          <w:p w14:paraId="26656D13" w14:textId="77777777" w:rsidR="00E760C2" w:rsidRPr="009548FC" w:rsidRDefault="00E760C2" w:rsidP="00753A00">
            <w:pPr>
              <w:ind w:left="34"/>
              <w:rPr>
                <w:rFonts w:cs="Arial"/>
                <w:sz w:val="18"/>
                <w:szCs w:val="18"/>
              </w:rPr>
            </w:pPr>
            <w:r w:rsidRPr="009548FC">
              <w:rPr>
                <w:rFonts w:cs="Arial"/>
                <w:bCs/>
                <w:sz w:val="18"/>
                <w:szCs w:val="18"/>
              </w:rPr>
              <w:t>Employment rate</w:t>
            </w:r>
          </w:p>
        </w:tc>
        <w:tc>
          <w:tcPr>
            <w:tcW w:w="1512" w:type="dxa"/>
          </w:tcPr>
          <w:p w14:paraId="1C16386A" w14:textId="77777777" w:rsidR="00E760C2" w:rsidRPr="009548FC" w:rsidRDefault="00E760C2" w:rsidP="00753A00">
            <w:pPr>
              <w:ind w:left="112"/>
              <w:jc w:val="center"/>
              <w:rPr>
                <w:rFonts w:cs="Arial"/>
                <w:sz w:val="18"/>
                <w:szCs w:val="18"/>
              </w:rPr>
            </w:pPr>
            <w:r w:rsidRPr="009548FC">
              <w:rPr>
                <w:rFonts w:cs="Arial"/>
                <w:sz w:val="18"/>
                <w:szCs w:val="18"/>
              </w:rPr>
              <w:t>0.029**</w:t>
            </w:r>
          </w:p>
        </w:tc>
        <w:tc>
          <w:tcPr>
            <w:tcW w:w="1512" w:type="dxa"/>
          </w:tcPr>
          <w:p w14:paraId="1B7EEB10" w14:textId="77777777" w:rsidR="00E760C2" w:rsidRPr="009548FC" w:rsidRDefault="00E760C2" w:rsidP="00753A00">
            <w:pPr>
              <w:ind w:left="271"/>
              <w:jc w:val="center"/>
              <w:rPr>
                <w:rFonts w:cs="Arial"/>
                <w:sz w:val="18"/>
                <w:szCs w:val="18"/>
              </w:rPr>
            </w:pPr>
            <w:r w:rsidRPr="009548FC">
              <w:rPr>
                <w:rFonts w:cs="Arial"/>
                <w:sz w:val="18"/>
                <w:szCs w:val="18"/>
              </w:rPr>
              <w:t>0.030</w:t>
            </w:r>
          </w:p>
        </w:tc>
        <w:tc>
          <w:tcPr>
            <w:tcW w:w="1512" w:type="dxa"/>
          </w:tcPr>
          <w:p w14:paraId="6F0C9343" w14:textId="77777777" w:rsidR="00E760C2" w:rsidRPr="009548FC" w:rsidRDefault="00E760C2" w:rsidP="00753A00">
            <w:pPr>
              <w:ind w:left="271"/>
              <w:jc w:val="center"/>
              <w:rPr>
                <w:rFonts w:cs="Arial"/>
                <w:sz w:val="18"/>
                <w:szCs w:val="18"/>
              </w:rPr>
            </w:pPr>
            <w:r w:rsidRPr="009548FC">
              <w:rPr>
                <w:rFonts w:cs="Arial"/>
                <w:sz w:val="18"/>
                <w:szCs w:val="18"/>
              </w:rPr>
              <w:t>0.027*</w:t>
            </w:r>
          </w:p>
        </w:tc>
      </w:tr>
      <w:tr w:rsidR="00E760C2" w:rsidRPr="009548FC" w14:paraId="1B388178" w14:textId="77777777" w:rsidTr="00753A00">
        <w:trPr>
          <w:trHeight w:val="270"/>
        </w:trPr>
        <w:tc>
          <w:tcPr>
            <w:tcW w:w="4962" w:type="dxa"/>
            <w:hideMark/>
          </w:tcPr>
          <w:p w14:paraId="7FA889C3" w14:textId="77777777" w:rsidR="00E760C2" w:rsidRPr="009548FC" w:rsidRDefault="00E760C2" w:rsidP="00753A00">
            <w:pPr>
              <w:ind w:left="34"/>
              <w:rPr>
                <w:rFonts w:cs="Arial"/>
                <w:sz w:val="18"/>
                <w:szCs w:val="18"/>
              </w:rPr>
            </w:pPr>
            <w:r w:rsidRPr="009548FC">
              <w:rPr>
                <w:rFonts w:cs="Arial"/>
                <w:bCs/>
                <w:sz w:val="18"/>
                <w:szCs w:val="18"/>
              </w:rPr>
              <w:t>Skilled labour proportion</w:t>
            </w:r>
          </w:p>
        </w:tc>
        <w:tc>
          <w:tcPr>
            <w:tcW w:w="1512" w:type="dxa"/>
          </w:tcPr>
          <w:p w14:paraId="7FB9EDC7" w14:textId="77777777" w:rsidR="00E760C2" w:rsidRPr="009548FC" w:rsidRDefault="00E760C2" w:rsidP="00753A00">
            <w:pPr>
              <w:ind w:left="112"/>
              <w:jc w:val="center"/>
              <w:rPr>
                <w:rFonts w:cs="Arial"/>
                <w:sz w:val="18"/>
                <w:szCs w:val="18"/>
              </w:rPr>
            </w:pPr>
            <w:r w:rsidRPr="009548FC">
              <w:rPr>
                <w:rFonts w:cs="Arial"/>
                <w:sz w:val="18"/>
                <w:szCs w:val="18"/>
              </w:rPr>
              <w:t>0.141***</w:t>
            </w:r>
          </w:p>
        </w:tc>
        <w:tc>
          <w:tcPr>
            <w:tcW w:w="1512" w:type="dxa"/>
          </w:tcPr>
          <w:p w14:paraId="1AE3F9E2" w14:textId="77777777" w:rsidR="00E760C2" w:rsidRPr="009548FC" w:rsidRDefault="00E760C2" w:rsidP="00753A00">
            <w:pPr>
              <w:ind w:left="271"/>
              <w:jc w:val="center"/>
              <w:rPr>
                <w:rFonts w:cs="Arial"/>
                <w:sz w:val="18"/>
                <w:szCs w:val="18"/>
              </w:rPr>
            </w:pPr>
            <w:r w:rsidRPr="009548FC">
              <w:rPr>
                <w:rFonts w:cs="Arial"/>
                <w:sz w:val="18"/>
                <w:szCs w:val="18"/>
              </w:rPr>
              <w:t>0.087</w:t>
            </w:r>
          </w:p>
        </w:tc>
        <w:tc>
          <w:tcPr>
            <w:tcW w:w="1512" w:type="dxa"/>
          </w:tcPr>
          <w:p w14:paraId="36F6200E" w14:textId="77777777" w:rsidR="00E760C2" w:rsidRPr="009548FC" w:rsidRDefault="00E760C2" w:rsidP="00753A00">
            <w:pPr>
              <w:ind w:left="271"/>
              <w:jc w:val="center"/>
              <w:rPr>
                <w:rFonts w:cs="Arial"/>
                <w:sz w:val="18"/>
                <w:szCs w:val="18"/>
              </w:rPr>
            </w:pPr>
            <w:r w:rsidRPr="009548FC">
              <w:rPr>
                <w:rFonts w:cs="Arial"/>
                <w:sz w:val="18"/>
                <w:szCs w:val="18"/>
              </w:rPr>
              <w:t>0.107***</w:t>
            </w:r>
          </w:p>
        </w:tc>
      </w:tr>
      <w:tr w:rsidR="00E760C2" w:rsidRPr="009548FC" w14:paraId="41A52137" w14:textId="77777777" w:rsidTr="00753A00">
        <w:trPr>
          <w:trHeight w:val="270"/>
        </w:trPr>
        <w:tc>
          <w:tcPr>
            <w:tcW w:w="4962" w:type="dxa"/>
            <w:hideMark/>
          </w:tcPr>
          <w:p w14:paraId="61CB9DE7" w14:textId="77777777" w:rsidR="00E760C2" w:rsidRPr="009548FC" w:rsidRDefault="00E760C2" w:rsidP="00753A00">
            <w:pPr>
              <w:ind w:left="34"/>
              <w:rPr>
                <w:rFonts w:cs="Arial"/>
                <w:sz w:val="18"/>
                <w:szCs w:val="18"/>
              </w:rPr>
            </w:pPr>
            <w:r w:rsidRPr="009548FC">
              <w:rPr>
                <w:rFonts w:cs="Arial"/>
                <w:bCs/>
                <w:sz w:val="18"/>
                <w:szCs w:val="18"/>
              </w:rPr>
              <w:t>Housing density</w:t>
            </w:r>
          </w:p>
        </w:tc>
        <w:tc>
          <w:tcPr>
            <w:tcW w:w="1512" w:type="dxa"/>
          </w:tcPr>
          <w:p w14:paraId="5B75816E" w14:textId="77777777" w:rsidR="00E760C2" w:rsidRPr="009548FC" w:rsidRDefault="00E760C2" w:rsidP="00753A00">
            <w:pPr>
              <w:ind w:left="112"/>
              <w:jc w:val="center"/>
              <w:rPr>
                <w:rFonts w:cs="Arial"/>
                <w:sz w:val="18"/>
                <w:szCs w:val="18"/>
              </w:rPr>
            </w:pPr>
            <w:r w:rsidRPr="009548FC">
              <w:rPr>
                <w:rFonts w:cs="Arial"/>
                <w:sz w:val="18"/>
                <w:szCs w:val="18"/>
              </w:rPr>
              <w:t>0.409*</w:t>
            </w:r>
          </w:p>
        </w:tc>
        <w:tc>
          <w:tcPr>
            <w:tcW w:w="1512" w:type="dxa"/>
          </w:tcPr>
          <w:p w14:paraId="45F342FC" w14:textId="77777777" w:rsidR="00E760C2" w:rsidRPr="009548FC" w:rsidRDefault="00E760C2" w:rsidP="00753A00">
            <w:pPr>
              <w:ind w:left="271"/>
              <w:jc w:val="center"/>
              <w:rPr>
                <w:rFonts w:cs="Arial"/>
                <w:sz w:val="18"/>
                <w:szCs w:val="18"/>
              </w:rPr>
            </w:pPr>
            <w:r w:rsidRPr="009548FC">
              <w:rPr>
                <w:rFonts w:cs="Arial"/>
                <w:sz w:val="18"/>
                <w:szCs w:val="18"/>
              </w:rPr>
              <w:t>-0.637</w:t>
            </w:r>
          </w:p>
        </w:tc>
        <w:tc>
          <w:tcPr>
            <w:tcW w:w="1512" w:type="dxa"/>
          </w:tcPr>
          <w:p w14:paraId="205D9836" w14:textId="77777777" w:rsidR="00E760C2" w:rsidRPr="009548FC" w:rsidRDefault="00E760C2" w:rsidP="00753A00">
            <w:pPr>
              <w:ind w:left="271"/>
              <w:jc w:val="center"/>
              <w:rPr>
                <w:rFonts w:cs="Arial"/>
                <w:sz w:val="18"/>
                <w:szCs w:val="18"/>
              </w:rPr>
            </w:pPr>
            <w:r w:rsidRPr="009548FC">
              <w:rPr>
                <w:rFonts w:cs="Arial"/>
                <w:sz w:val="18"/>
                <w:szCs w:val="18"/>
              </w:rPr>
              <w:t>0.340</w:t>
            </w:r>
          </w:p>
        </w:tc>
      </w:tr>
      <w:tr w:rsidR="00E760C2" w:rsidRPr="009548FC" w14:paraId="2290EC81" w14:textId="77777777" w:rsidTr="00753A00">
        <w:trPr>
          <w:trHeight w:val="270"/>
        </w:trPr>
        <w:tc>
          <w:tcPr>
            <w:tcW w:w="4962" w:type="dxa"/>
            <w:hideMark/>
          </w:tcPr>
          <w:p w14:paraId="76F80D66" w14:textId="77777777" w:rsidR="00E760C2" w:rsidRPr="009548FC" w:rsidRDefault="00E760C2" w:rsidP="00753A00">
            <w:pPr>
              <w:ind w:left="34"/>
              <w:rPr>
                <w:rFonts w:cs="Arial"/>
                <w:sz w:val="18"/>
                <w:szCs w:val="18"/>
              </w:rPr>
            </w:pPr>
            <w:r w:rsidRPr="009548FC">
              <w:rPr>
                <w:rFonts w:cs="Arial"/>
                <w:bCs/>
                <w:sz w:val="18"/>
                <w:szCs w:val="18"/>
              </w:rPr>
              <w:t>Network infrastructure</w:t>
            </w:r>
          </w:p>
        </w:tc>
        <w:tc>
          <w:tcPr>
            <w:tcW w:w="1512" w:type="dxa"/>
          </w:tcPr>
          <w:p w14:paraId="2526FAC4" w14:textId="77777777" w:rsidR="00E760C2" w:rsidRPr="009548FC" w:rsidRDefault="00E760C2" w:rsidP="00753A00">
            <w:pPr>
              <w:ind w:left="112"/>
              <w:jc w:val="center"/>
              <w:rPr>
                <w:rFonts w:cs="Arial"/>
                <w:sz w:val="18"/>
                <w:szCs w:val="18"/>
              </w:rPr>
            </w:pPr>
            <w:r w:rsidRPr="009548FC">
              <w:rPr>
                <w:rFonts w:cs="Arial"/>
                <w:sz w:val="18"/>
                <w:szCs w:val="18"/>
              </w:rPr>
              <w:t>0.018</w:t>
            </w:r>
          </w:p>
        </w:tc>
        <w:tc>
          <w:tcPr>
            <w:tcW w:w="1512" w:type="dxa"/>
          </w:tcPr>
          <w:p w14:paraId="636EFCA7" w14:textId="77777777" w:rsidR="00E760C2" w:rsidRPr="009548FC" w:rsidRDefault="00E760C2" w:rsidP="00753A00">
            <w:pPr>
              <w:ind w:left="271"/>
              <w:jc w:val="center"/>
              <w:rPr>
                <w:rFonts w:cs="Arial"/>
                <w:sz w:val="18"/>
                <w:szCs w:val="18"/>
              </w:rPr>
            </w:pPr>
            <w:r w:rsidRPr="009548FC">
              <w:rPr>
                <w:rFonts w:cs="Arial"/>
                <w:sz w:val="18"/>
                <w:szCs w:val="18"/>
              </w:rPr>
              <w:t>0.098</w:t>
            </w:r>
          </w:p>
        </w:tc>
        <w:tc>
          <w:tcPr>
            <w:tcW w:w="1512" w:type="dxa"/>
          </w:tcPr>
          <w:p w14:paraId="33DF8F80" w14:textId="77777777" w:rsidR="00E760C2" w:rsidRPr="009548FC" w:rsidRDefault="00E760C2" w:rsidP="00753A00">
            <w:pPr>
              <w:ind w:left="271"/>
              <w:jc w:val="center"/>
              <w:rPr>
                <w:rFonts w:cs="Arial"/>
                <w:sz w:val="18"/>
                <w:szCs w:val="18"/>
              </w:rPr>
            </w:pPr>
            <w:r w:rsidRPr="009548FC">
              <w:rPr>
                <w:rFonts w:cs="Arial"/>
                <w:sz w:val="18"/>
                <w:szCs w:val="18"/>
              </w:rPr>
              <w:t>0.001</w:t>
            </w:r>
          </w:p>
        </w:tc>
      </w:tr>
      <w:tr w:rsidR="00E760C2" w:rsidRPr="009548FC" w14:paraId="433888E4" w14:textId="77777777" w:rsidTr="00753A00">
        <w:trPr>
          <w:trHeight w:val="270"/>
        </w:trPr>
        <w:tc>
          <w:tcPr>
            <w:tcW w:w="4962" w:type="dxa"/>
            <w:hideMark/>
          </w:tcPr>
          <w:p w14:paraId="2CCDE3E3" w14:textId="77777777" w:rsidR="00E760C2" w:rsidRPr="009548FC" w:rsidRDefault="00E760C2" w:rsidP="00753A00">
            <w:pPr>
              <w:ind w:left="34"/>
              <w:rPr>
                <w:rFonts w:cs="Arial"/>
                <w:sz w:val="18"/>
                <w:szCs w:val="18"/>
              </w:rPr>
            </w:pPr>
            <w:r w:rsidRPr="009548FC">
              <w:rPr>
                <w:rFonts w:cs="Arial"/>
                <w:bCs/>
                <w:sz w:val="18"/>
                <w:szCs w:val="18"/>
              </w:rPr>
              <w:t>Transport infrastructure</w:t>
            </w:r>
          </w:p>
        </w:tc>
        <w:tc>
          <w:tcPr>
            <w:tcW w:w="1512" w:type="dxa"/>
          </w:tcPr>
          <w:p w14:paraId="71AC38D4" w14:textId="77777777" w:rsidR="00E760C2" w:rsidRPr="009548FC" w:rsidRDefault="00E760C2" w:rsidP="00753A00">
            <w:pPr>
              <w:ind w:left="112"/>
              <w:jc w:val="center"/>
              <w:rPr>
                <w:rFonts w:cs="Arial"/>
                <w:sz w:val="18"/>
                <w:szCs w:val="18"/>
              </w:rPr>
            </w:pPr>
            <w:r w:rsidRPr="009548FC">
              <w:rPr>
                <w:rFonts w:cs="Arial"/>
                <w:sz w:val="18"/>
                <w:szCs w:val="18"/>
              </w:rPr>
              <w:t>-0.141***</w:t>
            </w:r>
          </w:p>
        </w:tc>
        <w:tc>
          <w:tcPr>
            <w:tcW w:w="1512" w:type="dxa"/>
          </w:tcPr>
          <w:p w14:paraId="770D1426" w14:textId="77777777" w:rsidR="00E760C2" w:rsidRPr="009548FC" w:rsidRDefault="00E760C2" w:rsidP="00753A00">
            <w:pPr>
              <w:ind w:left="271"/>
              <w:jc w:val="center"/>
              <w:rPr>
                <w:rFonts w:cs="Arial"/>
                <w:sz w:val="18"/>
                <w:szCs w:val="18"/>
              </w:rPr>
            </w:pPr>
            <w:r w:rsidRPr="009548FC">
              <w:rPr>
                <w:rFonts w:cs="Arial"/>
                <w:sz w:val="18"/>
                <w:szCs w:val="18"/>
              </w:rPr>
              <w:t>-0.104</w:t>
            </w:r>
          </w:p>
        </w:tc>
        <w:tc>
          <w:tcPr>
            <w:tcW w:w="1512" w:type="dxa"/>
          </w:tcPr>
          <w:p w14:paraId="4BCAEED0" w14:textId="77777777" w:rsidR="00E760C2" w:rsidRPr="009548FC" w:rsidRDefault="00E760C2" w:rsidP="00753A00">
            <w:pPr>
              <w:ind w:left="271"/>
              <w:jc w:val="center"/>
              <w:rPr>
                <w:rFonts w:cs="Arial"/>
                <w:sz w:val="18"/>
                <w:szCs w:val="18"/>
              </w:rPr>
            </w:pPr>
            <w:r w:rsidRPr="009548FC">
              <w:rPr>
                <w:rFonts w:cs="Arial"/>
                <w:sz w:val="18"/>
                <w:szCs w:val="18"/>
              </w:rPr>
              <w:t>0.012</w:t>
            </w:r>
          </w:p>
        </w:tc>
      </w:tr>
      <w:tr w:rsidR="00E760C2" w:rsidRPr="009548FC" w14:paraId="70782C47" w14:textId="77777777" w:rsidTr="00753A00">
        <w:trPr>
          <w:trHeight w:val="270"/>
        </w:trPr>
        <w:tc>
          <w:tcPr>
            <w:tcW w:w="4962" w:type="dxa"/>
            <w:hideMark/>
          </w:tcPr>
          <w:p w14:paraId="6AE858CF" w14:textId="77777777" w:rsidR="00E760C2" w:rsidRPr="009548FC" w:rsidRDefault="00E760C2" w:rsidP="00753A00">
            <w:pPr>
              <w:ind w:left="34"/>
              <w:rPr>
                <w:rFonts w:cs="Arial"/>
                <w:sz w:val="18"/>
                <w:szCs w:val="18"/>
              </w:rPr>
            </w:pPr>
            <w:r w:rsidRPr="009548FC">
              <w:rPr>
                <w:rFonts w:cs="Arial"/>
                <w:bCs/>
                <w:sz w:val="18"/>
                <w:szCs w:val="18"/>
              </w:rPr>
              <w:t>Life satisfaction</w:t>
            </w:r>
          </w:p>
        </w:tc>
        <w:tc>
          <w:tcPr>
            <w:tcW w:w="1512" w:type="dxa"/>
          </w:tcPr>
          <w:p w14:paraId="6EA3F010" w14:textId="77777777" w:rsidR="00E760C2" w:rsidRPr="009548FC" w:rsidRDefault="00E760C2" w:rsidP="00753A00">
            <w:pPr>
              <w:ind w:left="112"/>
              <w:jc w:val="center"/>
              <w:rPr>
                <w:rFonts w:cs="Arial"/>
                <w:sz w:val="18"/>
                <w:szCs w:val="18"/>
              </w:rPr>
            </w:pPr>
            <w:r w:rsidRPr="009548FC">
              <w:rPr>
                <w:rFonts w:cs="Arial"/>
                <w:sz w:val="18"/>
                <w:szCs w:val="18"/>
              </w:rPr>
              <w:t>-0.087</w:t>
            </w:r>
          </w:p>
        </w:tc>
        <w:tc>
          <w:tcPr>
            <w:tcW w:w="1512" w:type="dxa"/>
          </w:tcPr>
          <w:p w14:paraId="223D8130" w14:textId="77777777" w:rsidR="00E760C2" w:rsidRPr="009548FC" w:rsidRDefault="00E760C2" w:rsidP="00753A00">
            <w:pPr>
              <w:ind w:left="271"/>
              <w:jc w:val="center"/>
              <w:rPr>
                <w:rFonts w:cs="Arial"/>
                <w:sz w:val="18"/>
                <w:szCs w:val="18"/>
              </w:rPr>
            </w:pPr>
            <w:r w:rsidRPr="009548FC">
              <w:rPr>
                <w:rFonts w:cs="Arial"/>
                <w:sz w:val="18"/>
                <w:szCs w:val="18"/>
              </w:rPr>
              <w:t>-0.287</w:t>
            </w:r>
          </w:p>
        </w:tc>
        <w:tc>
          <w:tcPr>
            <w:tcW w:w="1512" w:type="dxa"/>
          </w:tcPr>
          <w:p w14:paraId="2C91CD27" w14:textId="77777777" w:rsidR="00E760C2" w:rsidRPr="009548FC" w:rsidRDefault="00E760C2" w:rsidP="00753A00">
            <w:pPr>
              <w:ind w:left="271"/>
              <w:jc w:val="center"/>
              <w:rPr>
                <w:rFonts w:cs="Arial"/>
                <w:sz w:val="18"/>
                <w:szCs w:val="18"/>
              </w:rPr>
            </w:pPr>
            <w:r w:rsidRPr="009548FC">
              <w:rPr>
                <w:rFonts w:cs="Arial"/>
                <w:sz w:val="18"/>
                <w:szCs w:val="18"/>
              </w:rPr>
              <w:t>0.435***</w:t>
            </w:r>
          </w:p>
        </w:tc>
      </w:tr>
      <w:tr w:rsidR="00E760C2" w:rsidRPr="009548FC" w14:paraId="4BA3FF78" w14:textId="77777777" w:rsidTr="00753A00">
        <w:trPr>
          <w:trHeight w:val="270"/>
        </w:trPr>
        <w:tc>
          <w:tcPr>
            <w:tcW w:w="4962" w:type="dxa"/>
            <w:hideMark/>
          </w:tcPr>
          <w:p w14:paraId="4D479B33" w14:textId="77777777" w:rsidR="00E760C2" w:rsidRPr="009548FC" w:rsidRDefault="00E760C2" w:rsidP="00753A00">
            <w:pPr>
              <w:ind w:left="34"/>
              <w:rPr>
                <w:rFonts w:cs="Arial"/>
                <w:sz w:val="18"/>
                <w:szCs w:val="18"/>
              </w:rPr>
            </w:pPr>
            <w:r w:rsidRPr="009548FC">
              <w:rPr>
                <w:rFonts w:cs="Arial"/>
                <w:bCs/>
                <w:sz w:val="18"/>
                <w:szCs w:val="18"/>
              </w:rPr>
              <w:t>Size of the market (population)</w:t>
            </w:r>
          </w:p>
        </w:tc>
        <w:tc>
          <w:tcPr>
            <w:tcW w:w="1512" w:type="dxa"/>
          </w:tcPr>
          <w:p w14:paraId="4F19D3A9" w14:textId="77777777" w:rsidR="00E760C2" w:rsidRPr="009548FC" w:rsidRDefault="00E760C2" w:rsidP="00753A00">
            <w:pPr>
              <w:ind w:left="112"/>
              <w:jc w:val="center"/>
              <w:rPr>
                <w:rFonts w:cs="Arial"/>
                <w:sz w:val="18"/>
                <w:szCs w:val="18"/>
              </w:rPr>
            </w:pPr>
            <w:r w:rsidRPr="009548FC">
              <w:rPr>
                <w:rFonts w:cs="Arial"/>
                <w:sz w:val="18"/>
                <w:szCs w:val="18"/>
              </w:rPr>
              <w:t>0.571**</w:t>
            </w:r>
          </w:p>
        </w:tc>
        <w:tc>
          <w:tcPr>
            <w:tcW w:w="1512" w:type="dxa"/>
          </w:tcPr>
          <w:p w14:paraId="2CD9D5F5" w14:textId="77777777" w:rsidR="00E760C2" w:rsidRPr="009548FC" w:rsidRDefault="00E760C2" w:rsidP="00753A00">
            <w:pPr>
              <w:ind w:left="271"/>
              <w:jc w:val="center"/>
              <w:rPr>
                <w:rFonts w:cs="Arial"/>
                <w:sz w:val="18"/>
                <w:szCs w:val="18"/>
              </w:rPr>
            </w:pPr>
            <w:r w:rsidRPr="009548FC">
              <w:rPr>
                <w:rFonts w:cs="Arial"/>
                <w:sz w:val="18"/>
                <w:szCs w:val="18"/>
              </w:rPr>
              <w:t>0.846*</w:t>
            </w:r>
          </w:p>
        </w:tc>
        <w:tc>
          <w:tcPr>
            <w:tcW w:w="1512" w:type="dxa"/>
          </w:tcPr>
          <w:p w14:paraId="3BF1F07F" w14:textId="77777777" w:rsidR="00E760C2" w:rsidRPr="009548FC" w:rsidRDefault="00E760C2" w:rsidP="00753A00">
            <w:pPr>
              <w:ind w:left="271"/>
              <w:jc w:val="center"/>
              <w:rPr>
                <w:rFonts w:cs="Arial"/>
                <w:sz w:val="18"/>
                <w:szCs w:val="18"/>
              </w:rPr>
            </w:pPr>
            <w:r w:rsidRPr="009548FC">
              <w:rPr>
                <w:rFonts w:cs="Arial"/>
                <w:sz w:val="18"/>
                <w:szCs w:val="18"/>
              </w:rPr>
              <w:t>0.587**</w:t>
            </w:r>
          </w:p>
        </w:tc>
      </w:tr>
      <w:tr w:rsidR="00E760C2" w:rsidRPr="009548FC" w14:paraId="15427758" w14:textId="77777777" w:rsidTr="00753A00">
        <w:trPr>
          <w:trHeight w:val="270"/>
        </w:trPr>
        <w:tc>
          <w:tcPr>
            <w:tcW w:w="4962" w:type="dxa"/>
            <w:tcBorders>
              <w:bottom w:val="single" w:sz="4" w:space="0" w:color="auto"/>
            </w:tcBorders>
            <w:hideMark/>
          </w:tcPr>
          <w:p w14:paraId="6D8C756F" w14:textId="77777777" w:rsidR="00E760C2" w:rsidRPr="009548FC" w:rsidRDefault="00E760C2" w:rsidP="00753A00">
            <w:pPr>
              <w:ind w:left="34"/>
              <w:rPr>
                <w:rFonts w:cs="Arial"/>
                <w:sz w:val="18"/>
                <w:szCs w:val="18"/>
              </w:rPr>
            </w:pPr>
            <w:r w:rsidRPr="009548FC">
              <w:rPr>
                <w:rFonts w:cs="Arial"/>
                <w:bCs/>
                <w:sz w:val="18"/>
                <w:szCs w:val="18"/>
              </w:rPr>
              <w:t>GVA per capita</w:t>
            </w:r>
          </w:p>
        </w:tc>
        <w:tc>
          <w:tcPr>
            <w:tcW w:w="1512" w:type="dxa"/>
            <w:tcBorders>
              <w:bottom w:val="single" w:sz="4" w:space="0" w:color="auto"/>
            </w:tcBorders>
          </w:tcPr>
          <w:p w14:paraId="4082112B" w14:textId="77777777" w:rsidR="00E760C2" w:rsidRPr="009548FC" w:rsidRDefault="00E760C2" w:rsidP="00753A00">
            <w:pPr>
              <w:ind w:left="112"/>
              <w:jc w:val="center"/>
              <w:rPr>
                <w:rFonts w:cs="Arial"/>
                <w:sz w:val="18"/>
                <w:szCs w:val="18"/>
              </w:rPr>
            </w:pPr>
            <w:r w:rsidRPr="009548FC">
              <w:rPr>
                <w:rFonts w:cs="Arial"/>
                <w:sz w:val="18"/>
                <w:szCs w:val="18"/>
              </w:rPr>
              <w:t>0.133***</w:t>
            </w:r>
          </w:p>
        </w:tc>
        <w:tc>
          <w:tcPr>
            <w:tcW w:w="1512" w:type="dxa"/>
            <w:tcBorders>
              <w:bottom w:val="single" w:sz="4" w:space="0" w:color="auto"/>
            </w:tcBorders>
          </w:tcPr>
          <w:p w14:paraId="58D9838C" w14:textId="77777777" w:rsidR="00E760C2" w:rsidRPr="009548FC" w:rsidRDefault="00E760C2" w:rsidP="00753A00">
            <w:pPr>
              <w:ind w:left="271"/>
              <w:jc w:val="center"/>
              <w:rPr>
                <w:rFonts w:cs="Arial"/>
                <w:sz w:val="18"/>
                <w:szCs w:val="18"/>
              </w:rPr>
            </w:pPr>
            <w:r w:rsidRPr="009548FC">
              <w:rPr>
                <w:rFonts w:cs="Arial"/>
                <w:sz w:val="18"/>
                <w:szCs w:val="18"/>
              </w:rPr>
              <w:t>0.891***</w:t>
            </w:r>
          </w:p>
        </w:tc>
        <w:tc>
          <w:tcPr>
            <w:tcW w:w="1512" w:type="dxa"/>
            <w:tcBorders>
              <w:bottom w:val="single" w:sz="4" w:space="0" w:color="auto"/>
            </w:tcBorders>
          </w:tcPr>
          <w:p w14:paraId="2B988566" w14:textId="77777777" w:rsidR="00E760C2" w:rsidRPr="009548FC" w:rsidRDefault="00E760C2" w:rsidP="00753A00">
            <w:pPr>
              <w:ind w:left="271"/>
              <w:jc w:val="center"/>
              <w:rPr>
                <w:rFonts w:cs="Arial"/>
                <w:sz w:val="18"/>
                <w:szCs w:val="18"/>
              </w:rPr>
            </w:pPr>
            <w:r w:rsidRPr="009548FC">
              <w:rPr>
                <w:rFonts w:cs="Arial"/>
                <w:sz w:val="18"/>
                <w:szCs w:val="18"/>
              </w:rPr>
              <w:t>0.234</w:t>
            </w:r>
          </w:p>
        </w:tc>
      </w:tr>
      <w:tr w:rsidR="00E760C2" w:rsidRPr="009548FC" w14:paraId="460371B4" w14:textId="77777777" w:rsidTr="00753A00">
        <w:trPr>
          <w:trHeight w:val="270"/>
        </w:trPr>
        <w:tc>
          <w:tcPr>
            <w:tcW w:w="4962" w:type="dxa"/>
            <w:tcBorders>
              <w:top w:val="single" w:sz="4" w:space="0" w:color="auto"/>
              <w:bottom w:val="single" w:sz="4" w:space="0" w:color="auto"/>
            </w:tcBorders>
            <w:hideMark/>
          </w:tcPr>
          <w:p w14:paraId="31E923EA" w14:textId="77777777" w:rsidR="00E760C2" w:rsidRPr="009548FC" w:rsidRDefault="00E760C2" w:rsidP="00753A00">
            <w:pPr>
              <w:ind w:left="34"/>
              <w:rPr>
                <w:rFonts w:cs="Arial"/>
                <w:sz w:val="18"/>
                <w:szCs w:val="18"/>
              </w:rPr>
            </w:pPr>
            <w:r w:rsidRPr="009548FC">
              <w:rPr>
                <w:rFonts w:cs="Arial"/>
                <w:bCs/>
                <w:sz w:val="18"/>
                <w:szCs w:val="18"/>
              </w:rPr>
              <w:t>Adjusted R</w:t>
            </w:r>
            <w:r w:rsidRPr="009548FC">
              <w:rPr>
                <w:rFonts w:cs="Arial"/>
                <w:bCs/>
                <w:sz w:val="18"/>
                <w:szCs w:val="18"/>
                <w:vertAlign w:val="superscript"/>
              </w:rPr>
              <w:t>2</w:t>
            </w:r>
          </w:p>
        </w:tc>
        <w:tc>
          <w:tcPr>
            <w:tcW w:w="1512" w:type="dxa"/>
            <w:tcBorders>
              <w:top w:val="single" w:sz="4" w:space="0" w:color="auto"/>
              <w:bottom w:val="single" w:sz="4" w:space="0" w:color="auto"/>
            </w:tcBorders>
          </w:tcPr>
          <w:p w14:paraId="5813A3A5" w14:textId="77777777" w:rsidR="00E760C2" w:rsidRPr="009548FC" w:rsidRDefault="00E760C2" w:rsidP="00753A00">
            <w:pPr>
              <w:ind w:left="112"/>
              <w:jc w:val="center"/>
              <w:rPr>
                <w:rFonts w:cs="Arial"/>
                <w:sz w:val="18"/>
                <w:szCs w:val="18"/>
              </w:rPr>
            </w:pPr>
            <w:r w:rsidRPr="009548FC">
              <w:rPr>
                <w:rFonts w:cs="Arial"/>
                <w:sz w:val="18"/>
                <w:szCs w:val="18"/>
              </w:rPr>
              <w:t>0.9042</w:t>
            </w:r>
          </w:p>
        </w:tc>
        <w:tc>
          <w:tcPr>
            <w:tcW w:w="1512" w:type="dxa"/>
            <w:tcBorders>
              <w:top w:val="single" w:sz="4" w:space="0" w:color="auto"/>
              <w:bottom w:val="single" w:sz="4" w:space="0" w:color="auto"/>
            </w:tcBorders>
          </w:tcPr>
          <w:p w14:paraId="0479D067" w14:textId="77777777" w:rsidR="00E760C2" w:rsidRPr="009548FC" w:rsidRDefault="00E760C2" w:rsidP="00753A00">
            <w:pPr>
              <w:ind w:left="271"/>
              <w:jc w:val="center"/>
              <w:rPr>
                <w:rFonts w:cs="Arial"/>
                <w:sz w:val="18"/>
                <w:szCs w:val="18"/>
              </w:rPr>
            </w:pPr>
            <w:r w:rsidRPr="009548FC">
              <w:rPr>
                <w:rFonts w:cs="Arial"/>
                <w:sz w:val="18"/>
                <w:szCs w:val="18"/>
              </w:rPr>
              <w:t>0.7903</w:t>
            </w:r>
          </w:p>
        </w:tc>
        <w:tc>
          <w:tcPr>
            <w:tcW w:w="1512" w:type="dxa"/>
            <w:tcBorders>
              <w:top w:val="single" w:sz="4" w:space="0" w:color="auto"/>
              <w:bottom w:val="single" w:sz="4" w:space="0" w:color="auto"/>
            </w:tcBorders>
          </w:tcPr>
          <w:p w14:paraId="503CC2A1" w14:textId="77777777" w:rsidR="00E760C2" w:rsidRPr="009548FC" w:rsidRDefault="00E760C2" w:rsidP="00753A00">
            <w:pPr>
              <w:ind w:left="271"/>
              <w:jc w:val="center"/>
              <w:rPr>
                <w:rFonts w:cs="Arial"/>
                <w:sz w:val="18"/>
                <w:szCs w:val="18"/>
              </w:rPr>
            </w:pPr>
            <w:r w:rsidRPr="009548FC">
              <w:rPr>
                <w:rFonts w:cs="Arial"/>
                <w:sz w:val="18"/>
                <w:szCs w:val="18"/>
              </w:rPr>
              <w:t>0.8999</w:t>
            </w:r>
          </w:p>
        </w:tc>
      </w:tr>
    </w:tbl>
    <w:p w14:paraId="0D2DF0B8"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36786CA8" w14:textId="77777777" w:rsidR="00E760C2" w:rsidRPr="009548FC" w:rsidRDefault="00E760C2" w:rsidP="00E760C2">
      <w:pPr>
        <w:widowControl w:val="0"/>
        <w:autoSpaceDE w:val="0"/>
        <w:autoSpaceDN w:val="0"/>
        <w:adjustRightInd w:val="0"/>
        <w:spacing w:before="0" w:after="120" w:line="276" w:lineRule="auto"/>
        <w:ind w:left="1134"/>
        <w:contextualSpacing/>
        <w:rPr>
          <w:rFonts w:eastAsia="Calibri" w:cs="Arial"/>
          <w:szCs w:val="22"/>
        </w:rPr>
      </w:pPr>
    </w:p>
    <w:p w14:paraId="3719310C" w14:textId="7BEC945F" w:rsidR="00E760C2" w:rsidRPr="009548FC" w:rsidRDefault="00E760C2" w:rsidP="00E760C2">
      <w:pPr>
        <w:rPr>
          <w:rFonts w:eastAsia="Calibri" w:cs="Arial"/>
        </w:rPr>
      </w:pPr>
      <w:r w:rsidRPr="009548FC">
        <w:rPr>
          <w:rFonts w:eastAsia="Calibri" w:cs="Arial"/>
        </w:rPr>
        <w:t xml:space="preserve">Net migration of firms is positively associated with the employment rate, skilled labour, </w:t>
      </w:r>
      <w:proofErr w:type="gramStart"/>
      <w:r w:rsidRPr="009548FC">
        <w:rPr>
          <w:rFonts w:eastAsia="Calibri" w:cs="Arial"/>
        </w:rPr>
        <w:t>life</w:t>
      </w:r>
      <w:proofErr w:type="gramEnd"/>
      <w:r w:rsidRPr="009548FC">
        <w:rPr>
          <w:rFonts w:eastAsia="Calibri" w:cs="Arial"/>
        </w:rPr>
        <w:t xml:space="preserve"> satisfaction and population</w:t>
      </w:r>
      <w:r w:rsidR="000B6D23">
        <w:rPr>
          <w:rFonts w:eastAsia="Calibri" w:cs="Arial"/>
        </w:rPr>
        <w:t xml:space="preserve"> size</w:t>
      </w:r>
      <w:r w:rsidRPr="009548FC">
        <w:rPr>
          <w:rFonts w:eastAsia="Calibri" w:cs="Arial"/>
        </w:rPr>
        <w:t>. These may effectively be thought of as factors that directly attract firms.</w:t>
      </w:r>
    </w:p>
    <w:p w14:paraId="5C7B5F0B" w14:textId="7A82A196" w:rsidR="00E760C2" w:rsidRPr="009548FC" w:rsidRDefault="00E760C2" w:rsidP="00E760C2">
      <w:pPr>
        <w:rPr>
          <w:rFonts w:eastAsia="Calibri" w:cs="Arial"/>
        </w:rPr>
      </w:pPr>
      <w:r w:rsidRPr="009548FC">
        <w:rPr>
          <w:rFonts w:eastAsia="Calibri" w:cs="Arial"/>
        </w:rPr>
        <w:t>Turnover of all firms per capita is associated positively with heritage assets density, and more weakly with population</w:t>
      </w:r>
      <w:r w:rsidR="000B6D23">
        <w:rPr>
          <w:rFonts w:eastAsia="Calibri" w:cs="Arial"/>
        </w:rPr>
        <w:t xml:space="preserve"> size</w:t>
      </w:r>
      <w:r w:rsidRPr="009548FC">
        <w:rPr>
          <w:rFonts w:eastAsia="Calibri" w:cs="Arial"/>
        </w:rPr>
        <w:t>. It is also very strongly associated with GVA per capita, although as with number of firms per capita, this result may be subject to simultaneity bias.</w:t>
      </w:r>
    </w:p>
    <w:p w14:paraId="03F9FFFE" w14:textId="77777777" w:rsidR="00E760C2" w:rsidRPr="009548FC" w:rsidRDefault="00E760C2" w:rsidP="00E760C2">
      <w:pPr>
        <w:pStyle w:val="Heading3Numbered"/>
        <w:rPr>
          <w:rFonts w:eastAsia="Calibri"/>
        </w:rPr>
      </w:pPr>
      <w:bookmarkStart w:id="51" w:name="_Toc464222910"/>
      <w:r w:rsidRPr="009548FC">
        <w:rPr>
          <w:rFonts w:eastAsia="Calibri"/>
        </w:rPr>
        <w:t>Panel data models – all firms</w:t>
      </w:r>
      <w:bookmarkEnd w:id="51"/>
    </w:p>
    <w:p w14:paraId="3688AF6E" w14:textId="4057A7EC" w:rsidR="00E760C2" w:rsidRPr="00873DB7" w:rsidRDefault="00E760C2" w:rsidP="00E760C2">
      <w:pPr>
        <w:rPr>
          <w:rFonts w:eastAsia="Calibri" w:cs="Arial"/>
        </w:rPr>
      </w:pPr>
      <w:r w:rsidRPr="009548FC">
        <w:rPr>
          <w:rFonts w:eastAsia="Calibri" w:cs="Arial"/>
        </w:rPr>
        <w:t xml:space="preserve">Results for the models of the </w:t>
      </w:r>
      <w:r w:rsidR="0044105E">
        <w:rPr>
          <w:rFonts w:eastAsia="Calibri" w:cs="Arial"/>
        </w:rPr>
        <w:t>relationships</w:t>
      </w:r>
      <w:r w:rsidR="0044105E" w:rsidRPr="009548FC">
        <w:rPr>
          <w:rFonts w:eastAsia="Calibri" w:cs="Arial"/>
        </w:rPr>
        <w:t xml:space="preserve"> </w:t>
      </w:r>
      <w:r w:rsidRPr="009548FC">
        <w:rPr>
          <w:rFonts w:eastAsia="Calibri" w:cs="Arial"/>
        </w:rPr>
        <w:t xml:space="preserve">between per capita investment in CS&amp;H and all firms are presented in </w:t>
      </w:r>
      <w:r w:rsidRPr="00E760C2">
        <w:rPr>
          <w:rFonts w:eastAsia="Calibri" w:cs="Arial"/>
        </w:rPr>
        <w:fldChar w:fldCharType="begin"/>
      </w:r>
      <w:r w:rsidRPr="009548FC">
        <w:rPr>
          <w:rFonts w:eastAsia="Calibri" w:cs="Arial"/>
        </w:rPr>
        <w:instrText xml:space="preserve"> REF _Ref450040375 \h  \* MERGEFORMAT </w:instrText>
      </w:r>
      <w:r w:rsidRPr="00E760C2">
        <w:rPr>
          <w:rFonts w:eastAsia="Calibri" w:cs="Arial"/>
        </w:rPr>
      </w:r>
      <w:r w:rsidRPr="00E760C2">
        <w:rPr>
          <w:rFonts w:eastAsia="Calibri" w:cs="Arial"/>
        </w:rPr>
        <w:fldChar w:fldCharType="separate"/>
      </w:r>
      <w:r w:rsidR="00F0636B" w:rsidRPr="00F0636B">
        <w:rPr>
          <w:rFonts w:cs="Arial"/>
        </w:rPr>
        <w:t xml:space="preserve">Table </w:t>
      </w:r>
      <w:r w:rsidR="00F0636B" w:rsidRPr="00F0636B">
        <w:rPr>
          <w:rFonts w:cs="Arial"/>
          <w:noProof/>
        </w:rPr>
        <w:t>3</w:t>
      </w:r>
      <w:r w:rsidRPr="00E760C2">
        <w:rPr>
          <w:rFonts w:eastAsia="Calibri" w:cs="Arial"/>
        </w:rPr>
        <w:fldChar w:fldCharType="end"/>
      </w:r>
      <w:r w:rsidRPr="009548FC">
        <w:rPr>
          <w:rFonts w:eastAsia="Calibri" w:cs="Arial"/>
        </w:rPr>
        <w:t xml:space="preserve">. </w:t>
      </w:r>
      <w:r w:rsidR="002D2364">
        <w:rPr>
          <w:rFonts w:eastAsia="Calibri" w:cs="Arial"/>
        </w:rPr>
        <w:t>W</w:t>
      </w:r>
      <w:r w:rsidRPr="009548FC">
        <w:rPr>
          <w:rFonts w:eastAsia="Calibri" w:cs="Arial"/>
        </w:rPr>
        <w:t xml:space="preserve">e use a fixed effects model and cluster errors at the </w:t>
      </w:r>
      <w:r w:rsidRPr="009A43FB">
        <w:rPr>
          <w:rFonts w:eastAsia="Calibri" w:cs="Arial"/>
        </w:rPr>
        <w:t xml:space="preserve">local authority </w:t>
      </w:r>
      <w:r w:rsidRPr="00873DB7">
        <w:rPr>
          <w:rFonts w:eastAsia="Calibri" w:cs="Arial"/>
        </w:rPr>
        <w:t>level.</w:t>
      </w:r>
    </w:p>
    <w:p w14:paraId="1C79E0B0" w14:textId="72C5B3C0" w:rsidR="00E760C2" w:rsidRPr="009548FC" w:rsidRDefault="00E760C2" w:rsidP="00E760C2">
      <w:pPr>
        <w:rPr>
          <w:rFonts w:eastAsia="Calibri" w:cs="Arial"/>
        </w:rPr>
      </w:pPr>
      <w:r w:rsidRPr="009548FC">
        <w:rPr>
          <w:rFonts w:eastAsia="Calibri" w:cs="Arial"/>
        </w:rPr>
        <w:t>Turnover of all firms per capita is negatively associated with per capita investment in CS&amp;H. Lagged investment in CS&amp;H per capita on the other hand is positively associated with number of firms per capita and net migration of firms. Both migration of firms and number of firms variables are less immediately responsive to changes (e.g. firms must make decisions to relocate or start up) than turnover.</w:t>
      </w:r>
    </w:p>
    <w:p w14:paraId="0AAD8613" w14:textId="777DD81D" w:rsidR="00E760C2" w:rsidRPr="009548FC" w:rsidRDefault="00E760C2" w:rsidP="00E760C2">
      <w:pPr>
        <w:rPr>
          <w:rFonts w:eastAsia="Calibri" w:cs="Arial"/>
        </w:rPr>
      </w:pPr>
      <w:r w:rsidRPr="009548FC">
        <w:rPr>
          <w:rFonts w:eastAsia="Calibri" w:cs="Arial"/>
        </w:rPr>
        <w:t xml:space="preserve">The number of firms per capita model has a very low R-squared value, suggesting that the model does not explain much of the variation, although the other two are higher. Other significant variables are skilled labour (for turnover and net migration), and competitiveness and physical activity (for number of firms). </w:t>
      </w:r>
    </w:p>
    <w:p w14:paraId="3DFD3AFA" w14:textId="77777777" w:rsidR="00E760C2" w:rsidRPr="009548FC" w:rsidRDefault="00E760C2" w:rsidP="00E760C2">
      <w:pPr>
        <w:widowControl w:val="0"/>
        <w:autoSpaceDE w:val="0"/>
        <w:autoSpaceDN w:val="0"/>
        <w:adjustRightInd w:val="0"/>
        <w:spacing w:before="0" w:after="120" w:line="276" w:lineRule="auto"/>
        <w:ind w:left="1134"/>
        <w:contextualSpacing/>
        <w:rPr>
          <w:rFonts w:eastAsia="Calibri" w:cs="Arial"/>
          <w:szCs w:val="22"/>
        </w:rPr>
      </w:pPr>
    </w:p>
    <w:p w14:paraId="36CC6BE0" w14:textId="31D8D7A2" w:rsidR="00E760C2" w:rsidRPr="009548FC" w:rsidRDefault="00E760C2" w:rsidP="00E760C2">
      <w:pPr>
        <w:pStyle w:val="Caption"/>
        <w:rPr>
          <w:rFonts w:eastAsia="Calibri"/>
          <w:szCs w:val="22"/>
        </w:rPr>
      </w:pPr>
      <w:bookmarkStart w:id="52" w:name="_Ref450040375"/>
      <w:bookmarkStart w:id="53" w:name="_Toc464220257"/>
      <w:r w:rsidRPr="009548FC">
        <w:t xml:space="preserve">Table </w:t>
      </w:r>
      <w:r w:rsidRPr="00982C4F">
        <w:fldChar w:fldCharType="begin"/>
      </w:r>
      <w:r w:rsidRPr="009548FC">
        <w:instrText xml:space="preserve"> SEQ Table \* ARABIC </w:instrText>
      </w:r>
      <w:r w:rsidRPr="00982C4F">
        <w:fldChar w:fldCharType="separate"/>
      </w:r>
      <w:r w:rsidR="00F0636B">
        <w:rPr>
          <w:noProof/>
        </w:rPr>
        <w:t>3</w:t>
      </w:r>
      <w:r w:rsidRPr="00982C4F">
        <w:rPr>
          <w:noProof/>
        </w:rPr>
        <w:fldChar w:fldCharType="end"/>
      </w:r>
      <w:bookmarkEnd w:id="52"/>
      <w:r w:rsidRPr="009548FC">
        <w:t xml:space="preserve">: </w:t>
      </w:r>
      <w:r w:rsidRPr="009548FC">
        <w:rPr>
          <w:rFonts w:eastAsia="Calibri"/>
          <w:szCs w:val="22"/>
        </w:rPr>
        <w:t>CS&amp;H investment and all firms</w:t>
      </w:r>
      <w:bookmarkEnd w:id="53"/>
    </w:p>
    <w:tbl>
      <w:tblPr>
        <w:tblStyle w:val="LightList-Accent41"/>
        <w:tblW w:w="9421"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340"/>
        <w:gridCol w:w="1328"/>
        <w:gridCol w:w="1328"/>
        <w:gridCol w:w="1425"/>
      </w:tblGrid>
      <w:tr w:rsidR="00E760C2" w:rsidRPr="009548FC" w14:paraId="72078CF3" w14:textId="77777777" w:rsidTr="00753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0" w:type="dxa"/>
            <w:tcBorders>
              <w:top w:val="single" w:sz="4" w:space="0" w:color="auto"/>
              <w:bottom w:val="single" w:sz="4" w:space="0" w:color="auto"/>
            </w:tcBorders>
            <w:shd w:val="clear" w:color="auto" w:fill="auto"/>
          </w:tcPr>
          <w:p w14:paraId="5B534F28" w14:textId="77777777" w:rsidR="00E760C2" w:rsidRPr="009548FC" w:rsidRDefault="00E760C2" w:rsidP="00753A00">
            <w:pPr>
              <w:spacing w:before="0"/>
              <w:ind w:left="0"/>
              <w:rPr>
                <w:rFonts w:cs="Arial"/>
                <w:color w:val="000000" w:themeColor="text1"/>
                <w:sz w:val="18"/>
                <w:szCs w:val="18"/>
              </w:rPr>
            </w:pPr>
          </w:p>
        </w:tc>
        <w:tc>
          <w:tcPr>
            <w:tcW w:w="1328" w:type="dxa"/>
            <w:tcBorders>
              <w:top w:val="single" w:sz="4" w:space="0" w:color="auto"/>
              <w:bottom w:val="single" w:sz="4" w:space="0" w:color="auto"/>
            </w:tcBorders>
            <w:shd w:val="clear" w:color="auto" w:fill="auto"/>
          </w:tcPr>
          <w:p w14:paraId="2610A91E" w14:textId="77777777" w:rsidR="00E760C2" w:rsidRPr="009548FC" w:rsidRDefault="00E760C2" w:rsidP="00753A00">
            <w:pPr>
              <w:spacing w:before="0"/>
              <w:ind w:left="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Number of firms per capita</w:t>
            </w:r>
          </w:p>
        </w:tc>
        <w:tc>
          <w:tcPr>
            <w:tcW w:w="1328" w:type="dxa"/>
            <w:tcBorders>
              <w:top w:val="single" w:sz="4" w:space="0" w:color="auto"/>
              <w:bottom w:val="single" w:sz="4" w:space="0" w:color="auto"/>
            </w:tcBorders>
            <w:shd w:val="clear" w:color="auto" w:fill="auto"/>
          </w:tcPr>
          <w:p w14:paraId="6834B9D7" w14:textId="77777777" w:rsidR="00E760C2" w:rsidRPr="009548FC" w:rsidRDefault="00E760C2" w:rsidP="00753A00">
            <w:pPr>
              <w:spacing w:before="0"/>
              <w:ind w:left="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Turnover of firms per capita</w:t>
            </w:r>
          </w:p>
        </w:tc>
        <w:tc>
          <w:tcPr>
            <w:tcW w:w="1425" w:type="dxa"/>
            <w:tcBorders>
              <w:top w:val="single" w:sz="4" w:space="0" w:color="auto"/>
              <w:bottom w:val="single" w:sz="4" w:space="0" w:color="auto"/>
            </w:tcBorders>
            <w:shd w:val="clear" w:color="auto" w:fill="auto"/>
          </w:tcPr>
          <w:p w14:paraId="49CA540F" w14:textId="77777777" w:rsidR="00E760C2" w:rsidRPr="009548FC" w:rsidRDefault="00E760C2" w:rsidP="00753A00">
            <w:pPr>
              <w:spacing w:before="0"/>
              <w:ind w:left="0"/>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Net migration of firms</w:t>
            </w:r>
          </w:p>
        </w:tc>
      </w:tr>
      <w:tr w:rsidR="003F0EF7" w:rsidRPr="009548FC" w14:paraId="1121F0E9"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40" w:type="dxa"/>
            <w:tcBorders>
              <w:top w:val="single" w:sz="4" w:space="0" w:color="auto"/>
              <w:left w:val="none" w:sz="0" w:space="0" w:color="auto"/>
              <w:bottom w:val="none" w:sz="0" w:space="0" w:color="auto"/>
            </w:tcBorders>
            <w:shd w:val="clear" w:color="auto" w:fill="auto"/>
          </w:tcPr>
          <w:p w14:paraId="26B74DC0"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Per capita investment in CS&amp;H</w:t>
            </w:r>
          </w:p>
        </w:tc>
        <w:tc>
          <w:tcPr>
            <w:tcW w:w="1328" w:type="dxa"/>
            <w:tcBorders>
              <w:top w:val="single" w:sz="4" w:space="0" w:color="auto"/>
              <w:bottom w:val="none" w:sz="0" w:space="0" w:color="auto"/>
            </w:tcBorders>
            <w:shd w:val="clear" w:color="auto" w:fill="auto"/>
          </w:tcPr>
          <w:p w14:paraId="612E81CF" w14:textId="66D52882"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-0.007</w:t>
            </w:r>
          </w:p>
        </w:tc>
        <w:tc>
          <w:tcPr>
            <w:tcW w:w="1328" w:type="dxa"/>
            <w:tcBorders>
              <w:top w:val="single" w:sz="4" w:space="0" w:color="auto"/>
              <w:bottom w:val="none" w:sz="0" w:space="0" w:color="auto"/>
            </w:tcBorders>
            <w:shd w:val="clear" w:color="auto" w:fill="auto"/>
          </w:tcPr>
          <w:p w14:paraId="5036D1D7" w14:textId="1A7FE815"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-0.024</w:t>
            </w:r>
            <w:r w:rsidRPr="009548FC">
              <w:rPr>
                <w:rFonts w:cs="Arial"/>
                <w:color w:val="000000" w:themeColor="text1"/>
                <w:sz w:val="18"/>
                <w:szCs w:val="18"/>
              </w:rPr>
              <w:t>***</w:t>
            </w:r>
          </w:p>
        </w:tc>
        <w:tc>
          <w:tcPr>
            <w:tcW w:w="1425" w:type="dxa"/>
            <w:tcBorders>
              <w:top w:val="single" w:sz="4" w:space="0" w:color="auto"/>
              <w:bottom w:val="none" w:sz="0" w:space="0" w:color="auto"/>
              <w:right w:val="none" w:sz="0" w:space="0" w:color="auto"/>
            </w:tcBorders>
            <w:shd w:val="clear" w:color="auto" w:fill="auto"/>
          </w:tcPr>
          <w:p w14:paraId="621D17AB" w14:textId="37F733D6"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-0.001</w:t>
            </w:r>
          </w:p>
        </w:tc>
      </w:tr>
      <w:tr w:rsidR="003F0EF7" w:rsidRPr="009548FC" w14:paraId="444640D9"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tcPr>
          <w:p w14:paraId="5E23E2CD"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Lagged per capita investment in CS&amp;H</w:t>
            </w:r>
          </w:p>
        </w:tc>
        <w:tc>
          <w:tcPr>
            <w:tcW w:w="1328" w:type="dxa"/>
            <w:shd w:val="clear" w:color="auto" w:fill="auto"/>
          </w:tcPr>
          <w:p w14:paraId="21C0A93E" w14:textId="218C7A27" w:rsidR="003F0EF7" w:rsidRPr="009548FC" w:rsidRDefault="003F0EF7" w:rsidP="00753A0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0.012</w:t>
            </w:r>
            <w:r w:rsidRPr="009548FC">
              <w:rPr>
                <w:rFonts w:cs="Arial"/>
                <w:color w:val="000000" w:themeColor="text1"/>
                <w:sz w:val="18"/>
                <w:szCs w:val="18"/>
              </w:rPr>
              <w:t>***</w:t>
            </w:r>
          </w:p>
        </w:tc>
        <w:tc>
          <w:tcPr>
            <w:tcW w:w="1328" w:type="dxa"/>
            <w:shd w:val="clear" w:color="auto" w:fill="auto"/>
          </w:tcPr>
          <w:p w14:paraId="77297009" w14:textId="2536E2BE" w:rsidR="003F0EF7" w:rsidRPr="009548FC" w:rsidRDefault="003F0EF7" w:rsidP="00753A0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0.001</w:t>
            </w:r>
          </w:p>
        </w:tc>
        <w:tc>
          <w:tcPr>
            <w:tcW w:w="1425" w:type="dxa"/>
            <w:shd w:val="clear" w:color="auto" w:fill="auto"/>
          </w:tcPr>
          <w:p w14:paraId="0BBBF22C" w14:textId="45A54BD2" w:rsidR="003F0EF7" w:rsidRPr="009548FC" w:rsidRDefault="003F0EF7" w:rsidP="00753A0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0.027***</w:t>
            </w:r>
          </w:p>
        </w:tc>
      </w:tr>
      <w:tr w:rsidR="003F0EF7" w:rsidRPr="009548FC" w14:paraId="6A89D506"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40" w:type="dxa"/>
            <w:tcBorders>
              <w:top w:val="none" w:sz="0" w:space="0" w:color="auto"/>
              <w:left w:val="none" w:sz="0" w:space="0" w:color="auto"/>
              <w:bottom w:val="none" w:sz="0" w:space="0" w:color="auto"/>
            </w:tcBorders>
            <w:shd w:val="clear" w:color="auto" w:fill="auto"/>
          </w:tcPr>
          <w:p w14:paraId="5632ADE1" w14:textId="2BBC9D3D"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2-year lagged per capita investment in CS&amp;H</w:t>
            </w:r>
          </w:p>
        </w:tc>
        <w:tc>
          <w:tcPr>
            <w:tcW w:w="1328" w:type="dxa"/>
            <w:tcBorders>
              <w:top w:val="none" w:sz="0" w:space="0" w:color="auto"/>
              <w:bottom w:val="none" w:sz="0" w:space="0" w:color="auto"/>
            </w:tcBorders>
            <w:shd w:val="clear" w:color="auto" w:fill="auto"/>
          </w:tcPr>
          <w:p w14:paraId="714583E6" w14:textId="715A84FD"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0.000</w:t>
            </w:r>
          </w:p>
        </w:tc>
        <w:tc>
          <w:tcPr>
            <w:tcW w:w="1328" w:type="dxa"/>
            <w:tcBorders>
              <w:top w:val="none" w:sz="0" w:space="0" w:color="auto"/>
              <w:bottom w:val="none" w:sz="0" w:space="0" w:color="auto"/>
            </w:tcBorders>
            <w:shd w:val="clear" w:color="auto" w:fill="auto"/>
          </w:tcPr>
          <w:p w14:paraId="12E215BA" w14:textId="38ACC59D"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-0.000</w:t>
            </w:r>
          </w:p>
        </w:tc>
        <w:tc>
          <w:tcPr>
            <w:tcW w:w="1425" w:type="dxa"/>
            <w:tcBorders>
              <w:top w:val="none" w:sz="0" w:space="0" w:color="auto"/>
              <w:bottom w:val="none" w:sz="0" w:space="0" w:color="auto"/>
              <w:right w:val="none" w:sz="0" w:space="0" w:color="auto"/>
            </w:tcBorders>
            <w:shd w:val="clear" w:color="auto" w:fill="auto"/>
          </w:tcPr>
          <w:p w14:paraId="06684E20" w14:textId="5725DA7F"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-0.000</w:t>
            </w:r>
          </w:p>
        </w:tc>
      </w:tr>
      <w:tr w:rsidR="003F0EF7" w:rsidRPr="009548FC" w14:paraId="6B7C8D4E"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tcPr>
          <w:p w14:paraId="03E0F760"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Skilled labour</w:t>
            </w:r>
          </w:p>
        </w:tc>
        <w:tc>
          <w:tcPr>
            <w:tcW w:w="1328" w:type="dxa"/>
            <w:shd w:val="clear" w:color="auto" w:fill="auto"/>
          </w:tcPr>
          <w:p w14:paraId="687ED565" w14:textId="623C1865" w:rsidR="003F0EF7" w:rsidRPr="009548FC" w:rsidRDefault="003F0EF7" w:rsidP="00753A0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0.002*</w:t>
            </w:r>
          </w:p>
        </w:tc>
        <w:tc>
          <w:tcPr>
            <w:tcW w:w="1328" w:type="dxa"/>
            <w:shd w:val="clear" w:color="auto" w:fill="auto"/>
          </w:tcPr>
          <w:p w14:paraId="64CD7462" w14:textId="3680C7DD" w:rsidR="003F0EF7" w:rsidRPr="009548FC" w:rsidRDefault="003F0EF7" w:rsidP="00753A0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0.021***</w:t>
            </w:r>
          </w:p>
        </w:tc>
        <w:tc>
          <w:tcPr>
            <w:tcW w:w="1425" w:type="dxa"/>
            <w:shd w:val="clear" w:color="auto" w:fill="auto"/>
          </w:tcPr>
          <w:p w14:paraId="38F6B4A2" w14:textId="058035B7" w:rsidR="003F0EF7" w:rsidRPr="009548FC" w:rsidRDefault="003F0EF7" w:rsidP="00753A0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0.00</w:t>
            </w:r>
            <w:r>
              <w:rPr>
                <w:rFonts w:cs="Arial"/>
                <w:color w:val="000000" w:themeColor="text1"/>
                <w:sz w:val="18"/>
                <w:szCs w:val="18"/>
              </w:rPr>
              <w:t>4</w:t>
            </w:r>
            <w:r w:rsidRPr="009548FC">
              <w:rPr>
                <w:rFonts w:cs="Arial"/>
                <w:color w:val="000000" w:themeColor="text1"/>
                <w:sz w:val="18"/>
                <w:szCs w:val="18"/>
              </w:rPr>
              <w:t>*</w:t>
            </w:r>
          </w:p>
        </w:tc>
      </w:tr>
      <w:tr w:rsidR="003F0EF7" w:rsidRPr="009548FC" w14:paraId="7B9F274F"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40" w:type="dxa"/>
            <w:shd w:val="clear" w:color="auto" w:fill="auto"/>
          </w:tcPr>
          <w:p w14:paraId="2445DD1A"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Competitiveness</w:t>
            </w:r>
          </w:p>
        </w:tc>
        <w:tc>
          <w:tcPr>
            <w:tcW w:w="1328" w:type="dxa"/>
            <w:shd w:val="clear" w:color="auto" w:fill="auto"/>
          </w:tcPr>
          <w:p w14:paraId="273FFA59" w14:textId="22996B73"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0.345</w:t>
            </w:r>
            <w:r w:rsidRPr="009548FC">
              <w:rPr>
                <w:rFonts w:cs="Arial"/>
                <w:color w:val="000000" w:themeColor="text1"/>
                <w:sz w:val="18"/>
                <w:szCs w:val="18"/>
              </w:rPr>
              <w:t>***</w:t>
            </w:r>
          </w:p>
        </w:tc>
        <w:tc>
          <w:tcPr>
            <w:tcW w:w="1328" w:type="dxa"/>
            <w:shd w:val="clear" w:color="auto" w:fill="auto"/>
          </w:tcPr>
          <w:p w14:paraId="5C74023F" w14:textId="72BBD691"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0.654*</w:t>
            </w:r>
          </w:p>
        </w:tc>
        <w:tc>
          <w:tcPr>
            <w:tcW w:w="1425" w:type="dxa"/>
            <w:shd w:val="clear" w:color="auto" w:fill="auto"/>
          </w:tcPr>
          <w:p w14:paraId="69870386" w14:textId="2B2376EE"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0.12</w:t>
            </w:r>
            <w:r w:rsidRPr="009548FC">
              <w:rPr>
                <w:rFonts w:cs="Arial"/>
                <w:color w:val="000000" w:themeColor="text1"/>
                <w:sz w:val="18"/>
                <w:szCs w:val="18"/>
              </w:rPr>
              <w:t>0*</w:t>
            </w:r>
            <w:r>
              <w:rPr>
                <w:rFonts w:cs="Arial"/>
                <w:color w:val="000000" w:themeColor="text1"/>
                <w:sz w:val="18"/>
                <w:szCs w:val="18"/>
              </w:rPr>
              <w:t>*</w:t>
            </w:r>
          </w:p>
        </w:tc>
      </w:tr>
      <w:tr w:rsidR="003F0EF7" w:rsidRPr="009548FC" w14:paraId="2C7BEC25"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5340" w:type="dxa"/>
            <w:tcBorders>
              <w:bottom w:val="single" w:sz="4" w:space="0" w:color="auto"/>
            </w:tcBorders>
            <w:shd w:val="clear" w:color="auto" w:fill="auto"/>
          </w:tcPr>
          <w:p w14:paraId="23B3F6AA"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Physical activity (proxy for wellbeing)</w:t>
            </w:r>
          </w:p>
        </w:tc>
        <w:tc>
          <w:tcPr>
            <w:tcW w:w="1328" w:type="dxa"/>
            <w:tcBorders>
              <w:bottom w:val="single" w:sz="4" w:space="0" w:color="auto"/>
            </w:tcBorders>
            <w:shd w:val="clear" w:color="auto" w:fill="auto"/>
          </w:tcPr>
          <w:p w14:paraId="4A0AA010" w14:textId="0A9664DA" w:rsidR="003F0EF7" w:rsidRPr="009548FC" w:rsidRDefault="003F0EF7" w:rsidP="00753A0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0.034</w:t>
            </w:r>
            <w:r w:rsidRPr="009548FC">
              <w:rPr>
                <w:rFonts w:cs="Arial"/>
                <w:color w:val="000000" w:themeColor="text1"/>
                <w:sz w:val="18"/>
                <w:szCs w:val="18"/>
              </w:rPr>
              <w:t>*</w:t>
            </w:r>
          </w:p>
        </w:tc>
        <w:tc>
          <w:tcPr>
            <w:tcW w:w="1328" w:type="dxa"/>
            <w:tcBorders>
              <w:bottom w:val="single" w:sz="4" w:space="0" w:color="auto"/>
            </w:tcBorders>
            <w:shd w:val="clear" w:color="auto" w:fill="auto"/>
          </w:tcPr>
          <w:p w14:paraId="14AB6A85" w14:textId="46A7B13F" w:rsidR="003F0EF7" w:rsidRPr="009548FC" w:rsidRDefault="003F0EF7" w:rsidP="00753A0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0.023</w:t>
            </w:r>
          </w:p>
        </w:tc>
        <w:tc>
          <w:tcPr>
            <w:tcW w:w="1425" w:type="dxa"/>
            <w:tcBorders>
              <w:bottom w:val="single" w:sz="4" w:space="0" w:color="auto"/>
            </w:tcBorders>
            <w:shd w:val="clear" w:color="auto" w:fill="auto"/>
          </w:tcPr>
          <w:p w14:paraId="0F222897" w14:textId="2A47A49D" w:rsidR="003F0EF7" w:rsidRPr="009548FC" w:rsidRDefault="003F0EF7" w:rsidP="00753A00">
            <w:pPr>
              <w:spacing w:before="0"/>
              <w:ind w:left="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0.022</w:t>
            </w:r>
          </w:p>
        </w:tc>
      </w:tr>
      <w:tr w:rsidR="003F0EF7" w:rsidRPr="009548FC" w14:paraId="04E480F5"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40" w:type="dxa"/>
            <w:tcBorders>
              <w:top w:val="single" w:sz="4" w:space="0" w:color="auto"/>
            </w:tcBorders>
            <w:shd w:val="clear" w:color="auto" w:fill="auto"/>
          </w:tcPr>
          <w:p w14:paraId="291EFF44"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Adjusted R²</w:t>
            </w:r>
          </w:p>
        </w:tc>
        <w:tc>
          <w:tcPr>
            <w:tcW w:w="1328" w:type="dxa"/>
            <w:tcBorders>
              <w:top w:val="single" w:sz="4" w:space="0" w:color="auto"/>
            </w:tcBorders>
            <w:shd w:val="clear" w:color="auto" w:fill="auto"/>
          </w:tcPr>
          <w:p w14:paraId="2533938B" w14:textId="1982F600"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0.0008</w:t>
            </w:r>
          </w:p>
        </w:tc>
        <w:tc>
          <w:tcPr>
            <w:tcW w:w="1328" w:type="dxa"/>
            <w:tcBorders>
              <w:top w:val="single" w:sz="4" w:space="0" w:color="auto"/>
            </w:tcBorders>
            <w:shd w:val="clear" w:color="auto" w:fill="auto"/>
          </w:tcPr>
          <w:p w14:paraId="46B00C0B" w14:textId="5024251B"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0.6345</w:t>
            </w:r>
          </w:p>
        </w:tc>
        <w:tc>
          <w:tcPr>
            <w:tcW w:w="1425" w:type="dxa"/>
            <w:tcBorders>
              <w:top w:val="single" w:sz="4" w:space="0" w:color="auto"/>
            </w:tcBorders>
            <w:shd w:val="clear" w:color="auto" w:fill="auto"/>
          </w:tcPr>
          <w:p w14:paraId="6ACAE5F3" w14:textId="15B0651D" w:rsidR="003F0EF7" w:rsidRPr="009548FC" w:rsidRDefault="003F0EF7" w:rsidP="00753A00">
            <w:pPr>
              <w:spacing w:before="0"/>
              <w:ind w:left="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0.4339</w:t>
            </w:r>
          </w:p>
        </w:tc>
      </w:tr>
    </w:tbl>
    <w:p w14:paraId="4D33FD36"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5E85E206" w14:textId="77777777" w:rsidR="00E760C2" w:rsidRPr="009548FC" w:rsidRDefault="00E760C2" w:rsidP="00E760C2">
      <w:pPr>
        <w:pStyle w:val="Heading2Numbered"/>
        <w:rPr>
          <w:rFonts w:eastAsia="Calibri"/>
          <w:szCs w:val="24"/>
        </w:rPr>
      </w:pPr>
      <w:bookmarkStart w:id="54" w:name="_Toc464222911"/>
      <w:r w:rsidRPr="009548FC">
        <w:rPr>
          <w:rFonts w:eastAsia="Calibri"/>
        </w:rPr>
        <w:t>Creative industries</w:t>
      </w:r>
      <w:bookmarkEnd w:id="54"/>
    </w:p>
    <w:p w14:paraId="513CDF1D" w14:textId="77777777" w:rsidR="00E760C2" w:rsidRPr="009548FC" w:rsidRDefault="00E760C2" w:rsidP="00E760C2">
      <w:pPr>
        <w:pStyle w:val="Heading3Numbered"/>
        <w:rPr>
          <w:rFonts w:eastAsia="Calibri"/>
        </w:rPr>
      </w:pPr>
      <w:bookmarkStart w:id="55" w:name="_Toc464222912"/>
      <w:r w:rsidRPr="009548FC">
        <w:rPr>
          <w:rFonts w:eastAsia="Calibri"/>
        </w:rPr>
        <w:t>Cross-sectional models – creative firms</w:t>
      </w:r>
      <w:bookmarkEnd w:id="55"/>
    </w:p>
    <w:p w14:paraId="19008C5E" w14:textId="1430F81C" w:rsidR="00E760C2" w:rsidRPr="00873DB7" w:rsidRDefault="00E760C2" w:rsidP="00E760C2">
      <w:pPr>
        <w:rPr>
          <w:rFonts w:eastAsia="Calibri" w:cs="Arial"/>
        </w:rPr>
      </w:pPr>
      <w:r w:rsidRPr="009A43FB">
        <w:rPr>
          <w:rFonts w:eastAsia="Calibri" w:cs="Arial"/>
        </w:rPr>
        <w:fldChar w:fldCharType="begin"/>
      </w:r>
      <w:r w:rsidRPr="009548FC">
        <w:rPr>
          <w:rFonts w:eastAsia="Calibri" w:cs="Arial"/>
        </w:rPr>
        <w:instrText xml:space="preserve"> REF _Ref457400779 \h </w:instrText>
      </w:r>
      <w:r>
        <w:rPr>
          <w:rFonts w:eastAsia="Calibri" w:cs="Arial"/>
        </w:rPr>
        <w:instrText xml:space="preserve"> \* MERGEFORMAT </w:instrText>
      </w:r>
      <w:r w:rsidRPr="009A43FB">
        <w:rPr>
          <w:rFonts w:eastAsia="Calibri" w:cs="Arial"/>
        </w:rPr>
      </w:r>
      <w:r w:rsidRPr="009A43FB">
        <w:rPr>
          <w:rFonts w:eastAsia="Calibri" w:cs="Arial"/>
        </w:rPr>
        <w:fldChar w:fldCharType="separate"/>
      </w:r>
      <w:r w:rsidR="00F0636B" w:rsidRPr="009548FC">
        <w:t xml:space="preserve">Table </w:t>
      </w:r>
      <w:r w:rsidR="00F0636B">
        <w:rPr>
          <w:noProof/>
        </w:rPr>
        <w:t>4</w:t>
      </w:r>
      <w:r w:rsidRPr="009A43FB">
        <w:rPr>
          <w:rFonts w:eastAsia="Calibri" w:cs="Arial"/>
        </w:rPr>
        <w:fldChar w:fldCharType="end"/>
      </w:r>
      <w:r w:rsidRPr="009548FC">
        <w:rPr>
          <w:rFonts w:eastAsia="Calibri" w:cs="Arial"/>
        </w:rPr>
        <w:t xml:space="preserve"> </w:t>
      </w:r>
      <w:r w:rsidRPr="009A43FB">
        <w:rPr>
          <w:rFonts w:eastAsia="Calibri" w:cs="Arial"/>
        </w:rPr>
        <w:t xml:space="preserve">shows the location quotient of creative industries in a local authority as a function of the stock </w:t>
      </w:r>
      <w:r w:rsidRPr="00873DB7">
        <w:rPr>
          <w:rFonts w:eastAsia="Calibri" w:cs="Arial"/>
        </w:rPr>
        <w:t xml:space="preserve">of CS&amp;H assets, </w:t>
      </w:r>
      <w:r w:rsidRPr="002D2364">
        <w:rPr>
          <w:rFonts w:eastAsia="Calibri" w:cs="Arial"/>
        </w:rPr>
        <w:t>cumulative</w:t>
      </w:r>
      <w:r w:rsidRPr="00873DB7">
        <w:rPr>
          <w:rFonts w:eastAsia="Calibri" w:cs="Arial"/>
        </w:rPr>
        <w:t xml:space="preserve"> investment in CS&amp;H by source of investment and type of investment, and an additional set of push/pull factors</w:t>
      </w:r>
      <w:r w:rsidRPr="009548FC">
        <w:rPr>
          <w:rFonts w:eastAsia="Calibri" w:cs="Arial"/>
        </w:rPr>
        <w:t>.</w:t>
      </w:r>
      <w:r w:rsidRPr="009A43FB">
        <w:rPr>
          <w:rFonts w:eastAsia="Calibri" w:cs="Arial"/>
        </w:rPr>
        <w:t xml:space="preserve"> </w:t>
      </w:r>
    </w:p>
    <w:p w14:paraId="4515B37C" w14:textId="2B63E2F9" w:rsidR="00E760C2" w:rsidRPr="00873DB7" w:rsidRDefault="00E760C2" w:rsidP="00E760C2">
      <w:pPr>
        <w:rPr>
          <w:rFonts w:eastAsia="Calibri" w:cs="Arial"/>
        </w:rPr>
      </w:pPr>
      <w:r w:rsidRPr="009548FC">
        <w:rPr>
          <w:rFonts w:eastAsia="Calibri" w:cs="Arial"/>
        </w:rPr>
        <w:t xml:space="preserve">Both creative firms’ location quotient and turnover is positively and significantly associated with the density of heritage assets, and the number of cultural events listings per capita. </w:t>
      </w:r>
      <w:r w:rsidRPr="009A43FB">
        <w:rPr>
          <w:rFonts w:eastAsia="Calibri" w:cs="Arial"/>
        </w:rPr>
        <w:t xml:space="preserve">It should be noted that, particularly with cultural events listings and turnover, there is a risk of reverse causality: if creative firms hold cultural events, this would </w:t>
      </w:r>
      <w:r w:rsidR="003245E1">
        <w:rPr>
          <w:rFonts w:eastAsia="Calibri" w:cs="Arial"/>
        </w:rPr>
        <w:t xml:space="preserve">be </w:t>
      </w:r>
      <w:r w:rsidRPr="009A43FB">
        <w:rPr>
          <w:rFonts w:eastAsia="Calibri" w:cs="Arial"/>
        </w:rPr>
        <w:t>likel</w:t>
      </w:r>
      <w:r w:rsidRPr="00873DB7">
        <w:rPr>
          <w:rFonts w:eastAsia="Calibri" w:cs="Arial"/>
        </w:rPr>
        <w:t xml:space="preserve">y </w:t>
      </w:r>
      <w:r w:rsidR="003245E1">
        <w:rPr>
          <w:rFonts w:eastAsia="Calibri" w:cs="Arial"/>
        </w:rPr>
        <w:t xml:space="preserve">to </w:t>
      </w:r>
      <w:r w:rsidRPr="00873DB7">
        <w:rPr>
          <w:rFonts w:eastAsia="Calibri" w:cs="Arial"/>
        </w:rPr>
        <w:t xml:space="preserve">increase turnover. </w:t>
      </w:r>
    </w:p>
    <w:p w14:paraId="6C9384DF" w14:textId="35AB13FA" w:rsidR="00E760C2" w:rsidRPr="009548FC" w:rsidRDefault="00E760C2" w:rsidP="00E760C2">
      <w:pPr>
        <w:rPr>
          <w:rFonts w:eastAsia="Calibri" w:cs="Arial"/>
        </w:rPr>
      </w:pPr>
      <w:r w:rsidRPr="009548FC">
        <w:rPr>
          <w:rFonts w:eastAsia="Calibri" w:cs="Arial"/>
        </w:rPr>
        <w:t xml:space="preserve">Both relative concentration of creative firms and creative firms’ turnover are negatively associated with density of sports assets. </w:t>
      </w:r>
    </w:p>
    <w:p w14:paraId="725D3D45" w14:textId="351D5716" w:rsidR="00E760C2" w:rsidRPr="009548FC" w:rsidRDefault="00E760C2" w:rsidP="00E760C2">
      <w:pPr>
        <w:rPr>
          <w:rFonts w:eastAsia="Calibri" w:cs="Arial"/>
        </w:rPr>
      </w:pPr>
      <w:r w:rsidRPr="009548FC">
        <w:rPr>
          <w:rFonts w:eastAsia="Calibri" w:cs="Arial"/>
        </w:rPr>
        <w:t>Availability of skilled labour, network infrastructure and transport infrastructure are also significantly associated with relative concentration of creative firms. GVA is particularly strongly associated with turnover of creative firms, as is to be expected.</w:t>
      </w:r>
    </w:p>
    <w:p w14:paraId="7E046D62" w14:textId="43C80F9E" w:rsidR="00E760C2" w:rsidRDefault="00E760C2" w:rsidP="00E760C2">
      <w:pPr>
        <w:rPr>
          <w:rFonts w:eastAsia="Calibri" w:cs="Arial"/>
        </w:rPr>
      </w:pPr>
      <w:r w:rsidRPr="009548FC">
        <w:rPr>
          <w:rFonts w:eastAsia="Calibri" w:cs="Arial"/>
        </w:rPr>
        <w:t>Net migration of creative firms is not significantly associated with any CS&amp;H assets or investment; the only significant variables for this model are network infrastructure and population</w:t>
      </w:r>
      <w:r w:rsidR="000B6D23">
        <w:rPr>
          <w:rFonts w:eastAsia="Calibri" w:cs="Arial"/>
        </w:rPr>
        <w:t xml:space="preserve"> size</w:t>
      </w:r>
      <w:r w:rsidRPr="009548FC">
        <w:rPr>
          <w:rFonts w:eastAsia="Calibri" w:cs="Arial"/>
        </w:rPr>
        <w:t>.</w:t>
      </w:r>
    </w:p>
    <w:p w14:paraId="193DD78D" w14:textId="5C902858" w:rsidR="00A033C6" w:rsidRDefault="00A033C6">
      <w:pPr>
        <w:spacing w:before="0"/>
        <w:ind w:left="0"/>
        <w:rPr>
          <w:rFonts w:eastAsia="SimSun" w:cs="Arial"/>
          <w:b/>
          <w:bCs/>
          <w:i/>
          <w:szCs w:val="20"/>
          <w:lang w:eastAsia="zh-CN"/>
        </w:rPr>
      </w:pPr>
      <w:r>
        <w:rPr>
          <w:rFonts w:eastAsia="SimSun" w:cs="Arial"/>
          <w:b/>
          <w:bCs/>
          <w:i/>
          <w:szCs w:val="20"/>
          <w:lang w:eastAsia="zh-CN"/>
        </w:rPr>
        <w:br w:type="page"/>
      </w:r>
    </w:p>
    <w:p w14:paraId="21689448" w14:textId="77777777" w:rsidR="00E760C2" w:rsidRPr="009548FC" w:rsidRDefault="00E760C2" w:rsidP="00E760C2">
      <w:pPr>
        <w:spacing w:before="0"/>
        <w:ind w:left="0"/>
        <w:rPr>
          <w:rFonts w:eastAsia="SimSun" w:cs="Arial"/>
          <w:b/>
          <w:bCs/>
          <w:i/>
          <w:szCs w:val="20"/>
          <w:lang w:eastAsia="zh-CN"/>
        </w:rPr>
      </w:pPr>
    </w:p>
    <w:p w14:paraId="7482FB9C" w14:textId="18DE3ECF" w:rsidR="00E760C2" w:rsidRPr="009548FC" w:rsidRDefault="00E760C2" w:rsidP="00E760C2">
      <w:pPr>
        <w:pStyle w:val="Caption"/>
        <w:rPr>
          <w:rFonts w:eastAsia="Calibri"/>
        </w:rPr>
      </w:pPr>
      <w:bookmarkStart w:id="56" w:name="_Ref457400779"/>
      <w:bookmarkStart w:id="57" w:name="_Toc464220258"/>
      <w:r w:rsidRPr="009548FC">
        <w:t xml:space="preserve">Table </w:t>
      </w:r>
      <w:r w:rsidRPr="00982C4F">
        <w:fldChar w:fldCharType="begin"/>
      </w:r>
      <w:r w:rsidRPr="009548FC">
        <w:instrText xml:space="preserve"> SEQ Table \* ARABIC </w:instrText>
      </w:r>
      <w:r w:rsidRPr="00982C4F">
        <w:fldChar w:fldCharType="separate"/>
      </w:r>
      <w:r w:rsidR="00F0636B">
        <w:rPr>
          <w:noProof/>
        </w:rPr>
        <w:t>4</w:t>
      </w:r>
      <w:r w:rsidRPr="00982C4F">
        <w:rPr>
          <w:noProof/>
        </w:rPr>
        <w:fldChar w:fldCharType="end"/>
      </w:r>
      <w:bookmarkEnd w:id="56"/>
      <w:r w:rsidRPr="009548FC">
        <w:t>: R</w:t>
      </w:r>
      <w:r w:rsidRPr="009548FC">
        <w:rPr>
          <w:rFonts w:eastAsia="Calibri"/>
          <w:szCs w:val="22"/>
        </w:rPr>
        <w:t>elationships between creative firms and CS&amp;H assets and investment</w:t>
      </w:r>
      <w:bookmarkEnd w:id="57"/>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985"/>
        <w:gridCol w:w="1748"/>
        <w:gridCol w:w="1796"/>
      </w:tblGrid>
      <w:tr w:rsidR="00E760C2" w:rsidRPr="009548FC" w14:paraId="68F17234" w14:textId="77777777" w:rsidTr="00753A00">
        <w:tc>
          <w:tcPr>
            <w:tcW w:w="3969" w:type="dxa"/>
            <w:tcBorders>
              <w:top w:val="single" w:sz="4" w:space="0" w:color="auto"/>
              <w:bottom w:val="single" w:sz="4" w:space="0" w:color="auto"/>
            </w:tcBorders>
          </w:tcPr>
          <w:p w14:paraId="5FFB8322"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Variable</w:t>
            </w:r>
          </w:p>
        </w:tc>
        <w:tc>
          <w:tcPr>
            <w:tcW w:w="5529" w:type="dxa"/>
            <w:gridSpan w:val="3"/>
            <w:tcBorders>
              <w:top w:val="single" w:sz="4" w:space="0" w:color="auto"/>
              <w:bottom w:val="single" w:sz="4" w:space="0" w:color="auto"/>
            </w:tcBorders>
          </w:tcPr>
          <w:p w14:paraId="4EE2AC1B" w14:textId="77777777" w:rsidR="00E760C2" w:rsidRPr="00E760C2" w:rsidRDefault="00E760C2" w:rsidP="00753A00">
            <w:pPr>
              <w:widowControl w:val="0"/>
              <w:autoSpaceDE w:val="0"/>
              <w:autoSpaceDN w:val="0"/>
              <w:adjustRightInd w:val="0"/>
              <w:spacing w:before="0" w:after="120" w:line="276" w:lineRule="auto"/>
              <w:ind w:left="40"/>
              <w:contextualSpacing/>
              <w:jc w:val="center"/>
              <w:rPr>
                <w:rFonts w:eastAsia="Calibri" w:cs="Arial"/>
                <w:sz w:val="18"/>
                <w:szCs w:val="18"/>
              </w:rPr>
            </w:pPr>
            <w:r w:rsidRPr="00E760C2">
              <w:rPr>
                <w:rFonts w:eastAsia="Calibri" w:cs="Arial"/>
                <w:sz w:val="18"/>
                <w:szCs w:val="18"/>
              </w:rPr>
              <w:t>Coefficients</w:t>
            </w:r>
          </w:p>
        </w:tc>
      </w:tr>
      <w:tr w:rsidR="00E760C2" w:rsidRPr="009548FC" w14:paraId="4DA50602" w14:textId="77777777" w:rsidTr="00753A00">
        <w:tc>
          <w:tcPr>
            <w:tcW w:w="3969" w:type="dxa"/>
            <w:tcBorders>
              <w:top w:val="single" w:sz="4" w:space="0" w:color="auto"/>
              <w:bottom w:val="single" w:sz="4" w:space="0" w:color="auto"/>
            </w:tcBorders>
          </w:tcPr>
          <w:p w14:paraId="11B73266"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p>
        </w:tc>
        <w:tc>
          <w:tcPr>
            <w:tcW w:w="1985" w:type="dxa"/>
            <w:tcBorders>
              <w:top w:val="single" w:sz="4" w:space="0" w:color="auto"/>
              <w:bottom w:val="single" w:sz="4" w:space="0" w:color="auto"/>
            </w:tcBorders>
          </w:tcPr>
          <w:p w14:paraId="3C15300C" w14:textId="77777777" w:rsidR="00E760C2" w:rsidRPr="00E760C2" w:rsidRDefault="00E760C2" w:rsidP="00753A00">
            <w:pPr>
              <w:widowControl w:val="0"/>
              <w:autoSpaceDE w:val="0"/>
              <w:autoSpaceDN w:val="0"/>
              <w:adjustRightInd w:val="0"/>
              <w:spacing w:before="0" w:after="120" w:line="276" w:lineRule="auto"/>
              <w:ind w:left="40"/>
              <w:contextualSpacing/>
              <w:jc w:val="center"/>
              <w:rPr>
                <w:rFonts w:eastAsia="Calibri" w:cs="Arial"/>
                <w:sz w:val="18"/>
                <w:szCs w:val="18"/>
              </w:rPr>
            </w:pPr>
            <w:r w:rsidRPr="00E760C2">
              <w:rPr>
                <w:rFonts w:eastAsia="Calibri" w:cs="Arial"/>
                <w:sz w:val="18"/>
                <w:szCs w:val="18"/>
              </w:rPr>
              <w:t>Creative firms location quotient model (2.1)</w:t>
            </w:r>
          </w:p>
        </w:tc>
        <w:tc>
          <w:tcPr>
            <w:tcW w:w="1748" w:type="dxa"/>
            <w:tcBorders>
              <w:top w:val="single" w:sz="4" w:space="0" w:color="auto"/>
              <w:bottom w:val="single" w:sz="4" w:space="0" w:color="auto"/>
            </w:tcBorders>
          </w:tcPr>
          <w:p w14:paraId="13E110A8" w14:textId="77777777" w:rsidR="00E760C2" w:rsidRPr="00E760C2" w:rsidRDefault="00E760C2" w:rsidP="00753A00">
            <w:pPr>
              <w:widowControl w:val="0"/>
              <w:autoSpaceDE w:val="0"/>
              <w:autoSpaceDN w:val="0"/>
              <w:adjustRightInd w:val="0"/>
              <w:spacing w:before="0" w:after="120" w:line="276" w:lineRule="auto"/>
              <w:ind w:left="40"/>
              <w:contextualSpacing/>
              <w:jc w:val="center"/>
              <w:rPr>
                <w:rFonts w:eastAsia="Calibri" w:cs="Arial"/>
                <w:sz w:val="18"/>
                <w:szCs w:val="18"/>
              </w:rPr>
            </w:pPr>
            <w:r w:rsidRPr="00E760C2">
              <w:rPr>
                <w:rFonts w:eastAsia="Calibri" w:cs="Arial"/>
                <w:sz w:val="18"/>
                <w:szCs w:val="18"/>
              </w:rPr>
              <w:t>Creative firms turnover per capita model (2.3)</w:t>
            </w:r>
          </w:p>
        </w:tc>
        <w:tc>
          <w:tcPr>
            <w:tcW w:w="1796" w:type="dxa"/>
            <w:tcBorders>
              <w:top w:val="single" w:sz="4" w:space="0" w:color="auto"/>
              <w:bottom w:val="single" w:sz="4" w:space="0" w:color="auto"/>
            </w:tcBorders>
          </w:tcPr>
          <w:p w14:paraId="3C48BDC5" w14:textId="77777777" w:rsidR="00E760C2" w:rsidRPr="00E760C2" w:rsidRDefault="00E760C2" w:rsidP="00753A00">
            <w:pPr>
              <w:widowControl w:val="0"/>
              <w:autoSpaceDE w:val="0"/>
              <w:autoSpaceDN w:val="0"/>
              <w:adjustRightInd w:val="0"/>
              <w:spacing w:before="0" w:after="120" w:line="276" w:lineRule="auto"/>
              <w:ind w:left="40"/>
              <w:contextualSpacing/>
              <w:jc w:val="center"/>
              <w:rPr>
                <w:rFonts w:eastAsia="Calibri" w:cs="Arial"/>
                <w:sz w:val="18"/>
                <w:szCs w:val="18"/>
              </w:rPr>
            </w:pPr>
            <w:r w:rsidRPr="00E760C2">
              <w:rPr>
                <w:rFonts w:eastAsia="Calibri" w:cs="Arial"/>
                <w:sz w:val="18"/>
                <w:szCs w:val="18"/>
              </w:rPr>
              <w:t>Creative firms net migration model (2.2)</w:t>
            </w:r>
          </w:p>
        </w:tc>
      </w:tr>
      <w:tr w:rsidR="00E760C2" w:rsidRPr="009548FC" w14:paraId="0338C049" w14:textId="77777777" w:rsidTr="00753A00">
        <w:tc>
          <w:tcPr>
            <w:tcW w:w="3969" w:type="dxa"/>
            <w:tcBorders>
              <w:top w:val="single" w:sz="4" w:space="0" w:color="auto"/>
            </w:tcBorders>
          </w:tcPr>
          <w:p w14:paraId="4EE45397"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b/>
                <w:sz w:val="18"/>
                <w:szCs w:val="18"/>
                <w:u w:val="single"/>
              </w:rPr>
            </w:pPr>
            <w:r w:rsidRPr="00E760C2">
              <w:rPr>
                <w:rFonts w:eastAsia="Calibri" w:cs="Arial"/>
                <w:b/>
                <w:sz w:val="18"/>
                <w:szCs w:val="18"/>
                <w:u w:val="single"/>
              </w:rPr>
              <w:t>Assets</w:t>
            </w:r>
          </w:p>
        </w:tc>
        <w:tc>
          <w:tcPr>
            <w:tcW w:w="1985" w:type="dxa"/>
            <w:tcBorders>
              <w:top w:val="single" w:sz="4" w:space="0" w:color="auto"/>
            </w:tcBorders>
          </w:tcPr>
          <w:p w14:paraId="2867B208"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p>
        </w:tc>
        <w:tc>
          <w:tcPr>
            <w:tcW w:w="1748" w:type="dxa"/>
            <w:tcBorders>
              <w:top w:val="single" w:sz="4" w:space="0" w:color="auto"/>
            </w:tcBorders>
          </w:tcPr>
          <w:p w14:paraId="2D259F25"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p>
        </w:tc>
        <w:tc>
          <w:tcPr>
            <w:tcW w:w="1796" w:type="dxa"/>
            <w:tcBorders>
              <w:top w:val="single" w:sz="4" w:space="0" w:color="auto"/>
            </w:tcBorders>
          </w:tcPr>
          <w:p w14:paraId="175717CD"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p>
        </w:tc>
      </w:tr>
      <w:tr w:rsidR="00E760C2" w:rsidRPr="009548FC" w14:paraId="0A1451CF" w14:textId="77777777" w:rsidTr="00753A00">
        <w:tc>
          <w:tcPr>
            <w:tcW w:w="3969" w:type="dxa"/>
          </w:tcPr>
          <w:p w14:paraId="33355576"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Heritage assets density</w:t>
            </w:r>
          </w:p>
        </w:tc>
        <w:tc>
          <w:tcPr>
            <w:tcW w:w="1985" w:type="dxa"/>
          </w:tcPr>
          <w:p w14:paraId="201C586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0.040***</w:t>
            </w:r>
          </w:p>
        </w:tc>
        <w:tc>
          <w:tcPr>
            <w:tcW w:w="1748" w:type="dxa"/>
          </w:tcPr>
          <w:p w14:paraId="7A782B4D"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0.067**</w:t>
            </w:r>
          </w:p>
        </w:tc>
        <w:tc>
          <w:tcPr>
            <w:tcW w:w="1796" w:type="dxa"/>
          </w:tcPr>
          <w:p w14:paraId="6F22188A"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-0.119</w:t>
            </w:r>
          </w:p>
        </w:tc>
      </w:tr>
      <w:tr w:rsidR="00E760C2" w:rsidRPr="009548FC" w14:paraId="1B0715A1" w14:textId="77777777" w:rsidTr="00753A00">
        <w:tc>
          <w:tcPr>
            <w:tcW w:w="3969" w:type="dxa"/>
          </w:tcPr>
          <w:p w14:paraId="4893266D"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Sports assets density</w:t>
            </w:r>
          </w:p>
        </w:tc>
        <w:tc>
          <w:tcPr>
            <w:tcW w:w="1985" w:type="dxa"/>
          </w:tcPr>
          <w:p w14:paraId="5035EE3A"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-0.200***</w:t>
            </w:r>
          </w:p>
        </w:tc>
        <w:tc>
          <w:tcPr>
            <w:tcW w:w="1748" w:type="dxa"/>
          </w:tcPr>
          <w:p w14:paraId="4000FD9D"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-0.568***</w:t>
            </w:r>
          </w:p>
        </w:tc>
        <w:tc>
          <w:tcPr>
            <w:tcW w:w="1796" w:type="dxa"/>
          </w:tcPr>
          <w:p w14:paraId="010E4203"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0.082</w:t>
            </w:r>
          </w:p>
        </w:tc>
      </w:tr>
      <w:tr w:rsidR="00E760C2" w:rsidRPr="009548FC" w14:paraId="27C724DD" w14:textId="77777777" w:rsidTr="00753A00">
        <w:tc>
          <w:tcPr>
            <w:tcW w:w="3969" w:type="dxa"/>
          </w:tcPr>
          <w:p w14:paraId="79D57F3A"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Cultural events per capita</w:t>
            </w:r>
          </w:p>
        </w:tc>
        <w:tc>
          <w:tcPr>
            <w:tcW w:w="1985" w:type="dxa"/>
          </w:tcPr>
          <w:p w14:paraId="0E7ED331"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0.098***</w:t>
            </w:r>
          </w:p>
        </w:tc>
        <w:tc>
          <w:tcPr>
            <w:tcW w:w="1748" w:type="dxa"/>
          </w:tcPr>
          <w:p w14:paraId="3278A51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0.354***</w:t>
            </w:r>
          </w:p>
        </w:tc>
        <w:tc>
          <w:tcPr>
            <w:tcW w:w="1796" w:type="dxa"/>
          </w:tcPr>
          <w:p w14:paraId="5962363A"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0.159</w:t>
            </w:r>
          </w:p>
        </w:tc>
      </w:tr>
      <w:tr w:rsidR="00E760C2" w:rsidRPr="009548FC" w14:paraId="2493D3C4" w14:textId="77777777" w:rsidTr="00753A00">
        <w:tc>
          <w:tcPr>
            <w:tcW w:w="3969" w:type="dxa"/>
          </w:tcPr>
          <w:p w14:paraId="1DDE0B4D"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Libraries density</w:t>
            </w:r>
          </w:p>
        </w:tc>
        <w:tc>
          <w:tcPr>
            <w:tcW w:w="1985" w:type="dxa"/>
          </w:tcPr>
          <w:p w14:paraId="6A645AB8"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-0.011</w:t>
            </w:r>
          </w:p>
        </w:tc>
        <w:tc>
          <w:tcPr>
            <w:tcW w:w="1748" w:type="dxa"/>
          </w:tcPr>
          <w:p w14:paraId="26F92534"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-0.047</w:t>
            </w:r>
          </w:p>
        </w:tc>
        <w:tc>
          <w:tcPr>
            <w:tcW w:w="1796" w:type="dxa"/>
          </w:tcPr>
          <w:p w14:paraId="3F1505FF"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-0.270</w:t>
            </w:r>
          </w:p>
        </w:tc>
      </w:tr>
      <w:tr w:rsidR="00E760C2" w:rsidRPr="009548FC" w14:paraId="4DAB8E13" w14:textId="77777777" w:rsidTr="00753A00">
        <w:tc>
          <w:tcPr>
            <w:tcW w:w="3969" w:type="dxa"/>
          </w:tcPr>
          <w:p w14:paraId="562FCEA8"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b/>
                <w:sz w:val="18"/>
                <w:szCs w:val="18"/>
                <w:u w:val="single"/>
              </w:rPr>
            </w:pPr>
            <w:r w:rsidRPr="00E760C2">
              <w:rPr>
                <w:rFonts w:eastAsia="Calibri" w:cs="Arial"/>
                <w:b/>
                <w:sz w:val="18"/>
                <w:szCs w:val="18"/>
                <w:u w:val="single"/>
              </w:rPr>
              <w:t>Investment</w:t>
            </w:r>
          </w:p>
        </w:tc>
        <w:tc>
          <w:tcPr>
            <w:tcW w:w="1985" w:type="dxa"/>
          </w:tcPr>
          <w:p w14:paraId="0317F5AD"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c>
          <w:tcPr>
            <w:tcW w:w="1748" w:type="dxa"/>
          </w:tcPr>
          <w:p w14:paraId="49389DE0"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c>
          <w:tcPr>
            <w:tcW w:w="1796" w:type="dxa"/>
          </w:tcPr>
          <w:p w14:paraId="1C0D84C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r>
      <w:tr w:rsidR="00E760C2" w:rsidRPr="009548FC" w14:paraId="1FAF3008" w14:textId="77777777" w:rsidTr="00753A00">
        <w:tc>
          <w:tcPr>
            <w:tcW w:w="3969" w:type="dxa"/>
          </w:tcPr>
          <w:p w14:paraId="49764931"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Local authority investment in CS&amp;H</w:t>
            </w:r>
          </w:p>
        </w:tc>
        <w:tc>
          <w:tcPr>
            <w:tcW w:w="1985" w:type="dxa"/>
          </w:tcPr>
          <w:p w14:paraId="59E2B1EB"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-0.000</w:t>
            </w:r>
          </w:p>
        </w:tc>
        <w:tc>
          <w:tcPr>
            <w:tcW w:w="1748" w:type="dxa"/>
          </w:tcPr>
          <w:p w14:paraId="68D06B65"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-0.061</w:t>
            </w:r>
          </w:p>
        </w:tc>
        <w:tc>
          <w:tcPr>
            <w:tcW w:w="1796" w:type="dxa"/>
          </w:tcPr>
          <w:p w14:paraId="1EB4F888"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0.006</w:t>
            </w:r>
          </w:p>
        </w:tc>
      </w:tr>
      <w:tr w:rsidR="00E760C2" w:rsidRPr="009548FC" w14:paraId="1BE17461" w14:textId="77777777" w:rsidTr="00753A00">
        <w:tc>
          <w:tcPr>
            <w:tcW w:w="3969" w:type="dxa"/>
          </w:tcPr>
          <w:p w14:paraId="1ED26658"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Lottery investment in CS&amp;H</w:t>
            </w:r>
          </w:p>
        </w:tc>
        <w:tc>
          <w:tcPr>
            <w:tcW w:w="1985" w:type="dxa"/>
          </w:tcPr>
          <w:p w14:paraId="08AD03BB"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-0.015</w:t>
            </w:r>
          </w:p>
        </w:tc>
        <w:tc>
          <w:tcPr>
            <w:tcW w:w="1748" w:type="dxa"/>
          </w:tcPr>
          <w:p w14:paraId="7074D48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-0.093**</w:t>
            </w:r>
          </w:p>
        </w:tc>
        <w:tc>
          <w:tcPr>
            <w:tcW w:w="1796" w:type="dxa"/>
          </w:tcPr>
          <w:p w14:paraId="4D0A36B4"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0.025</w:t>
            </w:r>
          </w:p>
        </w:tc>
      </w:tr>
      <w:tr w:rsidR="00E760C2" w:rsidRPr="009548FC" w14:paraId="0E1A16B3" w14:textId="77777777" w:rsidTr="00753A00">
        <w:tc>
          <w:tcPr>
            <w:tcW w:w="3969" w:type="dxa"/>
          </w:tcPr>
          <w:p w14:paraId="333A70AD"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b/>
                <w:sz w:val="18"/>
                <w:szCs w:val="18"/>
                <w:u w:val="single"/>
              </w:rPr>
            </w:pPr>
            <w:r w:rsidRPr="00E760C2">
              <w:rPr>
                <w:rFonts w:eastAsia="Calibri" w:cs="Arial"/>
                <w:b/>
                <w:sz w:val="18"/>
                <w:szCs w:val="18"/>
                <w:u w:val="single"/>
              </w:rPr>
              <w:t>Additional push/pull factors</w:t>
            </w:r>
          </w:p>
        </w:tc>
        <w:tc>
          <w:tcPr>
            <w:tcW w:w="1985" w:type="dxa"/>
          </w:tcPr>
          <w:p w14:paraId="6401629B"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c>
          <w:tcPr>
            <w:tcW w:w="1748" w:type="dxa"/>
          </w:tcPr>
          <w:p w14:paraId="2430B245"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c>
          <w:tcPr>
            <w:tcW w:w="1796" w:type="dxa"/>
          </w:tcPr>
          <w:p w14:paraId="7B33D25C"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r>
      <w:tr w:rsidR="00E760C2" w:rsidRPr="009548FC" w14:paraId="210A574C" w14:textId="77777777" w:rsidTr="00753A00">
        <w:tc>
          <w:tcPr>
            <w:tcW w:w="3969" w:type="dxa"/>
          </w:tcPr>
          <w:p w14:paraId="19E58D7F"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Employment rate</w:t>
            </w:r>
          </w:p>
        </w:tc>
        <w:tc>
          <w:tcPr>
            <w:tcW w:w="1985" w:type="dxa"/>
          </w:tcPr>
          <w:p w14:paraId="16720B05"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0.028*</w:t>
            </w:r>
          </w:p>
        </w:tc>
        <w:tc>
          <w:tcPr>
            <w:tcW w:w="1748" w:type="dxa"/>
          </w:tcPr>
          <w:p w14:paraId="301D760A"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0.065</w:t>
            </w:r>
          </w:p>
        </w:tc>
        <w:tc>
          <w:tcPr>
            <w:tcW w:w="1796" w:type="dxa"/>
          </w:tcPr>
          <w:p w14:paraId="75463273"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-0.201</w:t>
            </w:r>
          </w:p>
        </w:tc>
      </w:tr>
      <w:tr w:rsidR="00E760C2" w:rsidRPr="009548FC" w14:paraId="3AD05015" w14:textId="77777777" w:rsidTr="00753A00">
        <w:tc>
          <w:tcPr>
            <w:tcW w:w="3969" w:type="dxa"/>
          </w:tcPr>
          <w:p w14:paraId="24C3B948"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Skilled labour proportion</w:t>
            </w:r>
          </w:p>
        </w:tc>
        <w:tc>
          <w:tcPr>
            <w:tcW w:w="1985" w:type="dxa"/>
          </w:tcPr>
          <w:p w14:paraId="03A7BB41"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0.085**</w:t>
            </w:r>
          </w:p>
        </w:tc>
        <w:tc>
          <w:tcPr>
            <w:tcW w:w="1748" w:type="dxa"/>
          </w:tcPr>
          <w:p w14:paraId="54C753A6"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0.463</w:t>
            </w:r>
          </w:p>
        </w:tc>
        <w:tc>
          <w:tcPr>
            <w:tcW w:w="1796" w:type="dxa"/>
          </w:tcPr>
          <w:p w14:paraId="7DE0F97E"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0.331</w:t>
            </w:r>
          </w:p>
        </w:tc>
      </w:tr>
      <w:tr w:rsidR="00E760C2" w:rsidRPr="009548FC" w14:paraId="69EBBE4B" w14:textId="77777777" w:rsidTr="00753A00">
        <w:tc>
          <w:tcPr>
            <w:tcW w:w="3969" w:type="dxa"/>
          </w:tcPr>
          <w:p w14:paraId="649D1277"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Housing density</w:t>
            </w:r>
          </w:p>
        </w:tc>
        <w:tc>
          <w:tcPr>
            <w:tcW w:w="1985" w:type="dxa"/>
          </w:tcPr>
          <w:p w14:paraId="78DA3B1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-0.241</w:t>
            </w:r>
          </w:p>
        </w:tc>
        <w:tc>
          <w:tcPr>
            <w:tcW w:w="1748" w:type="dxa"/>
          </w:tcPr>
          <w:p w14:paraId="6719D5B8"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-1.131</w:t>
            </w:r>
          </w:p>
        </w:tc>
        <w:tc>
          <w:tcPr>
            <w:tcW w:w="1796" w:type="dxa"/>
          </w:tcPr>
          <w:p w14:paraId="6528D121"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-3.94</w:t>
            </w:r>
          </w:p>
        </w:tc>
      </w:tr>
      <w:tr w:rsidR="00E760C2" w:rsidRPr="009548FC" w14:paraId="2192D571" w14:textId="77777777" w:rsidTr="00753A00">
        <w:tc>
          <w:tcPr>
            <w:tcW w:w="3969" w:type="dxa"/>
          </w:tcPr>
          <w:p w14:paraId="13F04540"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 xml:space="preserve">Network infrastructure </w:t>
            </w:r>
          </w:p>
        </w:tc>
        <w:tc>
          <w:tcPr>
            <w:tcW w:w="1985" w:type="dxa"/>
          </w:tcPr>
          <w:p w14:paraId="039D6159"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0.132**</w:t>
            </w:r>
          </w:p>
        </w:tc>
        <w:tc>
          <w:tcPr>
            <w:tcW w:w="1748" w:type="dxa"/>
          </w:tcPr>
          <w:p w14:paraId="47AC568B"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0.369</w:t>
            </w:r>
          </w:p>
        </w:tc>
        <w:tc>
          <w:tcPr>
            <w:tcW w:w="1796" w:type="dxa"/>
          </w:tcPr>
          <w:p w14:paraId="3980E9B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-1.060**</w:t>
            </w:r>
          </w:p>
        </w:tc>
      </w:tr>
      <w:tr w:rsidR="00E760C2" w:rsidRPr="009548FC" w14:paraId="0647B73E" w14:textId="77777777" w:rsidTr="00753A00">
        <w:tc>
          <w:tcPr>
            <w:tcW w:w="3969" w:type="dxa"/>
          </w:tcPr>
          <w:p w14:paraId="1913203A"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Transport infrastructure</w:t>
            </w:r>
          </w:p>
        </w:tc>
        <w:tc>
          <w:tcPr>
            <w:tcW w:w="1985" w:type="dxa"/>
          </w:tcPr>
          <w:p w14:paraId="0DC81230"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0.041***</w:t>
            </w:r>
          </w:p>
        </w:tc>
        <w:tc>
          <w:tcPr>
            <w:tcW w:w="1748" w:type="dxa"/>
          </w:tcPr>
          <w:p w14:paraId="4F6E68FE"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0.055</w:t>
            </w:r>
          </w:p>
        </w:tc>
        <w:tc>
          <w:tcPr>
            <w:tcW w:w="1796" w:type="dxa"/>
          </w:tcPr>
          <w:p w14:paraId="59BEC2E5"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0.069</w:t>
            </w:r>
          </w:p>
        </w:tc>
      </w:tr>
      <w:tr w:rsidR="00E760C2" w:rsidRPr="009548FC" w14:paraId="37631FD4" w14:textId="77777777" w:rsidTr="00753A00">
        <w:tc>
          <w:tcPr>
            <w:tcW w:w="3969" w:type="dxa"/>
          </w:tcPr>
          <w:p w14:paraId="084D7628"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Life satisfaction</w:t>
            </w:r>
          </w:p>
        </w:tc>
        <w:tc>
          <w:tcPr>
            <w:tcW w:w="1985" w:type="dxa"/>
          </w:tcPr>
          <w:p w14:paraId="1EBA8B9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-0.211</w:t>
            </w:r>
          </w:p>
        </w:tc>
        <w:tc>
          <w:tcPr>
            <w:tcW w:w="1748" w:type="dxa"/>
          </w:tcPr>
          <w:p w14:paraId="7589D60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-0.017</w:t>
            </w:r>
          </w:p>
        </w:tc>
        <w:tc>
          <w:tcPr>
            <w:tcW w:w="1796" w:type="dxa"/>
          </w:tcPr>
          <w:p w14:paraId="43E4B0E5"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4.341</w:t>
            </w:r>
          </w:p>
        </w:tc>
      </w:tr>
      <w:tr w:rsidR="00E760C2" w:rsidRPr="009548FC" w14:paraId="5B3CFF50" w14:textId="77777777" w:rsidTr="00753A00">
        <w:tc>
          <w:tcPr>
            <w:tcW w:w="3969" w:type="dxa"/>
          </w:tcPr>
          <w:p w14:paraId="70C8CB4C"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Size of the market (population)</w:t>
            </w:r>
          </w:p>
        </w:tc>
        <w:tc>
          <w:tcPr>
            <w:tcW w:w="1985" w:type="dxa"/>
          </w:tcPr>
          <w:p w14:paraId="622C2728"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-0.046</w:t>
            </w:r>
          </w:p>
        </w:tc>
        <w:tc>
          <w:tcPr>
            <w:tcW w:w="1748" w:type="dxa"/>
          </w:tcPr>
          <w:p w14:paraId="52E70FCF" w14:textId="77777777" w:rsidR="00E760C2" w:rsidRPr="00E760C2" w:rsidRDefault="00E760C2" w:rsidP="00753A00">
            <w:pPr>
              <w:widowControl w:val="0"/>
              <w:autoSpaceDE w:val="0"/>
              <w:autoSpaceDN w:val="0"/>
              <w:adjustRightInd w:val="0"/>
              <w:spacing w:before="0" w:after="120" w:line="276" w:lineRule="auto"/>
              <w:ind w:left="0"/>
              <w:contextualSpacing/>
              <w:jc w:val="center"/>
              <w:rPr>
                <w:rFonts w:eastAsia="Calibri" w:cs="Arial"/>
                <w:sz w:val="18"/>
                <w:szCs w:val="18"/>
              </w:rPr>
            </w:pPr>
            <w:r w:rsidRPr="00E760C2">
              <w:rPr>
                <w:rFonts w:eastAsia="Calibri" w:cs="Arial"/>
                <w:sz w:val="18"/>
                <w:szCs w:val="18"/>
              </w:rPr>
              <w:t>1.188</w:t>
            </w:r>
          </w:p>
        </w:tc>
        <w:tc>
          <w:tcPr>
            <w:tcW w:w="1796" w:type="dxa"/>
          </w:tcPr>
          <w:p w14:paraId="05564FB8"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4.438*</w:t>
            </w:r>
          </w:p>
        </w:tc>
      </w:tr>
      <w:tr w:rsidR="00E760C2" w:rsidRPr="009548FC" w14:paraId="0397E670" w14:textId="77777777" w:rsidTr="00753A00">
        <w:tc>
          <w:tcPr>
            <w:tcW w:w="3969" w:type="dxa"/>
            <w:tcBorders>
              <w:bottom w:val="single" w:sz="4" w:space="0" w:color="auto"/>
            </w:tcBorders>
          </w:tcPr>
          <w:p w14:paraId="4E1B861D"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GVA per capita</w:t>
            </w:r>
          </w:p>
        </w:tc>
        <w:tc>
          <w:tcPr>
            <w:tcW w:w="1985" w:type="dxa"/>
            <w:tcBorders>
              <w:bottom w:val="single" w:sz="4" w:space="0" w:color="auto"/>
            </w:tcBorders>
          </w:tcPr>
          <w:p w14:paraId="10F4EF83"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-0.021</w:t>
            </w:r>
          </w:p>
        </w:tc>
        <w:tc>
          <w:tcPr>
            <w:tcW w:w="1748" w:type="dxa"/>
            <w:tcBorders>
              <w:bottom w:val="single" w:sz="4" w:space="0" w:color="auto"/>
            </w:tcBorders>
          </w:tcPr>
          <w:p w14:paraId="1F953A6D"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0.589***</w:t>
            </w:r>
          </w:p>
        </w:tc>
        <w:tc>
          <w:tcPr>
            <w:tcW w:w="1796" w:type="dxa"/>
            <w:tcBorders>
              <w:bottom w:val="single" w:sz="4" w:space="0" w:color="auto"/>
            </w:tcBorders>
          </w:tcPr>
          <w:p w14:paraId="3AEF262A"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0.003</w:t>
            </w:r>
          </w:p>
        </w:tc>
      </w:tr>
      <w:tr w:rsidR="00E760C2" w:rsidRPr="009548FC" w14:paraId="100A341D" w14:textId="77777777" w:rsidTr="00753A00">
        <w:tc>
          <w:tcPr>
            <w:tcW w:w="3969" w:type="dxa"/>
            <w:tcBorders>
              <w:top w:val="single" w:sz="4" w:space="0" w:color="auto"/>
              <w:bottom w:val="single" w:sz="4" w:space="0" w:color="auto"/>
            </w:tcBorders>
          </w:tcPr>
          <w:p w14:paraId="75700D9B"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Adjusted R</w:t>
            </w:r>
            <w:r w:rsidRPr="00E760C2">
              <w:rPr>
                <w:rFonts w:cs="Arial"/>
                <w:bCs/>
                <w:sz w:val="18"/>
                <w:szCs w:val="18"/>
                <w:vertAlign w:val="superscript"/>
              </w:rPr>
              <w:t>2</w:t>
            </w:r>
          </w:p>
        </w:tc>
        <w:tc>
          <w:tcPr>
            <w:tcW w:w="1985" w:type="dxa"/>
            <w:tcBorders>
              <w:top w:val="single" w:sz="4" w:space="0" w:color="auto"/>
              <w:bottom w:val="single" w:sz="4" w:space="0" w:color="auto"/>
            </w:tcBorders>
          </w:tcPr>
          <w:p w14:paraId="66C6F8FB"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0.2936</w:t>
            </w:r>
          </w:p>
        </w:tc>
        <w:tc>
          <w:tcPr>
            <w:tcW w:w="1748" w:type="dxa"/>
            <w:tcBorders>
              <w:top w:val="single" w:sz="4" w:space="0" w:color="auto"/>
              <w:bottom w:val="single" w:sz="4" w:space="0" w:color="auto"/>
            </w:tcBorders>
          </w:tcPr>
          <w:p w14:paraId="7A4A90D1"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0.6758</w:t>
            </w:r>
          </w:p>
        </w:tc>
        <w:tc>
          <w:tcPr>
            <w:tcW w:w="1796" w:type="dxa"/>
            <w:tcBorders>
              <w:top w:val="single" w:sz="4" w:space="0" w:color="auto"/>
              <w:bottom w:val="single" w:sz="4" w:space="0" w:color="auto"/>
            </w:tcBorders>
          </w:tcPr>
          <w:p w14:paraId="19A2A7C0"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0.1383</w:t>
            </w:r>
          </w:p>
        </w:tc>
      </w:tr>
    </w:tbl>
    <w:p w14:paraId="727DFB53"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61ADABCB" w14:textId="77777777" w:rsidR="00E760C2" w:rsidRPr="009548FC" w:rsidRDefault="00E760C2" w:rsidP="00E760C2">
      <w:pPr>
        <w:pStyle w:val="Heading3Numbered"/>
        <w:rPr>
          <w:rFonts w:eastAsia="Calibri"/>
        </w:rPr>
      </w:pPr>
      <w:bookmarkStart w:id="58" w:name="_Toc464222913"/>
      <w:r w:rsidRPr="009548FC">
        <w:rPr>
          <w:rFonts w:eastAsia="Calibri"/>
        </w:rPr>
        <w:t>Panel data models – creative firms</w:t>
      </w:r>
      <w:bookmarkEnd w:id="58"/>
    </w:p>
    <w:p w14:paraId="3ED84AFF" w14:textId="0BF8C10E" w:rsidR="00E760C2" w:rsidRPr="009548FC" w:rsidRDefault="00E760C2" w:rsidP="00E760C2">
      <w:pPr>
        <w:rPr>
          <w:rFonts w:eastAsia="Calibri" w:cs="Arial"/>
          <w:szCs w:val="22"/>
        </w:rPr>
      </w:pPr>
      <w:r w:rsidRPr="009548FC">
        <w:rPr>
          <w:rFonts w:eastAsia="Calibri" w:cs="Arial"/>
          <w:szCs w:val="22"/>
        </w:rPr>
        <w:t xml:space="preserve">The </w:t>
      </w:r>
      <w:r w:rsidR="00320F1B">
        <w:rPr>
          <w:rFonts w:eastAsia="Calibri" w:cs="Arial"/>
          <w:szCs w:val="22"/>
        </w:rPr>
        <w:t>relationships</w:t>
      </w:r>
      <w:r w:rsidR="00320F1B" w:rsidRPr="009548FC">
        <w:rPr>
          <w:rFonts w:eastAsia="Calibri" w:cs="Arial"/>
          <w:szCs w:val="22"/>
        </w:rPr>
        <w:t xml:space="preserve"> </w:t>
      </w:r>
      <w:r w:rsidRPr="009548FC">
        <w:rPr>
          <w:rFonts w:eastAsia="Calibri" w:cs="Arial"/>
          <w:szCs w:val="22"/>
        </w:rPr>
        <w:t xml:space="preserve">between CS&amp;H investment and the location quotient </w:t>
      </w:r>
      <w:r w:rsidR="002D2364">
        <w:rPr>
          <w:rFonts w:eastAsia="Calibri" w:cs="Arial"/>
          <w:szCs w:val="22"/>
        </w:rPr>
        <w:t xml:space="preserve">of </w:t>
      </w:r>
      <w:r w:rsidRPr="009548FC">
        <w:rPr>
          <w:rFonts w:eastAsia="Calibri" w:cs="Arial"/>
          <w:szCs w:val="22"/>
        </w:rPr>
        <w:t xml:space="preserve">creative firms </w:t>
      </w:r>
      <w:proofErr w:type="gramStart"/>
      <w:r w:rsidRPr="009548FC">
        <w:rPr>
          <w:rFonts w:eastAsia="Calibri" w:cs="Arial"/>
          <w:szCs w:val="22"/>
        </w:rPr>
        <w:t>is</w:t>
      </w:r>
      <w:proofErr w:type="gramEnd"/>
      <w:r w:rsidRPr="009548FC">
        <w:rPr>
          <w:rFonts w:eastAsia="Calibri" w:cs="Arial"/>
          <w:szCs w:val="22"/>
        </w:rPr>
        <w:t xml:space="preserve"> presented in </w:t>
      </w:r>
      <w:r w:rsidRPr="00E760C2">
        <w:rPr>
          <w:rFonts w:eastAsia="Calibri" w:cs="Arial"/>
          <w:szCs w:val="22"/>
        </w:rPr>
        <w:fldChar w:fldCharType="begin"/>
      </w:r>
      <w:r w:rsidRPr="009548FC">
        <w:rPr>
          <w:rFonts w:eastAsia="Calibri" w:cs="Arial"/>
          <w:szCs w:val="22"/>
        </w:rPr>
        <w:instrText xml:space="preserve"> REF _Ref450039772 \h </w:instrText>
      </w:r>
      <w:r w:rsidRPr="00E760C2">
        <w:rPr>
          <w:rFonts w:eastAsia="Calibri" w:cs="Arial"/>
          <w:szCs w:val="22"/>
        </w:rPr>
        <w:instrText xml:space="preserve"> \* MERGEFORMAT </w:instrText>
      </w:r>
      <w:r w:rsidRPr="00E760C2">
        <w:rPr>
          <w:rFonts w:eastAsia="Calibri" w:cs="Arial"/>
          <w:szCs w:val="22"/>
        </w:rPr>
      </w:r>
      <w:r w:rsidRPr="00E760C2">
        <w:rPr>
          <w:rFonts w:eastAsia="Calibri" w:cs="Arial"/>
          <w:szCs w:val="22"/>
        </w:rPr>
        <w:fldChar w:fldCharType="separate"/>
      </w:r>
      <w:r w:rsidR="00F0636B" w:rsidRPr="00F0636B">
        <w:rPr>
          <w:rFonts w:cs="Arial"/>
        </w:rPr>
        <w:t xml:space="preserve">Table </w:t>
      </w:r>
      <w:r w:rsidR="00F0636B" w:rsidRPr="00F0636B">
        <w:rPr>
          <w:rFonts w:cs="Arial"/>
          <w:noProof/>
        </w:rPr>
        <w:t>5</w:t>
      </w:r>
      <w:r w:rsidRPr="00E760C2">
        <w:rPr>
          <w:rFonts w:eastAsia="Calibri" w:cs="Arial"/>
          <w:szCs w:val="22"/>
        </w:rPr>
        <w:fldChar w:fldCharType="end"/>
      </w:r>
      <w:r w:rsidRPr="009548FC">
        <w:rPr>
          <w:rFonts w:eastAsia="Calibri" w:cs="Arial"/>
          <w:szCs w:val="22"/>
        </w:rPr>
        <w:t xml:space="preserve">. Results are encouraging: when </w:t>
      </w:r>
      <w:r w:rsidRPr="009A43FB">
        <w:rPr>
          <w:rFonts w:eastAsia="Calibri" w:cs="Arial"/>
          <w:szCs w:val="22"/>
        </w:rPr>
        <w:t xml:space="preserve">controlling for time invariant effects across </w:t>
      </w:r>
      <w:r w:rsidRPr="00873DB7">
        <w:rPr>
          <w:rFonts w:eastAsia="Calibri" w:cs="Arial"/>
          <w:szCs w:val="22"/>
        </w:rPr>
        <w:t>local authorities</w:t>
      </w:r>
      <w:r w:rsidR="00320F1B">
        <w:rPr>
          <w:rFonts w:eastAsia="Calibri" w:cs="Arial"/>
          <w:szCs w:val="22"/>
        </w:rPr>
        <w:t>. P</w:t>
      </w:r>
      <w:r w:rsidRPr="00873DB7">
        <w:rPr>
          <w:rFonts w:eastAsia="Calibri" w:cs="Arial"/>
          <w:szCs w:val="22"/>
        </w:rPr>
        <w:t xml:space="preserve">er capita investment in CS&amp;H is strongly and positively associated with the relative concentration of creative firms, </w:t>
      </w:r>
      <w:r w:rsidRPr="009548FC">
        <w:rPr>
          <w:rFonts w:eastAsia="Calibri" w:cs="Arial"/>
          <w:szCs w:val="22"/>
        </w:rPr>
        <w:t>both within and outwith major urban centres. Lagged investment per capita is not significant, but two year lagged investment per capita in CS&amp;H is also strongly associated with the location quotient of creative firms. The employment rate is negatively and significantly associated</w:t>
      </w:r>
      <w:r w:rsidR="00320F1B" w:rsidRPr="00320F1B">
        <w:rPr>
          <w:rFonts w:eastAsia="Calibri" w:cs="Arial"/>
          <w:szCs w:val="22"/>
        </w:rPr>
        <w:t xml:space="preserve"> </w:t>
      </w:r>
      <w:r w:rsidR="00320F1B" w:rsidRPr="009548FC">
        <w:rPr>
          <w:rFonts w:eastAsia="Calibri" w:cs="Arial"/>
          <w:szCs w:val="22"/>
        </w:rPr>
        <w:t>with the location quotient of creative firms</w:t>
      </w:r>
      <w:r w:rsidRPr="009548FC">
        <w:rPr>
          <w:rFonts w:eastAsia="Calibri" w:cs="Arial"/>
          <w:szCs w:val="22"/>
        </w:rPr>
        <w:t xml:space="preserve"> in urban centres and outwith</w:t>
      </w:r>
      <w:r w:rsidR="00320F1B">
        <w:rPr>
          <w:rFonts w:eastAsia="Calibri" w:cs="Arial"/>
          <w:szCs w:val="22"/>
        </w:rPr>
        <w:t>,</w:t>
      </w:r>
      <w:r w:rsidRPr="009548FC">
        <w:rPr>
          <w:rFonts w:eastAsia="Calibri" w:cs="Arial"/>
          <w:szCs w:val="22"/>
        </w:rPr>
        <w:t xml:space="preserve"> which indicates that the relationships observed are not simply a reflection of urban agglomeration effects.</w:t>
      </w:r>
    </w:p>
    <w:p w14:paraId="3634C596" w14:textId="77777777" w:rsidR="00F87951" w:rsidRPr="009548FC" w:rsidRDefault="00F87951" w:rsidP="00E760C2">
      <w:pPr>
        <w:widowControl w:val="0"/>
        <w:autoSpaceDE w:val="0"/>
        <w:autoSpaceDN w:val="0"/>
        <w:adjustRightInd w:val="0"/>
        <w:spacing w:before="0" w:after="120" w:line="276" w:lineRule="auto"/>
        <w:ind w:left="1134"/>
        <w:contextualSpacing/>
        <w:rPr>
          <w:rFonts w:eastAsia="Calibri" w:cs="Arial"/>
          <w:szCs w:val="22"/>
        </w:rPr>
      </w:pPr>
    </w:p>
    <w:p w14:paraId="426E8A61" w14:textId="6112FBB1" w:rsidR="00E760C2" w:rsidRPr="009548FC" w:rsidRDefault="00E760C2" w:rsidP="00E760C2">
      <w:pPr>
        <w:pStyle w:val="Caption"/>
      </w:pPr>
      <w:bookmarkStart w:id="59" w:name="_Ref450039772"/>
      <w:bookmarkStart w:id="60" w:name="_Toc464220259"/>
      <w:r w:rsidRPr="009548FC">
        <w:t xml:space="preserve">Table </w:t>
      </w:r>
      <w:r w:rsidRPr="00982C4F">
        <w:fldChar w:fldCharType="begin"/>
      </w:r>
      <w:r w:rsidRPr="009548FC">
        <w:instrText xml:space="preserve"> SEQ Table \* ARABIC </w:instrText>
      </w:r>
      <w:r w:rsidRPr="00982C4F">
        <w:fldChar w:fldCharType="separate"/>
      </w:r>
      <w:r w:rsidR="00F0636B">
        <w:rPr>
          <w:noProof/>
        </w:rPr>
        <w:t>5</w:t>
      </w:r>
      <w:r w:rsidRPr="00982C4F">
        <w:rPr>
          <w:noProof/>
        </w:rPr>
        <w:fldChar w:fldCharType="end"/>
      </w:r>
      <w:bookmarkEnd w:id="59"/>
      <w:r w:rsidRPr="009548FC">
        <w:t>: CS&amp;H investment and the location quotient of creative firms</w:t>
      </w:r>
      <w:bookmarkEnd w:id="60"/>
    </w:p>
    <w:tbl>
      <w:tblPr>
        <w:tblStyle w:val="LightList-Accent42"/>
        <w:tblW w:w="9434"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716"/>
        <w:gridCol w:w="2083"/>
        <w:gridCol w:w="2635"/>
      </w:tblGrid>
      <w:tr w:rsidR="00E760C2" w:rsidRPr="009548FC" w14:paraId="0DBC18A5" w14:textId="77777777" w:rsidTr="00753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16" w:type="dxa"/>
            <w:tcBorders>
              <w:top w:val="single" w:sz="4" w:space="0" w:color="auto"/>
              <w:bottom w:val="single" w:sz="4" w:space="0" w:color="auto"/>
            </w:tcBorders>
            <w:shd w:val="clear" w:color="auto" w:fill="auto"/>
          </w:tcPr>
          <w:p w14:paraId="25BF866E" w14:textId="77777777" w:rsidR="00E760C2" w:rsidRPr="009548FC" w:rsidRDefault="00E760C2" w:rsidP="00753A00">
            <w:pPr>
              <w:spacing w:before="0"/>
              <w:ind w:left="0"/>
              <w:rPr>
                <w:rFonts w:cs="Arial"/>
                <w:color w:val="000000" w:themeColor="text1"/>
                <w:sz w:val="18"/>
                <w:szCs w:val="18"/>
              </w:rPr>
            </w:pPr>
          </w:p>
        </w:tc>
        <w:tc>
          <w:tcPr>
            <w:tcW w:w="2083" w:type="dxa"/>
            <w:tcBorders>
              <w:top w:val="single" w:sz="4" w:space="0" w:color="auto"/>
              <w:bottom w:val="single" w:sz="4" w:space="0" w:color="auto"/>
            </w:tcBorders>
            <w:shd w:val="clear" w:color="auto" w:fill="auto"/>
          </w:tcPr>
          <w:p w14:paraId="3F94DF9C" w14:textId="77777777" w:rsidR="00E760C2" w:rsidRPr="009548FC"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Major urban centres</w:t>
            </w:r>
          </w:p>
        </w:tc>
        <w:tc>
          <w:tcPr>
            <w:tcW w:w="2635" w:type="dxa"/>
            <w:tcBorders>
              <w:top w:val="single" w:sz="4" w:space="0" w:color="auto"/>
              <w:bottom w:val="single" w:sz="4" w:space="0" w:color="auto"/>
            </w:tcBorders>
            <w:shd w:val="clear" w:color="auto" w:fill="auto"/>
          </w:tcPr>
          <w:p w14:paraId="4D533F9C" w14:textId="77777777" w:rsidR="00E760C2" w:rsidRPr="009548FC"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Non major urban centres</w:t>
            </w:r>
          </w:p>
        </w:tc>
      </w:tr>
      <w:tr w:rsidR="003F0EF7" w:rsidRPr="009548FC" w14:paraId="11D16CAA" w14:textId="77777777" w:rsidTr="003F0EF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16" w:type="dxa"/>
            <w:tcBorders>
              <w:top w:val="single" w:sz="4" w:space="0" w:color="auto"/>
              <w:left w:val="none" w:sz="0" w:space="0" w:color="auto"/>
              <w:bottom w:val="none" w:sz="0" w:space="0" w:color="auto"/>
            </w:tcBorders>
            <w:shd w:val="clear" w:color="auto" w:fill="auto"/>
            <w:vAlign w:val="bottom"/>
          </w:tcPr>
          <w:p w14:paraId="040A24AC"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Investment per capita in CS&amp;H</w:t>
            </w:r>
          </w:p>
        </w:tc>
        <w:tc>
          <w:tcPr>
            <w:tcW w:w="2083" w:type="dxa"/>
            <w:tcBorders>
              <w:top w:val="single" w:sz="4" w:space="0" w:color="auto"/>
              <w:bottom w:val="none" w:sz="0" w:space="0" w:color="auto"/>
            </w:tcBorders>
            <w:shd w:val="clear" w:color="auto" w:fill="auto"/>
            <w:vAlign w:val="bottom"/>
          </w:tcPr>
          <w:p w14:paraId="142D8CD7" w14:textId="304EABB0"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0.025</w:t>
            </w:r>
            <w:r w:rsidRPr="009548FC">
              <w:rPr>
                <w:rFonts w:cs="Arial"/>
                <w:color w:val="000000" w:themeColor="text1"/>
                <w:sz w:val="18"/>
                <w:szCs w:val="18"/>
              </w:rPr>
              <w:t>***</w:t>
            </w:r>
          </w:p>
        </w:tc>
        <w:tc>
          <w:tcPr>
            <w:tcW w:w="2635" w:type="dxa"/>
            <w:tcBorders>
              <w:top w:val="single" w:sz="4" w:space="0" w:color="auto"/>
              <w:bottom w:val="none" w:sz="0" w:space="0" w:color="auto"/>
              <w:right w:val="none" w:sz="0" w:space="0" w:color="auto"/>
            </w:tcBorders>
            <w:shd w:val="clear" w:color="auto" w:fill="auto"/>
            <w:vAlign w:val="bottom"/>
          </w:tcPr>
          <w:p w14:paraId="3280C9FB" w14:textId="551D587A"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0.022</w:t>
            </w:r>
            <w:r w:rsidRPr="009548FC">
              <w:rPr>
                <w:rFonts w:cs="Arial"/>
                <w:color w:val="000000" w:themeColor="text1"/>
                <w:sz w:val="18"/>
                <w:szCs w:val="18"/>
              </w:rPr>
              <w:t>***</w:t>
            </w:r>
          </w:p>
        </w:tc>
      </w:tr>
      <w:tr w:rsidR="003F0EF7" w:rsidRPr="009548FC" w14:paraId="3A3482F4" w14:textId="77777777" w:rsidTr="003F0EF7">
        <w:trPr>
          <w:trHeight w:val="284"/>
          <w:jc w:val="center"/>
        </w:trPr>
        <w:tc>
          <w:tcPr>
            <w:cnfStyle w:val="001000000000" w:firstRow="0" w:lastRow="0" w:firstColumn="1" w:lastColumn="0" w:oddVBand="0" w:evenVBand="0" w:oddHBand="0" w:evenHBand="0" w:firstRowFirstColumn="0" w:firstRowLastColumn="0" w:lastRowFirstColumn="0" w:lastRowLastColumn="0"/>
            <w:tcW w:w="4716" w:type="dxa"/>
            <w:shd w:val="clear" w:color="auto" w:fill="auto"/>
            <w:vAlign w:val="bottom"/>
          </w:tcPr>
          <w:p w14:paraId="2A427E5D"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Lagged per capita investment in CS&amp;H</w:t>
            </w:r>
          </w:p>
        </w:tc>
        <w:tc>
          <w:tcPr>
            <w:tcW w:w="2083" w:type="dxa"/>
            <w:shd w:val="clear" w:color="auto" w:fill="auto"/>
            <w:vAlign w:val="bottom"/>
          </w:tcPr>
          <w:p w14:paraId="53F68FFF" w14:textId="61D81C7B"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-0.000</w:t>
            </w:r>
          </w:p>
        </w:tc>
        <w:tc>
          <w:tcPr>
            <w:tcW w:w="2635" w:type="dxa"/>
            <w:shd w:val="clear" w:color="auto" w:fill="auto"/>
            <w:vAlign w:val="bottom"/>
          </w:tcPr>
          <w:p w14:paraId="34FF1E27" w14:textId="3AC9848F"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0.000</w:t>
            </w:r>
          </w:p>
        </w:tc>
      </w:tr>
      <w:tr w:rsidR="003F0EF7" w:rsidRPr="009548FC" w14:paraId="3920CFA5" w14:textId="77777777" w:rsidTr="003F0EF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16" w:type="dxa"/>
            <w:tcBorders>
              <w:top w:val="none" w:sz="0" w:space="0" w:color="auto"/>
              <w:left w:val="none" w:sz="0" w:space="0" w:color="auto"/>
              <w:bottom w:val="none" w:sz="0" w:space="0" w:color="auto"/>
            </w:tcBorders>
            <w:shd w:val="clear" w:color="auto" w:fill="auto"/>
            <w:vAlign w:val="bottom"/>
          </w:tcPr>
          <w:p w14:paraId="0B909ABE" w14:textId="211C3FA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2-year lagged investment per capita in CS&amp;H</w:t>
            </w:r>
          </w:p>
        </w:tc>
        <w:tc>
          <w:tcPr>
            <w:tcW w:w="2083" w:type="dxa"/>
            <w:tcBorders>
              <w:top w:val="none" w:sz="0" w:space="0" w:color="auto"/>
              <w:bottom w:val="none" w:sz="0" w:space="0" w:color="auto"/>
            </w:tcBorders>
            <w:shd w:val="clear" w:color="auto" w:fill="auto"/>
            <w:vAlign w:val="bottom"/>
          </w:tcPr>
          <w:p w14:paraId="458D252B" w14:textId="5FEF2EAD"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0.367</w:t>
            </w:r>
            <w:r w:rsidRPr="009548FC">
              <w:rPr>
                <w:rFonts w:cs="Arial"/>
                <w:color w:val="000000" w:themeColor="text1"/>
                <w:sz w:val="18"/>
                <w:szCs w:val="18"/>
              </w:rPr>
              <w:t>***</w:t>
            </w:r>
          </w:p>
        </w:tc>
        <w:tc>
          <w:tcPr>
            <w:tcW w:w="2635" w:type="dxa"/>
            <w:tcBorders>
              <w:top w:val="none" w:sz="0" w:space="0" w:color="auto"/>
              <w:bottom w:val="none" w:sz="0" w:space="0" w:color="auto"/>
              <w:right w:val="none" w:sz="0" w:space="0" w:color="auto"/>
            </w:tcBorders>
            <w:shd w:val="clear" w:color="auto" w:fill="auto"/>
            <w:vAlign w:val="bottom"/>
          </w:tcPr>
          <w:p w14:paraId="52D7BAA9" w14:textId="75DE7CAF"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0.412</w:t>
            </w:r>
            <w:r w:rsidRPr="009548FC">
              <w:rPr>
                <w:rFonts w:cs="Arial"/>
                <w:color w:val="000000" w:themeColor="text1"/>
                <w:sz w:val="18"/>
                <w:szCs w:val="18"/>
              </w:rPr>
              <w:t>***</w:t>
            </w:r>
          </w:p>
        </w:tc>
      </w:tr>
      <w:tr w:rsidR="003F0EF7" w:rsidRPr="009548FC" w14:paraId="14523EE3" w14:textId="77777777" w:rsidTr="003F0EF7">
        <w:trPr>
          <w:trHeight w:val="284"/>
          <w:jc w:val="center"/>
        </w:trPr>
        <w:tc>
          <w:tcPr>
            <w:cnfStyle w:val="001000000000" w:firstRow="0" w:lastRow="0" w:firstColumn="1" w:lastColumn="0" w:oddVBand="0" w:evenVBand="0" w:oddHBand="0" w:evenHBand="0" w:firstRowFirstColumn="0" w:firstRowLastColumn="0" w:lastRowFirstColumn="0" w:lastRowLastColumn="0"/>
            <w:tcW w:w="4716" w:type="dxa"/>
            <w:shd w:val="clear" w:color="auto" w:fill="auto"/>
            <w:vAlign w:val="bottom"/>
          </w:tcPr>
          <w:p w14:paraId="73604C0F"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Competitiveness</w:t>
            </w:r>
          </w:p>
        </w:tc>
        <w:tc>
          <w:tcPr>
            <w:tcW w:w="2083" w:type="dxa"/>
            <w:shd w:val="clear" w:color="auto" w:fill="auto"/>
            <w:vAlign w:val="bottom"/>
          </w:tcPr>
          <w:p w14:paraId="5052D6EE" w14:textId="73623D9B"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0.299</w:t>
            </w:r>
          </w:p>
        </w:tc>
        <w:tc>
          <w:tcPr>
            <w:tcW w:w="2635" w:type="dxa"/>
            <w:shd w:val="clear" w:color="auto" w:fill="auto"/>
            <w:vAlign w:val="bottom"/>
          </w:tcPr>
          <w:p w14:paraId="150C4F7E" w14:textId="1AE26337"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0.543</w:t>
            </w:r>
          </w:p>
        </w:tc>
      </w:tr>
      <w:tr w:rsidR="003F0EF7" w:rsidRPr="009548FC" w14:paraId="3E09E1D3" w14:textId="77777777" w:rsidTr="003F0EF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716" w:type="dxa"/>
            <w:tcBorders>
              <w:bottom w:val="single" w:sz="4" w:space="0" w:color="auto"/>
            </w:tcBorders>
            <w:shd w:val="clear" w:color="auto" w:fill="auto"/>
            <w:vAlign w:val="bottom"/>
          </w:tcPr>
          <w:p w14:paraId="32434117"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Life satisfaction</w:t>
            </w:r>
          </w:p>
        </w:tc>
        <w:tc>
          <w:tcPr>
            <w:tcW w:w="2083" w:type="dxa"/>
            <w:tcBorders>
              <w:bottom w:val="single" w:sz="4" w:space="0" w:color="auto"/>
            </w:tcBorders>
            <w:shd w:val="clear" w:color="auto" w:fill="auto"/>
            <w:vAlign w:val="bottom"/>
          </w:tcPr>
          <w:p w14:paraId="5924D2CA" w14:textId="7A04EADA"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-0.012</w:t>
            </w:r>
          </w:p>
        </w:tc>
        <w:tc>
          <w:tcPr>
            <w:tcW w:w="2635" w:type="dxa"/>
            <w:tcBorders>
              <w:bottom w:val="single" w:sz="4" w:space="0" w:color="auto"/>
            </w:tcBorders>
            <w:shd w:val="clear" w:color="auto" w:fill="auto"/>
            <w:vAlign w:val="bottom"/>
          </w:tcPr>
          <w:p w14:paraId="74B77B80" w14:textId="29B29E0A"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-0.00</w:t>
            </w:r>
            <w:r>
              <w:rPr>
                <w:rFonts w:cs="Arial"/>
                <w:color w:val="000000" w:themeColor="text1"/>
                <w:sz w:val="18"/>
                <w:szCs w:val="18"/>
              </w:rPr>
              <w:t>1</w:t>
            </w:r>
          </w:p>
        </w:tc>
      </w:tr>
      <w:tr w:rsidR="003F0EF7" w:rsidRPr="009548FC" w14:paraId="223CA06E" w14:textId="77777777" w:rsidTr="003F0EF7">
        <w:trPr>
          <w:trHeight w:val="284"/>
          <w:jc w:val="center"/>
        </w:trPr>
        <w:tc>
          <w:tcPr>
            <w:cnfStyle w:val="001000000000" w:firstRow="0" w:lastRow="0" w:firstColumn="1" w:lastColumn="0" w:oddVBand="0" w:evenVBand="0" w:oddHBand="0" w:evenHBand="0" w:firstRowFirstColumn="0" w:firstRowLastColumn="0" w:lastRowFirstColumn="0" w:lastRowLastColumn="0"/>
            <w:tcW w:w="4716" w:type="dxa"/>
            <w:tcBorders>
              <w:top w:val="single" w:sz="4" w:space="0" w:color="auto"/>
            </w:tcBorders>
            <w:shd w:val="clear" w:color="auto" w:fill="auto"/>
            <w:vAlign w:val="bottom"/>
          </w:tcPr>
          <w:p w14:paraId="1C292D1A"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Adjusted R²</w:t>
            </w:r>
          </w:p>
        </w:tc>
        <w:tc>
          <w:tcPr>
            <w:tcW w:w="2083" w:type="dxa"/>
            <w:tcBorders>
              <w:top w:val="single" w:sz="4" w:space="0" w:color="auto"/>
            </w:tcBorders>
            <w:shd w:val="clear" w:color="auto" w:fill="auto"/>
            <w:vAlign w:val="bottom"/>
          </w:tcPr>
          <w:p w14:paraId="72B402ED" w14:textId="4465AE63"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0.0343</w:t>
            </w:r>
          </w:p>
        </w:tc>
        <w:tc>
          <w:tcPr>
            <w:tcW w:w="2635" w:type="dxa"/>
            <w:tcBorders>
              <w:top w:val="single" w:sz="4" w:space="0" w:color="auto"/>
            </w:tcBorders>
            <w:shd w:val="clear" w:color="auto" w:fill="auto"/>
            <w:vAlign w:val="bottom"/>
          </w:tcPr>
          <w:p w14:paraId="7EE13F0C" w14:textId="0BDFF41E"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0.0234</w:t>
            </w:r>
          </w:p>
        </w:tc>
      </w:tr>
    </w:tbl>
    <w:p w14:paraId="0AE35330"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4DFB06E4" w14:textId="77777777" w:rsidR="00E760C2" w:rsidRPr="009548FC" w:rsidRDefault="00E760C2" w:rsidP="00E760C2">
      <w:pPr>
        <w:rPr>
          <w:rFonts w:eastAsia="Calibri"/>
        </w:rPr>
      </w:pPr>
    </w:p>
    <w:p w14:paraId="32444A58" w14:textId="368412BC" w:rsidR="00E760C2" w:rsidRPr="00873DB7" w:rsidRDefault="00E760C2" w:rsidP="00E760C2">
      <w:pPr>
        <w:rPr>
          <w:rFonts w:eastAsia="Calibri" w:cs="Arial"/>
          <w:szCs w:val="22"/>
        </w:rPr>
      </w:pPr>
      <w:r w:rsidRPr="009548FC">
        <w:rPr>
          <w:rFonts w:eastAsia="Calibri" w:cs="Arial"/>
          <w:szCs w:val="22"/>
        </w:rPr>
        <w:t xml:space="preserve">As can be seen in </w:t>
      </w:r>
      <w:r w:rsidRPr="009A43FB">
        <w:rPr>
          <w:rFonts w:eastAsia="Calibri" w:cs="Arial"/>
          <w:szCs w:val="22"/>
        </w:rPr>
        <w:fldChar w:fldCharType="begin"/>
      </w:r>
      <w:r w:rsidRPr="009548FC">
        <w:rPr>
          <w:rFonts w:eastAsia="Calibri" w:cs="Arial"/>
          <w:szCs w:val="22"/>
        </w:rPr>
        <w:instrText xml:space="preserve"> REF _Ref450039813 \h  \* MERGEFORMAT </w:instrText>
      </w:r>
      <w:r w:rsidRPr="009A43FB">
        <w:rPr>
          <w:rFonts w:eastAsia="Calibri" w:cs="Arial"/>
          <w:szCs w:val="22"/>
        </w:rPr>
      </w:r>
      <w:r w:rsidRPr="009A43FB">
        <w:rPr>
          <w:rFonts w:eastAsia="Calibri" w:cs="Arial"/>
          <w:szCs w:val="22"/>
        </w:rPr>
        <w:fldChar w:fldCharType="separate"/>
      </w:r>
      <w:r w:rsidR="00F0636B" w:rsidRPr="00F0636B">
        <w:rPr>
          <w:rFonts w:cs="Arial"/>
        </w:rPr>
        <w:t xml:space="preserve">Table </w:t>
      </w:r>
      <w:r w:rsidR="00F0636B" w:rsidRPr="00F0636B">
        <w:rPr>
          <w:rFonts w:cs="Arial"/>
          <w:noProof/>
        </w:rPr>
        <w:t>6</w:t>
      </w:r>
      <w:r w:rsidRPr="009A43FB">
        <w:rPr>
          <w:rFonts w:eastAsia="Calibri" w:cs="Arial"/>
          <w:szCs w:val="22"/>
        </w:rPr>
        <w:fldChar w:fldCharType="end"/>
      </w:r>
      <w:r w:rsidRPr="00873DB7">
        <w:rPr>
          <w:rFonts w:eastAsia="Calibri" w:cs="Arial"/>
          <w:szCs w:val="22"/>
        </w:rPr>
        <w:t>, there were no significant results for CS&amp;H investment and net migration of creative firms.</w:t>
      </w:r>
    </w:p>
    <w:p w14:paraId="00E4F2EE" w14:textId="77777777" w:rsidR="00E760C2" w:rsidRPr="009548FC" w:rsidRDefault="00E760C2" w:rsidP="00E760C2">
      <w:pPr>
        <w:rPr>
          <w:rFonts w:eastAsia="Calibri" w:cs="Arial"/>
          <w:szCs w:val="22"/>
        </w:rPr>
      </w:pPr>
    </w:p>
    <w:p w14:paraId="6A484995" w14:textId="03CF7F5B" w:rsidR="00E760C2" w:rsidRPr="00E760C2" w:rsidRDefault="00E760C2" w:rsidP="00E760C2">
      <w:pPr>
        <w:pStyle w:val="Caption"/>
        <w:rPr>
          <w:rFonts w:eastAsia="Calibri"/>
          <w:szCs w:val="22"/>
        </w:rPr>
      </w:pPr>
      <w:bookmarkStart w:id="61" w:name="_Ref450039813"/>
      <w:bookmarkStart w:id="62" w:name="_Toc464220260"/>
      <w:r w:rsidRPr="009548FC">
        <w:t xml:space="preserve">Table </w:t>
      </w:r>
      <w:r w:rsidRPr="00982C4F">
        <w:fldChar w:fldCharType="begin"/>
      </w:r>
      <w:r w:rsidRPr="009548FC">
        <w:instrText xml:space="preserve"> SEQ Table \* ARABIC </w:instrText>
      </w:r>
      <w:r w:rsidRPr="00982C4F">
        <w:fldChar w:fldCharType="separate"/>
      </w:r>
      <w:r w:rsidR="00F0636B">
        <w:rPr>
          <w:noProof/>
        </w:rPr>
        <w:t>6</w:t>
      </w:r>
      <w:r w:rsidRPr="00982C4F">
        <w:rPr>
          <w:noProof/>
        </w:rPr>
        <w:fldChar w:fldCharType="end"/>
      </w:r>
      <w:bookmarkEnd w:id="61"/>
      <w:r w:rsidRPr="009548FC">
        <w:t xml:space="preserve">: </w:t>
      </w:r>
      <w:r w:rsidRPr="009548FC">
        <w:rPr>
          <w:rFonts w:eastAsia="Calibri"/>
          <w:szCs w:val="22"/>
        </w:rPr>
        <w:t>CS&amp;H investment and net migration of creative firms</w:t>
      </w:r>
      <w:bookmarkEnd w:id="62"/>
    </w:p>
    <w:tbl>
      <w:tblPr>
        <w:tblStyle w:val="LightList-Accent42"/>
        <w:tblW w:w="9399"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641"/>
        <w:gridCol w:w="2206"/>
        <w:gridCol w:w="2552"/>
      </w:tblGrid>
      <w:tr w:rsidR="00E760C2" w:rsidRPr="009548FC" w14:paraId="6A306519" w14:textId="77777777" w:rsidTr="00753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1" w:type="dxa"/>
            <w:tcBorders>
              <w:top w:val="single" w:sz="4" w:space="0" w:color="auto"/>
              <w:bottom w:val="single" w:sz="4" w:space="0" w:color="auto"/>
            </w:tcBorders>
            <w:shd w:val="clear" w:color="auto" w:fill="auto"/>
          </w:tcPr>
          <w:p w14:paraId="723BD103" w14:textId="77777777" w:rsidR="00E760C2" w:rsidRPr="009548FC" w:rsidRDefault="00E760C2" w:rsidP="00753A00">
            <w:pPr>
              <w:spacing w:before="0"/>
              <w:ind w:left="0"/>
              <w:rPr>
                <w:rFonts w:cs="Arial"/>
                <w:color w:val="000000" w:themeColor="text1"/>
                <w:sz w:val="18"/>
                <w:szCs w:val="18"/>
              </w:rPr>
            </w:pPr>
          </w:p>
        </w:tc>
        <w:tc>
          <w:tcPr>
            <w:tcW w:w="2206" w:type="dxa"/>
            <w:tcBorders>
              <w:top w:val="single" w:sz="4" w:space="0" w:color="auto"/>
              <w:bottom w:val="single" w:sz="4" w:space="0" w:color="auto"/>
            </w:tcBorders>
            <w:shd w:val="clear" w:color="auto" w:fill="auto"/>
          </w:tcPr>
          <w:p w14:paraId="7BCE5D5E" w14:textId="77777777" w:rsidR="00E760C2" w:rsidRPr="009A43FB"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A43FB">
              <w:rPr>
                <w:rFonts w:cs="Arial"/>
                <w:color w:val="000000" w:themeColor="text1"/>
                <w:sz w:val="18"/>
                <w:szCs w:val="18"/>
              </w:rPr>
              <w:t>Major urban centres</w:t>
            </w:r>
          </w:p>
        </w:tc>
        <w:tc>
          <w:tcPr>
            <w:tcW w:w="2552" w:type="dxa"/>
            <w:tcBorders>
              <w:top w:val="single" w:sz="4" w:space="0" w:color="auto"/>
              <w:bottom w:val="single" w:sz="4" w:space="0" w:color="auto"/>
            </w:tcBorders>
            <w:shd w:val="clear" w:color="auto" w:fill="auto"/>
          </w:tcPr>
          <w:p w14:paraId="36E0D3F6" w14:textId="77777777" w:rsidR="00E760C2" w:rsidRPr="00873DB7"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873DB7">
              <w:rPr>
                <w:rFonts w:cs="Arial"/>
                <w:color w:val="000000" w:themeColor="text1"/>
                <w:sz w:val="18"/>
                <w:szCs w:val="18"/>
              </w:rPr>
              <w:t>Non major urban centres</w:t>
            </w:r>
          </w:p>
        </w:tc>
      </w:tr>
      <w:tr w:rsidR="003F0EF7" w:rsidRPr="009548FC" w14:paraId="02A5F0EB"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641" w:type="dxa"/>
            <w:tcBorders>
              <w:top w:val="single" w:sz="4" w:space="0" w:color="auto"/>
              <w:left w:val="none" w:sz="0" w:space="0" w:color="auto"/>
              <w:bottom w:val="none" w:sz="0" w:space="0" w:color="auto"/>
            </w:tcBorders>
            <w:shd w:val="clear" w:color="auto" w:fill="auto"/>
            <w:vAlign w:val="bottom"/>
          </w:tcPr>
          <w:p w14:paraId="5DA35D07"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Investment per capita in CS&amp;H</w:t>
            </w:r>
          </w:p>
        </w:tc>
        <w:tc>
          <w:tcPr>
            <w:tcW w:w="2206" w:type="dxa"/>
            <w:tcBorders>
              <w:top w:val="single" w:sz="4" w:space="0" w:color="auto"/>
              <w:bottom w:val="none" w:sz="0" w:space="0" w:color="auto"/>
            </w:tcBorders>
            <w:shd w:val="clear" w:color="auto" w:fill="auto"/>
            <w:vAlign w:val="bottom"/>
          </w:tcPr>
          <w:p w14:paraId="5F34B36D" w14:textId="4A557D5B"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-0.002</w:t>
            </w:r>
          </w:p>
        </w:tc>
        <w:tc>
          <w:tcPr>
            <w:tcW w:w="2552" w:type="dxa"/>
            <w:tcBorders>
              <w:top w:val="single" w:sz="4" w:space="0" w:color="auto"/>
              <w:bottom w:val="none" w:sz="0" w:space="0" w:color="auto"/>
              <w:right w:val="none" w:sz="0" w:space="0" w:color="auto"/>
            </w:tcBorders>
            <w:shd w:val="clear" w:color="auto" w:fill="auto"/>
            <w:vAlign w:val="bottom"/>
          </w:tcPr>
          <w:p w14:paraId="03D44D4B" w14:textId="4CB6E7D8"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-0.012*</w:t>
            </w:r>
          </w:p>
        </w:tc>
      </w:tr>
      <w:tr w:rsidR="003F0EF7" w:rsidRPr="009548FC" w14:paraId="7634C973"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4641" w:type="dxa"/>
            <w:shd w:val="clear" w:color="auto" w:fill="auto"/>
            <w:vAlign w:val="bottom"/>
          </w:tcPr>
          <w:p w14:paraId="33182377"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Lagged per capita investment in CS&amp;H</w:t>
            </w:r>
          </w:p>
        </w:tc>
        <w:tc>
          <w:tcPr>
            <w:tcW w:w="2206" w:type="dxa"/>
            <w:shd w:val="clear" w:color="auto" w:fill="auto"/>
            <w:vAlign w:val="bottom"/>
          </w:tcPr>
          <w:p w14:paraId="401559A2" w14:textId="1FE936DE"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0.012</w:t>
            </w:r>
          </w:p>
        </w:tc>
        <w:tc>
          <w:tcPr>
            <w:tcW w:w="2552" w:type="dxa"/>
            <w:shd w:val="clear" w:color="auto" w:fill="auto"/>
            <w:vAlign w:val="bottom"/>
          </w:tcPr>
          <w:p w14:paraId="0E1C7EAF" w14:textId="50EA9D9E"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0.028</w:t>
            </w:r>
          </w:p>
        </w:tc>
      </w:tr>
      <w:tr w:rsidR="003F0EF7" w:rsidRPr="009548FC" w14:paraId="21A6AC89"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641" w:type="dxa"/>
            <w:tcBorders>
              <w:top w:val="none" w:sz="0" w:space="0" w:color="auto"/>
              <w:left w:val="none" w:sz="0" w:space="0" w:color="auto"/>
              <w:bottom w:val="none" w:sz="0" w:space="0" w:color="auto"/>
            </w:tcBorders>
            <w:shd w:val="clear" w:color="auto" w:fill="auto"/>
            <w:vAlign w:val="bottom"/>
          </w:tcPr>
          <w:p w14:paraId="622144B9" w14:textId="7C28AF9D"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2-year lagged investment per capita in CS&amp;H</w:t>
            </w:r>
          </w:p>
        </w:tc>
        <w:tc>
          <w:tcPr>
            <w:tcW w:w="2206" w:type="dxa"/>
            <w:tcBorders>
              <w:top w:val="none" w:sz="0" w:space="0" w:color="auto"/>
              <w:bottom w:val="none" w:sz="0" w:space="0" w:color="auto"/>
            </w:tcBorders>
            <w:shd w:val="clear" w:color="auto" w:fill="auto"/>
            <w:vAlign w:val="bottom"/>
          </w:tcPr>
          <w:p w14:paraId="31566877" w14:textId="53AD8E5D"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-0.055</w:t>
            </w:r>
          </w:p>
        </w:tc>
        <w:tc>
          <w:tcPr>
            <w:tcW w:w="2552" w:type="dxa"/>
            <w:tcBorders>
              <w:top w:val="none" w:sz="0" w:space="0" w:color="auto"/>
              <w:bottom w:val="none" w:sz="0" w:space="0" w:color="auto"/>
              <w:right w:val="none" w:sz="0" w:space="0" w:color="auto"/>
            </w:tcBorders>
            <w:shd w:val="clear" w:color="auto" w:fill="auto"/>
            <w:vAlign w:val="bottom"/>
          </w:tcPr>
          <w:p w14:paraId="5AF26F5A" w14:textId="443B6911"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-0.059</w:t>
            </w:r>
          </w:p>
        </w:tc>
      </w:tr>
      <w:tr w:rsidR="003F0EF7" w:rsidRPr="009548FC" w14:paraId="6998B747"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4641" w:type="dxa"/>
            <w:shd w:val="clear" w:color="auto" w:fill="auto"/>
            <w:vAlign w:val="bottom"/>
          </w:tcPr>
          <w:p w14:paraId="3D3FF918"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Competitiveness</w:t>
            </w:r>
          </w:p>
        </w:tc>
        <w:tc>
          <w:tcPr>
            <w:tcW w:w="2206" w:type="dxa"/>
            <w:shd w:val="clear" w:color="auto" w:fill="auto"/>
            <w:vAlign w:val="bottom"/>
          </w:tcPr>
          <w:p w14:paraId="5A43ECF4" w14:textId="363A7E81"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-0.123</w:t>
            </w:r>
          </w:p>
        </w:tc>
        <w:tc>
          <w:tcPr>
            <w:tcW w:w="2552" w:type="dxa"/>
            <w:shd w:val="clear" w:color="auto" w:fill="auto"/>
            <w:vAlign w:val="bottom"/>
          </w:tcPr>
          <w:p w14:paraId="7AE6214E" w14:textId="7D13DFB8"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0.265</w:t>
            </w:r>
          </w:p>
        </w:tc>
      </w:tr>
      <w:tr w:rsidR="003F0EF7" w:rsidRPr="009548FC" w14:paraId="0B06308A"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641" w:type="dxa"/>
            <w:tcBorders>
              <w:bottom w:val="single" w:sz="4" w:space="0" w:color="auto"/>
            </w:tcBorders>
            <w:shd w:val="clear" w:color="auto" w:fill="auto"/>
            <w:vAlign w:val="bottom"/>
          </w:tcPr>
          <w:p w14:paraId="22BC0812"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Life satisfaction</w:t>
            </w:r>
          </w:p>
        </w:tc>
        <w:tc>
          <w:tcPr>
            <w:tcW w:w="2206" w:type="dxa"/>
            <w:tcBorders>
              <w:bottom w:val="single" w:sz="4" w:space="0" w:color="auto"/>
            </w:tcBorders>
            <w:shd w:val="clear" w:color="auto" w:fill="auto"/>
            <w:vAlign w:val="bottom"/>
          </w:tcPr>
          <w:p w14:paraId="228E55E2" w14:textId="7E7A9345"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0.998</w:t>
            </w:r>
          </w:p>
        </w:tc>
        <w:tc>
          <w:tcPr>
            <w:tcW w:w="2552" w:type="dxa"/>
            <w:tcBorders>
              <w:bottom w:val="single" w:sz="4" w:space="0" w:color="auto"/>
            </w:tcBorders>
            <w:shd w:val="clear" w:color="auto" w:fill="auto"/>
            <w:vAlign w:val="bottom"/>
          </w:tcPr>
          <w:p w14:paraId="4981938C" w14:textId="3F70C0F7" w:rsidR="003F0EF7" w:rsidRPr="009548FC" w:rsidRDefault="003F0EF7"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0.682</w:t>
            </w:r>
          </w:p>
        </w:tc>
      </w:tr>
      <w:tr w:rsidR="003F0EF7" w:rsidRPr="009548FC" w14:paraId="5EB2B6ED"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4641" w:type="dxa"/>
            <w:tcBorders>
              <w:top w:val="single" w:sz="4" w:space="0" w:color="auto"/>
            </w:tcBorders>
            <w:shd w:val="clear" w:color="auto" w:fill="auto"/>
            <w:vAlign w:val="bottom"/>
          </w:tcPr>
          <w:p w14:paraId="0780C6F9" w14:textId="77777777" w:rsidR="003F0EF7" w:rsidRPr="000F6B69" w:rsidRDefault="003F0EF7" w:rsidP="00753A00">
            <w:pPr>
              <w:spacing w:before="0"/>
              <w:ind w:left="0"/>
              <w:rPr>
                <w:rFonts w:cs="Arial"/>
                <w:b w:val="0"/>
                <w:color w:val="000000" w:themeColor="text1"/>
                <w:sz w:val="18"/>
                <w:szCs w:val="18"/>
              </w:rPr>
            </w:pPr>
            <w:r w:rsidRPr="000F6B69">
              <w:rPr>
                <w:rFonts w:cs="Arial"/>
                <w:b w:val="0"/>
                <w:color w:val="000000" w:themeColor="text1"/>
                <w:sz w:val="18"/>
                <w:szCs w:val="18"/>
              </w:rPr>
              <w:t>Adjusted R²</w:t>
            </w:r>
          </w:p>
        </w:tc>
        <w:tc>
          <w:tcPr>
            <w:tcW w:w="2206" w:type="dxa"/>
            <w:tcBorders>
              <w:top w:val="single" w:sz="4" w:space="0" w:color="auto"/>
            </w:tcBorders>
            <w:shd w:val="clear" w:color="auto" w:fill="auto"/>
            <w:vAlign w:val="bottom"/>
          </w:tcPr>
          <w:p w14:paraId="725DF1B5" w14:textId="63A7AA28"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0.0435</w:t>
            </w:r>
          </w:p>
        </w:tc>
        <w:tc>
          <w:tcPr>
            <w:tcW w:w="2552" w:type="dxa"/>
            <w:tcBorders>
              <w:top w:val="single" w:sz="4" w:space="0" w:color="auto"/>
            </w:tcBorders>
            <w:shd w:val="clear" w:color="auto" w:fill="auto"/>
            <w:vAlign w:val="bottom"/>
          </w:tcPr>
          <w:p w14:paraId="190E8FE3" w14:textId="3237A5FC" w:rsidR="003F0EF7" w:rsidRPr="009548FC" w:rsidRDefault="003F0EF7"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0.1199</w:t>
            </w:r>
          </w:p>
        </w:tc>
      </w:tr>
    </w:tbl>
    <w:p w14:paraId="09209C89"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4321DF9A" w14:textId="77777777" w:rsidR="00E760C2" w:rsidRPr="009548FC" w:rsidRDefault="00E760C2" w:rsidP="00E760C2">
      <w:pPr>
        <w:widowControl w:val="0"/>
        <w:autoSpaceDE w:val="0"/>
        <w:autoSpaceDN w:val="0"/>
        <w:adjustRightInd w:val="0"/>
        <w:spacing w:before="0" w:after="120" w:line="276" w:lineRule="auto"/>
        <w:ind w:left="1134"/>
        <w:contextualSpacing/>
        <w:rPr>
          <w:rFonts w:eastAsia="Calibri" w:cs="Arial"/>
          <w:szCs w:val="22"/>
        </w:rPr>
      </w:pPr>
    </w:p>
    <w:p w14:paraId="0A289920" w14:textId="6CBAD4C8" w:rsidR="003F0EF7" w:rsidRDefault="003F0EF7" w:rsidP="003F0EF7">
      <w:pPr>
        <w:rPr>
          <w:rFonts w:eastAsia="Calibri" w:cs="Arial"/>
        </w:rPr>
      </w:pPr>
      <w:r>
        <w:rPr>
          <w:rFonts w:eastAsia="Calibri" w:cs="Arial"/>
        </w:rPr>
        <w:t xml:space="preserve">Interestingly, results do not vary significantly between local authorities in major urban centres and outwith major urban centres. This may be due to the multidirectional effect of </w:t>
      </w:r>
      <w:r w:rsidR="00A25AFD">
        <w:rPr>
          <w:rFonts w:eastAsia="Calibri" w:cs="Arial"/>
        </w:rPr>
        <w:t xml:space="preserve">major </w:t>
      </w:r>
      <w:r>
        <w:rPr>
          <w:rFonts w:eastAsia="Calibri" w:cs="Arial"/>
        </w:rPr>
        <w:t>urban centres: for a major urban centre</w:t>
      </w:r>
      <w:r w:rsidR="00A25AFD">
        <w:rPr>
          <w:rFonts w:eastAsia="Calibri" w:cs="Arial"/>
        </w:rPr>
        <w:t xml:space="preserve"> (coprising multiple local authorities) </w:t>
      </w:r>
      <w:r>
        <w:rPr>
          <w:rFonts w:eastAsia="Calibri" w:cs="Arial"/>
        </w:rPr>
        <w:t xml:space="preserve">with a high concentration of culture, sport or heritage assets or investments in one particular area, this means some local authorities will contain this concentration, and others will not, so the effect could work in both ways. </w:t>
      </w:r>
    </w:p>
    <w:p w14:paraId="058BFAC1" w14:textId="715F06E2" w:rsidR="00E760C2" w:rsidRPr="009548FC" w:rsidRDefault="00E760C2" w:rsidP="00E760C2">
      <w:pPr>
        <w:rPr>
          <w:rFonts w:eastAsia="Calibri" w:cs="Arial"/>
        </w:rPr>
      </w:pPr>
      <w:r w:rsidRPr="009548FC">
        <w:rPr>
          <w:rFonts w:eastAsia="Calibri" w:cs="Arial"/>
        </w:rPr>
        <w:t xml:space="preserve">Finally we consider turnover of creative firms and investment in CS&amp;H in </w:t>
      </w:r>
      <w:r w:rsidRPr="00E760C2">
        <w:rPr>
          <w:rFonts w:eastAsia="Calibri" w:cs="Arial"/>
        </w:rPr>
        <w:fldChar w:fldCharType="begin"/>
      </w:r>
      <w:r w:rsidRPr="009548FC">
        <w:rPr>
          <w:rFonts w:eastAsia="Calibri" w:cs="Arial"/>
        </w:rPr>
        <w:instrText xml:space="preserve"> REF _Ref450040439 \h </w:instrText>
      </w:r>
      <w:r w:rsidRPr="00E760C2">
        <w:rPr>
          <w:rFonts w:eastAsia="Calibri" w:cs="Arial"/>
        </w:rPr>
        <w:instrText xml:space="preserve"> \* MERGEFORMAT </w:instrText>
      </w:r>
      <w:r w:rsidRPr="00E760C2">
        <w:rPr>
          <w:rFonts w:eastAsia="Calibri" w:cs="Arial"/>
        </w:rPr>
      </w:r>
      <w:r w:rsidRPr="00E760C2">
        <w:rPr>
          <w:rFonts w:eastAsia="Calibri" w:cs="Arial"/>
        </w:rPr>
        <w:fldChar w:fldCharType="separate"/>
      </w:r>
      <w:r w:rsidR="00F0636B" w:rsidRPr="00F0636B">
        <w:rPr>
          <w:rFonts w:cs="Arial"/>
        </w:rPr>
        <w:t xml:space="preserve">Table </w:t>
      </w:r>
      <w:r w:rsidR="00F0636B" w:rsidRPr="00F0636B">
        <w:rPr>
          <w:rFonts w:cs="Arial"/>
          <w:noProof/>
        </w:rPr>
        <w:t>7</w:t>
      </w:r>
      <w:r w:rsidRPr="00E760C2">
        <w:rPr>
          <w:rFonts w:eastAsia="Calibri" w:cs="Arial"/>
        </w:rPr>
        <w:fldChar w:fldCharType="end"/>
      </w:r>
      <w:r w:rsidRPr="009548FC">
        <w:rPr>
          <w:rFonts w:eastAsia="Calibri" w:cs="Arial"/>
        </w:rPr>
        <w:t>.</w:t>
      </w:r>
      <w:r w:rsidR="00A033C6">
        <w:rPr>
          <w:rFonts w:eastAsia="Calibri" w:cs="Arial"/>
        </w:rPr>
        <w:t xml:space="preserve"> </w:t>
      </w:r>
      <w:r w:rsidR="00320F1B">
        <w:rPr>
          <w:rFonts w:eastAsia="Calibri" w:cs="Arial"/>
        </w:rPr>
        <w:t>Two</w:t>
      </w:r>
      <w:r w:rsidRPr="00873DB7">
        <w:rPr>
          <w:rFonts w:eastAsia="Calibri" w:cs="Arial"/>
        </w:rPr>
        <w:t xml:space="preserve">-year lagged per capita investment in CS&amp;H is significantly and positively associated with turnover of creative firms in major urban centres, but not in </w:t>
      </w:r>
      <w:r w:rsidRPr="009548FC">
        <w:rPr>
          <w:rFonts w:eastAsia="Calibri" w:cs="Arial"/>
        </w:rPr>
        <w:t>local authorities outside major urban centres. Competitiveness, a measure including GVA, is positively associated with turnover in both cases.</w:t>
      </w:r>
    </w:p>
    <w:p w14:paraId="661F6F7D" w14:textId="77777777" w:rsidR="00E760C2" w:rsidRPr="009548FC" w:rsidRDefault="00E760C2" w:rsidP="00E760C2">
      <w:pPr>
        <w:widowControl w:val="0"/>
        <w:autoSpaceDE w:val="0"/>
        <w:autoSpaceDN w:val="0"/>
        <w:adjustRightInd w:val="0"/>
        <w:spacing w:before="0" w:after="120" w:line="276" w:lineRule="auto"/>
        <w:ind w:left="1134"/>
        <w:contextualSpacing/>
        <w:rPr>
          <w:rFonts w:eastAsia="Calibri" w:cs="Arial"/>
          <w:szCs w:val="22"/>
        </w:rPr>
      </w:pPr>
    </w:p>
    <w:p w14:paraId="5F050326" w14:textId="6597F573" w:rsidR="00E760C2" w:rsidRPr="009548FC" w:rsidRDefault="00E760C2" w:rsidP="00E760C2">
      <w:pPr>
        <w:pStyle w:val="Caption"/>
        <w:rPr>
          <w:rFonts w:eastAsia="Calibri"/>
          <w:szCs w:val="22"/>
        </w:rPr>
      </w:pPr>
      <w:bookmarkStart w:id="63" w:name="_Ref450040439"/>
      <w:bookmarkStart w:id="64" w:name="_Toc464220261"/>
      <w:r w:rsidRPr="009548FC">
        <w:t xml:space="preserve">Table </w:t>
      </w:r>
      <w:r w:rsidRPr="00982C4F">
        <w:fldChar w:fldCharType="begin"/>
      </w:r>
      <w:r w:rsidRPr="009548FC">
        <w:instrText xml:space="preserve"> SEQ Table \* ARABIC </w:instrText>
      </w:r>
      <w:r w:rsidRPr="00982C4F">
        <w:fldChar w:fldCharType="separate"/>
      </w:r>
      <w:r w:rsidR="00F0636B">
        <w:rPr>
          <w:noProof/>
        </w:rPr>
        <w:t>7</w:t>
      </w:r>
      <w:r w:rsidRPr="00982C4F">
        <w:rPr>
          <w:noProof/>
        </w:rPr>
        <w:fldChar w:fldCharType="end"/>
      </w:r>
      <w:bookmarkEnd w:id="63"/>
      <w:r w:rsidRPr="009548FC">
        <w:t>: CS&amp;H investment and creative firms’ turnover</w:t>
      </w:r>
      <w:bookmarkEnd w:id="64"/>
    </w:p>
    <w:tbl>
      <w:tblPr>
        <w:tblStyle w:val="LightList-Accent42"/>
        <w:tblW w:w="9434"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05"/>
        <w:gridCol w:w="2120"/>
        <w:gridCol w:w="2509"/>
      </w:tblGrid>
      <w:tr w:rsidR="00E760C2" w:rsidRPr="009548FC" w14:paraId="2055B06B" w14:textId="77777777" w:rsidTr="00753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05" w:type="dxa"/>
            <w:tcBorders>
              <w:top w:val="single" w:sz="4" w:space="0" w:color="auto"/>
              <w:bottom w:val="single" w:sz="4" w:space="0" w:color="auto"/>
            </w:tcBorders>
            <w:shd w:val="clear" w:color="auto" w:fill="auto"/>
          </w:tcPr>
          <w:p w14:paraId="5E56A27E" w14:textId="77777777" w:rsidR="00E760C2" w:rsidRPr="009548FC" w:rsidRDefault="00E760C2" w:rsidP="00753A00">
            <w:pPr>
              <w:spacing w:before="0"/>
              <w:ind w:left="0"/>
              <w:rPr>
                <w:rFonts w:cs="Arial"/>
                <w:color w:val="000000" w:themeColor="text1"/>
                <w:sz w:val="18"/>
                <w:szCs w:val="18"/>
              </w:rPr>
            </w:pPr>
          </w:p>
        </w:tc>
        <w:tc>
          <w:tcPr>
            <w:tcW w:w="2120" w:type="dxa"/>
            <w:tcBorders>
              <w:top w:val="single" w:sz="4" w:space="0" w:color="auto"/>
              <w:bottom w:val="single" w:sz="4" w:space="0" w:color="auto"/>
            </w:tcBorders>
            <w:shd w:val="clear" w:color="auto" w:fill="auto"/>
          </w:tcPr>
          <w:p w14:paraId="3CA4A5DF" w14:textId="77777777" w:rsidR="00E760C2" w:rsidRPr="009548FC"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Major urban centres</w:t>
            </w:r>
          </w:p>
        </w:tc>
        <w:tc>
          <w:tcPr>
            <w:tcW w:w="2509" w:type="dxa"/>
            <w:tcBorders>
              <w:top w:val="single" w:sz="4" w:space="0" w:color="auto"/>
              <w:bottom w:val="single" w:sz="4" w:space="0" w:color="auto"/>
            </w:tcBorders>
            <w:shd w:val="clear" w:color="auto" w:fill="auto"/>
          </w:tcPr>
          <w:p w14:paraId="137C3DA5" w14:textId="77777777" w:rsidR="00E760C2" w:rsidRPr="009548FC" w:rsidRDefault="00E760C2" w:rsidP="00753A00">
            <w:pPr>
              <w:spacing w:before="0"/>
              <w:ind w:left="0"/>
              <w:jc w:val="right"/>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9548FC">
              <w:rPr>
                <w:rFonts w:cs="Arial"/>
                <w:color w:val="000000" w:themeColor="text1"/>
                <w:sz w:val="18"/>
                <w:szCs w:val="18"/>
              </w:rPr>
              <w:t>Non major urban centres</w:t>
            </w:r>
          </w:p>
        </w:tc>
      </w:tr>
      <w:tr w:rsidR="00A25AFD" w:rsidRPr="009548FC" w14:paraId="7C9D1617"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05" w:type="dxa"/>
            <w:tcBorders>
              <w:top w:val="single" w:sz="4" w:space="0" w:color="auto"/>
              <w:left w:val="none" w:sz="0" w:space="0" w:color="auto"/>
              <w:bottom w:val="none" w:sz="0" w:space="0" w:color="auto"/>
            </w:tcBorders>
            <w:shd w:val="clear" w:color="auto" w:fill="auto"/>
            <w:vAlign w:val="bottom"/>
          </w:tcPr>
          <w:p w14:paraId="125DCBAC" w14:textId="77777777"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Investment per capita in CS&amp;H</w:t>
            </w:r>
          </w:p>
        </w:tc>
        <w:tc>
          <w:tcPr>
            <w:tcW w:w="2120" w:type="dxa"/>
            <w:tcBorders>
              <w:top w:val="single" w:sz="4" w:space="0" w:color="auto"/>
              <w:bottom w:val="none" w:sz="0" w:space="0" w:color="auto"/>
            </w:tcBorders>
            <w:shd w:val="clear" w:color="auto" w:fill="auto"/>
            <w:vAlign w:val="bottom"/>
          </w:tcPr>
          <w:p w14:paraId="335B2DF2" w14:textId="11B0259B"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-0.023</w:t>
            </w:r>
          </w:p>
        </w:tc>
        <w:tc>
          <w:tcPr>
            <w:tcW w:w="2509" w:type="dxa"/>
            <w:tcBorders>
              <w:top w:val="single" w:sz="4" w:space="0" w:color="auto"/>
              <w:bottom w:val="none" w:sz="0" w:space="0" w:color="auto"/>
              <w:right w:val="none" w:sz="0" w:space="0" w:color="auto"/>
            </w:tcBorders>
            <w:shd w:val="clear" w:color="auto" w:fill="auto"/>
            <w:vAlign w:val="bottom"/>
          </w:tcPr>
          <w:p w14:paraId="4BFE7A0D" w14:textId="2D9F6335"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-0.022</w:t>
            </w:r>
          </w:p>
        </w:tc>
      </w:tr>
      <w:tr w:rsidR="00A25AFD" w:rsidRPr="009548FC" w14:paraId="2F2D8B75"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4805" w:type="dxa"/>
            <w:shd w:val="clear" w:color="auto" w:fill="auto"/>
            <w:vAlign w:val="bottom"/>
          </w:tcPr>
          <w:p w14:paraId="31657A99" w14:textId="77777777"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Lagged per capita investment in CS&amp;H</w:t>
            </w:r>
          </w:p>
        </w:tc>
        <w:tc>
          <w:tcPr>
            <w:tcW w:w="2120" w:type="dxa"/>
            <w:shd w:val="clear" w:color="auto" w:fill="auto"/>
            <w:vAlign w:val="bottom"/>
          </w:tcPr>
          <w:p w14:paraId="1D1D1E5E" w14:textId="56ADAF0F"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0.002</w:t>
            </w:r>
          </w:p>
        </w:tc>
        <w:tc>
          <w:tcPr>
            <w:tcW w:w="2509" w:type="dxa"/>
            <w:shd w:val="clear" w:color="auto" w:fill="auto"/>
            <w:vAlign w:val="bottom"/>
          </w:tcPr>
          <w:p w14:paraId="0122CD60" w14:textId="6021C53D"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-0.001</w:t>
            </w:r>
          </w:p>
        </w:tc>
      </w:tr>
      <w:tr w:rsidR="00A25AFD" w:rsidRPr="009548FC" w14:paraId="480057B4"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05" w:type="dxa"/>
            <w:tcBorders>
              <w:top w:val="none" w:sz="0" w:space="0" w:color="auto"/>
              <w:left w:val="none" w:sz="0" w:space="0" w:color="auto"/>
              <w:bottom w:val="none" w:sz="0" w:space="0" w:color="auto"/>
            </w:tcBorders>
            <w:shd w:val="clear" w:color="auto" w:fill="auto"/>
            <w:vAlign w:val="bottom"/>
          </w:tcPr>
          <w:p w14:paraId="014BC819" w14:textId="157736B2"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2-year lagged investment per capita in CS&amp;H</w:t>
            </w:r>
          </w:p>
        </w:tc>
        <w:tc>
          <w:tcPr>
            <w:tcW w:w="2120" w:type="dxa"/>
            <w:tcBorders>
              <w:top w:val="none" w:sz="0" w:space="0" w:color="auto"/>
              <w:bottom w:val="none" w:sz="0" w:space="0" w:color="auto"/>
            </w:tcBorders>
            <w:shd w:val="clear" w:color="auto" w:fill="auto"/>
            <w:vAlign w:val="bottom"/>
          </w:tcPr>
          <w:p w14:paraId="534815B9" w14:textId="0A98997E"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0.078</w:t>
            </w:r>
            <w:r w:rsidRPr="009548FC">
              <w:rPr>
                <w:rFonts w:cs="Arial"/>
                <w:color w:val="000000" w:themeColor="text1"/>
                <w:sz w:val="18"/>
                <w:szCs w:val="18"/>
              </w:rPr>
              <w:t>*</w:t>
            </w:r>
          </w:p>
        </w:tc>
        <w:tc>
          <w:tcPr>
            <w:tcW w:w="2509" w:type="dxa"/>
            <w:tcBorders>
              <w:top w:val="none" w:sz="0" w:space="0" w:color="auto"/>
              <w:bottom w:val="none" w:sz="0" w:space="0" w:color="auto"/>
              <w:right w:val="none" w:sz="0" w:space="0" w:color="auto"/>
            </w:tcBorders>
            <w:shd w:val="clear" w:color="auto" w:fill="auto"/>
            <w:vAlign w:val="bottom"/>
          </w:tcPr>
          <w:p w14:paraId="0F7649F8" w14:textId="1B453292"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0.054</w:t>
            </w:r>
          </w:p>
        </w:tc>
      </w:tr>
      <w:tr w:rsidR="00A25AFD" w:rsidRPr="009548FC" w14:paraId="2F97C990"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4805" w:type="dxa"/>
            <w:shd w:val="clear" w:color="auto" w:fill="auto"/>
            <w:vAlign w:val="bottom"/>
          </w:tcPr>
          <w:p w14:paraId="5D6A88BC" w14:textId="77777777"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Competitiveness</w:t>
            </w:r>
          </w:p>
        </w:tc>
        <w:tc>
          <w:tcPr>
            <w:tcW w:w="2120" w:type="dxa"/>
            <w:shd w:val="clear" w:color="auto" w:fill="auto"/>
            <w:vAlign w:val="bottom"/>
          </w:tcPr>
          <w:p w14:paraId="5B0C721B" w14:textId="48B1BC91"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0.763*</w:t>
            </w:r>
            <w:r w:rsidRPr="009548FC">
              <w:rPr>
                <w:rFonts w:cs="Arial"/>
                <w:color w:val="000000" w:themeColor="text1"/>
                <w:sz w:val="18"/>
                <w:szCs w:val="18"/>
              </w:rPr>
              <w:t>*</w:t>
            </w:r>
          </w:p>
        </w:tc>
        <w:tc>
          <w:tcPr>
            <w:tcW w:w="2509" w:type="dxa"/>
            <w:shd w:val="clear" w:color="auto" w:fill="auto"/>
            <w:vAlign w:val="bottom"/>
          </w:tcPr>
          <w:p w14:paraId="07825F89" w14:textId="659BE2FC"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0.35</w:t>
            </w:r>
            <w:r w:rsidRPr="009548FC">
              <w:rPr>
                <w:rFonts w:cs="Arial"/>
                <w:color w:val="000000" w:themeColor="text1"/>
                <w:sz w:val="18"/>
                <w:szCs w:val="18"/>
              </w:rPr>
              <w:t>0**</w:t>
            </w:r>
          </w:p>
        </w:tc>
      </w:tr>
      <w:tr w:rsidR="00A25AFD" w:rsidRPr="009548FC" w14:paraId="410101ED" w14:textId="77777777" w:rsidTr="00753A0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05" w:type="dxa"/>
            <w:tcBorders>
              <w:bottom w:val="single" w:sz="4" w:space="0" w:color="auto"/>
            </w:tcBorders>
            <w:shd w:val="clear" w:color="auto" w:fill="auto"/>
            <w:vAlign w:val="bottom"/>
          </w:tcPr>
          <w:p w14:paraId="6D1C5507" w14:textId="77777777"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Life satisfaction</w:t>
            </w:r>
          </w:p>
        </w:tc>
        <w:tc>
          <w:tcPr>
            <w:tcW w:w="2120" w:type="dxa"/>
            <w:tcBorders>
              <w:bottom w:val="single" w:sz="4" w:space="0" w:color="auto"/>
            </w:tcBorders>
            <w:shd w:val="clear" w:color="auto" w:fill="auto"/>
            <w:vAlign w:val="bottom"/>
          </w:tcPr>
          <w:p w14:paraId="72F6E4D3" w14:textId="285FD55C"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0.008</w:t>
            </w:r>
          </w:p>
        </w:tc>
        <w:tc>
          <w:tcPr>
            <w:tcW w:w="2509" w:type="dxa"/>
            <w:tcBorders>
              <w:bottom w:val="single" w:sz="4" w:space="0" w:color="auto"/>
            </w:tcBorders>
            <w:shd w:val="clear" w:color="auto" w:fill="auto"/>
            <w:vAlign w:val="bottom"/>
          </w:tcPr>
          <w:p w14:paraId="04B57974" w14:textId="7F88EEE7" w:rsidR="00A25AFD" w:rsidRPr="009548FC" w:rsidRDefault="00A25AFD" w:rsidP="00753A00">
            <w:pPr>
              <w:spacing w:before="0"/>
              <w:ind w:left="0"/>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0.222</w:t>
            </w:r>
          </w:p>
        </w:tc>
      </w:tr>
      <w:tr w:rsidR="00A25AFD" w:rsidRPr="009548FC" w14:paraId="0F51F4E4" w14:textId="77777777" w:rsidTr="00753A00">
        <w:trPr>
          <w:trHeight w:val="284"/>
          <w:jc w:val="center"/>
        </w:trPr>
        <w:tc>
          <w:tcPr>
            <w:cnfStyle w:val="001000000000" w:firstRow="0" w:lastRow="0" w:firstColumn="1" w:lastColumn="0" w:oddVBand="0" w:evenVBand="0" w:oddHBand="0" w:evenHBand="0" w:firstRowFirstColumn="0" w:firstRowLastColumn="0" w:lastRowFirstColumn="0" w:lastRowLastColumn="0"/>
            <w:tcW w:w="4805" w:type="dxa"/>
            <w:tcBorders>
              <w:top w:val="single" w:sz="4" w:space="0" w:color="auto"/>
            </w:tcBorders>
            <w:shd w:val="clear" w:color="auto" w:fill="auto"/>
            <w:vAlign w:val="bottom"/>
          </w:tcPr>
          <w:p w14:paraId="5EB3B012" w14:textId="77777777" w:rsidR="00A25AFD" w:rsidRPr="000F6B69" w:rsidRDefault="00A25AFD" w:rsidP="00753A00">
            <w:pPr>
              <w:spacing w:before="0"/>
              <w:ind w:left="0"/>
              <w:rPr>
                <w:rFonts w:cs="Arial"/>
                <w:b w:val="0"/>
                <w:color w:val="000000" w:themeColor="text1"/>
                <w:sz w:val="18"/>
                <w:szCs w:val="18"/>
              </w:rPr>
            </w:pPr>
            <w:r w:rsidRPr="000F6B69">
              <w:rPr>
                <w:rFonts w:cs="Arial"/>
                <w:b w:val="0"/>
                <w:color w:val="000000" w:themeColor="text1"/>
                <w:sz w:val="18"/>
                <w:szCs w:val="18"/>
              </w:rPr>
              <w:t>Adjusted R²</w:t>
            </w:r>
          </w:p>
        </w:tc>
        <w:tc>
          <w:tcPr>
            <w:tcW w:w="2120" w:type="dxa"/>
            <w:tcBorders>
              <w:top w:val="single" w:sz="4" w:space="0" w:color="auto"/>
            </w:tcBorders>
            <w:shd w:val="clear" w:color="auto" w:fill="auto"/>
            <w:vAlign w:val="bottom"/>
          </w:tcPr>
          <w:p w14:paraId="2E768D9D" w14:textId="434214DF"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0.4590</w:t>
            </w:r>
          </w:p>
        </w:tc>
        <w:tc>
          <w:tcPr>
            <w:tcW w:w="2509" w:type="dxa"/>
            <w:tcBorders>
              <w:top w:val="single" w:sz="4" w:space="0" w:color="auto"/>
            </w:tcBorders>
            <w:shd w:val="clear" w:color="auto" w:fill="auto"/>
            <w:vAlign w:val="bottom"/>
          </w:tcPr>
          <w:p w14:paraId="1523892B" w14:textId="592779B7" w:rsidR="00A25AFD" w:rsidRPr="009548FC" w:rsidRDefault="00A25AFD" w:rsidP="00753A00">
            <w:pPr>
              <w:spacing w:before="0"/>
              <w:ind w:left="0"/>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0.5834</w:t>
            </w:r>
          </w:p>
        </w:tc>
      </w:tr>
    </w:tbl>
    <w:p w14:paraId="562C8021" w14:textId="77777777" w:rsidR="00E760C2" w:rsidRPr="009548FC" w:rsidRDefault="00E760C2" w:rsidP="00E760C2">
      <w:pPr>
        <w:ind w:left="0"/>
        <w:rPr>
          <w:rFonts w:eastAsia="Calibri" w:cs="Arial"/>
          <w:sz w:val="18"/>
        </w:rPr>
      </w:pPr>
      <w:r w:rsidRPr="009548FC">
        <w:rPr>
          <w:rFonts w:eastAsia="Calibri" w:cs="Arial"/>
          <w:sz w:val="18"/>
        </w:rPr>
        <w:t>Source: NEF Consulting</w:t>
      </w:r>
    </w:p>
    <w:p w14:paraId="1B32734A" w14:textId="77777777" w:rsidR="00E760C2" w:rsidRPr="009548FC" w:rsidRDefault="00E760C2" w:rsidP="00E760C2">
      <w:pPr>
        <w:pStyle w:val="Heading2Numbered"/>
        <w:rPr>
          <w:rFonts w:eastAsia="Calibri"/>
        </w:rPr>
      </w:pPr>
      <w:bookmarkStart w:id="65" w:name="_Toc464222914"/>
      <w:r w:rsidRPr="009548FC">
        <w:rPr>
          <w:rFonts w:eastAsia="Calibri"/>
        </w:rPr>
        <w:t>Other industries</w:t>
      </w:r>
      <w:bookmarkEnd w:id="65"/>
    </w:p>
    <w:p w14:paraId="797DA13D" w14:textId="5A753EFD" w:rsidR="00E760C2" w:rsidRPr="009548FC" w:rsidRDefault="00E760C2" w:rsidP="00E760C2">
      <w:pPr>
        <w:rPr>
          <w:rFonts w:eastAsia="Calibri" w:cs="Arial"/>
        </w:rPr>
      </w:pPr>
      <w:r w:rsidRPr="009548FC">
        <w:rPr>
          <w:rFonts w:eastAsia="Calibri" w:cs="Arial"/>
        </w:rPr>
        <w:t>In this section we consider the links between CS&amp;H assets and investment and three other sectors of the economy: the knowledge economy, tourism industries and professional and business services.</w:t>
      </w:r>
    </w:p>
    <w:p w14:paraId="639FACAD" w14:textId="62D1CF50" w:rsidR="00E760C2" w:rsidRPr="009548FC" w:rsidRDefault="00E760C2" w:rsidP="00E760C2">
      <w:pPr>
        <w:rPr>
          <w:rFonts w:eastAsia="Calibri" w:cs="Arial"/>
        </w:rPr>
      </w:pPr>
      <w:r w:rsidRPr="009548FC">
        <w:rPr>
          <w:rFonts w:eastAsia="Calibri" w:cs="Arial"/>
        </w:rPr>
        <w:t>There is evidence that CS&amp;H assets are associated with other sectors beyond the creative indu</w:t>
      </w:r>
      <w:r w:rsidR="002D2364">
        <w:rPr>
          <w:rFonts w:eastAsia="Calibri" w:cs="Arial"/>
        </w:rPr>
        <w:t>s</w:t>
      </w:r>
      <w:r w:rsidRPr="009548FC">
        <w:rPr>
          <w:rFonts w:eastAsia="Calibri" w:cs="Arial"/>
        </w:rPr>
        <w:t>tries. Both knowledge economy and tourism turnover are significantly and positively associated with higher heritage assets density and cultural events per capita. There will naturally be more economic activity around the tourism industry in areas with high heritage assets and cultural events, as these are tourist destinations. Professional and business services turnover is not significantly linked to culture, sports and heritage assets. There are no significant impacts of cumulative CS&amp;H investment on any of the industries in these results. All are very strongly and significantly associated with higher GVA per capita.</w:t>
      </w:r>
    </w:p>
    <w:p w14:paraId="293D1D20" w14:textId="4C9611CD" w:rsidR="00A033C6" w:rsidRDefault="00E760C2" w:rsidP="00E3244A">
      <w:pPr>
        <w:rPr>
          <w:rFonts w:eastAsia="Calibri" w:cs="Arial"/>
        </w:rPr>
      </w:pPr>
      <w:r w:rsidRPr="009548FC">
        <w:rPr>
          <w:rFonts w:eastAsia="Calibri" w:cs="Arial"/>
        </w:rPr>
        <w:t xml:space="preserve">Results are not presented for the panel </w:t>
      </w:r>
      <w:proofErr w:type="gramStart"/>
      <w:r w:rsidRPr="009548FC">
        <w:rPr>
          <w:rFonts w:eastAsia="Calibri" w:cs="Arial"/>
        </w:rPr>
        <w:t>analysis</w:t>
      </w:r>
      <w:proofErr w:type="gramEnd"/>
      <w:r w:rsidRPr="009548FC">
        <w:rPr>
          <w:rFonts w:eastAsia="Calibri" w:cs="Arial"/>
        </w:rPr>
        <w:t xml:space="preserve"> as investment was not significant in the cross</w:t>
      </w:r>
      <w:r w:rsidR="008F3611">
        <w:rPr>
          <w:rFonts w:eastAsia="Calibri" w:cs="Arial"/>
        </w:rPr>
        <w:t>-</w:t>
      </w:r>
      <w:r w:rsidRPr="009548FC">
        <w:rPr>
          <w:rFonts w:eastAsia="Calibri" w:cs="Arial"/>
        </w:rPr>
        <w:t>sectional analysis.</w:t>
      </w:r>
      <w:r w:rsidR="00A033C6">
        <w:rPr>
          <w:rFonts w:eastAsia="Calibri" w:cs="Arial"/>
        </w:rPr>
        <w:br w:type="page"/>
      </w:r>
    </w:p>
    <w:p w14:paraId="501981CB" w14:textId="77777777" w:rsidR="00E760C2" w:rsidRPr="009548FC" w:rsidRDefault="00E760C2" w:rsidP="00E760C2">
      <w:pPr>
        <w:rPr>
          <w:rFonts w:eastAsia="Calibri" w:cs="Arial"/>
        </w:rPr>
      </w:pPr>
    </w:p>
    <w:p w14:paraId="28932CF8" w14:textId="6053EEE6" w:rsidR="00E760C2" w:rsidRPr="009548FC" w:rsidRDefault="00E760C2" w:rsidP="00E760C2">
      <w:pPr>
        <w:pStyle w:val="Caption"/>
        <w:rPr>
          <w:rFonts w:eastAsia="Calibri"/>
        </w:rPr>
      </w:pPr>
      <w:bookmarkStart w:id="66" w:name="_Toc464220262"/>
      <w:r w:rsidRPr="009548FC">
        <w:t xml:space="preserve">Table </w:t>
      </w:r>
      <w:r w:rsidRPr="00982C4F">
        <w:fldChar w:fldCharType="begin"/>
      </w:r>
      <w:r w:rsidRPr="009548FC">
        <w:instrText xml:space="preserve"> SEQ Table \* ARABIC </w:instrText>
      </w:r>
      <w:r w:rsidRPr="00982C4F">
        <w:fldChar w:fldCharType="separate"/>
      </w:r>
      <w:r w:rsidR="00F0636B">
        <w:rPr>
          <w:noProof/>
        </w:rPr>
        <w:t>8</w:t>
      </w:r>
      <w:r w:rsidRPr="00982C4F">
        <w:rPr>
          <w:noProof/>
        </w:rPr>
        <w:fldChar w:fldCharType="end"/>
      </w:r>
      <w:r w:rsidRPr="009548FC">
        <w:t>: R</w:t>
      </w:r>
      <w:r w:rsidRPr="009548FC">
        <w:rPr>
          <w:rFonts w:eastAsia="Calibri"/>
          <w:szCs w:val="22"/>
        </w:rPr>
        <w:t>elationships between other industries and CS&amp;H assets and investment</w:t>
      </w:r>
      <w:bookmarkEnd w:id="66"/>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985"/>
        <w:gridCol w:w="1748"/>
        <w:gridCol w:w="1796"/>
      </w:tblGrid>
      <w:tr w:rsidR="00E760C2" w:rsidRPr="009548FC" w14:paraId="25FE4B79" w14:textId="77777777" w:rsidTr="00753A00">
        <w:tc>
          <w:tcPr>
            <w:tcW w:w="3969" w:type="dxa"/>
            <w:tcBorders>
              <w:top w:val="single" w:sz="4" w:space="0" w:color="auto"/>
              <w:bottom w:val="single" w:sz="4" w:space="0" w:color="auto"/>
            </w:tcBorders>
          </w:tcPr>
          <w:p w14:paraId="3AFA9D7F"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Variable</w:t>
            </w:r>
          </w:p>
        </w:tc>
        <w:tc>
          <w:tcPr>
            <w:tcW w:w="5529" w:type="dxa"/>
            <w:gridSpan w:val="3"/>
            <w:tcBorders>
              <w:top w:val="single" w:sz="4" w:space="0" w:color="auto"/>
              <w:bottom w:val="single" w:sz="4" w:space="0" w:color="auto"/>
            </w:tcBorders>
          </w:tcPr>
          <w:p w14:paraId="3B78D7DF" w14:textId="77777777" w:rsidR="00E760C2" w:rsidRPr="00E760C2" w:rsidRDefault="00E760C2" w:rsidP="00753A00">
            <w:pPr>
              <w:widowControl w:val="0"/>
              <w:autoSpaceDE w:val="0"/>
              <w:autoSpaceDN w:val="0"/>
              <w:adjustRightInd w:val="0"/>
              <w:spacing w:before="0" w:after="120" w:line="276" w:lineRule="auto"/>
              <w:ind w:left="40"/>
              <w:contextualSpacing/>
              <w:jc w:val="center"/>
              <w:rPr>
                <w:rFonts w:eastAsia="Calibri" w:cs="Arial"/>
                <w:sz w:val="18"/>
                <w:szCs w:val="18"/>
              </w:rPr>
            </w:pPr>
            <w:r w:rsidRPr="00E760C2">
              <w:rPr>
                <w:rFonts w:eastAsia="Calibri" w:cs="Arial"/>
                <w:sz w:val="18"/>
                <w:szCs w:val="18"/>
              </w:rPr>
              <w:t>Coefficients</w:t>
            </w:r>
          </w:p>
        </w:tc>
      </w:tr>
      <w:tr w:rsidR="00E760C2" w:rsidRPr="009548FC" w14:paraId="6BC3B345" w14:textId="77777777" w:rsidTr="00753A00">
        <w:tc>
          <w:tcPr>
            <w:tcW w:w="3969" w:type="dxa"/>
            <w:tcBorders>
              <w:top w:val="single" w:sz="4" w:space="0" w:color="auto"/>
              <w:bottom w:val="single" w:sz="4" w:space="0" w:color="auto"/>
            </w:tcBorders>
          </w:tcPr>
          <w:p w14:paraId="27A2230C"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p>
        </w:tc>
        <w:tc>
          <w:tcPr>
            <w:tcW w:w="1985" w:type="dxa"/>
            <w:tcBorders>
              <w:top w:val="single" w:sz="4" w:space="0" w:color="auto"/>
              <w:bottom w:val="single" w:sz="4" w:space="0" w:color="auto"/>
            </w:tcBorders>
          </w:tcPr>
          <w:p w14:paraId="12273EC8" w14:textId="77777777" w:rsidR="00E760C2" w:rsidRPr="00E760C2" w:rsidRDefault="00E760C2" w:rsidP="00753A00">
            <w:pPr>
              <w:widowControl w:val="0"/>
              <w:autoSpaceDE w:val="0"/>
              <w:autoSpaceDN w:val="0"/>
              <w:adjustRightInd w:val="0"/>
              <w:spacing w:before="0" w:after="120" w:line="276" w:lineRule="auto"/>
              <w:ind w:left="40"/>
              <w:contextualSpacing/>
              <w:jc w:val="center"/>
              <w:rPr>
                <w:rFonts w:eastAsia="Calibri" w:cs="Arial"/>
                <w:sz w:val="18"/>
                <w:szCs w:val="18"/>
              </w:rPr>
            </w:pPr>
            <w:r w:rsidRPr="00E760C2">
              <w:rPr>
                <w:rFonts w:eastAsia="Calibri" w:cs="Arial"/>
                <w:sz w:val="18"/>
                <w:szCs w:val="18"/>
              </w:rPr>
              <w:t>Knowledge industries turnover per capita</w:t>
            </w:r>
          </w:p>
        </w:tc>
        <w:tc>
          <w:tcPr>
            <w:tcW w:w="1748" w:type="dxa"/>
            <w:tcBorders>
              <w:top w:val="single" w:sz="4" w:space="0" w:color="auto"/>
              <w:bottom w:val="single" w:sz="4" w:space="0" w:color="auto"/>
            </w:tcBorders>
          </w:tcPr>
          <w:p w14:paraId="06A033B6" w14:textId="77777777" w:rsidR="00E760C2" w:rsidRPr="00E760C2" w:rsidRDefault="00E760C2" w:rsidP="00753A00">
            <w:pPr>
              <w:widowControl w:val="0"/>
              <w:autoSpaceDE w:val="0"/>
              <w:autoSpaceDN w:val="0"/>
              <w:adjustRightInd w:val="0"/>
              <w:spacing w:before="0" w:after="120" w:line="276" w:lineRule="auto"/>
              <w:ind w:left="40"/>
              <w:contextualSpacing/>
              <w:jc w:val="center"/>
              <w:rPr>
                <w:rFonts w:eastAsia="Calibri" w:cs="Arial"/>
                <w:sz w:val="18"/>
                <w:szCs w:val="18"/>
              </w:rPr>
            </w:pPr>
            <w:r w:rsidRPr="00E760C2">
              <w:rPr>
                <w:rFonts w:eastAsia="Calibri" w:cs="Arial"/>
                <w:sz w:val="18"/>
                <w:szCs w:val="18"/>
              </w:rPr>
              <w:t>Tourism industries turnover per capita</w:t>
            </w:r>
          </w:p>
        </w:tc>
        <w:tc>
          <w:tcPr>
            <w:tcW w:w="1796" w:type="dxa"/>
            <w:tcBorders>
              <w:top w:val="single" w:sz="4" w:space="0" w:color="auto"/>
              <w:bottom w:val="single" w:sz="4" w:space="0" w:color="auto"/>
            </w:tcBorders>
          </w:tcPr>
          <w:p w14:paraId="4AEC714F" w14:textId="77777777" w:rsidR="00E760C2" w:rsidRPr="00E760C2" w:rsidRDefault="00E760C2" w:rsidP="00753A00">
            <w:pPr>
              <w:widowControl w:val="0"/>
              <w:autoSpaceDE w:val="0"/>
              <w:autoSpaceDN w:val="0"/>
              <w:adjustRightInd w:val="0"/>
              <w:spacing w:before="0" w:after="120" w:line="276" w:lineRule="auto"/>
              <w:ind w:left="40"/>
              <w:contextualSpacing/>
              <w:jc w:val="center"/>
              <w:rPr>
                <w:rFonts w:eastAsia="Calibri" w:cs="Arial"/>
                <w:sz w:val="18"/>
                <w:szCs w:val="18"/>
              </w:rPr>
            </w:pPr>
            <w:r w:rsidRPr="00E760C2">
              <w:rPr>
                <w:rFonts w:eastAsia="Calibri" w:cs="Arial"/>
                <w:sz w:val="18"/>
                <w:szCs w:val="18"/>
              </w:rPr>
              <w:t>Professional industries turnover per capita</w:t>
            </w:r>
          </w:p>
        </w:tc>
      </w:tr>
      <w:tr w:rsidR="00E760C2" w:rsidRPr="009548FC" w14:paraId="032247C9" w14:textId="77777777" w:rsidTr="00753A00">
        <w:tc>
          <w:tcPr>
            <w:tcW w:w="3969" w:type="dxa"/>
            <w:tcBorders>
              <w:top w:val="single" w:sz="4" w:space="0" w:color="auto"/>
            </w:tcBorders>
          </w:tcPr>
          <w:p w14:paraId="4DC15A86"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b/>
                <w:sz w:val="18"/>
                <w:szCs w:val="18"/>
                <w:u w:val="single"/>
              </w:rPr>
            </w:pPr>
            <w:r w:rsidRPr="00E760C2">
              <w:rPr>
                <w:rFonts w:eastAsia="Calibri" w:cs="Arial"/>
                <w:b/>
                <w:sz w:val="18"/>
                <w:szCs w:val="18"/>
                <w:u w:val="single"/>
              </w:rPr>
              <w:t>Assets</w:t>
            </w:r>
          </w:p>
        </w:tc>
        <w:tc>
          <w:tcPr>
            <w:tcW w:w="1985" w:type="dxa"/>
            <w:tcBorders>
              <w:top w:val="single" w:sz="4" w:space="0" w:color="auto"/>
            </w:tcBorders>
          </w:tcPr>
          <w:p w14:paraId="0DBA9548"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p>
        </w:tc>
        <w:tc>
          <w:tcPr>
            <w:tcW w:w="1748" w:type="dxa"/>
            <w:tcBorders>
              <w:top w:val="single" w:sz="4" w:space="0" w:color="auto"/>
            </w:tcBorders>
          </w:tcPr>
          <w:p w14:paraId="49FDB363"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p>
        </w:tc>
        <w:tc>
          <w:tcPr>
            <w:tcW w:w="1796" w:type="dxa"/>
            <w:tcBorders>
              <w:top w:val="single" w:sz="4" w:space="0" w:color="auto"/>
            </w:tcBorders>
          </w:tcPr>
          <w:p w14:paraId="24D7BAB4"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p>
        </w:tc>
      </w:tr>
      <w:tr w:rsidR="00E760C2" w:rsidRPr="009548FC" w14:paraId="691946D3" w14:textId="77777777" w:rsidTr="00753A00">
        <w:tc>
          <w:tcPr>
            <w:tcW w:w="3969" w:type="dxa"/>
          </w:tcPr>
          <w:p w14:paraId="5528ACEE"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Heritage assets density</w:t>
            </w:r>
          </w:p>
        </w:tc>
        <w:tc>
          <w:tcPr>
            <w:tcW w:w="1985" w:type="dxa"/>
          </w:tcPr>
          <w:p w14:paraId="147F082C"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0.082***</w:t>
            </w:r>
          </w:p>
        </w:tc>
        <w:tc>
          <w:tcPr>
            <w:tcW w:w="1748" w:type="dxa"/>
          </w:tcPr>
          <w:p w14:paraId="68694511"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0.099***</w:t>
            </w:r>
          </w:p>
        </w:tc>
        <w:tc>
          <w:tcPr>
            <w:tcW w:w="1796" w:type="dxa"/>
          </w:tcPr>
          <w:p w14:paraId="298B8926"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0.022</w:t>
            </w:r>
          </w:p>
        </w:tc>
      </w:tr>
      <w:tr w:rsidR="00E760C2" w:rsidRPr="009548FC" w14:paraId="69D69884" w14:textId="77777777" w:rsidTr="00753A00">
        <w:tc>
          <w:tcPr>
            <w:tcW w:w="3969" w:type="dxa"/>
          </w:tcPr>
          <w:p w14:paraId="09BF0C8F"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Sports assets density</w:t>
            </w:r>
          </w:p>
        </w:tc>
        <w:tc>
          <w:tcPr>
            <w:tcW w:w="1985" w:type="dxa"/>
          </w:tcPr>
          <w:p w14:paraId="01517FC0"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-0.157</w:t>
            </w:r>
          </w:p>
        </w:tc>
        <w:tc>
          <w:tcPr>
            <w:tcW w:w="1748" w:type="dxa"/>
          </w:tcPr>
          <w:p w14:paraId="2E9EAC43"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-0.163</w:t>
            </w:r>
          </w:p>
        </w:tc>
        <w:tc>
          <w:tcPr>
            <w:tcW w:w="1796" w:type="dxa"/>
          </w:tcPr>
          <w:p w14:paraId="18435312"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0.055</w:t>
            </w:r>
          </w:p>
        </w:tc>
      </w:tr>
      <w:tr w:rsidR="00E760C2" w:rsidRPr="009548FC" w14:paraId="6CEE67BE" w14:textId="77777777" w:rsidTr="00753A00">
        <w:tc>
          <w:tcPr>
            <w:tcW w:w="3969" w:type="dxa"/>
          </w:tcPr>
          <w:p w14:paraId="68A5E045"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Cultural events per capita</w:t>
            </w:r>
          </w:p>
        </w:tc>
        <w:tc>
          <w:tcPr>
            <w:tcW w:w="1985" w:type="dxa"/>
          </w:tcPr>
          <w:p w14:paraId="3E99B732"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0.175***</w:t>
            </w:r>
          </w:p>
        </w:tc>
        <w:tc>
          <w:tcPr>
            <w:tcW w:w="1748" w:type="dxa"/>
          </w:tcPr>
          <w:p w14:paraId="2A15C3DF"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0.311***</w:t>
            </w:r>
          </w:p>
        </w:tc>
        <w:tc>
          <w:tcPr>
            <w:tcW w:w="1796" w:type="dxa"/>
          </w:tcPr>
          <w:p w14:paraId="2007F929"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0.144</w:t>
            </w:r>
          </w:p>
        </w:tc>
      </w:tr>
      <w:tr w:rsidR="00E760C2" w:rsidRPr="009548FC" w14:paraId="7F92106D" w14:textId="77777777" w:rsidTr="00753A00">
        <w:tc>
          <w:tcPr>
            <w:tcW w:w="3969" w:type="dxa"/>
          </w:tcPr>
          <w:p w14:paraId="110ED9AA"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Libraries density</w:t>
            </w:r>
          </w:p>
        </w:tc>
        <w:tc>
          <w:tcPr>
            <w:tcW w:w="1985" w:type="dxa"/>
          </w:tcPr>
          <w:p w14:paraId="01C10922"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-0.039</w:t>
            </w:r>
          </w:p>
        </w:tc>
        <w:tc>
          <w:tcPr>
            <w:tcW w:w="1748" w:type="dxa"/>
          </w:tcPr>
          <w:p w14:paraId="6587FD92"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-0.097</w:t>
            </w:r>
          </w:p>
        </w:tc>
        <w:tc>
          <w:tcPr>
            <w:tcW w:w="1796" w:type="dxa"/>
          </w:tcPr>
          <w:p w14:paraId="2D17A7EE"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-0.048</w:t>
            </w:r>
          </w:p>
        </w:tc>
      </w:tr>
      <w:tr w:rsidR="00E760C2" w:rsidRPr="009548FC" w14:paraId="07C93E3F" w14:textId="77777777" w:rsidTr="00753A00">
        <w:tc>
          <w:tcPr>
            <w:tcW w:w="3969" w:type="dxa"/>
          </w:tcPr>
          <w:p w14:paraId="218D23EE"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b/>
                <w:sz w:val="18"/>
                <w:szCs w:val="18"/>
                <w:u w:val="single"/>
              </w:rPr>
            </w:pPr>
            <w:r w:rsidRPr="00E760C2">
              <w:rPr>
                <w:rFonts w:eastAsia="Calibri" w:cs="Arial"/>
                <w:b/>
                <w:sz w:val="18"/>
                <w:szCs w:val="18"/>
                <w:u w:val="single"/>
              </w:rPr>
              <w:t>Investment</w:t>
            </w:r>
          </w:p>
        </w:tc>
        <w:tc>
          <w:tcPr>
            <w:tcW w:w="1985" w:type="dxa"/>
          </w:tcPr>
          <w:p w14:paraId="3EA81E8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c>
          <w:tcPr>
            <w:tcW w:w="1748" w:type="dxa"/>
          </w:tcPr>
          <w:p w14:paraId="52A7FC4E"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c>
          <w:tcPr>
            <w:tcW w:w="1796" w:type="dxa"/>
          </w:tcPr>
          <w:p w14:paraId="11871F52"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r>
      <w:tr w:rsidR="00E760C2" w:rsidRPr="009548FC" w14:paraId="2D4D557C" w14:textId="77777777" w:rsidTr="00753A00">
        <w:tc>
          <w:tcPr>
            <w:tcW w:w="3969" w:type="dxa"/>
          </w:tcPr>
          <w:p w14:paraId="4E65A5DE"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Local authority investment in CS&amp;H</w:t>
            </w:r>
          </w:p>
        </w:tc>
        <w:tc>
          <w:tcPr>
            <w:tcW w:w="1985" w:type="dxa"/>
          </w:tcPr>
          <w:p w14:paraId="2C990B38"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0.005</w:t>
            </w:r>
          </w:p>
        </w:tc>
        <w:tc>
          <w:tcPr>
            <w:tcW w:w="1748" w:type="dxa"/>
          </w:tcPr>
          <w:p w14:paraId="06502775"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0.060</w:t>
            </w:r>
          </w:p>
        </w:tc>
        <w:tc>
          <w:tcPr>
            <w:tcW w:w="1796" w:type="dxa"/>
          </w:tcPr>
          <w:p w14:paraId="4C066B40"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-0.095*</w:t>
            </w:r>
          </w:p>
        </w:tc>
      </w:tr>
      <w:tr w:rsidR="00E760C2" w:rsidRPr="009548FC" w14:paraId="3824CF90" w14:textId="77777777" w:rsidTr="00753A00">
        <w:tc>
          <w:tcPr>
            <w:tcW w:w="3969" w:type="dxa"/>
          </w:tcPr>
          <w:p w14:paraId="0AD54AB8"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eastAsia="Calibri" w:cs="Arial"/>
                <w:sz w:val="18"/>
                <w:szCs w:val="18"/>
              </w:rPr>
              <w:t>Lottery investment in CS&amp;H</w:t>
            </w:r>
          </w:p>
        </w:tc>
        <w:tc>
          <w:tcPr>
            <w:tcW w:w="1985" w:type="dxa"/>
          </w:tcPr>
          <w:p w14:paraId="33A03210"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-0.041</w:t>
            </w:r>
          </w:p>
        </w:tc>
        <w:tc>
          <w:tcPr>
            <w:tcW w:w="1748" w:type="dxa"/>
          </w:tcPr>
          <w:p w14:paraId="23AD52A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0.057</w:t>
            </w:r>
          </w:p>
        </w:tc>
        <w:tc>
          <w:tcPr>
            <w:tcW w:w="1796" w:type="dxa"/>
          </w:tcPr>
          <w:p w14:paraId="4B48850B"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-0.027</w:t>
            </w:r>
          </w:p>
        </w:tc>
      </w:tr>
      <w:tr w:rsidR="00E760C2" w:rsidRPr="009548FC" w14:paraId="597801B6" w14:textId="77777777" w:rsidTr="00753A00">
        <w:tc>
          <w:tcPr>
            <w:tcW w:w="3969" w:type="dxa"/>
          </w:tcPr>
          <w:p w14:paraId="773B959C"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b/>
                <w:sz w:val="18"/>
                <w:szCs w:val="18"/>
                <w:u w:val="single"/>
              </w:rPr>
            </w:pPr>
            <w:r w:rsidRPr="00E760C2">
              <w:rPr>
                <w:rFonts w:eastAsia="Calibri" w:cs="Arial"/>
                <w:b/>
                <w:sz w:val="18"/>
                <w:szCs w:val="18"/>
                <w:u w:val="single"/>
              </w:rPr>
              <w:t>Additional push/pull factors</w:t>
            </w:r>
          </w:p>
        </w:tc>
        <w:tc>
          <w:tcPr>
            <w:tcW w:w="1985" w:type="dxa"/>
          </w:tcPr>
          <w:p w14:paraId="43E77AC2"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c>
          <w:tcPr>
            <w:tcW w:w="1748" w:type="dxa"/>
          </w:tcPr>
          <w:p w14:paraId="225D2C56"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c>
          <w:tcPr>
            <w:tcW w:w="1796" w:type="dxa"/>
          </w:tcPr>
          <w:p w14:paraId="6B7A9A22"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b/>
                <w:sz w:val="18"/>
                <w:szCs w:val="18"/>
              </w:rPr>
            </w:pPr>
          </w:p>
        </w:tc>
      </w:tr>
      <w:tr w:rsidR="00E760C2" w:rsidRPr="009548FC" w14:paraId="3B4002E0" w14:textId="77777777" w:rsidTr="00753A00">
        <w:tc>
          <w:tcPr>
            <w:tcW w:w="3969" w:type="dxa"/>
          </w:tcPr>
          <w:p w14:paraId="6BE68A97"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Employment rate</w:t>
            </w:r>
          </w:p>
        </w:tc>
        <w:tc>
          <w:tcPr>
            <w:tcW w:w="1985" w:type="dxa"/>
          </w:tcPr>
          <w:p w14:paraId="065FBD24"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0.036</w:t>
            </w:r>
          </w:p>
        </w:tc>
        <w:tc>
          <w:tcPr>
            <w:tcW w:w="1748" w:type="dxa"/>
          </w:tcPr>
          <w:p w14:paraId="21E7D257"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0.041</w:t>
            </w:r>
          </w:p>
        </w:tc>
        <w:tc>
          <w:tcPr>
            <w:tcW w:w="1796" w:type="dxa"/>
          </w:tcPr>
          <w:p w14:paraId="557D194A"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-0.001</w:t>
            </w:r>
          </w:p>
        </w:tc>
      </w:tr>
      <w:tr w:rsidR="00E760C2" w:rsidRPr="009548FC" w14:paraId="59652ED4" w14:textId="77777777" w:rsidTr="00753A00">
        <w:tc>
          <w:tcPr>
            <w:tcW w:w="3969" w:type="dxa"/>
          </w:tcPr>
          <w:p w14:paraId="21BB20CC"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Skilled labour proportion</w:t>
            </w:r>
          </w:p>
        </w:tc>
        <w:tc>
          <w:tcPr>
            <w:tcW w:w="1985" w:type="dxa"/>
          </w:tcPr>
          <w:p w14:paraId="22E5E849"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0.406***</w:t>
            </w:r>
          </w:p>
        </w:tc>
        <w:tc>
          <w:tcPr>
            <w:tcW w:w="1748" w:type="dxa"/>
          </w:tcPr>
          <w:p w14:paraId="690CF882"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-0.036</w:t>
            </w:r>
          </w:p>
        </w:tc>
        <w:tc>
          <w:tcPr>
            <w:tcW w:w="1796" w:type="dxa"/>
          </w:tcPr>
          <w:p w14:paraId="31A671B6"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0.481</w:t>
            </w:r>
          </w:p>
        </w:tc>
      </w:tr>
      <w:tr w:rsidR="00E760C2" w:rsidRPr="009548FC" w14:paraId="428D087B" w14:textId="77777777" w:rsidTr="00753A00">
        <w:tc>
          <w:tcPr>
            <w:tcW w:w="3969" w:type="dxa"/>
          </w:tcPr>
          <w:p w14:paraId="19C26172"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Housing density</w:t>
            </w:r>
          </w:p>
        </w:tc>
        <w:tc>
          <w:tcPr>
            <w:tcW w:w="1985" w:type="dxa"/>
          </w:tcPr>
          <w:p w14:paraId="51211181"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-0.485</w:t>
            </w:r>
          </w:p>
        </w:tc>
        <w:tc>
          <w:tcPr>
            <w:tcW w:w="1748" w:type="dxa"/>
          </w:tcPr>
          <w:p w14:paraId="7CA95973"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0.131</w:t>
            </w:r>
          </w:p>
        </w:tc>
        <w:tc>
          <w:tcPr>
            <w:tcW w:w="1796" w:type="dxa"/>
          </w:tcPr>
          <w:p w14:paraId="07D99DF2"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-0.886</w:t>
            </w:r>
          </w:p>
        </w:tc>
      </w:tr>
      <w:tr w:rsidR="00E760C2" w:rsidRPr="009548FC" w14:paraId="394AFB7B" w14:textId="77777777" w:rsidTr="00753A00">
        <w:tc>
          <w:tcPr>
            <w:tcW w:w="3969" w:type="dxa"/>
          </w:tcPr>
          <w:p w14:paraId="378B4009"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 xml:space="preserve">Network infrastructure </w:t>
            </w:r>
          </w:p>
        </w:tc>
        <w:tc>
          <w:tcPr>
            <w:tcW w:w="1985" w:type="dxa"/>
          </w:tcPr>
          <w:p w14:paraId="74245B94"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0.179</w:t>
            </w:r>
          </w:p>
        </w:tc>
        <w:tc>
          <w:tcPr>
            <w:tcW w:w="1748" w:type="dxa"/>
          </w:tcPr>
          <w:p w14:paraId="31DA3374"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0.336**</w:t>
            </w:r>
          </w:p>
        </w:tc>
        <w:tc>
          <w:tcPr>
            <w:tcW w:w="1796" w:type="dxa"/>
          </w:tcPr>
          <w:p w14:paraId="1AF4B831"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0.169</w:t>
            </w:r>
          </w:p>
        </w:tc>
      </w:tr>
      <w:tr w:rsidR="00E760C2" w:rsidRPr="009548FC" w14:paraId="40E0EC84" w14:textId="77777777" w:rsidTr="00753A00">
        <w:tc>
          <w:tcPr>
            <w:tcW w:w="3969" w:type="dxa"/>
          </w:tcPr>
          <w:p w14:paraId="0C9E62B2"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Transport infrastructure</w:t>
            </w:r>
          </w:p>
        </w:tc>
        <w:tc>
          <w:tcPr>
            <w:tcW w:w="1985" w:type="dxa"/>
          </w:tcPr>
          <w:p w14:paraId="333D054E"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-0.179*</w:t>
            </w:r>
          </w:p>
        </w:tc>
        <w:tc>
          <w:tcPr>
            <w:tcW w:w="1748" w:type="dxa"/>
          </w:tcPr>
          <w:p w14:paraId="4701557B"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-0.116</w:t>
            </w:r>
          </w:p>
        </w:tc>
        <w:tc>
          <w:tcPr>
            <w:tcW w:w="1796" w:type="dxa"/>
          </w:tcPr>
          <w:p w14:paraId="193928DA"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-0.111</w:t>
            </w:r>
          </w:p>
        </w:tc>
      </w:tr>
      <w:tr w:rsidR="00E760C2" w:rsidRPr="009548FC" w14:paraId="1B083505" w14:textId="77777777" w:rsidTr="00753A00">
        <w:tc>
          <w:tcPr>
            <w:tcW w:w="3969" w:type="dxa"/>
          </w:tcPr>
          <w:p w14:paraId="0FDE5C12"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Life satisfaction</w:t>
            </w:r>
          </w:p>
        </w:tc>
        <w:tc>
          <w:tcPr>
            <w:tcW w:w="1985" w:type="dxa"/>
          </w:tcPr>
          <w:p w14:paraId="607EE964"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0.235</w:t>
            </w:r>
          </w:p>
        </w:tc>
        <w:tc>
          <w:tcPr>
            <w:tcW w:w="1748" w:type="dxa"/>
          </w:tcPr>
          <w:p w14:paraId="7FCC8CC6"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0.394</w:t>
            </w:r>
          </w:p>
        </w:tc>
        <w:tc>
          <w:tcPr>
            <w:tcW w:w="1796" w:type="dxa"/>
          </w:tcPr>
          <w:p w14:paraId="654173E6"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-0.471</w:t>
            </w:r>
          </w:p>
        </w:tc>
      </w:tr>
      <w:tr w:rsidR="00E760C2" w:rsidRPr="009548FC" w14:paraId="18028CD9" w14:textId="77777777" w:rsidTr="00753A00">
        <w:tc>
          <w:tcPr>
            <w:tcW w:w="3969" w:type="dxa"/>
          </w:tcPr>
          <w:p w14:paraId="24E6BAF6"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Size of the market (population)</w:t>
            </w:r>
          </w:p>
        </w:tc>
        <w:tc>
          <w:tcPr>
            <w:tcW w:w="1985" w:type="dxa"/>
          </w:tcPr>
          <w:p w14:paraId="429F4768"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0.538</w:t>
            </w:r>
          </w:p>
        </w:tc>
        <w:tc>
          <w:tcPr>
            <w:tcW w:w="1748" w:type="dxa"/>
          </w:tcPr>
          <w:p w14:paraId="73834B07" w14:textId="77777777" w:rsidR="00E760C2" w:rsidRPr="00E760C2" w:rsidRDefault="00E760C2" w:rsidP="00753A00">
            <w:pPr>
              <w:widowControl w:val="0"/>
              <w:autoSpaceDE w:val="0"/>
              <w:autoSpaceDN w:val="0"/>
              <w:adjustRightInd w:val="0"/>
              <w:spacing w:before="0" w:after="120" w:line="276" w:lineRule="auto"/>
              <w:ind w:left="0"/>
              <w:contextualSpacing/>
              <w:jc w:val="center"/>
              <w:rPr>
                <w:rFonts w:eastAsia="Calibri" w:cs="Arial"/>
                <w:sz w:val="18"/>
                <w:szCs w:val="18"/>
              </w:rPr>
            </w:pPr>
            <w:r w:rsidRPr="00E760C2">
              <w:rPr>
                <w:rFonts w:eastAsia="Calibri" w:cs="Arial"/>
                <w:sz w:val="18"/>
                <w:szCs w:val="18"/>
              </w:rPr>
              <w:t>0.336</w:t>
            </w:r>
          </w:p>
        </w:tc>
        <w:tc>
          <w:tcPr>
            <w:tcW w:w="1796" w:type="dxa"/>
          </w:tcPr>
          <w:p w14:paraId="0EE23B1D"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0.810</w:t>
            </w:r>
          </w:p>
        </w:tc>
      </w:tr>
      <w:tr w:rsidR="00E760C2" w:rsidRPr="009548FC" w14:paraId="181A3E85" w14:textId="77777777" w:rsidTr="00753A00">
        <w:tc>
          <w:tcPr>
            <w:tcW w:w="3969" w:type="dxa"/>
            <w:tcBorders>
              <w:bottom w:val="single" w:sz="4" w:space="0" w:color="auto"/>
            </w:tcBorders>
          </w:tcPr>
          <w:p w14:paraId="34E214FC"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E760C2">
              <w:rPr>
                <w:rFonts w:cs="Arial"/>
                <w:bCs/>
                <w:sz w:val="18"/>
                <w:szCs w:val="18"/>
              </w:rPr>
              <w:t>GVA per capita</w:t>
            </w:r>
          </w:p>
        </w:tc>
        <w:tc>
          <w:tcPr>
            <w:tcW w:w="1985" w:type="dxa"/>
            <w:tcBorders>
              <w:bottom w:val="single" w:sz="4" w:space="0" w:color="auto"/>
            </w:tcBorders>
          </w:tcPr>
          <w:p w14:paraId="604BCB35"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0.891***</w:t>
            </w:r>
          </w:p>
        </w:tc>
        <w:tc>
          <w:tcPr>
            <w:tcW w:w="1748" w:type="dxa"/>
            <w:tcBorders>
              <w:bottom w:val="single" w:sz="4" w:space="0" w:color="auto"/>
            </w:tcBorders>
          </w:tcPr>
          <w:p w14:paraId="56BF8AEB"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0.640***</w:t>
            </w:r>
          </w:p>
        </w:tc>
        <w:tc>
          <w:tcPr>
            <w:tcW w:w="1796" w:type="dxa"/>
            <w:tcBorders>
              <w:bottom w:val="single" w:sz="4" w:space="0" w:color="auto"/>
            </w:tcBorders>
          </w:tcPr>
          <w:p w14:paraId="0D412AF9"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0.903***</w:t>
            </w:r>
          </w:p>
        </w:tc>
      </w:tr>
      <w:tr w:rsidR="00E760C2" w:rsidRPr="009548FC" w14:paraId="30F05788" w14:textId="77777777" w:rsidTr="00753A00">
        <w:tc>
          <w:tcPr>
            <w:tcW w:w="3969" w:type="dxa"/>
            <w:tcBorders>
              <w:top w:val="single" w:sz="4" w:space="0" w:color="auto"/>
              <w:bottom w:val="single" w:sz="4" w:space="0" w:color="auto"/>
            </w:tcBorders>
          </w:tcPr>
          <w:p w14:paraId="41DD204D" w14:textId="77777777" w:rsidR="00E760C2" w:rsidRPr="00E760C2" w:rsidRDefault="00E760C2" w:rsidP="00753A00">
            <w:pPr>
              <w:widowControl w:val="0"/>
              <w:autoSpaceDE w:val="0"/>
              <w:autoSpaceDN w:val="0"/>
              <w:adjustRightInd w:val="0"/>
              <w:spacing w:before="0" w:after="120" w:line="276" w:lineRule="auto"/>
              <w:ind w:left="34"/>
              <w:contextualSpacing/>
              <w:rPr>
                <w:rFonts w:eastAsia="Calibri" w:cs="Arial"/>
                <w:sz w:val="18"/>
                <w:szCs w:val="18"/>
              </w:rPr>
            </w:pPr>
            <w:r w:rsidRPr="009548FC">
              <w:rPr>
                <w:rFonts w:cs="Arial"/>
                <w:bCs/>
                <w:sz w:val="18"/>
                <w:szCs w:val="18"/>
              </w:rPr>
              <w:t xml:space="preserve">Adjusted </w:t>
            </w:r>
            <w:r w:rsidRPr="00E760C2">
              <w:rPr>
                <w:rFonts w:cs="Arial"/>
                <w:bCs/>
                <w:sz w:val="18"/>
                <w:szCs w:val="18"/>
              </w:rPr>
              <w:t>R</w:t>
            </w:r>
            <w:r w:rsidRPr="00E760C2">
              <w:rPr>
                <w:rFonts w:cs="Arial"/>
                <w:bCs/>
                <w:sz w:val="18"/>
                <w:szCs w:val="18"/>
                <w:vertAlign w:val="superscript"/>
              </w:rPr>
              <w:t>2</w:t>
            </w:r>
          </w:p>
        </w:tc>
        <w:tc>
          <w:tcPr>
            <w:tcW w:w="1985" w:type="dxa"/>
            <w:tcBorders>
              <w:top w:val="single" w:sz="4" w:space="0" w:color="auto"/>
              <w:bottom w:val="single" w:sz="4" w:space="0" w:color="auto"/>
            </w:tcBorders>
          </w:tcPr>
          <w:p w14:paraId="5B2CF559"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0.8091</w:t>
            </w:r>
          </w:p>
        </w:tc>
        <w:tc>
          <w:tcPr>
            <w:tcW w:w="1748" w:type="dxa"/>
            <w:tcBorders>
              <w:top w:val="single" w:sz="4" w:space="0" w:color="auto"/>
              <w:bottom w:val="single" w:sz="4" w:space="0" w:color="auto"/>
            </w:tcBorders>
          </w:tcPr>
          <w:p w14:paraId="66CD4D31"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0.7147</w:t>
            </w:r>
          </w:p>
        </w:tc>
        <w:tc>
          <w:tcPr>
            <w:tcW w:w="1796" w:type="dxa"/>
            <w:tcBorders>
              <w:top w:val="single" w:sz="4" w:space="0" w:color="auto"/>
              <w:bottom w:val="single" w:sz="4" w:space="0" w:color="auto"/>
            </w:tcBorders>
          </w:tcPr>
          <w:p w14:paraId="6D174649" w14:textId="77777777" w:rsidR="00E760C2" w:rsidRPr="00E760C2" w:rsidRDefault="00E760C2" w:rsidP="00753A00">
            <w:pPr>
              <w:widowControl w:val="0"/>
              <w:autoSpaceDE w:val="0"/>
              <w:autoSpaceDN w:val="0"/>
              <w:adjustRightInd w:val="0"/>
              <w:spacing w:before="0" w:after="120" w:line="276" w:lineRule="auto"/>
              <w:ind w:left="34"/>
              <w:contextualSpacing/>
              <w:jc w:val="center"/>
              <w:rPr>
                <w:rFonts w:eastAsia="Calibri" w:cs="Arial"/>
                <w:sz w:val="18"/>
                <w:szCs w:val="18"/>
              </w:rPr>
            </w:pPr>
            <w:r w:rsidRPr="00E760C2">
              <w:rPr>
                <w:rFonts w:eastAsia="Calibri" w:cs="Arial"/>
                <w:sz w:val="18"/>
                <w:szCs w:val="18"/>
              </w:rPr>
              <w:t>0.7780</w:t>
            </w:r>
          </w:p>
        </w:tc>
      </w:tr>
    </w:tbl>
    <w:p w14:paraId="0F5ABD5F" w14:textId="77777777" w:rsidR="00E760C2" w:rsidRPr="00E760C2" w:rsidRDefault="00E760C2" w:rsidP="00E760C2">
      <w:pPr>
        <w:ind w:left="0"/>
        <w:rPr>
          <w:rFonts w:eastAsia="Calibri" w:cs="Arial"/>
          <w:sz w:val="18"/>
        </w:rPr>
      </w:pPr>
      <w:r w:rsidRPr="00E760C2">
        <w:rPr>
          <w:rFonts w:eastAsia="Calibri" w:cs="Arial"/>
          <w:sz w:val="18"/>
        </w:rPr>
        <w:t>Source: NEF Consulting</w:t>
      </w:r>
    </w:p>
    <w:p w14:paraId="271FAB7F" w14:textId="77777777" w:rsidR="00E760C2" w:rsidRPr="00873DB7" w:rsidRDefault="00E760C2" w:rsidP="00E760C2">
      <w:pPr>
        <w:pStyle w:val="Heading2Numbered"/>
        <w:rPr>
          <w:rFonts w:eastAsia="Calibri"/>
        </w:rPr>
      </w:pPr>
      <w:bookmarkStart w:id="67" w:name="_Toc464222915"/>
      <w:r w:rsidRPr="009548FC">
        <w:rPr>
          <w:rFonts w:eastAsia="Calibri"/>
        </w:rPr>
        <w:t>Technical d</w:t>
      </w:r>
      <w:r w:rsidRPr="009A43FB">
        <w:rPr>
          <w:rFonts w:eastAsia="Calibri"/>
        </w:rPr>
        <w:t xml:space="preserve">iscussion of </w:t>
      </w:r>
      <w:r w:rsidRPr="00873DB7">
        <w:rPr>
          <w:rFonts w:eastAsia="Calibri"/>
        </w:rPr>
        <w:t>econometric approach</w:t>
      </w:r>
      <w:bookmarkEnd w:id="67"/>
    </w:p>
    <w:p w14:paraId="6274A041" w14:textId="157FC288" w:rsidR="000A46E0" w:rsidRDefault="00E760C2" w:rsidP="000A46E0">
      <w:pPr>
        <w:rPr>
          <w:rFonts w:eastAsia="Calibri" w:cs="Arial"/>
        </w:rPr>
      </w:pPr>
      <w:r w:rsidRPr="009548FC">
        <w:rPr>
          <w:rFonts w:eastAsia="Calibri" w:cs="Arial"/>
        </w:rPr>
        <w:t>The results show some significant associations between the performance of local economies and CS&amp;H assets and investment. In particular, the number of cultural events per capita is strongly associated with measures of all firms’ economic activity, and there is some evidence that CS&amp;H investment is linked to number of firms per capita and net migration of firms. The relative concentration and turnover of creative industries is also strongly associated with the number of cultural events per capita, as well as lagged investment in CS&amp;H in the panel data.</w:t>
      </w:r>
      <w:r w:rsidR="000A46E0" w:rsidRPr="000A46E0">
        <w:rPr>
          <w:rFonts w:eastAsia="Calibri" w:cs="Arial"/>
        </w:rPr>
        <w:t xml:space="preserve"> </w:t>
      </w:r>
    </w:p>
    <w:p w14:paraId="0502F3A4" w14:textId="169CCFB1" w:rsidR="00E760C2" w:rsidRPr="009548FC" w:rsidRDefault="000A46E0" w:rsidP="000A46E0">
      <w:pPr>
        <w:rPr>
          <w:rFonts w:eastAsia="Calibri" w:cs="Arial"/>
        </w:rPr>
      </w:pPr>
      <w:r>
        <w:rPr>
          <w:rFonts w:eastAsia="Calibri" w:cs="Arial"/>
        </w:rPr>
        <w:t xml:space="preserve">The results should be considered exploratory, and are presented as a starting point for further research. The relationships between variables influencing local economic development are complex, with dynamic interactions and uncertain causality. One future avenue of research could be to use a structural equations approach, making the links between variables explicit. However, this would not be possible without clarifying the theoretical relationships between all variables, which as yet </w:t>
      </w:r>
      <w:r w:rsidR="007A3AE1">
        <w:rPr>
          <w:rFonts w:eastAsia="Calibri" w:cs="Arial"/>
        </w:rPr>
        <w:t>are</w:t>
      </w:r>
      <w:r>
        <w:rPr>
          <w:rFonts w:eastAsia="Calibri" w:cs="Arial"/>
        </w:rPr>
        <w:t xml:space="preserve"> not </w:t>
      </w:r>
      <w:r w:rsidR="007A3AE1">
        <w:rPr>
          <w:rFonts w:eastAsia="Calibri" w:cs="Arial"/>
        </w:rPr>
        <w:t xml:space="preserve">wholly </w:t>
      </w:r>
      <w:r>
        <w:rPr>
          <w:rFonts w:eastAsia="Calibri" w:cs="Arial"/>
        </w:rPr>
        <w:t>clear.</w:t>
      </w:r>
    </w:p>
    <w:p w14:paraId="3336E92F" w14:textId="77777777" w:rsidR="000A46E0" w:rsidRDefault="000A46E0" w:rsidP="000A46E0">
      <w:pPr>
        <w:rPr>
          <w:rFonts w:eastAsia="Calibri" w:cs="Arial"/>
        </w:rPr>
      </w:pPr>
      <w:r>
        <w:rPr>
          <w:rFonts w:eastAsia="Calibri" w:cs="Arial"/>
        </w:rPr>
        <w:t>W</w:t>
      </w:r>
      <w:r w:rsidRPr="009548FC">
        <w:rPr>
          <w:rFonts w:eastAsia="Calibri" w:cs="Arial"/>
        </w:rPr>
        <w:t>e must be cautious about the findings of these results for a number of reasons. A key concern is reverse causality, i.e.</w:t>
      </w:r>
      <w:r>
        <w:rPr>
          <w:rFonts w:eastAsia="Calibri" w:cs="Arial"/>
        </w:rPr>
        <w:t xml:space="preserve"> the cause and effect assumptions of our model may be backwards. Our model assumes that higher local authority investment causes improved economic activity. However, it may be the case that</w:t>
      </w:r>
      <w:r w:rsidRPr="009548FC">
        <w:rPr>
          <w:rFonts w:eastAsia="Calibri" w:cs="Arial"/>
        </w:rPr>
        <w:t xml:space="preserve"> </w:t>
      </w:r>
      <w:r>
        <w:rPr>
          <w:rFonts w:eastAsia="Calibri" w:cs="Arial"/>
        </w:rPr>
        <w:t>economic activity causes local authority investment, perhaps due to increased local authority funds in more affluent areas</w:t>
      </w:r>
      <w:r w:rsidRPr="009548FC">
        <w:rPr>
          <w:rFonts w:eastAsia="Calibri" w:cs="Arial"/>
        </w:rPr>
        <w:t xml:space="preserve">. This would bias our results to appear significant when they are not. </w:t>
      </w:r>
      <w:r>
        <w:rPr>
          <w:rFonts w:eastAsia="Calibri" w:cs="Arial"/>
        </w:rPr>
        <w:t>Alternatively, the two variables may appear to be linked but are actually due to some third unidentified factor.</w:t>
      </w:r>
    </w:p>
    <w:p w14:paraId="5D499F83" w14:textId="43A38B04" w:rsidR="00E760C2" w:rsidRPr="009548FC" w:rsidRDefault="00E760C2" w:rsidP="00E760C2">
      <w:pPr>
        <w:rPr>
          <w:rFonts w:eastAsia="Calibri" w:cs="Arial"/>
        </w:rPr>
      </w:pPr>
      <w:r w:rsidRPr="009548FC">
        <w:rPr>
          <w:rFonts w:eastAsia="Calibri" w:cs="Arial"/>
        </w:rPr>
        <w:t>A solution would be to use an instrumental variables approach:</w:t>
      </w:r>
      <w:r w:rsidR="00034DCF">
        <w:rPr>
          <w:rFonts w:eastAsia="Calibri" w:cs="Arial"/>
        </w:rPr>
        <w:t xml:space="preserve"> i.e. to</w:t>
      </w:r>
      <w:r w:rsidRPr="009548FC">
        <w:rPr>
          <w:rFonts w:eastAsia="Calibri" w:cs="Arial"/>
        </w:rPr>
        <w:t xml:space="preserve"> find a variable that only affects firms through its </w:t>
      </w:r>
      <w:r w:rsidR="00034DCF">
        <w:rPr>
          <w:rFonts w:eastAsia="Calibri" w:cs="Arial"/>
        </w:rPr>
        <w:t>relationship with</w:t>
      </w:r>
      <w:r w:rsidRPr="009548FC">
        <w:rPr>
          <w:rFonts w:eastAsia="Calibri" w:cs="Arial"/>
        </w:rPr>
        <w:t xml:space="preserve"> CS&amp;H investment. This would allow an unbiased estimation of results, but we have been unable to identify such a variable</w:t>
      </w:r>
      <w:r w:rsidR="00D61CD6">
        <w:rPr>
          <w:rFonts w:eastAsia="Calibri" w:cs="Arial"/>
        </w:rPr>
        <w:t>. T</w:t>
      </w:r>
      <w:r w:rsidRPr="009548FC">
        <w:rPr>
          <w:rFonts w:eastAsia="Calibri" w:cs="Arial"/>
        </w:rPr>
        <w:t xml:space="preserve">his may be an area for further </w:t>
      </w:r>
      <w:r w:rsidR="00034DCF">
        <w:rPr>
          <w:rFonts w:eastAsia="Calibri" w:cs="Arial"/>
        </w:rPr>
        <w:t>research in the future</w:t>
      </w:r>
      <w:r w:rsidRPr="009548FC">
        <w:rPr>
          <w:rFonts w:eastAsia="Calibri" w:cs="Arial"/>
        </w:rPr>
        <w:t>.</w:t>
      </w:r>
    </w:p>
    <w:p w14:paraId="6C79429F" w14:textId="7418E268" w:rsidR="00E760C2" w:rsidRPr="009548FC" w:rsidRDefault="00E760C2" w:rsidP="00E760C2">
      <w:pPr>
        <w:rPr>
          <w:rFonts w:eastAsia="Calibri" w:cs="Arial"/>
        </w:rPr>
      </w:pPr>
      <w:r w:rsidRPr="009548FC">
        <w:rPr>
          <w:rFonts w:eastAsia="Calibri" w:cs="Arial"/>
        </w:rPr>
        <w:t>Another area for attention is our unit of analysis</w:t>
      </w:r>
      <w:r w:rsidR="00034DCF">
        <w:rPr>
          <w:rFonts w:eastAsia="Calibri" w:cs="Arial"/>
        </w:rPr>
        <w:t>,</w:t>
      </w:r>
      <w:r w:rsidRPr="009548FC">
        <w:rPr>
          <w:rFonts w:eastAsia="Calibri" w:cs="Arial"/>
        </w:rPr>
        <w:t xml:space="preserve"> the local authority. Effects of arts, culture and heritage have been found in previous studies to be hyperlocal. As such, the local authority is a comparatively large unit of analysis – however, we have had to balance the need for a </w:t>
      </w:r>
      <w:r w:rsidR="00034DCF">
        <w:rPr>
          <w:rFonts w:eastAsia="Calibri" w:cs="Arial"/>
        </w:rPr>
        <w:t xml:space="preserve">local or </w:t>
      </w:r>
      <w:r w:rsidRPr="009548FC">
        <w:rPr>
          <w:rFonts w:eastAsia="Calibri" w:cs="Arial"/>
        </w:rPr>
        <w:t>hyperlocal focus with availability of data. Some CS&amp;H assets and investment data is available at postcode level</w:t>
      </w:r>
      <w:r w:rsidR="00034DCF">
        <w:rPr>
          <w:rFonts w:eastAsia="Calibri" w:cs="Arial"/>
        </w:rPr>
        <w:t>, or even by grid reference</w:t>
      </w:r>
      <w:r w:rsidRPr="009548FC">
        <w:rPr>
          <w:rFonts w:eastAsia="Calibri" w:cs="Arial"/>
        </w:rPr>
        <w:t xml:space="preserve">, but such local detail is not available consistently. While economic performance can also be analysed at hyperlocal scales, however, few of our control variables are available below local authority level. An econometric analysis at hyperlocal level has therefore not been possible. The availability of localised </w:t>
      </w:r>
      <w:proofErr w:type="gramStart"/>
      <w:r w:rsidRPr="009548FC">
        <w:rPr>
          <w:rFonts w:eastAsia="Calibri" w:cs="Arial"/>
        </w:rPr>
        <w:t>datasets which might allow further testing of our models at hyperlocal levels</w:t>
      </w:r>
      <w:proofErr w:type="gramEnd"/>
      <w:r w:rsidRPr="009548FC">
        <w:rPr>
          <w:rFonts w:eastAsia="Calibri" w:cs="Arial"/>
        </w:rPr>
        <w:t xml:space="preserve"> is worth exploring. </w:t>
      </w:r>
    </w:p>
    <w:p w14:paraId="59D8D8AC" w14:textId="685FEE81" w:rsidR="00FA72FB" w:rsidRDefault="00E760C2" w:rsidP="00FA72FB">
      <w:pPr>
        <w:rPr>
          <w:rFonts w:eastAsia="Calibri" w:cs="Arial"/>
        </w:rPr>
      </w:pPr>
      <w:r w:rsidRPr="009548FC">
        <w:rPr>
          <w:rFonts w:eastAsia="Calibri" w:cs="Arial"/>
        </w:rPr>
        <w:t xml:space="preserve">A third area where better data is needed is </w:t>
      </w:r>
      <w:r w:rsidR="00034DCF">
        <w:rPr>
          <w:rFonts w:eastAsia="Calibri" w:cs="Arial"/>
        </w:rPr>
        <w:t xml:space="preserve">changes in </w:t>
      </w:r>
      <w:r w:rsidRPr="009548FC">
        <w:rPr>
          <w:rFonts w:eastAsia="Calibri" w:cs="Arial"/>
        </w:rPr>
        <w:t xml:space="preserve">culture, sports and heritage assets over time. Many (though not all) datasets are available only as a current snapshot, which presents a challenge for longitudinal analysis. </w:t>
      </w:r>
      <w:r w:rsidR="00FA72FB">
        <w:rPr>
          <w:rFonts w:eastAsia="Calibri" w:cs="Arial"/>
        </w:rPr>
        <w:t>Therefore, our panel data analysis does not contain many push/pull factors explicitly (our main control, the Competitiveness Index</w:t>
      </w:r>
      <w:r w:rsidR="00FA72FB">
        <w:rPr>
          <w:rStyle w:val="FootnoteReference"/>
          <w:rFonts w:eastAsia="Calibri" w:cs="Arial"/>
        </w:rPr>
        <w:footnoteReference w:id="26"/>
      </w:r>
      <w:r w:rsidR="00FA72FB">
        <w:rPr>
          <w:rFonts w:eastAsia="Calibri" w:cs="Arial"/>
        </w:rPr>
        <w:t>, contains many of these factors but aggregated and so specific effects cannot be determined – it was felt it was better to include a more reliable composite indicator, even though the individual effects are masked. However, with better data this would not be necessary.</w:t>
      </w:r>
    </w:p>
    <w:p w14:paraId="02FDCC65" w14:textId="79B29455" w:rsidR="00E760C2" w:rsidRPr="009548FC" w:rsidRDefault="00FA72FB" w:rsidP="00FA72FB">
      <w:pPr>
        <w:rPr>
          <w:rFonts w:eastAsia="Calibri" w:cs="Arial"/>
        </w:rPr>
      </w:pPr>
      <w:r>
        <w:rPr>
          <w:rFonts w:eastAsia="Calibri" w:cs="Arial"/>
        </w:rPr>
        <w:t>In the future, further data could be gathered to improve analysis over time:</w:t>
      </w:r>
      <w:r w:rsidR="00E760C2" w:rsidRPr="009548FC">
        <w:rPr>
          <w:rFonts w:eastAsia="Calibri" w:cs="Arial"/>
        </w:rPr>
        <w:t xml:space="preserve"> data such as cultural events listings could perhaps be expanded to be longitudinal</w:t>
      </w:r>
      <w:r w:rsidR="00B11B4E">
        <w:rPr>
          <w:rFonts w:eastAsia="Calibri" w:cs="Arial"/>
        </w:rPr>
        <w:t>, for example</w:t>
      </w:r>
      <w:r w:rsidR="00E760C2" w:rsidRPr="009548FC">
        <w:rPr>
          <w:rFonts w:eastAsia="Calibri" w:cs="Arial"/>
        </w:rPr>
        <w:t xml:space="preserve"> if data </w:t>
      </w:r>
      <w:r w:rsidR="00B11B4E">
        <w:rPr>
          <w:rFonts w:eastAsia="Calibri" w:cs="Arial"/>
        </w:rPr>
        <w:t>wa</w:t>
      </w:r>
      <w:r w:rsidR="00E760C2" w:rsidRPr="009548FC">
        <w:rPr>
          <w:rFonts w:eastAsia="Calibri" w:cs="Arial"/>
        </w:rPr>
        <w:t>s scraped from the web annually.</w:t>
      </w:r>
    </w:p>
    <w:p w14:paraId="5D96F144" w14:textId="49B4D953" w:rsidR="00E760C2" w:rsidRPr="009548FC" w:rsidRDefault="00E760C2" w:rsidP="00E760C2">
      <w:pPr>
        <w:rPr>
          <w:rFonts w:eastAsia="Calibri" w:cs="Arial"/>
        </w:rPr>
      </w:pPr>
      <w:r w:rsidRPr="009548FC">
        <w:rPr>
          <w:rFonts w:eastAsia="Calibri" w:cs="Arial"/>
        </w:rPr>
        <w:t xml:space="preserve">Nevertheless, the dataset we have compiled for this study is incredibly rich and detailed, in particular containing detailed breakdowns of types of local authority investment and lottery investment. Culture, sport and heritage are diverse areas and although treated in aggregate in this analysis (effects could not be separated due to collinearity of </w:t>
      </w:r>
      <w:r w:rsidR="00D61CD6">
        <w:rPr>
          <w:rFonts w:eastAsia="Calibri" w:cs="Arial"/>
        </w:rPr>
        <w:t xml:space="preserve">CS&amp;H </w:t>
      </w:r>
      <w:r w:rsidRPr="009548FC">
        <w:rPr>
          <w:rFonts w:eastAsia="Calibri" w:cs="Arial"/>
        </w:rPr>
        <w:t>variables), it is worth exploring the potentially differing mechanisms of their effects.</w:t>
      </w:r>
    </w:p>
    <w:p w14:paraId="02B2AEDA" w14:textId="0F757FC5" w:rsidR="00E760C2" w:rsidRPr="009548FC" w:rsidRDefault="00E760C2" w:rsidP="00E760C2">
      <w:pPr>
        <w:rPr>
          <w:rFonts w:eastAsia="Calibri" w:cs="Arial"/>
        </w:rPr>
      </w:pPr>
      <w:r w:rsidRPr="009548FC">
        <w:rPr>
          <w:rFonts w:eastAsia="Calibri" w:cs="Arial"/>
        </w:rPr>
        <w:t xml:space="preserve">An important question that naturally follows on from our analysis is whether </w:t>
      </w:r>
      <w:r w:rsidR="00D61CD6">
        <w:rPr>
          <w:rFonts w:eastAsia="Calibri" w:cs="Arial"/>
        </w:rPr>
        <w:t>CS&amp;H assets</w:t>
      </w:r>
      <w:r w:rsidRPr="009548FC">
        <w:rPr>
          <w:rFonts w:eastAsia="Calibri" w:cs="Arial"/>
        </w:rPr>
        <w:t xml:space="preserve"> and investment generate </w:t>
      </w:r>
      <w:r w:rsidR="00D61CD6">
        <w:rPr>
          <w:rFonts w:eastAsia="Calibri" w:cs="Arial"/>
        </w:rPr>
        <w:t>sustained</w:t>
      </w:r>
      <w:r w:rsidR="00D61CD6" w:rsidRPr="009548FC">
        <w:rPr>
          <w:rFonts w:eastAsia="Calibri" w:cs="Arial"/>
        </w:rPr>
        <w:t xml:space="preserve"> </w:t>
      </w:r>
      <w:r w:rsidRPr="009548FC">
        <w:rPr>
          <w:rFonts w:eastAsia="Calibri" w:cs="Arial"/>
        </w:rPr>
        <w:t xml:space="preserve">economic impacts or rather a temporary ‘multiplier’ effect that diminishes over time. It is unsurprising that any investment, including culture, sport and heritage, will boost the </w:t>
      </w:r>
      <w:r w:rsidR="00034DCF">
        <w:rPr>
          <w:rFonts w:eastAsia="Calibri" w:cs="Arial"/>
        </w:rPr>
        <w:t xml:space="preserve">local </w:t>
      </w:r>
      <w:r w:rsidRPr="009548FC">
        <w:rPr>
          <w:rFonts w:eastAsia="Calibri" w:cs="Arial"/>
        </w:rPr>
        <w:t xml:space="preserve">economy in the short term, through the activity </w:t>
      </w:r>
      <w:r w:rsidR="00034DCF">
        <w:rPr>
          <w:rFonts w:eastAsia="Calibri" w:cs="Arial"/>
        </w:rPr>
        <w:t>it directly</w:t>
      </w:r>
      <w:r w:rsidRPr="009548FC">
        <w:rPr>
          <w:rFonts w:eastAsia="Calibri" w:cs="Arial"/>
        </w:rPr>
        <w:t xml:space="preserve"> create</w:t>
      </w:r>
      <w:r w:rsidR="00034DCF">
        <w:rPr>
          <w:rFonts w:eastAsia="Calibri" w:cs="Arial"/>
        </w:rPr>
        <w:t>s</w:t>
      </w:r>
      <w:r w:rsidRPr="009548FC">
        <w:rPr>
          <w:rFonts w:eastAsia="Calibri" w:cs="Arial"/>
        </w:rPr>
        <w:t>. However, economies are dynamic and may respond in unexpected ways: in the long term such investment could crowd out other investment</w:t>
      </w:r>
      <w:r w:rsidRPr="009548FC">
        <w:rPr>
          <w:rStyle w:val="FootnoteReference"/>
          <w:rFonts w:eastAsia="Calibri" w:cs="Arial"/>
        </w:rPr>
        <w:footnoteReference w:id="27"/>
      </w:r>
      <w:r w:rsidRPr="009548FC">
        <w:rPr>
          <w:rFonts w:eastAsia="Calibri" w:cs="Arial"/>
        </w:rPr>
        <w:t>. We could not answer this question with only ten years</w:t>
      </w:r>
      <w:r w:rsidR="00F87951">
        <w:rPr>
          <w:rFonts w:eastAsia="Calibri" w:cs="Arial"/>
        </w:rPr>
        <w:t>’</w:t>
      </w:r>
      <w:r w:rsidRPr="009548FC">
        <w:rPr>
          <w:rFonts w:eastAsia="Calibri" w:cs="Arial"/>
        </w:rPr>
        <w:t xml:space="preserve"> of data – a longer term dataset would be needed</w:t>
      </w:r>
      <w:r w:rsidR="00034DCF" w:rsidRPr="009548FC">
        <w:rPr>
          <w:rFonts w:eastAsia="Calibri" w:cs="Arial"/>
        </w:rPr>
        <w:t xml:space="preserve"> – </w:t>
      </w:r>
      <w:r w:rsidRPr="009548FC">
        <w:rPr>
          <w:rFonts w:eastAsia="Calibri" w:cs="Arial"/>
        </w:rPr>
        <w:t xml:space="preserve">but this is an important area for further research in the future as </w:t>
      </w:r>
      <w:r w:rsidR="00D61CD6">
        <w:rPr>
          <w:rFonts w:eastAsia="Calibri" w:cs="Arial"/>
        </w:rPr>
        <w:t>more</w:t>
      </w:r>
      <w:r w:rsidR="00D61CD6" w:rsidRPr="009548FC">
        <w:rPr>
          <w:rFonts w:eastAsia="Calibri" w:cs="Arial"/>
        </w:rPr>
        <w:t xml:space="preserve"> </w:t>
      </w:r>
      <w:r w:rsidRPr="009548FC">
        <w:rPr>
          <w:rFonts w:eastAsia="Calibri" w:cs="Arial"/>
        </w:rPr>
        <w:t>data becomes available</w:t>
      </w:r>
      <w:r w:rsidR="00D61CD6">
        <w:rPr>
          <w:rFonts w:eastAsia="Calibri" w:cs="Arial"/>
        </w:rPr>
        <w:t>; w</w:t>
      </w:r>
      <w:r w:rsidR="004E2A85">
        <w:rPr>
          <w:rFonts w:eastAsia="Calibri" w:cs="Arial"/>
        </w:rPr>
        <w:t>e suggest that</w:t>
      </w:r>
      <w:r w:rsidR="00150389">
        <w:rPr>
          <w:rFonts w:eastAsia="Calibri" w:cs="Arial"/>
        </w:rPr>
        <w:t xml:space="preserve"> data should be collected regularly over </w:t>
      </w:r>
      <w:r w:rsidR="004E2A85">
        <w:rPr>
          <w:rFonts w:eastAsia="Calibri" w:cs="Arial"/>
        </w:rPr>
        <w:t>another</w:t>
      </w:r>
      <w:r w:rsidR="00150389">
        <w:rPr>
          <w:rFonts w:eastAsia="Calibri" w:cs="Arial"/>
        </w:rPr>
        <w:t xml:space="preserve"> ten years to allow </w:t>
      </w:r>
      <w:r w:rsidR="00AF57DE">
        <w:rPr>
          <w:rFonts w:eastAsia="Calibri" w:cs="Arial"/>
        </w:rPr>
        <w:t>sufficient</w:t>
      </w:r>
      <w:r w:rsidR="00150389">
        <w:rPr>
          <w:rFonts w:eastAsia="Calibri" w:cs="Arial"/>
        </w:rPr>
        <w:t xml:space="preserve"> data </w:t>
      </w:r>
      <w:r w:rsidR="00AF57DE">
        <w:rPr>
          <w:rFonts w:eastAsia="Calibri" w:cs="Arial"/>
        </w:rPr>
        <w:t>for proper</w:t>
      </w:r>
      <w:r w:rsidR="00150389">
        <w:rPr>
          <w:rFonts w:eastAsia="Calibri" w:cs="Arial"/>
        </w:rPr>
        <w:t xml:space="preserve"> analys</w:t>
      </w:r>
      <w:r w:rsidR="00AF57DE">
        <w:rPr>
          <w:rFonts w:eastAsia="Calibri" w:cs="Arial"/>
        </w:rPr>
        <w:t>is</w:t>
      </w:r>
      <w:r w:rsidR="00150389">
        <w:rPr>
          <w:rFonts w:eastAsia="Calibri" w:cs="Arial"/>
        </w:rPr>
        <w:t xml:space="preserve">. </w:t>
      </w:r>
    </w:p>
    <w:p w14:paraId="1BEA8FF4" w14:textId="29B35C0B" w:rsidR="00E760C2" w:rsidRPr="009548FC" w:rsidRDefault="00E760C2" w:rsidP="00E760C2">
      <w:pPr>
        <w:rPr>
          <w:rFonts w:eastAsia="Calibri" w:cs="Arial"/>
        </w:rPr>
      </w:pPr>
      <w:r w:rsidRPr="009548FC">
        <w:rPr>
          <w:rFonts w:eastAsia="Calibri" w:cs="Arial"/>
        </w:rPr>
        <w:t xml:space="preserve">Note that </w:t>
      </w:r>
      <w:r w:rsidRPr="009548FC">
        <w:t xml:space="preserve">the broader implications of these results are discussed in more detail in the conclusion </w:t>
      </w:r>
      <w:r w:rsidR="00B11B4E">
        <w:t>(</w:t>
      </w:r>
      <w:r w:rsidRPr="009548FC">
        <w:t>section</w:t>
      </w:r>
      <w:r w:rsidR="00B11B4E">
        <w:t xml:space="preserve"> </w:t>
      </w:r>
      <w:r w:rsidR="00B11B4E">
        <w:fldChar w:fldCharType="begin"/>
      </w:r>
      <w:r w:rsidR="00B11B4E">
        <w:instrText xml:space="preserve"> REF _Ref460317720 \r \h </w:instrText>
      </w:r>
      <w:r w:rsidR="00B11B4E">
        <w:fldChar w:fldCharType="separate"/>
      </w:r>
      <w:r w:rsidR="00F0636B">
        <w:t>5:</w:t>
      </w:r>
      <w:r w:rsidR="00B11B4E">
        <w:fldChar w:fldCharType="end"/>
      </w:r>
      <w:r w:rsidR="00B11B4E">
        <w:t>, p.</w:t>
      </w:r>
      <w:r w:rsidR="00B11B4E">
        <w:fldChar w:fldCharType="begin"/>
      </w:r>
      <w:r w:rsidR="00B11B4E">
        <w:instrText xml:space="preserve"> PAGEREF _Ref460317723 \h </w:instrText>
      </w:r>
      <w:r w:rsidR="00B11B4E">
        <w:fldChar w:fldCharType="separate"/>
      </w:r>
      <w:r w:rsidR="00F0636B">
        <w:rPr>
          <w:noProof/>
        </w:rPr>
        <w:t>36</w:t>
      </w:r>
      <w:r w:rsidR="00B11B4E">
        <w:fldChar w:fldCharType="end"/>
      </w:r>
      <w:r w:rsidR="00B11B4E">
        <w:t>)</w:t>
      </w:r>
      <w:r w:rsidRPr="009548FC">
        <w:t>.</w:t>
      </w:r>
    </w:p>
    <w:p w14:paraId="1112E759" w14:textId="641AB411" w:rsidR="004E0FEF" w:rsidRPr="00514EFA" w:rsidRDefault="004E0FEF" w:rsidP="00E223F8">
      <w:pPr>
        <w:pStyle w:val="Heading1Numbered"/>
        <w:rPr>
          <w:rFonts w:eastAsia="Calibri" w:cs="Arial"/>
        </w:rPr>
      </w:pPr>
      <w:bookmarkStart w:id="68" w:name="_Ref460317720"/>
      <w:bookmarkStart w:id="69" w:name="_Ref460317723"/>
      <w:bookmarkStart w:id="70" w:name="_Toc464222916"/>
      <w:r w:rsidRPr="00514EFA">
        <w:rPr>
          <w:rFonts w:eastAsia="Calibri" w:cs="Arial"/>
        </w:rPr>
        <w:t>Conclusions</w:t>
      </w:r>
      <w:r w:rsidR="001E3382">
        <w:rPr>
          <w:rFonts w:eastAsia="Calibri" w:cs="Arial"/>
        </w:rPr>
        <w:t>: discussion of findings and implications</w:t>
      </w:r>
      <w:bookmarkEnd w:id="68"/>
      <w:bookmarkEnd w:id="69"/>
      <w:bookmarkEnd w:id="70"/>
      <w:r w:rsidR="001E3382">
        <w:rPr>
          <w:rFonts w:eastAsia="Calibri" w:cs="Arial"/>
        </w:rPr>
        <w:t xml:space="preserve"> </w:t>
      </w:r>
    </w:p>
    <w:p w14:paraId="24A9E550" w14:textId="4F7D28F7" w:rsidR="004E0FEF" w:rsidRPr="00514EFA" w:rsidRDefault="006E084B" w:rsidP="006E084B">
      <w:pPr>
        <w:rPr>
          <w:rFonts w:eastAsia="Calibri" w:cs="Arial"/>
        </w:rPr>
      </w:pPr>
      <w:r w:rsidRPr="00514EFA">
        <w:rPr>
          <w:rFonts w:eastAsia="Calibri" w:cs="Arial"/>
        </w:rPr>
        <w:t>It has long been recognised that culture, sport and heritage have the capacity to add a great deal to local places and to stimulate community engagement.</w:t>
      </w:r>
      <w:r w:rsidR="00A033C6">
        <w:rPr>
          <w:rFonts w:eastAsia="Calibri" w:cs="Arial"/>
        </w:rPr>
        <w:t xml:space="preserve"> </w:t>
      </w:r>
      <w:r w:rsidRPr="00514EFA">
        <w:rPr>
          <w:rFonts w:eastAsia="Calibri" w:cs="Arial"/>
        </w:rPr>
        <w:t>The existing evidence base regarding these interactions is relatively well developed though studies have tended to be focused on specific institutions or assets (e.g. in order to understand the economic or social impact of a theatre</w:t>
      </w:r>
      <w:r w:rsidR="00936C00">
        <w:rPr>
          <w:rFonts w:eastAsia="Calibri" w:cs="Arial"/>
        </w:rPr>
        <w:t xml:space="preserve"> or event</w:t>
      </w:r>
      <w:r w:rsidRPr="00514EFA">
        <w:rPr>
          <w:rFonts w:eastAsia="Calibri" w:cs="Arial"/>
        </w:rPr>
        <w:t xml:space="preserve">), focused on one specific outcome (e.g. house prices), cross-sectional or not UK-based. </w:t>
      </w:r>
    </w:p>
    <w:p w14:paraId="43BF537F" w14:textId="093C7656" w:rsidR="006E084B" w:rsidRPr="00514EFA" w:rsidRDefault="006E084B" w:rsidP="006E084B">
      <w:pPr>
        <w:rPr>
          <w:rFonts w:cs="Arial"/>
        </w:rPr>
      </w:pPr>
      <w:r w:rsidRPr="00514EFA">
        <w:rPr>
          <w:rFonts w:cs="Arial"/>
        </w:rPr>
        <w:t>This study focuses on a key gap in the evidence base associated with the question of whether, when all local places are examined, an empirical link</w:t>
      </w:r>
      <w:r w:rsidR="00D61CD6" w:rsidRPr="00D61CD6">
        <w:rPr>
          <w:rFonts w:cs="Arial"/>
        </w:rPr>
        <w:t xml:space="preserve"> </w:t>
      </w:r>
      <w:r w:rsidR="00D61CD6" w:rsidRPr="00514EFA">
        <w:rPr>
          <w:rFonts w:cs="Arial"/>
        </w:rPr>
        <w:t>can be detected</w:t>
      </w:r>
      <w:r w:rsidRPr="00514EFA">
        <w:rPr>
          <w:rFonts w:cs="Arial"/>
        </w:rPr>
        <w:t xml:space="preserve"> between the presence of or investment in CS&amp;H assets and positive economic outcomes.</w:t>
      </w:r>
      <w:r w:rsidR="00A033C6">
        <w:rPr>
          <w:rFonts w:cs="Arial"/>
        </w:rPr>
        <w:t xml:space="preserve"> </w:t>
      </w:r>
    </w:p>
    <w:p w14:paraId="599128D4" w14:textId="3B1A7C59" w:rsidR="006E084B" w:rsidRPr="00514EFA" w:rsidRDefault="006E084B" w:rsidP="006E084B">
      <w:pPr>
        <w:rPr>
          <w:rFonts w:cs="Arial"/>
        </w:rPr>
      </w:pPr>
      <w:r w:rsidRPr="00514EFA">
        <w:rPr>
          <w:rFonts w:cs="Arial"/>
        </w:rPr>
        <w:t xml:space="preserve">There are some important contextual points to consider before drawing conclusions from the analysis presented </w:t>
      </w:r>
      <w:r w:rsidR="00D61CD6">
        <w:rPr>
          <w:rFonts w:cs="Arial"/>
        </w:rPr>
        <w:t xml:space="preserve">in this </w:t>
      </w:r>
      <w:r w:rsidR="00541CE0">
        <w:rPr>
          <w:rFonts w:cs="Arial"/>
        </w:rPr>
        <w:t>report</w:t>
      </w:r>
      <w:r w:rsidRPr="00514EFA">
        <w:rPr>
          <w:rFonts w:cs="Arial"/>
        </w:rPr>
        <w:t>.</w:t>
      </w:r>
      <w:r w:rsidR="00A033C6">
        <w:rPr>
          <w:rFonts w:cs="Arial"/>
        </w:rPr>
        <w:t xml:space="preserve"> </w:t>
      </w:r>
      <w:r w:rsidR="00541CE0">
        <w:rPr>
          <w:rFonts w:cs="Arial"/>
        </w:rPr>
        <w:t>First, t</w:t>
      </w:r>
      <w:r w:rsidR="00541CE0" w:rsidRPr="00514EFA">
        <w:rPr>
          <w:rFonts w:cs="Arial"/>
        </w:rPr>
        <w:t xml:space="preserve">here </w:t>
      </w:r>
      <w:r w:rsidRPr="00514EFA">
        <w:rPr>
          <w:rFonts w:cs="Arial"/>
        </w:rPr>
        <w:t>is no tried and tested methodology for a study of this nature</w:t>
      </w:r>
      <w:r w:rsidR="00ED1F3B">
        <w:rPr>
          <w:rFonts w:cs="Arial"/>
        </w:rPr>
        <w:t xml:space="preserve">, </w:t>
      </w:r>
      <w:r w:rsidR="00541CE0">
        <w:rPr>
          <w:rFonts w:cs="Arial"/>
        </w:rPr>
        <w:t xml:space="preserve">and our approach has therefore been highly exploratory. </w:t>
      </w:r>
      <w:r w:rsidRPr="00514EFA">
        <w:rPr>
          <w:rFonts w:cs="Arial"/>
        </w:rPr>
        <w:t>.</w:t>
      </w:r>
      <w:r w:rsidR="00A033C6">
        <w:rPr>
          <w:rFonts w:cs="Arial"/>
        </w:rPr>
        <w:t xml:space="preserve"> </w:t>
      </w:r>
      <w:r w:rsidRPr="00514EFA">
        <w:rPr>
          <w:rFonts w:cs="Arial"/>
        </w:rPr>
        <w:t xml:space="preserve">The results should be interpreted </w:t>
      </w:r>
      <w:r w:rsidR="00307677">
        <w:rPr>
          <w:rFonts w:cs="Arial"/>
        </w:rPr>
        <w:t>with this in mind</w:t>
      </w:r>
      <w:r w:rsidRPr="00514EFA">
        <w:rPr>
          <w:rFonts w:cs="Arial"/>
        </w:rPr>
        <w:t>.</w:t>
      </w:r>
      <w:r w:rsidR="00A033C6">
        <w:rPr>
          <w:rFonts w:cs="Arial"/>
        </w:rPr>
        <w:t xml:space="preserve"> </w:t>
      </w:r>
      <w:r w:rsidR="00541CE0">
        <w:rPr>
          <w:rFonts w:cs="Arial"/>
        </w:rPr>
        <w:t>T</w:t>
      </w:r>
      <w:r w:rsidRPr="00514EFA">
        <w:rPr>
          <w:rFonts w:cs="Arial"/>
        </w:rPr>
        <w:t>he study might be considered the first step on a research journey for which the ultimate destination is the gaining of deeper insight into the extent to which, and how, CS&amp;H assets and investment generate positive economic and social outcomes at the local (place) level</w:t>
      </w:r>
      <w:r w:rsidR="00307677">
        <w:rPr>
          <w:rFonts w:cs="Arial"/>
        </w:rPr>
        <w:t>, and how they contribute to generating the intrinsic benefits of cultural value</w:t>
      </w:r>
      <w:r w:rsidRPr="00514EFA">
        <w:rPr>
          <w:rFonts w:cs="Arial"/>
        </w:rPr>
        <w:t>.</w:t>
      </w:r>
    </w:p>
    <w:p w14:paraId="5BD67877" w14:textId="50EE6B91" w:rsidR="0017499A" w:rsidRPr="00514EFA" w:rsidRDefault="0017499A" w:rsidP="006E084B">
      <w:pPr>
        <w:rPr>
          <w:rFonts w:cs="Arial"/>
        </w:rPr>
      </w:pPr>
      <w:r w:rsidRPr="00514EFA">
        <w:rPr>
          <w:rFonts w:cs="Arial"/>
        </w:rPr>
        <w:t xml:space="preserve">Further, the study places an emphasis on </w:t>
      </w:r>
      <w:proofErr w:type="gramStart"/>
      <w:r w:rsidR="00D61CD6" w:rsidRPr="00514EFA">
        <w:rPr>
          <w:rFonts w:cs="Arial"/>
        </w:rPr>
        <w:t>place</w:t>
      </w:r>
      <w:r w:rsidR="00D61CD6">
        <w:rPr>
          <w:rFonts w:cs="Arial"/>
        </w:rPr>
        <w:t>-</w:t>
      </w:r>
      <w:r w:rsidRPr="00514EFA">
        <w:rPr>
          <w:rFonts w:cs="Arial"/>
        </w:rPr>
        <w:t>shaping</w:t>
      </w:r>
      <w:proofErr w:type="gramEnd"/>
      <w:r w:rsidRPr="00514EFA">
        <w:rPr>
          <w:rFonts w:cs="Arial"/>
        </w:rPr>
        <w:t>.</w:t>
      </w:r>
      <w:r w:rsidR="00A033C6">
        <w:rPr>
          <w:rFonts w:cs="Arial"/>
        </w:rPr>
        <w:t xml:space="preserve"> </w:t>
      </w:r>
      <w:r w:rsidRPr="00514EFA">
        <w:rPr>
          <w:rFonts w:cs="Arial"/>
        </w:rPr>
        <w:t xml:space="preserve">This is a </w:t>
      </w:r>
      <w:proofErr w:type="gramStart"/>
      <w:r w:rsidRPr="00514EFA">
        <w:rPr>
          <w:rFonts w:cs="Arial"/>
        </w:rPr>
        <w:t>term which</w:t>
      </w:r>
      <w:proofErr w:type="gramEnd"/>
      <w:r w:rsidRPr="00514EFA">
        <w:rPr>
          <w:rFonts w:cs="Arial"/>
        </w:rPr>
        <w:t xml:space="preserve"> is not well represented in the literature.</w:t>
      </w:r>
      <w:r w:rsidR="00A033C6">
        <w:rPr>
          <w:rFonts w:cs="Arial"/>
        </w:rPr>
        <w:t xml:space="preserve"> </w:t>
      </w:r>
      <w:r w:rsidRPr="00514EFA">
        <w:rPr>
          <w:rFonts w:cs="Arial"/>
        </w:rPr>
        <w:t xml:space="preserve">It reflects a more holistic approach to </w:t>
      </w:r>
      <w:r w:rsidR="00AF57DE" w:rsidRPr="00514EFA">
        <w:rPr>
          <w:rFonts w:cs="Arial"/>
        </w:rPr>
        <w:t>build</w:t>
      </w:r>
      <w:r w:rsidR="00AF57DE">
        <w:rPr>
          <w:rFonts w:cs="Arial"/>
        </w:rPr>
        <w:t>ing</w:t>
      </w:r>
      <w:r w:rsidR="00AF57DE" w:rsidRPr="00514EFA">
        <w:rPr>
          <w:rFonts w:cs="Arial"/>
        </w:rPr>
        <w:t xml:space="preserve"> </w:t>
      </w:r>
      <w:r w:rsidRPr="00514EFA">
        <w:rPr>
          <w:rFonts w:cs="Arial"/>
        </w:rPr>
        <w:t xml:space="preserve">better places than, for example, </w:t>
      </w:r>
      <w:r w:rsidR="00AD6B47">
        <w:rPr>
          <w:rFonts w:cs="Arial"/>
        </w:rPr>
        <w:t>placemaking</w:t>
      </w:r>
      <w:r w:rsidRPr="00514EFA">
        <w:rPr>
          <w:rFonts w:cs="Arial"/>
        </w:rPr>
        <w:t xml:space="preserve"> (which tends to be used </w:t>
      </w:r>
      <w:r w:rsidR="00541CE0">
        <w:rPr>
          <w:rFonts w:cs="Arial"/>
        </w:rPr>
        <w:t xml:space="preserve">more specifically </w:t>
      </w:r>
      <w:r w:rsidRPr="00514EFA">
        <w:rPr>
          <w:rFonts w:cs="Arial"/>
        </w:rPr>
        <w:t>to capture local-area based improvement, often associated with environmental design or public realm and/or place marketing and branding</w:t>
      </w:r>
      <w:r w:rsidR="00307677">
        <w:rPr>
          <w:rFonts w:cs="Arial"/>
        </w:rPr>
        <w:t>)</w:t>
      </w:r>
      <w:r w:rsidRPr="00514EFA">
        <w:rPr>
          <w:rFonts w:cs="Arial"/>
        </w:rPr>
        <w:t>.</w:t>
      </w:r>
      <w:r w:rsidR="00A033C6">
        <w:rPr>
          <w:rFonts w:cs="Arial"/>
        </w:rPr>
        <w:t xml:space="preserve"> </w:t>
      </w:r>
    </w:p>
    <w:p w14:paraId="124D745F" w14:textId="00A039B4" w:rsidR="006E084B" w:rsidRPr="00514EFA" w:rsidRDefault="006E084B" w:rsidP="006E084B">
      <w:pPr>
        <w:rPr>
          <w:rFonts w:cs="Arial"/>
        </w:rPr>
      </w:pPr>
      <w:r w:rsidRPr="00514EFA">
        <w:rPr>
          <w:rFonts w:cs="Arial"/>
        </w:rPr>
        <w:t xml:space="preserve">Addressing </w:t>
      </w:r>
      <w:r w:rsidR="00541CE0" w:rsidRPr="00514EFA">
        <w:rPr>
          <w:rFonts w:cs="Arial"/>
        </w:rPr>
        <w:t>th</w:t>
      </w:r>
      <w:r w:rsidR="00541CE0">
        <w:rPr>
          <w:rFonts w:cs="Arial"/>
        </w:rPr>
        <w:t>e research</w:t>
      </w:r>
      <w:r w:rsidR="00541CE0" w:rsidRPr="00514EFA">
        <w:rPr>
          <w:rFonts w:cs="Arial"/>
        </w:rPr>
        <w:t xml:space="preserve"> </w:t>
      </w:r>
      <w:r w:rsidRPr="00514EFA">
        <w:rPr>
          <w:rFonts w:cs="Arial"/>
        </w:rPr>
        <w:t>question has required three significant exercises.</w:t>
      </w:r>
      <w:r w:rsidR="00A033C6">
        <w:rPr>
          <w:rFonts w:cs="Arial"/>
        </w:rPr>
        <w:t xml:space="preserve"> </w:t>
      </w:r>
      <w:r w:rsidRPr="00514EFA">
        <w:rPr>
          <w:rFonts w:cs="Arial"/>
        </w:rPr>
        <w:t xml:space="preserve">Firstly, a review of theoretical/conceptual and empirical literature has helped in identifying </w:t>
      </w:r>
      <w:r w:rsidR="00541CE0">
        <w:rPr>
          <w:rFonts w:cs="Arial"/>
        </w:rPr>
        <w:t>analytical</w:t>
      </w:r>
      <w:r w:rsidRPr="00514EFA">
        <w:rPr>
          <w:rFonts w:cs="Arial"/>
        </w:rPr>
        <w:t xml:space="preserve"> techniques and in identifying key gaps in the evidence base.</w:t>
      </w:r>
      <w:r w:rsidR="00A033C6">
        <w:rPr>
          <w:rFonts w:cs="Arial"/>
        </w:rPr>
        <w:t xml:space="preserve"> </w:t>
      </w:r>
      <w:r w:rsidR="0017499A" w:rsidRPr="00514EFA">
        <w:rPr>
          <w:rFonts w:cs="Arial"/>
        </w:rPr>
        <w:t>Overall the review found that the most significant gaps in the evidence base were around econometric estimation, in the UK, of the link</w:t>
      </w:r>
      <w:r w:rsidR="00541CE0">
        <w:rPr>
          <w:rFonts w:cs="Arial"/>
        </w:rPr>
        <w:t>s</w:t>
      </w:r>
      <w:r w:rsidR="0017499A" w:rsidRPr="00514EFA">
        <w:rPr>
          <w:rFonts w:cs="Arial"/>
        </w:rPr>
        <w:t xml:space="preserve"> between CS&amp;H assets and investment and economic outcomes.</w:t>
      </w:r>
      <w:r w:rsidR="00A033C6">
        <w:rPr>
          <w:rFonts w:cs="Arial"/>
        </w:rPr>
        <w:t xml:space="preserve"> </w:t>
      </w:r>
      <w:r w:rsidR="0017499A" w:rsidRPr="00514EFA">
        <w:rPr>
          <w:rFonts w:cs="Arial"/>
        </w:rPr>
        <w:t>It also found that other research studies had investigated the link between the creative industries and the density of local culture and other amenities, in attempts to explain location decisions of firms.</w:t>
      </w:r>
      <w:r w:rsidR="00A033C6">
        <w:rPr>
          <w:rFonts w:cs="Arial"/>
        </w:rPr>
        <w:t xml:space="preserve"> </w:t>
      </w:r>
      <w:r w:rsidR="0017499A" w:rsidRPr="00514EFA">
        <w:rPr>
          <w:rFonts w:cs="Arial"/>
        </w:rPr>
        <w:t>This was an important finding in that it suggested that a focus on the link between CS&amp;H assets and investment and the creative industries (and other knowledge-based sectors) should be pursued.</w:t>
      </w:r>
    </w:p>
    <w:p w14:paraId="376A12A0" w14:textId="59EE4EB9" w:rsidR="006E084B" w:rsidRPr="00514EFA" w:rsidRDefault="0017499A" w:rsidP="006E084B">
      <w:pPr>
        <w:rPr>
          <w:rFonts w:cs="Arial"/>
        </w:rPr>
      </w:pPr>
      <w:r w:rsidRPr="00514EFA">
        <w:rPr>
          <w:rFonts w:cs="Arial"/>
        </w:rPr>
        <w:t xml:space="preserve">The second element was an extensive </w:t>
      </w:r>
      <w:r w:rsidR="006E084B" w:rsidRPr="00514EFA">
        <w:rPr>
          <w:rFonts w:cs="Arial"/>
        </w:rPr>
        <w:t>data collection and assessment</w:t>
      </w:r>
      <w:r w:rsidRPr="00514EFA">
        <w:rPr>
          <w:rFonts w:cs="Arial"/>
        </w:rPr>
        <w:t xml:space="preserve"> exercise.</w:t>
      </w:r>
      <w:r w:rsidR="00A033C6">
        <w:rPr>
          <w:rFonts w:cs="Arial"/>
        </w:rPr>
        <w:t xml:space="preserve"> </w:t>
      </w:r>
      <w:r w:rsidRPr="00514EFA">
        <w:rPr>
          <w:rFonts w:cs="Arial"/>
        </w:rPr>
        <w:t>The goal was to gather relevant data that could be used in an econometric model (either as dependent, independent or control variables).</w:t>
      </w:r>
      <w:r w:rsidR="00A033C6">
        <w:rPr>
          <w:rFonts w:cs="Arial"/>
        </w:rPr>
        <w:t xml:space="preserve"> </w:t>
      </w:r>
      <w:r w:rsidRPr="00514EFA">
        <w:rPr>
          <w:rFonts w:cs="Arial"/>
        </w:rPr>
        <w:t xml:space="preserve">This exercise </w:t>
      </w:r>
      <w:r w:rsidR="002526E1" w:rsidRPr="00514EFA">
        <w:rPr>
          <w:rFonts w:cs="Arial"/>
        </w:rPr>
        <w:t>drove a number of decisions</w:t>
      </w:r>
      <w:r w:rsidR="00701F3D">
        <w:rPr>
          <w:rFonts w:cs="Arial"/>
        </w:rPr>
        <w:t xml:space="preserve"> relating to the scope of the study</w:t>
      </w:r>
      <w:r w:rsidR="002526E1" w:rsidRPr="00514EFA">
        <w:rPr>
          <w:rFonts w:cs="Arial"/>
        </w:rPr>
        <w:t>, including the spatial scale at which the data should be collected (and therefore the level at which the investigation would take place – i.e. local authority) and the time-series that could be adopted for the panel models.</w:t>
      </w:r>
    </w:p>
    <w:p w14:paraId="4A8B8596" w14:textId="1DD258E1" w:rsidR="0027639A" w:rsidRPr="00514EFA" w:rsidRDefault="002526E1" w:rsidP="006E084B">
      <w:pPr>
        <w:rPr>
          <w:rFonts w:cs="Arial"/>
        </w:rPr>
      </w:pPr>
      <w:r w:rsidRPr="00514EFA">
        <w:rPr>
          <w:rFonts w:cs="Arial"/>
        </w:rPr>
        <w:t xml:space="preserve">The third element was the design and </w:t>
      </w:r>
      <w:r w:rsidR="00FC5C17" w:rsidRPr="00514EFA">
        <w:rPr>
          <w:rFonts w:cs="Arial"/>
        </w:rPr>
        <w:t>implementation</w:t>
      </w:r>
      <w:r w:rsidRPr="00514EFA">
        <w:rPr>
          <w:rFonts w:cs="Arial"/>
        </w:rPr>
        <w:t xml:space="preserve"> of econometric models to investigate the key relationships and interactions</w:t>
      </w:r>
      <w:r w:rsidR="00FC5C17" w:rsidRPr="00514EFA">
        <w:rPr>
          <w:rFonts w:cs="Arial"/>
        </w:rPr>
        <w:t xml:space="preserve"> (</w:t>
      </w:r>
      <w:r w:rsidR="009E5B84">
        <w:rPr>
          <w:rFonts w:cs="Arial"/>
        </w:rPr>
        <w:t>where their</w:t>
      </w:r>
      <w:r w:rsidR="00FC5C17" w:rsidRPr="00514EFA">
        <w:rPr>
          <w:rFonts w:cs="Arial"/>
        </w:rPr>
        <w:t xml:space="preserve"> design was </w:t>
      </w:r>
      <w:r w:rsidR="009E5B84">
        <w:rPr>
          <w:rFonts w:cs="Arial"/>
        </w:rPr>
        <w:t>informed</w:t>
      </w:r>
      <w:r w:rsidR="00FC5C17" w:rsidRPr="00514EFA">
        <w:rPr>
          <w:rFonts w:cs="Arial"/>
        </w:rPr>
        <w:t xml:space="preserve"> to some extent by the existing literature).</w:t>
      </w:r>
      <w:r w:rsidR="00A033C6">
        <w:rPr>
          <w:rFonts w:cs="Arial"/>
        </w:rPr>
        <w:t xml:space="preserve"> </w:t>
      </w:r>
      <w:r w:rsidR="0027639A" w:rsidRPr="00514EFA">
        <w:rPr>
          <w:rFonts w:cs="Arial"/>
        </w:rPr>
        <w:t>Importantly, and recognising that the role that CS&amp;H play in local places should be thought of as an ‘ecosystem’ rather than as isolated investments, the analysis tests push and pull factors that might influence firm location and performance.</w:t>
      </w:r>
    </w:p>
    <w:p w14:paraId="24CEE955" w14:textId="29A86E57" w:rsidR="004E0FEF" w:rsidRPr="00514EFA" w:rsidRDefault="00FC5C17" w:rsidP="006E084B">
      <w:pPr>
        <w:rPr>
          <w:rFonts w:eastAsia="Calibri" w:cs="Arial"/>
        </w:rPr>
      </w:pPr>
      <w:r w:rsidRPr="00514EFA">
        <w:rPr>
          <w:rFonts w:eastAsia="Calibri" w:cs="Arial"/>
        </w:rPr>
        <w:t xml:space="preserve">The results </w:t>
      </w:r>
      <w:r w:rsidR="00E760C2">
        <w:rPr>
          <w:rFonts w:eastAsia="Calibri" w:cs="Arial"/>
        </w:rPr>
        <w:t>of</w:t>
      </w:r>
      <w:r w:rsidR="00F34580">
        <w:rPr>
          <w:rFonts w:eastAsia="Calibri" w:cs="Arial"/>
        </w:rPr>
        <w:t xml:space="preserve"> this study represent </w:t>
      </w:r>
      <w:r w:rsidRPr="00514EFA">
        <w:rPr>
          <w:rFonts w:eastAsia="Calibri" w:cs="Arial"/>
        </w:rPr>
        <w:t>an important milestone in the development of the evidence base around the place-</w:t>
      </w:r>
      <w:r w:rsidR="00C50B54">
        <w:rPr>
          <w:rFonts w:eastAsia="Calibri" w:cs="Arial"/>
        </w:rPr>
        <w:t>shaping</w:t>
      </w:r>
      <w:r w:rsidR="00C50B54" w:rsidRPr="00514EFA">
        <w:rPr>
          <w:rFonts w:eastAsia="Calibri" w:cs="Arial"/>
        </w:rPr>
        <w:t xml:space="preserve"> </w:t>
      </w:r>
      <w:r w:rsidRPr="00514EFA">
        <w:rPr>
          <w:rFonts w:eastAsia="Calibri" w:cs="Arial"/>
        </w:rPr>
        <w:t>impacts of CS&amp;H assets and investment.</w:t>
      </w:r>
      <w:r w:rsidR="00A033C6">
        <w:rPr>
          <w:rFonts w:eastAsia="Calibri" w:cs="Arial"/>
        </w:rPr>
        <w:t xml:space="preserve"> </w:t>
      </w:r>
      <w:r w:rsidRPr="00514EFA">
        <w:rPr>
          <w:rFonts w:eastAsia="Calibri" w:cs="Arial"/>
        </w:rPr>
        <w:t xml:space="preserve">Accepting some of the key caveats of the analysis (which </w:t>
      </w:r>
      <w:r w:rsidR="00AF57DE">
        <w:rPr>
          <w:rFonts w:eastAsia="Calibri" w:cs="Arial"/>
        </w:rPr>
        <w:t>we</w:t>
      </w:r>
      <w:r w:rsidR="00AF57DE" w:rsidRPr="00514EFA">
        <w:rPr>
          <w:rFonts w:eastAsia="Calibri" w:cs="Arial"/>
        </w:rPr>
        <w:t xml:space="preserve"> </w:t>
      </w:r>
      <w:r w:rsidRPr="00514EFA">
        <w:rPr>
          <w:rFonts w:eastAsia="Calibri" w:cs="Arial"/>
        </w:rPr>
        <w:t>return to below)</w:t>
      </w:r>
      <w:r w:rsidR="00C50B54">
        <w:rPr>
          <w:rFonts w:eastAsia="Calibri" w:cs="Arial"/>
        </w:rPr>
        <w:t>,</w:t>
      </w:r>
      <w:r w:rsidRPr="00514EFA">
        <w:rPr>
          <w:rFonts w:eastAsia="Calibri" w:cs="Arial"/>
        </w:rPr>
        <w:t xml:space="preserve"> </w:t>
      </w:r>
      <w:r w:rsidR="00307677">
        <w:rPr>
          <w:rFonts w:eastAsia="Calibri" w:cs="Arial"/>
        </w:rPr>
        <w:t xml:space="preserve">we have </w:t>
      </w:r>
      <w:r w:rsidRPr="00514EFA">
        <w:rPr>
          <w:rFonts w:eastAsia="Calibri" w:cs="Arial"/>
        </w:rPr>
        <w:t>identifie</w:t>
      </w:r>
      <w:r w:rsidR="00307677">
        <w:rPr>
          <w:rFonts w:eastAsia="Calibri" w:cs="Arial"/>
        </w:rPr>
        <w:t>d</w:t>
      </w:r>
      <w:r w:rsidRPr="00514EFA">
        <w:rPr>
          <w:rFonts w:eastAsia="Calibri" w:cs="Arial"/>
        </w:rPr>
        <w:t xml:space="preserve"> a number of statistically significant </w:t>
      </w:r>
      <w:proofErr w:type="gramStart"/>
      <w:r w:rsidRPr="00514EFA">
        <w:rPr>
          <w:rFonts w:eastAsia="Calibri" w:cs="Arial"/>
        </w:rPr>
        <w:t>relationships which</w:t>
      </w:r>
      <w:proofErr w:type="gramEnd"/>
      <w:r w:rsidRPr="00514EFA">
        <w:rPr>
          <w:rFonts w:eastAsia="Calibri" w:cs="Arial"/>
        </w:rPr>
        <w:t xml:space="preserve"> </w:t>
      </w:r>
      <w:r w:rsidR="00307677">
        <w:rPr>
          <w:rFonts w:eastAsia="Calibri" w:cs="Arial"/>
        </w:rPr>
        <w:t>highlight</w:t>
      </w:r>
      <w:r w:rsidRPr="00514EFA">
        <w:rPr>
          <w:rFonts w:eastAsia="Calibri" w:cs="Arial"/>
        </w:rPr>
        <w:t xml:space="preserve"> the importance of CS&amp;H assets </w:t>
      </w:r>
      <w:r w:rsidR="00AF57DE">
        <w:rPr>
          <w:rFonts w:eastAsia="Calibri" w:cs="Arial"/>
        </w:rPr>
        <w:t>to</w:t>
      </w:r>
      <w:r w:rsidR="00AF57DE" w:rsidRPr="00514EFA">
        <w:rPr>
          <w:rFonts w:eastAsia="Calibri" w:cs="Arial"/>
        </w:rPr>
        <w:t xml:space="preserve"> </w:t>
      </w:r>
      <w:r w:rsidRPr="00514EFA">
        <w:rPr>
          <w:rFonts w:eastAsia="Calibri" w:cs="Arial"/>
        </w:rPr>
        <w:t xml:space="preserve">economic performance in </w:t>
      </w:r>
      <w:r w:rsidR="00AF57DE" w:rsidRPr="00514EFA">
        <w:rPr>
          <w:rFonts w:eastAsia="Calibri" w:cs="Arial"/>
        </w:rPr>
        <w:t xml:space="preserve">local </w:t>
      </w:r>
      <w:r w:rsidRPr="00514EFA">
        <w:rPr>
          <w:rFonts w:eastAsia="Calibri" w:cs="Arial"/>
        </w:rPr>
        <w:t>places.</w:t>
      </w:r>
    </w:p>
    <w:p w14:paraId="7618B8D3" w14:textId="3D9DCC72" w:rsidR="00350218" w:rsidRPr="00514EFA" w:rsidRDefault="00350218" w:rsidP="006E084B">
      <w:pPr>
        <w:rPr>
          <w:rFonts w:eastAsia="Calibri" w:cs="Arial"/>
        </w:rPr>
      </w:pPr>
      <w:r w:rsidRPr="00514EFA">
        <w:rPr>
          <w:rFonts w:eastAsia="Calibri" w:cs="Arial"/>
        </w:rPr>
        <w:t xml:space="preserve">The analysis </w:t>
      </w:r>
      <w:r w:rsidR="00C50B54" w:rsidRPr="00514EFA">
        <w:rPr>
          <w:rFonts w:eastAsia="Calibri" w:cs="Arial"/>
        </w:rPr>
        <w:t>examine</w:t>
      </w:r>
      <w:r w:rsidR="00C50B54">
        <w:rPr>
          <w:rFonts w:eastAsia="Calibri" w:cs="Arial"/>
        </w:rPr>
        <w:t>s</w:t>
      </w:r>
      <w:r w:rsidR="00C50B54" w:rsidRPr="00514EFA">
        <w:rPr>
          <w:rFonts w:eastAsia="Calibri" w:cs="Arial"/>
        </w:rPr>
        <w:t xml:space="preserve"> </w:t>
      </w:r>
      <w:r w:rsidRPr="00514EFA">
        <w:rPr>
          <w:rFonts w:eastAsia="Calibri" w:cs="Arial"/>
        </w:rPr>
        <w:t>the relationship between CS&amp;H assets and investment and the performance of local economies as a whole.</w:t>
      </w:r>
      <w:r w:rsidR="00A033C6">
        <w:rPr>
          <w:rFonts w:eastAsia="Calibri" w:cs="Arial"/>
        </w:rPr>
        <w:t xml:space="preserve"> </w:t>
      </w:r>
      <w:r w:rsidRPr="00514EFA">
        <w:rPr>
          <w:rFonts w:eastAsia="Calibri" w:cs="Arial"/>
        </w:rPr>
        <w:t>This study represents the first of its kind in that it seeks to test these relationships on a national scale but at the local level.</w:t>
      </w:r>
    </w:p>
    <w:p w14:paraId="07EE0EB9" w14:textId="2CCD1C57" w:rsidR="00350218" w:rsidRPr="00514EFA" w:rsidRDefault="004F70EA" w:rsidP="006E084B">
      <w:pPr>
        <w:rPr>
          <w:rFonts w:eastAsia="Calibri" w:cs="Arial"/>
        </w:rPr>
      </w:pPr>
      <w:r w:rsidRPr="00514EFA">
        <w:rPr>
          <w:rFonts w:eastAsia="Calibri" w:cs="Arial"/>
        </w:rPr>
        <w:t xml:space="preserve">We </w:t>
      </w:r>
      <w:r w:rsidR="009640D5">
        <w:rPr>
          <w:rFonts w:eastAsia="Calibri" w:cs="Arial"/>
        </w:rPr>
        <w:t>find</w:t>
      </w:r>
      <w:r w:rsidRPr="00514EFA">
        <w:rPr>
          <w:rFonts w:eastAsia="Calibri" w:cs="Arial"/>
        </w:rPr>
        <w:t xml:space="preserve"> that the density of cultural and heritage assets was highly and positively related to the density of firms in a local economy, indicating that where there are high densities of theatres, museums, monuments and so on, we tend to find concentrations of economic activity.</w:t>
      </w:r>
      <w:r w:rsidR="00A033C6">
        <w:rPr>
          <w:rFonts w:eastAsia="Calibri" w:cs="Arial"/>
        </w:rPr>
        <w:t xml:space="preserve"> </w:t>
      </w:r>
      <w:r w:rsidRPr="00514EFA">
        <w:rPr>
          <w:rFonts w:eastAsia="Calibri" w:cs="Arial"/>
        </w:rPr>
        <w:t xml:space="preserve">Further, the density of cultural assets is found to be positively and strongly related to in the </w:t>
      </w:r>
      <w:r w:rsidR="00921C84">
        <w:rPr>
          <w:rFonts w:eastAsia="Calibri" w:cs="Arial"/>
        </w:rPr>
        <w:t xml:space="preserve">net </w:t>
      </w:r>
      <w:r w:rsidRPr="00514EFA">
        <w:rPr>
          <w:rFonts w:eastAsia="Calibri" w:cs="Arial"/>
        </w:rPr>
        <w:t xml:space="preserve">in-migration of businesses, which suggests that such assets are important ‘pull’ </w:t>
      </w:r>
      <w:proofErr w:type="gramStart"/>
      <w:r w:rsidRPr="00514EFA">
        <w:rPr>
          <w:rFonts w:eastAsia="Calibri" w:cs="Arial"/>
        </w:rPr>
        <w:t>factors which</w:t>
      </w:r>
      <w:proofErr w:type="gramEnd"/>
      <w:r w:rsidRPr="00514EFA">
        <w:rPr>
          <w:rFonts w:eastAsia="Calibri" w:cs="Arial"/>
        </w:rPr>
        <w:t xml:space="preserve"> influence location decisions.</w:t>
      </w:r>
      <w:r w:rsidR="00A033C6">
        <w:rPr>
          <w:rFonts w:eastAsia="Calibri" w:cs="Arial"/>
        </w:rPr>
        <w:t xml:space="preserve"> </w:t>
      </w:r>
      <w:r w:rsidRPr="00514EFA">
        <w:rPr>
          <w:rFonts w:eastAsia="Calibri" w:cs="Arial"/>
        </w:rPr>
        <w:t xml:space="preserve">These findings hold regardless of the urban scale at which they are examined: cultural assets are equally important as attractors in non-major urban areas as in major urban areas and this suggests that the observed results are not simply a reflection of general urban agglomeration effects. </w:t>
      </w:r>
    </w:p>
    <w:p w14:paraId="3694F34C" w14:textId="0B33E376" w:rsidR="004F70EA" w:rsidRPr="00514EFA" w:rsidRDefault="004F70EA" w:rsidP="004F70EA">
      <w:pPr>
        <w:rPr>
          <w:rFonts w:eastAsia="Calibri" w:cs="Arial"/>
        </w:rPr>
      </w:pPr>
      <w:r w:rsidRPr="00514EFA">
        <w:rPr>
          <w:rFonts w:eastAsia="Calibri" w:cs="Arial"/>
        </w:rPr>
        <w:t xml:space="preserve">We also </w:t>
      </w:r>
      <w:r w:rsidR="009640D5">
        <w:rPr>
          <w:rFonts w:eastAsia="Calibri" w:cs="Arial"/>
        </w:rPr>
        <w:t>find</w:t>
      </w:r>
      <w:r w:rsidRPr="00514EFA">
        <w:rPr>
          <w:rFonts w:eastAsia="Calibri" w:cs="Arial"/>
        </w:rPr>
        <w:t xml:space="preserve"> that net migration of firms is positively associated with </w:t>
      </w:r>
      <w:r w:rsidR="00921C84">
        <w:rPr>
          <w:rFonts w:eastAsia="Calibri" w:cs="Arial"/>
        </w:rPr>
        <w:t xml:space="preserve">the </w:t>
      </w:r>
      <w:r w:rsidRPr="00514EFA">
        <w:rPr>
          <w:rFonts w:eastAsia="Calibri" w:cs="Arial"/>
        </w:rPr>
        <w:t xml:space="preserve">employment rate, </w:t>
      </w:r>
      <w:r w:rsidR="00921C84">
        <w:rPr>
          <w:rFonts w:eastAsia="Calibri" w:cs="Arial"/>
        </w:rPr>
        <w:t xml:space="preserve">the availability of </w:t>
      </w:r>
      <w:r w:rsidRPr="00514EFA">
        <w:rPr>
          <w:rFonts w:eastAsia="Calibri" w:cs="Arial"/>
        </w:rPr>
        <w:t>skilled labour, life satisfaction and population</w:t>
      </w:r>
      <w:r w:rsidR="000B6D23">
        <w:rPr>
          <w:rFonts w:eastAsia="Calibri" w:cs="Arial"/>
        </w:rPr>
        <w:t xml:space="preserve"> size</w:t>
      </w:r>
      <w:r w:rsidRPr="00514EFA">
        <w:rPr>
          <w:rFonts w:eastAsia="Calibri" w:cs="Arial"/>
        </w:rPr>
        <w:t xml:space="preserve"> and these can</w:t>
      </w:r>
      <w:r w:rsidR="003211C9" w:rsidRPr="003211C9">
        <w:rPr>
          <w:rFonts w:eastAsia="Calibri" w:cs="Arial"/>
        </w:rPr>
        <w:t xml:space="preserve"> </w:t>
      </w:r>
      <w:r w:rsidR="003211C9" w:rsidRPr="00514EFA">
        <w:rPr>
          <w:rFonts w:eastAsia="Calibri" w:cs="Arial"/>
        </w:rPr>
        <w:t>therefore</w:t>
      </w:r>
      <w:r w:rsidRPr="00514EFA">
        <w:rPr>
          <w:rFonts w:eastAsia="Calibri" w:cs="Arial"/>
        </w:rPr>
        <w:t xml:space="preserve"> also be identified as key ‘pull’ factors.</w:t>
      </w:r>
      <w:r w:rsidR="00A033C6">
        <w:rPr>
          <w:rFonts w:eastAsia="Calibri" w:cs="Arial"/>
        </w:rPr>
        <w:t xml:space="preserve"> </w:t>
      </w:r>
    </w:p>
    <w:p w14:paraId="19F4AB7C" w14:textId="7742BA5A" w:rsidR="004F70EA" w:rsidRPr="00514EFA" w:rsidRDefault="004F70EA" w:rsidP="004F70EA">
      <w:pPr>
        <w:rPr>
          <w:rFonts w:eastAsia="Calibri" w:cs="Arial"/>
        </w:rPr>
      </w:pPr>
      <w:r w:rsidRPr="00514EFA">
        <w:rPr>
          <w:rFonts w:eastAsia="Calibri" w:cs="Arial"/>
        </w:rPr>
        <w:t xml:space="preserve">When examining the impact of investment, we </w:t>
      </w:r>
      <w:r w:rsidR="009640D5">
        <w:rPr>
          <w:rFonts w:eastAsia="Calibri" w:cs="Arial"/>
        </w:rPr>
        <w:t>find</w:t>
      </w:r>
      <w:r w:rsidRPr="00514EFA">
        <w:rPr>
          <w:rFonts w:eastAsia="Calibri" w:cs="Arial"/>
        </w:rPr>
        <w:t xml:space="preserve"> that lagged investment is positively and significantly associated with firm density and net migration of firms.</w:t>
      </w:r>
    </w:p>
    <w:p w14:paraId="4A64394D" w14:textId="735D44F0" w:rsidR="00E760C2" w:rsidRPr="00514EFA" w:rsidRDefault="003211C9" w:rsidP="00E760C2">
      <w:pPr>
        <w:rPr>
          <w:rFonts w:eastAsia="Calibri" w:cs="Arial"/>
        </w:rPr>
      </w:pPr>
      <w:r>
        <w:rPr>
          <w:rFonts w:eastAsia="Calibri" w:cs="Arial"/>
        </w:rPr>
        <w:t>E</w:t>
      </w:r>
      <w:r w:rsidR="00E760C2" w:rsidRPr="00514EFA">
        <w:rPr>
          <w:rFonts w:eastAsia="Calibri" w:cs="Arial"/>
        </w:rPr>
        <w:t xml:space="preserve">xamining the relationship between CS&amp;H assets and investment and the creative industries, the analysis </w:t>
      </w:r>
      <w:r w:rsidR="009640D5">
        <w:rPr>
          <w:rFonts w:eastAsia="Calibri" w:cs="Arial"/>
        </w:rPr>
        <w:t>finds</w:t>
      </w:r>
      <w:r w:rsidR="00E760C2" w:rsidRPr="00514EFA">
        <w:rPr>
          <w:rFonts w:eastAsia="Calibri" w:cs="Arial"/>
        </w:rPr>
        <w:t xml:space="preserve"> that there is a significant and positive relationship between the density of creative firms and their performance as measured by levels of turnover, and density of heritage assets and cultural events.</w:t>
      </w:r>
      <w:r w:rsidR="00A033C6">
        <w:rPr>
          <w:rFonts w:eastAsia="Calibri" w:cs="Arial"/>
        </w:rPr>
        <w:t xml:space="preserve"> </w:t>
      </w:r>
      <w:r w:rsidR="00E760C2" w:rsidRPr="00514EFA">
        <w:rPr>
          <w:rFonts w:eastAsia="Calibri" w:cs="Arial"/>
        </w:rPr>
        <w:t xml:space="preserve">We also </w:t>
      </w:r>
      <w:r w:rsidR="009640D5">
        <w:rPr>
          <w:rFonts w:eastAsia="Calibri" w:cs="Arial"/>
        </w:rPr>
        <w:t>find</w:t>
      </w:r>
      <w:r w:rsidR="00E760C2" w:rsidRPr="00514EFA">
        <w:rPr>
          <w:rFonts w:eastAsia="Calibri" w:cs="Arial"/>
        </w:rPr>
        <w:t xml:space="preserve"> that the </w:t>
      </w:r>
      <w:proofErr w:type="gramStart"/>
      <w:r w:rsidR="00E760C2" w:rsidRPr="00514EFA">
        <w:rPr>
          <w:rFonts w:eastAsia="Calibri" w:cs="Arial"/>
        </w:rPr>
        <w:t>density of creative firms and firms’ turnover are</w:t>
      </w:r>
      <w:proofErr w:type="gramEnd"/>
      <w:r w:rsidR="00E760C2" w:rsidRPr="00514EFA">
        <w:rPr>
          <w:rFonts w:eastAsia="Calibri" w:cs="Arial"/>
        </w:rPr>
        <w:t xml:space="preserve"> negatively associated with sporting assets.</w:t>
      </w:r>
      <w:r w:rsidR="00A033C6">
        <w:rPr>
          <w:rFonts w:eastAsia="Calibri" w:cs="Arial"/>
        </w:rPr>
        <w:t xml:space="preserve"> </w:t>
      </w:r>
      <w:r w:rsidR="00E760C2" w:rsidRPr="00514EFA">
        <w:rPr>
          <w:rFonts w:eastAsia="Calibri" w:cs="Arial"/>
        </w:rPr>
        <w:t>In other words, the higher the density of sporting assets, the lower the density and turnover of the creative industries.</w:t>
      </w:r>
      <w:r w:rsidR="00A033C6">
        <w:rPr>
          <w:rFonts w:eastAsia="Calibri" w:cs="Arial"/>
        </w:rPr>
        <w:t xml:space="preserve"> </w:t>
      </w:r>
      <w:r w:rsidR="00E760C2" w:rsidRPr="00514EFA">
        <w:rPr>
          <w:rFonts w:eastAsia="Calibri" w:cs="Arial"/>
        </w:rPr>
        <w:t>This makes intuitive sense.</w:t>
      </w:r>
      <w:r w:rsidR="00A033C6">
        <w:rPr>
          <w:rFonts w:eastAsia="Calibri" w:cs="Arial"/>
        </w:rPr>
        <w:t xml:space="preserve"> </w:t>
      </w:r>
      <w:r w:rsidR="00E760C2" w:rsidRPr="00514EFA">
        <w:rPr>
          <w:rFonts w:eastAsia="Calibri" w:cs="Arial"/>
        </w:rPr>
        <w:t>Firstly, the existence of cultural and heritage assets create</w:t>
      </w:r>
      <w:r w:rsidR="00307677">
        <w:rPr>
          <w:rFonts w:eastAsia="Calibri" w:cs="Arial"/>
        </w:rPr>
        <w:t>s</w:t>
      </w:r>
      <w:r w:rsidR="00E760C2" w:rsidRPr="00514EFA">
        <w:rPr>
          <w:rFonts w:eastAsia="Calibri" w:cs="Arial"/>
        </w:rPr>
        <w:t xml:space="preserve"> direct commercial opportunity for creative firms, but also add</w:t>
      </w:r>
      <w:r w:rsidR="00307677">
        <w:rPr>
          <w:rFonts w:eastAsia="Calibri" w:cs="Arial"/>
        </w:rPr>
        <w:t>s</w:t>
      </w:r>
      <w:r w:rsidR="00E760C2" w:rsidRPr="00514EFA">
        <w:rPr>
          <w:rFonts w:eastAsia="Calibri" w:cs="Arial"/>
        </w:rPr>
        <w:t xml:space="preserve"> to the wider amenity value of a place.</w:t>
      </w:r>
      <w:r w:rsidR="00A033C6">
        <w:rPr>
          <w:rFonts w:eastAsia="Calibri" w:cs="Arial"/>
        </w:rPr>
        <w:t xml:space="preserve"> </w:t>
      </w:r>
      <w:r w:rsidR="00E760C2" w:rsidRPr="00514EFA">
        <w:rPr>
          <w:rFonts w:eastAsia="Calibri" w:cs="Arial"/>
        </w:rPr>
        <w:t>On the other hand, sporting infrastructure can often be of large scale and located away from commercial/urban centres, which would reduce the likelihood of attracting the creative (or other) industries.</w:t>
      </w:r>
      <w:r w:rsidR="00A033C6">
        <w:rPr>
          <w:rFonts w:eastAsia="Calibri" w:cs="Arial"/>
        </w:rPr>
        <w:t xml:space="preserve"> </w:t>
      </w:r>
      <w:r w:rsidR="00E760C2" w:rsidRPr="00514EFA">
        <w:rPr>
          <w:rFonts w:eastAsia="Calibri" w:cs="Arial"/>
        </w:rPr>
        <w:t xml:space="preserve">The physical infrastructure required to provide accommodation to </w:t>
      </w:r>
      <w:r>
        <w:rPr>
          <w:rFonts w:eastAsia="Calibri" w:cs="Arial"/>
        </w:rPr>
        <w:t xml:space="preserve">creative </w:t>
      </w:r>
      <w:r w:rsidR="00E760C2" w:rsidRPr="00514EFA">
        <w:rPr>
          <w:rFonts w:eastAsia="Calibri" w:cs="Arial"/>
        </w:rPr>
        <w:t>firms may be some distance from sporting</w:t>
      </w:r>
      <w:r w:rsidR="00B231E6">
        <w:rPr>
          <w:rFonts w:eastAsia="Calibri" w:cs="Arial"/>
        </w:rPr>
        <w:t xml:space="preserve"> and recreation</w:t>
      </w:r>
      <w:r w:rsidR="00E760C2" w:rsidRPr="00514EFA">
        <w:rPr>
          <w:rFonts w:eastAsia="Calibri" w:cs="Arial"/>
        </w:rPr>
        <w:t xml:space="preserve"> assets.</w:t>
      </w:r>
    </w:p>
    <w:p w14:paraId="01F7155E" w14:textId="54513097" w:rsidR="00E760C2" w:rsidRPr="00514EFA" w:rsidRDefault="00E760C2" w:rsidP="00E760C2">
      <w:pPr>
        <w:rPr>
          <w:rFonts w:eastAsia="Calibri" w:cs="Arial"/>
        </w:rPr>
      </w:pPr>
      <w:r w:rsidRPr="00514EFA">
        <w:rPr>
          <w:rFonts w:eastAsia="Calibri" w:cs="Arial"/>
        </w:rPr>
        <w:t>The analysis also finds that the level of turnover generated by creative firms is positively associated with availability of skilled labour, network infrastructure and transport infrastructure.</w:t>
      </w:r>
      <w:r w:rsidR="00A033C6">
        <w:rPr>
          <w:rFonts w:eastAsia="Calibri" w:cs="Arial"/>
        </w:rPr>
        <w:t xml:space="preserve"> </w:t>
      </w:r>
      <w:r w:rsidRPr="00514EFA">
        <w:rPr>
          <w:rFonts w:eastAsia="Calibri" w:cs="Arial"/>
        </w:rPr>
        <w:t>This implies that places with these attributes are likely to be more successful in nurturing a successful creative sector than those without.</w:t>
      </w:r>
    </w:p>
    <w:p w14:paraId="7EFB7B2E" w14:textId="2F7DBE87" w:rsidR="00E760C2" w:rsidRPr="00514EFA" w:rsidRDefault="00E760C2" w:rsidP="00E760C2">
      <w:pPr>
        <w:rPr>
          <w:rFonts w:eastAsia="Calibri" w:cs="Arial"/>
        </w:rPr>
      </w:pPr>
      <w:r w:rsidRPr="00514EFA">
        <w:rPr>
          <w:rFonts w:eastAsia="Calibri" w:cs="Arial"/>
        </w:rPr>
        <w:t>There is also evidence that investment in CS&amp;H assets is strongly related to concentrations of creative firms, both within and outwith major urban centres. Similarly, lagged per capita investment in CS&amp;H is also positively and significantly related to creative firms’ turnover.</w:t>
      </w:r>
      <w:r w:rsidR="00A033C6">
        <w:rPr>
          <w:rFonts w:eastAsia="Calibri" w:cs="Arial"/>
        </w:rPr>
        <w:t xml:space="preserve"> </w:t>
      </w:r>
      <w:r w:rsidRPr="00514EFA">
        <w:rPr>
          <w:rFonts w:eastAsia="Calibri" w:cs="Arial"/>
        </w:rPr>
        <w:t>In other words, places where higher CS&amp;H investment has occurred are also places more likely to see a growth in the density of creative industries.</w:t>
      </w:r>
      <w:r w:rsidR="00A033C6">
        <w:rPr>
          <w:rFonts w:eastAsia="Calibri" w:cs="Arial"/>
        </w:rPr>
        <w:t xml:space="preserve"> </w:t>
      </w:r>
    </w:p>
    <w:p w14:paraId="30353289" w14:textId="4603EDBF" w:rsidR="004F70EA" w:rsidRPr="00514EFA" w:rsidRDefault="00BB4903" w:rsidP="006E084B">
      <w:pPr>
        <w:rPr>
          <w:rFonts w:eastAsia="Calibri" w:cs="Arial"/>
        </w:rPr>
      </w:pPr>
      <w:r w:rsidRPr="00514EFA">
        <w:rPr>
          <w:rFonts w:eastAsia="Calibri" w:cs="Arial"/>
        </w:rPr>
        <w:t xml:space="preserve">There are two </w:t>
      </w:r>
      <w:r w:rsidR="00340BC1">
        <w:rPr>
          <w:rFonts w:eastAsia="Calibri" w:cs="Arial"/>
        </w:rPr>
        <w:t>key</w:t>
      </w:r>
      <w:r w:rsidR="00340BC1" w:rsidRPr="00514EFA">
        <w:rPr>
          <w:rFonts w:eastAsia="Calibri" w:cs="Arial"/>
        </w:rPr>
        <w:t xml:space="preserve"> </w:t>
      </w:r>
      <w:r w:rsidRPr="00514EFA">
        <w:rPr>
          <w:rFonts w:eastAsia="Calibri" w:cs="Arial"/>
        </w:rPr>
        <w:t>messages to take from this research.</w:t>
      </w:r>
      <w:r w:rsidR="00A033C6">
        <w:rPr>
          <w:rFonts w:eastAsia="Calibri" w:cs="Arial"/>
        </w:rPr>
        <w:t xml:space="preserve"> </w:t>
      </w:r>
      <w:r w:rsidRPr="00514EFA">
        <w:rPr>
          <w:rFonts w:eastAsia="Calibri" w:cs="Arial"/>
        </w:rPr>
        <w:t xml:space="preserve">Firstly, the data and analysis undertaken has delivered </w:t>
      </w:r>
      <w:proofErr w:type="gramStart"/>
      <w:r w:rsidRPr="00514EFA">
        <w:rPr>
          <w:rFonts w:eastAsia="Calibri" w:cs="Arial"/>
        </w:rPr>
        <w:t>evidence which demonstrates positive</w:t>
      </w:r>
      <w:proofErr w:type="gramEnd"/>
      <w:r w:rsidRPr="00514EFA">
        <w:rPr>
          <w:rFonts w:eastAsia="Calibri" w:cs="Arial"/>
        </w:rPr>
        <w:t xml:space="preserve"> and strong relationships between CS&amp;H assets and investment and positive economic impacts for local places, especially when it comes to impacts associated with the creative industries.</w:t>
      </w:r>
      <w:r w:rsidR="00A033C6">
        <w:rPr>
          <w:rFonts w:eastAsia="Calibri" w:cs="Arial"/>
        </w:rPr>
        <w:t xml:space="preserve"> </w:t>
      </w:r>
      <w:r w:rsidR="004F70EA" w:rsidRPr="00514EFA">
        <w:rPr>
          <w:rFonts w:eastAsia="Calibri" w:cs="Arial"/>
        </w:rPr>
        <w:t xml:space="preserve">We therefore conclude that whilst there is more research to be done, the emerging evidence is that the </w:t>
      </w:r>
      <w:r w:rsidR="000F6B69">
        <w:rPr>
          <w:rFonts w:eastAsia="Calibri" w:cs="Arial"/>
        </w:rPr>
        <w:t>existence</w:t>
      </w:r>
      <w:r w:rsidR="000F6B69" w:rsidRPr="00514EFA">
        <w:rPr>
          <w:rFonts w:eastAsia="Calibri" w:cs="Arial"/>
        </w:rPr>
        <w:t xml:space="preserve"> </w:t>
      </w:r>
      <w:r w:rsidR="004F70EA" w:rsidRPr="00514EFA">
        <w:rPr>
          <w:rFonts w:eastAsia="Calibri" w:cs="Arial"/>
        </w:rPr>
        <w:t>of an</w:t>
      </w:r>
      <w:r w:rsidR="00340BC1">
        <w:rPr>
          <w:rFonts w:eastAsia="Calibri" w:cs="Arial"/>
        </w:rPr>
        <w:t>d</w:t>
      </w:r>
      <w:r w:rsidR="004F70EA" w:rsidRPr="00514EFA">
        <w:rPr>
          <w:rFonts w:eastAsia="Calibri" w:cs="Arial"/>
        </w:rPr>
        <w:t xml:space="preserve"> investment in CS&amp;H assets can be seen to be important influencers </w:t>
      </w:r>
      <w:r w:rsidR="00340BC1" w:rsidRPr="00514EFA">
        <w:rPr>
          <w:rFonts w:eastAsia="Calibri" w:cs="Arial"/>
        </w:rPr>
        <w:t>o</w:t>
      </w:r>
      <w:r w:rsidR="00340BC1">
        <w:rPr>
          <w:rFonts w:eastAsia="Calibri" w:cs="Arial"/>
        </w:rPr>
        <w:t>f</w:t>
      </w:r>
      <w:r w:rsidR="00340BC1" w:rsidRPr="00514EFA">
        <w:rPr>
          <w:rFonts w:eastAsia="Calibri" w:cs="Arial"/>
        </w:rPr>
        <w:t xml:space="preserve"> </w:t>
      </w:r>
      <w:proofErr w:type="gramStart"/>
      <w:r w:rsidR="004F70EA" w:rsidRPr="00514EFA">
        <w:rPr>
          <w:rFonts w:eastAsia="Calibri" w:cs="Arial"/>
        </w:rPr>
        <w:t>place-shaping</w:t>
      </w:r>
      <w:proofErr w:type="gramEnd"/>
      <w:r w:rsidR="004F70EA" w:rsidRPr="00514EFA">
        <w:rPr>
          <w:rFonts w:eastAsia="Calibri" w:cs="Arial"/>
        </w:rPr>
        <w:t>.</w:t>
      </w:r>
      <w:r w:rsidR="00A033C6">
        <w:rPr>
          <w:rFonts w:eastAsia="Calibri" w:cs="Arial"/>
        </w:rPr>
        <w:t xml:space="preserve"> </w:t>
      </w:r>
      <w:r w:rsidR="004F70EA" w:rsidRPr="00514EFA">
        <w:rPr>
          <w:rFonts w:eastAsia="Calibri" w:cs="Arial"/>
        </w:rPr>
        <w:t>The precise mechanisms through which this influence is exerted (i.e. the nature of the impact ecosystem at an asset/investment and local level) require further investigation.</w:t>
      </w:r>
      <w:r w:rsidR="00A033C6">
        <w:rPr>
          <w:rFonts w:eastAsia="Calibri" w:cs="Arial"/>
        </w:rPr>
        <w:t xml:space="preserve"> </w:t>
      </w:r>
      <w:r w:rsidR="004F70EA" w:rsidRPr="00514EFA">
        <w:rPr>
          <w:rFonts w:eastAsia="Calibri" w:cs="Arial"/>
        </w:rPr>
        <w:t xml:space="preserve">However, we can clearly see that places that contain a greater density of </w:t>
      </w:r>
      <w:r w:rsidR="00340BC1">
        <w:rPr>
          <w:rFonts w:eastAsia="Calibri" w:cs="Arial"/>
        </w:rPr>
        <w:t xml:space="preserve">CS&amp;H </w:t>
      </w:r>
      <w:r w:rsidR="004F70EA" w:rsidRPr="00514EFA">
        <w:rPr>
          <w:rFonts w:eastAsia="Calibri" w:cs="Arial"/>
        </w:rPr>
        <w:t>assets and receive higher per capita</w:t>
      </w:r>
      <w:r w:rsidR="00340BC1">
        <w:rPr>
          <w:rFonts w:eastAsia="Calibri" w:cs="Arial"/>
        </w:rPr>
        <w:t xml:space="preserve"> CS&amp;H</w:t>
      </w:r>
      <w:r w:rsidR="004F70EA" w:rsidRPr="00514EFA">
        <w:rPr>
          <w:rFonts w:eastAsia="Calibri" w:cs="Arial"/>
        </w:rPr>
        <w:t xml:space="preserve"> investment are more likely to build a strong creative sector.</w:t>
      </w:r>
      <w:r w:rsidR="00A033C6">
        <w:rPr>
          <w:rFonts w:eastAsia="Calibri" w:cs="Arial"/>
        </w:rPr>
        <w:t xml:space="preserve"> </w:t>
      </w:r>
      <w:r w:rsidR="004F70EA" w:rsidRPr="00514EFA">
        <w:rPr>
          <w:rFonts w:eastAsia="Calibri" w:cs="Arial"/>
        </w:rPr>
        <w:t>They also are able to attract businesses to locate in local places more effectively than others</w:t>
      </w:r>
      <w:r w:rsidR="007270B3" w:rsidRPr="00514EFA">
        <w:rPr>
          <w:rFonts w:eastAsia="Calibri" w:cs="Arial"/>
        </w:rPr>
        <w:t xml:space="preserve"> and/or slow the rate at which businesses out-migrate to other locations.</w:t>
      </w:r>
      <w:r w:rsidR="00BD69F9">
        <w:rPr>
          <w:rFonts w:eastAsia="Calibri" w:cs="Arial"/>
        </w:rPr>
        <w:t xml:space="preserve"> This is consonant with Markusen’s findings on creative </w:t>
      </w:r>
      <w:r w:rsidR="00AD6B47">
        <w:rPr>
          <w:rFonts w:eastAsia="Calibri" w:cs="Arial"/>
        </w:rPr>
        <w:t>placemaking</w:t>
      </w:r>
      <w:r w:rsidR="00BD69F9">
        <w:rPr>
          <w:rFonts w:eastAsia="Calibri" w:cs="Arial"/>
        </w:rPr>
        <w:t xml:space="preserve"> in the USA where cultural consumption was also higher in these areas as a result of </w:t>
      </w:r>
      <w:r w:rsidR="00BD69F9" w:rsidRPr="000F6B69">
        <w:rPr>
          <w:rFonts w:eastAsia="Calibri" w:cs="Arial"/>
        </w:rPr>
        <w:t>this cluster</w:t>
      </w:r>
      <w:r w:rsidR="000F6B69" w:rsidRPr="000F6B69">
        <w:rPr>
          <w:rFonts w:eastAsia="Calibri" w:cs="Arial"/>
        </w:rPr>
        <w:t>ing</w:t>
      </w:r>
      <w:r w:rsidR="00BD69F9" w:rsidRPr="000F6B69">
        <w:rPr>
          <w:rFonts w:eastAsia="Calibri" w:cs="Arial"/>
        </w:rPr>
        <w:t xml:space="preserve"> and ecosystem</w:t>
      </w:r>
      <w:r w:rsidR="00BD69F9">
        <w:rPr>
          <w:rFonts w:eastAsia="Calibri" w:cs="Arial"/>
        </w:rPr>
        <w:t>.</w:t>
      </w:r>
    </w:p>
    <w:p w14:paraId="7ECC379E" w14:textId="6E642F96" w:rsidR="00BB4903" w:rsidRPr="00514EFA" w:rsidRDefault="00BB4903" w:rsidP="006E084B">
      <w:pPr>
        <w:rPr>
          <w:rFonts w:eastAsia="Calibri" w:cs="Arial"/>
        </w:rPr>
      </w:pPr>
      <w:r w:rsidRPr="00514EFA">
        <w:rPr>
          <w:rFonts w:eastAsia="Calibri" w:cs="Arial"/>
        </w:rPr>
        <w:t>Secondly, the absence of stronger evidence of relationships and associations should not necessarily be interpreted as an absence of impact.</w:t>
      </w:r>
      <w:r w:rsidR="00A033C6">
        <w:rPr>
          <w:rFonts w:eastAsia="Calibri" w:cs="Arial"/>
        </w:rPr>
        <w:t xml:space="preserve"> </w:t>
      </w:r>
      <w:r w:rsidRPr="00514EFA">
        <w:rPr>
          <w:rFonts w:eastAsia="Calibri" w:cs="Arial"/>
        </w:rPr>
        <w:t>The data and methodology limitations of the study mean that the relationships are yet to be fully explored.</w:t>
      </w:r>
      <w:r w:rsidR="0069713A">
        <w:rPr>
          <w:rFonts w:eastAsia="Calibri" w:cs="Arial"/>
        </w:rPr>
        <w:t xml:space="preserve"> Further research is needed to fully examine the relationships suggested by this study.</w:t>
      </w:r>
    </w:p>
    <w:p w14:paraId="1F51B3DA" w14:textId="1FC49440" w:rsidR="0096626C" w:rsidRPr="00514EFA" w:rsidRDefault="0096626C" w:rsidP="006E084B">
      <w:pPr>
        <w:rPr>
          <w:rFonts w:eastAsia="Calibri" w:cs="Arial"/>
        </w:rPr>
      </w:pPr>
      <w:r w:rsidRPr="00514EFA">
        <w:rPr>
          <w:rFonts w:eastAsia="Calibri" w:cs="Arial"/>
        </w:rPr>
        <w:t>Caution should be applied because of the limitations of the research.</w:t>
      </w:r>
      <w:r w:rsidR="00A033C6">
        <w:rPr>
          <w:rFonts w:eastAsia="Calibri" w:cs="Arial"/>
        </w:rPr>
        <w:t xml:space="preserve"> </w:t>
      </w:r>
      <w:r w:rsidR="00034F01">
        <w:rPr>
          <w:rFonts w:eastAsia="Calibri" w:cs="Arial"/>
        </w:rPr>
        <w:t xml:space="preserve">For example, the analysis is limited by data availability. </w:t>
      </w:r>
      <w:r w:rsidRPr="00514EFA">
        <w:rPr>
          <w:rFonts w:eastAsia="Calibri" w:cs="Arial"/>
        </w:rPr>
        <w:t xml:space="preserve">Reverse causality may be an issue in some of the results </w:t>
      </w:r>
      <w:proofErr w:type="gramStart"/>
      <w:r w:rsidRPr="00514EFA">
        <w:rPr>
          <w:rFonts w:eastAsia="Calibri" w:cs="Arial"/>
        </w:rPr>
        <w:t>(</w:t>
      </w:r>
      <w:r w:rsidR="00C06FFE" w:rsidRPr="00C06FFE">
        <w:rPr>
          <w:rFonts w:eastAsia="Calibri" w:cs="Arial"/>
        </w:rPr>
        <w:t xml:space="preserve"> </w:t>
      </w:r>
      <w:r w:rsidR="00C06FFE">
        <w:rPr>
          <w:rFonts w:eastAsia="Calibri" w:cs="Arial"/>
        </w:rPr>
        <w:t>for</w:t>
      </w:r>
      <w:proofErr w:type="gramEnd"/>
      <w:r w:rsidR="00C06FFE">
        <w:rPr>
          <w:rFonts w:eastAsia="Calibri" w:cs="Arial"/>
        </w:rPr>
        <w:t xml:space="preserve"> example, our model assumes that local authority investment is a driver of local economic performance, but</w:t>
      </w:r>
      <w:r w:rsidRPr="00514EFA">
        <w:rPr>
          <w:rFonts w:eastAsia="Calibri" w:cs="Arial"/>
        </w:rPr>
        <w:t xml:space="preserve"> high local investment may occur where there is a higher concentration of firms).</w:t>
      </w:r>
      <w:r w:rsidR="00A033C6">
        <w:rPr>
          <w:rFonts w:eastAsia="Calibri" w:cs="Arial"/>
        </w:rPr>
        <w:t xml:space="preserve"> </w:t>
      </w:r>
      <w:r w:rsidRPr="00514EFA">
        <w:rPr>
          <w:rFonts w:eastAsia="Calibri" w:cs="Arial"/>
        </w:rPr>
        <w:t>This could be addressed through further study focused on an instrumental variables approach.</w:t>
      </w:r>
    </w:p>
    <w:p w14:paraId="45CEE5F2" w14:textId="2DDBBD04" w:rsidR="00CE62B4" w:rsidRDefault="00BB4903" w:rsidP="006E084B">
      <w:pPr>
        <w:rPr>
          <w:rFonts w:eastAsia="Calibri" w:cs="Arial"/>
        </w:rPr>
      </w:pPr>
      <w:r w:rsidRPr="00514EFA">
        <w:rPr>
          <w:rFonts w:eastAsia="Calibri" w:cs="Arial"/>
        </w:rPr>
        <w:t xml:space="preserve">There is much </w:t>
      </w:r>
      <w:r w:rsidR="00C06FFE">
        <w:rPr>
          <w:rFonts w:eastAsia="Calibri" w:cs="Arial"/>
        </w:rPr>
        <w:t xml:space="preserve">further </w:t>
      </w:r>
      <w:r w:rsidRPr="00514EFA">
        <w:rPr>
          <w:rFonts w:eastAsia="Calibri" w:cs="Arial"/>
        </w:rPr>
        <w:t>scope for future research in this field.</w:t>
      </w:r>
      <w:r w:rsidR="00A033C6">
        <w:rPr>
          <w:rFonts w:eastAsia="Calibri" w:cs="Arial"/>
        </w:rPr>
        <w:t xml:space="preserve"> </w:t>
      </w:r>
      <w:r w:rsidRPr="00514EFA">
        <w:rPr>
          <w:rFonts w:eastAsia="Calibri" w:cs="Arial"/>
        </w:rPr>
        <w:t>Future econometric modelling approaches would be enhanced if a number of data limitations were resolved.</w:t>
      </w:r>
      <w:r w:rsidR="00A033C6">
        <w:rPr>
          <w:rFonts w:eastAsia="Calibri" w:cs="Arial"/>
        </w:rPr>
        <w:t xml:space="preserve"> </w:t>
      </w:r>
      <w:r w:rsidR="0096626C" w:rsidRPr="00514EFA">
        <w:rPr>
          <w:rFonts w:eastAsia="Calibri" w:cs="Arial"/>
        </w:rPr>
        <w:t xml:space="preserve">Firstly, </w:t>
      </w:r>
      <w:r w:rsidR="00782CED">
        <w:rPr>
          <w:rFonts w:eastAsia="Calibri" w:cs="Arial"/>
        </w:rPr>
        <w:t xml:space="preserve">availability of a wider range of variables at local authority level – or, better, </w:t>
      </w:r>
      <w:r w:rsidR="0096626C" w:rsidRPr="00514EFA">
        <w:rPr>
          <w:rFonts w:eastAsia="Calibri" w:cs="Arial"/>
        </w:rPr>
        <w:t xml:space="preserve">availability of key variables at spatial areas </w:t>
      </w:r>
      <w:r w:rsidR="00C06FFE">
        <w:rPr>
          <w:rFonts w:eastAsia="Calibri" w:cs="Arial"/>
        </w:rPr>
        <w:t>smaller</w:t>
      </w:r>
      <w:r w:rsidR="00C06FFE" w:rsidRPr="00514EFA">
        <w:rPr>
          <w:rFonts w:eastAsia="Calibri" w:cs="Arial"/>
        </w:rPr>
        <w:t xml:space="preserve"> </w:t>
      </w:r>
      <w:r w:rsidR="0096626C" w:rsidRPr="00514EFA">
        <w:rPr>
          <w:rFonts w:eastAsia="Calibri" w:cs="Arial"/>
        </w:rPr>
        <w:t xml:space="preserve">than local </w:t>
      </w:r>
      <w:r w:rsidR="00511EC8" w:rsidRPr="00514EFA">
        <w:rPr>
          <w:rFonts w:eastAsia="Calibri" w:cs="Arial"/>
        </w:rPr>
        <w:t>authority</w:t>
      </w:r>
      <w:r w:rsidR="00511EC8">
        <w:rPr>
          <w:rFonts w:eastAsia="Calibri"/>
        </w:rPr>
        <w:t> </w:t>
      </w:r>
      <w:r w:rsidR="00782CED">
        <w:rPr>
          <w:rFonts w:eastAsia="Calibri" w:cs="Arial"/>
        </w:rPr>
        <w:t xml:space="preserve">– </w:t>
      </w:r>
      <w:r w:rsidR="0096626C" w:rsidRPr="00514EFA">
        <w:rPr>
          <w:rFonts w:eastAsia="Calibri" w:cs="Arial"/>
        </w:rPr>
        <w:t>would be very advantageous.</w:t>
      </w:r>
      <w:r w:rsidR="00A033C6">
        <w:rPr>
          <w:rFonts w:eastAsia="Calibri" w:cs="Arial"/>
        </w:rPr>
        <w:t xml:space="preserve"> </w:t>
      </w:r>
      <w:r w:rsidR="00883259">
        <w:rPr>
          <w:rFonts w:eastAsia="Calibri" w:cs="Arial"/>
        </w:rPr>
        <w:t xml:space="preserve">In particular, a wider range of control variables would benefit further research. </w:t>
      </w:r>
      <w:r w:rsidR="0096626C" w:rsidRPr="00514EFA">
        <w:rPr>
          <w:rFonts w:eastAsia="Calibri" w:cs="Arial"/>
        </w:rPr>
        <w:t xml:space="preserve">However, </w:t>
      </w:r>
      <w:r w:rsidR="0096626C" w:rsidRPr="00883259">
        <w:rPr>
          <w:rFonts w:eastAsia="Calibri" w:cs="Arial"/>
        </w:rPr>
        <w:t>given the source of much of the data is the public sector, this would require a significant investment in creating survey sample sizes which are robust at, for example, the middle super output area level.</w:t>
      </w:r>
      <w:r w:rsidR="00A033C6">
        <w:rPr>
          <w:rFonts w:eastAsia="Calibri" w:cs="Arial"/>
        </w:rPr>
        <w:t xml:space="preserve"> </w:t>
      </w:r>
      <w:r w:rsidR="0096626C" w:rsidRPr="00514EFA">
        <w:rPr>
          <w:rFonts w:eastAsia="Calibri" w:cs="Arial"/>
        </w:rPr>
        <w:t xml:space="preserve">It is unrealistic to believe that such an investment is viable or likely at present, but development of such a range of data would open up a range of new analytical options for this and other </w:t>
      </w:r>
      <w:proofErr w:type="gramStart"/>
      <w:r w:rsidR="0096626C" w:rsidRPr="00514EFA">
        <w:rPr>
          <w:rFonts w:eastAsia="Calibri" w:cs="Arial"/>
        </w:rPr>
        <w:t>studies which</w:t>
      </w:r>
      <w:proofErr w:type="gramEnd"/>
      <w:r w:rsidR="0096626C" w:rsidRPr="00514EFA">
        <w:rPr>
          <w:rFonts w:eastAsia="Calibri" w:cs="Arial"/>
        </w:rPr>
        <w:t xml:space="preserve"> examine local impact.</w:t>
      </w:r>
    </w:p>
    <w:p w14:paraId="32724F4D" w14:textId="2D585F2A" w:rsidR="00BB4903" w:rsidRPr="00514EFA" w:rsidRDefault="00BC549F" w:rsidP="006E084B">
      <w:pPr>
        <w:rPr>
          <w:rFonts w:eastAsia="Calibri" w:cs="Arial"/>
        </w:rPr>
      </w:pPr>
      <w:r>
        <w:rPr>
          <w:rFonts w:eastAsia="Calibri" w:cs="Arial"/>
        </w:rPr>
        <w:t xml:space="preserve">Meanwhile, it is perhaps worth </w:t>
      </w:r>
      <w:r w:rsidR="00974B11">
        <w:rPr>
          <w:rFonts w:eastAsia="Calibri" w:cs="Arial"/>
        </w:rPr>
        <w:t>investigating</w:t>
      </w:r>
      <w:r>
        <w:rPr>
          <w:rFonts w:eastAsia="Calibri" w:cs="Arial"/>
        </w:rPr>
        <w:t xml:space="preserve"> the availability of localised data – for example, detailed local authority investment data and/or venue data (ticket sales, participation data, etc.) may be available on a consistent basis for a number of areas sufficient to allow econometric analysis of the kind undertaken in this study. Control variables are a key concern, however, </w:t>
      </w:r>
      <w:r w:rsidR="00974B11">
        <w:rPr>
          <w:rFonts w:eastAsia="Calibri" w:cs="Arial"/>
        </w:rPr>
        <w:t>given issues relating to the reliability of sample surveys at localised levels; any investigation of localised data will need to take this into account.</w:t>
      </w:r>
    </w:p>
    <w:p w14:paraId="5A825222" w14:textId="2826B415" w:rsidR="00883259" w:rsidRDefault="0096626C" w:rsidP="006E084B">
      <w:pPr>
        <w:rPr>
          <w:rFonts w:eastAsia="Calibri" w:cs="Arial"/>
        </w:rPr>
      </w:pPr>
      <w:r w:rsidRPr="00514EFA">
        <w:rPr>
          <w:rFonts w:eastAsia="Calibri" w:cs="Arial"/>
        </w:rPr>
        <w:t xml:space="preserve">A </w:t>
      </w:r>
      <w:r w:rsidR="008705B4">
        <w:rPr>
          <w:rFonts w:eastAsia="Calibri" w:cs="Arial"/>
        </w:rPr>
        <w:t>third</w:t>
      </w:r>
      <w:r w:rsidRPr="00514EFA">
        <w:rPr>
          <w:rFonts w:eastAsia="Calibri" w:cs="Arial"/>
        </w:rPr>
        <w:t xml:space="preserve"> area where better data is needed is </w:t>
      </w:r>
      <w:r w:rsidR="00BD69F9">
        <w:rPr>
          <w:rFonts w:eastAsia="Calibri" w:cs="Arial"/>
        </w:rPr>
        <w:t xml:space="preserve">on </w:t>
      </w:r>
      <w:r w:rsidRPr="00514EFA">
        <w:rPr>
          <w:rFonts w:eastAsia="Calibri" w:cs="Arial"/>
        </w:rPr>
        <w:t xml:space="preserve">culture, sports and heritage assets over time. </w:t>
      </w:r>
      <w:r w:rsidR="003211C9">
        <w:rPr>
          <w:rFonts w:eastAsia="Calibri" w:cs="Arial"/>
        </w:rPr>
        <w:t>D</w:t>
      </w:r>
      <w:r w:rsidRPr="00514EFA">
        <w:rPr>
          <w:rFonts w:eastAsia="Calibri" w:cs="Arial"/>
        </w:rPr>
        <w:t>ata capture using digital techniques could be employed to enhance the longitudinal data on assets over time</w:t>
      </w:r>
      <w:r w:rsidR="00883259">
        <w:rPr>
          <w:rFonts w:eastAsia="Calibri" w:cs="Arial"/>
        </w:rPr>
        <w:t>, for example</w:t>
      </w:r>
      <w:r w:rsidR="00045F6B">
        <w:rPr>
          <w:rFonts w:eastAsia="Calibri" w:cs="Arial"/>
        </w:rPr>
        <w:t xml:space="preserve"> using regular web-scraping to collate time-series data on</w:t>
      </w:r>
      <w:r w:rsidRPr="00514EFA">
        <w:rPr>
          <w:rFonts w:eastAsia="Calibri" w:cs="Arial"/>
        </w:rPr>
        <w:t xml:space="preserve"> cultural events</w:t>
      </w:r>
      <w:r w:rsidR="00045F6B">
        <w:rPr>
          <w:rFonts w:eastAsia="Calibri" w:cs="Arial"/>
        </w:rPr>
        <w:t xml:space="preserve"> each year, to enhance one of the indicators used in our analysis</w:t>
      </w:r>
      <w:r w:rsidRPr="00514EFA">
        <w:rPr>
          <w:rFonts w:eastAsia="Calibri" w:cs="Arial"/>
        </w:rPr>
        <w:t>.</w:t>
      </w:r>
    </w:p>
    <w:p w14:paraId="028FC1E3" w14:textId="5F6D3184" w:rsidR="00BB4903" w:rsidRPr="00514EFA" w:rsidRDefault="00883259" w:rsidP="006E084B">
      <w:pPr>
        <w:rPr>
          <w:rFonts w:eastAsia="Calibri" w:cs="Arial"/>
        </w:rPr>
      </w:pPr>
      <w:r>
        <w:rPr>
          <w:rFonts w:eastAsia="Calibri" w:cs="Arial"/>
        </w:rPr>
        <w:t>Finally</w:t>
      </w:r>
      <w:r w:rsidR="0096626C" w:rsidRPr="00514EFA">
        <w:rPr>
          <w:rFonts w:eastAsia="Calibri" w:cs="Arial"/>
        </w:rPr>
        <w:t xml:space="preserve">, the question of whether impacts are temporary or </w:t>
      </w:r>
      <w:r w:rsidR="00BD69F9">
        <w:rPr>
          <w:rFonts w:eastAsia="Calibri" w:cs="Arial"/>
        </w:rPr>
        <w:t>sustained</w:t>
      </w:r>
      <w:r w:rsidR="00BD69F9" w:rsidRPr="00514EFA">
        <w:rPr>
          <w:rFonts w:eastAsia="Calibri" w:cs="Arial"/>
        </w:rPr>
        <w:t xml:space="preserve"> </w:t>
      </w:r>
      <w:r w:rsidR="0096626C" w:rsidRPr="00514EFA">
        <w:rPr>
          <w:rFonts w:eastAsia="Calibri" w:cs="Arial"/>
        </w:rPr>
        <w:t>is impossible to resolve with only ten years of data</w:t>
      </w:r>
      <w:r w:rsidR="009640D5">
        <w:rPr>
          <w:rFonts w:eastAsia="Calibri" w:cs="Arial"/>
        </w:rPr>
        <w:t xml:space="preserve"> – and the time-series was limited by the availability of data.  There is therefore a future opportunity to examine </w:t>
      </w:r>
      <w:r w:rsidR="009640D5" w:rsidRPr="00514EFA">
        <w:rPr>
          <w:rFonts w:eastAsia="Calibri" w:cs="Arial"/>
        </w:rPr>
        <w:t>the question of impact permanence</w:t>
      </w:r>
      <w:r w:rsidR="009640D5">
        <w:rPr>
          <w:rFonts w:eastAsia="Calibri" w:cs="Arial"/>
        </w:rPr>
        <w:t xml:space="preserve"> as more and more data points are added to these time-series in </w:t>
      </w:r>
      <w:proofErr w:type="gramStart"/>
      <w:r w:rsidR="009640D5">
        <w:rPr>
          <w:rFonts w:eastAsia="Calibri" w:cs="Arial"/>
        </w:rPr>
        <w:t>order .</w:t>
      </w:r>
      <w:proofErr w:type="gramEnd"/>
      <w:r w:rsidR="009640D5">
        <w:rPr>
          <w:rFonts w:eastAsia="Calibri" w:cs="Arial"/>
        </w:rPr>
        <w:t xml:space="preserve">  </w:t>
      </w:r>
    </w:p>
    <w:p w14:paraId="0E6CA2CB" w14:textId="54D9CB15" w:rsidR="000F203F" w:rsidRPr="00D721C8" w:rsidRDefault="00CB59A0" w:rsidP="006751CE">
      <w:pPr>
        <w:pStyle w:val="Heading1Numbered"/>
      </w:pPr>
      <w:bookmarkStart w:id="71" w:name="_Ref460272388"/>
      <w:bookmarkStart w:id="72" w:name="_Ref460272433"/>
      <w:bookmarkStart w:id="73" w:name="_Ref460315845"/>
      <w:bookmarkStart w:id="74" w:name="_Ref460315850"/>
      <w:bookmarkStart w:id="75" w:name="_Toc464222917"/>
      <w:r w:rsidRPr="00D721C8">
        <w:rPr>
          <w:rFonts w:eastAsia="Calibri"/>
        </w:rPr>
        <w:t>Appendix I –</w:t>
      </w:r>
      <w:r w:rsidR="00D721C8" w:rsidRPr="00D721C8">
        <w:rPr>
          <w:rFonts w:eastAsia="Calibri"/>
        </w:rPr>
        <w:t xml:space="preserve"> </w:t>
      </w:r>
      <w:r w:rsidR="00E2185B">
        <w:t>L</w:t>
      </w:r>
      <w:r w:rsidR="000F203F" w:rsidRPr="00D721C8">
        <w:t xml:space="preserve">iterature </w:t>
      </w:r>
      <w:r w:rsidR="00D721C8">
        <w:t>r</w:t>
      </w:r>
      <w:r w:rsidR="000F203F" w:rsidRPr="00D721C8">
        <w:t>eview</w:t>
      </w:r>
      <w:bookmarkEnd w:id="71"/>
      <w:bookmarkEnd w:id="72"/>
      <w:bookmarkEnd w:id="73"/>
      <w:bookmarkEnd w:id="74"/>
      <w:bookmarkEnd w:id="75"/>
    </w:p>
    <w:p w14:paraId="3CFEEED4" w14:textId="77777777" w:rsidR="00410E03" w:rsidRPr="00520273" w:rsidRDefault="00410E03" w:rsidP="006751CE">
      <w:pPr>
        <w:pStyle w:val="Heading2Numbered"/>
      </w:pPr>
      <w:bookmarkStart w:id="76" w:name="_Toc464222918"/>
      <w:r w:rsidRPr="00520273">
        <w:t>Introduction</w:t>
      </w:r>
      <w:bookmarkEnd w:id="76"/>
    </w:p>
    <w:p w14:paraId="1B1D1A7A" w14:textId="42173ECE" w:rsidR="00410E03" w:rsidRPr="00E12945" w:rsidRDefault="00410E03" w:rsidP="00520273">
      <w:r w:rsidRPr="00E12945">
        <w:t xml:space="preserve">This review </w:t>
      </w:r>
      <w:r w:rsidR="00290C1B">
        <w:t>was</w:t>
      </w:r>
      <w:r w:rsidRPr="00E12945">
        <w:t xml:space="preserve"> undertaken </w:t>
      </w:r>
      <w:r w:rsidR="00290C1B">
        <w:t>during the early stages of the research. It</w:t>
      </w:r>
      <w:r w:rsidRPr="00E12945">
        <w:t xml:space="preserve"> is not a comprehensive ‘annotated’ literature review or meta-analysis of the </w:t>
      </w:r>
      <w:r w:rsidR="00290C1B">
        <w:t>role of culture in place-shaping</w:t>
      </w:r>
      <w:r w:rsidRPr="00E12945">
        <w:t>, although it is observed that a systematic meta-analysis is now required given the number of partial literature and evidence reviews that have been undertaken over the past 15 years. These have been limited by their sectoral and methodological focus, their coverage</w:t>
      </w:r>
      <w:r w:rsidRPr="00E12945">
        <w:rPr>
          <w:rStyle w:val="FootnoteReference"/>
          <w:rFonts w:ascii="Tahoma" w:hAnsi="Tahoma" w:cs="Tahoma"/>
          <w:sz w:val="20"/>
        </w:rPr>
        <w:footnoteReference w:id="28"/>
      </w:r>
      <w:r w:rsidRPr="00E12945">
        <w:t xml:space="preserve"> and geographic scope </w:t>
      </w:r>
      <w:r w:rsidR="00290C1B">
        <w:t>–</w:t>
      </w:r>
      <w:r w:rsidR="00290C1B" w:rsidRPr="00E12945">
        <w:t xml:space="preserve"> </w:t>
      </w:r>
      <w:r w:rsidRPr="00E12945">
        <w:t xml:space="preserve">making it difficult to compare art, sport, heritage and other sectors and the scales of impact. </w:t>
      </w:r>
    </w:p>
    <w:p w14:paraId="3D15A1A0" w14:textId="3CB728A8" w:rsidR="00410E03" w:rsidRDefault="00410E03" w:rsidP="00520273">
      <w:pPr>
        <w:rPr>
          <w:rFonts w:eastAsiaTheme="minorHAnsi"/>
        </w:rPr>
      </w:pPr>
      <w:r w:rsidRPr="00E12945">
        <w:t xml:space="preserve">The </w:t>
      </w:r>
      <w:r w:rsidR="00290C1B">
        <w:t>literature review was</w:t>
      </w:r>
      <w:r w:rsidRPr="00E12945">
        <w:t xml:space="preserve"> undertaken as a ‘rapid review’ with the benefit of prior reviews, notably our </w:t>
      </w:r>
      <w:r w:rsidRPr="00E12945">
        <w:rPr>
          <w:i/>
        </w:rPr>
        <w:t>Art the Possible</w:t>
      </w:r>
      <w:r w:rsidRPr="00E12945">
        <w:t xml:space="preserve"> feasibility study undertaken for </w:t>
      </w:r>
      <w:r w:rsidR="00290C1B">
        <w:t xml:space="preserve">the </w:t>
      </w:r>
      <w:r w:rsidRPr="00E12945">
        <w:t>CASE</w:t>
      </w:r>
      <w:r w:rsidR="00290C1B">
        <w:t xml:space="preserve"> programme</w:t>
      </w:r>
      <w:r w:rsidRPr="00E12945">
        <w:t xml:space="preserve"> in 201</w:t>
      </w:r>
      <w:r w:rsidR="00E3244A">
        <w:t>1</w:t>
      </w:r>
      <w:r w:rsidR="00290C1B">
        <w:rPr>
          <w:rStyle w:val="FootnoteReference"/>
        </w:rPr>
        <w:footnoteReference w:id="29"/>
      </w:r>
      <w:r w:rsidRPr="00E12945">
        <w:t xml:space="preserve"> which looked at literature on CS&amp;H impacts and underlying quantitative methods and data availability. More recent reviews include </w:t>
      </w:r>
      <w:r w:rsidRPr="00E12945">
        <w:rPr>
          <w:rFonts w:eastAsiaTheme="minorHAnsi"/>
          <w:i/>
        </w:rPr>
        <w:t>Evidence Review</w:t>
      </w:r>
      <w:r w:rsidRPr="00D01D0B">
        <w:rPr>
          <w:rFonts w:eastAsiaTheme="minorHAnsi"/>
          <w:i/>
        </w:rPr>
        <w:t xml:space="preserve">: Sport and Culture </w:t>
      </w:r>
      <w:r w:rsidRPr="00D01D0B">
        <w:rPr>
          <w:rFonts w:eastAsiaTheme="minorHAnsi"/>
        </w:rPr>
        <w:t>(WWCLEC, 2013);</w:t>
      </w:r>
      <w:r w:rsidRPr="00D01D0B">
        <w:rPr>
          <w:rFonts w:eastAsiaTheme="minorHAnsi"/>
          <w:i/>
        </w:rPr>
        <w:t xml:space="preserve"> Local economic impacts from cultural sector investment</w:t>
      </w:r>
      <w:r w:rsidRPr="00D01D0B">
        <w:rPr>
          <w:rFonts w:eastAsiaTheme="minorHAnsi"/>
        </w:rPr>
        <w:t xml:space="preserve"> (ECORYS, 2014); </w:t>
      </w:r>
      <w:r w:rsidRPr="00D01D0B">
        <w:rPr>
          <w:rFonts w:eastAsiaTheme="minorHAnsi"/>
          <w:i/>
        </w:rPr>
        <w:t>Understanding the value of arts &amp; culture</w:t>
      </w:r>
      <w:r w:rsidRPr="00D01D0B">
        <w:rPr>
          <w:rFonts w:eastAsiaTheme="minorHAnsi"/>
        </w:rPr>
        <w:t xml:space="preserve"> (AHRC, 2016); </w:t>
      </w:r>
      <w:r w:rsidRPr="00D01D0B">
        <w:rPr>
          <w:i/>
        </w:rPr>
        <w:t>The Warwick Commission on the Future of Cultural Value</w:t>
      </w:r>
      <w:r>
        <w:t xml:space="preserve"> (</w:t>
      </w:r>
      <w:r w:rsidRPr="00D01D0B">
        <w:t>Warwick University, 2015)</w:t>
      </w:r>
      <w:r>
        <w:t>;</w:t>
      </w:r>
      <w:r w:rsidRPr="00D01D0B">
        <w:rPr>
          <w:rFonts w:eastAsiaTheme="minorHAnsi"/>
          <w:i/>
        </w:rPr>
        <w:t xml:space="preserve"> Quantifying the Social Impacts of Culture and Sport</w:t>
      </w:r>
      <w:r w:rsidRPr="00D01D0B">
        <w:rPr>
          <w:rFonts w:eastAsiaTheme="minorHAnsi"/>
        </w:rPr>
        <w:t xml:space="preserve"> (DCMS, 2014) as well as earlier reviews of Social Impacts (CCS, 2005; Reeves, 2001) and </w:t>
      </w:r>
      <w:r w:rsidRPr="00D01D0B">
        <w:rPr>
          <w:rFonts w:eastAsiaTheme="minorHAnsi"/>
          <w:i/>
        </w:rPr>
        <w:t>Culture and Regeneration</w:t>
      </w:r>
      <w:r w:rsidRPr="00D01D0B">
        <w:rPr>
          <w:rFonts w:eastAsiaTheme="minorHAnsi"/>
        </w:rPr>
        <w:t xml:space="preserve"> (DCMS, 2004). The </w:t>
      </w:r>
      <w:r w:rsidR="002D625F">
        <w:rPr>
          <w:rFonts w:eastAsiaTheme="minorHAnsi"/>
        </w:rPr>
        <w:t>review</w:t>
      </w:r>
      <w:r w:rsidR="002D625F" w:rsidRPr="00D01D0B">
        <w:rPr>
          <w:rFonts w:eastAsiaTheme="minorHAnsi"/>
        </w:rPr>
        <w:t xml:space="preserve"> </w:t>
      </w:r>
      <w:r w:rsidRPr="00D01D0B">
        <w:rPr>
          <w:rFonts w:eastAsiaTheme="minorHAnsi"/>
        </w:rPr>
        <w:t xml:space="preserve">has drawn on these sources as well as published material in the form of journal articles, books/chapters and research reports, primarily (but not exclusively) from the UK and North America. As well as evidence in the specific field of public culture, sport and heritage, research in economic and related fields such as regional innovation/competitiveness (e.g. clusters), health </w:t>
      </w:r>
      <w:r w:rsidR="00E2185B">
        <w:rPr>
          <w:rFonts w:eastAsiaTheme="minorHAnsi"/>
        </w:rPr>
        <w:t>and</w:t>
      </w:r>
      <w:r w:rsidR="00E2185B" w:rsidRPr="00D01D0B">
        <w:rPr>
          <w:rFonts w:eastAsiaTheme="minorHAnsi"/>
        </w:rPr>
        <w:t xml:space="preserve"> </w:t>
      </w:r>
      <w:r w:rsidRPr="00D01D0B">
        <w:rPr>
          <w:rFonts w:eastAsiaTheme="minorHAnsi"/>
        </w:rPr>
        <w:t xml:space="preserve">wellbeing, and </w:t>
      </w:r>
      <w:r w:rsidR="00AD6B47">
        <w:rPr>
          <w:rFonts w:eastAsiaTheme="minorHAnsi"/>
        </w:rPr>
        <w:t>placemaking</w:t>
      </w:r>
      <w:r w:rsidRPr="00D01D0B">
        <w:rPr>
          <w:rFonts w:eastAsiaTheme="minorHAnsi"/>
        </w:rPr>
        <w:t xml:space="preserve"> </w:t>
      </w:r>
      <w:r w:rsidR="004D2D91">
        <w:rPr>
          <w:rFonts w:eastAsiaTheme="minorHAnsi"/>
        </w:rPr>
        <w:t>were</w:t>
      </w:r>
      <w:r w:rsidR="004D2D91" w:rsidRPr="00D01D0B">
        <w:rPr>
          <w:rFonts w:eastAsiaTheme="minorHAnsi"/>
        </w:rPr>
        <w:t xml:space="preserve"> </w:t>
      </w:r>
      <w:r w:rsidRPr="00D01D0B">
        <w:rPr>
          <w:rFonts w:eastAsiaTheme="minorHAnsi"/>
        </w:rPr>
        <w:t>also considered to the extent that they may contribute to a conceptual framework and potential modelling of CS&amp;H impacts on place-shaping.</w:t>
      </w:r>
    </w:p>
    <w:p w14:paraId="0B5058EC" w14:textId="22128140" w:rsidR="002D625F" w:rsidRDefault="002D625F" w:rsidP="00520273">
      <w:r w:rsidRPr="002D625F">
        <w:t>To complement the</w:t>
      </w:r>
      <w:r>
        <w:t xml:space="preserve"> initial</w:t>
      </w:r>
      <w:r w:rsidRPr="002D625F">
        <w:t xml:space="preserve"> literature review</w:t>
      </w:r>
      <w:r>
        <w:t xml:space="preserve">, a further review of </w:t>
      </w:r>
      <w:r w:rsidRPr="002D625F">
        <w:t xml:space="preserve">a number of specific </w:t>
      </w:r>
      <w:proofErr w:type="gramStart"/>
      <w:r w:rsidRPr="002D625F">
        <w:t>studies which contribute empirical evidence to the debate around the impacts of CS&amp;H assets and/or investment</w:t>
      </w:r>
      <w:proofErr w:type="gramEnd"/>
      <w:r w:rsidRPr="002D625F">
        <w:t xml:space="preserve"> </w:t>
      </w:r>
      <w:r>
        <w:t>was also undertaken</w:t>
      </w:r>
      <w:r w:rsidRPr="002D625F">
        <w:t xml:space="preserve">. </w:t>
      </w:r>
      <w:r>
        <w:t>The findings of both reviews are presented together here.</w:t>
      </w:r>
    </w:p>
    <w:p w14:paraId="599F9251" w14:textId="77777777" w:rsidR="00E3244A" w:rsidRDefault="00E3244A" w:rsidP="00520273"/>
    <w:p w14:paraId="59BD0CBC" w14:textId="77777777" w:rsidR="00E3244A" w:rsidRPr="00D01D0B" w:rsidRDefault="00E3244A" w:rsidP="00520273"/>
    <w:p w14:paraId="78758B2A" w14:textId="4F49E397" w:rsidR="00410E03" w:rsidRPr="00D01D0B" w:rsidRDefault="00410E03" w:rsidP="00520273">
      <w:pPr>
        <w:pStyle w:val="Heading2Numbered"/>
      </w:pPr>
      <w:bookmarkStart w:id="77" w:name="_Toc464222919"/>
      <w:r w:rsidRPr="00D01D0B">
        <w:t>Cultural Assets</w:t>
      </w:r>
      <w:bookmarkEnd w:id="77"/>
      <w:r w:rsidRPr="00D01D0B">
        <w:t xml:space="preserve"> </w:t>
      </w:r>
    </w:p>
    <w:p w14:paraId="5B776438" w14:textId="7E93A833" w:rsidR="00410E03" w:rsidRPr="00D01D0B" w:rsidRDefault="00410E03" w:rsidP="00410E03">
      <w:pPr>
        <w:rPr>
          <w:rFonts w:ascii="Tahoma" w:hAnsi="Tahoma" w:cs="Tahoma"/>
          <w:sz w:val="20"/>
        </w:rPr>
      </w:pPr>
      <w:r w:rsidRPr="00D01D0B">
        <w:t>Culture, Sport &amp; Heritage assets can be conceived and valued in four ways, as:</w:t>
      </w:r>
    </w:p>
    <w:p w14:paraId="0E4C99E7" w14:textId="77777777" w:rsidR="00410E03" w:rsidRPr="00520273" w:rsidRDefault="00410E03" w:rsidP="006751CE">
      <w:pPr>
        <w:pStyle w:val="Bullet"/>
      </w:pPr>
      <w:r w:rsidRPr="00520273">
        <w:t>Amenities</w:t>
      </w:r>
    </w:p>
    <w:p w14:paraId="2BB8F96D" w14:textId="77777777" w:rsidR="00410E03" w:rsidRPr="00520273" w:rsidRDefault="00410E03" w:rsidP="006751CE">
      <w:pPr>
        <w:pStyle w:val="Bullet"/>
      </w:pPr>
      <w:r w:rsidRPr="00520273">
        <w:t>Economic generators and attractors</w:t>
      </w:r>
    </w:p>
    <w:p w14:paraId="7245A183" w14:textId="77777777" w:rsidR="00410E03" w:rsidRPr="00520273" w:rsidRDefault="00410E03" w:rsidP="006751CE">
      <w:pPr>
        <w:pStyle w:val="Bullet"/>
      </w:pPr>
      <w:r w:rsidRPr="00520273">
        <w:t>Social and Cultural capital-builders</w:t>
      </w:r>
    </w:p>
    <w:p w14:paraId="74521366" w14:textId="77777777" w:rsidR="00410E03" w:rsidRPr="00520273" w:rsidRDefault="00410E03" w:rsidP="006751CE">
      <w:pPr>
        <w:pStyle w:val="Bullet"/>
      </w:pPr>
      <w:r w:rsidRPr="00520273">
        <w:t>Cultural value-givers</w:t>
      </w:r>
    </w:p>
    <w:p w14:paraId="41B399D3" w14:textId="03B93DA9" w:rsidR="00410E03" w:rsidRDefault="00410E03" w:rsidP="00131F29">
      <w:r w:rsidRPr="00D01D0B">
        <w:t xml:space="preserve">Generally speaking these assets are primarily </w:t>
      </w:r>
      <w:r w:rsidRPr="004D2D91">
        <w:rPr>
          <w:i/>
        </w:rPr>
        <w:t>amenities</w:t>
      </w:r>
      <w:r w:rsidRPr="00D01D0B">
        <w:t xml:space="preserve"> in that their main ‘cultural’ aim and objective is to provide arts, sporting and heritage activities</w:t>
      </w:r>
      <w:r w:rsidRPr="00E12945">
        <w:t>, experiences, ‘intrinsic cultural value’ and resources, whilst their economic and social impacts can be considered in most cases</w:t>
      </w:r>
      <w:r>
        <w:t xml:space="preserve"> to be external spin-offs to their core purpose. This is important in any consideration of the economic and social values attributable to CS&amp;H assets since these are not anticipated or normally required outputs. As amenities with or without significant quantifiable economic and social impacts, their role in </w:t>
      </w:r>
      <w:proofErr w:type="gramStart"/>
      <w:r>
        <w:t>place-shaping</w:t>
      </w:r>
      <w:proofErr w:type="gramEnd"/>
      <w:r>
        <w:t xml:space="preserve"> and contributing to the value of everyday life is however fundamental, if often under-valued, and this review seek</w:t>
      </w:r>
      <w:r w:rsidR="004D2D91">
        <w:t>s</w:t>
      </w:r>
      <w:r>
        <w:t xml:space="preserve"> to assess these values in tangible terms. The term </w:t>
      </w:r>
      <w:r w:rsidR="004D2D91">
        <w:t>‘</w:t>
      </w:r>
      <w:r>
        <w:t>assets</w:t>
      </w:r>
      <w:r w:rsidR="004D2D91">
        <w:t>’</w:t>
      </w:r>
      <w:r>
        <w:t xml:space="preserve"> is appropriate here, as both inclusive and positive, but also consonant with the Physical Cultural Asset Mapping approach developed for CASE (2010)</w:t>
      </w:r>
      <w:r>
        <w:rPr>
          <w:rStyle w:val="FootnoteReference"/>
          <w:rFonts w:ascii="Tahoma" w:hAnsi="Tahoma" w:cs="Tahoma"/>
          <w:sz w:val="20"/>
        </w:rPr>
        <w:footnoteReference w:id="30"/>
      </w:r>
      <w:r>
        <w:t xml:space="preserve"> and in </w:t>
      </w:r>
      <w:r w:rsidRPr="00CD2A92">
        <w:rPr>
          <w:i/>
        </w:rPr>
        <w:t>Living Places</w:t>
      </w:r>
      <w:r>
        <w:t xml:space="preserve"> and cultural planning generally (Evans, 2008). This </w:t>
      </w:r>
      <w:r w:rsidR="004D2D91">
        <w:t>concept informs</w:t>
      </w:r>
      <w:r>
        <w:t xml:space="preserve"> the classification and identification of CS&amp;H assets </w:t>
      </w:r>
      <w:r w:rsidR="004D2D91">
        <w:t xml:space="preserve">in the study </w:t>
      </w:r>
      <w:r>
        <w:t>in terms of available and consistent data.</w:t>
      </w:r>
    </w:p>
    <w:p w14:paraId="6AB5F96F" w14:textId="1DB11D89" w:rsidR="00410E03" w:rsidRPr="00360F34" w:rsidRDefault="00410E03" w:rsidP="00520273">
      <w:pPr>
        <w:pStyle w:val="Heading3Numbered"/>
      </w:pPr>
      <w:bookmarkStart w:id="78" w:name="_Toc464222920"/>
      <w:r>
        <w:t>Public, Merit</w:t>
      </w:r>
      <w:r w:rsidRPr="00360F34">
        <w:t xml:space="preserve"> and Private Goods</w:t>
      </w:r>
      <w:bookmarkEnd w:id="78"/>
    </w:p>
    <w:p w14:paraId="622EF8BB" w14:textId="509B35D1" w:rsidR="00410E03" w:rsidRDefault="00410E03" w:rsidP="00520273">
      <w:r>
        <w:t xml:space="preserve">These three value systems are not of course exclusive (although treated as such in the literature and in planning), with CS&amp;H provision ranging from </w:t>
      </w:r>
      <w:r w:rsidRPr="005236C2">
        <w:rPr>
          <w:b/>
        </w:rPr>
        <w:t>public goods</w:t>
      </w:r>
      <w:r>
        <w:t xml:space="preserve"> (‘free’ to users e.g. public parks, libraries, museums); </w:t>
      </w:r>
      <w:r w:rsidRPr="005236C2">
        <w:rPr>
          <w:b/>
        </w:rPr>
        <w:t>merit goods</w:t>
      </w:r>
      <w:r>
        <w:t xml:space="preserve"> (low/subsidised price to users, e.g. most arts, cultural, heritage, sports) to </w:t>
      </w:r>
      <w:r w:rsidRPr="005236C2">
        <w:rPr>
          <w:b/>
        </w:rPr>
        <w:t>private goods</w:t>
      </w:r>
      <w:r>
        <w:t xml:space="preserve"> (full cost, commercial entertainment, e.g. cinemas). Providers of these CS&amp;H goods encompass public (local, national), voluntary/third sector (charities, trusts, associations) and private enterprises </w:t>
      </w:r>
      <w:r w:rsidR="004D2D91">
        <w:t>(</w:t>
      </w:r>
      <w:r>
        <w:t>large and small</w:t>
      </w:r>
      <w:r w:rsidR="004D2D91">
        <w:t>)</w:t>
      </w:r>
      <w:r>
        <w:t>. Organisational structures range from national networks and chains (</w:t>
      </w:r>
      <w:r w:rsidR="004D2D91">
        <w:t xml:space="preserve">e.g. </w:t>
      </w:r>
      <w:r>
        <w:t xml:space="preserve">National Trust, Odeon cinemas, David Lloyd Sports Centres, Virgin Gyms), to municipal and voluntary provision serving a local catchment. Some local provision may be the subject or product of standards (population or space-based) such as libraries, parks, sports facilities </w:t>
      </w:r>
      <w:proofErr w:type="gramStart"/>
      <w:r>
        <w:t>which</w:t>
      </w:r>
      <w:proofErr w:type="gramEnd"/>
      <w:r>
        <w:t xml:space="preserve"> have influenced their location, scale and catchment, but others effectively were not planned in this sense (most arts and heritage provision). One type of asset may serve a local user group whilst another may be focused on the visitor economy. For example, an elite national sport facility and a local community sports venue will have very different footprint</w:t>
      </w:r>
      <w:r w:rsidR="004D2D91">
        <w:t>s</w:t>
      </w:r>
      <w:r>
        <w:t xml:space="preserve"> and impact profile</w:t>
      </w:r>
      <w:r w:rsidR="004D2D91">
        <w:t>s</w:t>
      </w:r>
      <w:r>
        <w:t xml:space="preserve">. Many CS&amp;H facilities </w:t>
      </w:r>
      <w:r w:rsidR="004D2D91">
        <w:t xml:space="preserve">nevertheless </w:t>
      </w:r>
      <w:r>
        <w:t>will serve a mix of local (however defined) and non-local users and potentially, wider beneficiaries.</w:t>
      </w:r>
      <w:r w:rsidR="00A033C6">
        <w:t xml:space="preserve"> </w:t>
      </w:r>
    </w:p>
    <w:p w14:paraId="56D9AFCE" w14:textId="30BAE3F1" w:rsidR="00410E03" w:rsidRPr="00EF667C" w:rsidRDefault="00410E03" w:rsidP="00520273">
      <w:pPr>
        <w:pStyle w:val="Heading3Numbered"/>
      </w:pPr>
      <w:bookmarkStart w:id="79" w:name="_Toc464222921"/>
      <w:r w:rsidRPr="00EF667C">
        <w:t>Valorisation</w:t>
      </w:r>
      <w:bookmarkEnd w:id="79"/>
    </w:p>
    <w:p w14:paraId="783A65E6" w14:textId="5D57AFF6" w:rsidR="00410E03" w:rsidRDefault="00410E03" w:rsidP="00520273">
      <w:r>
        <w:t xml:space="preserve">Economic values are often ascribed to CS&amp;H assets, but rarely their </w:t>
      </w:r>
      <w:r w:rsidR="00F66F4E">
        <w:t xml:space="preserve">amenity </w:t>
      </w:r>
      <w:r>
        <w:t xml:space="preserve">value (see 1.4 below for </w:t>
      </w:r>
      <w:r w:rsidR="00F66F4E">
        <w:t>social impacts</w:t>
      </w:r>
      <w:r>
        <w:t xml:space="preserve">). Amenity valuations are very occasionally undertaken and the subject of cost-benefit analysis exercises using contingent valuation/willingness to pay (WTP) estimates (‘stated preferences’), for example the value placed by the public/users of parks </w:t>
      </w:r>
      <w:r w:rsidR="00F66F4E">
        <w:t xml:space="preserve">and </w:t>
      </w:r>
      <w:r>
        <w:t xml:space="preserve">open spaces, sports </w:t>
      </w:r>
      <w:r w:rsidR="00F66F4E">
        <w:t xml:space="preserve">and </w:t>
      </w:r>
      <w:r>
        <w:t xml:space="preserve">recreation facilities, museums, and access to nature (e.g. woodlands, water). </w:t>
      </w:r>
    </w:p>
    <w:p w14:paraId="60D07670" w14:textId="373E0E7D" w:rsidR="00410E03" w:rsidRDefault="00410E03" w:rsidP="00520273">
      <w:r>
        <w:t>Specific impact studies into the effect on property prices from sports facilities and environmental amenities have applied ‘</w:t>
      </w:r>
      <w:r w:rsidRPr="00F27EC7">
        <w:t>hedonic pricing</w:t>
      </w:r>
      <w:r>
        <w:t>’ analysis of properties in close proximity to these assets</w:t>
      </w:r>
      <w:r w:rsidRPr="00F27EC7">
        <w:t>. Several st</w:t>
      </w:r>
      <w:r>
        <w:t xml:space="preserve">udies were investigated in our </w:t>
      </w:r>
      <w:r w:rsidRPr="007D7677">
        <w:rPr>
          <w:i/>
        </w:rPr>
        <w:t>Art of the Possible</w:t>
      </w:r>
      <w:r w:rsidRPr="00F27EC7">
        <w:t xml:space="preserve"> study (TBR, 2010) based on research into amenity valuation, e.g. parks and green space commissioned by CABE (2007)</w:t>
      </w:r>
      <w:r>
        <w:t xml:space="preserve"> and</w:t>
      </w:r>
      <w:r w:rsidRPr="00F27EC7">
        <w:t xml:space="preserve"> GLA </w:t>
      </w:r>
      <w:r>
        <w:t>(2003</w:t>
      </w:r>
      <w:r w:rsidR="00846DC1">
        <w:t xml:space="preserve"> and </w:t>
      </w:r>
      <w:r>
        <w:t xml:space="preserve">Varma, 2003). More recently the National Ecosystems Assessment (NEA, 2011) has developed measurements of Cultural Ecosystems Services (Plieninger et al, </w:t>
      </w:r>
      <w:r w:rsidRPr="00BC35D5">
        <w:t>2013</w:t>
      </w:r>
      <w:r>
        <w:t>), i.e. the value of “nature/natural heritage”</w:t>
      </w:r>
      <w:r w:rsidRPr="00F27EC7">
        <w:t xml:space="preserve"> </w:t>
      </w:r>
      <w:r>
        <w:t>(NEA, 2010</w:t>
      </w:r>
      <w:proofErr w:type="gramStart"/>
      <w:r>
        <w:t>) which</w:t>
      </w:r>
      <w:proofErr w:type="gramEnd"/>
      <w:r>
        <w:t xml:space="preserve"> will be analysed below. A number of</w:t>
      </w:r>
      <w:r w:rsidRPr="00F27EC7">
        <w:t xml:space="preserve"> studies have been published into the effect on property prices attributable to new/upgraded sports facilities in the USA and Germany</w:t>
      </w:r>
      <w:r>
        <w:rPr>
          <w:rFonts w:eastAsiaTheme="minorHAnsi"/>
          <w:color w:val="000000"/>
        </w:rPr>
        <w:t xml:space="preserve">. </w:t>
      </w:r>
      <w:proofErr w:type="gramStart"/>
      <w:r>
        <w:rPr>
          <w:rFonts w:eastAsiaTheme="minorHAnsi"/>
          <w:color w:val="000000"/>
        </w:rPr>
        <w:t>A</w:t>
      </w:r>
      <w:r w:rsidRPr="00F27EC7">
        <w:rPr>
          <w:rFonts w:eastAsiaTheme="minorHAnsi"/>
          <w:color w:val="000000"/>
        </w:rPr>
        <w:t xml:space="preserve"> qualitative study of the </w:t>
      </w:r>
      <w:r>
        <w:rPr>
          <w:rFonts w:eastAsiaTheme="minorHAnsi"/>
          <w:color w:val="000000"/>
        </w:rPr>
        <w:t>new Manchester C</w:t>
      </w:r>
      <w:r w:rsidRPr="00F27EC7">
        <w:rPr>
          <w:rFonts w:eastAsiaTheme="minorHAnsi"/>
          <w:color w:val="000000"/>
        </w:rPr>
        <w:t xml:space="preserve">ity </w:t>
      </w:r>
      <w:r>
        <w:rPr>
          <w:rFonts w:eastAsiaTheme="minorHAnsi"/>
          <w:color w:val="000000"/>
        </w:rPr>
        <w:t>and Cardiff Millennium stadia</w:t>
      </w:r>
      <w:r w:rsidRPr="00F27EC7">
        <w:rPr>
          <w:rFonts w:eastAsiaTheme="minorHAnsi"/>
          <w:color w:val="000000"/>
        </w:rPr>
        <w:t xml:space="preserve"> </w:t>
      </w:r>
      <w:r>
        <w:rPr>
          <w:rFonts w:eastAsiaTheme="minorHAnsi"/>
          <w:color w:val="000000"/>
        </w:rPr>
        <w:t>was also carried out using a small sample by Davies</w:t>
      </w:r>
      <w:proofErr w:type="gramEnd"/>
      <w:r>
        <w:rPr>
          <w:rFonts w:eastAsiaTheme="minorHAnsi"/>
          <w:color w:val="000000"/>
        </w:rPr>
        <w:t xml:space="preserve"> (</w:t>
      </w:r>
      <w:r w:rsidRPr="00F27EC7">
        <w:rPr>
          <w:rFonts w:eastAsiaTheme="minorHAnsi"/>
          <w:color w:val="000000"/>
        </w:rPr>
        <w:t>2005).</w:t>
      </w:r>
      <w:r w:rsidRPr="00F27EC7">
        <w:t xml:space="preserve"> Since 2010</w:t>
      </w:r>
      <w:r>
        <w:t>,</w:t>
      </w:r>
      <w:r w:rsidRPr="00F27EC7">
        <w:t xml:space="preserve"> one study using property prices has been published on the impact of the new Wembley and Arsenal stadia (</w:t>
      </w:r>
      <w:r>
        <w:rPr>
          <w:rFonts w:eastAsiaTheme="minorHAnsi"/>
          <w:color w:val="000000"/>
        </w:rPr>
        <w:t>Ahlfeldt, Gabriel &amp;</w:t>
      </w:r>
      <w:r w:rsidRPr="00F27EC7">
        <w:rPr>
          <w:rFonts w:eastAsiaTheme="minorHAnsi"/>
          <w:color w:val="000000"/>
        </w:rPr>
        <w:t xml:space="preserve"> Kavetsos, 2014). These </w:t>
      </w:r>
      <w:r>
        <w:rPr>
          <w:rFonts w:eastAsiaTheme="minorHAnsi"/>
          <w:color w:val="000000"/>
        </w:rPr>
        <w:t xml:space="preserve">studies </w:t>
      </w:r>
      <w:r w:rsidRPr="00F27EC7">
        <w:rPr>
          <w:rFonts w:eastAsiaTheme="minorHAnsi"/>
          <w:color w:val="000000"/>
        </w:rPr>
        <w:t>need further analysis</w:t>
      </w:r>
      <w:r>
        <w:rPr>
          <w:rFonts w:eastAsiaTheme="minorHAnsi"/>
          <w:color w:val="000000"/>
        </w:rPr>
        <w:t xml:space="preserve"> for our purposes</w:t>
      </w:r>
      <w:r w:rsidRPr="00F27EC7">
        <w:rPr>
          <w:rFonts w:eastAsiaTheme="minorHAnsi"/>
          <w:color w:val="000000"/>
        </w:rPr>
        <w:t xml:space="preserve">, but an observation is that the hedonic pricing model has not been verified with householders to attribute the location decision or value added to the new facility. </w:t>
      </w:r>
      <w:r>
        <w:rPr>
          <w:rFonts w:eastAsiaTheme="minorHAnsi"/>
          <w:color w:val="000000"/>
        </w:rPr>
        <w:t>Fo</w:t>
      </w:r>
      <w:r w:rsidRPr="00F27EC7">
        <w:rPr>
          <w:rFonts w:eastAsiaTheme="minorHAnsi"/>
          <w:color w:val="000000"/>
        </w:rPr>
        <w:t xml:space="preserve">r example, in the case of the Arsenal and </w:t>
      </w:r>
      <w:r>
        <w:rPr>
          <w:rFonts w:eastAsiaTheme="minorHAnsi"/>
          <w:color w:val="000000"/>
        </w:rPr>
        <w:t>new Wembley study, important</w:t>
      </w:r>
      <w:r w:rsidRPr="00F27EC7">
        <w:rPr>
          <w:rFonts w:eastAsiaTheme="minorHAnsi"/>
          <w:color w:val="000000"/>
        </w:rPr>
        <w:t xml:space="preserve"> factors have not been taken into account in relation to the local and sub-regional property market, </w:t>
      </w:r>
      <w:r>
        <w:rPr>
          <w:rFonts w:eastAsiaTheme="minorHAnsi"/>
          <w:color w:val="000000"/>
        </w:rPr>
        <w:t xml:space="preserve">regeneration effects, </w:t>
      </w:r>
      <w:r w:rsidRPr="00F27EC7">
        <w:rPr>
          <w:rFonts w:eastAsiaTheme="minorHAnsi"/>
          <w:color w:val="000000"/>
        </w:rPr>
        <w:t xml:space="preserve">morphological variations, </w:t>
      </w:r>
      <w:proofErr w:type="gramStart"/>
      <w:r w:rsidRPr="00F27EC7">
        <w:rPr>
          <w:rFonts w:eastAsiaTheme="minorHAnsi"/>
          <w:color w:val="000000"/>
        </w:rPr>
        <w:t>density</w:t>
      </w:r>
      <w:proofErr w:type="gramEnd"/>
      <w:r w:rsidRPr="00F27EC7">
        <w:rPr>
          <w:rFonts w:eastAsiaTheme="minorHAnsi"/>
          <w:color w:val="000000"/>
        </w:rPr>
        <w:t xml:space="preserve"> or displacement effects.</w:t>
      </w:r>
    </w:p>
    <w:p w14:paraId="506804F4" w14:textId="5C7F95FC" w:rsidR="00410E03" w:rsidRDefault="00410E03" w:rsidP="00520273">
      <w:pPr>
        <w:rPr>
          <w:rFonts w:eastAsiaTheme="minorHAnsi"/>
          <w:color w:val="000000"/>
        </w:rPr>
      </w:pPr>
      <w:r>
        <w:t xml:space="preserve">The contingent valuation </w:t>
      </w:r>
      <w:r w:rsidRPr="00F27EC7">
        <w:t>approach has been in particular informed by environmental economics and in cultural economics</w:t>
      </w:r>
      <w:r>
        <w:t xml:space="preserve">, </w:t>
      </w:r>
      <w:r w:rsidRPr="00F27EC7">
        <w:t>mainly applied to museums</w:t>
      </w:r>
      <w:r>
        <w:t xml:space="preserve"> (</w:t>
      </w:r>
      <w:r w:rsidRPr="00F27EC7">
        <w:t>Noonan, 2003</w:t>
      </w:r>
      <w:r>
        <w:rPr>
          <w:rFonts w:eastAsiaTheme="minorHAnsi"/>
          <w:color w:val="000000"/>
        </w:rPr>
        <w:t xml:space="preserve">). Willingness to pay studies are used to assess the value of ‘free’ cultural and natural heritage facilities, for example English Heritage has carried out WTP studies of two heritage sites (Castle Priory and Walmer Castle/Gardens) on users/members and non-users (ECORYS, 2014) which can be </w:t>
      </w:r>
      <w:r w:rsidR="00F66F4E">
        <w:rPr>
          <w:rFonts w:eastAsiaTheme="minorHAnsi"/>
          <w:color w:val="000000"/>
        </w:rPr>
        <w:t>used</w:t>
      </w:r>
      <w:r>
        <w:rPr>
          <w:rFonts w:eastAsiaTheme="minorHAnsi"/>
          <w:color w:val="000000"/>
        </w:rPr>
        <w:t xml:space="preserve"> to estimate the financial value of annual visitors. This approach can also distinguish between residence (local, visitor) and socio-economic characteristics, </w:t>
      </w:r>
      <w:r w:rsidR="00F66F4E">
        <w:rPr>
          <w:rFonts w:eastAsiaTheme="minorHAnsi"/>
          <w:color w:val="000000"/>
        </w:rPr>
        <w:t xml:space="preserve">esimating </w:t>
      </w:r>
      <w:r>
        <w:rPr>
          <w:rFonts w:eastAsiaTheme="minorHAnsi"/>
          <w:color w:val="000000"/>
        </w:rPr>
        <w:t xml:space="preserve">values </w:t>
      </w:r>
      <w:r w:rsidR="00F66F4E">
        <w:rPr>
          <w:rFonts w:eastAsiaTheme="minorHAnsi"/>
          <w:color w:val="000000"/>
        </w:rPr>
        <w:t xml:space="preserve">from </w:t>
      </w:r>
      <w:r>
        <w:rPr>
          <w:rFonts w:eastAsiaTheme="minorHAnsi"/>
          <w:color w:val="000000"/>
        </w:rPr>
        <w:t xml:space="preserve">local and non-local beneficiaries. </w:t>
      </w:r>
      <w:r w:rsidR="00F66F4E">
        <w:rPr>
          <w:rFonts w:eastAsiaTheme="minorHAnsi"/>
          <w:color w:val="000000"/>
        </w:rPr>
        <w:t xml:space="preserve">For example, </w:t>
      </w:r>
      <w:r>
        <w:rPr>
          <w:rFonts w:eastAsiaTheme="minorHAnsi"/>
          <w:color w:val="000000"/>
        </w:rPr>
        <w:t xml:space="preserve">Bolton Museum, Library &amp; Archives undertook a WTP survey of users/non-users. Museum users estimated the value of their visit at £2.77 per month and non-users </w:t>
      </w:r>
      <w:r w:rsidR="00F66F4E">
        <w:rPr>
          <w:rFonts w:eastAsiaTheme="minorHAnsi"/>
          <w:color w:val="000000"/>
        </w:rPr>
        <w:t xml:space="preserve">at </w:t>
      </w:r>
      <w:r>
        <w:rPr>
          <w:rFonts w:eastAsiaTheme="minorHAnsi"/>
          <w:color w:val="000000"/>
        </w:rPr>
        <w:t>£1.14 per month. The total value of the city’s MLA services was put at £10.4 million (£7m users, £3.4m non-users), 1.6 times higher than the amount of public funding received (Jura, 2005)</w:t>
      </w:r>
      <w:r w:rsidR="00F66F4E">
        <w:rPr>
          <w:rFonts w:eastAsiaTheme="minorHAnsi"/>
          <w:color w:val="000000"/>
        </w:rPr>
        <w:t>.</w:t>
      </w:r>
    </w:p>
    <w:p w14:paraId="3D8D0267" w14:textId="25A9D158" w:rsidR="00410E03" w:rsidRPr="006F0B56" w:rsidRDefault="00410E03" w:rsidP="00520273">
      <w:pPr>
        <w:rPr>
          <w:rFonts w:eastAsiaTheme="minorHAnsi"/>
          <w:color w:val="000000"/>
        </w:rPr>
      </w:pPr>
      <w:r>
        <w:t>Stated preferences are seldom actually tested through revealed preferences, i.e. what beneficiaries subsequently paid for a ‘public’ (or subsidised ‘merit’) good that was previously free or at a lower price. However, in an earlier willingness to pay study conducted for the Arts Council, a majority of existing arts attenders said that they would pay more for Dance, Opera, Drama with 21% willing to pay more for Ballet, 34% for Opera, 37% for Drama, and 44% for Drama in Rep. During this decade (1987</w:t>
      </w:r>
      <w:r w:rsidR="006F0B56">
        <w:t>–</w:t>
      </w:r>
      <w:r>
        <w:t xml:space="preserve">1998) increased ticket yields at major performing arts venues saw average prices paid increase by 27% (Ballet), 44% (Opera), 27% (Drama) and 22% (Reps). There appears to be a correlation therefore in this case between willingness to pay and actual payment of a higher price, although how this effects the distribution and behaviour of audiences is an issue, e.g. a possible narrowing of audience profiles – in this case, 35% of respondents said that they would go less frequently (ACE, 2001; Evans, 1999). </w:t>
      </w:r>
      <w:r w:rsidRPr="006751CE">
        <w:t>Capturing latent ‘willingness to pay’ for C&amp;HS facility usage will nonetheless be one measure of value placed on these assets. These impacts need to be extended to a wider range and type of CS&amp;H assets and reflect other environmental factors</w:t>
      </w:r>
      <w:r w:rsidRPr="006F0B56">
        <w:t>.</w:t>
      </w:r>
    </w:p>
    <w:p w14:paraId="141BC460" w14:textId="313E81D9" w:rsidR="00410E03" w:rsidRPr="00EF667C" w:rsidRDefault="00410E03" w:rsidP="00520273">
      <w:pPr>
        <w:pStyle w:val="Heading3Numbered"/>
      </w:pPr>
      <w:bookmarkStart w:id="80" w:name="_Toc464222922"/>
      <w:r w:rsidRPr="00EF667C">
        <w:t>Economic impact</w:t>
      </w:r>
      <w:bookmarkEnd w:id="80"/>
    </w:p>
    <w:p w14:paraId="08494EB3" w14:textId="7E5D2A9E" w:rsidR="00410E03" w:rsidRDefault="00410E03" w:rsidP="00520273">
      <w:r>
        <w:t xml:space="preserve">CS&amp;H assets also have a direct and indirect economic value irrespective of their status and the services provided, since </w:t>
      </w:r>
      <w:r w:rsidR="00B2621F">
        <w:t xml:space="preserve">– </w:t>
      </w:r>
      <w:r>
        <w:t xml:space="preserve">except in very few cases (i.e. entirely voluntary, free provision) </w:t>
      </w:r>
      <w:r w:rsidR="00B2621F">
        <w:t xml:space="preserve">– </w:t>
      </w:r>
      <w:r>
        <w:t xml:space="preserve">they employ staff, contractors, purchase goods </w:t>
      </w:r>
      <w:r w:rsidR="00B2621F">
        <w:t xml:space="preserve">and </w:t>
      </w:r>
      <w:r>
        <w:t>services, and many will charge for services. Even public goods also generate income</w:t>
      </w:r>
      <w:r w:rsidR="00B2621F">
        <w:t>,</w:t>
      </w:r>
      <w:r>
        <w:t xml:space="preserve"> e.g. via hire fees (e.g. pitches, room/facility hire, training), special exhibitions (museums </w:t>
      </w:r>
      <w:r w:rsidR="00B2621F">
        <w:t xml:space="preserve">and </w:t>
      </w:r>
      <w:r>
        <w:t>galleries) and events, and through trading activity, notably hospitality, shops, bookshops, sponsorship</w:t>
      </w:r>
      <w:r w:rsidR="00B2621F">
        <w:t>,</w:t>
      </w:r>
      <w:r>
        <w:t xml:space="preserve"> etc. </w:t>
      </w:r>
    </w:p>
    <w:p w14:paraId="2A5E5D33" w14:textId="5738DDC5" w:rsidR="00410E03" w:rsidRPr="006751CE" w:rsidRDefault="00410E03" w:rsidP="00520273">
      <w:r>
        <w:t xml:space="preserve">Most impact studies using Economic Impact Assessment (EIA) focus on these economic outputs arising firstly from </w:t>
      </w:r>
      <w:r w:rsidRPr="006751CE">
        <w:t>investment</w:t>
      </w:r>
      <w:r w:rsidRPr="007B39D4">
        <w:rPr>
          <w:b/>
        </w:rPr>
        <w:t xml:space="preserve"> </w:t>
      </w:r>
      <w:r>
        <w:t xml:space="preserve">in the capital phase (e.g. construction/supplies), and then from subsequent and ongoing operational income and expenditure flows. These </w:t>
      </w:r>
      <w:r w:rsidR="00B2621F">
        <w:t xml:space="preserve">studies </w:t>
      </w:r>
      <w:r>
        <w:t xml:space="preserve">are generally carried out by applying multipliers to direct income and jobs generated and money circulating in the economy through spending by users/visitors, and to direct expenditure generated by the organisation though salaries and purchase of supplies </w:t>
      </w:r>
      <w:r w:rsidR="00B2621F">
        <w:t xml:space="preserve">– </w:t>
      </w:r>
      <w:r>
        <w:t xml:space="preserve">and the subsequent (indirect and induced) spending in successive rounds as employees and suppliers re-spend part of these receipts in the economy. Practical challenges to these exercises start with basic data collection of direct income and expenditure, then how this is distributed in the (local) economy with significant leakage of these benefits out of the ‘area’ likely. This of course depends on the size of the area and the extent of goods &amp; services imported from outside of the area, including from abroad. </w:t>
      </w:r>
      <w:r w:rsidRPr="006751CE">
        <w:t xml:space="preserve">In more sustainable place-shaping cases, the strength and diversity of the local/regional economy will minimise leakage and may also better support endogenous growth and innovation through these and genuine cluster effects (e.g. knowledge spillovers, valued added, scale benefits). </w:t>
      </w:r>
    </w:p>
    <w:p w14:paraId="012A2B33" w14:textId="77777777" w:rsidR="00410E03" w:rsidRDefault="00410E03" w:rsidP="00520273"/>
    <w:tbl>
      <w:tblPr>
        <w:tblStyle w:val="TableGrid"/>
        <w:tblW w:w="0" w:type="auto"/>
        <w:tblInd w:w="108" w:type="dxa"/>
        <w:tblLook w:val="04A0" w:firstRow="1" w:lastRow="0" w:firstColumn="1" w:lastColumn="0" w:noHBand="0" w:noVBand="1"/>
      </w:tblPr>
      <w:tblGrid>
        <w:gridCol w:w="9178"/>
      </w:tblGrid>
      <w:tr w:rsidR="00410E03" w14:paraId="146D74CB" w14:textId="77777777" w:rsidTr="00121553">
        <w:tc>
          <w:tcPr>
            <w:tcW w:w="9178" w:type="dxa"/>
          </w:tcPr>
          <w:p w14:paraId="449E63EF" w14:textId="77777777" w:rsidR="00410E03" w:rsidRDefault="00410E03" w:rsidP="00520273">
            <w:r w:rsidRPr="0098768F">
              <w:t xml:space="preserve">An EIA study was carried out </w:t>
            </w:r>
            <w:r>
              <w:t>for the Anvil Arts organ</w:t>
            </w:r>
            <w:r w:rsidRPr="0098768F">
              <w:t>isation (concert and theatre venues) in Basingstoke, Hants</w:t>
            </w:r>
            <w:r>
              <w:t xml:space="preserve"> in 2010</w:t>
            </w:r>
            <w:r w:rsidRPr="0098768F">
              <w:t>.</w:t>
            </w:r>
            <w:r>
              <w:t xml:space="preserve"> This assessment used financial and management data and accounts to measure spending and its distribution, followed by an online survey of users (n=2,000) to estimate their spending in the local area in addition to ticket purchases. Estimates were made of spending by visiting performers based on their records and standard allowances. Together the value placed on the organisation produced a gross economic output of £6.2m. After factoring in additionality and multiplier effects using benchmarks (BIS) taken from the sub-regional level (not available for single LA level), the net economic impact was £5m (ACE, 2012).</w:t>
            </w:r>
          </w:p>
          <w:p w14:paraId="49C7E372" w14:textId="77777777" w:rsidR="00E3244A" w:rsidRDefault="00E3244A" w:rsidP="00520273"/>
        </w:tc>
      </w:tr>
    </w:tbl>
    <w:p w14:paraId="46264FA9" w14:textId="77777777" w:rsidR="00410E03" w:rsidRDefault="00410E03" w:rsidP="00131F29"/>
    <w:p w14:paraId="46CADDE9" w14:textId="3B7928C1" w:rsidR="00410E03" w:rsidRDefault="00410E03" w:rsidP="00520273">
      <w:r>
        <w:t xml:space="preserve">Sectoral or macro-economic ‘footprint’ studies have also been carried out on behalf of government and funding agencies, calculating the importance of a particular domain or ‘industry’ to the national economy (e.g. UK/GB, Scotland), such as the </w:t>
      </w:r>
      <w:r w:rsidR="00901785">
        <w:t xml:space="preserve">arts </w:t>
      </w:r>
      <w:r>
        <w:t xml:space="preserve">(Myerscough, 1988), </w:t>
      </w:r>
      <w:r w:rsidR="00901785">
        <w:t xml:space="preserve">sport </w:t>
      </w:r>
      <w:r>
        <w:t>(</w:t>
      </w:r>
      <w:r w:rsidR="0017656A">
        <w:t>e.g.</w:t>
      </w:r>
      <w:r>
        <w:t xml:space="preserve"> LIRC, 1997), </w:t>
      </w:r>
      <w:r w:rsidR="00901785">
        <w:t xml:space="preserve">heritage </w:t>
      </w:r>
      <w:r>
        <w:t>(</w:t>
      </w:r>
      <w:r w:rsidR="00901785">
        <w:t>English Heritage</w:t>
      </w:r>
      <w:r>
        <w:t xml:space="preserve">, 2010; 2014), </w:t>
      </w:r>
      <w:r w:rsidR="00901785">
        <w:t xml:space="preserve">libraries </w:t>
      </w:r>
      <w:r>
        <w:t>(ACE, 2014)</w:t>
      </w:r>
      <w:r w:rsidR="00A033C6">
        <w:t xml:space="preserve"> </w:t>
      </w:r>
      <w:r>
        <w:t xml:space="preserve">and sub-sectoral studies including theatre, cultural tourism, sports events, festivals, the BBC (ACE, 2012), and investment in funding programmes, e.g. Lottery (arts, heritage – </w:t>
      </w:r>
      <w:r w:rsidR="00901785">
        <w:t xml:space="preserve">e.g. </w:t>
      </w:r>
      <w:r>
        <w:t xml:space="preserve">Evans, 2007; GHK, 2009). These are replicated at regional level, whilst cities and local authorities periodically undertake ‘audits’ of specific sectors as part of policy and planning strategies. Attention here has shifted towards the creative economy/industries and this incorporates some arts, heritage and events activity. </w:t>
      </w:r>
    </w:p>
    <w:p w14:paraId="6FB0137A" w14:textId="4C34CD3A" w:rsidR="00410E03" w:rsidRPr="004F7B3C" w:rsidRDefault="00410E03" w:rsidP="00520273">
      <w:pPr>
        <w:rPr>
          <w:rFonts w:cs="Arial"/>
          <w:color w:val="000000"/>
        </w:rPr>
      </w:pPr>
      <w:r>
        <w:t>The extent to which CS&amp;H assets contribute to the wider creative economy and production chain through cluster effects and labour/skills markets therefore needs to be considered (below)</w:t>
      </w:r>
      <w:r w:rsidRPr="00F27EC7">
        <w:t>.</w:t>
      </w:r>
      <w:r>
        <w:t xml:space="preserve"> It should be noted that CS&amp;H activity and provision provide much of the “cultural content” on which the creative and digital media industries rely </w:t>
      </w:r>
      <w:r w:rsidR="00901785">
        <w:t xml:space="preserve">– </w:t>
      </w:r>
      <w:r>
        <w:t xml:space="preserve">from live arts, heritage to sports. In this sense football and other stadia serve as the “theatre” which is fundamental to the live sporting experience and its transmission via the media, with spectators the crowd “extras” </w:t>
      </w:r>
      <w:r w:rsidR="00901785">
        <w:t xml:space="preserve">– </w:t>
      </w:r>
      <w:r>
        <w:t xml:space="preserve">and therefore a key component in the monetisation seen in Premier League broadcast rights. A similar association can be made between historic houses and heritage </w:t>
      </w:r>
      <w:proofErr w:type="gramStart"/>
      <w:r>
        <w:t>sites which</w:t>
      </w:r>
      <w:proofErr w:type="gramEnd"/>
      <w:r>
        <w:t xml:space="preserve"> serve as backdrops to TV and film drama productions. This also materialises through film locating at these historic and other cultural sites, which generates income not only for the heritage and other venue organisations, but local authorities and local businesses and in future visitor activity associated with the film, e.g. Harry Potter and Alnwick Castle.</w:t>
      </w:r>
    </w:p>
    <w:p w14:paraId="50E8155F" w14:textId="38E020A0" w:rsidR="00410E03" w:rsidRDefault="00410E03" w:rsidP="00131F29">
      <w:r>
        <w:t>Macro-level sectoral studies tend to rely on these same multipliers of income and employment, e</w:t>
      </w:r>
      <w:r w:rsidRPr="005E3484">
        <w:t>xcept where sector/industry specific multipliers are available, e.g. trade/employment, GVA</w:t>
      </w:r>
      <w:r>
        <w:rPr>
          <w:b/>
        </w:rPr>
        <w:t xml:space="preserve"> </w:t>
      </w:r>
      <w:r>
        <w:t>(</w:t>
      </w:r>
      <w:r w:rsidRPr="002128BA">
        <w:t>e.g. ACE Lottery Employment</w:t>
      </w:r>
      <w:r>
        <w:t xml:space="preserve"> study </w:t>
      </w:r>
      <w:r w:rsidR="00901785">
        <w:t xml:space="preserve">– </w:t>
      </w:r>
      <w:r>
        <w:t>Evans, 1997)</w:t>
      </w:r>
      <w:r w:rsidRPr="002128BA">
        <w:t>,</w:t>
      </w:r>
      <w:r>
        <w:t xml:space="preserve"> or where survey data is generated as in the economic impact studies noted above. However, they are not generally place-based or attributable to specific supply. National studies also use Input-Output (I-O) tables, but at regional and local level these are not available or appropriate. National Income Accounting (NIA) is however used since it can derive sectoral data to produce localised GDP. This measures the flow of goods and services produced in an economy taking into account </w:t>
      </w:r>
      <w:r w:rsidR="00656AD6">
        <w:t>i</w:t>
      </w:r>
      <w:r>
        <w:t xml:space="preserve">ncome and </w:t>
      </w:r>
      <w:r w:rsidR="00656AD6">
        <w:t xml:space="preserve">expenditure </w:t>
      </w:r>
      <w:r>
        <w:t xml:space="preserve">from the production of goods and services; total </w:t>
      </w:r>
      <w:r w:rsidR="00656AD6">
        <w:t xml:space="preserve">expenditures </w:t>
      </w:r>
      <w:r>
        <w:t xml:space="preserve">on </w:t>
      </w:r>
      <w:r w:rsidR="00656AD6">
        <w:t>consumption</w:t>
      </w:r>
      <w:r>
        <w:t xml:space="preserve">; and </w:t>
      </w:r>
      <w:r w:rsidR="00656AD6">
        <w:t xml:space="preserve">added value </w:t>
      </w:r>
      <w:r>
        <w:t xml:space="preserve">(net output). </w:t>
      </w:r>
    </w:p>
    <w:p w14:paraId="443F8274" w14:textId="77777777" w:rsidR="00410E03" w:rsidRDefault="00410E03" w:rsidP="00224A2D"/>
    <w:tbl>
      <w:tblPr>
        <w:tblStyle w:val="TableGrid"/>
        <w:tblW w:w="0" w:type="auto"/>
        <w:tblInd w:w="108" w:type="dxa"/>
        <w:tblLook w:val="04A0" w:firstRow="1" w:lastRow="0" w:firstColumn="1" w:lastColumn="0" w:noHBand="0" w:noVBand="1"/>
      </w:tblPr>
      <w:tblGrid>
        <w:gridCol w:w="9178"/>
      </w:tblGrid>
      <w:tr w:rsidR="00410E03" w14:paraId="66E125B6" w14:textId="77777777" w:rsidTr="00121553">
        <w:tc>
          <w:tcPr>
            <w:tcW w:w="9178" w:type="dxa"/>
          </w:tcPr>
          <w:p w14:paraId="42A18591" w14:textId="47E0FCD8" w:rsidR="00410E03" w:rsidRDefault="00901785" w:rsidP="00901785">
            <w:r>
              <w:t>I</w:t>
            </w:r>
            <w:r w:rsidR="00410E03">
              <w:t xml:space="preserve">n </w:t>
            </w:r>
            <w:r>
              <w:t xml:space="preserve">a </w:t>
            </w:r>
            <w:r w:rsidR="00410E03">
              <w:t>study</w:t>
            </w:r>
            <w:r>
              <w:t xml:space="preserve"> of the e</w:t>
            </w:r>
            <w:r w:rsidRPr="00901785">
              <w:t>conomic significance of the sport sector in Sheffield</w:t>
            </w:r>
            <w:r w:rsidR="00410E03">
              <w:t xml:space="preserve">, NIA data was divided into Consumer, Voluntary, Commercial and Non-Commercial Sport, Local and Central Government sectors. Income and Expenditure profiles were </w:t>
            </w:r>
            <w:r w:rsidR="00410E03" w:rsidRPr="009D3DD0">
              <w:t xml:space="preserve">derived for each of these sectors, with value added estimated from wages/salaries plus factor costs and profit. A survey of consumers in the first three sectors </w:t>
            </w:r>
            <w:r w:rsidR="00410E03">
              <w:t xml:space="preserve">was undertaken by </w:t>
            </w:r>
            <w:r w:rsidR="00410E03" w:rsidRPr="009D3DD0">
              <w:rPr>
                <w:rFonts w:eastAsiaTheme="minorHAnsi"/>
              </w:rPr>
              <w:t>postal s</w:t>
            </w:r>
            <w:r w:rsidR="00410E03">
              <w:rPr>
                <w:rFonts w:eastAsiaTheme="minorHAnsi"/>
              </w:rPr>
              <w:t xml:space="preserve">urvey of </w:t>
            </w:r>
            <w:r w:rsidR="00410E03" w:rsidRPr="009D3DD0">
              <w:rPr>
                <w:rFonts w:eastAsiaTheme="minorHAnsi"/>
              </w:rPr>
              <w:t>Sheffield</w:t>
            </w:r>
            <w:r w:rsidR="00410E03">
              <w:rPr>
                <w:rFonts w:eastAsiaTheme="minorHAnsi"/>
              </w:rPr>
              <w:t xml:space="preserve"> residents randomly selected </w:t>
            </w:r>
            <w:r w:rsidR="00410E03" w:rsidRPr="009D3DD0">
              <w:rPr>
                <w:rFonts w:eastAsiaTheme="minorHAnsi"/>
              </w:rPr>
              <w:t>from the electoral register. The focus of this survey was sports behavi</w:t>
            </w:r>
            <w:r w:rsidR="00410E03">
              <w:rPr>
                <w:rFonts w:eastAsiaTheme="minorHAnsi"/>
              </w:rPr>
              <w:t xml:space="preserve">our with </w:t>
            </w:r>
            <w:r w:rsidR="00410E03" w:rsidRPr="009D3DD0">
              <w:rPr>
                <w:rFonts w:eastAsiaTheme="minorHAnsi"/>
              </w:rPr>
              <w:t xml:space="preserve">a </w:t>
            </w:r>
            <w:r w:rsidR="00410E03">
              <w:rPr>
                <w:rFonts w:eastAsiaTheme="minorHAnsi"/>
              </w:rPr>
              <w:t xml:space="preserve">follow-up questionnaire on </w:t>
            </w:r>
            <w:r w:rsidR="00410E03" w:rsidRPr="009D3DD0">
              <w:rPr>
                <w:rFonts w:eastAsiaTheme="minorHAnsi"/>
              </w:rPr>
              <w:t>part</w:t>
            </w:r>
            <w:r w:rsidR="00410E03">
              <w:rPr>
                <w:rFonts w:eastAsiaTheme="minorHAnsi"/>
              </w:rPr>
              <w:t>icipation</w:t>
            </w:r>
            <w:r w:rsidR="00410E03" w:rsidRPr="009D3DD0">
              <w:rPr>
                <w:rFonts w:eastAsiaTheme="minorHAnsi"/>
              </w:rPr>
              <w:t xml:space="preserve"> in sport over the last 12 </w:t>
            </w:r>
            <w:r w:rsidR="00410E03">
              <w:rPr>
                <w:rFonts w:eastAsiaTheme="minorHAnsi"/>
              </w:rPr>
              <w:t xml:space="preserve">months and </w:t>
            </w:r>
            <w:r w:rsidR="00410E03" w:rsidRPr="009D3DD0">
              <w:rPr>
                <w:rFonts w:eastAsiaTheme="minorHAnsi"/>
              </w:rPr>
              <w:t>consumer spending on sport</w:t>
            </w:r>
            <w:r w:rsidR="00410E03">
              <w:rPr>
                <w:rFonts w:eastAsiaTheme="minorHAnsi"/>
              </w:rPr>
              <w:t xml:space="preserve">. </w:t>
            </w:r>
            <w:r w:rsidR="00410E03">
              <w:t xml:space="preserve">The analysis found that </w:t>
            </w:r>
            <w:r w:rsidR="00410E03" w:rsidRPr="009D3DD0">
              <w:t>sports-related activities accounted for 4.11% of the city’s total GDP</w:t>
            </w:r>
            <w:r w:rsidR="00410E03">
              <w:t xml:space="preserve"> (</w:t>
            </w:r>
            <w:r w:rsidR="00656AD6">
              <w:t xml:space="preserve">three </w:t>
            </w:r>
            <w:r w:rsidR="00410E03">
              <w:t>times larger than the proportion of value</w:t>
            </w:r>
            <w:r w:rsidR="00656AD6">
              <w:t xml:space="preserve"> </w:t>
            </w:r>
            <w:r w:rsidR="00410E03">
              <w:t>added from this sector to the UK as a whole) with the value added of sport-related activity estimated at £165m (Davies, 2002).</w:t>
            </w:r>
          </w:p>
          <w:p w14:paraId="537C6951" w14:textId="4FF344C1" w:rsidR="00901785" w:rsidRPr="009D3DD0" w:rsidRDefault="00901785" w:rsidP="00901785">
            <w:pPr>
              <w:rPr>
                <w:rFonts w:eastAsiaTheme="minorHAnsi"/>
              </w:rPr>
            </w:pPr>
          </w:p>
        </w:tc>
      </w:tr>
    </w:tbl>
    <w:p w14:paraId="6670966D" w14:textId="77777777" w:rsidR="00410E03" w:rsidRDefault="00410E03" w:rsidP="00131F29"/>
    <w:p w14:paraId="0847AF3D" w14:textId="5726F521" w:rsidR="00410E03" w:rsidRPr="002128BA" w:rsidRDefault="00410E03" w:rsidP="00131F29">
      <w:pPr>
        <w:rPr>
          <w:b/>
        </w:rPr>
      </w:pPr>
      <w:r>
        <w:t xml:space="preserve">In all cases, taking into account displacement effects and counterfactual scenarios requires a comparative and ideally a ‘control’ to be used. Methodologically, finding suitable comparators and controls (‘with’ and ‘without’ CS&amp;H investment/infrastructure examples) can be limiting. In practice economic impact studies are undertaken at single facility level (including ‘events’) where income and expenditure originates and can be attributed. </w:t>
      </w:r>
      <w:r w:rsidRPr="001D6F98">
        <w:t xml:space="preserve">Scaling this up over larger areas and a number of separate CS&amp;H assets may therefore require </w:t>
      </w:r>
      <w:r w:rsidR="00613552">
        <w:t xml:space="preserve">econometric </w:t>
      </w:r>
      <w:r w:rsidRPr="001D6F98">
        <w:t>modelling.</w:t>
      </w:r>
    </w:p>
    <w:p w14:paraId="2E515730" w14:textId="210F4B6A" w:rsidR="00410E03" w:rsidRPr="000E6F74" w:rsidRDefault="00410E03" w:rsidP="00520273">
      <w:pPr>
        <w:pStyle w:val="Heading3Numbered"/>
      </w:pPr>
      <w:bookmarkStart w:id="81" w:name="_Toc464222923"/>
      <w:r w:rsidRPr="000E6F74">
        <w:t>Social Impacts</w:t>
      </w:r>
      <w:bookmarkEnd w:id="81"/>
    </w:p>
    <w:p w14:paraId="018AA3A8" w14:textId="1D50CC8D" w:rsidR="00410E03" w:rsidRPr="006B3C12" w:rsidRDefault="00410E03" w:rsidP="00520273">
      <w:r>
        <w:t>A third value set can be considered for CS&amp;H assets – these can be expressed as intangible and external effects arising from the presence or activities of a facility (or group of facilities), over and above their direct economic impacts (actual and imputed). These externalities might include a range of social benefits in education/skills, health/well-being, social capital and cohesion, reduction in crime/anti-social behaviour, environmental benefits etc. (see Evans, 2005 and Evans &amp; Shaw, 2004 for a range of social, economic and physical impacts arising from culture in regeneration). These too</w:t>
      </w:r>
      <w:r w:rsidR="006B3C12">
        <w:t>,</w:t>
      </w:r>
      <w:r>
        <w:t xml:space="preserve"> over time</w:t>
      </w:r>
      <w:r w:rsidR="006B3C12">
        <w:t>,</w:t>
      </w:r>
      <w:r>
        <w:t xml:space="preserve"> might influence location/retention and investment decisions. Capturing and attributing these effects and their distribution is problematic </w:t>
      </w:r>
      <w:r w:rsidR="006B3C12">
        <w:t xml:space="preserve">– </w:t>
      </w:r>
      <w:r>
        <w:t xml:space="preserve">most evidence in this field draws on qualitative, process-based evaluation studies of particular programmes and </w:t>
      </w:r>
      <w:r w:rsidRPr="007460E2">
        <w:t xml:space="preserve">interventions. </w:t>
      </w:r>
      <w:r>
        <w:t xml:space="preserve">Evidence on culture and sports projects targeting specific social issues, e.g. crime prevention/recidivism, </w:t>
      </w:r>
      <w:proofErr w:type="gramStart"/>
      <w:r>
        <w:t>suggest</w:t>
      </w:r>
      <w:proofErr w:type="gramEnd"/>
      <w:r>
        <w:t xml:space="preserve"> that behavioural change/impacts beyond the life of a time limited intervention are hard to sustain (Evans &amp; Shaw, 2001). </w:t>
      </w:r>
      <w:r w:rsidRPr="006751CE">
        <w:t>In CS&amp;H investment and infrastructure terms, place-shaping effects are therefore more likely to be evident where a sustained programme (rather than short term activity e.g. one-off events) is available, with positive effects embedded over time – social and economic. This may include reputational advantages associated with particular CS&amp;H assets and places.</w:t>
      </w:r>
    </w:p>
    <w:p w14:paraId="46CC0B73" w14:textId="6E063F72" w:rsidR="00410E03" w:rsidRDefault="00410E03" w:rsidP="00520273">
      <w:r w:rsidRPr="007460E2">
        <w:t>T</w:t>
      </w:r>
      <w:r>
        <w:t>he literature and case studies o</w:t>
      </w:r>
      <w:r w:rsidRPr="007460E2">
        <w:t>n social impacts has expanded since the 1990s with several reviews (</w:t>
      </w:r>
      <w:r>
        <w:t>Reeves, 2002; Jermyn, 2000, 2001; Evans &amp; Shaw, 2000; Comedia, 1999; Matarasso, 1997, 1999; DCMS, 1999; 2014; Daly, 2005</w:t>
      </w:r>
      <w:r w:rsidRPr="007460E2">
        <w:t xml:space="preserve">) and indicators developed for organisations to capture these effects. This focus has also been reinforced through national administrative datasets and indicators around </w:t>
      </w:r>
      <w:r w:rsidR="006B3C12" w:rsidRPr="007460E2">
        <w:t xml:space="preserve">quality of life and satisfaction/best value </w:t>
      </w:r>
      <w:r w:rsidRPr="007460E2">
        <w:t>studies carried out periodically by local authorities. These surveys assess resident satisfaction towards bundles of cultural assets</w:t>
      </w:r>
      <w:r>
        <w:t>, i.e.</w:t>
      </w:r>
      <w:r w:rsidRPr="007460E2">
        <w:t xml:space="preserve"> all the </w:t>
      </w:r>
      <w:r w:rsidRPr="00CD2A92">
        <w:t>theatres/conce</w:t>
      </w:r>
      <w:r>
        <w:t xml:space="preserve">rts halls/arts venues; museums </w:t>
      </w:r>
      <w:r w:rsidR="006B3C12">
        <w:t xml:space="preserve">and </w:t>
      </w:r>
      <w:r w:rsidRPr="00CD2A92">
        <w:t>galleries; parks; sports centres; and libraries</w:t>
      </w:r>
      <w:r w:rsidR="006B3C12">
        <w:t>,</w:t>
      </w:r>
      <w:r w:rsidRPr="00CD2A92">
        <w:t xml:space="preserve"> </w:t>
      </w:r>
      <w:r>
        <w:t xml:space="preserve">etc. </w:t>
      </w:r>
      <w:r w:rsidRPr="00CD2A92">
        <w:t xml:space="preserve">in the local authority area. </w:t>
      </w:r>
      <w:r>
        <w:t>Whilst</w:t>
      </w:r>
      <w:r w:rsidRPr="00CD2A92">
        <w:t xml:space="preserve"> </w:t>
      </w:r>
      <w:r>
        <w:t xml:space="preserve">resident satisfaction and general impacts are based on supply-led factors attributed to CS&amp;H facilities, culture and sport participation and user data is captured via various survey samples </w:t>
      </w:r>
      <w:r w:rsidR="006B3C12">
        <w:t xml:space="preserve">– </w:t>
      </w:r>
      <w:r>
        <w:t xml:space="preserve">for example </w:t>
      </w:r>
      <w:r w:rsidRPr="000F6B69">
        <w:t>Taking Part</w:t>
      </w:r>
      <w:r w:rsidRPr="008F5A81">
        <w:t xml:space="preserve">, </w:t>
      </w:r>
      <w:r w:rsidRPr="000F6B69">
        <w:t>Active People</w:t>
      </w:r>
      <w:r>
        <w:t xml:space="preserve"> and social surveys (ONS</w:t>
      </w:r>
      <w:r w:rsidR="006B3C12">
        <w:t>,</w:t>
      </w:r>
      <w:r>
        <w:t xml:space="preserve"> e.g. </w:t>
      </w:r>
      <w:r w:rsidR="0072196C" w:rsidRPr="000F6B69">
        <w:t xml:space="preserve">UK </w:t>
      </w:r>
      <w:r w:rsidRPr="000F6B69">
        <w:t>Time Use</w:t>
      </w:r>
      <w:r w:rsidR="0072196C" w:rsidRPr="000F6B69">
        <w:t xml:space="preserve"> Survey</w:t>
      </w:r>
      <w:r>
        <w:t xml:space="preserve">). However, these surveys are non-place specific, i.e. there is no link made to where or what audiences/participants actually inter-acted with (in </w:t>
      </w:r>
      <w:r w:rsidRPr="000F6B69">
        <w:t>Taking Part</w:t>
      </w:r>
      <w:r>
        <w:t xml:space="preserve"> this could well have been abroad on holiday, as in the UK)</w:t>
      </w:r>
      <w:r w:rsidR="006B3C12">
        <w:t>; t</w:t>
      </w:r>
      <w:r>
        <w:t xml:space="preserve">his means that there is no direct way of linking supply and demand relationships from these data sources (Evans, 2015). </w:t>
      </w:r>
    </w:p>
    <w:p w14:paraId="1CE0075B" w14:textId="04DF2903" w:rsidR="00410E03" w:rsidRDefault="00410E03" w:rsidP="00520273">
      <w:pPr>
        <w:rPr>
          <w:color w:val="000000"/>
        </w:rPr>
      </w:pPr>
      <w:r>
        <w:t xml:space="preserve">Individual funded venues and organisations do provide user information and performance indicators as part of funding reporting, although this is not likely to include the spatial reach, impacts or externalities generated by each project. Access to this data may be required in order link these to place-shaping effects, and in order to aggregate or scale up (e.g. Arts Council, Local Authority ‘clients’). Such data is not likely to be made available in any event for unfunded and commercial organisations. This </w:t>
      </w:r>
      <w:r w:rsidR="001E0E34">
        <w:t xml:space="preserve">point </w:t>
      </w:r>
      <w:r>
        <w:t xml:space="preserve">is relevant to this study in terms of measuring usage and ‘flows’ to </w:t>
      </w:r>
      <w:r>
        <w:rPr>
          <w:color w:val="000000"/>
        </w:rPr>
        <w:t xml:space="preserve">specific places and the intensity of access and usage across different areas (districts, towns, cities, regions). </w:t>
      </w:r>
    </w:p>
    <w:p w14:paraId="1954F259" w14:textId="77777777" w:rsidR="00A033C6" w:rsidRDefault="00A033C6">
      <w:pPr>
        <w:spacing w:before="0"/>
        <w:ind w:left="0"/>
        <w:rPr>
          <w:i/>
        </w:rPr>
      </w:pPr>
      <w:r>
        <w:rPr>
          <w:i/>
        </w:rPr>
        <w:br w:type="page"/>
      </w:r>
    </w:p>
    <w:p w14:paraId="2A302C48" w14:textId="5C1E8158" w:rsidR="00410E03" w:rsidRPr="00520273" w:rsidRDefault="00410E03" w:rsidP="00131F29">
      <w:pPr>
        <w:rPr>
          <w:i/>
        </w:rPr>
      </w:pPr>
      <w:r w:rsidRPr="00520273">
        <w:rPr>
          <w:i/>
        </w:rPr>
        <w:t>Mapping place-participation and provision</w:t>
      </w:r>
    </w:p>
    <w:p w14:paraId="151F9ECD" w14:textId="5EC7C369" w:rsidR="00410E03" w:rsidRDefault="00410E03" w:rsidP="00224A2D">
      <w:pPr>
        <w:rPr>
          <w:bCs/>
        </w:rPr>
      </w:pPr>
      <w:r>
        <w:t xml:space="preserve">There have been some novel advances in investigating the spatial relationships between the </w:t>
      </w:r>
      <w:r w:rsidRPr="00A83F33">
        <w:t xml:space="preserve">supply, location and usage of cultural venues as part the </w:t>
      </w:r>
      <w:r w:rsidRPr="00A83F33">
        <w:rPr>
          <w:i/>
        </w:rPr>
        <w:t>CultureMap</w:t>
      </w:r>
      <w:r w:rsidR="00646F88">
        <w:rPr>
          <w:i/>
        </w:rPr>
        <w:t xml:space="preserve"> London</w:t>
      </w:r>
      <w:r w:rsidRPr="00A83F33">
        <w:rPr>
          <w:i/>
        </w:rPr>
        <w:t xml:space="preserve"> </w:t>
      </w:r>
      <w:r w:rsidRPr="00A83F33">
        <w:t>initiative and AudienceDevelopment agencies (Boyle, Flowerdew and Broo</w:t>
      </w:r>
      <w:r>
        <w:t>k, 2008)</w:t>
      </w:r>
      <w:r w:rsidRPr="00A83F33">
        <w:t xml:space="preserve">. In a negative sense, the barriers to access and participation are well established if perennial </w:t>
      </w:r>
      <w:r w:rsidR="00FA5AA2">
        <w:t>–</w:t>
      </w:r>
      <w:r w:rsidR="00FA5AA2" w:rsidRPr="00A83F33">
        <w:t xml:space="preserve"> </w:t>
      </w:r>
      <w:r w:rsidRPr="00A83F33">
        <w:t>social/demographic, ‘class’</w:t>
      </w:r>
      <w:r>
        <w:t>, education</w:t>
      </w:r>
      <w:r w:rsidRPr="00A83F33">
        <w:t xml:space="preserve"> and access divides (Warwick Commission Study, 2015). </w:t>
      </w:r>
      <w:r>
        <w:t>T</w:t>
      </w:r>
      <w:r w:rsidRPr="00A83F33">
        <w:t xml:space="preserve">he </w:t>
      </w:r>
      <w:r w:rsidRPr="00A83F33">
        <w:rPr>
          <w:i/>
          <w:iCs/>
        </w:rPr>
        <w:t>CultureMap</w:t>
      </w:r>
      <w:r>
        <w:t xml:space="preserve"> web-based resource </w:t>
      </w:r>
      <w:r w:rsidR="002E5787">
        <w:t>produced</w:t>
      </w:r>
      <w:r w:rsidR="002E5787" w:rsidRPr="00A83F33">
        <w:t xml:space="preserve"> </w:t>
      </w:r>
      <w:r w:rsidRPr="00A83F33">
        <w:t xml:space="preserve">online maps of cultural facilities, population profiles and audience penetration from participating arts venues in London. </w:t>
      </w:r>
      <w:r w:rsidRPr="00A83F33">
        <w:rPr>
          <w:iCs/>
        </w:rPr>
        <w:t xml:space="preserve">This </w:t>
      </w:r>
      <w:proofErr w:type="gramStart"/>
      <w:r w:rsidRPr="00A83F33">
        <w:t>specialist planning</w:t>
      </w:r>
      <w:proofErr w:type="gramEnd"/>
      <w:r w:rsidRPr="00A83F33">
        <w:t xml:space="preserve"> tool</w:t>
      </w:r>
      <w:r>
        <w:t xml:space="preserve"> </w:t>
      </w:r>
      <w:r w:rsidR="002E5787" w:rsidRPr="00A83F33">
        <w:t>respond</w:t>
      </w:r>
      <w:r w:rsidR="002E5787">
        <w:t>ed</w:t>
      </w:r>
      <w:r w:rsidR="002E5787" w:rsidRPr="00A83F33">
        <w:t xml:space="preserve"> </w:t>
      </w:r>
      <w:r w:rsidRPr="00A83F33">
        <w:t xml:space="preserve">to the need to map both cultural provision and link this to actual usage and population typologies and catchments. </w:t>
      </w:r>
      <w:r w:rsidRPr="00A83F33">
        <w:rPr>
          <w:i/>
        </w:rPr>
        <w:t>Culture</w:t>
      </w:r>
      <w:r w:rsidR="002E5787">
        <w:rPr>
          <w:i/>
        </w:rPr>
        <w:t>M</w:t>
      </w:r>
      <w:r w:rsidRPr="00A83F33">
        <w:rPr>
          <w:i/>
        </w:rPr>
        <w:t>ap</w:t>
      </w:r>
      <w:r>
        <w:t xml:space="preserve"> </w:t>
      </w:r>
      <w:r w:rsidR="002E5787">
        <w:t>created</w:t>
      </w:r>
      <w:r w:rsidR="002E5787" w:rsidRPr="00A83F33">
        <w:t xml:space="preserve"> </w:t>
      </w:r>
      <w:r w:rsidRPr="00A83F33">
        <w:t>a series of web-accessible maps of arts and community cultural provision and audiences for a range of parti</w:t>
      </w:r>
      <w:r>
        <w:t xml:space="preserve">cipating cultural facilities </w:t>
      </w:r>
      <w:proofErr w:type="gramStart"/>
      <w:r w:rsidRPr="00D01D0B">
        <w:t>city-wide</w:t>
      </w:r>
      <w:proofErr w:type="gramEnd"/>
      <w:r w:rsidRPr="00D01D0B">
        <w:t xml:space="preserve"> down to ward levels, alongside demographic and other population data. </w:t>
      </w:r>
      <w:proofErr w:type="gramStart"/>
      <w:r w:rsidRPr="00D01D0B">
        <w:t xml:space="preserve">Valuable primary data </w:t>
      </w:r>
      <w:r w:rsidR="00646F88">
        <w:t>wa</w:t>
      </w:r>
      <w:r w:rsidRPr="00D01D0B">
        <w:t>s also generated by</w:t>
      </w:r>
      <w:r>
        <w:t xml:space="preserve"> </w:t>
      </w:r>
      <w:r w:rsidRPr="00D01D0B">
        <w:t>collaborating arts venues capturing audience profiles in a common format</w:t>
      </w:r>
      <w:proofErr w:type="gramEnd"/>
      <w:r w:rsidRPr="00D01D0B">
        <w:t xml:space="preserve">. This online tool </w:t>
      </w:r>
      <w:r w:rsidR="00646F88">
        <w:t>could</w:t>
      </w:r>
      <w:r w:rsidR="00646F88" w:rsidRPr="00D01D0B">
        <w:t xml:space="preserve"> </w:t>
      </w:r>
      <w:r w:rsidRPr="00D01D0B">
        <w:t xml:space="preserve">also reveal gaps in provision and participation, drawing on secondary and primary surveys revealing interesting correlation between audience and venues types and locations. </w:t>
      </w:r>
      <w:r>
        <w:rPr>
          <w:bCs/>
        </w:rPr>
        <w:t>T</w:t>
      </w:r>
      <w:r w:rsidRPr="00F86D2B">
        <w:rPr>
          <w:bCs/>
        </w:rPr>
        <w:t xml:space="preserve">his spatial variation within a region is illustrated visually (Fig.1) in </w:t>
      </w:r>
      <w:r w:rsidRPr="000F6B69">
        <w:rPr>
          <w:bCs/>
        </w:rPr>
        <w:t>The</w:t>
      </w:r>
      <w:r w:rsidRPr="00646F88">
        <w:rPr>
          <w:bCs/>
        </w:rPr>
        <w:t xml:space="preserve"> </w:t>
      </w:r>
      <w:r w:rsidRPr="000F6B69">
        <w:rPr>
          <w:bCs/>
        </w:rPr>
        <w:t>Audience Agency’s</w:t>
      </w:r>
      <w:r w:rsidRPr="00F86D2B">
        <w:rPr>
          <w:bCs/>
        </w:rPr>
        <w:t xml:space="preserve"> analysis of the concentration of audience penetration </w:t>
      </w:r>
      <w:r w:rsidRPr="00D01D0B">
        <w:rPr>
          <w:bCs/>
        </w:rPr>
        <w:t xml:space="preserve">in Greater London </w:t>
      </w:r>
      <w:r w:rsidRPr="00F86D2B">
        <w:rPr>
          <w:bCs/>
        </w:rPr>
        <w:t>based on ticket ‘bookers’ to events and user address information from 35 participating venues</w:t>
      </w:r>
      <w:r w:rsidR="00646F88">
        <w:rPr>
          <w:bCs/>
        </w:rPr>
        <w:t xml:space="preserve"> (</w:t>
      </w:r>
      <w:r w:rsidR="005410B7" w:rsidRPr="005410B7">
        <w:rPr>
          <w:bCs/>
        </w:rPr>
        <w:t>Audience Agency, 2015</w:t>
      </w:r>
      <w:r w:rsidR="00646F88">
        <w:rPr>
          <w:bCs/>
        </w:rPr>
        <w:t>)</w:t>
      </w:r>
      <w:r w:rsidRPr="00F86D2B">
        <w:rPr>
          <w:bCs/>
        </w:rPr>
        <w:t>. Central/inner west London dominates both in the supply of cultural venues, but also in generating demand, with outer east and west areas showing lower attendance – a combination of poorer access including public transport and much lower levels of provision. However some ‘outlying’ cultural venues also demonstrate high audience participation from their local area, particularly where offering a range of accessible cultural programming/art forms.</w:t>
      </w:r>
    </w:p>
    <w:p w14:paraId="2FD30C0B" w14:textId="77777777" w:rsidR="00AB17E4" w:rsidRPr="00F86D2B" w:rsidRDefault="00AB17E4" w:rsidP="00520273"/>
    <w:p w14:paraId="1332906A" w14:textId="30A06F4F" w:rsidR="00410E03" w:rsidRPr="00520273" w:rsidRDefault="00AB17E4" w:rsidP="00520273">
      <w:pPr>
        <w:pStyle w:val="Caption"/>
        <w:rPr>
          <w:bCs w:val="0"/>
          <w:szCs w:val="22"/>
        </w:rPr>
      </w:pPr>
      <w:bookmarkStart w:id="82" w:name="_Toc464220049"/>
      <w:r w:rsidRPr="00131F29">
        <w:rPr>
          <w:szCs w:val="22"/>
        </w:rPr>
        <w:t xml:space="preserve">Figure </w:t>
      </w:r>
      <w:r w:rsidRPr="00520273">
        <w:rPr>
          <w:szCs w:val="22"/>
        </w:rPr>
        <w:fldChar w:fldCharType="begin"/>
      </w:r>
      <w:r w:rsidRPr="00520273">
        <w:rPr>
          <w:szCs w:val="22"/>
        </w:rPr>
        <w:instrText xml:space="preserve"> SEQ Figure \* ARABIC </w:instrText>
      </w:r>
      <w:r w:rsidRPr="00520273">
        <w:rPr>
          <w:szCs w:val="22"/>
        </w:rPr>
        <w:fldChar w:fldCharType="separate"/>
      </w:r>
      <w:r w:rsidR="00F0636B">
        <w:rPr>
          <w:noProof/>
          <w:szCs w:val="22"/>
        </w:rPr>
        <w:t>2</w:t>
      </w:r>
      <w:r w:rsidRPr="00520273">
        <w:rPr>
          <w:szCs w:val="22"/>
        </w:rPr>
        <w:fldChar w:fldCharType="end"/>
      </w:r>
      <w:r w:rsidRPr="00520273">
        <w:rPr>
          <w:szCs w:val="22"/>
        </w:rPr>
        <w:t xml:space="preserve">: </w:t>
      </w:r>
      <w:r w:rsidR="00410E03" w:rsidRPr="00520273">
        <w:rPr>
          <w:bCs w:val="0"/>
          <w:szCs w:val="22"/>
        </w:rPr>
        <w:t>London wide map showing performing arts venue distribution and audience penetration</w:t>
      </w:r>
      <w:bookmarkEnd w:id="82"/>
    </w:p>
    <w:p w14:paraId="0B569378" w14:textId="77777777" w:rsidR="00410E03" w:rsidRDefault="00410E03" w:rsidP="00410E03">
      <w:pPr>
        <w:spacing w:before="240"/>
        <w:rPr>
          <w:rFonts w:ascii="Tahoma" w:hAnsi="Tahoma" w:cs="Tahoma"/>
          <w:sz w:val="20"/>
        </w:rPr>
      </w:pPr>
      <w:r w:rsidRPr="00D01D0B">
        <w:rPr>
          <w:rFonts w:ascii="Tahoma" w:hAnsi="Tahoma" w:cs="Tahoma"/>
          <w:noProof/>
          <w:sz w:val="20"/>
          <w:lang w:val="en-US"/>
        </w:rPr>
        <w:drawing>
          <wp:inline distT="0" distB="0" distL="0" distR="0" wp14:anchorId="29723838" wp14:editId="3FF10327">
            <wp:extent cx="4630368" cy="327546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 Figur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34865" cy="3278643"/>
                    </a:xfrm>
                    <a:prstGeom prst="rect">
                      <a:avLst/>
                    </a:prstGeom>
                  </pic:spPr>
                </pic:pic>
              </a:graphicData>
            </a:graphic>
          </wp:inline>
        </w:drawing>
      </w:r>
    </w:p>
    <w:p w14:paraId="136425E2" w14:textId="468B6C5E" w:rsidR="00410E03" w:rsidRPr="000F6B69" w:rsidRDefault="00090727" w:rsidP="005410B7">
      <w:pPr>
        <w:rPr>
          <w:rFonts w:eastAsia="Calibri" w:cs="Arial"/>
          <w:sz w:val="18"/>
        </w:rPr>
      </w:pPr>
      <w:r>
        <w:rPr>
          <w:rFonts w:eastAsia="Calibri" w:cs="Arial"/>
          <w:sz w:val="18"/>
        </w:rPr>
        <w:t xml:space="preserve">Source: </w:t>
      </w:r>
      <w:r w:rsidR="005410B7" w:rsidRPr="000F6B69">
        <w:rPr>
          <w:rFonts w:eastAsia="Calibri" w:cs="Arial"/>
          <w:sz w:val="18"/>
        </w:rPr>
        <w:t>Audience Agency, 2015</w:t>
      </w:r>
    </w:p>
    <w:p w14:paraId="7B8938D8" w14:textId="77777777" w:rsidR="00646F88" w:rsidRPr="00D01D0B" w:rsidRDefault="00646F88" w:rsidP="00520273"/>
    <w:p w14:paraId="040E06ED" w14:textId="1A79B1A5" w:rsidR="00410E03" w:rsidRDefault="00410E03" w:rsidP="00131F29">
      <w:r w:rsidRPr="00D01D0B">
        <w:t xml:space="preserve">To date, </w:t>
      </w:r>
      <w:r w:rsidR="00646F88">
        <w:t xml:space="preserve">the </w:t>
      </w:r>
      <w:r w:rsidR="00646F88">
        <w:rPr>
          <w:i/>
        </w:rPr>
        <w:t>CultureMap</w:t>
      </w:r>
      <w:r w:rsidR="00646F88" w:rsidRPr="00D01D0B">
        <w:t xml:space="preserve"> </w:t>
      </w:r>
      <w:r w:rsidRPr="00D01D0B">
        <w:t xml:space="preserve">project </w:t>
      </w:r>
      <w:r w:rsidR="00646F88">
        <w:t>has</w:t>
      </w:r>
      <w:r w:rsidR="00646F88" w:rsidRPr="00D01D0B">
        <w:t xml:space="preserve"> develop</w:t>
      </w:r>
      <w:r w:rsidR="00646F88">
        <w:t>ed</w:t>
      </w:r>
      <w:r w:rsidR="00646F88" w:rsidRPr="00D01D0B">
        <w:t xml:space="preserve"> </w:t>
      </w:r>
      <w:r w:rsidRPr="00D01D0B">
        <w:t xml:space="preserve">the most valuable evidence and information on the relationship between certain arts </w:t>
      </w:r>
      <w:r w:rsidRPr="001A435E">
        <w:t xml:space="preserve">provision and attendance in a demographic and spatial context. This includes facilities such as libraries revealing their important role in attracting a local and socially cross-sectional user group, whilst key local venues serve a high frequency local catchment, </w:t>
      </w:r>
      <w:r w:rsidR="00646F88">
        <w:t>and</w:t>
      </w:r>
      <w:r w:rsidR="00646F88" w:rsidRPr="001A435E">
        <w:t xml:space="preserve"> </w:t>
      </w:r>
      <w:r w:rsidRPr="001A435E">
        <w:t xml:space="preserve">other venues draw users from a wider area, particularly </w:t>
      </w:r>
      <w:r w:rsidR="00646F88">
        <w:t>areas</w:t>
      </w:r>
      <w:r w:rsidR="00646F88" w:rsidRPr="001A435E">
        <w:t xml:space="preserve"> </w:t>
      </w:r>
      <w:r w:rsidRPr="001A435E">
        <w:t xml:space="preserve">with few cultural facilities and </w:t>
      </w:r>
      <w:r w:rsidR="00646F88">
        <w:t>venues</w:t>
      </w:r>
      <w:r w:rsidR="00646F88" w:rsidRPr="001A435E">
        <w:t xml:space="preserve"> </w:t>
      </w:r>
      <w:r w:rsidRPr="001A435E">
        <w:t xml:space="preserve">offering specialist programmes (e.g. Asian arts). </w:t>
      </w:r>
    </w:p>
    <w:p w14:paraId="291BD4BD" w14:textId="1135CBC1" w:rsidR="00410E03" w:rsidRDefault="00410E03" w:rsidP="00224A2D">
      <w:r w:rsidRPr="00F86D2B">
        <w:rPr>
          <w:bCs/>
        </w:rPr>
        <w:t xml:space="preserve">Libraries also offer a good litmus test of participation of a local population through the library/swipe card with user address details. Whilst the full range of services actually used is not distinguishable (and is therefore understated) without further survey data, this does provide a clear indication of the geographic catchment in terms of households, and therefore socio-demographic analysis. </w:t>
      </w:r>
      <w:r w:rsidRPr="00F86D2B">
        <w:t>An example of utilizing local data to profile library catchments is Hampshire County Council’s Public Library User System</w:t>
      </w:r>
      <w:r w:rsidR="00336C29" w:rsidRPr="00F86D2B">
        <w:t xml:space="preserve"> (PLUS)</w:t>
      </w:r>
      <w:r w:rsidRPr="00F86D2B">
        <w:t>. This creates user profiles for each library, combining data on users/ visitor activity, behaviour and attitudes</w:t>
      </w:r>
      <w:r w:rsidR="005410B7">
        <w:t xml:space="preserve"> –</w:t>
      </w:r>
      <w:r w:rsidR="005410B7" w:rsidRPr="00F86D2B">
        <w:t xml:space="preserve"> </w:t>
      </w:r>
      <w:r w:rsidRPr="00F86D2B">
        <w:t xml:space="preserve">profiled by postcode </w:t>
      </w:r>
      <w:r w:rsidR="005410B7">
        <w:t>–</w:t>
      </w:r>
      <w:r w:rsidR="005410B7" w:rsidRPr="00F86D2B">
        <w:t xml:space="preserve"> </w:t>
      </w:r>
      <w:r w:rsidRPr="00F86D2B">
        <w:t>with census, deprivation and lifestyle data (e.g. ACORN, MOSAIC). This creates user profiles, defining the demographic for each library catchment and highlighting the difference between users and the actual community through a ‘community variance index’ (Dorward, 2006). An example of catchment and population usage is illustrated through an analysis of library provision in Gateshead</w:t>
      </w:r>
      <w:r w:rsidRPr="00D01D0B">
        <w:t xml:space="preserve"> (Fig.</w:t>
      </w:r>
      <w:r>
        <w:t>2</w:t>
      </w:r>
      <w:r w:rsidRPr="00F86D2B">
        <w:t xml:space="preserve">). This reveals which </w:t>
      </w:r>
      <w:proofErr w:type="gramStart"/>
      <w:r w:rsidRPr="00F86D2B">
        <w:t>areas of the borough attracts</w:t>
      </w:r>
      <w:proofErr w:type="gramEnd"/>
      <w:r w:rsidRPr="00F86D2B">
        <w:t xml:space="preserve"> comparatively higher and lower library usage in proximity to library facilities. Local provision is clearly important to actual usage, but variations are apparent between areas where library facilities are similar.</w:t>
      </w:r>
      <w:r w:rsidR="00A033C6">
        <w:t xml:space="preserve"> </w:t>
      </w:r>
      <w:r w:rsidRPr="00F86D2B">
        <w:t>This information in turn can be analysed by household and demographic profiles, and can suggest where there may be gaps in provision and where accessibility and quality issues may be constraining or encouraging usage</w:t>
      </w:r>
      <w:r>
        <w:t>, and where place making</w:t>
      </w:r>
      <w:r w:rsidR="008F5A81">
        <w:t xml:space="preserve"> (all else being equal)</w:t>
      </w:r>
      <w:r>
        <w:t xml:space="preserve"> may be more successful</w:t>
      </w:r>
      <w:r w:rsidRPr="00F86D2B">
        <w:t>.</w:t>
      </w:r>
    </w:p>
    <w:p w14:paraId="2BBD1441" w14:textId="77777777" w:rsidR="00410E03" w:rsidRPr="00D01D0B" w:rsidRDefault="00410E03" w:rsidP="00224A2D"/>
    <w:p w14:paraId="0FBEC0EE" w14:textId="57D65EBD" w:rsidR="00410E03" w:rsidRPr="00520273" w:rsidRDefault="00AB17E4" w:rsidP="00520273">
      <w:pPr>
        <w:pStyle w:val="Caption"/>
        <w:rPr>
          <w:szCs w:val="22"/>
        </w:rPr>
      </w:pPr>
      <w:bookmarkStart w:id="83" w:name="_Toc464220050"/>
      <w:r w:rsidRPr="00131F29">
        <w:rPr>
          <w:szCs w:val="22"/>
        </w:rPr>
        <w:t xml:space="preserve">Figure </w:t>
      </w:r>
      <w:r w:rsidRPr="00520273">
        <w:rPr>
          <w:szCs w:val="22"/>
        </w:rPr>
        <w:fldChar w:fldCharType="begin"/>
      </w:r>
      <w:r w:rsidRPr="00520273">
        <w:rPr>
          <w:szCs w:val="22"/>
        </w:rPr>
        <w:instrText xml:space="preserve"> SEQ Figure \* ARABIC </w:instrText>
      </w:r>
      <w:r w:rsidRPr="00520273">
        <w:rPr>
          <w:szCs w:val="22"/>
        </w:rPr>
        <w:fldChar w:fldCharType="separate"/>
      </w:r>
      <w:r w:rsidR="00F0636B">
        <w:rPr>
          <w:noProof/>
          <w:szCs w:val="22"/>
        </w:rPr>
        <w:t>3</w:t>
      </w:r>
      <w:r w:rsidRPr="00520273">
        <w:rPr>
          <w:szCs w:val="22"/>
        </w:rPr>
        <w:fldChar w:fldCharType="end"/>
      </w:r>
      <w:r w:rsidRPr="00520273">
        <w:rPr>
          <w:szCs w:val="22"/>
        </w:rPr>
        <w:t xml:space="preserve">: </w:t>
      </w:r>
      <w:r w:rsidR="00410E03" w:rsidRPr="00520273">
        <w:rPr>
          <w:szCs w:val="22"/>
        </w:rPr>
        <w:t>Gateshead Library Usage</w:t>
      </w:r>
      <w:bookmarkEnd w:id="83"/>
    </w:p>
    <w:p w14:paraId="238753C7" w14:textId="77777777" w:rsidR="00410E03" w:rsidRDefault="00410E03" w:rsidP="00410E03">
      <w:pPr>
        <w:rPr>
          <w:rFonts w:ascii="Tahoma" w:hAnsi="Tahoma" w:cs="Tahoma"/>
          <w:color w:val="000000"/>
          <w:sz w:val="20"/>
        </w:rPr>
      </w:pPr>
      <w:r>
        <w:rPr>
          <w:rFonts w:ascii="Tahoma" w:hAnsi="Tahoma" w:cs="Tahoma"/>
          <w:color w:val="000000"/>
          <w:sz w:val="20"/>
        </w:rPr>
        <w:t xml:space="preserve">. </w:t>
      </w:r>
      <w:r w:rsidRPr="00803033">
        <w:rPr>
          <w:rFonts w:ascii="Century Gothic" w:hAnsi="Century Gothic"/>
          <w:noProof/>
          <w:sz w:val="20"/>
          <w:lang w:val="en-US"/>
        </w:rPr>
        <w:drawing>
          <wp:inline distT="0" distB="0" distL="0" distR="0" wp14:anchorId="3AC10BE4" wp14:editId="1AF1FC54">
            <wp:extent cx="4614672" cy="23323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shead libraries.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14672" cy="2332388"/>
                    </a:xfrm>
                    <a:prstGeom prst="rect">
                      <a:avLst/>
                    </a:prstGeom>
                  </pic:spPr>
                </pic:pic>
              </a:graphicData>
            </a:graphic>
          </wp:inline>
        </w:drawing>
      </w:r>
    </w:p>
    <w:p w14:paraId="6090490B" w14:textId="29845D16" w:rsidR="00EC7DD4" w:rsidRPr="000F6B69" w:rsidRDefault="00751D8F" w:rsidP="00410E03">
      <w:pPr>
        <w:rPr>
          <w:rFonts w:eastAsia="Calibri" w:cs="Arial"/>
          <w:sz w:val="18"/>
        </w:rPr>
      </w:pPr>
      <w:r w:rsidRPr="00751D8F">
        <w:rPr>
          <w:rFonts w:eastAsia="Calibri" w:cs="Arial"/>
          <w:sz w:val="18"/>
        </w:rPr>
        <w:t>Source: analysis by Orian Brook for the ‘Understanding Everyday Participation’ project using data supplied by Gateshead District Council.</w:t>
      </w:r>
      <w:r>
        <w:rPr>
          <w:rFonts w:eastAsia="Calibri" w:cs="Arial"/>
          <w:sz w:val="18"/>
        </w:rPr>
        <w:t xml:space="preserve"> Acknowledgement: </w:t>
      </w:r>
      <w:r w:rsidRPr="00751D8F">
        <w:rPr>
          <w:rFonts w:eastAsia="Calibri" w:cs="Arial"/>
          <w:sz w:val="18"/>
        </w:rPr>
        <w:t xml:space="preserve">map supplied by </w:t>
      </w:r>
      <w:r w:rsidRPr="000F6B69">
        <w:rPr>
          <w:rFonts w:eastAsia="Calibri" w:cs="Arial"/>
          <w:i/>
          <w:sz w:val="18"/>
        </w:rPr>
        <w:t>Understanding Everyday Participation – Articulating Cultural Values</w:t>
      </w:r>
      <w:r w:rsidRPr="00751D8F">
        <w:rPr>
          <w:rFonts w:eastAsia="Calibri" w:cs="Arial"/>
          <w:sz w:val="18"/>
        </w:rPr>
        <w:t>. Funder: AHRC. Project ref: AH/J005401/1. PI: Dr. Andrew Miles.</w:t>
      </w:r>
    </w:p>
    <w:p w14:paraId="1A4F22CF" w14:textId="77777777" w:rsidR="00EC7DD4" w:rsidRDefault="00EC7DD4" w:rsidP="00410E03">
      <w:pPr>
        <w:rPr>
          <w:rFonts w:ascii="Tahoma" w:hAnsi="Tahoma" w:cs="Tahoma"/>
          <w:color w:val="000000"/>
          <w:sz w:val="20"/>
        </w:rPr>
      </w:pPr>
    </w:p>
    <w:p w14:paraId="08570B67" w14:textId="73302036" w:rsidR="00410E03" w:rsidRPr="006751CE" w:rsidRDefault="00410E03" w:rsidP="00131F29">
      <w:r w:rsidRPr="001A435E">
        <w:t xml:space="preserve">Places that are better at overcoming some of the barriers </w:t>
      </w:r>
      <w:r>
        <w:t xml:space="preserve">to participation </w:t>
      </w:r>
      <w:r w:rsidR="00751D8F">
        <w:t xml:space="preserve">– </w:t>
      </w:r>
      <w:r>
        <w:t xml:space="preserve">social, spatial, economic, cultural, physical </w:t>
      </w:r>
      <w:r w:rsidR="00751D8F">
        <w:t xml:space="preserve">– </w:t>
      </w:r>
      <w:r>
        <w:t>may therefore be worth identifying and analysing in detail (e.g. ‘good cultural places’) since they are more likely to contribute to place-shaping. This will include cultural assets that are highly valued locally and maintain a high frequency of usage from a local catchment notably sports facilities and arts centres (see below).</w:t>
      </w:r>
      <w:r w:rsidRPr="00751D8F">
        <w:t xml:space="preserve"> </w:t>
      </w:r>
      <w:r w:rsidRPr="006751CE">
        <w:t xml:space="preserve">A key question is the extent to which cultural activity through attendance, participation and consumption is supply-led, and therefore, where there is quantifiably more or less provision, activity levels can be attributed and distinguished between places over time. </w:t>
      </w:r>
    </w:p>
    <w:p w14:paraId="2453622A" w14:textId="02A2019E" w:rsidR="00410E03" w:rsidRDefault="00410E03" w:rsidP="00520273">
      <w:pPr>
        <w:pStyle w:val="Heading3Numbered"/>
      </w:pPr>
      <w:bookmarkStart w:id="84" w:name="_Toc464222924"/>
      <w:r>
        <w:t>Cultural Value</w:t>
      </w:r>
      <w:bookmarkEnd w:id="84"/>
    </w:p>
    <w:p w14:paraId="2DE9B326" w14:textId="75661E27" w:rsidR="00410E03" w:rsidRDefault="00410E03" w:rsidP="00520273">
      <w:r w:rsidRPr="00F86D2B">
        <w:t>The int</w:t>
      </w:r>
      <w:r w:rsidRPr="006F6558">
        <w:t xml:space="preserve">rinsic values that can be observed through our experience of the arts in various forms has </w:t>
      </w:r>
      <w:r w:rsidRPr="00F86D2B">
        <w:t>received renewed attention, in some respects in response to the sustained trend since the 1980s</w:t>
      </w:r>
      <w:r w:rsidR="00A033C6">
        <w:t xml:space="preserve"> </w:t>
      </w:r>
      <w:r w:rsidRPr="00F86D2B">
        <w:t xml:space="preserve">towards a more instrumental approach to measuring and valuing the impact of the arts </w:t>
      </w:r>
      <w:r w:rsidR="00295A8B">
        <w:t>and</w:t>
      </w:r>
      <w:r w:rsidR="00295A8B" w:rsidRPr="00F86D2B">
        <w:t xml:space="preserve"> </w:t>
      </w:r>
      <w:r w:rsidRPr="00F86D2B">
        <w:t>culture though the ‘externalities’ noted above (Holden, 2</w:t>
      </w:r>
      <w:r>
        <w:t>004</w:t>
      </w:r>
      <w:r w:rsidRPr="00F86D2B">
        <w:t xml:space="preserve">). As also noted, cultural assets are primarily amenities with amenity </w:t>
      </w:r>
      <w:proofErr w:type="gramStart"/>
      <w:r w:rsidRPr="00F86D2B">
        <w:t>value which</w:t>
      </w:r>
      <w:proofErr w:type="gramEnd"/>
      <w:r w:rsidRPr="00F86D2B">
        <w:t xml:space="preserve"> is not necessarily quantified or quantifiable, although social and economic impacts and benefits obviously derive from their provision, including opportunities to experience culture and derive personal cultural value as a result. In the words of the Arts Council: ‘</w:t>
      </w:r>
      <w:r w:rsidRPr="00F86D2B">
        <w:rPr>
          <w:lang w:val="en"/>
        </w:rPr>
        <w:t xml:space="preserve">When we talk about the value of arts and culture to society, we always start with its intrinsic value: how arts and culture can illuminate our inner lives and enrich our emotional world. </w:t>
      </w:r>
      <w:r w:rsidRPr="00F86D2B">
        <w:t xml:space="preserve">The concept and importance of </w:t>
      </w:r>
      <w:r w:rsidR="00295A8B" w:rsidRPr="00F86D2B">
        <w:t xml:space="preserve">cultural value </w:t>
      </w:r>
      <w:r w:rsidRPr="00F86D2B">
        <w:t>has featured in important studies of arts in education (Robinson/NACCCE, 1999; DEMOS</w:t>
      </w:r>
      <w:r w:rsidR="00295A8B">
        <w:t>,</w:t>
      </w:r>
      <w:r w:rsidRPr="00F86D2B">
        <w:rPr>
          <w:rFonts w:eastAsiaTheme="minorHAnsi"/>
        </w:rPr>
        <w:t xml:space="preserve"> 2003; </w:t>
      </w:r>
      <w:r w:rsidRPr="00F86D2B">
        <w:t>the Warwick Commission Report (2015); AHRC</w:t>
      </w:r>
      <w:r w:rsidR="00295A8B">
        <w:t xml:space="preserve">, </w:t>
      </w:r>
      <w:r w:rsidRPr="00F86D2B">
        <w:t xml:space="preserve">2016) and in some respects it is hard to separate social impacts from cultural impacts at the level of the individual. These are also likely to lead to behavioural changes and </w:t>
      </w:r>
      <w:proofErr w:type="gramStart"/>
      <w:r w:rsidRPr="00F86D2B">
        <w:t>decisions which in turn can effect cultural consumption and participation</w:t>
      </w:r>
      <w:proofErr w:type="gramEnd"/>
      <w:r w:rsidRPr="00F86D2B">
        <w:t xml:space="preserve"> and in some situations, location decisions </w:t>
      </w:r>
      <w:r w:rsidR="0005774D">
        <w:t>–</w:t>
      </w:r>
      <w:r w:rsidR="0005774D" w:rsidRPr="00F86D2B">
        <w:t xml:space="preserve"> </w:t>
      </w:r>
      <w:r w:rsidRPr="00F86D2B">
        <w:t xml:space="preserve">with direct economic effects arising. Cultural value is recognised in the AHRC review for instance in terms of the ability of arts </w:t>
      </w:r>
      <w:r w:rsidR="0005774D">
        <w:t>and</w:t>
      </w:r>
      <w:r w:rsidR="0005774D" w:rsidRPr="00F86D2B">
        <w:t xml:space="preserve"> </w:t>
      </w:r>
      <w:r w:rsidRPr="00F86D2B">
        <w:t>cultural engagement to help shape reflective individuals thereby facilitating greater understanding of themselves and empathy for others and diversity, as well as producing more engaged citizens, thus promoting civic behaviour and expression.</w:t>
      </w:r>
      <w:r w:rsidR="00A033C6">
        <w:t xml:space="preserve"> </w:t>
      </w:r>
      <w:r w:rsidRPr="00F86D2B">
        <w:t>Culture in this respect can be viewed as the fourth</w:t>
      </w:r>
      <w:r w:rsidRPr="00D01D0B">
        <w:t xml:space="preserve"> ‘impact’ domain (economic, environmental/phy</w:t>
      </w:r>
      <w:r w:rsidRPr="00CE15A7">
        <w:t>sical</w:t>
      </w:r>
      <w:r>
        <w:t>,</w:t>
      </w:r>
      <w:r w:rsidRPr="00CE15A7">
        <w:t xml:space="preserve"> social</w:t>
      </w:r>
      <w:r w:rsidR="0005774D">
        <w:t xml:space="preserve">, </w:t>
      </w:r>
      <w:r w:rsidR="0005774D" w:rsidRPr="0005774D">
        <w:rPr>
          <w:i/>
        </w:rPr>
        <w:t>culture</w:t>
      </w:r>
      <w:r w:rsidRPr="00CE15A7">
        <w:t xml:space="preserve">) and one that has been taken for granted or at best is </w:t>
      </w:r>
      <w:r w:rsidR="0005774D">
        <w:t>‘</w:t>
      </w:r>
      <w:r w:rsidRPr="00CE15A7">
        <w:t xml:space="preserve">implicit’ in evaluation and impact studies, including in the field of </w:t>
      </w:r>
      <w:r w:rsidR="00AD6B47">
        <w:t>placemaking</w:t>
      </w:r>
      <w:r w:rsidRPr="00CE15A7">
        <w:t xml:space="preserve">/shaping. This is consonant with </w:t>
      </w:r>
      <w:r>
        <w:t xml:space="preserve">the </w:t>
      </w:r>
      <w:r w:rsidRPr="00D01D0B">
        <w:t xml:space="preserve">sustainable development </w:t>
      </w:r>
      <w:r>
        <w:t xml:space="preserve">agenda </w:t>
      </w:r>
      <w:r w:rsidRPr="00D01D0B">
        <w:t>where culture is now accepted as</w:t>
      </w:r>
      <w:r>
        <w:t xml:space="preserve"> </w:t>
      </w:r>
      <w:r w:rsidRPr="00D01D0B">
        <w:t xml:space="preserve">the ‘fourth pillar’ (Hawkes, 2001). </w:t>
      </w:r>
      <w:r>
        <w:t>I</w:t>
      </w:r>
      <w:r w:rsidRPr="00F86D2B">
        <w:t>nitiatives such as Agenda 21 for Culture (UCLG</w:t>
      </w:r>
      <w:r>
        <w:t xml:space="preserve">, </w:t>
      </w:r>
      <w:r w:rsidRPr="00F86D2B">
        <w:t xml:space="preserve">2008) have </w:t>
      </w:r>
      <w:r>
        <w:t xml:space="preserve">thus </w:t>
      </w:r>
      <w:r w:rsidRPr="00F86D2B">
        <w:t xml:space="preserve">promoted the centrality of culture to sustainable development: </w:t>
      </w:r>
    </w:p>
    <w:p w14:paraId="798A7861" w14:textId="77777777" w:rsidR="00410E03" w:rsidRPr="00F86D2B" w:rsidRDefault="00410E03" w:rsidP="00520273"/>
    <w:p w14:paraId="503912F1" w14:textId="699FA63E" w:rsidR="00410E03" w:rsidRPr="00F86D2B" w:rsidRDefault="00410E03" w:rsidP="006751CE">
      <w:pPr>
        <w:ind w:left="1701"/>
      </w:pPr>
      <w:r w:rsidRPr="00F86D2B">
        <w:t>… “Culture in sustainable development” is not only about “using artists to raise concern on climate change” or about “building cultural venues that are efficient in the use of energy and natural resources”. It is not only about the income that cultural industries can bring to the economy. It is not about “asking more” to the cultural circles. These are very important questions that need to be addressed, but they do not articulate the core question. The role of culture in sustainable development is mainly about including a cultural perspective in all public policies. It is about guaranteeing that any sustainable d</w:t>
      </w:r>
      <w:r w:rsidRPr="00D01D0B">
        <w:t>evelopment process has a soul (UNESCO 2009</w:t>
      </w:r>
      <w:r>
        <w:t>,</w:t>
      </w:r>
      <w:r w:rsidRPr="00F86D2B">
        <w:t xml:space="preserve"> 6)</w:t>
      </w:r>
      <w:r>
        <w:t>.</w:t>
      </w:r>
    </w:p>
    <w:p w14:paraId="389886C9" w14:textId="77777777" w:rsidR="00410E03" w:rsidRDefault="00410E03" w:rsidP="00520273">
      <w:pPr>
        <w:rPr>
          <w:rFonts w:eastAsiaTheme="minorHAnsi"/>
        </w:rPr>
      </w:pPr>
    </w:p>
    <w:p w14:paraId="4E77A1B0" w14:textId="631FD78A" w:rsidR="00410E03" w:rsidRPr="00F86D2B" w:rsidRDefault="00410E03" w:rsidP="00520273">
      <w:pPr>
        <w:rPr>
          <w:rFonts w:eastAsiaTheme="minorHAnsi"/>
        </w:rPr>
      </w:pPr>
      <w:r>
        <w:rPr>
          <w:rFonts w:eastAsiaTheme="minorHAnsi"/>
        </w:rPr>
        <w:t xml:space="preserve">The AHRC </w:t>
      </w:r>
      <w:r w:rsidRPr="00F86D2B">
        <w:rPr>
          <w:rFonts w:eastAsiaTheme="minorHAnsi"/>
          <w:i/>
        </w:rPr>
        <w:t>Understanding Cultural Value Project</w:t>
      </w:r>
      <w:r>
        <w:rPr>
          <w:rFonts w:eastAsiaTheme="minorHAnsi"/>
        </w:rPr>
        <w:t xml:space="preserve"> report is based on the findings from research studies funded under this programme</w:t>
      </w:r>
      <w:r w:rsidR="00380D3A">
        <w:rPr>
          <w:rFonts w:eastAsiaTheme="minorHAnsi"/>
        </w:rPr>
        <w:t>,</w:t>
      </w:r>
      <w:r>
        <w:rPr>
          <w:rFonts w:eastAsiaTheme="minorHAnsi"/>
        </w:rPr>
        <w:t xml:space="preserve"> which included 46 primary research projects and over 25 critical reviews and workshops, supported by selected literature.</w:t>
      </w:r>
      <w:r w:rsidR="00A033C6">
        <w:rPr>
          <w:rFonts w:eastAsiaTheme="minorHAnsi"/>
        </w:rPr>
        <w:t xml:space="preserve"> </w:t>
      </w:r>
      <w:r>
        <w:rPr>
          <w:rFonts w:eastAsiaTheme="minorHAnsi"/>
        </w:rPr>
        <w:t xml:space="preserve">Although neither a systematic review nor an in depth programme evaluation (and not itself ‘peer reviewed’ but undertaken by the funding body itself), the review has raised key issues about the nature of evaluation and measurement undertaken of the role and effects that arts and culture has through engagement, and where questions still remain largely unanswered. The issue of ‘place’ is not central to </w:t>
      </w:r>
      <w:r w:rsidR="00380D3A">
        <w:rPr>
          <w:rFonts w:eastAsiaTheme="minorHAnsi"/>
        </w:rPr>
        <w:t xml:space="preserve">the </w:t>
      </w:r>
      <w:r>
        <w:rPr>
          <w:rFonts w:eastAsiaTheme="minorHAnsi"/>
        </w:rPr>
        <w:t xml:space="preserve">review, although the ‘home’ is highlighted as an important and under-researched area. </w:t>
      </w:r>
      <w:r w:rsidRPr="006751CE">
        <w:rPr>
          <w:rFonts w:eastAsiaTheme="minorHAnsi"/>
        </w:rPr>
        <w:t xml:space="preserve">The intrinsic value to be gained from engagement with arts </w:t>
      </w:r>
      <w:r w:rsidR="00380D3A">
        <w:rPr>
          <w:rFonts w:eastAsiaTheme="minorHAnsi"/>
        </w:rPr>
        <w:t>and</w:t>
      </w:r>
      <w:r w:rsidR="00380D3A" w:rsidRPr="006751CE">
        <w:rPr>
          <w:rFonts w:eastAsiaTheme="minorHAnsi"/>
        </w:rPr>
        <w:t xml:space="preserve"> </w:t>
      </w:r>
      <w:r w:rsidRPr="006751CE">
        <w:rPr>
          <w:rFonts w:eastAsiaTheme="minorHAnsi"/>
        </w:rPr>
        <w:t>culture is a common theme however, and this can both generate new ‘demand’ and release latent demand, in contrast to the more supply-led focus of culture-led regeneration</w:t>
      </w:r>
      <w:r w:rsidRPr="00380D3A">
        <w:rPr>
          <w:rFonts w:eastAsiaTheme="minorHAnsi"/>
        </w:rPr>
        <w:t xml:space="preserve">. The report also concludes that </w:t>
      </w:r>
      <w:r w:rsidRPr="006751CE">
        <w:rPr>
          <w:rFonts w:eastAsiaTheme="minorHAnsi"/>
        </w:rPr>
        <w:t>the divide between the type of ‘supply’ (public/funded, private/commercial, voluntary/amateur</w:t>
      </w:r>
      <w:r w:rsidR="00380D3A">
        <w:rPr>
          <w:rFonts w:eastAsiaTheme="minorHAnsi"/>
        </w:rPr>
        <w:t>,</w:t>
      </w:r>
      <w:r w:rsidRPr="006751CE">
        <w:rPr>
          <w:rFonts w:eastAsiaTheme="minorHAnsi"/>
        </w:rPr>
        <w:t xml:space="preserve"> etc</w:t>
      </w:r>
      <w:r w:rsidR="00380D3A">
        <w:rPr>
          <w:rFonts w:eastAsiaTheme="minorHAnsi"/>
        </w:rPr>
        <w:t>.</w:t>
      </w:r>
      <w:r w:rsidRPr="006751CE">
        <w:rPr>
          <w:rFonts w:eastAsiaTheme="minorHAnsi"/>
        </w:rPr>
        <w:t>) is less useful in determining how and what values are derived from cultural engagement and this is important in considering the difference that cultural assets can make to place-shaping, i.e. all assets in a place can potentially shape and contribute to a ‘creative place’.</w:t>
      </w:r>
      <w:r w:rsidR="00A033C6" w:rsidRPr="00380D3A">
        <w:rPr>
          <w:rFonts w:eastAsiaTheme="minorHAnsi"/>
        </w:rPr>
        <w:t xml:space="preserve"> </w:t>
      </w:r>
      <w:r>
        <w:rPr>
          <w:rFonts w:eastAsiaTheme="minorHAnsi"/>
        </w:rPr>
        <w:t xml:space="preserve">Access to cultural experiences and opportunities for cultural expression are, as this review confirms, uneven (including in the home) and both the generation of ‘demand’ and the cultural ecosystems that can flourish at varying levels require different modes and places of engagement in proximity to where people actually can access cultural activity. </w:t>
      </w:r>
    </w:p>
    <w:p w14:paraId="59207127" w14:textId="5D6BA2D9" w:rsidR="00410E03" w:rsidRPr="00C702DC" w:rsidRDefault="00410E03" w:rsidP="00520273">
      <w:pPr>
        <w:pStyle w:val="Heading2Numbered"/>
      </w:pPr>
      <w:bookmarkStart w:id="85" w:name="_Ref464199231"/>
      <w:bookmarkStart w:id="86" w:name="_Toc464222925"/>
      <w:r w:rsidRPr="00C702DC">
        <w:t>Scale</w:t>
      </w:r>
      <w:bookmarkEnd w:id="85"/>
      <w:bookmarkEnd w:id="86"/>
      <w:r w:rsidRPr="00C702DC">
        <w:t xml:space="preserve"> </w:t>
      </w:r>
    </w:p>
    <w:p w14:paraId="4CA1BFE8" w14:textId="6F9FA672" w:rsidR="00410E03" w:rsidRDefault="00410E03" w:rsidP="00520273">
      <w:r w:rsidRPr="00CD2A92">
        <w:t xml:space="preserve">This </w:t>
      </w:r>
      <w:r>
        <w:t xml:space="preserve">all begs the question of </w:t>
      </w:r>
      <w:r w:rsidRPr="000F6B69">
        <w:t>scale</w:t>
      </w:r>
      <w:r>
        <w:t xml:space="preserve">. Amenity, </w:t>
      </w:r>
      <w:r w:rsidR="00A04FD9">
        <w:t>e</w:t>
      </w:r>
      <w:r w:rsidRPr="00CD2A92">
        <w:t>conomic</w:t>
      </w:r>
      <w:r>
        <w:t xml:space="preserve">, </w:t>
      </w:r>
      <w:r w:rsidR="00A04FD9">
        <w:t>s</w:t>
      </w:r>
      <w:r w:rsidRPr="00CD2A92">
        <w:t xml:space="preserve">ocial </w:t>
      </w:r>
      <w:r>
        <w:t xml:space="preserve">and </w:t>
      </w:r>
      <w:r w:rsidR="00A04FD9">
        <w:t>c</w:t>
      </w:r>
      <w:r>
        <w:t xml:space="preserve">ultural </w:t>
      </w:r>
      <w:r w:rsidRPr="00CD2A92">
        <w:t>value and impacts may be attributed to individual</w:t>
      </w:r>
      <w:r>
        <w:t xml:space="preserve"> CS&amp;H assets based on bottom-up data and evidence, and to clusters of CS&amp;H assets. These may be within the same sphere, e.g. clusters of arts and entertainment venues; heritage venues/sites; sports &amp; recreation facilities, or combine one or more of these. Some facilities of course provide dual or mixed use activities, e.g. arts/entertainment and sports, arts and heritage, heritage and sports, or all three of these. Within these cultural fields there may be a case for distinguishing between types of activity and assets, e.g. art form, sport, heritage type</w:t>
      </w:r>
      <w:r w:rsidR="00A04FD9">
        <w:t>,</w:t>
      </w:r>
      <w:r>
        <w:t xml:space="preserve"> etc. as well as size and scale (area, catchment).</w:t>
      </w:r>
    </w:p>
    <w:p w14:paraId="3D692FA9" w14:textId="7CA95798" w:rsidR="00AB17E4" w:rsidRDefault="00410E03" w:rsidP="00520273">
      <w:pPr>
        <w:pStyle w:val="Heading3Numbered"/>
      </w:pPr>
      <w:bookmarkStart w:id="87" w:name="_Toc464222926"/>
      <w:r w:rsidRPr="00C25F2E">
        <w:t>Local area</w:t>
      </w:r>
      <w:bookmarkEnd w:id="87"/>
    </w:p>
    <w:p w14:paraId="22A2F622" w14:textId="00D9468C" w:rsidR="00410E03" w:rsidRDefault="00410E03" w:rsidP="00520273">
      <w:r>
        <w:t xml:space="preserve">Clusters of CS&amp;H facilities can firstly be considered at a </w:t>
      </w:r>
      <w:r w:rsidRPr="00C25F2E">
        <w:t>local area</w:t>
      </w:r>
      <w:r>
        <w:t xml:space="preserve"> scale identified with particular districts such as cultural quarters</w:t>
      </w:r>
      <w:r w:rsidR="00C969AD">
        <w:t xml:space="preserve"> (</w:t>
      </w:r>
      <w:r>
        <w:t>e.g. museum quarters, heritage quarters</w:t>
      </w:r>
      <w:proofErr w:type="gramStart"/>
      <w:r w:rsidR="00C969AD">
        <w:t>)</w:t>
      </w:r>
      <w:r>
        <w:t xml:space="preserve"> which</w:t>
      </w:r>
      <w:proofErr w:type="gramEnd"/>
      <w:r>
        <w:t xml:space="preserve"> may also congruent with planning designation such as conservation areas, heritage sites (e.g. World Heritage </w:t>
      </w:r>
      <w:r w:rsidR="00076E90">
        <w:t xml:space="preserve">Site </w:t>
      </w:r>
      <w:r>
        <w:t>delineation). Large sports venues may form part of a complex of facilities (e.g. Wembley) and support a range of other services and outlets in close proximity and CS&amp;H facilities can also be co-located in</w:t>
      </w:r>
      <w:r w:rsidR="00076E90">
        <w:t xml:space="preserve"> or </w:t>
      </w:r>
      <w:r>
        <w:t>adjoining parks. A concentration of facilities representing a ‘critical mass’ is familiar in retail</w:t>
      </w:r>
      <w:r w:rsidR="00076E90">
        <w:t xml:space="preserve"> (e.g. </w:t>
      </w:r>
      <w:r>
        <w:t>high streets/markets/malls</w:t>
      </w:r>
      <w:r w:rsidR="00076E90">
        <w:t>)</w:t>
      </w:r>
      <w:r>
        <w:t>, university districts, business &amp; science parks and in other land zoning (industrial, housing, recreation, town centres</w:t>
      </w:r>
      <w:r w:rsidR="00EC07C9">
        <w:t>,</w:t>
      </w:r>
      <w:r>
        <w:t xml:space="preserve"> etc</w:t>
      </w:r>
      <w:r w:rsidR="00EC07C9">
        <w:t>.</w:t>
      </w:r>
      <w:r>
        <w:t xml:space="preserve">). In planning and infrastructure provision these zoning and land uses influence (or try to influence) location decisions and investment, e.g. transport and to a lesser extent, recreation and some </w:t>
      </w:r>
      <w:r w:rsidR="00EC07C9">
        <w:t xml:space="preserve">larger </w:t>
      </w:r>
      <w:r>
        <w:t>cultural facilities. These clusters of co-location can be both consumption and production based and there are increasing examples of a convergence between the two, for example in the Digital Shoreditch area (and putative Tech City swathe) of east London which hosts a large number of established arts and digital media enterprises, alongside a vibrant independent retail, club and event scene, and co-located financial and advertising services district. There are similar examples in cities such as Brighton and Manchester, as well as in cities such as Amsterdam, Barcelona and Berlin, all with strong place-shaping effect, and extending existing city place brands (Evans, 2015; Foord, 2012; Kloosterman, 2013).</w:t>
      </w:r>
    </w:p>
    <w:p w14:paraId="21550116" w14:textId="3466835A" w:rsidR="00AB17E4" w:rsidRDefault="00410E03" w:rsidP="00520273">
      <w:pPr>
        <w:pStyle w:val="Heading3Numbered"/>
      </w:pPr>
      <w:bookmarkStart w:id="88" w:name="_Toc464222927"/>
      <w:r w:rsidRPr="00C25F2E">
        <w:t>Local authority</w:t>
      </w:r>
      <w:bookmarkEnd w:id="88"/>
    </w:p>
    <w:p w14:paraId="250805A2" w14:textId="5DFAAB04" w:rsidR="00410E03" w:rsidRDefault="00410E03" w:rsidP="00520273">
      <w:r>
        <w:t xml:space="preserve">At the next spatial scale: </w:t>
      </w:r>
      <w:r w:rsidRPr="00C25F2E">
        <w:t>local authority or district administrative unit</w:t>
      </w:r>
      <w:r>
        <w:t>,</w:t>
      </w:r>
      <w:r w:rsidRPr="00C25F2E">
        <w:t xml:space="preserve"> a council area will contain a number of CS&amp;H assets, with larger</w:t>
      </w:r>
      <w:r>
        <w:t xml:space="preserve"> venues normally concentrated in town or equivalent centres, and which might be seen as a feature of the ‘place’ and related place marketing and resident satisfaction (i.e. “</w:t>
      </w:r>
      <w:r w:rsidRPr="000F6B69">
        <w:t>town/borough</w:t>
      </w:r>
      <w:r>
        <w:t xml:space="preserve"> </w:t>
      </w:r>
      <w:r w:rsidR="000F6B69" w:rsidRPr="000F6B69">
        <w:rPr>
          <w:i/>
        </w:rPr>
        <w:t>x</w:t>
      </w:r>
      <w:r w:rsidR="000F6B69">
        <w:t xml:space="preserve"> </w:t>
      </w:r>
      <w:r>
        <w:t xml:space="preserve">has a good quality and range of CS&amp;H amenities/facilities”). However, this does not represent a cluster in the economic ‘market’ sense (where the economic ‘sum of the parts is greater than the whole’), but with data available and </w:t>
      </w:r>
      <w:r w:rsidRPr="00E4648F">
        <w:t xml:space="preserve">generated at borough, ward and lower super output area (LSOA) level, this might serve as a viable unit for comparison, given the use of benchmarking applied at this scale (e.g. </w:t>
      </w:r>
      <w:r w:rsidR="00D71D03">
        <w:t xml:space="preserve">by </w:t>
      </w:r>
      <w:r w:rsidRPr="00E4648F">
        <w:t>CIPFA),</w:t>
      </w:r>
      <w:r w:rsidR="00D71D03">
        <w:t xml:space="preserve"> </w:t>
      </w:r>
      <w:r w:rsidRPr="00E4648F">
        <w:t xml:space="preserve">including data from Census, lifestyle (e.g. MOSAIC, ACORN) and participation surveys, e.g. </w:t>
      </w:r>
      <w:r w:rsidRPr="000F6B69">
        <w:t>Active People</w:t>
      </w:r>
      <w:r w:rsidRPr="00E4648F">
        <w:t>. Th</w:t>
      </w:r>
      <w:r w:rsidR="00D71D03">
        <w:t xml:space="preserve">e </w:t>
      </w:r>
      <w:r w:rsidR="00D71D03" w:rsidRPr="000F6B69">
        <w:t>Active People S</w:t>
      </w:r>
      <w:r w:rsidRPr="000F6B69">
        <w:t>urvey</w:t>
      </w:r>
      <w:r w:rsidRPr="00E4648F">
        <w:t xml:space="preserve"> provides a range of participation data at local authority level </w:t>
      </w:r>
      <w:r>
        <w:t xml:space="preserve">with </w:t>
      </w:r>
      <w:r w:rsidRPr="00E4648F">
        <w:rPr>
          <w:bCs/>
        </w:rPr>
        <w:t>a simple arts participation question</w:t>
      </w:r>
      <w:r>
        <w:rPr>
          <w:bCs/>
        </w:rPr>
        <w:t xml:space="preserve"> </w:t>
      </w:r>
      <w:r w:rsidRPr="00E4648F">
        <w:rPr>
          <w:bCs/>
        </w:rPr>
        <w:t>added between 2010 and 2012</w:t>
      </w:r>
      <w:r w:rsidRPr="00E4648F">
        <w:rPr>
          <w:rStyle w:val="FootnoteReference"/>
          <w:rFonts w:ascii="Tahoma" w:hAnsi="Tahoma" w:cs="Tahoma"/>
          <w:bCs/>
          <w:sz w:val="20"/>
        </w:rPr>
        <w:footnoteReference w:id="31"/>
      </w:r>
      <w:r>
        <w:rPr>
          <w:bCs/>
        </w:rPr>
        <w:t xml:space="preserve"> providing an opportunity to combine/compare arts and sports participation data by local authority during this period.</w:t>
      </w:r>
    </w:p>
    <w:p w14:paraId="0FFF1017" w14:textId="0A7059C8" w:rsidR="00AB17E4" w:rsidRDefault="00410E03" w:rsidP="00520273">
      <w:pPr>
        <w:pStyle w:val="Heading3Numbered"/>
      </w:pPr>
      <w:bookmarkStart w:id="89" w:name="_Toc464222928"/>
      <w:r w:rsidRPr="00144981">
        <w:t>Sub-regions</w:t>
      </w:r>
      <w:bookmarkEnd w:id="89"/>
      <w:r>
        <w:t xml:space="preserve"> </w:t>
      </w:r>
    </w:p>
    <w:p w14:paraId="2F1FA180" w14:textId="3CEDDC8E" w:rsidR="00410E03" w:rsidRPr="006D1C7F" w:rsidRDefault="00AB17E4" w:rsidP="00520273">
      <w:r>
        <w:t xml:space="preserve">Sub-regions </w:t>
      </w:r>
      <w:r w:rsidR="00410E03">
        <w:t>have also been identified particularly in economic development and regeneration programmes to better represent clusters of activity, employment and communities which cross</w:t>
      </w:r>
      <w:r w:rsidR="00AB58FA">
        <w:t xml:space="preserve"> </w:t>
      </w:r>
      <w:r w:rsidR="00410E03">
        <w:t xml:space="preserve">borough boundaries (i.e. </w:t>
      </w:r>
      <w:r w:rsidR="00AB58FA">
        <w:t xml:space="preserve">are </w:t>
      </w:r>
      <w:r w:rsidR="00410E03">
        <w:t>made up of selected wards across two or more boroughs). An example is the City Fringe in east London (three boroughs)</w:t>
      </w:r>
      <w:r w:rsidR="00AB58FA">
        <w:t>,</w:t>
      </w:r>
      <w:r w:rsidR="00410E03">
        <w:t xml:space="preserve"> one of the government’s City Growth Strategy</w:t>
      </w:r>
      <w:r w:rsidR="00BB7156">
        <w:t xml:space="preserve"> </w:t>
      </w:r>
      <w:r w:rsidR="00C047EF">
        <w:t>(CGS)</w:t>
      </w:r>
      <w:r w:rsidR="00410E03">
        <w:t xml:space="preserve"> areas, which </w:t>
      </w:r>
      <w:r w:rsidR="00410E03" w:rsidRPr="00300E8A">
        <w:t xml:space="preserve">prioritised cultural and creative sectors and hubs. Another sub-regional example includes housing growth areas such as Milton Keynes South Midlands (MKSM) and Partners for Urban South Hampshire (PUSH) both of which developed extensive culture and sport strategies on a spatial basis linked to new housing investment, e.g. North Northants/Corby. Again data at this level may be available linking investment with place shaping outcomes and change. Another spatial concept is that of </w:t>
      </w:r>
      <w:r w:rsidR="00C047EF">
        <w:t>‘</w:t>
      </w:r>
      <w:r w:rsidR="00410E03" w:rsidRPr="006751CE">
        <w:t>polycentric regions</w:t>
      </w:r>
      <w:r w:rsidR="00C047EF">
        <w:t>’</w:t>
      </w:r>
      <w:r w:rsidR="00410E03" w:rsidRPr="00300E8A">
        <w:t xml:space="preserve">, more familiar in countries such as </w:t>
      </w:r>
      <w:r w:rsidR="00C047EF">
        <w:t>t</w:t>
      </w:r>
      <w:r w:rsidR="00C047EF" w:rsidRPr="00300E8A">
        <w:t xml:space="preserve">he </w:t>
      </w:r>
      <w:r w:rsidR="00410E03" w:rsidRPr="00300E8A">
        <w:t>Netherlands (Meijers, 2008) and Germany (and to a lesser extent France</w:t>
      </w:r>
      <w:r w:rsidR="00410E03">
        <w:t xml:space="preserve"> </w:t>
      </w:r>
      <w:r w:rsidR="00C047EF">
        <w:t>–</w:t>
      </w:r>
      <w:r w:rsidR="00C047EF" w:rsidRPr="00300E8A">
        <w:t xml:space="preserve"> </w:t>
      </w:r>
      <w:r w:rsidR="00410E03" w:rsidRPr="00300E8A">
        <w:rPr>
          <w:color w:val="000000"/>
        </w:rPr>
        <w:t>Puissant &amp; Lacour, 2011)</w:t>
      </w:r>
      <w:r w:rsidR="00410E03" w:rsidRPr="00300E8A">
        <w:t xml:space="preserve">. This model has a more even distribution of services and facilities rather than </w:t>
      </w:r>
      <w:r w:rsidR="00C047EF" w:rsidRPr="00300E8A">
        <w:t>concentrat</w:t>
      </w:r>
      <w:r w:rsidR="00C047EF">
        <w:t>ing</w:t>
      </w:r>
      <w:r w:rsidR="00C047EF" w:rsidRPr="00300E8A">
        <w:t xml:space="preserve"> </w:t>
      </w:r>
      <w:r w:rsidR="00410E03" w:rsidRPr="00300E8A">
        <w:t xml:space="preserve">these in monocentric towns/cities. In </w:t>
      </w:r>
      <w:r w:rsidR="00410E03">
        <w:t xml:space="preserve">CS&amp;H asset </w:t>
      </w:r>
      <w:r w:rsidR="00410E03" w:rsidRPr="00300E8A">
        <w:t>terms this would mean that some towns would have some types of facilities and others would have complementary ones (rather than duplicating). One could perhaps look at some English regions with several cities and large towns as partially pol</w:t>
      </w:r>
      <w:r w:rsidR="00410E03">
        <w:t>ycentric where there is some C</w:t>
      </w:r>
      <w:r w:rsidR="00410E03" w:rsidRPr="00300E8A">
        <w:t>S</w:t>
      </w:r>
      <w:r w:rsidR="00410E03">
        <w:t>&amp;H</w:t>
      </w:r>
      <w:r w:rsidR="00410E03" w:rsidRPr="00300E8A">
        <w:t xml:space="preserve"> specialisation within these, e.g. Leeds-Sheffield-Bradford</w:t>
      </w:r>
      <w:proofErr w:type="gramStart"/>
      <w:r w:rsidR="00410E03" w:rsidRPr="00300E8A">
        <w:t>;</w:t>
      </w:r>
      <w:proofErr w:type="gramEnd"/>
      <w:r w:rsidR="00410E03" w:rsidRPr="00300E8A">
        <w:t xml:space="preserve"> Manchester-Liverpool and Glasgow-Edinburgh-Dundee</w:t>
      </w:r>
      <w:r w:rsidR="00410E03" w:rsidRPr="006D1C7F">
        <w:t xml:space="preserve">. The Scottish national policy </w:t>
      </w:r>
      <w:r w:rsidR="00410E03">
        <w:t xml:space="preserve">in fact </w:t>
      </w:r>
      <w:r w:rsidR="00410E03" w:rsidRPr="006D1C7F">
        <w:t xml:space="preserve">focuses on six </w:t>
      </w:r>
      <w:r w:rsidR="00C047EF">
        <w:t>“</w:t>
      </w:r>
      <w:r w:rsidR="00410E03">
        <w:t xml:space="preserve">Vibrant Cultural Cities characterised as: </w:t>
      </w:r>
      <w:r w:rsidR="00410E03" w:rsidRPr="006D1C7F">
        <w:rPr>
          <w:rFonts w:eastAsiaTheme="minorHAnsi"/>
          <w:bCs/>
          <w:i/>
          <w:iCs/>
        </w:rPr>
        <w:t>first and foremost a liveable city</w:t>
      </w:r>
      <w:r w:rsidR="00410E03">
        <w:rPr>
          <w:rFonts w:eastAsiaTheme="minorHAnsi"/>
          <w:bCs/>
          <w:i/>
          <w:iCs/>
        </w:rPr>
        <w:t xml:space="preserve"> – a place where highly skilled </w:t>
      </w:r>
      <w:r w:rsidR="00410E03" w:rsidRPr="006D1C7F">
        <w:rPr>
          <w:rFonts w:eastAsiaTheme="minorHAnsi"/>
          <w:bCs/>
          <w:i/>
          <w:iCs/>
        </w:rPr>
        <w:t>and highly mobile people choose to live. A vibr</w:t>
      </w:r>
      <w:r w:rsidR="00410E03">
        <w:rPr>
          <w:rFonts w:eastAsiaTheme="minorHAnsi"/>
          <w:bCs/>
          <w:i/>
          <w:iCs/>
        </w:rPr>
        <w:t xml:space="preserve">ant cultural city also attracts </w:t>
      </w:r>
      <w:r w:rsidR="00410E03" w:rsidRPr="006D1C7F">
        <w:rPr>
          <w:rFonts w:eastAsiaTheme="minorHAnsi"/>
          <w:bCs/>
          <w:i/>
          <w:iCs/>
        </w:rPr>
        <w:t>new investment and is a place that people choose to visit because of its</w:t>
      </w:r>
      <w:r w:rsidR="00410E03">
        <w:t xml:space="preserve"> </w:t>
      </w:r>
      <w:r w:rsidR="00410E03" w:rsidRPr="006D1C7F">
        <w:rPr>
          <w:rFonts w:eastAsiaTheme="minorHAnsi"/>
          <w:bCs/>
          <w:i/>
          <w:iCs/>
        </w:rPr>
        <w:t>cultural, social and retail diversity and the d</w:t>
      </w:r>
      <w:r w:rsidR="00410E03">
        <w:rPr>
          <w:rFonts w:eastAsiaTheme="minorHAnsi"/>
          <w:bCs/>
          <w:i/>
          <w:iCs/>
        </w:rPr>
        <w:t xml:space="preserve">iversity of its people. It is a </w:t>
      </w:r>
      <w:r w:rsidR="00410E03" w:rsidRPr="006D1C7F">
        <w:rPr>
          <w:rFonts w:eastAsiaTheme="minorHAnsi"/>
          <w:bCs/>
          <w:i/>
          <w:iCs/>
        </w:rPr>
        <w:t>place where a nation’s heritage is display</w:t>
      </w:r>
      <w:r w:rsidR="00410E03">
        <w:rPr>
          <w:rFonts w:eastAsiaTheme="minorHAnsi"/>
          <w:bCs/>
          <w:i/>
          <w:iCs/>
        </w:rPr>
        <w:t xml:space="preserve">ed and will evolve. The world’s </w:t>
      </w:r>
      <w:r w:rsidR="00410E03" w:rsidRPr="006D1C7F">
        <w:rPr>
          <w:rFonts w:eastAsiaTheme="minorHAnsi"/>
          <w:bCs/>
          <w:i/>
          <w:iCs/>
        </w:rPr>
        <w:t>most successful cities have an identity th</w:t>
      </w:r>
      <w:r w:rsidR="00410E03">
        <w:rPr>
          <w:rFonts w:eastAsiaTheme="minorHAnsi"/>
          <w:bCs/>
          <w:i/>
          <w:iCs/>
        </w:rPr>
        <w:t xml:space="preserve">at reaches out across different </w:t>
      </w:r>
      <w:r w:rsidR="00410E03" w:rsidRPr="006D1C7F">
        <w:rPr>
          <w:rFonts w:eastAsiaTheme="minorHAnsi"/>
          <w:bCs/>
          <w:i/>
          <w:iCs/>
        </w:rPr>
        <w:t>markets and customers and that tells a uni</w:t>
      </w:r>
      <w:r w:rsidR="00410E03">
        <w:rPr>
          <w:rFonts w:eastAsiaTheme="minorHAnsi"/>
          <w:bCs/>
          <w:i/>
          <w:iCs/>
        </w:rPr>
        <w:t xml:space="preserve">fying story about the value the </w:t>
      </w:r>
      <w:r w:rsidR="00410E03" w:rsidRPr="006D1C7F">
        <w:rPr>
          <w:rFonts w:eastAsiaTheme="minorHAnsi"/>
          <w:bCs/>
          <w:i/>
          <w:iCs/>
        </w:rPr>
        <w:t>city can add to the activity that is looking for a home</w:t>
      </w:r>
      <w:r w:rsidR="00C047EF">
        <w:rPr>
          <w:rFonts w:eastAsiaTheme="minorHAnsi"/>
          <w:bCs/>
          <w:i/>
          <w:iCs/>
        </w:rPr>
        <w:t>”</w:t>
      </w:r>
      <w:r w:rsidR="00410E03">
        <w:rPr>
          <w:rFonts w:eastAsiaTheme="minorHAnsi"/>
          <w:bCs/>
          <w:iCs/>
        </w:rPr>
        <w:t xml:space="preserve"> </w:t>
      </w:r>
      <w:r w:rsidR="00410E03" w:rsidRPr="006D1C7F">
        <w:rPr>
          <w:rFonts w:eastAsiaTheme="minorHAnsi"/>
          <w:bCs/>
          <w:iCs/>
        </w:rPr>
        <w:t>(Scotland’s Cities, 2011)</w:t>
      </w:r>
      <w:r w:rsidR="00410E03">
        <w:rPr>
          <w:rFonts w:eastAsiaTheme="minorHAnsi"/>
          <w:bCs/>
          <w:iCs/>
        </w:rPr>
        <w:t>.</w:t>
      </w:r>
    </w:p>
    <w:p w14:paraId="5A9C282E" w14:textId="20571A6D" w:rsidR="00AB17E4" w:rsidRDefault="00410E03" w:rsidP="00520273">
      <w:pPr>
        <w:pStyle w:val="Heading3Numbered"/>
      </w:pPr>
      <w:bookmarkStart w:id="90" w:name="_Toc464222929"/>
      <w:r w:rsidRPr="00C25F2E">
        <w:t>Region</w:t>
      </w:r>
      <w:bookmarkEnd w:id="90"/>
    </w:p>
    <w:p w14:paraId="2B609D2A" w14:textId="1F780FBC" w:rsidR="00410E03" w:rsidRDefault="00AB17E4" w:rsidP="00520273">
      <w:r>
        <w:t>T</w:t>
      </w:r>
      <w:r w:rsidR="00410E03">
        <w:t xml:space="preserve">his leaves us with the </w:t>
      </w:r>
      <w:r w:rsidR="00410E03" w:rsidRPr="006751CE">
        <w:t>regional scale</w:t>
      </w:r>
      <w:r w:rsidR="00410E03">
        <w:t xml:space="preserve"> (not ignoring sub-units such as counties which may have associated ‘character’, tourism brands and CS&amp;H features) at which macro-economic indicators are available, e.g. GVA, industry clusters, tourism, and where spatial data analysis may be feasible</w:t>
      </w:r>
      <w:r w:rsidR="000850A7">
        <w:t>,</w:t>
      </w:r>
      <w:r w:rsidR="00410E03">
        <w:t xml:space="preserve"> e.g. </w:t>
      </w:r>
      <w:r w:rsidR="00C3483E">
        <w:t xml:space="preserve">Travel </w:t>
      </w:r>
      <w:r w:rsidR="00410E03">
        <w:t xml:space="preserve">to </w:t>
      </w:r>
      <w:r w:rsidR="00C3483E">
        <w:t xml:space="preserve">Work Areas </w:t>
      </w:r>
      <w:r w:rsidR="00410E03">
        <w:t>(TTWA</w:t>
      </w:r>
      <w:r w:rsidR="00C3483E">
        <w:t>s</w:t>
      </w:r>
      <w:r w:rsidR="00410E03">
        <w:t xml:space="preserve"> </w:t>
      </w:r>
      <w:r w:rsidR="000850A7">
        <w:t xml:space="preserve">– </w:t>
      </w:r>
      <w:r w:rsidR="00410E03">
        <w:t xml:space="preserve">although these can also be applied at lower scales, e.g. borough). The region is the common ‘unit’ for general studies of growth, innovation and cluster </w:t>
      </w:r>
      <w:proofErr w:type="gramStart"/>
      <w:r w:rsidR="00410E03">
        <w:t>analysis which</w:t>
      </w:r>
      <w:proofErr w:type="gramEnd"/>
      <w:r w:rsidR="00410E03">
        <w:t xml:space="preserve"> is extensive (Regional Studies, Economic Geography, Urban Studies etc</w:t>
      </w:r>
      <w:r w:rsidR="000850A7">
        <w:t>.). Culture, sport and heritage</w:t>
      </w:r>
      <w:r w:rsidR="00410E03">
        <w:t xml:space="preserve"> tend to feature in this literature only in as far as they represent ‘amenities’ (as a location and attractor, as noted above) unless the industry sector concerns specific cultural and creative industry sectors and creative clusters (see</w:t>
      </w:r>
      <w:r w:rsidR="000F6B69">
        <w:t xml:space="preserve"> section</w:t>
      </w:r>
      <w:r w:rsidR="00410E03">
        <w:t xml:space="preserve"> </w:t>
      </w:r>
      <w:r w:rsidR="00C80488">
        <w:rPr>
          <w:highlight w:val="yellow"/>
        </w:rPr>
        <w:fldChar w:fldCharType="begin"/>
      </w:r>
      <w:r w:rsidR="00C80488">
        <w:instrText xml:space="preserve"> REF _Ref464198587 \r \h </w:instrText>
      </w:r>
      <w:r w:rsidR="00C80488">
        <w:rPr>
          <w:highlight w:val="yellow"/>
        </w:rPr>
      </w:r>
      <w:r w:rsidR="00C80488">
        <w:rPr>
          <w:highlight w:val="yellow"/>
        </w:rPr>
        <w:fldChar w:fldCharType="separate"/>
      </w:r>
      <w:r w:rsidR="00F0636B">
        <w:t>6.5</w:t>
      </w:r>
      <w:r w:rsidR="00C80488">
        <w:rPr>
          <w:highlight w:val="yellow"/>
        </w:rPr>
        <w:fldChar w:fldCharType="end"/>
      </w:r>
      <w:r w:rsidR="00410E03">
        <w:t xml:space="preserve"> below). Regional-level data is also a feature in </w:t>
      </w:r>
      <w:r w:rsidR="00410E03" w:rsidRPr="000F6B69">
        <w:t>Taking Part</w:t>
      </w:r>
      <w:r w:rsidR="00410E03">
        <w:t xml:space="preserve"> surveys and investment data (including ERDF</w:t>
      </w:r>
      <w:proofErr w:type="gramStart"/>
      <w:r w:rsidR="00410E03">
        <w:t xml:space="preserve">) </w:t>
      </w:r>
      <w:r w:rsidR="000850A7">
        <w:t xml:space="preserve"> and</w:t>
      </w:r>
      <w:proofErr w:type="gramEnd"/>
      <w:r w:rsidR="000850A7">
        <w:t xml:space="preserve"> </w:t>
      </w:r>
      <w:r w:rsidR="00410E03">
        <w:t xml:space="preserve">also via regional agencies (and the former RDAs). There is the risk however </w:t>
      </w:r>
      <w:proofErr w:type="gramStart"/>
      <w:r w:rsidR="00410E03">
        <w:t>that CS&amp;H assets</w:t>
      </w:r>
      <w:proofErr w:type="gramEnd"/>
      <w:r w:rsidR="00410E03">
        <w:t xml:space="preserve"> will get ‘lost’ at this scale and be too large for meaningful comparison and controls. </w:t>
      </w:r>
    </w:p>
    <w:p w14:paraId="4BF161A7" w14:textId="69388164" w:rsidR="00410E03" w:rsidRPr="00BE013E" w:rsidRDefault="00410E03" w:rsidP="00520273">
      <w:r>
        <w:t xml:space="preserve">The </w:t>
      </w:r>
      <w:r w:rsidRPr="006751CE">
        <w:t>city region</w:t>
      </w:r>
      <w:r w:rsidRPr="000850A7">
        <w:t xml:space="preserve"> or </w:t>
      </w:r>
      <w:r w:rsidRPr="006751CE">
        <w:t>metropolitan region</w:t>
      </w:r>
      <w:r>
        <w:t xml:space="preserve"> may therefore</w:t>
      </w:r>
      <w:r w:rsidR="000850A7">
        <w:t xml:space="preserve"> be</w:t>
      </w:r>
      <w:r>
        <w:t xml:space="preserve"> a more focused scale for our purposes, </w:t>
      </w:r>
      <w:r w:rsidRPr="00BE013E">
        <w:t xml:space="preserve">particularly where this can be associated with CS&amp;H investment and infrastructure and place-shaping strategies. These include culture and sport-led regeneration, including associated events </w:t>
      </w:r>
      <w:r w:rsidR="000850A7">
        <w:t>and</w:t>
      </w:r>
      <w:r w:rsidR="000850A7" w:rsidRPr="00BE013E">
        <w:t xml:space="preserve"> </w:t>
      </w:r>
      <w:r w:rsidRPr="00BE013E">
        <w:t xml:space="preserve">festivals, tourism development and wider economic and cluster development. This might also better incorporate the local area cluster, zone, district and sub-regional clusters, as noted above. For example, Florida’s ‘Creative Class’ analysis and index in the USA took Metropolitan Statistical Areas (MSA) </w:t>
      </w:r>
      <w:r>
        <w:t xml:space="preserve">as the unit of comparison </w:t>
      </w:r>
      <w:r w:rsidR="000850A7">
        <w:t>–</w:t>
      </w:r>
      <w:r w:rsidR="000850A7" w:rsidRPr="00BE013E">
        <w:t xml:space="preserve"> </w:t>
      </w:r>
      <w:r w:rsidRPr="00BE013E">
        <w:t xml:space="preserve">and as Lorenzen &amp; Andersen (2007) confirm, the highest shares of creative class workers are </w:t>
      </w:r>
      <w:r>
        <w:t>locate</w:t>
      </w:r>
      <w:r w:rsidRPr="00BE013E">
        <w:t>d in the highest rank</w:t>
      </w:r>
      <w:r>
        <w:t>ed (size) cities</w:t>
      </w:r>
      <w:r w:rsidRPr="00BE013E">
        <w:t>.</w:t>
      </w:r>
      <w:r>
        <w:t xml:space="preserve"> Different regional configurations are used</w:t>
      </w:r>
      <w:r w:rsidR="000850A7">
        <w:t>,</w:t>
      </w:r>
      <w:r>
        <w:t xml:space="preserve"> e.g. </w:t>
      </w:r>
      <w:r w:rsidR="000850A7" w:rsidRPr="000850A7">
        <w:t xml:space="preserve">Nomenclature of Territorial Units for Statistics </w:t>
      </w:r>
      <w:r w:rsidR="000850A7">
        <w:t>(</w:t>
      </w:r>
      <w:r>
        <w:t>NUTS</w:t>
      </w:r>
      <w:r w:rsidR="000850A7">
        <w:t>),</w:t>
      </w:r>
      <w:r>
        <w:t xml:space="preserve"> however these do not necessarily correspond with regions identified for cultural planning in the UK. </w:t>
      </w:r>
    </w:p>
    <w:p w14:paraId="4D2D7FEA" w14:textId="562004D3" w:rsidR="00410E03" w:rsidRPr="00C702DC" w:rsidRDefault="00410E03" w:rsidP="00520273">
      <w:pPr>
        <w:pStyle w:val="Heading2Numbered"/>
      </w:pPr>
      <w:bookmarkStart w:id="91" w:name="_Toc464222930"/>
      <w:r w:rsidRPr="00C702DC">
        <w:t>Location advantages</w:t>
      </w:r>
      <w:bookmarkEnd w:id="91"/>
    </w:p>
    <w:p w14:paraId="6591035B" w14:textId="6F8A8FCE" w:rsidR="00410E03" w:rsidRDefault="00410E03" w:rsidP="00511EC8">
      <w:r w:rsidRPr="00300E8A">
        <w:t xml:space="preserve">One </w:t>
      </w:r>
      <w:r>
        <w:t xml:space="preserve">of the measures of place-shaping through investment in CS&amp;H assets and a critical mass of facilities is the locational advantages to which they might contribute, i.e. to what extent do CS&amp;H assets serve as attractors to and retainers of people and firms. One of the first studies to measure the economic impact of the </w:t>
      </w:r>
      <w:r w:rsidR="008E736B">
        <w:t xml:space="preserve">arts </w:t>
      </w:r>
      <w:r>
        <w:t xml:space="preserve">in </w:t>
      </w:r>
      <w:r w:rsidR="008E736B">
        <w:t xml:space="preserve">Great Britain </w:t>
      </w:r>
      <w:r>
        <w:t>was Myerscough’s study published in 1988. As well as calculating impacts through spending and employment in three city-regional cases (Ipswich, Glasgow, Merseyside) using multipliers, the study surveyed middle managers in these areas, asking firstly which factors they saw as important in a location decision, and then how far these factors were enjoyed once living in an area.</w:t>
      </w:r>
    </w:p>
    <w:p w14:paraId="7502E028" w14:textId="77777777" w:rsidR="00511EC8" w:rsidRDefault="00511EC8" w:rsidP="00520273"/>
    <w:p w14:paraId="2E159256" w14:textId="21973B33" w:rsidR="00AB17E4" w:rsidRDefault="008E736B" w:rsidP="00C80488">
      <w:pPr>
        <w:pStyle w:val="Caption"/>
      </w:pPr>
      <w:bookmarkStart w:id="92" w:name="_Toc464220263"/>
      <w:r>
        <w:t xml:space="preserve">Table </w:t>
      </w:r>
      <w:fldSimple w:instr=" SEQ Table \* ARABIC ">
        <w:r w:rsidR="00F0636B">
          <w:rPr>
            <w:noProof/>
          </w:rPr>
          <w:t>9</w:t>
        </w:r>
      </w:fldSimple>
      <w:r>
        <w:t xml:space="preserve">: </w:t>
      </w:r>
      <w:r w:rsidR="00F0636B">
        <w:t>Location decision factors and post-relocation value</w:t>
      </w:r>
      <w:bookmarkEnd w:id="92"/>
      <w:r w:rsidR="00F0636B">
        <w:t xml:space="preserve"> </w:t>
      </w:r>
    </w:p>
    <w:tbl>
      <w:tblPr>
        <w:tblStyle w:val="TableGrid"/>
        <w:tblW w:w="8080" w:type="dxa"/>
        <w:tblInd w:w="1526" w:type="dxa"/>
        <w:tblLayout w:type="fixed"/>
        <w:tblLook w:val="04A0" w:firstRow="1" w:lastRow="0" w:firstColumn="1" w:lastColumn="0" w:noHBand="0" w:noVBand="1"/>
      </w:tblPr>
      <w:tblGrid>
        <w:gridCol w:w="2693"/>
        <w:gridCol w:w="2693"/>
        <w:gridCol w:w="2694"/>
      </w:tblGrid>
      <w:tr w:rsidR="00410E03" w:rsidRPr="00520273" w14:paraId="55628C12" w14:textId="77777777" w:rsidTr="00520273">
        <w:trPr>
          <w:trHeight w:val="208"/>
        </w:trPr>
        <w:tc>
          <w:tcPr>
            <w:tcW w:w="2693" w:type="dxa"/>
          </w:tcPr>
          <w:p w14:paraId="6F56B88F" w14:textId="77777777" w:rsidR="00410E03" w:rsidRPr="00520273" w:rsidRDefault="00410E03" w:rsidP="00C80488">
            <w:pPr>
              <w:spacing w:before="40" w:after="40"/>
              <w:ind w:left="0"/>
              <w:rPr>
                <w:rFonts w:cs="Arial"/>
                <w:b/>
                <w:sz w:val="20"/>
              </w:rPr>
            </w:pPr>
            <w:r w:rsidRPr="00520273">
              <w:rPr>
                <w:rFonts w:cs="Arial"/>
                <w:b/>
                <w:sz w:val="20"/>
              </w:rPr>
              <w:t>Factor</w:t>
            </w:r>
          </w:p>
        </w:tc>
        <w:tc>
          <w:tcPr>
            <w:tcW w:w="2693" w:type="dxa"/>
          </w:tcPr>
          <w:p w14:paraId="6CF32C73" w14:textId="77777777" w:rsidR="00410E03" w:rsidRPr="00520273" w:rsidRDefault="00410E03" w:rsidP="00C80488">
            <w:pPr>
              <w:spacing w:before="40" w:after="40"/>
              <w:ind w:left="0"/>
              <w:rPr>
                <w:rFonts w:cs="Arial"/>
                <w:b/>
                <w:sz w:val="20"/>
              </w:rPr>
            </w:pPr>
            <w:r w:rsidRPr="00520273">
              <w:rPr>
                <w:rFonts w:cs="Arial"/>
                <w:b/>
                <w:sz w:val="20"/>
              </w:rPr>
              <w:t>Location decision</w:t>
            </w:r>
          </w:p>
        </w:tc>
        <w:tc>
          <w:tcPr>
            <w:tcW w:w="2694" w:type="dxa"/>
          </w:tcPr>
          <w:p w14:paraId="47FD2433" w14:textId="77777777" w:rsidR="00410E03" w:rsidRPr="00520273" w:rsidRDefault="00410E03" w:rsidP="00C80488">
            <w:pPr>
              <w:spacing w:before="40" w:after="40"/>
              <w:ind w:left="0"/>
              <w:rPr>
                <w:rFonts w:cs="Arial"/>
                <w:b/>
                <w:sz w:val="20"/>
              </w:rPr>
            </w:pPr>
            <w:r w:rsidRPr="00520273">
              <w:rPr>
                <w:rFonts w:cs="Arial"/>
                <w:b/>
                <w:sz w:val="20"/>
              </w:rPr>
              <w:t>Enjoyed when resident</w:t>
            </w:r>
          </w:p>
        </w:tc>
      </w:tr>
      <w:tr w:rsidR="00410E03" w:rsidRPr="00520273" w14:paraId="65709559" w14:textId="77777777" w:rsidTr="00520273">
        <w:tc>
          <w:tcPr>
            <w:tcW w:w="2693" w:type="dxa"/>
          </w:tcPr>
          <w:p w14:paraId="40A47CAF" w14:textId="58E05569" w:rsidR="00410E03" w:rsidRPr="00520273" w:rsidRDefault="00410E03" w:rsidP="00F0636B">
            <w:pPr>
              <w:spacing w:before="40" w:after="40"/>
              <w:ind w:left="0"/>
              <w:rPr>
                <w:rFonts w:cs="Arial"/>
                <w:sz w:val="20"/>
              </w:rPr>
            </w:pPr>
            <w:r w:rsidRPr="00520273">
              <w:rPr>
                <w:rFonts w:cs="Arial"/>
                <w:sz w:val="20"/>
              </w:rPr>
              <w:t xml:space="preserve">Pleasant </w:t>
            </w:r>
            <w:r w:rsidR="008E736B">
              <w:rPr>
                <w:rFonts w:cs="Arial"/>
                <w:sz w:val="20"/>
              </w:rPr>
              <w:t>e</w:t>
            </w:r>
            <w:r w:rsidRPr="00520273">
              <w:rPr>
                <w:rFonts w:cs="Arial"/>
                <w:sz w:val="20"/>
              </w:rPr>
              <w:t xml:space="preserve">nvironment </w:t>
            </w:r>
            <w:r w:rsidR="008E736B">
              <w:rPr>
                <w:rFonts w:cs="Arial"/>
                <w:sz w:val="20"/>
              </w:rPr>
              <w:t>and</w:t>
            </w:r>
            <w:r w:rsidR="008E736B" w:rsidRPr="00520273">
              <w:rPr>
                <w:rFonts w:cs="Arial"/>
                <w:sz w:val="20"/>
              </w:rPr>
              <w:t xml:space="preserve"> </w:t>
            </w:r>
            <w:r w:rsidR="00F0636B">
              <w:rPr>
                <w:rFonts w:cs="Arial"/>
                <w:sz w:val="20"/>
              </w:rPr>
              <w:t>a</w:t>
            </w:r>
            <w:r w:rsidRPr="00520273">
              <w:rPr>
                <w:rFonts w:cs="Arial"/>
                <w:sz w:val="20"/>
              </w:rPr>
              <w:t xml:space="preserve">rchitecture; </w:t>
            </w:r>
            <w:r w:rsidR="008E736B">
              <w:rPr>
                <w:rFonts w:cs="Arial"/>
                <w:sz w:val="20"/>
              </w:rPr>
              <w:t>a</w:t>
            </w:r>
            <w:r w:rsidRPr="00520273">
              <w:rPr>
                <w:rFonts w:cs="Arial"/>
                <w:sz w:val="20"/>
              </w:rPr>
              <w:t>ccess to pleasant countryside</w:t>
            </w:r>
          </w:p>
        </w:tc>
        <w:tc>
          <w:tcPr>
            <w:tcW w:w="2693" w:type="dxa"/>
          </w:tcPr>
          <w:p w14:paraId="01501FDE" w14:textId="77777777" w:rsidR="00410E03" w:rsidRPr="00520273" w:rsidRDefault="00410E03" w:rsidP="00C80488">
            <w:pPr>
              <w:spacing w:before="40" w:after="40"/>
              <w:ind w:left="0"/>
              <w:rPr>
                <w:rFonts w:cs="Arial"/>
                <w:sz w:val="20"/>
              </w:rPr>
            </w:pPr>
            <w:r w:rsidRPr="00520273">
              <w:rPr>
                <w:rFonts w:cs="Arial"/>
                <w:sz w:val="20"/>
              </w:rPr>
              <w:t>98%</w:t>
            </w:r>
          </w:p>
        </w:tc>
        <w:tc>
          <w:tcPr>
            <w:tcW w:w="2694" w:type="dxa"/>
          </w:tcPr>
          <w:p w14:paraId="79E33667" w14:textId="77777777" w:rsidR="00410E03" w:rsidRPr="00520273" w:rsidRDefault="00410E03" w:rsidP="00C80488">
            <w:pPr>
              <w:spacing w:before="40" w:after="40"/>
              <w:ind w:left="0"/>
              <w:rPr>
                <w:rFonts w:cs="Arial"/>
                <w:sz w:val="20"/>
              </w:rPr>
            </w:pPr>
            <w:r w:rsidRPr="00520273">
              <w:rPr>
                <w:rFonts w:cs="Arial"/>
                <w:sz w:val="20"/>
              </w:rPr>
              <w:t>93% (Access to countryside)</w:t>
            </w:r>
          </w:p>
          <w:p w14:paraId="1CAAF473" w14:textId="77777777" w:rsidR="00410E03" w:rsidRPr="00520273" w:rsidRDefault="00410E03" w:rsidP="00C80488">
            <w:pPr>
              <w:spacing w:before="40" w:after="40"/>
              <w:ind w:left="0"/>
              <w:rPr>
                <w:rFonts w:cs="Arial"/>
                <w:sz w:val="20"/>
              </w:rPr>
            </w:pPr>
          </w:p>
        </w:tc>
      </w:tr>
      <w:tr w:rsidR="00410E03" w:rsidRPr="00520273" w14:paraId="16B33C19" w14:textId="77777777" w:rsidTr="00520273">
        <w:tc>
          <w:tcPr>
            <w:tcW w:w="2693" w:type="dxa"/>
          </w:tcPr>
          <w:p w14:paraId="2B1E72AA" w14:textId="77777777" w:rsidR="00410E03" w:rsidRPr="00520273" w:rsidRDefault="00410E03" w:rsidP="00C80488">
            <w:pPr>
              <w:spacing w:before="40" w:after="40"/>
              <w:ind w:left="0"/>
              <w:rPr>
                <w:rFonts w:cs="Arial"/>
                <w:sz w:val="20"/>
              </w:rPr>
            </w:pPr>
            <w:r w:rsidRPr="00520273">
              <w:rPr>
                <w:rFonts w:cs="Arial"/>
                <w:sz w:val="20"/>
              </w:rPr>
              <w:t>Good road, rail and air links</w:t>
            </w:r>
          </w:p>
        </w:tc>
        <w:tc>
          <w:tcPr>
            <w:tcW w:w="2693" w:type="dxa"/>
          </w:tcPr>
          <w:p w14:paraId="4A21BCD9" w14:textId="77777777" w:rsidR="00410E03" w:rsidRPr="00520273" w:rsidRDefault="00410E03" w:rsidP="00C80488">
            <w:pPr>
              <w:spacing w:before="40" w:after="40"/>
              <w:ind w:left="0"/>
              <w:rPr>
                <w:rFonts w:cs="Arial"/>
                <w:sz w:val="20"/>
              </w:rPr>
            </w:pPr>
            <w:r w:rsidRPr="00520273">
              <w:rPr>
                <w:rFonts w:cs="Arial"/>
                <w:sz w:val="20"/>
              </w:rPr>
              <w:t>84%</w:t>
            </w:r>
          </w:p>
        </w:tc>
        <w:tc>
          <w:tcPr>
            <w:tcW w:w="2694" w:type="dxa"/>
          </w:tcPr>
          <w:p w14:paraId="0B56A98D" w14:textId="707C0F3B" w:rsidR="00410E03" w:rsidRPr="00520273" w:rsidRDefault="00C10893" w:rsidP="00C80488">
            <w:pPr>
              <w:spacing w:before="40" w:after="40"/>
              <w:ind w:left="0"/>
              <w:rPr>
                <w:rFonts w:cs="Arial"/>
                <w:sz w:val="20"/>
              </w:rPr>
            </w:pPr>
            <w:r>
              <w:rPr>
                <w:rFonts w:cs="Arial"/>
                <w:sz w:val="20"/>
              </w:rPr>
              <w:t>–</w:t>
            </w:r>
          </w:p>
        </w:tc>
      </w:tr>
      <w:tr w:rsidR="00410E03" w:rsidRPr="00520273" w14:paraId="70DB3A83" w14:textId="77777777" w:rsidTr="00520273">
        <w:tc>
          <w:tcPr>
            <w:tcW w:w="2693" w:type="dxa"/>
          </w:tcPr>
          <w:p w14:paraId="7515558F" w14:textId="77777777" w:rsidR="00410E03" w:rsidRPr="00520273" w:rsidRDefault="00410E03" w:rsidP="00C80488">
            <w:pPr>
              <w:spacing w:before="40" w:after="40"/>
              <w:ind w:left="0"/>
              <w:rPr>
                <w:rFonts w:cs="Arial"/>
                <w:sz w:val="20"/>
              </w:rPr>
            </w:pPr>
            <w:r w:rsidRPr="00520273">
              <w:rPr>
                <w:rFonts w:cs="Arial"/>
                <w:sz w:val="20"/>
              </w:rPr>
              <w:t>Outdoor recreation and sporting facilities</w:t>
            </w:r>
          </w:p>
        </w:tc>
        <w:tc>
          <w:tcPr>
            <w:tcW w:w="2693" w:type="dxa"/>
          </w:tcPr>
          <w:p w14:paraId="4E803DEB" w14:textId="77777777" w:rsidR="00410E03" w:rsidRPr="00520273" w:rsidRDefault="00410E03" w:rsidP="00C80488">
            <w:pPr>
              <w:spacing w:before="40" w:after="40"/>
              <w:ind w:left="0"/>
              <w:rPr>
                <w:rFonts w:cs="Arial"/>
                <w:sz w:val="20"/>
              </w:rPr>
            </w:pPr>
            <w:r w:rsidRPr="00520273">
              <w:rPr>
                <w:rFonts w:cs="Arial"/>
                <w:sz w:val="20"/>
              </w:rPr>
              <w:t>81%</w:t>
            </w:r>
          </w:p>
        </w:tc>
        <w:tc>
          <w:tcPr>
            <w:tcW w:w="2694" w:type="dxa"/>
          </w:tcPr>
          <w:p w14:paraId="28D43AA9" w14:textId="62613E32" w:rsidR="00410E03" w:rsidRPr="00520273" w:rsidRDefault="00410E03" w:rsidP="00C80488">
            <w:pPr>
              <w:spacing w:before="40" w:after="40"/>
              <w:ind w:left="0"/>
              <w:rPr>
                <w:rFonts w:cs="Arial"/>
                <w:sz w:val="20"/>
              </w:rPr>
            </w:pPr>
            <w:r w:rsidRPr="00520273">
              <w:rPr>
                <w:rFonts w:cs="Arial"/>
                <w:sz w:val="20"/>
              </w:rPr>
              <w:t xml:space="preserve">54% (Participation in sports) 62% (Parks </w:t>
            </w:r>
            <w:r w:rsidR="00C10893">
              <w:rPr>
                <w:rFonts w:cs="Arial"/>
                <w:sz w:val="20"/>
              </w:rPr>
              <w:t>and</w:t>
            </w:r>
            <w:r w:rsidR="00C10893" w:rsidRPr="00520273">
              <w:rPr>
                <w:rFonts w:cs="Arial"/>
                <w:sz w:val="20"/>
              </w:rPr>
              <w:t xml:space="preserve"> </w:t>
            </w:r>
            <w:r w:rsidRPr="00520273">
              <w:rPr>
                <w:rFonts w:cs="Arial"/>
                <w:sz w:val="20"/>
              </w:rPr>
              <w:t>public gardens)</w:t>
            </w:r>
          </w:p>
        </w:tc>
      </w:tr>
      <w:tr w:rsidR="00410E03" w:rsidRPr="00520273" w14:paraId="6BF57C53" w14:textId="77777777" w:rsidTr="00520273">
        <w:tc>
          <w:tcPr>
            <w:tcW w:w="2693" w:type="dxa"/>
          </w:tcPr>
          <w:p w14:paraId="25609A9E" w14:textId="77777777" w:rsidR="00410E03" w:rsidRPr="00520273" w:rsidRDefault="00410E03" w:rsidP="00C80488">
            <w:pPr>
              <w:spacing w:before="40" w:after="40"/>
              <w:ind w:left="0"/>
              <w:rPr>
                <w:rFonts w:cs="Arial"/>
                <w:sz w:val="20"/>
              </w:rPr>
            </w:pPr>
            <w:r w:rsidRPr="00520273">
              <w:rPr>
                <w:rFonts w:cs="Arial"/>
                <w:sz w:val="20"/>
              </w:rPr>
              <w:t>Wide choice of housing</w:t>
            </w:r>
          </w:p>
        </w:tc>
        <w:tc>
          <w:tcPr>
            <w:tcW w:w="2693" w:type="dxa"/>
          </w:tcPr>
          <w:p w14:paraId="06186FF3" w14:textId="77777777" w:rsidR="00410E03" w:rsidRPr="00520273" w:rsidRDefault="00410E03" w:rsidP="00C80488">
            <w:pPr>
              <w:spacing w:before="40" w:after="40"/>
              <w:ind w:left="0"/>
              <w:rPr>
                <w:rFonts w:cs="Arial"/>
                <w:sz w:val="20"/>
              </w:rPr>
            </w:pPr>
            <w:r w:rsidRPr="00520273">
              <w:rPr>
                <w:rFonts w:cs="Arial"/>
                <w:sz w:val="20"/>
              </w:rPr>
              <w:t>80%</w:t>
            </w:r>
          </w:p>
        </w:tc>
        <w:tc>
          <w:tcPr>
            <w:tcW w:w="2694" w:type="dxa"/>
          </w:tcPr>
          <w:p w14:paraId="728B7ADE" w14:textId="479BF66E" w:rsidR="00410E03" w:rsidRPr="00520273" w:rsidRDefault="00C10893" w:rsidP="00C80488">
            <w:pPr>
              <w:spacing w:before="40" w:after="40"/>
              <w:ind w:left="0"/>
              <w:rPr>
                <w:rFonts w:cs="Arial"/>
                <w:sz w:val="20"/>
              </w:rPr>
            </w:pPr>
            <w:r>
              <w:rPr>
                <w:rFonts w:cs="Arial"/>
                <w:sz w:val="20"/>
              </w:rPr>
              <w:t>–</w:t>
            </w:r>
          </w:p>
        </w:tc>
      </w:tr>
      <w:tr w:rsidR="00410E03" w:rsidRPr="00520273" w14:paraId="12EF1625" w14:textId="77777777" w:rsidTr="00520273">
        <w:tc>
          <w:tcPr>
            <w:tcW w:w="2693" w:type="dxa"/>
          </w:tcPr>
          <w:p w14:paraId="43AF68B9" w14:textId="77777777" w:rsidR="00410E03" w:rsidRPr="00520273" w:rsidRDefault="00410E03" w:rsidP="00C80488">
            <w:pPr>
              <w:spacing w:before="40" w:after="40"/>
              <w:ind w:left="0"/>
              <w:rPr>
                <w:rFonts w:cs="Arial"/>
                <w:sz w:val="20"/>
              </w:rPr>
            </w:pPr>
            <w:r w:rsidRPr="00520273">
              <w:rPr>
                <w:rFonts w:cs="Arial"/>
                <w:sz w:val="20"/>
              </w:rPr>
              <w:t>Good choice of schools</w:t>
            </w:r>
          </w:p>
        </w:tc>
        <w:tc>
          <w:tcPr>
            <w:tcW w:w="2693" w:type="dxa"/>
          </w:tcPr>
          <w:p w14:paraId="3B5162B0" w14:textId="77777777" w:rsidR="00410E03" w:rsidRPr="00520273" w:rsidRDefault="00410E03" w:rsidP="00C80488">
            <w:pPr>
              <w:spacing w:before="40" w:after="40"/>
              <w:ind w:left="0"/>
              <w:rPr>
                <w:rFonts w:cs="Arial"/>
                <w:sz w:val="20"/>
              </w:rPr>
            </w:pPr>
            <w:r w:rsidRPr="00520273">
              <w:rPr>
                <w:rFonts w:cs="Arial"/>
                <w:sz w:val="20"/>
              </w:rPr>
              <w:t>76%</w:t>
            </w:r>
          </w:p>
        </w:tc>
        <w:tc>
          <w:tcPr>
            <w:tcW w:w="2694" w:type="dxa"/>
          </w:tcPr>
          <w:p w14:paraId="3C43DFD7" w14:textId="4549B3E0" w:rsidR="00410E03" w:rsidRPr="00520273" w:rsidRDefault="00C10893" w:rsidP="00C80488">
            <w:pPr>
              <w:spacing w:before="40" w:after="40"/>
              <w:ind w:left="0"/>
              <w:rPr>
                <w:rFonts w:cs="Arial"/>
                <w:sz w:val="20"/>
              </w:rPr>
            </w:pPr>
            <w:r>
              <w:rPr>
                <w:rFonts w:cs="Arial"/>
                <w:sz w:val="20"/>
              </w:rPr>
              <w:t>–</w:t>
            </w:r>
          </w:p>
        </w:tc>
      </w:tr>
      <w:tr w:rsidR="00410E03" w:rsidRPr="00520273" w14:paraId="78421C1D" w14:textId="77777777" w:rsidTr="00520273">
        <w:tc>
          <w:tcPr>
            <w:tcW w:w="2693" w:type="dxa"/>
          </w:tcPr>
          <w:p w14:paraId="79315783" w14:textId="77777777" w:rsidR="00410E03" w:rsidRPr="00520273" w:rsidRDefault="00410E03" w:rsidP="00C80488">
            <w:pPr>
              <w:spacing w:before="40" w:after="40"/>
              <w:ind w:left="0"/>
              <w:rPr>
                <w:rFonts w:cs="Arial"/>
                <w:sz w:val="20"/>
              </w:rPr>
            </w:pPr>
            <w:r w:rsidRPr="00520273">
              <w:rPr>
                <w:rFonts w:cs="Arial"/>
                <w:sz w:val="20"/>
              </w:rPr>
              <w:t>Museums, theatres, concerts and other cultural facilities</w:t>
            </w:r>
          </w:p>
        </w:tc>
        <w:tc>
          <w:tcPr>
            <w:tcW w:w="2693" w:type="dxa"/>
          </w:tcPr>
          <w:p w14:paraId="74F74721" w14:textId="77777777" w:rsidR="00410E03" w:rsidRPr="00520273" w:rsidRDefault="00410E03" w:rsidP="00C80488">
            <w:pPr>
              <w:spacing w:before="40" w:after="40"/>
              <w:ind w:left="0"/>
              <w:rPr>
                <w:rFonts w:cs="Arial"/>
                <w:sz w:val="20"/>
              </w:rPr>
            </w:pPr>
            <w:r w:rsidRPr="00520273">
              <w:rPr>
                <w:rFonts w:cs="Arial"/>
                <w:sz w:val="20"/>
              </w:rPr>
              <w:t>74%</w:t>
            </w:r>
          </w:p>
        </w:tc>
        <w:tc>
          <w:tcPr>
            <w:tcW w:w="2694" w:type="dxa"/>
          </w:tcPr>
          <w:p w14:paraId="4D70B7A5" w14:textId="77777777" w:rsidR="00410E03" w:rsidRPr="00520273" w:rsidRDefault="00410E03" w:rsidP="00C80488">
            <w:pPr>
              <w:spacing w:before="40" w:after="40"/>
              <w:ind w:left="0"/>
              <w:rPr>
                <w:rFonts w:cs="Arial"/>
                <w:sz w:val="20"/>
              </w:rPr>
            </w:pPr>
            <w:r w:rsidRPr="00520273">
              <w:rPr>
                <w:rFonts w:cs="Arial"/>
                <w:sz w:val="20"/>
              </w:rPr>
              <w:t>69%</w:t>
            </w:r>
          </w:p>
        </w:tc>
      </w:tr>
      <w:tr w:rsidR="00410E03" w:rsidRPr="00520273" w14:paraId="7B0A97A8" w14:textId="77777777" w:rsidTr="00520273">
        <w:tc>
          <w:tcPr>
            <w:tcW w:w="2693" w:type="dxa"/>
          </w:tcPr>
          <w:p w14:paraId="1B3D8950" w14:textId="77777777" w:rsidR="00410E03" w:rsidRPr="00520273" w:rsidRDefault="00410E03" w:rsidP="00C80488">
            <w:pPr>
              <w:spacing w:before="40" w:after="40"/>
              <w:ind w:left="0"/>
              <w:rPr>
                <w:rFonts w:cs="Arial"/>
                <w:sz w:val="20"/>
              </w:rPr>
            </w:pPr>
            <w:r w:rsidRPr="00520273">
              <w:rPr>
                <w:rFonts w:cs="Arial"/>
                <w:sz w:val="20"/>
              </w:rPr>
              <w:t>Fine old buildings</w:t>
            </w:r>
          </w:p>
        </w:tc>
        <w:tc>
          <w:tcPr>
            <w:tcW w:w="2693" w:type="dxa"/>
          </w:tcPr>
          <w:p w14:paraId="22C97072" w14:textId="37867104" w:rsidR="00410E03" w:rsidRPr="00520273" w:rsidRDefault="00C10893" w:rsidP="00C80488">
            <w:pPr>
              <w:spacing w:before="40" w:after="40"/>
              <w:ind w:left="0"/>
              <w:rPr>
                <w:rFonts w:cs="Arial"/>
                <w:sz w:val="20"/>
              </w:rPr>
            </w:pPr>
            <w:r>
              <w:rPr>
                <w:rFonts w:cs="Arial"/>
                <w:sz w:val="20"/>
              </w:rPr>
              <w:t>–</w:t>
            </w:r>
          </w:p>
        </w:tc>
        <w:tc>
          <w:tcPr>
            <w:tcW w:w="2694" w:type="dxa"/>
          </w:tcPr>
          <w:p w14:paraId="24EB899A" w14:textId="77777777" w:rsidR="00410E03" w:rsidRPr="00520273" w:rsidRDefault="00410E03" w:rsidP="00C80488">
            <w:pPr>
              <w:spacing w:before="40" w:after="40"/>
              <w:ind w:left="0"/>
              <w:rPr>
                <w:rFonts w:cs="Arial"/>
                <w:sz w:val="20"/>
              </w:rPr>
            </w:pPr>
            <w:r w:rsidRPr="00520273">
              <w:rPr>
                <w:rFonts w:cs="Arial"/>
                <w:sz w:val="20"/>
              </w:rPr>
              <w:t>69%</w:t>
            </w:r>
          </w:p>
        </w:tc>
      </w:tr>
      <w:tr w:rsidR="00410E03" w:rsidRPr="00520273" w14:paraId="182E9839" w14:textId="77777777" w:rsidTr="00520273">
        <w:tc>
          <w:tcPr>
            <w:tcW w:w="2693" w:type="dxa"/>
          </w:tcPr>
          <w:p w14:paraId="60690981" w14:textId="77777777" w:rsidR="00410E03" w:rsidRPr="00520273" w:rsidRDefault="00410E03" w:rsidP="00C80488">
            <w:pPr>
              <w:spacing w:before="40" w:after="40"/>
              <w:ind w:left="0"/>
              <w:rPr>
                <w:rFonts w:cs="Arial"/>
                <w:sz w:val="20"/>
              </w:rPr>
            </w:pPr>
            <w:r w:rsidRPr="00520273">
              <w:rPr>
                <w:rFonts w:cs="Arial"/>
                <w:sz w:val="20"/>
              </w:rPr>
              <w:t>Pubs, clubs and nightlife</w:t>
            </w:r>
          </w:p>
        </w:tc>
        <w:tc>
          <w:tcPr>
            <w:tcW w:w="2693" w:type="dxa"/>
          </w:tcPr>
          <w:p w14:paraId="389E9545" w14:textId="3BAA7BB9" w:rsidR="00410E03" w:rsidRPr="00520273" w:rsidRDefault="00C10893" w:rsidP="00C80488">
            <w:pPr>
              <w:spacing w:before="40" w:after="40"/>
              <w:ind w:left="0"/>
              <w:rPr>
                <w:rFonts w:cs="Arial"/>
                <w:sz w:val="20"/>
              </w:rPr>
            </w:pPr>
            <w:r>
              <w:rPr>
                <w:rFonts w:cs="Arial"/>
                <w:sz w:val="20"/>
              </w:rPr>
              <w:t>–</w:t>
            </w:r>
          </w:p>
        </w:tc>
        <w:tc>
          <w:tcPr>
            <w:tcW w:w="2694" w:type="dxa"/>
          </w:tcPr>
          <w:p w14:paraId="36D15820" w14:textId="77777777" w:rsidR="00410E03" w:rsidRPr="00520273" w:rsidRDefault="00410E03" w:rsidP="00C80488">
            <w:pPr>
              <w:spacing w:before="40" w:after="40"/>
              <w:ind w:left="0"/>
              <w:rPr>
                <w:rFonts w:cs="Arial"/>
                <w:sz w:val="20"/>
              </w:rPr>
            </w:pPr>
            <w:r w:rsidRPr="00520273">
              <w:rPr>
                <w:rFonts w:cs="Arial"/>
                <w:sz w:val="20"/>
              </w:rPr>
              <w:t>50%</w:t>
            </w:r>
          </w:p>
        </w:tc>
      </w:tr>
    </w:tbl>
    <w:p w14:paraId="4E9278F4" w14:textId="5795CDC3" w:rsidR="00410E03" w:rsidRDefault="008E736B" w:rsidP="00520273">
      <w:pPr>
        <w:rPr>
          <w:rFonts w:eastAsia="Calibri" w:cs="Arial"/>
          <w:sz w:val="18"/>
        </w:rPr>
      </w:pPr>
      <w:r w:rsidRPr="00C80488">
        <w:rPr>
          <w:rFonts w:eastAsia="Calibri" w:cs="Arial"/>
          <w:sz w:val="18"/>
        </w:rPr>
        <w:t xml:space="preserve">Source: </w:t>
      </w:r>
      <w:r w:rsidR="00F0636B">
        <w:rPr>
          <w:rFonts w:eastAsia="Calibri" w:cs="Arial"/>
          <w:sz w:val="18"/>
        </w:rPr>
        <w:t>Myerscough (1988)</w:t>
      </w:r>
    </w:p>
    <w:p w14:paraId="29038FF4" w14:textId="77777777" w:rsidR="00F0636B" w:rsidRPr="00C80488" w:rsidRDefault="00F0636B" w:rsidP="00520273">
      <w:pPr>
        <w:rPr>
          <w:rFonts w:eastAsia="Calibri" w:cs="Arial"/>
          <w:sz w:val="18"/>
        </w:rPr>
      </w:pPr>
    </w:p>
    <w:p w14:paraId="643715F6" w14:textId="2593F474" w:rsidR="00410E03" w:rsidRDefault="00410E03" w:rsidP="00520273">
      <w:r w:rsidRPr="00C32502">
        <w:t xml:space="preserve">Whilst natural and built </w:t>
      </w:r>
      <w:r>
        <w:t>e</w:t>
      </w:r>
      <w:r w:rsidRPr="00C32502">
        <w:t>nvironmental quality</w:t>
      </w:r>
      <w:r>
        <w:t xml:space="preserve"> were valued fairly equally in each of these three regions, middle managers in Glasgow (79%) and Merseyside (68%) rated cultural facilities higher than those in Ipswich (60%), both as a location-decision and resident-user factor, with spectator sports rated low as a valued amenity (only 10% in Ipswich, but 39% in Merseyside). Prior reputation and supply-led factors would be expected to play an important part in these assessments and in explaining these </w:t>
      </w:r>
      <w:r w:rsidRPr="00795483">
        <w:t>variations, including the prominence given to investment in C</w:t>
      </w:r>
      <w:r w:rsidR="00D27C1E">
        <w:t>S&amp;H</w:t>
      </w:r>
      <w:r w:rsidRPr="00795483">
        <w:t xml:space="preserve"> assets</w:t>
      </w:r>
      <w:r w:rsidR="00D27C1E">
        <w:t>:</w:t>
      </w:r>
      <w:r w:rsidR="00D27C1E" w:rsidRPr="00795483">
        <w:t xml:space="preserve"> </w:t>
      </w:r>
      <w:r w:rsidR="00D27C1E">
        <w:t>f</w:t>
      </w:r>
      <w:r w:rsidR="00D27C1E" w:rsidRPr="00795483">
        <w:t xml:space="preserve">or </w:t>
      </w:r>
      <w:r w:rsidRPr="00795483">
        <w:t>example</w:t>
      </w:r>
      <w:r w:rsidR="00D27C1E">
        <w:t>,</w:t>
      </w:r>
      <w:r w:rsidRPr="00795483">
        <w:t xml:space="preserve"> Glasgow’s ‘Renaissance’ post-Glagow SMiles Better </w:t>
      </w:r>
      <w:r>
        <w:t>campaign (</w:t>
      </w:r>
      <w:r w:rsidRPr="00795483">
        <w:t>1983</w:t>
      </w:r>
      <w:r>
        <w:t>)</w:t>
      </w:r>
      <w:r w:rsidRPr="00795483">
        <w:t>,</w:t>
      </w:r>
      <w:r>
        <w:rPr>
          <w:rFonts w:ascii="Calibri" w:hAnsi="Calibri" w:cs="Arial"/>
        </w:rPr>
        <w:t xml:space="preserve"> </w:t>
      </w:r>
      <w:r>
        <w:t>1988 Garden Festival and European City of Culture 1990. More recently,</w:t>
      </w:r>
      <w:r w:rsidRPr="008B7D88">
        <w:t xml:space="preserve"> Liverpool</w:t>
      </w:r>
      <w:r>
        <w:t>’s</w:t>
      </w:r>
      <w:r w:rsidRPr="008B7D88">
        <w:t xml:space="preserve"> ‘Europ</w:t>
      </w:r>
      <w:r>
        <w:t>ean Capital of Culture’</w:t>
      </w:r>
      <w:r w:rsidR="006C0656">
        <w:t xml:space="preserve"> (ECoC) award</w:t>
      </w:r>
      <w:r>
        <w:t xml:space="preserve"> in 2008 is credited with reputational advantage through improvements in its cultural and urban amenities (including the Liverpool One shopping centre). B</w:t>
      </w:r>
      <w:r w:rsidRPr="008B7D88">
        <w:t xml:space="preserve">oth </w:t>
      </w:r>
      <w:r>
        <w:t xml:space="preserve">of these cities have been </w:t>
      </w:r>
      <w:r w:rsidRPr="008B7D88">
        <w:t>recipients of sustained capital investment through national and European regional development funding (</w:t>
      </w:r>
      <w:r>
        <w:t>e.g. £12m to North West and £5m to Glasgow, 1990</w:t>
      </w:r>
      <w:r w:rsidR="00D27C1E">
        <w:t>–</w:t>
      </w:r>
      <w:r>
        <w:t xml:space="preserve">6 </w:t>
      </w:r>
      <w:r w:rsidR="00D27C1E">
        <w:t xml:space="preserve">– </w:t>
      </w:r>
      <w:r w:rsidRPr="008B7D88">
        <w:t xml:space="preserve">Evans &amp; Foord, 2000). </w:t>
      </w:r>
    </w:p>
    <w:p w14:paraId="6222DA05" w14:textId="6C599D11" w:rsidR="00410E03" w:rsidRPr="006C0656" w:rsidRDefault="00410E03" w:rsidP="00520273">
      <w:r w:rsidRPr="008B7D88">
        <w:t xml:space="preserve">As an indication of the influence of a change in supply of cultural facilities, between 2005 and 2009 attendance at museums </w:t>
      </w:r>
      <w:r w:rsidR="00D27C1E">
        <w:t>and</w:t>
      </w:r>
      <w:r w:rsidR="00D27C1E" w:rsidRPr="008B7D88">
        <w:t xml:space="preserve"> </w:t>
      </w:r>
      <w:r w:rsidRPr="008B7D88">
        <w:t>galleries in the North West region increased from 40% to 47%</w:t>
      </w:r>
      <w:r w:rsidR="00D27C1E">
        <w:t>. This was</w:t>
      </w:r>
      <w:r w:rsidRPr="008B7D88">
        <w:t xml:space="preserve"> attributed to the build-up and effect of Liverpool’s European Capital of Culture in 2008, although attendan</w:t>
      </w:r>
      <w:r>
        <w:t>ce slipped back to 45% in 2009 (</w:t>
      </w:r>
      <w:r w:rsidRPr="00C80488">
        <w:t>Taking Part</w:t>
      </w:r>
      <w:r w:rsidRPr="008B7D88">
        <w:t xml:space="preserve">, DCMS 2010). </w:t>
      </w:r>
      <w:r>
        <w:t xml:space="preserve">In an extensive </w:t>
      </w:r>
      <w:r w:rsidR="006C0656">
        <w:t xml:space="preserve">impact study </w:t>
      </w:r>
      <w:r>
        <w:t xml:space="preserve">of Liverpool’08, </w:t>
      </w:r>
      <w:proofErr w:type="gramStart"/>
      <w:r>
        <w:t>secondary analysis of visitor data was supplemented by profiling visitors</w:t>
      </w:r>
      <w:proofErr w:type="gramEnd"/>
      <w:r w:rsidR="006C0656">
        <w:t>, and data</w:t>
      </w:r>
      <w:r>
        <w:t xml:space="preserve"> was then modelled to determine additionality. The study found that 9.7m additional visits (35% of all </w:t>
      </w:r>
      <w:r w:rsidR="006C0656">
        <w:t xml:space="preserve">visits </w:t>
      </w:r>
      <w:r>
        <w:t>to the city in 2008) were attributed to the ECOC</w:t>
      </w:r>
      <w:r w:rsidR="006C0656">
        <w:t xml:space="preserve"> award</w:t>
      </w:r>
      <w:r>
        <w:t xml:space="preserve">, generating an additional economic impact of c£754m </w:t>
      </w:r>
      <w:r w:rsidRPr="00E32BC2">
        <w:t xml:space="preserve">across the region, and supporting 14,888 FTE equivalent jobs. </w:t>
      </w:r>
      <w:r w:rsidR="00AD6B47">
        <w:t>Placemaking</w:t>
      </w:r>
      <w:r w:rsidRPr="00E32BC2">
        <w:t xml:space="preserve"> effects were also assessed through media analysis and surveys of local community perceptions (Impact 08, 2010). </w:t>
      </w:r>
      <w:r>
        <w:t xml:space="preserve">Here, </w:t>
      </w:r>
      <w:r w:rsidRPr="00E32BC2">
        <w:t xml:space="preserve">most people did not feel that </w:t>
      </w:r>
      <w:r w:rsidR="006C0656">
        <w:t xml:space="preserve">the </w:t>
      </w:r>
      <w:r w:rsidRPr="00E32BC2">
        <w:t xml:space="preserve">ECoC </w:t>
      </w:r>
      <w:r w:rsidR="006C0656">
        <w:t xml:space="preserve">award </w:t>
      </w:r>
      <w:r w:rsidRPr="00E32BC2">
        <w:t>would benefit either them as indi</w:t>
      </w:r>
      <w:r>
        <w:t>viduals or their neighbourhoods</w:t>
      </w:r>
      <w:r w:rsidRPr="00E32BC2">
        <w:t xml:space="preserve"> (Impacts08</w:t>
      </w:r>
      <w:r>
        <w:t>,</w:t>
      </w:r>
      <w:r w:rsidRPr="00E32BC2">
        <w:t xml:space="preserve"> 2009</w:t>
      </w:r>
      <w:r>
        <w:t xml:space="preserve">: 12). </w:t>
      </w:r>
      <w:r w:rsidRPr="00E32BC2">
        <w:t>Businesses in the city centre (less so outs</w:t>
      </w:r>
      <w:r>
        <w:t>ide of the area) saw</w:t>
      </w:r>
      <w:r w:rsidRPr="00E32BC2">
        <w:t xml:space="preserve"> a growth in sales due to the </w:t>
      </w:r>
      <w:r>
        <w:t>E</w:t>
      </w:r>
      <w:r w:rsidRPr="00E32BC2">
        <w:t xml:space="preserve">CoC award, although less </w:t>
      </w:r>
      <w:r>
        <w:t xml:space="preserve">so </w:t>
      </w:r>
      <w:r w:rsidRPr="00E32BC2">
        <w:t xml:space="preserve">in Merseyside than in the region as a whole. However </w:t>
      </w:r>
      <w:r>
        <w:t xml:space="preserve">the majority of firms </w:t>
      </w:r>
      <w:r w:rsidRPr="00E32BC2">
        <w:t>did not anticipate winning future business from the event, which was not seen as the critical factor in the city’s economic recovery</w:t>
      </w:r>
      <w:r w:rsidR="006C0656">
        <w:t xml:space="preserve"> (</w:t>
      </w:r>
      <w:r w:rsidRPr="00E32BC2">
        <w:t>although a source of ‘great pride and enthusiasm’</w:t>
      </w:r>
      <w:r w:rsidR="006C0656">
        <w:t>)</w:t>
      </w:r>
      <w:r w:rsidR="006C0656" w:rsidRPr="00E32BC2">
        <w:t xml:space="preserve"> </w:t>
      </w:r>
      <w:r w:rsidR="006C0656">
        <w:t>which was,</w:t>
      </w:r>
      <w:r w:rsidR="006C0656" w:rsidRPr="00E32BC2">
        <w:t xml:space="preserve"> </w:t>
      </w:r>
      <w:r w:rsidRPr="00E32BC2">
        <w:t>rather, the major infrastructure investments such as the new Arena and Convention Centre (Impacts08</w:t>
      </w:r>
      <w:r>
        <w:t>,</w:t>
      </w:r>
      <w:r w:rsidRPr="00E32BC2">
        <w:t xml:space="preserve"> 2008).</w:t>
      </w:r>
      <w:r>
        <w:t xml:space="preserve"> </w:t>
      </w:r>
      <w:r w:rsidRPr="006751CE">
        <w:t>These impact findings highlight the importance of defining the impact area and of identifying key ‘agents of change’ which may include CS&amp;H investment (particularly permanent/ongoing vs. time-limited event based) but will also include other investments e.g. retail, transport, public realm.</w:t>
      </w:r>
      <w:r w:rsidRPr="006C0656">
        <w:t xml:space="preserve"> </w:t>
      </w:r>
    </w:p>
    <w:p w14:paraId="63778E0E" w14:textId="6F6D4B55" w:rsidR="00410E03" w:rsidRDefault="00410E03" w:rsidP="00131F29">
      <w:r>
        <w:t xml:space="preserve">The impact of the regeneration of </w:t>
      </w:r>
      <w:r w:rsidRPr="006751CE">
        <w:t>historic assets on business location</w:t>
      </w:r>
      <w:r>
        <w:t xml:space="preserve"> decisions was also evaluated in a study of five UK case study areas. The study found that 25% of businesses surveyed agreed that the heritage setting was an important factor in in the decision to locate there (particularly smaller, independent firms), ranking this equally with road access, but below environmental quality, availability of premises, labour and proximity to customers and suppliers (Amion/Locum, 2010 and see GHK, 2010). It was estimated in 2011 there were 138,000 UK businesses located in listed buildings, accounting for £4.7</w:t>
      </w:r>
      <w:r w:rsidR="0029154E">
        <w:t>b</w:t>
      </w:r>
      <w:r>
        <w:t>n in economic output and 1.4</w:t>
      </w:r>
      <w:r w:rsidR="0029154E">
        <w:t>m</w:t>
      </w:r>
      <w:r>
        <w:t xml:space="preserve"> jobs </w:t>
      </w:r>
      <w:r w:rsidR="0029154E">
        <w:t xml:space="preserve">– </w:t>
      </w:r>
      <w:r>
        <w:t>3.5% of UK economic output and 5% of all UK employment (Oxford Economics, 2013).</w:t>
      </w:r>
    </w:p>
    <w:p w14:paraId="76333E49" w14:textId="7DAC6EBC" w:rsidR="00410E03" w:rsidRPr="00A81066" w:rsidRDefault="00410E03" w:rsidP="00520273">
      <w:pPr>
        <w:rPr>
          <w:rFonts w:eastAsiaTheme="minorHAnsi"/>
        </w:rPr>
      </w:pPr>
      <w:r>
        <w:rPr>
          <w:rFonts w:eastAsiaTheme="minorHAnsi"/>
        </w:rPr>
        <w:t xml:space="preserve">A novel study on the link between cultural amenities, </w:t>
      </w:r>
      <w:r w:rsidR="0098561B">
        <w:rPr>
          <w:rFonts w:eastAsiaTheme="minorHAnsi"/>
        </w:rPr>
        <w:t>high-</w:t>
      </w:r>
      <w:r>
        <w:rPr>
          <w:rFonts w:eastAsiaTheme="minorHAnsi"/>
        </w:rPr>
        <w:t>skilled workers and regional economic growth has looked at baroque</w:t>
      </w:r>
      <w:r w:rsidR="0098561B">
        <w:rPr>
          <w:rFonts w:eastAsiaTheme="minorHAnsi"/>
        </w:rPr>
        <w:t xml:space="preserve"> (pre-1800s)</w:t>
      </w:r>
      <w:r>
        <w:rPr>
          <w:rFonts w:eastAsiaTheme="minorHAnsi"/>
        </w:rPr>
        <w:t xml:space="preserve"> opera houses in Germany (Falck et al 2011). This modelled spatial/distance relationships</w:t>
      </w:r>
      <w:r w:rsidR="0098561B">
        <w:rPr>
          <w:rFonts w:eastAsiaTheme="minorHAnsi"/>
        </w:rPr>
        <w:t>,</w:t>
      </w:r>
      <w:r>
        <w:rPr>
          <w:rFonts w:eastAsiaTheme="minorHAnsi"/>
        </w:rPr>
        <w:t xml:space="preserve"> factoring a range of counterfactual (without opera houses), amenity and skills/growth data, including education level, GDP/employee and accessibility indices. The </w:t>
      </w:r>
      <w:r w:rsidRPr="00A81066">
        <w:rPr>
          <w:rFonts w:eastAsiaTheme="minorHAnsi"/>
        </w:rPr>
        <w:t xml:space="preserve">results show a correlation between regions with high human-capital employees and those with a high level of cultural amenities, compared with those with lower cultural amenities. Translating this in terms of economic growth, an increase in higher education employees by one standard deviation increases average growth of regional GDP/employee by 1% to 2%. The federal German system supports a more even distribution of cultural facilities than in the UK, with higher levels of participation as a result (Brook, 2011). As Glaeser </w:t>
      </w:r>
      <w:r>
        <w:rPr>
          <w:rFonts w:eastAsiaTheme="minorHAnsi"/>
        </w:rPr>
        <w:t xml:space="preserve">also </w:t>
      </w:r>
      <w:r w:rsidRPr="00A81066">
        <w:rPr>
          <w:rFonts w:eastAsiaTheme="minorHAnsi"/>
        </w:rPr>
        <w:t xml:space="preserve">concluded </w:t>
      </w:r>
      <w:r>
        <w:rPr>
          <w:rFonts w:eastAsiaTheme="minorHAnsi"/>
        </w:rPr>
        <w:t xml:space="preserve">from his econometric study of skills and regional growth, </w:t>
      </w:r>
      <w:r w:rsidRPr="00A81066">
        <w:rPr>
          <w:rFonts w:eastAsiaTheme="minorHAnsi"/>
        </w:rPr>
        <w:t>city growth responds to f</w:t>
      </w:r>
      <w:r>
        <w:rPr>
          <w:rFonts w:eastAsiaTheme="minorHAnsi"/>
        </w:rPr>
        <w:t xml:space="preserve">aster improvement in amenities, which skilled residents </w:t>
      </w:r>
      <w:r w:rsidRPr="00A81066">
        <w:rPr>
          <w:rFonts w:eastAsiaTheme="minorHAnsi"/>
        </w:rPr>
        <w:t xml:space="preserve">induce through their demand as consumers and </w:t>
      </w:r>
      <w:r>
        <w:rPr>
          <w:rFonts w:eastAsiaTheme="minorHAnsi"/>
        </w:rPr>
        <w:t xml:space="preserve">as </w:t>
      </w:r>
      <w:r w:rsidRPr="00A81066">
        <w:rPr>
          <w:rFonts w:eastAsiaTheme="minorHAnsi"/>
        </w:rPr>
        <w:t>voters</w:t>
      </w:r>
      <w:r>
        <w:rPr>
          <w:rFonts w:eastAsiaTheme="minorHAnsi"/>
        </w:rPr>
        <w:t xml:space="preserve"> </w:t>
      </w:r>
    </w:p>
    <w:p w14:paraId="6223CF7E" w14:textId="20DC3E2F" w:rsidR="00410E03" w:rsidRDefault="00410E03" w:rsidP="00520273">
      <w:pPr>
        <w:rPr>
          <w:rFonts w:eastAsiaTheme="minorHAnsi"/>
        </w:rPr>
      </w:pPr>
      <w:r w:rsidRPr="00D95163">
        <w:rPr>
          <w:rFonts w:eastAsiaTheme="minorHAnsi"/>
          <w:b/>
        </w:rPr>
        <w:t xml:space="preserve">The extent to which clusters of cultural amenities attract and support employees and entrepreneurs who are key to economic growth and innovation warrants further investigation, given the above evidence of the importance of place quality and particular cultural facilities </w:t>
      </w:r>
      <w:r w:rsidRPr="00D95163">
        <w:rPr>
          <w:rFonts w:eastAsiaTheme="minorHAnsi"/>
        </w:rPr>
        <w:t xml:space="preserve">(see </w:t>
      </w:r>
      <w:r>
        <w:rPr>
          <w:rFonts w:eastAsiaTheme="minorHAnsi"/>
        </w:rPr>
        <w:t xml:space="preserve">Bakhshi et al, 2013 </w:t>
      </w:r>
      <w:r w:rsidR="0098561B">
        <w:rPr>
          <w:rFonts w:eastAsiaTheme="minorHAnsi"/>
        </w:rPr>
        <w:t>– discussed</w:t>
      </w:r>
      <w:r w:rsidR="0098561B" w:rsidRPr="00E427C2">
        <w:rPr>
          <w:rFonts w:eastAsiaTheme="minorHAnsi"/>
        </w:rPr>
        <w:t xml:space="preserve"> </w:t>
      </w:r>
      <w:r w:rsidRPr="00E427C2">
        <w:rPr>
          <w:rFonts w:eastAsiaTheme="minorHAnsi"/>
        </w:rPr>
        <w:t>below).</w:t>
      </w:r>
    </w:p>
    <w:p w14:paraId="1B6922AF" w14:textId="32A66947" w:rsidR="00410E03" w:rsidRPr="00C22D20" w:rsidRDefault="00410E03" w:rsidP="00520273">
      <w:pPr>
        <w:pStyle w:val="Heading3Numbered"/>
      </w:pPr>
      <w:bookmarkStart w:id="93" w:name="_Toc464222931"/>
      <w:r w:rsidRPr="00C22D20">
        <w:t>Creative Cit</w:t>
      </w:r>
      <w:r>
        <w:t>i</w:t>
      </w:r>
      <w:r w:rsidRPr="00C22D20">
        <w:t>es and Spaces</w:t>
      </w:r>
      <w:bookmarkEnd w:id="93"/>
    </w:p>
    <w:p w14:paraId="2B6446FA" w14:textId="3C4A50C4" w:rsidR="00410E03" w:rsidRDefault="00410E03" w:rsidP="00520273">
      <w:pPr>
        <w:rPr>
          <w:rFonts w:eastAsiaTheme="minorHAnsi"/>
          <w:b/>
        </w:rPr>
      </w:pPr>
      <w:r w:rsidRPr="008B7D88">
        <w:t xml:space="preserve">The importance of urban amenities, access to nature and historic </w:t>
      </w:r>
      <w:r>
        <w:t xml:space="preserve">building </w:t>
      </w:r>
      <w:r w:rsidRPr="008B7D88">
        <w:t xml:space="preserve">character was </w:t>
      </w:r>
      <w:r>
        <w:t>also stressed in a D</w:t>
      </w:r>
      <w:r w:rsidRPr="008B7D88">
        <w:t xml:space="preserve">utch national study of </w:t>
      </w:r>
      <w:r w:rsidR="00462A16" w:rsidRPr="00462A16">
        <w:t>Creative Class</w:t>
      </w:r>
      <w:r w:rsidR="00462A16" w:rsidRPr="008B7D88">
        <w:t xml:space="preserve"> </w:t>
      </w:r>
      <w:r w:rsidRPr="008B7D88">
        <w:t xml:space="preserve">concentration and economic growth. Marlet and Woerkens </w:t>
      </w:r>
      <w:r>
        <w:t>(</w:t>
      </w:r>
      <w:r w:rsidRPr="008B7D88">
        <w:t>2005</w:t>
      </w:r>
      <w:r>
        <w:t>)</w:t>
      </w:r>
      <w:r w:rsidRPr="008B7D88">
        <w:t xml:space="preserve"> found that Florida’s </w:t>
      </w:r>
      <w:r w:rsidR="00462A16" w:rsidRPr="008B7D88">
        <w:rPr>
          <w:rFonts w:eastAsiaTheme="minorHAnsi"/>
        </w:rPr>
        <w:t xml:space="preserve">Creative Class Index </w:t>
      </w:r>
      <w:r w:rsidRPr="008B7D88">
        <w:rPr>
          <w:rFonts w:eastAsiaTheme="minorHAnsi"/>
        </w:rPr>
        <w:t>empirically failed</w:t>
      </w:r>
      <w:r>
        <w:rPr>
          <w:rFonts w:eastAsiaTheme="minorHAnsi"/>
        </w:rPr>
        <w:t xml:space="preserve"> to materialize for the </w:t>
      </w:r>
      <w:r w:rsidRPr="008B7D88">
        <w:rPr>
          <w:rFonts w:eastAsiaTheme="minorHAnsi"/>
        </w:rPr>
        <w:t xml:space="preserve">Netherlands, whilst the aesthetic assets of cities were found to provide a strong explanation for both share and growth of the creative class in Dutch cities, concluding that job opportunities and urban amenities </w:t>
      </w:r>
      <w:r>
        <w:rPr>
          <w:rFonts w:eastAsiaTheme="minorHAnsi"/>
        </w:rPr>
        <w:t xml:space="preserve">(including cultural venues) </w:t>
      </w:r>
      <w:r w:rsidRPr="008B7D88">
        <w:rPr>
          <w:rFonts w:eastAsiaTheme="minorHAnsi"/>
        </w:rPr>
        <w:t>are still the most important factors influencing the choice for a place of residence.</w:t>
      </w:r>
      <w:r>
        <w:rPr>
          <w:rFonts w:eastAsiaTheme="minorHAnsi"/>
        </w:rPr>
        <w:t xml:space="preserve"> Whilst the </w:t>
      </w:r>
      <w:r w:rsidRPr="00ED2381">
        <w:rPr>
          <w:rFonts w:eastAsiaTheme="minorHAnsi"/>
        </w:rPr>
        <w:t>Creative Class thesis is focused on economic growth and innovation in the knowledge economy (rather than arts and culture and the cultural economy), Florida’s Creative Class Index ranks certain factors and conditions which attract/retain and influence firm growth (his three T’s of Tolerance, Technology and Talent). It therefore combines human capital theory with a new take on place-based/location/cluster theory</w:t>
      </w:r>
      <w:r>
        <w:rPr>
          <w:rFonts w:eastAsiaTheme="minorHAnsi"/>
        </w:rPr>
        <w:t xml:space="preserve">, generally applied at </w:t>
      </w:r>
      <w:r w:rsidRPr="00ED2381">
        <w:rPr>
          <w:rFonts w:eastAsiaTheme="minorHAnsi"/>
        </w:rPr>
        <w:t xml:space="preserve">MSA/city scale. In reviews of the </w:t>
      </w:r>
      <w:r w:rsidRPr="00C80488">
        <w:rPr>
          <w:rFonts w:eastAsiaTheme="minorHAnsi"/>
        </w:rPr>
        <w:t>Creative Class</w:t>
      </w:r>
      <w:r w:rsidRPr="00ED2381">
        <w:rPr>
          <w:rFonts w:eastAsiaTheme="minorHAnsi"/>
        </w:rPr>
        <w:t xml:space="preserve"> model (Evans, 2009), as applied in Europe, Scandinavia and in the USA, correlations and exogeneity were found to be high (Glaeser, 2004), i.e. they have weak explanatory power and proof of causality, with education/skills and job opportunities the over-riding factors attributed to growth and innovation in most cases. </w:t>
      </w:r>
      <w:r w:rsidRPr="00D95163">
        <w:rPr>
          <w:rFonts w:eastAsiaTheme="minorHAnsi"/>
        </w:rPr>
        <w:t xml:space="preserve">In European regions (NUTS3) </w:t>
      </w:r>
      <w:r w:rsidRPr="00D95163">
        <w:t xml:space="preserve">the Creative Class groups were unevenly distributed across the EU, with </w:t>
      </w:r>
      <w:r>
        <w:t xml:space="preserve">Florida’s </w:t>
      </w:r>
      <w:r w:rsidRPr="00D95163">
        <w:t xml:space="preserve">Bohemian, Openness and </w:t>
      </w:r>
      <w:r w:rsidRPr="00C80488">
        <w:t xml:space="preserve">Public </w:t>
      </w:r>
      <w:r w:rsidR="00462A16">
        <w:t>P</w:t>
      </w:r>
      <w:r w:rsidRPr="00C80488">
        <w:t>rovision</w:t>
      </w:r>
      <w:r w:rsidRPr="00D95163">
        <w:t xml:space="preserve"> indices the most </w:t>
      </w:r>
      <w:r w:rsidRPr="00242FD1">
        <w:t>significant factors</w:t>
      </w:r>
      <w:r w:rsidRPr="00242FD1">
        <w:rPr>
          <w:rFonts w:eastAsiaTheme="minorHAnsi"/>
          <w:b/>
        </w:rPr>
        <w:t xml:space="preserve"> </w:t>
      </w:r>
      <w:r w:rsidRPr="00242FD1">
        <w:rPr>
          <w:rFonts w:eastAsiaTheme="minorHAnsi"/>
        </w:rPr>
        <w:t>correlating with economic growth.</w:t>
      </w:r>
      <w:r w:rsidRPr="00242FD1">
        <w:rPr>
          <w:rFonts w:eastAsiaTheme="minorHAnsi"/>
          <w:b/>
        </w:rPr>
        <w:t xml:space="preserve"> </w:t>
      </w:r>
      <w:r w:rsidRPr="00242FD1">
        <w:rPr>
          <w:rFonts w:eastAsiaTheme="minorHAnsi"/>
        </w:rPr>
        <w:t>In UK</w:t>
      </w:r>
      <w:r w:rsidRPr="00242FD1">
        <w:rPr>
          <w:rFonts w:eastAsiaTheme="minorHAnsi"/>
          <w:b/>
        </w:rPr>
        <w:t xml:space="preserve"> </w:t>
      </w:r>
      <w:r w:rsidRPr="00242FD1">
        <w:t>NUTS3 regions (n=97), distribution was also uneven, but appeared to support Creative Class growth effects (per USA) but not in hi-tech employment growth.</w:t>
      </w:r>
      <w:r w:rsidRPr="00242FD1">
        <w:rPr>
          <w:rFonts w:eastAsiaTheme="minorHAnsi"/>
          <w:b/>
        </w:rPr>
        <w:t xml:space="preserve"> </w:t>
      </w:r>
      <w:r w:rsidRPr="001D6F98">
        <w:rPr>
          <w:rFonts w:eastAsiaTheme="minorHAnsi"/>
        </w:rPr>
        <w:t xml:space="preserve">In the UK (DTI, 2004) there was found to be </w:t>
      </w:r>
      <w:r w:rsidRPr="001D6F98">
        <w:t>no correlation of the Creative Class with productivity or innovation growth, whilst in several countries</w:t>
      </w:r>
      <w:r w:rsidRPr="001D6F98">
        <w:rPr>
          <w:rFonts w:eastAsiaTheme="minorHAnsi"/>
        </w:rPr>
        <w:t xml:space="preserve"> (Denmark, Netherlands), urban amenities and quality of place were important growth factors.</w:t>
      </w:r>
    </w:p>
    <w:p w14:paraId="45718531" w14:textId="3EFCCB68" w:rsidR="00410E03" w:rsidRDefault="00410E03" w:rsidP="00520273">
      <w:pPr>
        <w:rPr>
          <w:rFonts w:eastAsiaTheme="minorHAnsi"/>
        </w:rPr>
      </w:pPr>
      <w:r>
        <w:rPr>
          <w:rFonts w:eastAsiaTheme="minorHAnsi"/>
        </w:rPr>
        <w:t xml:space="preserve">In an international comparative study of creative spaces/industry policies and strategies (n=130) carried out for Creative London (LDA) and Metro Toronto/Ontario Province (Evans, 2009c) the prime rationales for public investment and policy formation were, not surprisingly, economic development/job creation, followed by infrastructure and regeneration, tourism/branding and less so social and heritage impacts (although heritage was more important in smaller cities). However, art form/cultural sectors prioritised were the more traditional arts </w:t>
      </w:r>
      <w:r w:rsidR="00462A16">
        <w:rPr>
          <w:rFonts w:eastAsiaTheme="minorHAnsi"/>
        </w:rPr>
        <w:t xml:space="preserve">and </w:t>
      </w:r>
      <w:r>
        <w:rPr>
          <w:rFonts w:eastAsiaTheme="minorHAnsi"/>
        </w:rPr>
        <w:t xml:space="preserve">cultural industries of visual /performing arts, film (including location, studios), architecture, music (especially smaller cities) and design, i.e. culture that is a feature of CS&amp;H facilities, with tourism and </w:t>
      </w:r>
      <w:r w:rsidR="00AD6B47">
        <w:rPr>
          <w:rFonts w:eastAsiaTheme="minorHAnsi"/>
        </w:rPr>
        <w:t>placemaking</w:t>
      </w:r>
      <w:r>
        <w:rPr>
          <w:rFonts w:eastAsiaTheme="minorHAnsi"/>
        </w:rPr>
        <w:t xml:space="preserve"> key agendas for these established and prospective creative cities </w:t>
      </w:r>
      <w:r w:rsidR="00462A16">
        <w:rPr>
          <w:rFonts w:eastAsiaTheme="minorHAnsi"/>
        </w:rPr>
        <w:t xml:space="preserve">– </w:t>
      </w:r>
      <w:r>
        <w:rPr>
          <w:rFonts w:eastAsiaTheme="minorHAnsi"/>
        </w:rPr>
        <w:t xml:space="preserve">large and small. This is consonant with what leading economic geographer Allen Scott has identified as the ‘cognitive-cultural’ city economy (2014) with a combination of comparative and competitive advantages; production/job opportunities; networks and clusters driving the post-industrial growth machines of creative cities. </w:t>
      </w:r>
    </w:p>
    <w:p w14:paraId="7F47B3F0" w14:textId="77777777" w:rsidR="00410E03" w:rsidRDefault="00410E03" w:rsidP="00520273">
      <w:pPr>
        <w:rPr>
          <w:rFonts w:eastAsiaTheme="minorHAnsi"/>
        </w:rPr>
      </w:pPr>
      <w:r w:rsidRPr="00591B91">
        <w:rPr>
          <w:rFonts w:eastAsiaTheme="minorHAnsi"/>
          <w:b/>
        </w:rPr>
        <w:t>Cultural content for the</w:t>
      </w:r>
      <w:r>
        <w:rPr>
          <w:rFonts w:eastAsiaTheme="minorHAnsi"/>
          <w:b/>
        </w:rPr>
        <w:t xml:space="preserve"> new digital media industries i</w:t>
      </w:r>
      <w:r w:rsidRPr="00591B91">
        <w:rPr>
          <w:rFonts w:eastAsiaTheme="minorHAnsi"/>
          <w:b/>
        </w:rPr>
        <w:t>s seen to be very important and therefore the importance</w:t>
      </w:r>
      <w:r>
        <w:rPr>
          <w:rFonts w:eastAsiaTheme="minorHAnsi"/>
          <w:b/>
        </w:rPr>
        <w:t xml:space="preserve"> of place and creative spaces i</w:t>
      </w:r>
      <w:r w:rsidRPr="00591B91">
        <w:rPr>
          <w:rFonts w:eastAsiaTheme="minorHAnsi"/>
          <w:b/>
        </w:rPr>
        <w:t>s consistent with developing city growth from the knowledge and digital economies.</w:t>
      </w:r>
      <w:r>
        <w:rPr>
          <w:rFonts w:eastAsiaTheme="minorHAnsi"/>
          <w:b/>
        </w:rPr>
        <w:t xml:space="preserve"> This includes key ‘client’ sectors such a </w:t>
      </w:r>
      <w:proofErr w:type="gramStart"/>
      <w:r>
        <w:rPr>
          <w:rFonts w:eastAsiaTheme="minorHAnsi"/>
          <w:b/>
        </w:rPr>
        <w:t>bio-tech</w:t>
      </w:r>
      <w:proofErr w:type="gramEnd"/>
      <w:r>
        <w:rPr>
          <w:rFonts w:eastAsiaTheme="minorHAnsi"/>
          <w:b/>
        </w:rPr>
        <w:t xml:space="preserve"> and health sciences.</w:t>
      </w:r>
    </w:p>
    <w:p w14:paraId="2D04C870" w14:textId="0B371B2B" w:rsidR="00410E03" w:rsidRPr="00041627" w:rsidRDefault="00410E03" w:rsidP="00520273">
      <w:pPr>
        <w:pStyle w:val="Heading2Numbered"/>
      </w:pPr>
      <w:bookmarkStart w:id="94" w:name="_Ref464198587"/>
      <w:bookmarkStart w:id="95" w:name="_Toc464222932"/>
      <w:r w:rsidRPr="00041627">
        <w:t>Clusters</w:t>
      </w:r>
      <w:bookmarkEnd w:id="94"/>
      <w:bookmarkEnd w:id="95"/>
    </w:p>
    <w:p w14:paraId="2B8A377F" w14:textId="3E3DA332" w:rsidR="00410E03" w:rsidRDefault="00410E03" w:rsidP="00520273">
      <w:r w:rsidRPr="00CE3EC7">
        <w:t xml:space="preserve">The concept of </w:t>
      </w:r>
      <w:r w:rsidR="00B6704F">
        <w:t>c</w:t>
      </w:r>
      <w:r>
        <w:t>lusters in e</w:t>
      </w:r>
      <w:r w:rsidRPr="00CE3EC7">
        <w:t xml:space="preserve">conomics </w:t>
      </w:r>
      <w:r>
        <w:t>originates</w:t>
      </w:r>
      <w:r w:rsidRPr="00CE3EC7">
        <w:t xml:space="preserve"> from agglomeration theory</w:t>
      </w:r>
      <w:r>
        <w:t xml:space="preserve"> (Marshall, late-1890s</w:t>
      </w:r>
      <w:proofErr w:type="gramStart"/>
      <w:r>
        <w:t>) which</w:t>
      </w:r>
      <w:proofErr w:type="gramEnd"/>
      <w:r>
        <w:t xml:space="preserve"> associates the co-location of (competing) firms, skilled labour and infrastructure support with innovation and firm growth. Physical proximities are both efficient and facilitate tacit and codified knowledge spillovers through formal and, importantly, informal networks. This has manifested in manufacturing as observed by Marshall in the steel towns of Sheffield and Songinen (Potter &amp; Watts, 2012); in craft-based production in Italy’s Emilia </w:t>
      </w:r>
      <w:r w:rsidRPr="00A0134A">
        <w:t>Romagna</w:t>
      </w:r>
      <w:r>
        <w:t xml:space="preserve"> region linked to the showcase provided by Milan (providing what Porter suggests is essential in economic clusters – international pipelines and market access); to Hollywood’s interdependent film/digital/jewellery/fashion clusters (Scott, 2000) and today’s hi-tech and digital clusters of Silicon Valley and Silicon Roundabout in London. In an in depth study of New York’s fashion cluster (Rantisi, 2002)</w:t>
      </w:r>
      <w:r w:rsidR="00061257">
        <w:t>,</w:t>
      </w:r>
      <w:r>
        <w:t xml:space="preserve"> a cultural-creative production chain was established between art museums, specialist colleges, retail, advertising, publishing and specific design and production clusters </w:t>
      </w:r>
      <w:r w:rsidR="00061257">
        <w:t xml:space="preserve">– </w:t>
      </w:r>
      <w:r>
        <w:t xml:space="preserve">from haute couture to start-ups and sweatshops, and from boutique, fashion shows to high street and street culture. </w:t>
      </w:r>
    </w:p>
    <w:p w14:paraId="724AABA4" w14:textId="7F1919EA" w:rsidR="00410E03" w:rsidRDefault="00410E03" w:rsidP="00131F29">
      <w:r>
        <w:t xml:space="preserve">CEBR’s study of the contribution of arts </w:t>
      </w:r>
      <w:r w:rsidR="00061257">
        <w:t xml:space="preserve">and </w:t>
      </w:r>
      <w:r>
        <w:t xml:space="preserve">culture to the UK economy (2013) reported some evidence of wider impacts felt by industries co-located with creative clusters, however this evidence is not yet robust, limited to a few small scale studies of the links between talent and supply chain benefits between arts/culture and creative industries. As the AHRC </w:t>
      </w:r>
      <w:r w:rsidRPr="00C80488">
        <w:rPr>
          <w:i/>
        </w:rPr>
        <w:t xml:space="preserve">Cultural </w:t>
      </w:r>
      <w:r w:rsidR="00061257" w:rsidRPr="00C80488">
        <w:rPr>
          <w:i/>
        </w:rPr>
        <w:t>Values</w:t>
      </w:r>
      <w:r w:rsidR="00061257">
        <w:t xml:space="preserve"> </w:t>
      </w:r>
      <w:r>
        <w:t>report noted</w:t>
      </w:r>
      <w:r w:rsidR="00061257">
        <w:t>,</w:t>
      </w:r>
      <w:r>
        <w:t xml:space="preserve"> </w:t>
      </w:r>
      <w:r w:rsidR="00061257">
        <w:t>“</w:t>
      </w:r>
      <w:r>
        <w:t>more attention needs to be given to the ways in which arts and culture feeds into the creative industries and supports the innovation system’ (</w:t>
      </w:r>
      <w:r w:rsidR="00061257">
        <w:t xml:space="preserve">AHRC, </w:t>
      </w:r>
      <w:r>
        <w:t xml:space="preserve">2016) or ‘ecosystem’. </w:t>
      </w:r>
    </w:p>
    <w:p w14:paraId="7904A821" w14:textId="01042FBB" w:rsidR="00410E03" w:rsidRDefault="00410E03" w:rsidP="00224A2D">
      <w:r w:rsidRPr="000D5459">
        <w:rPr>
          <w:b/>
        </w:rPr>
        <w:t>Some CS&amp;H assets form part of economic clusters in generating innovation and growth within their own organisation as part of a cultural ecosystem or creative production chain involving other enterprises and entrepreneurs. Evidence of this is however lacking, largely because this role has not been researched or considered, outside specific creative industry clusters.</w:t>
      </w:r>
      <w:r>
        <w:t xml:space="preserve"> </w:t>
      </w:r>
      <w:r w:rsidRPr="00F86D2B">
        <w:rPr>
          <w:b/>
        </w:rPr>
        <w:t>Our data modelling may however reveal where cultural assets correlate with places where economic and creative industries growth is evident</w:t>
      </w:r>
      <w:r>
        <w:rPr>
          <w:b/>
        </w:rPr>
        <w:t>. This could go towards filling</w:t>
      </w:r>
      <w:r w:rsidR="00A033C6">
        <w:rPr>
          <w:b/>
        </w:rPr>
        <w:t xml:space="preserve"> </w:t>
      </w:r>
      <w:r>
        <w:rPr>
          <w:b/>
        </w:rPr>
        <w:t>this knowledge gap.</w:t>
      </w:r>
      <w:r>
        <w:t xml:space="preserve"> </w:t>
      </w:r>
    </w:p>
    <w:p w14:paraId="6801124A" w14:textId="778AB320" w:rsidR="00410E03" w:rsidRDefault="00410E03" w:rsidP="00520273">
      <w:r>
        <w:t xml:space="preserve">At the same time, physical clustering is a feature of urban planning at regional, city and local area levels which are seen to support a visitor economy (local, domestic, international), and ‘carrying capacity’ to absorb and retain visitors, consumers and a range of cultural amenities. This range and diversity can in itself enhance a place and produce ‘cultural spillovers’ including firm innovation and growth in the locality. This is seen in the area around the Guggenheim Bilbao where numerous galleries, dealers and showrooms have located or relocated, in order to further shape this regeneration place and its association with modern art (Plaza, 2009 in </w:t>
      </w:r>
      <w:r w:rsidRPr="004B496E">
        <w:rPr>
          <w:i/>
        </w:rPr>
        <w:t>Art of the Possible</w:t>
      </w:r>
      <w:r>
        <w:t xml:space="preserve">, 2010: 16-20). This phenomenon is also seen in the case of art gallery location in Manhattan (Schuetz, 2013a&amp;b). This study used spatial data analysis and changes in land-use and building characteristics over time, together with the presence of historic, museums, park and transport amenities in each area. Regression analysis found that art galleries were attracted to neighbourhoods with amenities and physical characteristics such as historic buildings, museums and parks and commercial zoning, as well the presence of other galleries. In a separate study of Manhattan’s gallery scene, Molotch &amp; Treskon (2009) found that new hubs such as Chelsea and declining gallery clusters in SoHo were influenced not by the oft-cited gentrification and property price rise cycle, but by the external art market and specific </w:t>
      </w:r>
      <w:r w:rsidR="00AD6B47">
        <w:t>placemaking</w:t>
      </w:r>
      <w:r>
        <w:t xml:space="preserve"> associated with these spaces that did not depend on proximity to either artists or buyers (the study used location, rent and sales data over a 17 year period). This gallery district has been designated by the city as an arts district ‘to encourage and support the growth of arts-related uses’.</w:t>
      </w:r>
    </w:p>
    <w:p w14:paraId="63AFA4F4" w14:textId="1F06D3B1" w:rsidR="00410E03" w:rsidRDefault="00410E03" w:rsidP="00520273">
      <w:r>
        <w:t xml:space="preserve">Clusters or ‘assemblages’ within cities can also be perceived as ‘scenes’ creating a particular </w:t>
      </w:r>
      <w:proofErr w:type="gramStart"/>
      <w:r>
        <w:t>buzz which</w:t>
      </w:r>
      <w:proofErr w:type="gramEnd"/>
      <w:r>
        <w:t xml:space="preserve"> can attract a particular kind of visitor/tourist, creative worker or entrepreneur. What creates and makes up these scenes has been analysed by sociologists and cultural geographers (Silver, nd). These formations are said to bring a tangible cultural “value added” to deprived communities, as well as feed the knowledge economy with innovation and “buzz” (Bathelt, Malmberg &amp; Maskell, 2004), and its hunger for content. This is evident in sectors such as advertising, financial services, fashion and music which draw inspiration from street culture and street life, a direct benefit of co-location.</w:t>
      </w:r>
      <w:r w:rsidR="00A033C6">
        <w:t xml:space="preserve"> </w:t>
      </w:r>
      <w:r>
        <w:t>It is no accident that there is a high correlation and co-location between these cultural and non-cultural sectors in creative clusters (Freeman, 2010).</w:t>
      </w:r>
      <w:r w:rsidR="00A033C6">
        <w:t xml:space="preserve"> </w:t>
      </w:r>
    </w:p>
    <w:p w14:paraId="1F741EBA" w14:textId="63F3EF50" w:rsidR="00410E03" w:rsidRDefault="00410E03" w:rsidP="00520273">
      <w:r>
        <w:t xml:space="preserve">Clusters are also identified with heritage – whether historic architectural, monuments or collections such as museums. Examples include museum quarters, historic quarters including parks and gardens. These undoubtedly contribute to a sense of place and place brand, measured in terms of usage/visitors and associated economic impacts, and in amenity value terms (estimated through contingent valuation and relative property values). Local amenities not necessarily associated with formal heritage or historic designation would also generate positive valuation as a community asset. These include post-industrial areas that have served as the basis for contemporary cultural and creative production. Case study examples are numerous but largely descriptive </w:t>
      </w:r>
      <w:r w:rsidR="000E54CC">
        <w:t xml:space="preserve">– </w:t>
      </w:r>
      <w:r>
        <w:t xml:space="preserve">estimating outputs and visitor data (see </w:t>
      </w:r>
      <w:r w:rsidRPr="00464460">
        <w:rPr>
          <w:i/>
        </w:rPr>
        <w:t>Cultural Quarters</w:t>
      </w:r>
      <w:r>
        <w:t xml:space="preserve">, Roodhouse, 2010) but </w:t>
      </w:r>
      <w:proofErr w:type="gramStart"/>
      <w:r>
        <w:t>seldom sustained</w:t>
      </w:r>
      <w:proofErr w:type="gramEnd"/>
      <w:r>
        <w:t xml:space="preserve"> impacts beyond snapshot EIA studies. There is longitudinal evidence however that historic quarters serve as the site for heritage, cultural and now creative-digital clusters, suggesting that there are local conditions that are both symbolic, physical (building types, character, connectivity) and economic (Evans, 2004, 2009cd).</w:t>
      </w:r>
    </w:p>
    <w:p w14:paraId="44CB91FF" w14:textId="77777777" w:rsidR="00410E03" w:rsidRDefault="00410E03" w:rsidP="00520273"/>
    <w:tbl>
      <w:tblPr>
        <w:tblStyle w:val="TableGrid"/>
        <w:tblW w:w="0" w:type="auto"/>
        <w:tblInd w:w="108" w:type="dxa"/>
        <w:tblLook w:val="04A0" w:firstRow="1" w:lastRow="0" w:firstColumn="1" w:lastColumn="0" w:noHBand="0" w:noVBand="1"/>
      </w:tblPr>
      <w:tblGrid>
        <w:gridCol w:w="9178"/>
      </w:tblGrid>
      <w:tr w:rsidR="00410E03" w14:paraId="1A26EFA7" w14:textId="77777777" w:rsidTr="00121553">
        <w:tc>
          <w:tcPr>
            <w:tcW w:w="9178" w:type="dxa"/>
          </w:tcPr>
          <w:p w14:paraId="50ACC7F7" w14:textId="6965DED2" w:rsidR="00410E03" w:rsidRDefault="000E54CC" w:rsidP="00520273">
            <w:r>
              <w:t>I</w:t>
            </w:r>
            <w:r w:rsidR="00410E03">
              <w:t xml:space="preserve">n </w:t>
            </w:r>
            <w:r>
              <w:t xml:space="preserve">a </w:t>
            </w:r>
            <w:r w:rsidR="00410E03">
              <w:t>study</w:t>
            </w:r>
            <w:r>
              <w:t xml:space="preserve"> of </w:t>
            </w:r>
            <w:r w:rsidRPr="000E54CC">
              <w:t>Nottingham’s Lace Quarter</w:t>
            </w:r>
            <w:r w:rsidR="00410E03">
              <w:t>, Shorthouse (2004) conducted a survey of local business and visitors. The importance of their location in this heritage cultural quarter was found to be high:</w:t>
            </w:r>
          </w:p>
          <w:p w14:paraId="0F8030E4" w14:textId="77777777" w:rsidR="00410E03" w:rsidRDefault="00410E03" w:rsidP="006751CE">
            <w:pPr>
              <w:numPr>
                <w:ilvl w:val="0"/>
                <w:numId w:val="58"/>
              </w:numPr>
            </w:pPr>
            <w:r>
              <w:t>67% rated as important to crucial for their business</w:t>
            </w:r>
          </w:p>
          <w:p w14:paraId="43E04C5B" w14:textId="77777777" w:rsidR="00410E03" w:rsidRDefault="00410E03" w:rsidP="006751CE">
            <w:pPr>
              <w:numPr>
                <w:ilvl w:val="0"/>
                <w:numId w:val="58"/>
              </w:numPr>
            </w:pPr>
            <w:r>
              <w:t>61% rated as important to crucial for their business the capacity for meeting and networking with suppliers, collaborators, competitors</w:t>
            </w:r>
          </w:p>
          <w:p w14:paraId="0EDE1B60" w14:textId="177F49AF" w:rsidR="00410E03" w:rsidRDefault="00410E03" w:rsidP="006751CE">
            <w:pPr>
              <w:numPr>
                <w:ilvl w:val="0"/>
                <w:numId w:val="58"/>
              </w:numPr>
            </w:pPr>
            <w:r>
              <w:t>70% as a location</w:t>
            </w:r>
            <w:r w:rsidR="00A033C6">
              <w:t xml:space="preserve"> </w:t>
            </w:r>
            <w:r>
              <w:t>for business and social interaction</w:t>
            </w:r>
          </w:p>
          <w:p w14:paraId="79CCDCF5" w14:textId="77777777" w:rsidR="00410E03" w:rsidRDefault="00410E03" w:rsidP="006751CE">
            <w:pPr>
              <w:numPr>
                <w:ilvl w:val="0"/>
                <w:numId w:val="58"/>
              </w:numPr>
            </w:pPr>
            <w:r>
              <w:t>74% rated as important to crucial for their business the attractiveness of the built environment</w:t>
            </w:r>
          </w:p>
          <w:p w14:paraId="43458DDA" w14:textId="77777777" w:rsidR="00410E03" w:rsidRDefault="00410E03" w:rsidP="006751CE">
            <w:pPr>
              <w:numPr>
                <w:ilvl w:val="0"/>
                <w:numId w:val="58"/>
              </w:numPr>
            </w:pPr>
            <w:r>
              <w:t>50% rated as important to crucial for their business the proximity of arts and cultural institutions.</w:t>
            </w:r>
          </w:p>
          <w:p w14:paraId="59EF1E6E" w14:textId="77777777" w:rsidR="00410E03" w:rsidRDefault="00410E03" w:rsidP="006751CE">
            <w:pPr>
              <w:numPr>
                <w:ilvl w:val="0"/>
                <w:numId w:val="58"/>
              </w:numPr>
            </w:pPr>
            <w:r>
              <w:t>Over 90% of users/visitors agreed that it adds vitality to the city centre area; 94% that its heritage quality makes it an attractive place; and 90% rated it good for socialising</w:t>
            </w:r>
          </w:p>
          <w:p w14:paraId="5E5FBEC8" w14:textId="77777777" w:rsidR="000E54CC" w:rsidRDefault="000E54CC" w:rsidP="00520273"/>
        </w:tc>
      </w:tr>
    </w:tbl>
    <w:p w14:paraId="62C489D8" w14:textId="77777777" w:rsidR="00410E03" w:rsidRDefault="00410E03" w:rsidP="00131F29"/>
    <w:p w14:paraId="28E91BCE" w14:textId="2AF5E516" w:rsidR="00410E03" w:rsidRDefault="000E54CC" w:rsidP="00224A2D">
      <w:r>
        <w:t>A</w:t>
      </w:r>
      <w:r w:rsidRPr="000E54CC">
        <w:t xml:space="preserve"> study of</w:t>
      </w:r>
      <w:r>
        <w:t xml:space="preserve"> the</w:t>
      </w:r>
      <w:r w:rsidR="00410E03">
        <w:t xml:space="preserve"> impact of Heritage Lottery funded projects (n=10) </w:t>
      </w:r>
      <w:r>
        <w:t xml:space="preserve">on </w:t>
      </w:r>
      <w:r w:rsidR="00410E03">
        <w:t>the local economy considered project expenditure and impacts as well as from visitor activity (GHK, 2010). Across the ten projects which had received over £250,000 HLF funding and completed by 2008, expenditure supported 159 job years in local</w:t>
      </w:r>
      <w:r>
        <w:t xml:space="preserve"> economies</w:t>
      </w:r>
      <w:r w:rsidR="00410E03">
        <w:t xml:space="preserve"> and 750 in regional economies, enhancing GVA by £33.9m in total. Ongoing outputs were found to support 120 FTE jobs locally, 170 regionally, with ongoing GVA estimated at £3.2m locally and £4.7</w:t>
      </w:r>
      <w:r>
        <w:t>m</w:t>
      </w:r>
      <w:r w:rsidR="00410E03">
        <w:t xml:space="preserve"> regionally, after adjusting for additionality, leakage, </w:t>
      </w:r>
      <w:proofErr w:type="gramStart"/>
      <w:r w:rsidR="00410E03">
        <w:t>deadweight</w:t>
      </w:r>
      <w:proofErr w:type="gramEnd"/>
      <w:r w:rsidR="00410E03">
        <w:t xml:space="preserve"> and substitution effects.</w:t>
      </w:r>
    </w:p>
    <w:p w14:paraId="631068AB" w14:textId="7D03A563" w:rsidR="00410E03" w:rsidRPr="00C702DC" w:rsidRDefault="00410E03" w:rsidP="00520273">
      <w:pPr>
        <w:pStyle w:val="Heading3Numbered"/>
      </w:pPr>
      <w:bookmarkStart w:id="96" w:name="_Toc464222933"/>
      <w:r>
        <w:t>District Clusters</w:t>
      </w:r>
      <w:bookmarkEnd w:id="96"/>
    </w:p>
    <w:p w14:paraId="078C4C61" w14:textId="366249A5" w:rsidR="00410E03" w:rsidRDefault="00410E03" w:rsidP="00520273">
      <w:r>
        <w:t xml:space="preserve">Clusters of cultural amenities with economic and social impacts have been identified at the district/borough level, for example in the case of the City of London Arts &amp; Cultural cluster. In a study commissioned by the City of London Economic Development unit (BOP, 2013), an extensive assessment of this borough’s </w:t>
      </w:r>
      <w:r w:rsidR="006A5B4E">
        <w:t xml:space="preserve">cultural heritage, performing arts/events and visual arts </w:t>
      </w:r>
      <w:r>
        <w:t>facilities and programmes was undertaken.</w:t>
      </w:r>
    </w:p>
    <w:p w14:paraId="2C5ADA10" w14:textId="77777777" w:rsidR="00410E03" w:rsidRDefault="00410E03" w:rsidP="00520273"/>
    <w:tbl>
      <w:tblPr>
        <w:tblStyle w:val="TableGrid"/>
        <w:tblW w:w="0" w:type="auto"/>
        <w:tblInd w:w="108" w:type="dxa"/>
        <w:tblLook w:val="04A0" w:firstRow="1" w:lastRow="0" w:firstColumn="1" w:lastColumn="0" w:noHBand="0" w:noVBand="1"/>
      </w:tblPr>
      <w:tblGrid>
        <w:gridCol w:w="9178"/>
      </w:tblGrid>
      <w:tr w:rsidR="00410E03" w14:paraId="3FA44197" w14:textId="77777777" w:rsidTr="00121553">
        <w:tc>
          <w:tcPr>
            <w:tcW w:w="9178" w:type="dxa"/>
          </w:tcPr>
          <w:p w14:paraId="6085A0A1" w14:textId="1F997515" w:rsidR="00410E03" w:rsidRDefault="00410E03" w:rsidP="006A5B4E">
            <w:r>
              <w:t xml:space="preserve">This study </w:t>
            </w:r>
            <w:r w:rsidR="006A5B4E">
              <w:t xml:space="preserve">of the </w:t>
            </w:r>
            <w:r w:rsidR="006A5B4E" w:rsidRPr="006A5B4E">
              <w:t xml:space="preserve">City of London Art &amp; Cultural cluster </w:t>
            </w:r>
            <w:r>
              <w:t xml:space="preserve">looked at economic, social and cultural impacts from the combined range of cultural facilities in the City of London. This cluster was found to produce £225m (net of ‘additionality’) of GVA (total ‘additional’ revenues less operating costs) and supported over 6,700 FTE jobs. Indirect impacts were calculated based on organisational spend across 11 industry sectors. This analysis was based financial data from cultural organisations, and an audience spending survey. Social impacts were based on aggregate data on volunteering, educational and outreach activities from organisations and </w:t>
            </w:r>
            <w:r w:rsidR="006A5B4E">
              <w:t>in-depth</w:t>
            </w:r>
            <w:r>
              <w:t xml:space="preserve"> case studies. Cultural impacts drew on audience surveys, data on the international dimension and new work produced, as well as media coverage, with the effect of cultural experiences on audiences’ views about the City of London assessed through audience surveys and case studies (Barbican, City of London Festival). This included assessment of how audiences felt that their attendance improved their </w:t>
            </w:r>
            <w:proofErr w:type="gramStart"/>
            <w:r>
              <w:t>well-being</w:t>
            </w:r>
            <w:proofErr w:type="gramEnd"/>
            <w:r>
              <w:t xml:space="preserve"> </w:t>
            </w:r>
            <w:r w:rsidR="006A5B4E">
              <w:t xml:space="preserve">– </w:t>
            </w:r>
            <w:r>
              <w:t xml:space="preserve">82% said they agreed/strongly agreed. The </w:t>
            </w:r>
            <w:r w:rsidR="00AD6B47">
              <w:t>placemaking</w:t>
            </w:r>
            <w:r>
              <w:t xml:space="preserve"> capacity of the City’s arts and culture provision was thus assessed through audience research surveys at two venues; case studies (e.g. Festival effort to create a place-based identity and impact); organisational survey information on media coverage and general visibility of the cluster (BOP, 2013).</w:t>
            </w:r>
          </w:p>
          <w:p w14:paraId="346C73D3" w14:textId="29709EB7" w:rsidR="006A5B4E" w:rsidRDefault="006A5B4E" w:rsidP="006A5B4E"/>
        </w:tc>
      </w:tr>
    </w:tbl>
    <w:p w14:paraId="1B7512D4" w14:textId="77777777" w:rsidR="00410E03" w:rsidRDefault="00410E03" w:rsidP="00131F29"/>
    <w:p w14:paraId="756001BD" w14:textId="4F40128B" w:rsidR="00410E03" w:rsidRDefault="00410E03" w:rsidP="00224A2D">
      <w:r>
        <w:t>In an impact study of the arts in</w:t>
      </w:r>
      <w:r w:rsidRPr="003A3682">
        <w:rPr>
          <w:b/>
        </w:rPr>
        <w:t xml:space="preserve"> </w:t>
      </w:r>
      <w:r w:rsidRPr="006751CE">
        <w:t>Birmingham</w:t>
      </w:r>
      <w:r>
        <w:t>, the benefits of the city’s provision was assessed by a large-scale telephone survey of those both attending and not attending arts facilities in the city (Morris</w:t>
      </w:r>
      <w:r w:rsidR="006A5B4E">
        <w:t>,</w:t>
      </w:r>
      <w:r>
        <w:t xml:space="preserve"> Hargreaves, McIntyre, 2009). The study found that the arts organisations were having a positive impact on the image of the city and region, as well on individuals, including social outcomes such as social cohesion, learning, cultural understanding. 73</w:t>
      </w:r>
      <w:r w:rsidR="006A5B4E">
        <w:t>%–</w:t>
      </w:r>
      <w:r>
        <w:t xml:space="preserve">76% said that the cultural provision made the city vibrant and exciting and provided opportunities for people to come together and share experiences; 44% said that it improved the quality of their life. </w:t>
      </w:r>
    </w:p>
    <w:p w14:paraId="634F64E5" w14:textId="3E6098AF" w:rsidR="00410E03" w:rsidRDefault="00410E03" w:rsidP="00520273">
      <w:pPr>
        <w:pStyle w:val="Heading3Numbered"/>
      </w:pPr>
      <w:bookmarkStart w:id="97" w:name="_Toc464222934"/>
      <w:r w:rsidRPr="00C2664D">
        <w:t>Cultural Districts (USA</w:t>
      </w:r>
      <w:r>
        <w:t>)</w:t>
      </w:r>
      <w:bookmarkEnd w:id="97"/>
    </w:p>
    <w:p w14:paraId="77DE961B" w14:textId="6D686E64" w:rsidR="00410E03" w:rsidRDefault="00410E03" w:rsidP="00E74966">
      <w:pPr>
        <w:rPr>
          <w:rStyle w:val="A9"/>
          <w:rFonts w:ascii="Tahoma" w:hAnsi="Tahoma" w:cs="Tahoma"/>
          <w:sz w:val="20"/>
          <w:szCs w:val="20"/>
        </w:rPr>
      </w:pPr>
      <w:r w:rsidRPr="00B73169">
        <w:t>A third, more localised cluster has been identified in the USA</w:t>
      </w:r>
      <w:r>
        <w:t>,</w:t>
      </w:r>
      <w:r w:rsidRPr="00B73169">
        <w:t xml:space="preserve"> categorised as</w:t>
      </w:r>
      <w:r w:rsidRPr="00B73169">
        <w:rPr>
          <w:i/>
        </w:rPr>
        <w:t xml:space="preserve"> </w:t>
      </w:r>
      <w:r w:rsidRPr="007B3F2B">
        <w:rPr>
          <w:i/>
        </w:rPr>
        <w:t>Cultural Districts</w:t>
      </w:r>
      <w:r w:rsidRPr="00B73169">
        <w:t xml:space="preserve"> (Stern &amp; Seifert, 2007, 2010). The work was first reviewed in </w:t>
      </w:r>
      <w:r w:rsidRPr="00B73169">
        <w:rPr>
          <w:i/>
        </w:rPr>
        <w:t>Art of the Possible</w:t>
      </w:r>
      <w:r w:rsidRPr="00B73169">
        <w:t xml:space="preserve"> (TBR, 2010: 44) and has been supplemented by national research on Cultural Districts in the USA by Noonan </w:t>
      </w:r>
      <w:r>
        <w:t>(below</w:t>
      </w:r>
      <w:r w:rsidRPr="00B73169">
        <w:t xml:space="preserve">). </w:t>
      </w:r>
      <w:r>
        <w:t xml:space="preserve">Cultural Districts are defined as ‘a well-recognised labeled, mixed-use area of a city in which a high concentration of cultural facilities serves as the anchor or attraction’, and are often centred </w:t>
      </w:r>
      <w:proofErr w:type="gramStart"/>
      <w:r>
        <w:t>around</w:t>
      </w:r>
      <w:proofErr w:type="gramEnd"/>
      <w:r>
        <w:t xml:space="preserve"> large arts institutions</w:t>
      </w:r>
      <w:r w:rsidRPr="00E74966">
        <w:t>. The concept of ‘Natural Cultural District</w:t>
      </w:r>
      <w:r w:rsidR="00E74966" w:rsidRPr="00E74966">
        <w:t>s</w:t>
      </w:r>
      <w:r w:rsidRPr="00E74966">
        <w:t xml:space="preserve">’ was developed in Philadelphia, in areas suffering multiple deprivation, population and economic decline, building on the idea that urban neighbourhoods often germinate clusters of community, commercial and informal cultural assets linked by artists and creatives as producers, and participants as consumers or practitioners. </w:t>
      </w:r>
    </w:p>
    <w:p w14:paraId="31317FBF" w14:textId="77777777" w:rsidR="00410E03" w:rsidRDefault="00410E03" w:rsidP="00410E03">
      <w:pPr>
        <w:pStyle w:val="Pa4"/>
        <w:spacing w:line="240" w:lineRule="auto"/>
        <w:jc w:val="both"/>
        <w:rPr>
          <w:rStyle w:val="A9"/>
          <w:rFonts w:ascii="Tahoma" w:hAnsi="Tahoma" w:cs="Tahoma"/>
          <w:sz w:val="20"/>
          <w:szCs w:val="20"/>
          <w:lang w:val="en-GB"/>
        </w:rPr>
      </w:pPr>
    </w:p>
    <w:tbl>
      <w:tblPr>
        <w:tblStyle w:val="TableGrid"/>
        <w:tblW w:w="0" w:type="auto"/>
        <w:tblInd w:w="108" w:type="dxa"/>
        <w:tblLook w:val="04A0" w:firstRow="1" w:lastRow="0" w:firstColumn="1" w:lastColumn="0" w:noHBand="0" w:noVBand="1"/>
      </w:tblPr>
      <w:tblGrid>
        <w:gridCol w:w="9178"/>
      </w:tblGrid>
      <w:tr w:rsidR="00410E03" w14:paraId="0C2C7536" w14:textId="77777777" w:rsidTr="00121553">
        <w:tc>
          <w:tcPr>
            <w:tcW w:w="9178" w:type="dxa"/>
          </w:tcPr>
          <w:p w14:paraId="5E93DD06" w14:textId="4B0F97AE" w:rsidR="00410E03" w:rsidRDefault="00410E03" w:rsidP="00E74966">
            <w:r>
              <w:t>The study</w:t>
            </w:r>
            <w:r w:rsidRPr="00B73169">
              <w:t xml:space="preserve"> uses four indicators of the intensity of the cultural scene in a neighb</w:t>
            </w:r>
            <w:r>
              <w:t>ourhood: cultural participation</w:t>
            </w:r>
            <w:r w:rsidR="00E74966">
              <w:t>,</w:t>
            </w:r>
            <w:r w:rsidR="00E74966" w:rsidRPr="00B73169">
              <w:t xml:space="preserve"> </w:t>
            </w:r>
            <w:r w:rsidRPr="00B73169">
              <w:t>non-profi</w:t>
            </w:r>
            <w:r>
              <w:t>t cultural providers/</w:t>
            </w:r>
            <w:r w:rsidRPr="00B73169">
              <w:t>community associations</w:t>
            </w:r>
            <w:r w:rsidR="00E74966">
              <w:t>,</w:t>
            </w:r>
            <w:r w:rsidR="00E74966" w:rsidRPr="00B73169">
              <w:t xml:space="preserve"> </w:t>
            </w:r>
            <w:r w:rsidRPr="00B73169">
              <w:t xml:space="preserve">commercial cultural firms and independent </w:t>
            </w:r>
            <w:r>
              <w:t xml:space="preserve">artists/creative workers, </w:t>
            </w:r>
            <w:r w:rsidRPr="00B73169">
              <w:t>toget</w:t>
            </w:r>
            <w:r>
              <w:t>her making up</w:t>
            </w:r>
            <w:r w:rsidRPr="00B73169">
              <w:t xml:space="preserve"> </w:t>
            </w:r>
            <w:r>
              <w:t xml:space="preserve">an </w:t>
            </w:r>
            <w:r w:rsidRPr="00B73169">
              <w:t>area’s cultural assets. Four data sources were used:</w:t>
            </w:r>
            <w:r w:rsidR="00A033C6">
              <w:t xml:space="preserve"> </w:t>
            </w:r>
            <w:r w:rsidRPr="00B73169">
              <w:t>a regional inventory of non-profit cultural resources, a database of commercial cultural firms in the metropolitan area, a</w:t>
            </w:r>
            <w:r>
              <w:t xml:space="preserve"> listing of artists, and </w:t>
            </w:r>
            <w:r w:rsidRPr="00B73169">
              <w:t>small-area estimates of regional cultural participation based on data provided by over 75 cultural organizations. All four of these indicators were calculated for every census block group (approximately 6</w:t>
            </w:r>
            <w:r w:rsidR="00E74966">
              <w:t>–</w:t>
            </w:r>
            <w:r w:rsidRPr="00B73169">
              <w:t>8 city blocks) in metropolitan Philadelphia.</w:t>
            </w:r>
            <w:r>
              <w:t xml:space="preserve"> </w:t>
            </w:r>
            <w:r w:rsidRPr="00B73169">
              <w:t>The identification of natural cultural districts used factor analysis to create a single scale</w:t>
            </w:r>
            <w:r>
              <w:t>,</w:t>
            </w:r>
            <w:r w:rsidRPr="00B73169">
              <w:t xml:space="preserve"> capturing variation of all four of these indicators across the metropolitan area. The analysis determined that the four indicators had very similar patterns of variation (a single scale accounted for 81% of the variation – a </w:t>
            </w:r>
            <w:r w:rsidRPr="001A6A85">
              <w:rPr>
                <w:i/>
              </w:rPr>
              <w:t>cultural assets index</w:t>
            </w:r>
            <w:r w:rsidRPr="00B73169">
              <w:t xml:space="preserve">). The second </w:t>
            </w:r>
            <w:proofErr w:type="gramStart"/>
            <w:r w:rsidRPr="00B73169">
              <w:t>stage identified</w:t>
            </w:r>
            <w:proofErr w:type="gramEnd"/>
            <w:r w:rsidRPr="00B73169">
              <w:t xml:space="preserve"> neighbourhoods with a cultural assets index score higher than expected when corrected for these variables such as socio-economic profile, diver</w:t>
            </w:r>
            <w:r>
              <w:t>sity, distance from centre</w:t>
            </w:r>
            <w:r w:rsidR="00E74966">
              <w:t>,</w:t>
            </w:r>
            <w:r>
              <w:t xml:space="preserve"> etc.</w:t>
            </w:r>
            <w:r w:rsidRPr="00B73169">
              <w:t xml:space="preserve"> Essentially, these are districts that were “exceeding expectations” in their concentra</w:t>
            </w:r>
            <w:r>
              <w:t>tion of cultural assets.</w:t>
            </w:r>
            <w:r w:rsidR="00A033C6">
              <w:t xml:space="preserve"> </w:t>
            </w:r>
            <w:r>
              <w:t>T</w:t>
            </w:r>
            <w:r w:rsidRPr="00B73169">
              <w:t>he cultural asset</w:t>
            </w:r>
            <w:r>
              <w:t xml:space="preserve">s index is </w:t>
            </w:r>
            <w:r w:rsidRPr="00B73169">
              <w:t>correlated with the chances that a neighbourhood would improve over time.</w:t>
            </w:r>
            <w:r w:rsidR="00A033C6">
              <w:t xml:space="preserve"> </w:t>
            </w:r>
            <w:r w:rsidRPr="00B73169">
              <w:t>In order to test the role of cultural assets in neighbourhood revitaliz</w:t>
            </w:r>
            <w:r>
              <w:t>ation, the model combined the</w:t>
            </w:r>
            <w:r w:rsidRPr="00B73169">
              <w:t xml:space="preserve"> cultural assets index with data on neighbourhood change. The results were striking:</w:t>
            </w:r>
            <w:r w:rsidR="00A033C6">
              <w:t xml:space="preserve"> </w:t>
            </w:r>
            <w:r w:rsidRPr="00B73169">
              <w:t xml:space="preserve">83% of all block groups that improved by two or more </w:t>
            </w:r>
            <w:r w:rsidR="00E74966">
              <w:t>market value analysis (</w:t>
            </w:r>
            <w:r w:rsidRPr="00B73169">
              <w:t>MVA</w:t>
            </w:r>
            <w:r w:rsidR="00E74966">
              <w:t>)</w:t>
            </w:r>
            <w:r w:rsidRPr="00B73169">
              <w:t xml:space="preserve"> categories bet</w:t>
            </w:r>
            <w:r>
              <w:t>ween 2001</w:t>
            </w:r>
            <w:r w:rsidR="00E74966">
              <w:t>–</w:t>
            </w:r>
            <w:r>
              <w:t xml:space="preserve">3 were </w:t>
            </w:r>
            <w:r w:rsidRPr="00B73169">
              <w:t>cultural districts</w:t>
            </w:r>
            <w:r>
              <w:t xml:space="preserve"> and this association between these clusters and improvement in housing market conditions has continued (Stern &amp; Seifert, 2010)</w:t>
            </w:r>
            <w:r w:rsidRPr="00B73169">
              <w:t xml:space="preserve">. </w:t>
            </w:r>
          </w:p>
          <w:p w14:paraId="52FE987A" w14:textId="531B6F91" w:rsidR="00E74966" w:rsidRPr="00621EBA" w:rsidRDefault="00E74966" w:rsidP="00E74966"/>
        </w:tc>
      </w:tr>
    </w:tbl>
    <w:p w14:paraId="209959E2" w14:textId="77777777" w:rsidR="00410E03" w:rsidRDefault="00410E03" w:rsidP="00520273"/>
    <w:p w14:paraId="3619EE98" w14:textId="5D582705" w:rsidR="00410E03" w:rsidRDefault="00410E03" w:rsidP="00520273">
      <w:r>
        <w:t>In a US-wide study of 99 designated (post-1990s) Cultural Districts (Noonan, 2013) their impact on economic and demographic change was assessed based on data on income, employment</w:t>
      </w:r>
      <w:r w:rsidR="00364A7A">
        <w:t xml:space="preserve"> and unemployment</w:t>
      </w:r>
      <w:r>
        <w:t>, population/resident change, census, property values and educational levels. Using regression models the aggregate results found that these cultural clusters (average area 1km</w:t>
      </w:r>
      <w:r w:rsidRPr="00D65DF6">
        <w:rPr>
          <w:vertAlign w:val="superscript"/>
        </w:rPr>
        <w:t>2</w:t>
      </w:r>
      <w:r>
        <w:t xml:space="preserve">) revealed positive effects on property values, employment and income, but little evidence of significant effects on population/diversity, education or distance to employment. </w:t>
      </w:r>
    </w:p>
    <w:p w14:paraId="73401D60" w14:textId="19DDC27C" w:rsidR="00410E03" w:rsidRDefault="00410E03" w:rsidP="00520273">
      <w:r>
        <w:t xml:space="preserve">Noonan and Breznitz (2013) also study the effects of arts and cultural districts combined with the presence of research-intensive universities, arts colleges and growth in the media arts sector. Using a range of descriptive statistics based on </w:t>
      </w:r>
      <w:r w:rsidR="00364A7A">
        <w:t xml:space="preserve">a </w:t>
      </w:r>
      <w:r>
        <w:t xml:space="preserve">sample of 89 cities with cultural districts, including employment change and patent data (shares and trends) over two decades, OLS regression analysis found that the presence of cultural districts and research intensive universities had little explanatory power across arts and media-arts employment. However, </w:t>
      </w:r>
      <w:r w:rsidRPr="00F0636B">
        <w:t>art colleges were positively associated with higher levels of employment growth in these sectors</w:t>
      </w:r>
      <w:r w:rsidRPr="00CB0AC2">
        <w:t>. The growth in media-arts employment is even higher in cities with arts school</w:t>
      </w:r>
      <w:r w:rsidR="00364A7A">
        <w:t>s</w:t>
      </w:r>
      <w:r w:rsidRPr="00CB0AC2">
        <w:t xml:space="preserve"> </w:t>
      </w:r>
      <w:r w:rsidRPr="00C450BD">
        <w:rPr>
          <w:u w:val="single"/>
        </w:rPr>
        <w:t>and</w:t>
      </w:r>
      <w:r w:rsidRPr="00CB0AC2">
        <w:t xml:space="preserve"> research universities. Cities with cultural districts did see much faster rates in media arts patenting but surprisingly not the presence of universities or art colleges, concluding </w:t>
      </w:r>
      <w:r w:rsidRPr="00364A7A">
        <w:t xml:space="preserve">that </w:t>
      </w:r>
      <w:r w:rsidRPr="00F0636B">
        <w:t>the more innovative cities in media arts appear to be those with an arts or cultural district</w:t>
      </w:r>
      <w:r w:rsidRPr="00364A7A">
        <w:t>.</w:t>
      </w:r>
      <w:r w:rsidRPr="00CB0AC2">
        <w:t xml:space="preserve"> This of course depends on the nature of cultural districts and other factors (as the authors admit), but it is interesting to note that in London, the biggest media-arts cluster ‘Digital Shoreditch’ has evolved largely independently of either local university or arts school influence, with growth factors such as connectivity, personal networks (non-place-based) and proximity to production/supply chains in financial, advertising and other creative industries, in a pre-existing cultural district</w:t>
      </w:r>
      <w:r>
        <w:t xml:space="preserve"> (Foord, 2012)</w:t>
      </w:r>
      <w:r w:rsidRPr="00CB0AC2">
        <w:t>.</w:t>
      </w:r>
      <w:r>
        <w:t xml:space="preserve"> This cultural hub had been designated in both sub-regional city growth and </w:t>
      </w:r>
      <w:proofErr w:type="gramStart"/>
      <w:r>
        <w:t>city-wide</w:t>
      </w:r>
      <w:proofErr w:type="gramEnd"/>
      <w:r>
        <w:t xml:space="preserve"> creative industry strategies (LDA, 2003), recognising that cultural assets directly influenced the location and growth of creative and digital industries.</w:t>
      </w:r>
    </w:p>
    <w:p w14:paraId="78F91E15" w14:textId="6B7AD674" w:rsidR="00410E03" w:rsidRPr="000960C8" w:rsidRDefault="00410E03" w:rsidP="00520273">
      <w:pPr>
        <w:pStyle w:val="Heading3Numbered"/>
      </w:pPr>
      <w:bookmarkStart w:id="98" w:name="_Toc464222935"/>
      <w:r w:rsidRPr="000960C8">
        <w:t xml:space="preserve">Consumption (Endogenous) vs. </w:t>
      </w:r>
      <w:r w:rsidR="00AA6CBE" w:rsidRPr="000960C8">
        <w:t>Export</w:t>
      </w:r>
      <w:r w:rsidR="00AA6CBE">
        <w:t>-</w:t>
      </w:r>
      <w:r w:rsidRPr="000960C8">
        <w:t>based Impacts</w:t>
      </w:r>
      <w:bookmarkEnd w:id="98"/>
    </w:p>
    <w:p w14:paraId="0803F2F5" w14:textId="7E1DC7FB" w:rsidR="00410E03" w:rsidRDefault="00410E03" w:rsidP="00131F29">
      <w:r w:rsidRPr="000960C8">
        <w:t xml:space="preserve">As we have seen from </w:t>
      </w:r>
      <w:r>
        <w:t xml:space="preserve">the </w:t>
      </w:r>
      <w:r w:rsidRPr="000960C8">
        <w:t>literature and commissioned studies</w:t>
      </w:r>
      <w:r>
        <w:t>,</w:t>
      </w:r>
      <w:r w:rsidRPr="000960C8">
        <w:t xml:space="preserve"> economic impact </w:t>
      </w:r>
      <w:r>
        <w:t xml:space="preserve">assessments of the contribution </w:t>
      </w:r>
      <w:r w:rsidR="00AA6CBE">
        <w:t xml:space="preserve">of </w:t>
      </w:r>
      <w:r>
        <w:t xml:space="preserve">a particular cultural facility or sector to </w:t>
      </w:r>
      <w:proofErr w:type="gramStart"/>
      <w:r>
        <w:t>a</w:t>
      </w:r>
      <w:proofErr w:type="gramEnd"/>
      <w:r>
        <w:t xml:space="preserve"> (local/regional) economy have dominat</w:t>
      </w:r>
      <w:r w:rsidRPr="000960C8">
        <w:t>ed in this field</w:t>
      </w:r>
      <w:r>
        <w:t xml:space="preserve">. In the USA, Markusen and others have argued for a </w:t>
      </w:r>
      <w:proofErr w:type="gramStart"/>
      <w:r>
        <w:t>consumption based</w:t>
      </w:r>
      <w:proofErr w:type="gramEnd"/>
      <w:r>
        <w:t xml:space="preserve"> alternative to this ‘export-based’ model. This argues that increasing a sector’s ability to capture local discretionary income provides a route to sustainable job and income generation, for example by: </w:t>
      </w:r>
    </w:p>
    <w:p w14:paraId="175AA449" w14:textId="6281FDF3" w:rsidR="00410E03" w:rsidRDefault="00410E03" w:rsidP="00F0636B">
      <w:pPr>
        <w:pStyle w:val="Bullet"/>
      </w:pPr>
      <w:proofErr w:type="gramStart"/>
      <w:r>
        <w:t>providing</w:t>
      </w:r>
      <w:proofErr w:type="gramEnd"/>
      <w:r>
        <w:t xml:space="preserve"> a local outlet for user/audience attendance and spending that would otherwise leak out of the area</w:t>
      </w:r>
    </w:p>
    <w:p w14:paraId="0B5D4556" w14:textId="4C83F172" w:rsidR="00410E03" w:rsidRDefault="00410E03" w:rsidP="00F0636B">
      <w:pPr>
        <w:pStyle w:val="Bullet"/>
      </w:pPr>
      <w:proofErr w:type="gramStart"/>
      <w:r>
        <w:t>offering</w:t>
      </w:r>
      <w:proofErr w:type="gramEnd"/>
      <w:r>
        <w:t xml:space="preserve"> residents opportunities to spend more of their discretionary income on new locally produced goods and services</w:t>
      </w:r>
    </w:p>
    <w:p w14:paraId="1439AC4B" w14:textId="7CD28C96" w:rsidR="00410E03" w:rsidRDefault="00410E03" w:rsidP="00F0636B">
      <w:pPr>
        <w:pStyle w:val="Bullet"/>
      </w:pPr>
      <w:proofErr w:type="gramStart"/>
      <w:r>
        <w:t>seeding</w:t>
      </w:r>
      <w:proofErr w:type="gramEnd"/>
      <w:r>
        <w:t xml:space="preserve"> innovations that later expand into export markets</w:t>
      </w:r>
    </w:p>
    <w:p w14:paraId="039367A1" w14:textId="34683F18" w:rsidR="00410E03" w:rsidRDefault="00410E03" w:rsidP="00F0636B">
      <w:pPr>
        <w:pStyle w:val="Bullet"/>
      </w:pPr>
      <w:proofErr w:type="gramStart"/>
      <w:r>
        <w:t>nurturing</w:t>
      </w:r>
      <w:proofErr w:type="gramEnd"/>
      <w:r>
        <w:t xml:space="preserve"> organisations and occupations that re-spend more of their earnings locally than others</w:t>
      </w:r>
    </w:p>
    <w:p w14:paraId="6C2C5E8F" w14:textId="4AB0D040" w:rsidR="00410E03" w:rsidRDefault="00410E03" w:rsidP="00131F29">
      <w:r>
        <w:t>This also recognises that much arts economic activity is ‘lost’ in EIA studies due to a high level of self-employment and entrepreneurial activity that is distinct from the largely not-for-profit organisations that are typically the subject of impact assessments (Gadwa &amp; Markusen, 2009; Markusen &amp; Gadwa, 2010). In the UK, the labour structure of cultural production relies on a substantial freelance workforce many of who may be closely associated with specific CS&amp;H venues (arts, sports) including performers, artists, technicians, trainers</w:t>
      </w:r>
      <w:r w:rsidR="00AA6CBE">
        <w:t>,</w:t>
      </w:r>
      <w:r>
        <w:t xml:space="preserve"> etc. They are critical to the operation and provision of cultural experiences and cultural places, but they may be ‘dispersed’ in employment terms, understating their importance in the economic and social life of these places. Particular cultural clusters that are not considered in mainstream impact studies include artist centres and housing (e.g. studios/live-work). These US-based authors have designed a mixed methods research model in response to the conclusion that the evidence from local economic development studies into place-based impacts lacks any robust, well-developed tools. This model combines quantitative and qualitative research techniques to capture tourism/business expansion, employment/industry mix</w:t>
      </w:r>
      <w:r w:rsidR="00AA6CBE">
        <w:t xml:space="preserve">, </w:t>
      </w:r>
      <w:r>
        <w:t>property values</w:t>
      </w:r>
      <w:r w:rsidR="00AA6CBE">
        <w:t xml:space="preserve">, </w:t>
      </w:r>
      <w:r>
        <w:t>gentrification/population displacement, fiscal impacts, artist</w:t>
      </w:r>
      <w:r w:rsidR="00AA6CBE">
        <w:t xml:space="preserve"> </w:t>
      </w:r>
      <w:r>
        <w:t>in-migration and a range of physical and social impacts (connectivity, civic engagement, tenure/diversity, safety, neighbourhood confidence).</w:t>
      </w:r>
      <w:r w:rsidR="00A033C6">
        <w:t xml:space="preserve"> </w:t>
      </w:r>
    </w:p>
    <w:p w14:paraId="7D34956C" w14:textId="77777777" w:rsidR="00410E03" w:rsidRDefault="00410E03" w:rsidP="00224A2D"/>
    <w:tbl>
      <w:tblPr>
        <w:tblStyle w:val="TableGrid"/>
        <w:tblW w:w="0" w:type="auto"/>
        <w:tblInd w:w="108" w:type="dxa"/>
        <w:tblLook w:val="04A0" w:firstRow="1" w:lastRow="0" w:firstColumn="1" w:lastColumn="0" w:noHBand="0" w:noVBand="1"/>
      </w:tblPr>
      <w:tblGrid>
        <w:gridCol w:w="9178"/>
      </w:tblGrid>
      <w:tr w:rsidR="00410E03" w14:paraId="1443B2B7" w14:textId="77777777" w:rsidTr="00121553">
        <w:tc>
          <w:tcPr>
            <w:tcW w:w="9178" w:type="dxa"/>
          </w:tcPr>
          <w:p w14:paraId="5651263E" w14:textId="0C4DD59B" w:rsidR="00410E03" w:rsidRDefault="00AA6CBE" w:rsidP="00AA6CBE">
            <w:r>
              <w:t xml:space="preserve">A </w:t>
            </w:r>
            <w:r w:rsidR="00410E03">
              <w:t xml:space="preserve">large-scale study </w:t>
            </w:r>
            <w:r>
              <w:t xml:space="preserve">of </w:t>
            </w:r>
            <w:r w:rsidRPr="00AA6CBE">
              <w:t xml:space="preserve">California’s Arts and Cultural Ecology </w:t>
            </w:r>
            <w:r w:rsidR="00410E03">
              <w:t>found marked differentials in the number of arts organisations per capita and arts participation rates across cities which were not based on population size, profile or other industry factors, but were seen to be due to decade-long cultivation of local-serving arts capacity that sustains jobs and income. The methodology used several datasets including estimates of the budgets of regional arts and cultural organisations</w:t>
            </w:r>
            <w:r>
              <w:t>,</w:t>
            </w:r>
            <w:r w:rsidR="00410E03">
              <w:t xml:space="preserve"> census and community survey data and arts participation data (regional only, as in the UK). Local characteristics were determined in terms of income, education, race/ethnicity</w:t>
            </w:r>
            <w:r>
              <w:t xml:space="preserve"> and </w:t>
            </w:r>
            <w:r w:rsidR="00410E03">
              <w:t>age as well as population size/density, city status, jobs per capita and both city and private funding of arts activity. Regression (OLS) analysis was done at city level (n</w:t>
            </w:r>
            <w:r>
              <w:t>=</w:t>
            </w:r>
            <w:r w:rsidR="00410E03">
              <w:t xml:space="preserve">237 with population &gt;20,000). Features positively associated with a higher number of arts </w:t>
            </w:r>
            <w:r>
              <w:t xml:space="preserve">and </w:t>
            </w:r>
            <w:r w:rsidR="00410E03">
              <w:t xml:space="preserve">cultural organisations per capita were job density, private arts funding, residents’ education level and personal wealth. Regional location did not prove to be a statistically significant predictor. Job density was seen to facilitate host businesses, owners/managers and employees who contribute to local arts </w:t>
            </w:r>
            <w:r>
              <w:t xml:space="preserve">and </w:t>
            </w:r>
            <w:r w:rsidR="00410E03">
              <w:t>culture</w:t>
            </w:r>
            <w:r>
              <w:t>,</w:t>
            </w:r>
            <w:r w:rsidR="00410E03">
              <w:t xml:space="preserve"> and firms who feel that a strong arts offering enhances employee motivations, help</w:t>
            </w:r>
            <w:r>
              <w:t>s</w:t>
            </w:r>
            <w:r w:rsidR="00410E03">
              <w:t xml:space="preserve"> attract/retain employees and encourage</w:t>
            </w:r>
            <w:r>
              <w:t>s</w:t>
            </w:r>
            <w:r w:rsidR="00410E03">
              <w:t xml:space="preserve"> customers/sales. Evidence on the comparative density of artists also supported a capacity-building interpretation of their role. The study concludes that place-based analysis confirms that certain communities especially job centres that also attract well-educated, wealthier residents are more apt to provide a home for arts and cultural organisations regardless of region, reinforcing a virtual cycle of arts activity and attendance (Markusen, et al</w:t>
            </w:r>
            <w:r w:rsidR="008F5A81">
              <w:t>,</w:t>
            </w:r>
            <w:r w:rsidR="00410E03">
              <w:t xml:space="preserve"> 2012).</w:t>
            </w:r>
          </w:p>
          <w:p w14:paraId="65554BA4" w14:textId="340F9EF0" w:rsidR="00AA6CBE" w:rsidRDefault="00AA6CBE" w:rsidP="00AA6CBE"/>
        </w:tc>
      </w:tr>
    </w:tbl>
    <w:p w14:paraId="042BCBAF" w14:textId="77777777" w:rsidR="00410E03" w:rsidRDefault="00410E03" w:rsidP="00131F29"/>
    <w:p w14:paraId="1F31AAB4" w14:textId="21086168" w:rsidR="00410E03" w:rsidRDefault="00410E03" w:rsidP="00224A2D">
      <w:r>
        <w:t>In a separate study in the USA of culture-base</w:t>
      </w:r>
      <w:r w:rsidR="0065661D">
        <w:t>d</w:t>
      </w:r>
      <w:r>
        <w:t xml:space="preserve"> development and the effects on economic and social well-being (Tubadji et al, 2015) a cross-sectional study also found the existence of a positive cultural effect on local development – economic and social well-being – as well as the fact that endogenous cultural industries had a positive effect on the mobility of human capital. A concentration of cultural activity seems to be a predictor for those </w:t>
      </w:r>
      <w:proofErr w:type="gramStart"/>
      <w:r>
        <w:t>areas which</w:t>
      </w:r>
      <w:proofErr w:type="gramEnd"/>
      <w:r>
        <w:t xml:space="preserve"> have the characteristics of regional economic growth. </w:t>
      </w:r>
    </w:p>
    <w:p w14:paraId="5D99CA0C" w14:textId="27D59786" w:rsidR="00410E03" w:rsidRDefault="00410E03" w:rsidP="00520273">
      <w:r>
        <w:t xml:space="preserve">In </w:t>
      </w:r>
      <w:r w:rsidRPr="004F311B">
        <w:rPr>
          <w:i/>
        </w:rPr>
        <w:t>Art of the Possible</w:t>
      </w:r>
      <w:r>
        <w:rPr>
          <w:i/>
        </w:rPr>
        <w:t xml:space="preserve"> </w:t>
      </w:r>
      <w:r>
        <w:t xml:space="preserve">(2010: 21-28), one of the studies analysed in depth was on the </w:t>
      </w:r>
      <w:r w:rsidRPr="004F311B">
        <w:rPr>
          <w:i/>
        </w:rPr>
        <w:t>Spillover Effects of Investments in Cul</w:t>
      </w:r>
      <w:r>
        <w:rPr>
          <w:i/>
        </w:rPr>
        <w:t>tural F</w:t>
      </w:r>
      <w:r w:rsidRPr="004F311B">
        <w:rPr>
          <w:i/>
        </w:rPr>
        <w:t>acilities</w:t>
      </w:r>
      <w:r>
        <w:t xml:space="preserve"> carried out in Toronto and Vancouver, Canada (Jones et al, 2003). This study used spatial data analysis/GIS techniques to measure small area effects arising from cultural investments. This included impacts on property values, employment, income, retail sales, vacancy rates, new business creation and building development, alongside demographic, community engagement, crime and usage indicators (based on resident and business surveys). The cultural districts included cultural, community and production facilities. The study found that in both cases artistic and cultural components were strongly associated with growth, retail sales increase, development, image improvement and investment. Residents and firms strongly believed that artists and facilities were important drivers of growth and change including wellbeing, with new firm growth as well as churn (20</w:t>
      </w:r>
      <w:r w:rsidR="00F80B65">
        <w:t>–</w:t>
      </w:r>
      <w:r>
        <w:t xml:space="preserve">30% of these were ‘culturally-related’ businesses.). Social impacts included higher employment/income, lower unemployment and higher levels of education within the resident community, as well as property value increases and building development. Proving causality for some of these associations is of course difficult, but comparable data is available in the UK for some of the indicators used in this study, although some primary research would be needed to gauge change effects and perceptions (as in all cases to directly attribute CS&amp;H asset change effects). These studies were the subject of a subsequent review at national level (Sharpe et al, 2004) and </w:t>
      </w:r>
      <w:proofErr w:type="gramStart"/>
      <w:r>
        <w:t>issues of methodology was</w:t>
      </w:r>
      <w:proofErr w:type="gramEnd"/>
      <w:r>
        <w:t xml:space="preserve"> helpfully discussed. This included the issue of control/counterfactual, like for like comparisons (i.e. between similar cultural investment types in different locations) and also between different types of cultural activity, visitor vs. producer-led, for example between more contemporary cultural production (e.g. artists studios, live arts) and static provision (e.g. historic museum). </w:t>
      </w:r>
    </w:p>
    <w:p w14:paraId="5CEBDBAB" w14:textId="748F1F0D" w:rsidR="00410E03" w:rsidRDefault="00410E03" w:rsidP="00520273">
      <w:r>
        <w:t xml:space="preserve">In a study by </w:t>
      </w:r>
      <w:r w:rsidRPr="00F9109B">
        <w:t>Pedroni &amp; Sheppard</w:t>
      </w:r>
      <w:r>
        <w:t xml:space="preserve"> (2013) </w:t>
      </w:r>
      <w:r w:rsidRPr="00F9109B">
        <w:t>the issue of cultural spending and the lack of hard evidence of the causal relationship between local cultural production and prosperity</w:t>
      </w:r>
      <w:r>
        <w:t xml:space="preserve"> </w:t>
      </w:r>
      <w:proofErr w:type="gramStart"/>
      <w:r>
        <w:t>is</w:t>
      </w:r>
      <w:proofErr w:type="gramEnd"/>
      <w:r>
        <w:t xml:space="preserve"> investigated</w:t>
      </w:r>
      <w:r w:rsidRPr="00F9109B">
        <w:t xml:space="preserve">. Using a model of culture and growth drawing on an established econometric framework </w:t>
      </w:r>
      <w:r>
        <w:t xml:space="preserve">(Canning &amp; Pedroni, 2008) </w:t>
      </w:r>
      <w:r w:rsidRPr="00F9109B">
        <w:t xml:space="preserve">this is applied </w:t>
      </w:r>
      <w:r w:rsidRPr="00C80488">
        <w:t xml:space="preserve">across 384 </w:t>
      </w:r>
      <w:r w:rsidR="00C80488" w:rsidRPr="00C80488">
        <w:t>Metropolitan Statistical Areas (</w:t>
      </w:r>
      <w:r w:rsidRPr="00C80488">
        <w:t>MSAs</w:t>
      </w:r>
      <w:r w:rsidR="00C80488" w:rsidRPr="00C80488">
        <w:t>)</w:t>
      </w:r>
      <w:r w:rsidRPr="00C80488">
        <w:t xml:space="preserve"> </w:t>
      </w:r>
      <w:r w:rsidRPr="002D625F">
        <w:t>using panel data</w:t>
      </w:r>
      <w:r>
        <w:t xml:space="preserve"> (preferred over cross-sectional data) based on non-</w:t>
      </w:r>
      <w:r w:rsidRPr="00F9109B">
        <w:t xml:space="preserve">profits at two time points, 1990 and 2006. The results reveal divergence between regions, with the urban Northeast showing the strongest positive relationship between culture and prosperity and the equivalent region in the Southeast the lowest </w:t>
      </w:r>
      <w:r w:rsidR="00F80B65">
        <w:t>–</w:t>
      </w:r>
      <w:r w:rsidR="00F80B65" w:rsidRPr="00F9109B">
        <w:t xml:space="preserve"> </w:t>
      </w:r>
      <w:r w:rsidRPr="00F9109B">
        <w:t xml:space="preserve">indeed a negative relationship between locally financed cultural production and GDP. </w:t>
      </w:r>
      <w:r>
        <w:t xml:space="preserve">This analysis reveals a causal connection between increases in local cultural production and permanent increases in local GDP, both in short-run multiplier effects but also steady-state income levels. As with other studies, it would </w:t>
      </w:r>
      <w:r w:rsidRPr="00F9109B">
        <w:t>be illuminating to focus on the distinctions between arts/cultural forms</w:t>
      </w:r>
      <w:r>
        <w:t xml:space="preserve"> and sectors, </w:t>
      </w:r>
      <w:r w:rsidRPr="00F9109B">
        <w:t>since they perform economically quite differently.</w:t>
      </w:r>
    </w:p>
    <w:p w14:paraId="2AC5C29B" w14:textId="5A0D9483" w:rsidR="00410E03" w:rsidRDefault="00410E03" w:rsidP="00520273">
      <w:pPr>
        <w:pStyle w:val="Heading3Numbered"/>
      </w:pPr>
      <w:bookmarkStart w:id="99" w:name="_Toc464222936"/>
      <w:r>
        <w:t>UK Cultural Clusters and Creative Economy</w:t>
      </w:r>
      <w:bookmarkEnd w:id="99"/>
    </w:p>
    <w:p w14:paraId="611628F9" w14:textId="31A73E65" w:rsidR="00DC2628" w:rsidRPr="00DC2628" w:rsidRDefault="00410E03" w:rsidP="00DC2628">
      <w:r>
        <w:t>Recognising that the literature in this field is predominantly North American, a team from NESTA undertook a study of English cities to determine through econometric analysis the relationships between arts and cultural agglomeration and different parts of the creative economy (Bakhshi et al</w:t>
      </w:r>
      <w:r w:rsidR="008F5A81">
        <w:t>,</w:t>
      </w:r>
      <w:r>
        <w:t xml:space="preserve"> 2013). </w:t>
      </w:r>
      <w:r w:rsidR="00DC2628" w:rsidRPr="00514EFA">
        <w:rPr>
          <w:rFonts w:cs="Arial"/>
        </w:rPr>
        <w:t xml:space="preserve">There are two main competing theories as to the effects of cultural clustering on local wages. The first suggests that workers will be willing to sacrifice low wages in order to live in an area with a rich cultural sector, therefore – all other things being equal – wages will negatively correlate with cultural clustering. The second theory posits that cultural clusters boost the local economy due to an influx of human/organisational capital, causing spillover to other industries. According to this theory, cultural clustering is expected to be positively associated with wages, leading to a wage premium in cities with high cultural clustering. </w:t>
      </w:r>
    </w:p>
    <w:p w14:paraId="2A2ED510" w14:textId="77777777" w:rsidR="00DC2628" w:rsidRPr="00514EFA" w:rsidRDefault="00DC2628" w:rsidP="00DC2628">
      <w:pPr>
        <w:rPr>
          <w:rFonts w:cs="Arial"/>
        </w:rPr>
      </w:pPr>
      <w:r w:rsidRPr="00514EFA">
        <w:rPr>
          <w:rFonts w:cs="Arial"/>
        </w:rPr>
        <w:t>In England, there appears to be a positive relationship between the level of employment in cultural industries in an area and hourly wages.</w:t>
      </w:r>
      <w:r>
        <w:rPr>
          <w:rFonts w:cs="Arial"/>
        </w:rPr>
        <w:t xml:space="preserve"> </w:t>
      </w:r>
      <w:r w:rsidRPr="00514EFA">
        <w:rPr>
          <w:rFonts w:cs="Arial"/>
        </w:rPr>
        <w:t xml:space="preserve">However, this relationship may not hold when other factors are controlled for. Through the use of an econometric model, this study tests the robustness of the relationship between arts and cultural clustering and worker wages. The model estimates individual wages by estimating wages as a function of both individual characteristics (e.g. education, ethnicity, migration status), characteristics of the city (including factors such as clustering, education levels, size of the population) and reginal characteristics </w:t>
      </w:r>
      <w:proofErr w:type="gramStart"/>
      <w:r w:rsidRPr="00514EFA">
        <w:rPr>
          <w:rFonts w:cs="Arial"/>
        </w:rPr>
        <w:t>which</w:t>
      </w:r>
      <w:proofErr w:type="gramEnd"/>
      <w:r w:rsidRPr="00514EFA">
        <w:rPr>
          <w:rFonts w:cs="Arial"/>
        </w:rPr>
        <w:t xml:space="preserve"> control for wider characteristics of where the city is located. The model is estimated using Ordinary Least Squares (OLS). The model is designed to test whether there is a positive (wage premium) or negative (compensating effect) relationship between cultural clustering and wages.</w:t>
      </w:r>
    </w:p>
    <w:p w14:paraId="61B0A346" w14:textId="77777777" w:rsidR="00DC2628" w:rsidRPr="00514EFA" w:rsidRDefault="00DC2628" w:rsidP="00DC2628">
      <w:pPr>
        <w:rPr>
          <w:rFonts w:cs="Arial"/>
        </w:rPr>
      </w:pPr>
      <w:r w:rsidRPr="00514EFA">
        <w:rPr>
          <w:rFonts w:cs="Arial"/>
        </w:rPr>
        <w:t xml:space="preserve">The data is at the level of Travel to Work Area (TTW) and draws from the Annual Population Survey (APS), Business Register Employment Survey (BRES) and a dataset of business registered on the Culture24 platform. The model uses average hourly wage calculated from APS data while simultaneously controlling for individual characteristics using data drawn from the APS including: experience, education, gender, ethnicity, broad occupational level (one digit SOC) and whether the individual is in the private or public sector. There measures of cultural cluster were used, </w:t>
      </w:r>
      <w:r w:rsidRPr="00514EFA">
        <w:rPr>
          <w:rFonts w:cs="Arial"/>
          <w:i/>
        </w:rPr>
        <w:t>employment</w:t>
      </w:r>
      <w:r w:rsidRPr="00514EFA">
        <w:rPr>
          <w:rFonts w:cs="Arial"/>
        </w:rPr>
        <w:t xml:space="preserve">, </w:t>
      </w:r>
      <w:r w:rsidRPr="00514EFA">
        <w:rPr>
          <w:rFonts w:cs="Arial"/>
          <w:i/>
        </w:rPr>
        <w:t>occupational</w:t>
      </w:r>
      <w:r w:rsidRPr="00514EFA">
        <w:rPr>
          <w:rFonts w:cs="Arial"/>
        </w:rPr>
        <w:t xml:space="preserve"> and </w:t>
      </w:r>
      <w:r w:rsidRPr="00514EFA">
        <w:rPr>
          <w:rFonts w:cs="Arial"/>
          <w:i/>
        </w:rPr>
        <w:t>institutional</w:t>
      </w:r>
      <w:r w:rsidRPr="00514EFA">
        <w:rPr>
          <w:rFonts w:cs="Arial"/>
        </w:rPr>
        <w:t>. Employment clustering was calculated for each area using data from BRES while occupation clustering was calculated using data from the APS; these measure creative clustering at the industrial sector levels and occupation level respectively. The model also included a measure of institutional clustering (e.g. galleries, libraries, heritage sites) using data drawn from Culture24.</w:t>
      </w:r>
    </w:p>
    <w:p w14:paraId="7FC78EBE" w14:textId="50498C94" w:rsidR="00410E03" w:rsidRDefault="00DC2628" w:rsidP="00DC2628">
      <w:r w:rsidRPr="00514EFA">
        <w:rPr>
          <w:rFonts w:cs="Arial"/>
        </w:rPr>
        <w:t>After controlling for individual characteristics cultural occupational clustering was positively correlated with wages, however, cultural employment clustering and cultural institution clustering were negatively associated with wages. However, the positive relationship between cultural occupational clustering is not significant when controlling for city levels factors (such as education). By contrast the negative relationship between cultural employment cluster and cultural institution and wages were unaffected by city level factors. However, when focussing on workers in creative occupations industries, there appears to be a wage premium for these workers from higher institutional cultural clustering, but not the other measures of cultural clustering. For the workforce as a whole, therefore, the evidence seems to suggest that cultural clustering leads to lower wages while worker in creative industries may enjoy a wage premium in areas with high institutional creative clustering. This provides evidence for the idea that workers sacrifice higher wages to live in areas with high culture but also provides some evidence for the idea of spillover effects. However, these slipover effects appear to be limited to the creative industries only.</w:t>
      </w:r>
      <w:r>
        <w:t xml:space="preserve"> </w:t>
      </w:r>
      <w:r w:rsidR="00410E03">
        <w:t>The authors conclude that this study provides evidence of the positive effect of arts and cultural clustering on the productivity of cultural and creative workers, with evidence of spillovers from arts clustering to the wider creative economy.</w:t>
      </w:r>
    </w:p>
    <w:p w14:paraId="4EA01AD5" w14:textId="77777777" w:rsidR="00DC2628" w:rsidRPr="00514EFA" w:rsidRDefault="00DC2628" w:rsidP="00DC2628">
      <w:pPr>
        <w:rPr>
          <w:rFonts w:cs="Arial"/>
        </w:rPr>
      </w:pPr>
      <w:r>
        <w:rPr>
          <w:rFonts w:cs="Arial"/>
        </w:rPr>
        <w:t>Cha</w:t>
      </w:r>
      <w:r w:rsidRPr="00514EFA">
        <w:rPr>
          <w:rFonts w:cs="Arial"/>
        </w:rPr>
        <w:t>pain et al (2010)</w:t>
      </w:r>
      <w:r>
        <w:rPr>
          <w:rStyle w:val="FootnoteReference"/>
          <w:rFonts w:cs="Arial"/>
        </w:rPr>
        <w:footnoteReference w:id="32"/>
      </w:r>
      <w:r w:rsidRPr="00514EFA">
        <w:rPr>
          <w:rFonts w:cs="Arial"/>
        </w:rPr>
        <w:t xml:space="preserve"> investigated the li</w:t>
      </w:r>
      <w:r>
        <w:rPr>
          <w:rFonts w:cs="Arial"/>
        </w:rPr>
        <w:t>nk</w:t>
      </w:r>
      <w:r w:rsidRPr="00514EFA">
        <w:rPr>
          <w:rFonts w:cs="Arial"/>
        </w:rPr>
        <w:t xml:space="preserve"> between creative industries and innovation.</w:t>
      </w:r>
      <w:r>
        <w:rPr>
          <w:rFonts w:cs="Arial"/>
        </w:rPr>
        <w:t xml:space="preserve"> </w:t>
      </w:r>
      <w:r w:rsidRPr="00514EFA">
        <w:rPr>
          <w:rFonts w:cs="Arial"/>
        </w:rPr>
        <w:t>The paper presents several lines of research, first a mapping of creative clusters in the UK using economic geographic techniques, secondly, exploring the level of innovation in the creative sector and thirdly, exploring the potential spillover effects</w:t>
      </w:r>
      <w:r>
        <w:rPr>
          <w:rFonts w:cs="Arial"/>
        </w:rPr>
        <w:t xml:space="preserve"> </w:t>
      </w:r>
      <w:r w:rsidRPr="00514EFA">
        <w:rPr>
          <w:rFonts w:cs="Arial"/>
        </w:rPr>
        <w:t xml:space="preserve">from creative clusters to the wider local economy. </w:t>
      </w:r>
    </w:p>
    <w:p w14:paraId="6F324D05" w14:textId="77777777" w:rsidR="00DC2628" w:rsidRPr="00F0636B" w:rsidRDefault="00DC2628" w:rsidP="00DC2628">
      <w:pPr>
        <w:rPr>
          <w:b/>
        </w:rPr>
      </w:pPr>
      <w:r w:rsidRPr="00F0636B">
        <w:rPr>
          <w:b/>
        </w:rPr>
        <w:t>Cluster Mapping</w:t>
      </w:r>
    </w:p>
    <w:p w14:paraId="77C1AB61" w14:textId="77777777" w:rsidR="00DC2628" w:rsidRPr="00514EFA" w:rsidRDefault="00DC2628" w:rsidP="00DC2628">
      <w:pPr>
        <w:rPr>
          <w:rFonts w:cs="Arial"/>
          <w:b/>
        </w:rPr>
      </w:pPr>
      <w:r w:rsidRPr="00514EFA">
        <w:rPr>
          <w:rFonts w:cs="Arial"/>
        </w:rPr>
        <w:t>The study uses the DCMS definition of the creative industries and focuses on three geographical levels</w:t>
      </w:r>
      <w:r>
        <w:rPr>
          <w:rFonts w:cs="Arial"/>
        </w:rPr>
        <w:t>:</w:t>
      </w:r>
      <w:r w:rsidRPr="00514EFA">
        <w:rPr>
          <w:rFonts w:cs="Arial"/>
        </w:rPr>
        <w:t xml:space="preserve"> regional, </w:t>
      </w:r>
      <w:r>
        <w:rPr>
          <w:rFonts w:cs="Arial"/>
        </w:rPr>
        <w:t>Travel to Work A</w:t>
      </w:r>
      <w:r w:rsidRPr="00514EFA">
        <w:rPr>
          <w:rFonts w:cs="Arial"/>
        </w:rPr>
        <w:t>rea and Middle Super Output Area (MSOA)</w:t>
      </w:r>
      <w:r>
        <w:rPr>
          <w:rFonts w:cs="Arial"/>
        </w:rPr>
        <w:t>,</w:t>
      </w:r>
      <w:r w:rsidRPr="00514EFA">
        <w:rPr>
          <w:rFonts w:cs="Arial"/>
        </w:rPr>
        <w:t xml:space="preserve"> drawing data from the Annual Business Inquiry (ABI) and BRES. At the regional level, London and (to a lesser extent) the South East stood out as creative hubs. At the TTW</w:t>
      </w:r>
      <w:r>
        <w:rPr>
          <w:rFonts w:cs="Arial"/>
        </w:rPr>
        <w:t>A</w:t>
      </w:r>
      <w:r w:rsidRPr="00514EFA">
        <w:rPr>
          <w:rFonts w:cs="Arial"/>
        </w:rPr>
        <w:t xml:space="preserve"> level, several creative agglomerations stood out including Bath, Bristol, Edinburgh</w:t>
      </w:r>
      <w:r>
        <w:rPr>
          <w:rFonts w:cs="Arial"/>
        </w:rPr>
        <w:t>,</w:t>
      </w:r>
      <w:r w:rsidRPr="00514EFA">
        <w:rPr>
          <w:rFonts w:cs="Arial"/>
        </w:rPr>
        <w:t xml:space="preserve"> Manchester and Brighton. The cluster mapping also found evidence of co-location within sections of the creative industr</w:t>
      </w:r>
      <w:r>
        <w:rPr>
          <w:rFonts w:cs="Arial"/>
        </w:rPr>
        <w:t>ies</w:t>
      </w:r>
      <w:r w:rsidRPr="00514EFA">
        <w:rPr>
          <w:rFonts w:cs="Arial"/>
        </w:rPr>
        <w:t>. Finally, the cluster mapping showed how the level of specialisation vari</w:t>
      </w:r>
      <w:r>
        <w:rPr>
          <w:rFonts w:cs="Arial"/>
        </w:rPr>
        <w:t>e</w:t>
      </w:r>
      <w:r w:rsidRPr="00514EFA">
        <w:rPr>
          <w:rFonts w:cs="Arial"/>
        </w:rPr>
        <w:t>s across the country, the North of England tended to show more specialisation while the South showed more diversification.</w:t>
      </w:r>
    </w:p>
    <w:p w14:paraId="5BD89E19" w14:textId="77777777" w:rsidR="00DC2628" w:rsidRPr="00F0636B" w:rsidRDefault="00DC2628" w:rsidP="00DC2628">
      <w:pPr>
        <w:rPr>
          <w:b/>
        </w:rPr>
      </w:pPr>
      <w:r w:rsidRPr="00F0636B">
        <w:rPr>
          <w:b/>
        </w:rPr>
        <w:t>Innovation in the creative industries</w:t>
      </w:r>
    </w:p>
    <w:p w14:paraId="20361AA6" w14:textId="77777777" w:rsidR="00DC2628" w:rsidRPr="00514EFA" w:rsidRDefault="00DC2628" w:rsidP="00DC2628">
      <w:pPr>
        <w:rPr>
          <w:rFonts w:eastAsiaTheme="minorHAnsi" w:cs="Arial"/>
        </w:rPr>
      </w:pPr>
      <w:r w:rsidRPr="00514EFA">
        <w:rPr>
          <w:rFonts w:cs="Arial"/>
        </w:rPr>
        <w:t>Th</w:t>
      </w:r>
      <w:r>
        <w:rPr>
          <w:rFonts w:cs="Arial"/>
        </w:rPr>
        <w:t>e study</w:t>
      </w:r>
      <w:r w:rsidRPr="00514EFA">
        <w:rPr>
          <w:rFonts w:cs="Arial"/>
        </w:rPr>
        <w:t xml:space="preserve"> drew evidence from the UK Innovation Survey. The results show that the creative industries are more innovative than other industries (</w:t>
      </w:r>
      <w:r>
        <w:rPr>
          <w:rFonts w:cs="Arial"/>
        </w:rPr>
        <w:t>except</w:t>
      </w:r>
      <w:r w:rsidRPr="00514EFA">
        <w:rPr>
          <w:rFonts w:cs="Arial"/>
        </w:rPr>
        <w:t xml:space="preserve"> Engineering-Based Manufacturing and Other Manufacturing), particularly in respect to how they approach R&amp;D and their propensity to launch new products into the market. Within the creative industries, </w:t>
      </w:r>
      <w:r w:rsidRPr="00514EFA">
        <w:rPr>
          <w:rFonts w:eastAsiaTheme="minorHAnsi" w:cs="Arial"/>
        </w:rPr>
        <w:t xml:space="preserve">Software, Computer Games and Electronic Publishing showed the highest levels of innovation while Film, Video </w:t>
      </w:r>
      <w:r>
        <w:rPr>
          <w:rFonts w:eastAsiaTheme="minorHAnsi" w:cs="Arial"/>
        </w:rPr>
        <w:t>&amp;</w:t>
      </w:r>
      <w:r w:rsidRPr="00514EFA">
        <w:rPr>
          <w:rFonts w:eastAsiaTheme="minorHAnsi" w:cs="Arial"/>
        </w:rPr>
        <w:t xml:space="preserve"> Photography and Arts </w:t>
      </w:r>
      <w:r>
        <w:rPr>
          <w:rFonts w:eastAsiaTheme="minorHAnsi" w:cs="Arial"/>
        </w:rPr>
        <w:t>&amp;</w:t>
      </w:r>
      <w:r w:rsidRPr="00514EFA">
        <w:rPr>
          <w:rFonts w:eastAsiaTheme="minorHAnsi" w:cs="Arial"/>
        </w:rPr>
        <w:t xml:space="preserve">Antiques firms show low levels of innovation. Creative industries were also shown to </w:t>
      </w:r>
      <w:r>
        <w:rPr>
          <w:rFonts w:eastAsiaTheme="minorHAnsi" w:cs="Arial"/>
        </w:rPr>
        <w:t xml:space="preserve">be </w:t>
      </w:r>
      <w:r w:rsidRPr="00514EFA">
        <w:rPr>
          <w:rFonts w:eastAsiaTheme="minorHAnsi" w:cs="Arial"/>
        </w:rPr>
        <w:t>more innovative than most industries when controlling for the level of innovation in the region as a whole. The exception to this is London where the creative industries show lower innovation than the region as a whole.</w:t>
      </w:r>
    </w:p>
    <w:p w14:paraId="56A9058E" w14:textId="77777777" w:rsidR="00DC2628" w:rsidRPr="00F0636B" w:rsidRDefault="00DC2628" w:rsidP="00DC2628">
      <w:pPr>
        <w:rPr>
          <w:b/>
        </w:rPr>
      </w:pPr>
      <w:r w:rsidRPr="00F0636B">
        <w:rPr>
          <w:b/>
        </w:rPr>
        <w:t xml:space="preserve">Creative Spillovers </w:t>
      </w:r>
    </w:p>
    <w:p w14:paraId="65CEEE7D" w14:textId="2DF1A7E6" w:rsidR="00DC2628" w:rsidRDefault="00DC2628" w:rsidP="00DC2628">
      <w:r w:rsidRPr="00514EFA">
        <w:rPr>
          <w:rFonts w:eastAsiaTheme="minorHAnsi" w:cs="Arial"/>
        </w:rPr>
        <w:t>To explore the idea that the creative industries boost the wider economy through spillover effects to other industries, the paper explores the level of co-location between the creative industries and two highly innovative sectors: High-Tech Manufacturing and Knowledge Intensive Business Services (KIBS). This analysis used the DCMS definition of the creative industries and definitions of High-Tech Manufacturing and KIBS produced by AeA and EFILW. Co-location analysis was performed at the level of TTW</w:t>
      </w:r>
      <w:r>
        <w:rPr>
          <w:rFonts w:eastAsiaTheme="minorHAnsi" w:cs="Arial"/>
        </w:rPr>
        <w:t>A</w:t>
      </w:r>
      <w:r w:rsidRPr="00514EFA">
        <w:rPr>
          <w:rFonts w:eastAsiaTheme="minorHAnsi" w:cs="Arial"/>
        </w:rPr>
        <w:t xml:space="preserve"> using data from ONS. The results showed that Advertising, Designer Fashion and Software, Computer Games </w:t>
      </w:r>
      <w:r>
        <w:rPr>
          <w:rFonts w:eastAsiaTheme="minorHAnsi" w:cs="Arial"/>
        </w:rPr>
        <w:t>&amp;</w:t>
      </w:r>
      <w:r w:rsidRPr="00514EFA">
        <w:rPr>
          <w:rFonts w:eastAsiaTheme="minorHAnsi" w:cs="Arial"/>
        </w:rPr>
        <w:t xml:space="preserve"> Electronic Publishing co-locate significantly and strongly with KIBS and less strongly with High-Tech Manufacturing. Most other creative sectors co-locate with KIBS, but not with High-Tech Manufacturing industries. This provides indirect evidence for economic spillover</w:t>
      </w:r>
      <w:r>
        <w:rPr>
          <w:rFonts w:eastAsiaTheme="minorHAnsi" w:cs="Arial"/>
        </w:rPr>
        <w:t xml:space="preserve"> effect</w:t>
      </w:r>
      <w:r w:rsidRPr="00514EFA">
        <w:rPr>
          <w:rFonts w:eastAsiaTheme="minorHAnsi" w:cs="Arial"/>
        </w:rPr>
        <w:t>s between highly innovative sectors.</w:t>
      </w:r>
    </w:p>
    <w:p w14:paraId="3C0285D6" w14:textId="30A2DEBC" w:rsidR="00410E03" w:rsidRDefault="00410E03" w:rsidP="00520273">
      <w:pPr>
        <w:pStyle w:val="Heading3Numbered"/>
      </w:pPr>
      <w:bookmarkStart w:id="100" w:name="_Toc464222937"/>
      <w:r w:rsidRPr="00F86D2B">
        <w:t xml:space="preserve">Creative </w:t>
      </w:r>
      <w:r w:rsidR="00AD6B47">
        <w:t>Placemaking</w:t>
      </w:r>
      <w:r w:rsidRPr="00F86D2B">
        <w:t xml:space="preserve"> London</w:t>
      </w:r>
      <w:bookmarkEnd w:id="100"/>
    </w:p>
    <w:p w14:paraId="47D533F7" w14:textId="2D11A5FE" w:rsidR="00410E03" w:rsidRPr="00D01D0B" w:rsidRDefault="00410E03" w:rsidP="00520273">
      <w:r w:rsidRPr="00F86D2B">
        <w:t>The integration of cultural infrastructure</w:t>
      </w:r>
      <w:r>
        <w:t>,</w:t>
      </w:r>
      <w:r w:rsidRPr="00F86D2B">
        <w:t xml:space="preserve"> enterprise and </w:t>
      </w:r>
      <w:r w:rsidR="00AD6B47">
        <w:t>placemaking</w:t>
      </w:r>
      <w:r w:rsidRPr="00F86D2B">
        <w:t xml:space="preserve"> is part of an initiative by the Lon</w:t>
      </w:r>
      <w:r>
        <w:t>d</w:t>
      </w:r>
      <w:r w:rsidRPr="00F86D2B">
        <w:t>on Assembly</w:t>
      </w:r>
      <w:r w:rsidR="0060036A">
        <w:t>,</w:t>
      </w:r>
      <w:r w:rsidRPr="00F86D2B">
        <w:t xml:space="preserve"> </w:t>
      </w:r>
      <w:r>
        <w:t xml:space="preserve">which seeks to use </w:t>
      </w:r>
      <w:r w:rsidR="00AD6B47">
        <w:t>placemaking</w:t>
      </w:r>
      <w:r>
        <w:t xml:space="preserve"> to shape regeneration with a cultural dimension. This responds both to the loss </w:t>
      </w:r>
      <w:r w:rsidR="0060036A">
        <w:t xml:space="preserve">of </w:t>
      </w:r>
      <w:r>
        <w:t xml:space="preserve">and threat to cultural workspace and cultural facilities in London (e.g. small theatres, music venues, artists studios) and represents a shift in the approach to the potential social and cultural benefits of supporting artistic activity, as well as physical and economic benefits, with </w:t>
      </w:r>
      <w:r w:rsidR="00AD6B47">
        <w:t>placemaking</w:t>
      </w:r>
      <w:r>
        <w:t xml:space="preserve"> described as a ‘process where partners from public, private, non-profit and community sectors strategically shape the physical and social character of a neighbourhood, town, city, or region around arts and cultural activities’ (Markusen &amp; Gadwa, 2010). Cultural provision </w:t>
      </w:r>
      <w:r w:rsidR="0060036A">
        <w:t>(</w:t>
      </w:r>
      <w:r>
        <w:t>through a Cultural Infrastructure Plan</w:t>
      </w:r>
      <w:r w:rsidR="0060036A">
        <w:t xml:space="preserve">) </w:t>
      </w:r>
      <w:r>
        <w:t xml:space="preserve">and local economic development </w:t>
      </w:r>
      <w:r w:rsidR="0060036A">
        <w:t>(</w:t>
      </w:r>
      <w:r>
        <w:t>through Creative Enterprise Zones</w:t>
      </w:r>
      <w:r w:rsidR="0060036A">
        <w:t>)</w:t>
      </w:r>
      <w:r>
        <w:t xml:space="preserve"> will be better integrated through Creative </w:t>
      </w:r>
      <w:r w:rsidR="00AD6B47">
        <w:t>Placemaking</w:t>
      </w:r>
      <w:r>
        <w:t xml:space="preserve"> efforts and projects (examples below), as a more sustainable approach to culture and regeneration than has been experienced in the past.</w:t>
      </w:r>
    </w:p>
    <w:p w14:paraId="593760AC" w14:textId="1919C1F0" w:rsidR="00410E03" w:rsidRDefault="00410E03" w:rsidP="00520273"/>
    <w:tbl>
      <w:tblPr>
        <w:tblStyle w:val="TableGrid"/>
        <w:tblW w:w="0" w:type="auto"/>
        <w:tblInd w:w="108" w:type="dxa"/>
        <w:tblLook w:val="04A0" w:firstRow="1" w:lastRow="0" w:firstColumn="1" w:lastColumn="0" w:noHBand="0" w:noVBand="1"/>
      </w:tblPr>
      <w:tblGrid>
        <w:gridCol w:w="9178"/>
      </w:tblGrid>
      <w:tr w:rsidR="00410E03" w14:paraId="4432CB31" w14:textId="77777777" w:rsidTr="00C80488">
        <w:tc>
          <w:tcPr>
            <w:tcW w:w="9178" w:type="dxa"/>
            <w:tcBorders>
              <w:bottom w:val="single" w:sz="4" w:space="0" w:color="auto"/>
            </w:tcBorders>
          </w:tcPr>
          <w:p w14:paraId="111A67F7" w14:textId="7C9E3063" w:rsidR="001B39A3" w:rsidRDefault="00410E03" w:rsidP="001B39A3">
            <w:pPr>
              <w:rPr>
                <w:rFonts w:eastAsiaTheme="minorHAnsi"/>
              </w:rPr>
            </w:pPr>
            <w:r w:rsidRPr="00C80488">
              <w:rPr>
                <w:rFonts w:eastAsiaTheme="minorHAnsi"/>
                <w:bCs/>
              </w:rPr>
              <w:t xml:space="preserve">Creative Barking and Dagenham (CBD) </w:t>
            </w:r>
            <w:r w:rsidRPr="00F86D2B">
              <w:rPr>
                <w:rFonts w:eastAsiaTheme="minorHAnsi"/>
              </w:rPr>
              <w:t xml:space="preserve">is an example of creative </w:t>
            </w:r>
            <w:r w:rsidR="00AD6B47">
              <w:rPr>
                <w:rFonts w:eastAsiaTheme="minorHAnsi"/>
              </w:rPr>
              <w:t>placemaking</w:t>
            </w:r>
            <w:r w:rsidRPr="00F86D2B">
              <w:rPr>
                <w:rFonts w:eastAsiaTheme="minorHAnsi"/>
              </w:rPr>
              <w:t xml:space="preserve"> in practice in London. Funded by Arts Council England and t</w:t>
            </w:r>
            <w:r w:rsidRPr="004C46E3">
              <w:rPr>
                <w:rFonts w:eastAsiaTheme="minorHAnsi"/>
              </w:rPr>
              <w:t>he London Borough of Barking &amp;</w:t>
            </w:r>
            <w:r w:rsidRPr="00F86D2B">
              <w:rPr>
                <w:rFonts w:eastAsiaTheme="minorHAnsi"/>
              </w:rPr>
              <w:t xml:space="preserve"> Dagenham the project is running from 2014 to 2016 with an aim to “put the area firmly on the map as a place to make and enjoy exciting art in all its many forms”. It forms </w:t>
            </w:r>
            <w:r w:rsidRPr="004C46E3">
              <w:rPr>
                <w:rFonts w:eastAsiaTheme="minorHAnsi"/>
              </w:rPr>
              <w:t>part of ACE</w:t>
            </w:r>
            <w:r w:rsidRPr="00F86D2B">
              <w:rPr>
                <w:rFonts w:eastAsiaTheme="minorHAnsi"/>
              </w:rPr>
              <w:t xml:space="preserve">’s </w:t>
            </w:r>
            <w:r w:rsidRPr="00F86D2B">
              <w:rPr>
                <w:rFonts w:eastAsiaTheme="minorHAnsi"/>
                <w:i/>
              </w:rPr>
              <w:t xml:space="preserve">Creative People and Places </w:t>
            </w:r>
            <w:proofErr w:type="gramStart"/>
            <w:r w:rsidRPr="00F86D2B">
              <w:rPr>
                <w:rFonts w:eastAsiaTheme="minorHAnsi"/>
              </w:rPr>
              <w:t>Programme which</w:t>
            </w:r>
            <w:proofErr w:type="gramEnd"/>
            <w:r w:rsidRPr="00F86D2B">
              <w:rPr>
                <w:rFonts w:eastAsiaTheme="minorHAnsi"/>
              </w:rPr>
              <w:t xml:space="preserve"> aims to encourage more people to choose, develop and take part in local cultural activities.</w:t>
            </w:r>
            <w:r w:rsidRPr="004C46E3">
              <w:rPr>
                <w:rFonts w:eastAsiaTheme="minorHAnsi"/>
              </w:rPr>
              <w:t xml:space="preserve"> </w:t>
            </w:r>
            <w:r w:rsidRPr="00F86D2B">
              <w:rPr>
                <w:rFonts w:eastAsiaTheme="minorHAnsi"/>
              </w:rPr>
              <w:t>To achieve these aims, CBD has focused on working in partnership to develop the community’s interest in the arts and creativity. Its partners include business, such as the Barking Enterprise Centre, artists such as Studio3 Arts, volunteers, local government and the community. In particular, CBD has focused on involving the community through its ‘</w:t>
            </w:r>
            <w:r w:rsidRPr="00F86D2B">
              <w:rPr>
                <w:rFonts w:eastAsiaTheme="minorHAnsi"/>
                <w:bCs/>
              </w:rPr>
              <w:t>Cultural Connectors</w:t>
            </w:r>
            <w:r w:rsidRPr="00F86D2B">
              <w:rPr>
                <w:rFonts w:eastAsiaTheme="minorHAnsi"/>
              </w:rPr>
              <w:t>’</w:t>
            </w:r>
            <w:r>
              <w:rPr>
                <w:rFonts w:eastAsiaTheme="minorHAnsi"/>
              </w:rPr>
              <w:t xml:space="preserve">, </w:t>
            </w:r>
            <w:r w:rsidRPr="00F86D2B">
              <w:rPr>
                <w:rFonts w:eastAsiaTheme="minorHAnsi"/>
              </w:rPr>
              <w:t xml:space="preserve">a </w:t>
            </w:r>
            <w:r w:rsidRPr="004C46E3">
              <w:rPr>
                <w:rFonts w:eastAsiaTheme="minorHAnsi"/>
              </w:rPr>
              <w:t xml:space="preserve">network of 120 </w:t>
            </w:r>
            <w:r>
              <w:rPr>
                <w:rFonts w:eastAsiaTheme="minorHAnsi"/>
              </w:rPr>
              <w:t>volunteer</w:t>
            </w:r>
            <w:r w:rsidRPr="00F86D2B">
              <w:rPr>
                <w:rFonts w:eastAsiaTheme="minorHAnsi"/>
              </w:rPr>
              <w:t xml:space="preserve"> local adult residents with a remit to build enthusiasm for arts and creativity at a local level, as well as helping with events and marketing. CBD has also run a wide variety of other projects to boost the area’s creative profile. These include </w:t>
            </w:r>
            <w:r w:rsidRPr="00F86D2B">
              <w:rPr>
                <w:rFonts w:eastAsiaTheme="minorHAnsi"/>
                <w:bCs/>
              </w:rPr>
              <w:t>Landmark Commissions</w:t>
            </w:r>
            <w:r w:rsidRPr="00F86D2B">
              <w:rPr>
                <w:rFonts w:eastAsiaTheme="minorHAnsi"/>
              </w:rPr>
              <w:t xml:space="preserve">, site-specific events inspired by local landmarks with an aim to “showcase the borough as a place where great art happens” and </w:t>
            </w:r>
            <w:r w:rsidRPr="00F86D2B">
              <w:rPr>
                <w:rFonts w:eastAsiaTheme="minorHAnsi"/>
                <w:bCs/>
              </w:rPr>
              <w:t>Neighbourhood Commissions</w:t>
            </w:r>
            <w:r w:rsidRPr="004C46E3">
              <w:rPr>
                <w:rFonts w:eastAsiaTheme="minorHAnsi"/>
              </w:rPr>
              <w:t xml:space="preserve">, </w:t>
            </w:r>
            <w:r w:rsidR="001B39A3">
              <w:rPr>
                <w:rFonts w:eastAsiaTheme="minorHAnsi"/>
              </w:rPr>
              <w:t>six-</w:t>
            </w:r>
            <w:r w:rsidRPr="00F86D2B">
              <w:rPr>
                <w:rFonts w:eastAsiaTheme="minorHAnsi"/>
              </w:rPr>
              <w:t>month artist residencies in selected parts of the borough aimed at encouraging creativity and ambition in local communities. CBD also runs summer festivals and a small number of funds supporting local artistic enterprises, voluntary arts groups and events in the borough. Collectively, this work has helped run 300 creative events with 8</w:t>
            </w:r>
            <w:r w:rsidRPr="004C46E3">
              <w:rPr>
                <w:rFonts w:eastAsiaTheme="minorHAnsi"/>
              </w:rPr>
              <w:t>,</w:t>
            </w:r>
            <w:r w:rsidRPr="00F86D2B">
              <w:rPr>
                <w:rFonts w:eastAsiaTheme="minorHAnsi"/>
              </w:rPr>
              <w:t xml:space="preserve">000 participants at 25 venues across the borough. The work has also supported local arts projects with £350,000 in funding and acted as a catalyst for £280,000 of funding for additional creative projects in the borough. CBD forms part of a wider effort to regenerate the borough as a centre for creativity in London. This includes the development of new artists’ studios, such as at the Ice House Quarter, supporting local theatres, new public art and the renovation of the former Abbey Leisure Centre into a cinema. The borough has also received £250,000 in funding from the London Regeneration Fund to develop a new </w:t>
            </w:r>
            <w:r w:rsidRPr="00F86D2B">
              <w:rPr>
                <w:rFonts w:eastAsiaTheme="minorHAnsi"/>
                <w:bCs/>
              </w:rPr>
              <w:t>Artist Enterprise Zone</w:t>
            </w:r>
            <w:r w:rsidRPr="00F86D2B">
              <w:rPr>
                <w:rFonts w:eastAsiaTheme="minorHAnsi"/>
                <w:b/>
                <w:bCs/>
              </w:rPr>
              <w:t xml:space="preserve"> </w:t>
            </w:r>
            <w:r w:rsidRPr="00F86D2B">
              <w:rPr>
                <w:rFonts w:eastAsiaTheme="minorHAnsi"/>
              </w:rPr>
              <w:t>in Barking,</w:t>
            </w:r>
            <w:r w:rsidRPr="004C46E3">
              <w:rPr>
                <w:rFonts w:eastAsiaTheme="minorHAnsi"/>
              </w:rPr>
              <w:t xml:space="preserve"> </w:t>
            </w:r>
            <w:r w:rsidRPr="00F86D2B">
              <w:rPr>
                <w:rFonts w:eastAsiaTheme="minorHAnsi"/>
              </w:rPr>
              <w:t>including new artists’ studios and apartments at Linton Road. The borough has ambitions that the zone will include a future creative arts hub, performance spaces and the redevelopment of the Broadway Theatre</w:t>
            </w:r>
            <w:r w:rsidRPr="004C46E3">
              <w:rPr>
                <w:rFonts w:eastAsiaTheme="minorHAnsi"/>
              </w:rPr>
              <w:t>.</w:t>
            </w:r>
            <w:r w:rsidR="001B39A3">
              <w:rPr>
                <w:rFonts w:eastAsiaTheme="minorHAnsi"/>
              </w:rPr>
              <w:t xml:space="preserve"> </w:t>
            </w:r>
          </w:p>
          <w:p w14:paraId="3170439F" w14:textId="1E3FD4EB" w:rsidR="001B39A3" w:rsidRDefault="001B39A3" w:rsidP="001B39A3">
            <w:pPr>
              <w:rPr>
                <w:rFonts w:eastAsiaTheme="minorHAnsi"/>
              </w:rPr>
            </w:pPr>
            <w:r w:rsidRPr="00F86D2B">
              <w:rPr>
                <w:rFonts w:eastAsiaTheme="minorHAnsi"/>
              </w:rPr>
              <w:t xml:space="preserve">The London Borough of Croydon differs in its approach to culture and regeneration, focusing on a diverse range of projects in specific geographic locations in the borough. This includes large-scale projects, such as the plans for a new Cultural and Education Quarter at Fairfield Halls in the centre of Croydon, as well as smaller creative </w:t>
            </w:r>
            <w:r w:rsidR="00AD6B47">
              <w:rPr>
                <w:rFonts w:eastAsiaTheme="minorHAnsi"/>
              </w:rPr>
              <w:t>placemaking</w:t>
            </w:r>
            <w:r w:rsidRPr="00F86D2B">
              <w:rPr>
                <w:rFonts w:eastAsiaTheme="minorHAnsi"/>
              </w:rPr>
              <w:t xml:space="preserve"> projects in New Addington and at Ashburton Park. Croydon is investing £30</w:t>
            </w:r>
            <w:r>
              <w:rPr>
                <w:rFonts w:eastAsiaTheme="minorHAnsi"/>
              </w:rPr>
              <w:t>m</w:t>
            </w:r>
            <w:r w:rsidRPr="00F86D2B">
              <w:rPr>
                <w:rFonts w:eastAsiaTheme="minorHAnsi"/>
              </w:rPr>
              <w:t xml:space="preserve"> in the large-scale regeneration of the 1960s </w:t>
            </w:r>
            <w:proofErr w:type="gramStart"/>
            <w:r w:rsidRPr="00F86D2B">
              <w:rPr>
                <w:rFonts w:eastAsiaTheme="minorHAnsi"/>
              </w:rPr>
              <w:t>Fairfield Halls</w:t>
            </w:r>
            <w:proofErr w:type="gramEnd"/>
            <w:r w:rsidRPr="00F86D2B">
              <w:rPr>
                <w:rFonts w:eastAsiaTheme="minorHAnsi"/>
              </w:rPr>
              <w:t xml:space="preserve"> music venue and Croydon College to make the area into a Cultural and Education Quarter, a ‘destination for Londoners’. Croydon’s Director for Culture, Paula Murray</w:t>
            </w:r>
            <w:r>
              <w:rPr>
                <w:rFonts w:eastAsiaTheme="minorHAnsi"/>
              </w:rPr>
              <w:t>,</w:t>
            </w:r>
            <w:r w:rsidRPr="00F86D2B">
              <w:rPr>
                <w:rFonts w:eastAsiaTheme="minorHAnsi"/>
              </w:rPr>
              <w:t xml:space="preserve"> has argued that the space will meet community needs as residents ‘want to see our young people performing on those stages, they want to see it open more of the time with activity happening throughout the day, they absolutely want a quality classical music offer’. Croydon has also invested in small-scale creative </w:t>
            </w:r>
            <w:r w:rsidR="00AD6B47">
              <w:rPr>
                <w:rFonts w:eastAsiaTheme="minorHAnsi"/>
              </w:rPr>
              <w:t>placemaking</w:t>
            </w:r>
            <w:r w:rsidRPr="00F86D2B">
              <w:rPr>
                <w:rFonts w:eastAsiaTheme="minorHAnsi"/>
              </w:rPr>
              <w:t xml:space="preserve"> projects working with local communities. For example, in New Addington, a geographically isolated, socially excluded part of the borough, Croydon used £516,000 funding from the GLA’s Outer London Fund to regenerate the Central Parade</w:t>
            </w:r>
            <w:r>
              <w:rPr>
                <w:rFonts w:eastAsiaTheme="minorHAnsi"/>
              </w:rPr>
              <w:t xml:space="preserve"> </w:t>
            </w:r>
            <w:r w:rsidRPr="00F86D2B">
              <w:rPr>
                <w:rFonts w:eastAsiaTheme="minorHAnsi"/>
              </w:rPr>
              <w:t xml:space="preserve">as part of its Connected Croydon Programme. </w:t>
            </w:r>
            <w:r>
              <w:rPr>
                <w:rFonts w:eastAsiaTheme="minorHAnsi"/>
              </w:rPr>
              <w:t xml:space="preserve">As part of this </w:t>
            </w:r>
            <w:r w:rsidRPr="00F86D2B">
              <w:rPr>
                <w:rFonts w:eastAsiaTheme="minorHAnsi"/>
              </w:rPr>
              <w:t xml:space="preserve">project, the borough worked with local community group Pathfinders and identified a need for </w:t>
            </w:r>
            <w:proofErr w:type="gramStart"/>
            <w:r w:rsidRPr="00F86D2B">
              <w:rPr>
                <w:rFonts w:eastAsiaTheme="minorHAnsi"/>
              </w:rPr>
              <w:t>an ‘animating</w:t>
            </w:r>
            <w:proofErr w:type="gramEnd"/>
            <w:r w:rsidRPr="00F86D2B">
              <w:rPr>
                <w:rFonts w:eastAsiaTheme="minorHAnsi"/>
              </w:rPr>
              <w:t xml:space="preserve"> public space’ with a programme of events. The GLA claims that this work resulted in a local cultural events programme for the public space, greater trust in the regeneration project and the development of a Business Improvement District (BID). Croydon is also undertaking a similar community partnership approach in the restoration of a former library in Ashburton Park. It has identified a need to ‘celebrate local culture and heritage’ on the site, potentially including multi-use performing arts space, local history exhibits and arts and crafts events.</w:t>
            </w:r>
          </w:p>
          <w:p w14:paraId="3C848D70" w14:textId="5D42522C" w:rsidR="001B39A3" w:rsidRPr="00F86D2B" w:rsidRDefault="001B39A3" w:rsidP="001B39A3">
            <w:pPr>
              <w:rPr>
                <w:rFonts w:eastAsiaTheme="minorHAnsi"/>
              </w:rPr>
            </w:pPr>
          </w:p>
        </w:tc>
      </w:tr>
    </w:tbl>
    <w:p w14:paraId="0DFA5E9F" w14:textId="77777777" w:rsidR="00E2185B" w:rsidRPr="00514EFA" w:rsidRDefault="00E2185B" w:rsidP="00E2185B">
      <w:pPr>
        <w:pStyle w:val="Heading3Numbered"/>
      </w:pPr>
      <w:bookmarkStart w:id="101" w:name="_Toc464222938"/>
      <w:r w:rsidRPr="00514EFA">
        <w:t>International literature on creative clustering and determinants of location decisions</w:t>
      </w:r>
      <w:bookmarkEnd w:id="101"/>
    </w:p>
    <w:p w14:paraId="58C0336A" w14:textId="77777777" w:rsidR="00E2185B" w:rsidRPr="00514EFA" w:rsidRDefault="00E2185B" w:rsidP="00E2185B">
      <w:pPr>
        <w:rPr>
          <w:rFonts w:cs="Arial"/>
        </w:rPr>
      </w:pPr>
      <w:r w:rsidRPr="00514EFA">
        <w:rPr>
          <w:rFonts w:cs="Arial"/>
        </w:rPr>
        <w:t>A central question in this research study is the extent to which CS&amp;H assets and associated investment represent pull factors which encourage economic activity (e.g. through the relocation or start-up of firms in certain locations).</w:t>
      </w:r>
      <w:r>
        <w:rPr>
          <w:rFonts w:cs="Arial"/>
        </w:rPr>
        <w:t xml:space="preserve"> </w:t>
      </w:r>
      <w:r w:rsidRPr="00514EFA">
        <w:rPr>
          <w:rFonts w:cs="Arial"/>
        </w:rPr>
        <w:t xml:space="preserve">The literature includes a number of </w:t>
      </w:r>
      <w:proofErr w:type="gramStart"/>
      <w:r w:rsidRPr="00514EFA">
        <w:rPr>
          <w:rFonts w:cs="Arial"/>
        </w:rPr>
        <w:t>studies which</w:t>
      </w:r>
      <w:proofErr w:type="gramEnd"/>
      <w:r w:rsidRPr="00514EFA">
        <w:rPr>
          <w:rFonts w:cs="Arial"/>
        </w:rPr>
        <w:t xml:space="preserve"> consider the potential influence of CS&amp;H assets and investments (amongst other things, but in the form of amenities, asset density</w:t>
      </w:r>
      <w:r>
        <w:rPr>
          <w:rFonts w:cs="Arial"/>
        </w:rPr>
        <w:t>, etc.</w:t>
      </w:r>
      <w:r w:rsidRPr="00514EFA">
        <w:rPr>
          <w:rFonts w:cs="Arial"/>
        </w:rPr>
        <w:t>) on the location decisions of firms.</w:t>
      </w:r>
      <w:r>
        <w:rPr>
          <w:rFonts w:cs="Arial"/>
        </w:rPr>
        <w:t xml:space="preserve"> </w:t>
      </w:r>
      <w:r w:rsidRPr="00514EFA">
        <w:rPr>
          <w:rFonts w:cs="Arial"/>
        </w:rPr>
        <w:t xml:space="preserve">There is a significant focus on the location decisions of firms in the creative industries in this literature, especially those </w:t>
      </w:r>
      <w:proofErr w:type="gramStart"/>
      <w:r w:rsidRPr="00514EFA">
        <w:rPr>
          <w:rFonts w:cs="Arial"/>
        </w:rPr>
        <w:t>which</w:t>
      </w:r>
      <w:proofErr w:type="gramEnd"/>
      <w:r w:rsidRPr="00514EFA">
        <w:rPr>
          <w:rFonts w:cs="Arial"/>
        </w:rPr>
        <w:t xml:space="preserve"> use econometric estimation techniques to examine these relationships.</w:t>
      </w:r>
    </w:p>
    <w:p w14:paraId="60814B96" w14:textId="77777777" w:rsidR="00E2185B" w:rsidRPr="00514EFA" w:rsidRDefault="00E2185B" w:rsidP="00E2185B">
      <w:pPr>
        <w:rPr>
          <w:rFonts w:cs="Arial"/>
        </w:rPr>
      </w:pPr>
      <w:r w:rsidRPr="00514EFA">
        <w:rPr>
          <w:rFonts w:cs="Arial"/>
        </w:rPr>
        <w:t xml:space="preserve">Creative industries in these studies refer to a range of economic activities concerned with the output of creativity, ideas and knowledge – including digital. </w:t>
      </w:r>
      <w:r>
        <w:rPr>
          <w:rFonts w:cs="Arial"/>
        </w:rPr>
        <w:t>W</w:t>
      </w:r>
      <w:r w:rsidRPr="00514EFA">
        <w:rPr>
          <w:rFonts w:cs="Arial"/>
        </w:rPr>
        <w:t xml:space="preserve">e follow the creative industries definition from DCMS: “Those industries which have their origin in individual creativity, skill and talent and which have a potential for wealth and job creation through the generation and exploitation of intellectual property”. </w:t>
      </w:r>
    </w:p>
    <w:p w14:paraId="5B3DB0C7" w14:textId="77777777" w:rsidR="00E2185B" w:rsidRPr="00514EFA" w:rsidRDefault="00E2185B" w:rsidP="00E2185B">
      <w:pPr>
        <w:rPr>
          <w:rFonts w:cs="Arial"/>
        </w:rPr>
      </w:pPr>
      <w:r w:rsidRPr="00514EFA">
        <w:rPr>
          <w:rFonts w:cs="Arial"/>
        </w:rPr>
        <w:t>The creative industries and the creative class (a class of individuals in professions relating to the generation of creativity and knowledge) have been a focus for researchers as it has been posited that these are an ascendant source of growth in modern economies, capable of driving regional economic growth through innovation</w:t>
      </w:r>
      <w:r w:rsidRPr="00514EFA">
        <w:rPr>
          <w:rStyle w:val="FootnoteReference"/>
          <w:rFonts w:cs="Arial"/>
        </w:rPr>
        <w:footnoteReference w:id="33"/>
      </w:r>
      <w:r w:rsidRPr="00514EFA">
        <w:rPr>
          <w:rFonts w:cs="Arial"/>
        </w:rPr>
        <w:t>.</w:t>
      </w:r>
    </w:p>
    <w:p w14:paraId="68B3A2B9" w14:textId="77777777" w:rsidR="00E2185B" w:rsidRPr="00514EFA" w:rsidRDefault="00E2185B" w:rsidP="00E2185B">
      <w:pPr>
        <w:rPr>
          <w:rFonts w:cs="Arial"/>
        </w:rPr>
      </w:pPr>
      <w:r w:rsidRPr="00514EFA">
        <w:rPr>
          <w:rFonts w:cs="Arial"/>
        </w:rPr>
        <w:t>Recognising that the creative industries tend to concentrate mainly around large- and medium-sized cities, forming creative local production systems, Lazzeretti et al (2009)</w:t>
      </w:r>
      <w:r>
        <w:rPr>
          <w:rStyle w:val="FootnoteReference"/>
          <w:rFonts w:cs="Arial"/>
        </w:rPr>
        <w:footnoteReference w:id="34"/>
      </w:r>
      <w:r w:rsidRPr="00514EFA">
        <w:rPr>
          <w:rFonts w:cs="Arial"/>
        </w:rPr>
        <w:t xml:space="preserve"> examined the forces behind clustering of creative industries.</w:t>
      </w:r>
      <w:r>
        <w:rPr>
          <w:rFonts w:cs="Arial"/>
        </w:rPr>
        <w:t xml:space="preserve"> </w:t>
      </w:r>
      <w:r w:rsidRPr="00514EFA">
        <w:rPr>
          <w:rFonts w:cs="Arial"/>
        </w:rPr>
        <w:t>The objective was to provide the first empirical explanation of the determinants of creative employment clustering</w:t>
      </w:r>
      <w:r>
        <w:rPr>
          <w:rFonts w:cs="Arial"/>
        </w:rPr>
        <w:t>,</w:t>
      </w:r>
      <w:r w:rsidRPr="00514EFA">
        <w:rPr>
          <w:rFonts w:cs="Arial"/>
        </w:rPr>
        <w:t xml:space="preserve"> following a multidisciplinary approach based on cultural and creative economics, evolutionary geography and urban economics.</w:t>
      </w:r>
      <w:r>
        <w:rPr>
          <w:rFonts w:cs="Arial"/>
        </w:rPr>
        <w:t xml:space="preserve"> </w:t>
      </w:r>
      <w:r w:rsidRPr="00514EFA">
        <w:rPr>
          <w:rFonts w:cs="Arial"/>
        </w:rPr>
        <w:t>This</w:t>
      </w:r>
      <w:r>
        <w:rPr>
          <w:rFonts w:cs="Arial"/>
        </w:rPr>
        <w:t xml:space="preserve"> was achieved</w:t>
      </w:r>
      <w:r w:rsidRPr="00514EFA">
        <w:rPr>
          <w:rFonts w:cs="Arial"/>
        </w:rPr>
        <w:t xml:space="preserve"> through a comparative analysis of Italy and Spain.</w:t>
      </w:r>
    </w:p>
    <w:p w14:paraId="4E768AA4" w14:textId="77777777" w:rsidR="00E2185B" w:rsidRPr="00514EFA" w:rsidRDefault="00E2185B" w:rsidP="00E2185B">
      <w:pPr>
        <w:rPr>
          <w:rFonts w:cs="Arial"/>
        </w:rPr>
      </w:pPr>
      <w:r w:rsidRPr="00514EFA">
        <w:rPr>
          <w:rFonts w:cs="Arial"/>
        </w:rPr>
        <w:t>The study first assesses the level of clustering of the creative industries using location quotient analysis in Italy and Spain.</w:t>
      </w:r>
      <w:r>
        <w:rPr>
          <w:rFonts w:cs="Arial"/>
        </w:rPr>
        <w:t xml:space="preserve"> </w:t>
      </w:r>
      <w:r w:rsidRPr="00514EFA">
        <w:rPr>
          <w:rFonts w:cs="Arial"/>
        </w:rPr>
        <w:t xml:space="preserve"> It goes on to design and employ an empirical (exponential) model to understand the process of creative industries’ clustering.</w:t>
      </w:r>
      <w:r>
        <w:rPr>
          <w:rFonts w:cs="Arial"/>
        </w:rPr>
        <w:t xml:space="preserve"> </w:t>
      </w:r>
    </w:p>
    <w:p w14:paraId="34B1A3F3" w14:textId="77777777" w:rsidR="00E2185B" w:rsidRPr="00514EFA" w:rsidRDefault="00E2185B" w:rsidP="00E2185B">
      <w:pPr>
        <w:rPr>
          <w:rFonts w:cs="Arial"/>
        </w:rPr>
      </w:pPr>
      <w:r w:rsidRPr="00514EFA">
        <w:rPr>
          <w:rFonts w:cs="Arial"/>
        </w:rPr>
        <w:t>The model tested the relationship between levels of creative clustering and a number of determinants, namely</w:t>
      </w:r>
      <w:r>
        <w:rPr>
          <w:rFonts w:cs="Arial"/>
        </w:rPr>
        <w:t xml:space="preserve"> </w:t>
      </w:r>
      <w:r w:rsidRPr="00514EFA">
        <w:rPr>
          <w:rFonts w:cs="Arial"/>
        </w:rPr>
        <w:t xml:space="preserve">historical and cultural heritage, localisation economies, urbanisation economies, related variety, human capital and Florida’s </w:t>
      </w:r>
      <w:r>
        <w:rPr>
          <w:rFonts w:cs="Arial"/>
        </w:rPr>
        <w:t xml:space="preserve">three </w:t>
      </w:r>
      <w:r w:rsidRPr="00514EFA">
        <w:rPr>
          <w:rFonts w:cs="Arial"/>
        </w:rPr>
        <w:t xml:space="preserve">T’s (technology, talent, tolerance). </w:t>
      </w:r>
    </w:p>
    <w:p w14:paraId="1DEB6A1C" w14:textId="77777777" w:rsidR="00E2185B" w:rsidRPr="00514EFA" w:rsidRDefault="00E2185B" w:rsidP="00E2185B">
      <w:pPr>
        <w:rPr>
          <w:rFonts w:cs="Arial"/>
        </w:rPr>
      </w:pPr>
      <w:r w:rsidRPr="00514EFA">
        <w:rPr>
          <w:rFonts w:cs="Arial"/>
        </w:rPr>
        <w:t>The results identify</w:t>
      </w:r>
      <w:r>
        <w:rPr>
          <w:rFonts w:cs="Arial"/>
        </w:rPr>
        <w:t xml:space="preserve"> that</w:t>
      </w:r>
      <w:r w:rsidRPr="00514EFA">
        <w:rPr>
          <w:rFonts w:cs="Arial"/>
        </w:rPr>
        <w:t xml:space="preserve"> the determinants of clustering in the two countries are different.</w:t>
      </w:r>
      <w:r>
        <w:rPr>
          <w:rFonts w:cs="Arial"/>
        </w:rPr>
        <w:t xml:space="preserve"> </w:t>
      </w:r>
      <w:r w:rsidRPr="00514EFA">
        <w:rPr>
          <w:rFonts w:cs="Arial"/>
        </w:rPr>
        <w:t>The small role of historical and cultural endowments, the size of the place, the average size of creative industries, the productive diversity and the concentration of human capital and creative class have been found as common factors of clustering in both countries. However, in Italy, creativity is more related to cultural and artistic heritage and localisation economies and it is dispersed all over the country. In Spain, creative activities are not only correlated with localisation economies, but also they are particularly related to urbanisation economies and talent and are concentrated in the main metropolitan areas.</w:t>
      </w:r>
    </w:p>
    <w:p w14:paraId="6B527CED" w14:textId="77777777" w:rsidR="00E2185B" w:rsidRPr="00514EFA" w:rsidRDefault="00E2185B" w:rsidP="00E2185B">
      <w:pPr>
        <w:rPr>
          <w:rFonts w:cs="Arial"/>
        </w:rPr>
      </w:pPr>
      <w:r w:rsidRPr="00514EFA">
        <w:rPr>
          <w:rFonts w:cs="Arial"/>
          <w:szCs w:val="22"/>
        </w:rPr>
        <w:t>Cruz and Teixeira (2014)</w:t>
      </w:r>
      <w:r>
        <w:rPr>
          <w:rStyle w:val="FootnoteReference"/>
          <w:rFonts w:cs="Arial"/>
          <w:szCs w:val="22"/>
        </w:rPr>
        <w:footnoteReference w:id="35"/>
      </w:r>
      <w:r w:rsidRPr="00514EFA">
        <w:rPr>
          <w:rFonts w:cs="Arial"/>
          <w:szCs w:val="22"/>
        </w:rPr>
        <w:t xml:space="preserve"> investigated the determinants of spatial location of creative industries start-ups in Portugal within the framework of Discreet Choice Models.</w:t>
      </w:r>
      <w:r>
        <w:rPr>
          <w:rFonts w:cs="Arial"/>
          <w:szCs w:val="22"/>
        </w:rPr>
        <w:t xml:space="preserve"> </w:t>
      </w:r>
      <w:r w:rsidRPr="00514EFA">
        <w:rPr>
          <w:rFonts w:cs="Arial"/>
          <w:szCs w:val="22"/>
        </w:rPr>
        <w:t>The study first examines the location behaviour of creative industries at a micro-level using highly detailed data on firms.</w:t>
      </w:r>
      <w:r>
        <w:rPr>
          <w:rFonts w:cs="Arial"/>
          <w:szCs w:val="22"/>
        </w:rPr>
        <w:t xml:space="preserve"> </w:t>
      </w:r>
      <w:r w:rsidRPr="00514EFA">
        <w:rPr>
          <w:rFonts w:cs="Arial"/>
          <w:szCs w:val="22"/>
        </w:rPr>
        <w:t>It then assesses the role played by location determinants for the creative industries as a whole and for each creative sector in isolation, accounting for the potential heterogeneity of location behaviour across creative industries, using some of the most recent modelling approaches to location.</w:t>
      </w:r>
      <w:r>
        <w:rPr>
          <w:rFonts w:cs="Arial"/>
          <w:szCs w:val="22"/>
        </w:rPr>
        <w:t xml:space="preserve"> </w:t>
      </w:r>
      <w:r w:rsidRPr="00514EFA">
        <w:rPr>
          <w:rFonts w:cs="Arial"/>
          <w:szCs w:val="22"/>
        </w:rPr>
        <w:t>The econometric estimation was based on the application of a Contingent Logit Model which examined the relationship between creative industries start-ups concentration and a range of potential determinants, namely; population density, creative firms’ density, service firms’ density, knowledge firms’ density, industrial diversity, creative diversity, higher education, secondary education, culture, social inequality and R&amp;D firms’ density.</w:t>
      </w:r>
      <w:r>
        <w:rPr>
          <w:rFonts w:cs="Arial"/>
          <w:szCs w:val="22"/>
        </w:rPr>
        <w:t xml:space="preserve"> </w:t>
      </w:r>
      <w:r w:rsidRPr="00514EFA">
        <w:rPr>
          <w:rFonts w:cs="Arial"/>
          <w:szCs w:val="22"/>
        </w:rPr>
        <w:t xml:space="preserve"> </w:t>
      </w:r>
    </w:p>
    <w:p w14:paraId="1D9EA525" w14:textId="2DA2AB85" w:rsidR="00410E03" w:rsidRPr="007A2D6D" w:rsidRDefault="00E2185B" w:rsidP="00131F29">
      <w:r w:rsidRPr="00514EFA">
        <w:rPr>
          <w:rFonts w:cs="Arial"/>
          <w:szCs w:val="22"/>
        </w:rPr>
        <w:t>The findings show that as a whole,</w:t>
      </w:r>
      <w:r>
        <w:rPr>
          <w:rFonts w:cs="Arial"/>
          <w:szCs w:val="22"/>
        </w:rPr>
        <w:t xml:space="preserve"> </w:t>
      </w:r>
      <w:r w:rsidRPr="00514EFA">
        <w:rPr>
          <w:rFonts w:cs="Arial"/>
          <w:szCs w:val="22"/>
        </w:rPr>
        <w:t>creative firms share similarities in their location behaviour with other industries</w:t>
      </w:r>
      <w:r w:rsidRPr="00514EFA">
        <w:rPr>
          <w:rFonts w:cs="Arial"/>
        </w:rPr>
        <w:t xml:space="preserve"> (e.g.</w:t>
      </w:r>
      <w:r w:rsidRPr="00514EFA">
        <w:rPr>
          <w:rFonts w:cs="Arial"/>
          <w:szCs w:val="22"/>
        </w:rPr>
        <w:t xml:space="preserve"> the manufacturing sector</w:t>
      </w:r>
      <w:r w:rsidRPr="00514EFA">
        <w:rPr>
          <w:rFonts w:cs="Arial"/>
        </w:rPr>
        <w:t>)</w:t>
      </w:r>
      <w:r w:rsidRPr="00514EFA">
        <w:rPr>
          <w:rFonts w:cs="Arial"/>
          <w:szCs w:val="22"/>
        </w:rPr>
        <w:t>.</w:t>
      </w:r>
      <w:r w:rsidRPr="00514EFA">
        <w:rPr>
          <w:rFonts w:cs="Arial"/>
        </w:rPr>
        <w:t xml:space="preserve"> </w:t>
      </w:r>
      <w:r w:rsidRPr="00514EFA">
        <w:rPr>
          <w:rFonts w:cs="Arial"/>
          <w:szCs w:val="22"/>
        </w:rPr>
        <w:t>However, there are determinants that are specific to these firms and affect their location</w:t>
      </w:r>
      <w:r w:rsidRPr="00514EFA">
        <w:rPr>
          <w:rFonts w:cs="Arial"/>
        </w:rPr>
        <w:t xml:space="preserve"> </w:t>
      </w:r>
      <w:r w:rsidRPr="00514EFA">
        <w:rPr>
          <w:rFonts w:cs="Arial"/>
          <w:szCs w:val="22"/>
        </w:rPr>
        <w:t>choices, most notably urbanization economies, human capital and tolerance/institutional factors</w:t>
      </w:r>
      <w:r w:rsidRPr="00514EFA">
        <w:rPr>
          <w:rFonts w:cs="Arial"/>
        </w:rPr>
        <w:t>.</w:t>
      </w:r>
    </w:p>
    <w:p w14:paraId="6A3240D9" w14:textId="6B0D66F7" w:rsidR="00410E03" w:rsidRDefault="00410E03" w:rsidP="00520273">
      <w:pPr>
        <w:pStyle w:val="Heading2Numbered"/>
      </w:pPr>
      <w:bookmarkStart w:id="102" w:name="_Toc464222939"/>
      <w:r>
        <w:t>Valuing Environmental Assets</w:t>
      </w:r>
      <w:bookmarkEnd w:id="102"/>
    </w:p>
    <w:p w14:paraId="24EEBED1" w14:textId="77777777" w:rsidR="00410E03" w:rsidRDefault="00410E03" w:rsidP="00131F29">
      <w:r w:rsidRPr="004C1B81">
        <w:t xml:space="preserve">As noted above, the contingent valuation method is </w:t>
      </w:r>
      <w:r>
        <w:t>used</w:t>
      </w:r>
      <w:r w:rsidRPr="004C1B81">
        <w:t xml:space="preserve"> in order to place financial values</w:t>
      </w:r>
      <w:r>
        <w:t xml:space="preserve"> on intangible and ‘free’ resources such as parks/open spaces, some heritage and environmental amenities. A key quantitative technique is the use of hedonic pricing models of property prices in neighbourhoods where new or upgraded facilities are located. This approach has been used in assessing </w:t>
      </w:r>
      <w:r w:rsidRPr="00F0636B">
        <w:t>the impact on</w:t>
      </w:r>
      <w:r w:rsidRPr="003C780B">
        <w:t xml:space="preserve"> </w:t>
      </w:r>
      <w:r w:rsidRPr="00F0636B">
        <w:t>domestic property prices from sports facilities</w:t>
      </w:r>
      <w:r>
        <w:t xml:space="preserve"> in the USA and Germany, and more recently in the UK (</w:t>
      </w:r>
      <w:r>
        <w:rPr>
          <w:rFonts w:eastAsiaTheme="minorHAnsi"/>
          <w:color w:val="000000"/>
        </w:rPr>
        <w:t>Ahlfeldt, Gabriel &amp;</w:t>
      </w:r>
      <w:r w:rsidRPr="00F27EC7">
        <w:rPr>
          <w:rFonts w:eastAsiaTheme="minorHAnsi"/>
          <w:color w:val="000000"/>
        </w:rPr>
        <w:t xml:space="preserve"> Kavetsos, 2014</w:t>
      </w:r>
      <w:r>
        <w:t>). Recognising the difficulties in obtaining property transaction data over a long enough period, particularly for newer stadia development, Davies (2005) undertook a qualitative survey of the Cardiff and Manchester stadia impacts.</w:t>
      </w:r>
    </w:p>
    <w:p w14:paraId="761B26AC" w14:textId="77777777" w:rsidR="00410E03" w:rsidRDefault="00410E03" w:rsidP="00224A2D"/>
    <w:tbl>
      <w:tblPr>
        <w:tblStyle w:val="TableGrid"/>
        <w:tblW w:w="0" w:type="auto"/>
        <w:tblInd w:w="108" w:type="dxa"/>
        <w:tblLook w:val="04A0" w:firstRow="1" w:lastRow="0" w:firstColumn="1" w:lastColumn="0" w:noHBand="0" w:noVBand="1"/>
      </w:tblPr>
      <w:tblGrid>
        <w:gridCol w:w="9178"/>
      </w:tblGrid>
      <w:tr w:rsidR="00410E03" w:rsidRPr="00391B30" w14:paraId="3003F66C" w14:textId="77777777" w:rsidTr="00121553">
        <w:tc>
          <w:tcPr>
            <w:tcW w:w="9178" w:type="dxa"/>
          </w:tcPr>
          <w:p w14:paraId="439F9C1C" w14:textId="129FE35E" w:rsidR="00410E03" w:rsidRDefault="00410E03" w:rsidP="003C780B">
            <w:pPr>
              <w:rPr>
                <w:rFonts w:eastAsiaTheme="minorHAnsi"/>
              </w:rPr>
            </w:pPr>
            <w:r w:rsidRPr="00391B30">
              <w:rPr>
                <w:rFonts w:eastAsiaTheme="minorHAnsi"/>
              </w:rPr>
              <w:t xml:space="preserve">This study </w:t>
            </w:r>
            <w:r w:rsidR="003C780B">
              <w:rPr>
                <w:rFonts w:eastAsiaTheme="minorHAnsi"/>
              </w:rPr>
              <w:t xml:space="preserve">of the impacts of the </w:t>
            </w:r>
            <w:r w:rsidR="003C780B" w:rsidRPr="003C780B">
              <w:rPr>
                <w:rFonts w:eastAsiaTheme="minorHAnsi"/>
              </w:rPr>
              <w:t xml:space="preserve">Cardiff Millennium Stadium and City of Manchester (COM) Stadium </w:t>
            </w:r>
            <w:r w:rsidRPr="00391B30">
              <w:rPr>
                <w:rFonts w:eastAsiaTheme="minorHAnsi"/>
              </w:rPr>
              <w:t>used the expert opinion of property professionals together with the opinions of local interest groups/key stakeholders. The research revealed that the stadia in each city have generally impacted positively on the residential property market. The findings suggest that in the case of Manchester, the early signs indicated that the impacts have been positive with an average net positive change of 12.5% to property value</w:t>
            </w:r>
            <w:r w:rsidR="003C780B">
              <w:rPr>
                <w:rFonts w:eastAsiaTheme="minorHAnsi"/>
              </w:rPr>
              <w:t>s</w:t>
            </w:r>
            <w:r w:rsidRPr="00391B30">
              <w:rPr>
                <w:rFonts w:eastAsiaTheme="minorHAnsi"/>
              </w:rPr>
              <w:t xml:space="preserve"> over and above general house price increases in the area. Over half of respondents thought the impacts occurred within the construction phase of the stadium and the first three months of it opening and 67% of respondents thought that the impacts of the stadium were within 2km of the stadium site. In the case of Cardiff (in a more established real estate market area), there was evidence that the Millennium Stadium had been a key factor in the increased price of property in the surrounding vicinity. Property professionals and surveyors reported that the Millennium Stadium has resulted in an average net positive change of 2.9% to residential property value</w:t>
            </w:r>
            <w:r w:rsidR="003C780B">
              <w:rPr>
                <w:rFonts w:eastAsiaTheme="minorHAnsi"/>
              </w:rPr>
              <w:t>s</w:t>
            </w:r>
            <w:r w:rsidRPr="00391B30">
              <w:rPr>
                <w:rFonts w:eastAsiaTheme="minorHAnsi"/>
              </w:rPr>
              <w:t xml:space="preserve"> in the surrounding area over and above general house price increases. 53% of survey </w:t>
            </w:r>
            <w:proofErr w:type="gramStart"/>
            <w:r w:rsidRPr="00391B30">
              <w:rPr>
                <w:rFonts w:eastAsiaTheme="minorHAnsi"/>
              </w:rPr>
              <w:t>respondents</w:t>
            </w:r>
            <w:proofErr w:type="gramEnd"/>
            <w:r w:rsidRPr="00391B30">
              <w:rPr>
                <w:rFonts w:eastAsiaTheme="minorHAnsi"/>
              </w:rPr>
              <w:t xml:space="preserve"> thought that</w:t>
            </w:r>
            <w:r>
              <w:rPr>
                <w:rFonts w:eastAsiaTheme="minorHAnsi"/>
              </w:rPr>
              <w:t xml:space="preserve"> the impacts were within 1km of </w:t>
            </w:r>
            <w:r w:rsidRPr="00391B30">
              <w:rPr>
                <w:rFonts w:eastAsiaTheme="minorHAnsi"/>
              </w:rPr>
              <w:t>the stadium site, over 30% felt that the Millennium Stadium impacted on pro</w:t>
            </w:r>
            <w:r>
              <w:rPr>
                <w:rFonts w:eastAsiaTheme="minorHAnsi"/>
              </w:rPr>
              <w:t xml:space="preserve">perty </w:t>
            </w:r>
            <w:r w:rsidRPr="00391B30">
              <w:rPr>
                <w:rFonts w:eastAsiaTheme="minorHAnsi"/>
              </w:rPr>
              <w:t>over 5km aw</w:t>
            </w:r>
            <w:r>
              <w:rPr>
                <w:rFonts w:eastAsiaTheme="minorHAnsi"/>
              </w:rPr>
              <w:t xml:space="preserve">ay. Again </w:t>
            </w:r>
            <w:r w:rsidRPr="00391B30">
              <w:rPr>
                <w:rFonts w:eastAsiaTheme="minorHAnsi"/>
              </w:rPr>
              <w:t>th</w:t>
            </w:r>
            <w:r>
              <w:rPr>
                <w:rFonts w:eastAsiaTheme="minorHAnsi"/>
              </w:rPr>
              <w:t xml:space="preserve">is was felt to be a result of the enhanced </w:t>
            </w:r>
            <w:r w:rsidRPr="00391B30">
              <w:rPr>
                <w:rFonts w:eastAsiaTheme="minorHAnsi"/>
              </w:rPr>
              <w:t>profile and image of Cardiff generated by the Millennium Stadium</w:t>
            </w:r>
            <w:r>
              <w:rPr>
                <w:rFonts w:eastAsiaTheme="minorHAnsi"/>
              </w:rPr>
              <w:t xml:space="preserve"> (Davies, 2005).</w:t>
            </w:r>
          </w:p>
          <w:p w14:paraId="59731BF2" w14:textId="0EA74F73" w:rsidR="003C780B" w:rsidRPr="00391B30" w:rsidRDefault="003C780B" w:rsidP="003C780B">
            <w:pPr>
              <w:rPr>
                <w:rFonts w:eastAsiaTheme="minorHAnsi"/>
              </w:rPr>
            </w:pPr>
          </w:p>
        </w:tc>
      </w:tr>
    </w:tbl>
    <w:p w14:paraId="2311491B" w14:textId="77777777" w:rsidR="00410E03" w:rsidRDefault="00410E03" w:rsidP="00131F29"/>
    <w:p w14:paraId="692E494D" w14:textId="74F2CA80" w:rsidR="00410E03" w:rsidRDefault="00410E03" w:rsidP="00224A2D">
      <w:r>
        <w:t xml:space="preserve">Distinguishing major facility developments from the effects from other improvements is however problematic, as some of these studies confirm. Displacement (negative) effects can also be evident, where changes to other areas produce disbenefits, for example in the case of the Arsenal FC stadium, the relocation of a major waste recycling plant. Amenity value is more commonly measured in terms of environmental assets such as open/green space and urban design, and several studies were reviewed in </w:t>
      </w:r>
      <w:r w:rsidRPr="004C1B81">
        <w:rPr>
          <w:i/>
        </w:rPr>
        <w:t>Art of the Possible</w:t>
      </w:r>
      <w:r>
        <w:t xml:space="preserve"> (</w:t>
      </w:r>
      <w:r w:rsidR="00846DC1">
        <w:t xml:space="preserve">including </w:t>
      </w:r>
      <w:r>
        <w:t>CABE, 2007; Varma</w:t>
      </w:r>
      <w:r w:rsidR="00846DC1">
        <w:t xml:space="preserve">, 2003 and </w:t>
      </w:r>
      <w:r>
        <w:t xml:space="preserve">GLA, 2003). This method attempts to control for a range of variables that affect property values to try </w:t>
      </w:r>
      <w:r w:rsidR="00846DC1">
        <w:t xml:space="preserve">to </w:t>
      </w:r>
      <w:r>
        <w:t xml:space="preserve">isolate the effect of the specific amenity. These studies generally conclude that there is a direct effect on the price paid for properties in close proximity to the asset, with this benefit </w:t>
      </w:r>
      <w:proofErr w:type="gramStart"/>
      <w:r>
        <w:t>subject to a ‘distance decay’</w:t>
      </w:r>
      <w:proofErr w:type="gramEnd"/>
      <w:r>
        <w:t xml:space="preserve"> (i.e. prices go down rapidly as the distance from the amenity increases). This is due to the values associated with direct ‘views’, access and associated locational benefits such as lower densities, noise, traffic</w:t>
      </w:r>
      <w:r w:rsidR="00846DC1">
        <w:t>,</w:t>
      </w:r>
      <w:r>
        <w:t xml:space="preserve"> etc. This evaluation method of course relies on access to property sale data over time, and data on a range of urban change factors that also influence property values. There has been no study that considers the effect of different CS&amp;H asset types on property, to determine exactly what features benefit land/property values, e.g. scale, design, morphology, environmental benefits/disbenefits</w:t>
      </w:r>
      <w:r w:rsidR="00846DC1">
        <w:t>,</w:t>
      </w:r>
      <w:r>
        <w:t xml:space="preserve"> etc. Built projects often occur as part of larger area regeneration schemes (e.g. Arsenal FC, East Manchester, Salford Quays) and a wider assessment of regeneration process and impacts is required, not limited to property prices. As WWCLEC note (2014), policymakers should also consider the distributional effects of these property market changes (i.e. who are the likely winners and losers) in investment evaluation.</w:t>
      </w:r>
    </w:p>
    <w:p w14:paraId="4F76C5DD" w14:textId="4A978BC6" w:rsidR="00410E03" w:rsidRPr="009220E7" w:rsidRDefault="00410E03" w:rsidP="00520273">
      <w:pPr>
        <w:pStyle w:val="Heading3Numbered"/>
      </w:pPr>
      <w:bookmarkStart w:id="103" w:name="_Toc464222940"/>
      <w:r w:rsidRPr="009220E7">
        <w:t>Cultural Ecosystems Services</w:t>
      </w:r>
      <w:bookmarkEnd w:id="103"/>
    </w:p>
    <w:p w14:paraId="1A91969D" w14:textId="03F0A0D5" w:rsidR="00410E03" w:rsidRDefault="00410E03" w:rsidP="00520273">
      <w:r>
        <w:t>The hedonic pricing technique has also been applied more recently as part the National Ecosystems Assessment (2011). This ongoing initiative is part of an international effort (Millennium Ecosystems Assessment) led in the UK by DEFRA. As part of this extensive process, Cultural Ecosystems Services have been identified and indicators and measurement developed (NEA, 2010). Ecosystems in this case include broad habitats, designated areas, private gardens and other environmental and heritage resources. These correspond with CS&amp;H assets</w:t>
      </w:r>
      <w:r w:rsidR="00BD0AD5">
        <w:t>,</w:t>
      </w:r>
      <w:r>
        <w:t xml:space="preserve"> particularly natural heritage and facilities located in areas of natural habitats, whether countryside or urban. Amenity values assessed include associated wellbeing and recreational access. As well as the impact on property prices from propinquity to these resources, the economic value of educational and ecosystems knowledge, non-use values and physical and mental health effects are analysed. The analysis firstly concluded that the house market reveals substantial amenity value attached to a number of ecosystems, heritage sites and local environmental amenities. This was based on </w:t>
      </w:r>
      <w:r w:rsidR="00BD0AD5">
        <w:t xml:space="preserve">one </w:t>
      </w:r>
      <w:r>
        <w:t xml:space="preserve">million housing transactions </w:t>
      </w:r>
      <w:proofErr w:type="gramStart"/>
      <w:r>
        <w:t>between 1996</w:t>
      </w:r>
      <w:r w:rsidR="00BD0AD5">
        <w:t>–</w:t>
      </w:r>
      <w:r>
        <w:t>2008 against data on a large number of environmental characteristics</w:t>
      </w:r>
      <w:proofErr w:type="gramEnd"/>
      <w:r>
        <w:t xml:space="preserve">. </w:t>
      </w:r>
    </w:p>
    <w:p w14:paraId="1CB84B52" w14:textId="45AE7321" w:rsidR="00410E03" w:rsidRDefault="00410E03" w:rsidP="00520273">
      <w:r>
        <w:t xml:space="preserve">Overall, a 1% increase in land use characteristics (domestic gardens, green space, areas of water within census ward) increased house prices by a similar 1%; whilst within 1km there was a price premium of between 0.06% to 0.4% depending on the land cover characteristic. Conversely, each 1km increase to (i.e. further away from) the nearest National Trust-owned site </w:t>
      </w:r>
      <w:r w:rsidRPr="00932AF7">
        <w:rPr>
          <w:u w:val="single"/>
        </w:rPr>
        <w:t>lowers</w:t>
      </w:r>
      <w:r>
        <w:t xml:space="preserve"> prices by 0.7%. Educational values associated with school ecological knowledge subjects and school visits to sites used a model based on observed higher performance in exams (human capital) and subsequent higher lifetime earning levels with a total value based on GCSE and A-level candidates of £2,128</w:t>
      </w:r>
      <w:r w:rsidR="00BD0AD5">
        <w:t>m</w:t>
      </w:r>
      <w:r>
        <w:t xml:space="preserve"> (2010). Non-use values looked at the proxy value of legacies to environmental charities, whilst </w:t>
      </w:r>
      <w:r w:rsidR="00BD0AD5">
        <w:t xml:space="preserve">health </w:t>
      </w:r>
      <w:r>
        <w:t>benefits from cultural ecosystems services focused on health improvements (physical and mental) arising from additional exercise created by the provision of natural habitats and green spaces and from more passive forms of contact with nature (e.g. viewing, being within natural spaces). This analysis estimated the value of health benefits from a change in these natural environments that would create a 1% reduction in the sedentary population (using willingness-to-pay based values) producing a total benefit of £2bn, or £750m if people aged 75 and over (less able or likely to be physically active) were excluded. Benefits from proximity of home to green space/views increased emotional wellbeing by 5% and generally health utility score by 2%</w:t>
      </w:r>
      <w:proofErr w:type="gramStart"/>
      <w:r>
        <w:t>;</w:t>
      </w:r>
      <w:proofErr w:type="gramEnd"/>
      <w:r>
        <w:t xml:space="preserve"> accessing non-countryside ecosystems monthly increased physical functioning and emotional wellbeing by 3.4% and 2.6% respectively. This analysis used a geo-located survey (n=1,851) and OLS regression model. In a separate study of attitudes to beauty (IPSOS, 2010) 87% of respondents agreed that better quality buildings and public spaces can improve quality of life, and 69% of adults believe that heritage sites are important to the local community (Ecclesiastical Insurance, 2013).</w:t>
      </w:r>
    </w:p>
    <w:p w14:paraId="3C68903E" w14:textId="5083A5EF" w:rsidR="00410E03" w:rsidRDefault="00410E03" w:rsidP="00520273">
      <w:r>
        <w:t xml:space="preserve">In a separate study of </w:t>
      </w:r>
      <w:r w:rsidRPr="00F0636B">
        <w:t>Conservation areas</w:t>
      </w:r>
      <w:r>
        <w:t xml:space="preserve">, a price premium was also found for residential properties located within a conservation area of, on average, 9% (LSE, 2012), after controlling for a range of other factors. This premium doubles with properties in the centre of a conservation area, compared with those on the edge. There was also a smaller but significant premium for properties just outside the conservation area. Overall the intensity of the heritage character increases the value of residential properties. This is logical, since the characteristics that led to conservation area status being granted affirms an intrinsic </w:t>
      </w:r>
      <w:proofErr w:type="gramStart"/>
      <w:r>
        <w:t>value which</w:t>
      </w:r>
      <w:proofErr w:type="gramEnd"/>
      <w:r>
        <w:t xml:space="preserve"> is reinforced through conservation area protection from certain types of development change. Conversely, areas outside of the conservation area may experience negative impacts from </w:t>
      </w:r>
      <w:proofErr w:type="gramStart"/>
      <w:r>
        <w:t>developments which</w:t>
      </w:r>
      <w:proofErr w:type="gramEnd"/>
      <w:r>
        <w:t xml:space="preserve"> would not be allowed in the more (aesthetically) controlled area. The attractiveness of businesses locating within historic buildings is also confirmed by a study of the returns to investing in historic commercial buildings. Colliers (2011) found that over 5, 10 and 30 years, the annualised return on listed offices has been higher than for offices overall. These studies indicate the place value of the contribution of historic buildings to the local environment and quality of life, ‘which in turn may have an indirect impact on business location decisions by encouraging supply of suitable qualified labour’ (</w:t>
      </w:r>
      <w:r w:rsidR="00090CA0">
        <w:t>English Heritage</w:t>
      </w:r>
      <w:r>
        <w:t xml:space="preserve">, 2014). </w:t>
      </w:r>
    </w:p>
    <w:p w14:paraId="4BAA882C" w14:textId="69E0E402" w:rsidR="00410E03" w:rsidRPr="00B07D5E" w:rsidRDefault="00410E03" w:rsidP="00520273">
      <w:pPr>
        <w:pStyle w:val="Heading3Numbered"/>
      </w:pPr>
      <w:bookmarkStart w:id="104" w:name="_Toc464222941"/>
      <w:r w:rsidRPr="00B07D5E">
        <w:t>Quality of Life and ‘Place’</w:t>
      </w:r>
      <w:bookmarkEnd w:id="104"/>
    </w:p>
    <w:p w14:paraId="6836E330" w14:textId="38D8D372" w:rsidR="00410E03" w:rsidRDefault="00410E03" w:rsidP="00520273">
      <w:r w:rsidRPr="00B07D5E">
        <w:t xml:space="preserve">Many of the claims and evidence of the effects arising from CS&amp;H assets relate to </w:t>
      </w:r>
      <w:r w:rsidRPr="00F0636B">
        <w:t>social impacts</w:t>
      </w:r>
      <w:r w:rsidRPr="00B07D5E">
        <w:t>. These are associated with terms such as social capital, social cohesion</w:t>
      </w:r>
      <w:r w:rsidR="00090CA0">
        <w:t xml:space="preserve"> and</w:t>
      </w:r>
      <w:r w:rsidR="00090CA0" w:rsidRPr="00B07D5E">
        <w:t xml:space="preserve"> </w:t>
      </w:r>
      <w:r w:rsidRPr="00B07D5E">
        <w:t>social inclusion, manifested</w:t>
      </w:r>
      <w:r>
        <w:t xml:space="preserve"> through a range of indicators which measure participant’s perceptions and experience, including public attitudes, as noted above, for example in relation to heritage assets and amenity values</w:t>
      </w:r>
      <w:r w:rsidR="00090CA0">
        <w:t>,</w:t>
      </w:r>
      <w:r>
        <w:t xml:space="preserve"> etc. These draw on programme and project evaluations and post-completion surveys assessing for instance, the extent and effect on volunteering and engagement. These affects can be situated broadly in the sphere of quality of life and wellbeing. For example, a survey found that people who had engaged with heritage activities over the previous year reported significantly higher happiness scores compared with those not engaging (</w:t>
      </w:r>
      <w:r w:rsidR="00090CA0">
        <w:t>English Heritage</w:t>
      </w:r>
      <w:r>
        <w:t xml:space="preserve">, 2013); heritage volunteers reported levels of mental health and wellbeing that are higher than for the general population, or amongst all those who undertook some form of volunteering activity (BOP, 2011). In a survey of the AV Festival (BOP, 2010) the large majority of volunteers responding reported improvements in their communication skills, self-confidence and willingness to try new things, and felt that this made them more employable. In a study for the Scottish Government on the impact of cultural engagement and sports participation on health (2013), those attending a cultural place or event were found to be 60% more likely to report good health compared to those who had not; participants in dance were 62% more likely to report good health. These associations between participation in a range of cultural activities and engagement are mirrored in similar studies both in the UK and abroad (see ACE, 2014; Daly, 2005). </w:t>
      </w:r>
    </w:p>
    <w:p w14:paraId="23850EE0" w14:textId="0A8900E0" w:rsidR="00410E03" w:rsidRPr="00BE4C20" w:rsidRDefault="00090CA0" w:rsidP="00520273">
      <w:r>
        <w:t xml:space="preserve">A </w:t>
      </w:r>
      <w:r w:rsidR="00410E03">
        <w:t xml:space="preserve">systematic analysis of the </w:t>
      </w:r>
      <w:r w:rsidR="00410E03" w:rsidRPr="007A718F">
        <w:rPr>
          <w:i/>
        </w:rPr>
        <w:t>Understanding Society</w:t>
      </w:r>
      <w:r w:rsidR="00410E03">
        <w:t xml:space="preserve"> dataset </w:t>
      </w:r>
      <w:r>
        <w:t>(</w:t>
      </w:r>
      <w:r w:rsidRPr="00090CA0">
        <w:t>DCMS, 2014</w:t>
      </w:r>
      <w:r>
        <w:t xml:space="preserve">) </w:t>
      </w:r>
      <w:r w:rsidR="00410E03">
        <w:t>sought to highlight the social benefits extracted from the results of this survey. The study, which ran a number of regression models, looked at the impacts of engagement in culture and sport and participation on four domains: health, education, economy and civic participation. The headline results found that arts audiences were 5.4% more likely to report good health</w:t>
      </w:r>
      <w:r>
        <w:t xml:space="preserve">, </w:t>
      </w:r>
      <w:r w:rsidR="00410E03">
        <w:t xml:space="preserve">whilst sports participants were 14.1% more likely to do so. Arts participants were 14.1% more likely to report and intention to go on to further education (we do not however know if they subsequently did). Unemployed people who engage with the arts as an audience member were 12% more likely (than those not attending) to have looked for a job in the last 4 weeks; unemployed sports participants were 11% more likely to have done so. Those engaging with the arts as an audience member were 6% more likely to have volunteered frequently; sports </w:t>
      </w:r>
      <w:r w:rsidR="00410E03" w:rsidRPr="00BE4C20">
        <w:t xml:space="preserve">participants were 3% more likely (they also gave £50 and £25 per person more to charitable donations </w:t>
      </w:r>
      <w:r w:rsidR="00410E03">
        <w:t xml:space="preserve">than the non-engaged </w:t>
      </w:r>
      <w:r w:rsidR="00410E03" w:rsidRPr="00BE4C20">
        <w:t xml:space="preserve">over the last year, respectively). </w:t>
      </w:r>
    </w:p>
    <w:p w14:paraId="6F293215" w14:textId="77777777" w:rsidR="00410E03" w:rsidRPr="00242FD1" w:rsidRDefault="00410E03" w:rsidP="00520273">
      <w:r>
        <w:t xml:space="preserve">An </w:t>
      </w:r>
      <w:r w:rsidRPr="00242FD1">
        <w:t xml:space="preserve">example of how a sport-based initiative with the West </w:t>
      </w:r>
      <w:r>
        <w:t>Yorkshire probation service is provided by an evaluation</w:t>
      </w:r>
      <w:r w:rsidRPr="00242FD1">
        <w:t xml:space="preserve"> </w:t>
      </w:r>
      <w:r>
        <w:t>of its impacts</w:t>
      </w:r>
      <w:r w:rsidRPr="00242FD1">
        <w:t xml:space="preserve">. </w:t>
      </w:r>
    </w:p>
    <w:p w14:paraId="1A733CA7" w14:textId="77777777" w:rsidR="00410E03" w:rsidRPr="00242FD1" w:rsidRDefault="00410E03" w:rsidP="0052027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410E03" w:rsidRPr="00242FD1" w14:paraId="5D2C2055" w14:textId="77777777" w:rsidTr="00121553">
        <w:tc>
          <w:tcPr>
            <w:tcW w:w="9000" w:type="dxa"/>
          </w:tcPr>
          <w:p w14:paraId="4C4ED2BA" w14:textId="0E153CE8" w:rsidR="00410E03" w:rsidRDefault="00090CA0" w:rsidP="00090CA0">
            <w:r w:rsidRPr="00242FD1">
              <w:t>Th</w:t>
            </w:r>
            <w:r>
              <w:t xml:space="preserve">e </w:t>
            </w:r>
            <w:r w:rsidRPr="00090CA0">
              <w:t>West Yorkshire Sports Counselling</w:t>
            </w:r>
            <w:r w:rsidRPr="00242FD1">
              <w:t xml:space="preserve"> </w:t>
            </w:r>
            <w:r w:rsidR="00410E03" w:rsidRPr="00242FD1">
              <w:t>scheme accepted voluntary referrals from the Probation Service and Youth Justice teams in West Yorkshire to participate in a 12-week programme of sports activities. The programme involved one</w:t>
            </w:r>
            <w:r>
              <w:t>-</w:t>
            </w:r>
            <w:r w:rsidR="00410E03" w:rsidRPr="00242FD1">
              <w:t>to</w:t>
            </w:r>
            <w:r>
              <w:t>-</w:t>
            </w:r>
            <w:r w:rsidR="00410E03" w:rsidRPr="00242FD1">
              <w:t>one, participant</w:t>
            </w:r>
            <w:r>
              <w:t>-</w:t>
            </w:r>
            <w:r w:rsidR="00410E03" w:rsidRPr="00242FD1">
              <w:t xml:space="preserve">centred work by sports leaders, typically meeting participants </w:t>
            </w:r>
            <w:r w:rsidR="00410E03">
              <w:t xml:space="preserve">in sports centres and clubs for </w:t>
            </w:r>
            <w:r>
              <w:t>three</w:t>
            </w:r>
            <w:r w:rsidRPr="00242FD1">
              <w:t xml:space="preserve"> </w:t>
            </w:r>
            <w:r w:rsidR="00410E03" w:rsidRPr="00242FD1">
              <w:t>hours a week. Of the 52 participants who completed the self</w:t>
            </w:r>
            <w:r>
              <w:t>-</w:t>
            </w:r>
            <w:r w:rsidR="00410E03" w:rsidRPr="00242FD1">
              <w:t>evaluation of fitness at the start and at the end of th</w:t>
            </w:r>
            <w:r w:rsidR="00410E03">
              <w:t>e programme, 75%</w:t>
            </w:r>
            <w:r w:rsidR="00410E03" w:rsidRPr="00242FD1">
              <w:t xml:space="preserve"> recorded an incr</w:t>
            </w:r>
            <w:r w:rsidR="00410E03">
              <w:t>eases in fitness and 22%</w:t>
            </w:r>
            <w:r w:rsidR="00410E03" w:rsidRPr="00242FD1">
              <w:t xml:space="preserve"> no change. The programme had a beneficial impact on participants' perception of their own fitness. Probation officers who had supervised the case study participants all felt that their clients had gained in self</w:t>
            </w:r>
            <w:r>
              <w:t>-</w:t>
            </w:r>
            <w:r w:rsidR="00410E03" w:rsidRPr="00242FD1">
              <w:t xml:space="preserve">confidence through participation and the achievement of completing the 12-week programme. For the comparative reconviction rate study the difference in actual reconviction was statistically significant. The actual reconviction rate was 40% versus a Home Office-based prediction of 64% over </w:t>
            </w:r>
            <w:r>
              <w:t>two</w:t>
            </w:r>
            <w:r w:rsidRPr="00242FD1">
              <w:t xml:space="preserve"> </w:t>
            </w:r>
            <w:r w:rsidR="00410E03" w:rsidRPr="00242FD1">
              <w:t xml:space="preserve">years. These results indicate that the length of counselling makes a difference to its impact on reconvictions, which is consistent with the logic of a scheme which relies on building up an offender's trust and confidence over 12 weeks. Not only did fewer participants re-offend, </w:t>
            </w:r>
            <w:proofErr w:type="gramStart"/>
            <w:r w:rsidR="00410E03" w:rsidRPr="00242FD1">
              <w:t>but</w:t>
            </w:r>
            <w:proofErr w:type="gramEnd"/>
            <w:r w:rsidR="00410E03" w:rsidRPr="00242FD1">
              <w:t xml:space="preserve"> those that did re-offend did so with less f</w:t>
            </w:r>
            <w:r w:rsidR="00410E03">
              <w:t>requency than non</w:t>
            </w:r>
            <w:r>
              <w:t>-</w:t>
            </w:r>
            <w:r w:rsidR="00410E03">
              <w:t>participants (in Evans &amp; Shaw, 2001).</w:t>
            </w:r>
          </w:p>
          <w:p w14:paraId="5B5168BE" w14:textId="07045573" w:rsidR="00090CA0" w:rsidRPr="00242FD1" w:rsidRDefault="00090CA0" w:rsidP="00090CA0"/>
        </w:tc>
      </w:tr>
    </w:tbl>
    <w:p w14:paraId="27C3A324" w14:textId="77777777" w:rsidR="001835FC" w:rsidRDefault="001835FC" w:rsidP="00131F29"/>
    <w:p w14:paraId="1169ABF6" w14:textId="77777777" w:rsidR="004120F9" w:rsidRPr="00514EFA" w:rsidRDefault="004120F9" w:rsidP="004120F9">
      <w:pPr>
        <w:rPr>
          <w:rFonts w:cs="Arial"/>
        </w:rPr>
      </w:pPr>
      <w:r w:rsidRPr="00514EFA">
        <w:rPr>
          <w:rFonts w:cs="Arial"/>
        </w:rPr>
        <w:t xml:space="preserve">Visiting museums is found to have a positive impact on happiness and self-reported health. Participation in the arts and being audience to the arts also </w:t>
      </w:r>
      <w:proofErr w:type="gramStart"/>
      <w:r w:rsidRPr="00514EFA">
        <w:rPr>
          <w:rFonts w:cs="Arial"/>
        </w:rPr>
        <w:t>have</w:t>
      </w:r>
      <w:proofErr w:type="gramEnd"/>
      <w:r w:rsidRPr="00514EFA">
        <w:rPr>
          <w:rFonts w:cs="Arial"/>
        </w:rPr>
        <w:t xml:space="preserve"> positive effects on happiness</w:t>
      </w:r>
      <w:r w:rsidRPr="00514EFA">
        <w:rPr>
          <w:rStyle w:val="FootnoteReference"/>
          <w:rFonts w:cs="Arial"/>
        </w:rPr>
        <w:footnoteReference w:id="36"/>
      </w:r>
      <w:r w:rsidRPr="00514EFA">
        <w:rPr>
          <w:rFonts w:cs="Arial"/>
        </w:rPr>
        <w:t>. Similarly, library use is positively associated with subjective wellbeing; library use is associated with higher life satisfaction, higher happiness and a higher sense of purpose in life. Library use also has a positive association with general health; being a regular library user is associated with a 1.4% increase in the likelihood of reporting general good health. This is estimated to represent an average cost saving to the NHS of £27.5m per year</w:t>
      </w:r>
      <w:r w:rsidRPr="00514EFA">
        <w:rPr>
          <w:rStyle w:val="FootnoteReference"/>
          <w:rFonts w:cs="Arial"/>
        </w:rPr>
        <w:footnoteReference w:id="37"/>
      </w:r>
      <w:r w:rsidRPr="00514EFA">
        <w:rPr>
          <w:rFonts w:cs="Arial"/>
        </w:rPr>
        <w:t>.</w:t>
      </w:r>
    </w:p>
    <w:p w14:paraId="1DF6C9EC" w14:textId="77777777" w:rsidR="004120F9" w:rsidRPr="00514EFA" w:rsidRDefault="004120F9" w:rsidP="004120F9">
      <w:pPr>
        <w:rPr>
          <w:rFonts w:cs="Arial"/>
          <w:b/>
        </w:rPr>
      </w:pPr>
      <w:r w:rsidRPr="00514EFA">
        <w:rPr>
          <w:rFonts w:cs="Arial"/>
        </w:rPr>
        <w:t xml:space="preserve">A further paper by the same authors (Fujiwara et al, 2015) sets out to quantify the value of health and wellbeing benefits of library engagement through a contingent valuation method. This involves surveying people about their willingness to pay for library services. This method measures primary benefits of library services (i.e. those that accrue directly to the individual). The paper also looks at secondary benefits; these are benefits that impact society more widely, such as those that lead to reduced public spending on health. </w:t>
      </w:r>
    </w:p>
    <w:p w14:paraId="1FAD1623" w14:textId="77777777" w:rsidR="004120F9" w:rsidRPr="00514EFA" w:rsidRDefault="004120F9" w:rsidP="004120F9">
      <w:pPr>
        <w:rPr>
          <w:rFonts w:cs="Arial"/>
          <w:b/>
        </w:rPr>
      </w:pPr>
      <w:r w:rsidRPr="00514EFA">
        <w:rPr>
          <w:rFonts w:cs="Arial"/>
        </w:rPr>
        <w:t>The primary benefit of libraries was measured using an online survey of 2,000 library users and non-library users. They were asked how much additional council tax they would be willing to pay in order to maintain facilities at their current level.</w:t>
      </w:r>
    </w:p>
    <w:p w14:paraId="4E37076B" w14:textId="77777777" w:rsidR="004120F9" w:rsidRPr="00514EFA" w:rsidRDefault="004120F9" w:rsidP="004120F9">
      <w:pPr>
        <w:rPr>
          <w:rFonts w:cs="Arial"/>
          <w:b/>
        </w:rPr>
      </w:pPr>
      <w:r w:rsidRPr="00514EFA">
        <w:rPr>
          <w:rFonts w:cs="Arial"/>
        </w:rPr>
        <w:t>As expected, library users were willing to pay more than non-library users but both groups were willing to pay a premium (around £20 and £10 per year on average, respectively). Extrapolated to the English population as a whole this equates to over £723m per year.</w:t>
      </w:r>
    </w:p>
    <w:p w14:paraId="30247162" w14:textId="77777777" w:rsidR="004120F9" w:rsidRPr="00514EFA" w:rsidRDefault="004120F9" w:rsidP="004120F9">
      <w:pPr>
        <w:rPr>
          <w:rFonts w:cs="Arial"/>
          <w:b/>
        </w:rPr>
      </w:pPr>
      <w:r w:rsidRPr="00514EFA">
        <w:rPr>
          <w:rFonts w:cs="Arial"/>
        </w:rPr>
        <w:t xml:space="preserve">The secondary benefits </w:t>
      </w:r>
      <w:r>
        <w:rPr>
          <w:rFonts w:cs="Arial"/>
        </w:rPr>
        <w:t xml:space="preserve">of libraries </w:t>
      </w:r>
      <w:r w:rsidRPr="00514EFA">
        <w:rPr>
          <w:rFonts w:cs="Arial"/>
        </w:rPr>
        <w:t xml:space="preserve">were measured using data from the Taking Part Survey and the </w:t>
      </w:r>
      <w:r>
        <w:rPr>
          <w:rFonts w:cs="Arial"/>
        </w:rPr>
        <w:t>British Household Panel Survey (BHPS)</w:t>
      </w:r>
      <w:r w:rsidRPr="00514EFA">
        <w:rPr>
          <w:rFonts w:cs="Arial"/>
        </w:rPr>
        <w:t>. Using this data, the authors estimate the association between library service usage, subjective wellbeing and general health. They then value these differences in health using GP-related NHS savings. This part of the study used a regression model approach that controlled for factors known to be associated with health such as age, ethnicity, smoking, family status, employment status, income, housing, religion, education, region and time of year. It used a measure of self-reported health on</w:t>
      </w:r>
      <w:r>
        <w:rPr>
          <w:rFonts w:cs="Arial"/>
        </w:rPr>
        <w:t xml:space="preserve"> a</w:t>
      </w:r>
      <w:r w:rsidRPr="00514EFA">
        <w:rPr>
          <w:rFonts w:cs="Arial"/>
        </w:rPr>
        <w:t xml:space="preserve"> scale from one to seven. The study also looked at the effects of poor health on GP visits in order to quantify the costs associated with poor health.</w:t>
      </w:r>
    </w:p>
    <w:p w14:paraId="011E8A75" w14:textId="77777777" w:rsidR="004120F9" w:rsidRPr="00514EFA" w:rsidRDefault="004120F9" w:rsidP="004120F9">
      <w:pPr>
        <w:rPr>
          <w:rFonts w:cs="Arial"/>
          <w:b/>
        </w:rPr>
      </w:pPr>
      <w:r w:rsidRPr="00514EFA">
        <w:rPr>
          <w:rFonts w:cs="Arial"/>
        </w:rPr>
        <w:t xml:space="preserve">The study found a correlation between subjective wellbeing and library usage after controlling for a number of different factors. Library usage was associated with higher life satisfaction, higher happiness, </w:t>
      </w:r>
      <w:proofErr w:type="gramStart"/>
      <w:r w:rsidRPr="00514EFA">
        <w:rPr>
          <w:rFonts w:cs="Arial"/>
        </w:rPr>
        <w:t>a</w:t>
      </w:r>
      <w:proofErr w:type="gramEnd"/>
      <w:r w:rsidRPr="00514EFA">
        <w:rPr>
          <w:rFonts w:cs="Arial"/>
        </w:rPr>
        <w:t xml:space="preserve"> higher sense of purpose but was also associated with higher levels of anxiety.</w:t>
      </w:r>
    </w:p>
    <w:p w14:paraId="0BB2536B" w14:textId="77777777" w:rsidR="004120F9" w:rsidRPr="00514EFA" w:rsidRDefault="004120F9" w:rsidP="004120F9">
      <w:pPr>
        <w:rPr>
          <w:rFonts w:cs="Arial"/>
          <w:b/>
        </w:rPr>
      </w:pPr>
      <w:r w:rsidRPr="00514EFA">
        <w:rPr>
          <w:rFonts w:cs="Arial"/>
        </w:rPr>
        <w:t>Library usage was also found to be positively associated with self-reported general health after controlling for a number of confounding factors. Linking this increase in general health with the increased costs associated with poor health (due to increased GP visits) the authors estimate a saving of £27.5 to the NHS. The primary and secondary benefits estimated in this study suggest that libraries have a total value of around £750m per year.</w:t>
      </w:r>
    </w:p>
    <w:p w14:paraId="5336EA17" w14:textId="77777777" w:rsidR="004120F9" w:rsidRPr="00514EFA" w:rsidRDefault="004120F9" w:rsidP="004120F9">
      <w:pPr>
        <w:rPr>
          <w:rFonts w:cs="Arial"/>
          <w:b/>
        </w:rPr>
      </w:pPr>
      <w:r w:rsidRPr="00514EFA">
        <w:rPr>
          <w:rFonts w:cs="Arial"/>
        </w:rPr>
        <w:t>In an earlier paper, Fujiwara et al (2013)</w:t>
      </w:r>
      <w:r w:rsidRPr="00514EFA">
        <w:rPr>
          <w:rStyle w:val="FootnoteReference"/>
          <w:rFonts w:cs="Arial"/>
        </w:rPr>
        <w:footnoteReference w:id="38"/>
      </w:r>
      <w:r w:rsidRPr="00514EFA">
        <w:rPr>
          <w:rFonts w:cs="Arial"/>
        </w:rPr>
        <w:t xml:space="preserve"> looked at the impact of engagement with museums on self-reported health and subjective wellbeing using regression analysis and then attempt</w:t>
      </w:r>
      <w:r>
        <w:rPr>
          <w:rFonts w:cs="Arial"/>
        </w:rPr>
        <w:t>ed</w:t>
      </w:r>
      <w:r w:rsidRPr="00514EFA">
        <w:rPr>
          <w:rFonts w:cs="Arial"/>
        </w:rPr>
        <w:t xml:space="preserve"> to ascribe a monetary value to this impact. Like Fujiwara et al</w:t>
      </w:r>
      <w:r>
        <w:rPr>
          <w:rFonts w:cs="Arial"/>
        </w:rPr>
        <w:t>,</w:t>
      </w:r>
      <w:r w:rsidRPr="00514EFA">
        <w:rPr>
          <w:rFonts w:cs="Arial"/>
        </w:rPr>
        <w:t xml:space="preserve"> 2015</w:t>
      </w:r>
      <w:r>
        <w:rPr>
          <w:rStyle w:val="FootnoteReference"/>
          <w:rFonts w:cs="Arial"/>
        </w:rPr>
        <w:footnoteReference w:id="39"/>
      </w:r>
      <w:r w:rsidRPr="00514EFA">
        <w:rPr>
          <w:rFonts w:cs="Arial"/>
        </w:rPr>
        <w:t xml:space="preserve"> (see above) the</w:t>
      </w:r>
      <w:r>
        <w:rPr>
          <w:rFonts w:cs="Arial"/>
        </w:rPr>
        <w:t xml:space="preserve"> researchers</w:t>
      </w:r>
      <w:r w:rsidRPr="00514EFA">
        <w:rPr>
          <w:rFonts w:cs="Arial"/>
        </w:rPr>
        <w:t xml:space="preserve"> employ a Wellbeing Valuation approach to estimate the equivalent monetary value associated with an increase in </w:t>
      </w:r>
      <w:r>
        <w:rPr>
          <w:rFonts w:cs="Arial"/>
        </w:rPr>
        <w:t>wellbeing</w:t>
      </w:r>
      <w:r w:rsidRPr="00514EFA">
        <w:rPr>
          <w:rFonts w:cs="Arial"/>
        </w:rPr>
        <w:t>.</w:t>
      </w:r>
    </w:p>
    <w:p w14:paraId="7CBF5EDD" w14:textId="77777777" w:rsidR="004120F9" w:rsidRPr="00514EFA" w:rsidRDefault="004120F9" w:rsidP="004120F9">
      <w:pPr>
        <w:rPr>
          <w:rFonts w:cs="Arial"/>
          <w:b/>
        </w:rPr>
      </w:pPr>
      <w:r w:rsidRPr="00514EFA">
        <w:rPr>
          <w:rFonts w:cs="Arial"/>
        </w:rPr>
        <w:t xml:space="preserve">The models use data derived from the Taking Part </w:t>
      </w:r>
      <w:proofErr w:type="gramStart"/>
      <w:r w:rsidRPr="00514EFA">
        <w:rPr>
          <w:rFonts w:cs="Arial"/>
        </w:rPr>
        <w:t>Survey which</w:t>
      </w:r>
      <w:proofErr w:type="gramEnd"/>
      <w:r w:rsidRPr="00514EFA">
        <w:rPr>
          <w:rFonts w:cs="Arial"/>
        </w:rPr>
        <w:t xml:space="preserve"> provides several metrics on cultural and sport participation as well as questions on subjective wellbeing and self-reported health. The study also uses data from the BHP</w:t>
      </w:r>
      <w:r>
        <w:rPr>
          <w:rFonts w:cs="Arial"/>
        </w:rPr>
        <w:t>S</w:t>
      </w:r>
      <w:r w:rsidRPr="00514EFA">
        <w:rPr>
          <w:rFonts w:cs="Arial"/>
        </w:rPr>
        <w:t xml:space="preserve"> to produce estimates of the monetary values associated with a given increase in subjective wellbeing.</w:t>
      </w:r>
      <w:r>
        <w:rPr>
          <w:rFonts w:cs="Arial"/>
        </w:rPr>
        <w:t xml:space="preserve"> </w:t>
      </w:r>
      <w:r w:rsidRPr="00514EFA">
        <w:rPr>
          <w:rFonts w:cs="Arial"/>
        </w:rPr>
        <w:t>In addition, both surveys provide data on a wide range of personal characteristics (such as marital status, education, age</w:t>
      </w:r>
      <w:r>
        <w:rPr>
          <w:rFonts w:cs="Arial"/>
        </w:rPr>
        <w:t>,</w:t>
      </w:r>
      <w:r w:rsidRPr="00514EFA">
        <w:rPr>
          <w:rFonts w:cs="Arial"/>
        </w:rPr>
        <w:t xml:space="preserve"> etc.) so that these can be controlled for in the models. The models are estimated using Ordinary Least Squares (OLS).</w:t>
      </w:r>
    </w:p>
    <w:p w14:paraId="54A73906" w14:textId="77777777" w:rsidR="004120F9" w:rsidRPr="00514EFA" w:rsidRDefault="004120F9" w:rsidP="004120F9">
      <w:pPr>
        <w:rPr>
          <w:rFonts w:cs="Arial"/>
          <w:b/>
        </w:rPr>
      </w:pPr>
      <w:r w:rsidRPr="00514EFA">
        <w:rPr>
          <w:rFonts w:cs="Arial"/>
        </w:rPr>
        <w:t xml:space="preserve">Four different models were </w:t>
      </w:r>
      <w:r>
        <w:rPr>
          <w:rFonts w:cs="Arial"/>
        </w:rPr>
        <w:t>used for</w:t>
      </w:r>
      <w:r w:rsidRPr="00514EFA">
        <w:rPr>
          <w:rFonts w:cs="Arial"/>
        </w:rPr>
        <w:t xml:space="preserve"> four different measures of museum participation: whether participants go to museums in their spare time, whether they volunteer at museums, the frequency with which they visit museums and the amount of time spent at museums. All these factors were positively associated with wellbeing, but the results were only statistically significant for whether people visit museums in their spare time. For health, whether a person visits museums in their spare time has a positive effect while the frequency of museums visits and </w:t>
      </w:r>
      <w:proofErr w:type="gramStart"/>
      <w:r w:rsidRPr="00514EFA">
        <w:rPr>
          <w:rFonts w:cs="Arial"/>
        </w:rPr>
        <w:t>time spent at museums have</w:t>
      </w:r>
      <w:proofErr w:type="gramEnd"/>
      <w:r w:rsidRPr="00514EFA">
        <w:rPr>
          <w:rFonts w:cs="Arial"/>
        </w:rPr>
        <w:t xml:space="preserve"> no impact on health. Surprisingly, volunteering at a museum was negatively associated with health.</w:t>
      </w:r>
      <w:r>
        <w:rPr>
          <w:rFonts w:cs="Arial"/>
        </w:rPr>
        <w:t xml:space="preserve"> </w:t>
      </w:r>
    </w:p>
    <w:p w14:paraId="2E437505" w14:textId="77777777" w:rsidR="004120F9" w:rsidRPr="00514EFA" w:rsidRDefault="004120F9" w:rsidP="004120F9">
      <w:pPr>
        <w:rPr>
          <w:rFonts w:cs="Arial"/>
          <w:b/>
        </w:rPr>
      </w:pPr>
      <w:r w:rsidRPr="00514EFA">
        <w:rPr>
          <w:rFonts w:cs="Arial"/>
        </w:rPr>
        <w:t xml:space="preserve">The study also looked at participation in the arts on health and wellbeing. Participation in the arts, participation in sports and being an audience in the arts all had significant positive relationships with wellbeing. Participation in sports and being an audience to the arts were significantly positively associated with better health, however there was no effect of participation in the arts on health. </w:t>
      </w:r>
    </w:p>
    <w:p w14:paraId="18A2DDE8" w14:textId="4A62D5F0" w:rsidR="004120F9" w:rsidRDefault="004120F9" w:rsidP="00131F29">
      <w:r w:rsidRPr="00514EFA">
        <w:rPr>
          <w:rFonts w:cs="Arial"/>
        </w:rPr>
        <w:t xml:space="preserve">Using a Wellbeing Valuation approach (using data from the BHPS) the authors estimate values associated with visiting museums of over £3,000 per person </w:t>
      </w:r>
      <w:r>
        <w:rPr>
          <w:rFonts w:cs="Arial"/>
        </w:rPr>
        <w:t xml:space="preserve">per </w:t>
      </w:r>
      <w:r w:rsidRPr="00514EFA">
        <w:rPr>
          <w:rFonts w:cs="Arial"/>
        </w:rPr>
        <w:t>year. Participation in the arts and sports showed a value of around £1,500 each while being an audience to the arts was valued at over £2,000 per year.</w:t>
      </w:r>
    </w:p>
    <w:p w14:paraId="00E13885" w14:textId="2EF533B2" w:rsidR="00410E03" w:rsidRPr="00BE013E" w:rsidRDefault="00410E03" w:rsidP="00224A2D">
      <w:pPr>
        <w:rPr>
          <w:b/>
        </w:rPr>
      </w:pPr>
      <w:r w:rsidRPr="00BE4C20">
        <w:t>The role of the arts in education is another interesting area, although largely beyond the scope of this study. These engagements and experiences are, however, often place-based – in formal, informal education and cultural settings. Education facilities can therefore form part of CS&amp;H assets within a place, whilst education is a key role of many CS&amp;H organisations and venue</w:t>
      </w:r>
      <w:r>
        <w:t>s</w:t>
      </w:r>
      <w:r w:rsidRPr="00BE4C20">
        <w:t xml:space="preserve"> for educational and training activity. In a novel study </w:t>
      </w:r>
      <w:r w:rsidRPr="00BE4C20">
        <w:rPr>
          <w:color w:val="111111"/>
          <w:spacing w:val="5"/>
          <w:lang w:eastAsia="en-GB"/>
        </w:rPr>
        <w:t>in the USA</w:t>
      </w:r>
      <w:r>
        <w:rPr>
          <w:color w:val="111111"/>
          <w:spacing w:val="5"/>
          <w:lang w:eastAsia="en-GB"/>
        </w:rPr>
        <w:t>,</w:t>
      </w:r>
      <w:r w:rsidRPr="00BE4C20">
        <w:rPr>
          <w:color w:val="111111"/>
          <w:spacing w:val="5"/>
          <w:lang w:eastAsia="en-GB"/>
        </w:rPr>
        <w:t xml:space="preserve"> </w:t>
      </w:r>
      <w:r>
        <w:rPr>
          <w:color w:val="111111"/>
          <w:spacing w:val="5"/>
          <w:lang w:eastAsia="en-GB"/>
        </w:rPr>
        <w:t>a survey tested</w:t>
      </w:r>
      <w:r w:rsidRPr="00BE4C20">
        <w:rPr>
          <w:color w:val="111111"/>
          <w:spacing w:val="5"/>
          <w:lang w:eastAsia="en-GB"/>
        </w:rPr>
        <w:t xml:space="preserve"> the proposition that entrepreneurial innovators in STEM fields who actively participated in arts and crafts activity in their youth and adulthood were more successful than their less active engineering and science peers. This found a posit</w:t>
      </w:r>
      <w:r>
        <w:rPr>
          <w:color w:val="111111"/>
          <w:spacing w:val="5"/>
          <w:lang w:eastAsia="en-GB"/>
        </w:rPr>
        <w:t>ive correlation</w:t>
      </w:r>
      <w:r w:rsidRPr="00BE4C20">
        <w:rPr>
          <w:color w:val="111111"/>
          <w:spacing w:val="5"/>
          <w:lang w:eastAsia="en-GB"/>
        </w:rPr>
        <w:t xml:space="preserve">. The relationship between childhood experience and subsequent adult participation in a range of arts activities was identified some time ago (see Dobson </w:t>
      </w:r>
      <w:r w:rsidR="00EF7B42">
        <w:rPr>
          <w:color w:val="111111"/>
          <w:spacing w:val="5"/>
          <w:lang w:eastAsia="en-GB"/>
        </w:rPr>
        <w:t>&amp;</w:t>
      </w:r>
      <w:r w:rsidR="00EF7B42" w:rsidRPr="00BE4C20">
        <w:rPr>
          <w:color w:val="111111"/>
          <w:spacing w:val="5"/>
          <w:lang w:eastAsia="en-GB"/>
        </w:rPr>
        <w:t xml:space="preserve"> </w:t>
      </w:r>
      <w:r w:rsidRPr="00BE4C20">
        <w:rPr>
          <w:color w:val="111111"/>
          <w:spacing w:val="5"/>
          <w:lang w:eastAsia="en-GB"/>
        </w:rPr>
        <w:t>West 1989), with a higher importance suggested for informal/participative engagement than formal/passive</w:t>
      </w:r>
      <w:r>
        <w:rPr>
          <w:color w:val="111111"/>
          <w:spacing w:val="5"/>
          <w:lang w:eastAsia="en-GB"/>
        </w:rPr>
        <w:t xml:space="preserve">. CS&amp;H resources have a particularly important role, distinct from school/college and formal engagement (e.g. school visits), notably combined arts centres, heritage interpretation and multi-use facilities (including community sport). In the last national study of arts centres in the UK (Shaw et al, 2006), participation rates across multi-form activities were much higher than general arts participation, with a more even age distribution and higher frequency of use in both urban and rural centres. These centres also fulfilled a social role over and above their arts activity programmes </w:t>
      </w:r>
      <w:r w:rsidR="00EF7B42">
        <w:rPr>
          <w:color w:val="111111"/>
          <w:spacing w:val="5"/>
          <w:lang w:eastAsia="en-GB"/>
        </w:rPr>
        <w:t xml:space="preserve">– </w:t>
      </w:r>
      <w:r>
        <w:rPr>
          <w:color w:val="111111"/>
          <w:spacing w:val="5"/>
          <w:lang w:eastAsia="en-GB"/>
        </w:rPr>
        <w:t>14% often</w:t>
      </w:r>
      <w:r w:rsidR="00EF7B42">
        <w:rPr>
          <w:color w:val="111111"/>
          <w:spacing w:val="5"/>
          <w:lang w:eastAsia="en-GB"/>
        </w:rPr>
        <w:t xml:space="preserve"> used and 38% </w:t>
      </w:r>
      <w:r>
        <w:rPr>
          <w:color w:val="111111"/>
          <w:spacing w:val="5"/>
          <w:lang w:eastAsia="en-GB"/>
        </w:rPr>
        <w:t xml:space="preserve">occasionally used these centres for social activities, independent of any arts attendance/participation. </w:t>
      </w:r>
      <w:r w:rsidRPr="00BE013E">
        <w:rPr>
          <w:b/>
          <w:color w:val="111111"/>
          <w:spacing w:val="5"/>
          <w:lang w:eastAsia="en-GB"/>
        </w:rPr>
        <w:t>Such venues are likely to have a stronger place-shaping contribution, particularly in communities where they serve either a local or singular catchment where there may be few or no other cultural facilities (this is more prevalent in rural and more deprived areas).</w:t>
      </w:r>
    </w:p>
    <w:p w14:paraId="0DF048B9" w14:textId="48230344" w:rsidR="00410E03" w:rsidRPr="00B07D5E" w:rsidRDefault="00410E03" w:rsidP="00520273">
      <w:r>
        <w:t>An</w:t>
      </w:r>
      <w:r w:rsidRPr="00B07D5E">
        <w:t xml:space="preserve"> </w:t>
      </w:r>
      <w:r>
        <w:t xml:space="preserve">earlier </w:t>
      </w:r>
      <w:r w:rsidRPr="00B07D5E">
        <w:t>attitude survey cond</w:t>
      </w:r>
      <w:r>
        <w:t>ucted by English Heritage (MORI, 2000 in Evans &amp; Shaw, 2001)</w:t>
      </w:r>
      <w:r w:rsidRPr="00B07D5E">
        <w:t xml:space="preserve"> found that 96% to 98% of people think that heritage is important to educate adults and children about the past and that all schoolchildren should be given the opportunity to </w:t>
      </w:r>
      <w:r w:rsidR="00EF7B42">
        <w:t>f</w:t>
      </w:r>
      <w:r w:rsidRPr="00B07D5E">
        <w:t>in</w:t>
      </w:r>
      <w:r w:rsidR="00EF7B42">
        <w:t>d</w:t>
      </w:r>
      <w:r w:rsidRPr="00B07D5E">
        <w:t xml:space="preserve"> out more about England’s heritage; 88% thought that it was right that there should be public funding to preserve the heritage and 76% agreed that their lives are enriched by the heritage. </w:t>
      </w:r>
    </w:p>
    <w:p w14:paraId="0901FFFD" w14:textId="46D6F331" w:rsidR="00410E03" w:rsidRPr="006759C6" w:rsidRDefault="00410E03" w:rsidP="00520273">
      <w:r>
        <w:t xml:space="preserve">Assessing place qualities is also the subject of design and planning, often associated with accessibility </w:t>
      </w:r>
      <w:r w:rsidRPr="006759C6">
        <w:t>indicators and community safety (‘fear of crime’). Design Quality Indicators have been developed for instance by CABE (2002</w:t>
      </w:r>
      <w:r w:rsidR="00EF7B42">
        <w:t>,</w:t>
      </w:r>
      <w:r w:rsidRPr="006759C6">
        <w:t xml:space="preserve"> </w:t>
      </w:r>
      <w:hyperlink r:id="rId28" w:history="1">
        <w:r w:rsidR="00EF7B42" w:rsidRPr="00E46E78">
          <w:rPr>
            <w:rStyle w:val="Hyperlink"/>
          </w:rPr>
          <w:t>http://cic.org.uk/services/the-design-quality-indicator-dqi.php</w:t>
        </w:r>
      </w:hyperlink>
      <w:r w:rsidRPr="006759C6">
        <w:t>)</w:t>
      </w:r>
      <w:r w:rsidR="00EF7B42">
        <w:t xml:space="preserve"> </w:t>
      </w:r>
      <w:r w:rsidRPr="006759C6">
        <w:t xml:space="preserve">to measure the </w:t>
      </w:r>
      <w:r w:rsidRPr="00C80488">
        <w:t>impact</w:t>
      </w:r>
      <w:r w:rsidRPr="00246AA3">
        <w:t xml:space="preserve"> </w:t>
      </w:r>
      <w:r w:rsidRPr="006759C6">
        <w:t>of new buildings and spaces, from the perspective of users/visitors, operational staff and in the environmental/spatial context. This uses a survey-based weighted algorithm. There are also a number of street design/audit tools developed to measure accessibility levels, linkages and street quality (Evans, 2009b). This has included the value to retail and other premises owners, as well as place attractiveness (CABE, 2007)</w:t>
      </w:r>
      <w:r>
        <w:t xml:space="preserve"> and impacts on (fear of) crime</w:t>
      </w:r>
      <w:r w:rsidRPr="006759C6">
        <w:t xml:space="preserve">. </w:t>
      </w:r>
      <w:r>
        <w:t xml:space="preserve">The vitality that well-used CS&amp;H facilities can generate contributes to natural surveillance and perceptions of safety, which can make such places important spaces for a wider user group, including women, families and children and the elderly </w:t>
      </w:r>
      <w:r w:rsidR="00EF7B42">
        <w:t xml:space="preserve">– </w:t>
      </w:r>
      <w:r>
        <w:t xml:space="preserve">who experience higher concerns over street and transport safety. </w:t>
      </w:r>
    </w:p>
    <w:p w14:paraId="4E6CD2F2" w14:textId="0FBEA84D" w:rsidR="00410E03" w:rsidRDefault="00410E03" w:rsidP="00520273">
      <w:pPr>
        <w:rPr>
          <w:b/>
        </w:rPr>
      </w:pPr>
      <w:r>
        <w:rPr>
          <w:b/>
        </w:rPr>
        <w:t xml:space="preserve">Given that the concept of place-shaping draws on the practice of </w:t>
      </w:r>
      <w:r w:rsidR="00AD6B47">
        <w:rPr>
          <w:b/>
        </w:rPr>
        <w:t>placemaking</w:t>
      </w:r>
      <w:r>
        <w:rPr>
          <w:b/>
        </w:rPr>
        <w:t xml:space="preserve"> which has a prime (urban) </w:t>
      </w:r>
      <w:proofErr w:type="gramStart"/>
      <w:r>
        <w:rPr>
          <w:b/>
        </w:rPr>
        <w:t>design</w:t>
      </w:r>
      <w:proofErr w:type="gramEnd"/>
      <w:r>
        <w:rPr>
          <w:b/>
        </w:rPr>
        <w:t xml:space="preserve"> focus, the extent to which investment in CS&amp;H contributes to good design needs consideration. This has a range of effects as noted, from community safety and conviviality, property values (domestic and commercial)</w:t>
      </w:r>
      <w:proofErr w:type="gramStart"/>
      <w:r w:rsidR="00EF7B42">
        <w:rPr>
          <w:b/>
        </w:rPr>
        <w:t>,</w:t>
      </w:r>
      <w:r>
        <w:rPr>
          <w:b/>
        </w:rPr>
        <w:t>to</w:t>
      </w:r>
      <w:proofErr w:type="gramEnd"/>
      <w:r>
        <w:rPr>
          <w:b/>
        </w:rPr>
        <w:t xml:space="preserve"> a sense of place and belonging, community pride and positive place branding.</w:t>
      </w:r>
    </w:p>
    <w:p w14:paraId="5DA4F5FA" w14:textId="061277A8" w:rsidR="00410E03" w:rsidRPr="006759C6" w:rsidRDefault="00EF7B42" w:rsidP="00520273">
      <w:pPr>
        <w:pStyle w:val="Heading3Numbered"/>
      </w:pPr>
      <w:bookmarkStart w:id="105" w:name="_Toc464222942"/>
      <w:r w:rsidRPr="006759C6">
        <w:t>Night</w:t>
      </w:r>
      <w:r>
        <w:t>-</w:t>
      </w:r>
      <w:r w:rsidR="00410E03">
        <w:t>time E</w:t>
      </w:r>
      <w:r w:rsidR="00410E03" w:rsidRPr="006759C6">
        <w:t>conomy</w:t>
      </w:r>
      <w:bookmarkEnd w:id="105"/>
    </w:p>
    <w:p w14:paraId="1C7D4F90" w14:textId="490C1C67" w:rsidR="00410E03" w:rsidRPr="00E0381A" w:rsidRDefault="00410E03" w:rsidP="00520273">
      <w:r w:rsidRPr="006759C6">
        <w:t xml:space="preserve">CS&amp;H facilities can be an important element in the evening economy of towns and cities. The so-called </w:t>
      </w:r>
      <w:proofErr w:type="gramStart"/>
      <w:r w:rsidRPr="006759C6">
        <w:t>night-time</w:t>
      </w:r>
      <w:proofErr w:type="gramEnd"/>
      <w:r w:rsidRPr="006759C6">
        <w:t xml:space="preserve"> economy (NTE) has a substantial economic value in larger cities. </w:t>
      </w:r>
      <w:r w:rsidRPr="006759C6">
        <w:rPr>
          <w:color w:val="231F20"/>
        </w:rPr>
        <w:t>It</w:t>
      </w:r>
      <w:r w:rsidRPr="006759C6">
        <w:rPr>
          <w:color w:val="231F20"/>
          <w:spacing w:val="-7"/>
        </w:rPr>
        <w:t xml:space="preserve"> </w:t>
      </w:r>
      <w:r w:rsidRPr="006759C6">
        <w:rPr>
          <w:color w:val="231F20"/>
        </w:rPr>
        <w:t>is</w:t>
      </w:r>
      <w:r w:rsidRPr="006759C6">
        <w:rPr>
          <w:color w:val="231F20"/>
          <w:spacing w:val="-7"/>
        </w:rPr>
        <w:t xml:space="preserve"> </w:t>
      </w:r>
      <w:r w:rsidRPr="006759C6">
        <w:rPr>
          <w:color w:val="231F20"/>
        </w:rPr>
        <w:t>estim</w:t>
      </w:r>
      <w:r w:rsidRPr="006759C6">
        <w:rPr>
          <w:color w:val="231F20"/>
          <w:spacing w:val="2"/>
        </w:rPr>
        <w:t>a</w:t>
      </w:r>
      <w:r w:rsidRPr="006759C6">
        <w:rPr>
          <w:color w:val="231F20"/>
        </w:rPr>
        <w:t>ted</w:t>
      </w:r>
      <w:r w:rsidRPr="006759C6">
        <w:rPr>
          <w:color w:val="231F20"/>
          <w:spacing w:val="-18"/>
        </w:rPr>
        <w:t xml:space="preserve"> </w:t>
      </w:r>
      <w:r w:rsidRPr="006759C6">
        <w:rPr>
          <w:color w:val="231F20"/>
        </w:rPr>
        <w:t>that</w:t>
      </w:r>
      <w:r w:rsidRPr="006759C6">
        <w:rPr>
          <w:color w:val="231F20"/>
          <w:spacing w:val="-9"/>
        </w:rPr>
        <w:t xml:space="preserve"> </w:t>
      </w:r>
      <w:r w:rsidRPr="006759C6">
        <w:rPr>
          <w:color w:val="231F20"/>
        </w:rPr>
        <w:t>NTE activity</w:t>
      </w:r>
      <w:r w:rsidRPr="006759C6">
        <w:rPr>
          <w:color w:val="231F20"/>
          <w:spacing w:val="-9"/>
        </w:rPr>
        <w:t xml:space="preserve"> </w:t>
      </w:r>
      <w:r w:rsidRPr="006759C6">
        <w:rPr>
          <w:color w:val="231F20"/>
        </w:rPr>
        <w:t>contributed</w:t>
      </w:r>
      <w:r w:rsidRPr="006759C6">
        <w:rPr>
          <w:color w:val="231F20"/>
          <w:spacing w:val="-16"/>
        </w:rPr>
        <w:t xml:space="preserve"> </w:t>
      </w:r>
      <w:r w:rsidRPr="006759C6">
        <w:rPr>
          <w:color w:val="231F20"/>
        </w:rPr>
        <w:t>£66</w:t>
      </w:r>
      <w:r w:rsidRPr="006759C6">
        <w:rPr>
          <w:color w:val="231F20"/>
          <w:spacing w:val="2"/>
        </w:rPr>
        <w:t xml:space="preserve"> </w:t>
      </w:r>
      <w:r w:rsidRPr="006759C6">
        <w:rPr>
          <w:color w:val="231F20"/>
        </w:rPr>
        <w:t>billion</w:t>
      </w:r>
      <w:r w:rsidRPr="006759C6">
        <w:rPr>
          <w:color w:val="231F20"/>
          <w:spacing w:val="-7"/>
        </w:rPr>
        <w:t xml:space="preserve"> </w:t>
      </w:r>
      <w:r w:rsidRPr="006759C6">
        <w:rPr>
          <w:color w:val="231F20"/>
        </w:rPr>
        <w:t>to</w:t>
      </w:r>
      <w:r w:rsidRPr="006759C6">
        <w:rPr>
          <w:color w:val="231F20"/>
          <w:spacing w:val="-2"/>
        </w:rPr>
        <w:t xml:space="preserve"> </w:t>
      </w:r>
      <w:r w:rsidRPr="006759C6">
        <w:rPr>
          <w:color w:val="231F20"/>
        </w:rPr>
        <w:t>the</w:t>
      </w:r>
      <w:r w:rsidRPr="006759C6">
        <w:rPr>
          <w:color w:val="231F20"/>
          <w:spacing w:val="-3"/>
        </w:rPr>
        <w:t xml:space="preserve"> </w:t>
      </w:r>
      <w:r w:rsidRPr="006759C6">
        <w:rPr>
          <w:color w:val="231F20"/>
        </w:rPr>
        <w:t>UK</w:t>
      </w:r>
      <w:r w:rsidRPr="006759C6">
        <w:rPr>
          <w:color w:val="231F20"/>
          <w:spacing w:val="-1"/>
        </w:rPr>
        <w:t xml:space="preserve"> </w:t>
      </w:r>
      <w:r w:rsidRPr="006759C6">
        <w:rPr>
          <w:color w:val="231F20"/>
        </w:rPr>
        <w:t>economy</w:t>
      </w:r>
      <w:r w:rsidRPr="006759C6">
        <w:rPr>
          <w:color w:val="231F20"/>
          <w:spacing w:val="-6"/>
        </w:rPr>
        <w:t xml:space="preserve"> </w:t>
      </w:r>
      <w:r w:rsidRPr="006759C6">
        <w:rPr>
          <w:color w:val="231F20"/>
        </w:rPr>
        <w:t>in 2009,</w:t>
      </w:r>
      <w:r w:rsidRPr="006759C6">
        <w:rPr>
          <w:color w:val="231F20"/>
          <w:spacing w:val="1"/>
        </w:rPr>
        <w:t xml:space="preserve"> </w:t>
      </w:r>
      <w:r w:rsidRPr="006759C6">
        <w:rPr>
          <w:color w:val="231F20"/>
        </w:rPr>
        <w:t>employing</w:t>
      </w:r>
      <w:r w:rsidRPr="006759C6">
        <w:rPr>
          <w:color w:val="231F20"/>
          <w:spacing w:val="-6"/>
        </w:rPr>
        <w:t xml:space="preserve"> </w:t>
      </w:r>
      <w:r w:rsidRPr="006759C6">
        <w:rPr>
          <w:color w:val="231F20"/>
        </w:rPr>
        <w:t>1.3</w:t>
      </w:r>
      <w:r w:rsidRPr="006759C6">
        <w:rPr>
          <w:color w:val="231F20"/>
          <w:spacing w:val="2"/>
        </w:rPr>
        <w:t xml:space="preserve"> </w:t>
      </w:r>
      <w:r w:rsidRPr="006759C6">
        <w:rPr>
          <w:color w:val="231F20"/>
        </w:rPr>
        <w:t>million</w:t>
      </w:r>
      <w:r w:rsidRPr="006759C6">
        <w:rPr>
          <w:color w:val="231F20"/>
          <w:spacing w:val="-9"/>
        </w:rPr>
        <w:t xml:space="preserve"> </w:t>
      </w:r>
      <w:r w:rsidRPr="006759C6">
        <w:rPr>
          <w:color w:val="231F20"/>
        </w:rPr>
        <w:t xml:space="preserve">people </w:t>
      </w:r>
      <w:r w:rsidR="00D22ABB">
        <w:rPr>
          <w:color w:val="231F20"/>
        </w:rPr>
        <w:t>–</w:t>
      </w:r>
      <w:r w:rsidR="00D22ABB" w:rsidRPr="006759C6">
        <w:rPr>
          <w:color w:val="231F20"/>
        </w:rPr>
        <w:t xml:space="preserve"> </w:t>
      </w:r>
      <w:r w:rsidRPr="006759C6">
        <w:rPr>
          <w:color w:val="231F20"/>
        </w:rPr>
        <w:t>10%</w:t>
      </w:r>
      <w:r w:rsidRPr="006759C6">
        <w:rPr>
          <w:color w:val="231F20"/>
          <w:spacing w:val="-9"/>
        </w:rPr>
        <w:t xml:space="preserve"> </w:t>
      </w:r>
      <w:r w:rsidRPr="006759C6">
        <w:rPr>
          <w:color w:val="231F20"/>
        </w:rPr>
        <w:t>of</w:t>
      </w:r>
      <w:r w:rsidRPr="006759C6">
        <w:rPr>
          <w:color w:val="231F20"/>
          <w:spacing w:val="-4"/>
        </w:rPr>
        <w:t xml:space="preserve"> </w:t>
      </w:r>
      <w:r w:rsidRPr="006759C6">
        <w:rPr>
          <w:color w:val="231F20"/>
        </w:rPr>
        <w:t>all</w:t>
      </w:r>
      <w:r w:rsidRPr="006759C6">
        <w:rPr>
          <w:color w:val="231F20"/>
          <w:spacing w:val="-6"/>
        </w:rPr>
        <w:t xml:space="preserve"> </w:t>
      </w:r>
      <w:r w:rsidRPr="006759C6">
        <w:rPr>
          <w:color w:val="231F20"/>
        </w:rPr>
        <w:t>employme</w:t>
      </w:r>
      <w:r w:rsidRPr="006759C6">
        <w:rPr>
          <w:color w:val="231F20"/>
          <w:spacing w:val="2"/>
        </w:rPr>
        <w:t>n</w:t>
      </w:r>
      <w:r w:rsidRPr="006759C6">
        <w:rPr>
          <w:color w:val="231F20"/>
        </w:rPr>
        <w:t>t,</w:t>
      </w:r>
      <w:r w:rsidRPr="006759C6">
        <w:rPr>
          <w:color w:val="231F20"/>
          <w:spacing w:val="-13"/>
        </w:rPr>
        <w:t xml:space="preserve"> </w:t>
      </w:r>
      <w:r w:rsidRPr="006759C6">
        <w:rPr>
          <w:color w:val="231F20"/>
        </w:rPr>
        <w:t>8%</w:t>
      </w:r>
      <w:r w:rsidRPr="006759C6">
        <w:rPr>
          <w:color w:val="231F20"/>
          <w:spacing w:val="-4"/>
        </w:rPr>
        <w:t xml:space="preserve"> </w:t>
      </w:r>
      <w:r w:rsidRPr="006759C6">
        <w:rPr>
          <w:color w:val="231F20"/>
        </w:rPr>
        <w:t>of</w:t>
      </w:r>
      <w:r w:rsidRPr="006759C6">
        <w:rPr>
          <w:color w:val="231F20"/>
          <w:spacing w:val="-4"/>
        </w:rPr>
        <w:t xml:space="preserve"> </w:t>
      </w:r>
      <w:r w:rsidRPr="006759C6">
        <w:rPr>
          <w:color w:val="231F20"/>
        </w:rPr>
        <w:t>all</w:t>
      </w:r>
      <w:r w:rsidRPr="006759C6">
        <w:rPr>
          <w:color w:val="231F20"/>
          <w:spacing w:val="-6"/>
        </w:rPr>
        <w:t xml:space="preserve"> </w:t>
      </w:r>
      <w:r>
        <w:rPr>
          <w:color w:val="231F20"/>
        </w:rPr>
        <w:t>ﬁrms</w:t>
      </w:r>
      <w:r w:rsidRPr="006759C6">
        <w:rPr>
          <w:color w:val="231F20"/>
        </w:rPr>
        <w:t xml:space="preserve"> (Bevan </w:t>
      </w:r>
      <w:r w:rsidR="00D22ABB">
        <w:rPr>
          <w:color w:val="231F20"/>
        </w:rPr>
        <w:t>&amp;</w:t>
      </w:r>
      <w:r w:rsidR="00D22ABB" w:rsidRPr="006759C6">
        <w:rPr>
          <w:color w:val="231F20"/>
        </w:rPr>
        <w:t xml:space="preserve"> </w:t>
      </w:r>
      <w:r w:rsidRPr="006759C6">
        <w:rPr>
          <w:color w:val="231F20"/>
        </w:rPr>
        <w:t>Turnham, 2010).</w:t>
      </w:r>
      <w:r w:rsidRPr="006759C6">
        <w:t xml:space="preserve"> CS&amp;H facilities contribute to this </w:t>
      </w:r>
      <w:r w:rsidRPr="00E0381A">
        <w:t xml:space="preserve">particular sector, notably theatres and evening productions. A particular challenge since the liberalisation of opening hours and licencing has been the development of a ‘monoculture’ in town centres and entertainment areas dominated by late night drinking establishments, cubs/bars and anti-social behaviour associated with excessive alcohol consumption (‘binge drinking’). This has had the effect of making it far less attractive to wider user groups to go into town and access other amenities including cultural venues. A particular response has been the adoption of late night (or ‘nuit blanche’) festivals and museums nights, as have been practiced in Europe and North America (Evans, 2010). These events have succeeded in bringing visitors back into town/city centres and to experience these places in a different temporal environment. This has seen younger visitors to venues traditionally attracting older age groups, such as museums and galleries. </w:t>
      </w:r>
      <w:r w:rsidRPr="00E0381A">
        <w:rPr>
          <w:color w:val="231F20"/>
        </w:rPr>
        <w:t>The</w:t>
      </w:r>
      <w:r w:rsidRPr="00E0381A">
        <w:rPr>
          <w:color w:val="231F20"/>
          <w:spacing w:val="3"/>
        </w:rPr>
        <w:t xml:space="preserve"> </w:t>
      </w:r>
      <w:r w:rsidRPr="00E0381A">
        <w:rPr>
          <w:color w:val="231F20"/>
        </w:rPr>
        <w:t>temporal</w:t>
      </w:r>
      <w:r w:rsidRPr="00E0381A">
        <w:rPr>
          <w:color w:val="231F20"/>
          <w:spacing w:val="-8"/>
        </w:rPr>
        <w:t xml:space="preserve"> </w:t>
      </w:r>
      <w:r w:rsidRPr="00E0381A">
        <w:rPr>
          <w:color w:val="231F20"/>
        </w:rPr>
        <w:t>and</w:t>
      </w:r>
      <w:r w:rsidRPr="00E0381A">
        <w:rPr>
          <w:color w:val="231F20"/>
          <w:spacing w:val="2"/>
        </w:rPr>
        <w:t xml:space="preserve"> </w:t>
      </w:r>
      <w:r w:rsidRPr="00E0381A">
        <w:rPr>
          <w:color w:val="231F20"/>
        </w:rPr>
        <w:t>geographic</w:t>
      </w:r>
      <w:r w:rsidRPr="00E0381A">
        <w:rPr>
          <w:color w:val="231F20"/>
          <w:spacing w:val="-3"/>
        </w:rPr>
        <w:t xml:space="preserve"> </w:t>
      </w:r>
      <w:r w:rsidRPr="00E0381A">
        <w:rPr>
          <w:color w:val="231F20"/>
        </w:rPr>
        <w:t>spread</w:t>
      </w:r>
      <w:r w:rsidRPr="00E0381A">
        <w:rPr>
          <w:color w:val="231F20"/>
          <w:spacing w:val="-5"/>
        </w:rPr>
        <w:t xml:space="preserve"> </w:t>
      </w:r>
      <w:r w:rsidRPr="00E0381A">
        <w:rPr>
          <w:color w:val="231F20"/>
        </w:rPr>
        <w:t>of</w:t>
      </w:r>
      <w:r w:rsidRPr="00E0381A">
        <w:rPr>
          <w:color w:val="231F20"/>
          <w:spacing w:val="3"/>
        </w:rPr>
        <w:t xml:space="preserve"> </w:t>
      </w:r>
      <w:r w:rsidRPr="00E0381A">
        <w:rPr>
          <w:color w:val="231F20"/>
        </w:rPr>
        <w:t>visitor</w:t>
      </w:r>
      <w:r w:rsidRPr="00E0381A">
        <w:rPr>
          <w:color w:val="231F20"/>
          <w:spacing w:val="-4"/>
        </w:rPr>
        <w:t xml:space="preserve"> </w:t>
      </w:r>
      <w:r w:rsidRPr="00E0381A">
        <w:rPr>
          <w:color w:val="231F20"/>
        </w:rPr>
        <w:t>activ</w:t>
      </w:r>
      <w:r w:rsidRPr="00E0381A">
        <w:rPr>
          <w:color w:val="231F20"/>
          <w:spacing w:val="2"/>
        </w:rPr>
        <w:t>i</w:t>
      </w:r>
      <w:r w:rsidRPr="00E0381A">
        <w:rPr>
          <w:color w:val="231F20"/>
        </w:rPr>
        <w:t>ty</w:t>
      </w:r>
      <w:r w:rsidRPr="00E0381A">
        <w:rPr>
          <w:color w:val="231F20"/>
          <w:spacing w:val="-7"/>
        </w:rPr>
        <w:t xml:space="preserve"> </w:t>
      </w:r>
      <w:r w:rsidRPr="00E0381A">
        <w:rPr>
          <w:color w:val="231F20"/>
        </w:rPr>
        <w:t>o</w:t>
      </w:r>
      <w:r w:rsidRPr="00E0381A">
        <w:rPr>
          <w:color w:val="231F20"/>
          <w:spacing w:val="-2"/>
        </w:rPr>
        <w:t>f</w:t>
      </w:r>
      <w:r w:rsidRPr="00E0381A">
        <w:rPr>
          <w:color w:val="231F20"/>
        </w:rPr>
        <w:t>fered by</w:t>
      </w:r>
      <w:r w:rsidRPr="00E0381A">
        <w:rPr>
          <w:color w:val="231F20"/>
          <w:spacing w:val="6"/>
        </w:rPr>
        <w:t xml:space="preserve"> </w:t>
      </w:r>
      <w:r w:rsidRPr="00E0381A">
        <w:rPr>
          <w:color w:val="231F20"/>
        </w:rPr>
        <w:t>extend</w:t>
      </w:r>
      <w:r w:rsidRPr="00E0381A">
        <w:rPr>
          <w:color w:val="231F20"/>
          <w:spacing w:val="2"/>
        </w:rPr>
        <w:t>e</w:t>
      </w:r>
      <w:r w:rsidRPr="00E0381A">
        <w:rPr>
          <w:color w:val="231F20"/>
        </w:rPr>
        <w:t>d</w:t>
      </w:r>
      <w:r w:rsidRPr="00E0381A">
        <w:rPr>
          <w:color w:val="231F20"/>
          <w:spacing w:val="-1"/>
        </w:rPr>
        <w:t xml:space="preserve"> </w:t>
      </w:r>
      <w:r w:rsidRPr="00E0381A">
        <w:rPr>
          <w:color w:val="231F20"/>
        </w:rPr>
        <w:t>late</w:t>
      </w:r>
      <w:r w:rsidRPr="00E0381A">
        <w:rPr>
          <w:color w:val="231F20"/>
          <w:spacing w:val="-3"/>
        </w:rPr>
        <w:t xml:space="preserve"> </w:t>
      </w:r>
      <w:r w:rsidRPr="00E0381A">
        <w:rPr>
          <w:color w:val="231F20"/>
        </w:rPr>
        <w:t>night</w:t>
      </w:r>
      <w:r w:rsidRPr="00E0381A">
        <w:rPr>
          <w:color w:val="231F20"/>
          <w:spacing w:val="3"/>
        </w:rPr>
        <w:t xml:space="preserve"> </w:t>
      </w:r>
      <w:r w:rsidRPr="00E0381A">
        <w:rPr>
          <w:color w:val="231F20"/>
        </w:rPr>
        <w:t>cultural</w:t>
      </w:r>
      <w:r w:rsidRPr="00E0381A">
        <w:rPr>
          <w:color w:val="231F20"/>
          <w:spacing w:val="-6"/>
        </w:rPr>
        <w:t xml:space="preserve"> </w:t>
      </w:r>
      <w:r w:rsidR="00570D27">
        <w:rPr>
          <w:color w:val="231F20"/>
        </w:rPr>
        <w:t>activity</w:t>
      </w:r>
      <w:r w:rsidR="00570D27" w:rsidRPr="00E0381A">
        <w:rPr>
          <w:color w:val="231F20"/>
          <w:spacing w:val="1"/>
        </w:rPr>
        <w:t xml:space="preserve"> </w:t>
      </w:r>
      <w:r w:rsidRPr="00E0381A">
        <w:rPr>
          <w:color w:val="231F20"/>
        </w:rPr>
        <w:t>directly</w:t>
      </w:r>
      <w:r w:rsidRPr="00E0381A">
        <w:rPr>
          <w:color w:val="231F20"/>
          <w:spacing w:val="-6"/>
        </w:rPr>
        <w:t xml:space="preserve"> </w:t>
      </w:r>
      <w:r w:rsidRPr="00E0381A">
        <w:rPr>
          <w:color w:val="231F20"/>
        </w:rPr>
        <w:t>contributes</w:t>
      </w:r>
      <w:r w:rsidRPr="00E0381A">
        <w:rPr>
          <w:color w:val="231F20"/>
          <w:spacing w:val="-11"/>
        </w:rPr>
        <w:t xml:space="preserve"> </w:t>
      </w:r>
      <w:r w:rsidRPr="00E0381A">
        <w:rPr>
          <w:color w:val="231F20"/>
        </w:rPr>
        <w:t>to</w:t>
      </w:r>
      <w:r w:rsidRPr="00E0381A">
        <w:rPr>
          <w:color w:val="231F20"/>
          <w:spacing w:val="4"/>
        </w:rPr>
        <w:t xml:space="preserve"> </w:t>
      </w:r>
      <w:r w:rsidRPr="00E0381A">
        <w:rPr>
          <w:color w:val="231F20"/>
        </w:rPr>
        <w:t>this increase</w:t>
      </w:r>
      <w:r w:rsidRPr="00E0381A">
        <w:rPr>
          <w:color w:val="231F20"/>
          <w:spacing w:val="-6"/>
        </w:rPr>
        <w:t xml:space="preserve"> </w:t>
      </w:r>
      <w:r w:rsidRPr="00E0381A">
        <w:rPr>
          <w:color w:val="231F20"/>
        </w:rPr>
        <w:t>in</w:t>
      </w:r>
      <w:r w:rsidRPr="00E0381A">
        <w:rPr>
          <w:color w:val="231F20"/>
          <w:spacing w:val="3"/>
        </w:rPr>
        <w:t xml:space="preserve"> </w:t>
      </w:r>
      <w:r w:rsidRPr="00E0381A">
        <w:rPr>
          <w:color w:val="231F20"/>
        </w:rPr>
        <w:t>capacity</w:t>
      </w:r>
      <w:r w:rsidRPr="00E0381A">
        <w:rPr>
          <w:color w:val="231F20"/>
          <w:spacing w:val="-6"/>
        </w:rPr>
        <w:t xml:space="preserve"> </w:t>
      </w:r>
      <w:r w:rsidRPr="00E0381A">
        <w:rPr>
          <w:color w:val="231F20"/>
        </w:rPr>
        <w:t>and therefore</w:t>
      </w:r>
      <w:r w:rsidRPr="00E0381A">
        <w:rPr>
          <w:color w:val="231F20"/>
          <w:spacing w:val="-10"/>
        </w:rPr>
        <w:t xml:space="preserve"> </w:t>
      </w:r>
      <w:r w:rsidRPr="00E0381A">
        <w:rPr>
          <w:color w:val="231F20"/>
        </w:rPr>
        <w:t>their</w:t>
      </w:r>
      <w:r w:rsidRPr="00E0381A">
        <w:rPr>
          <w:color w:val="231F20"/>
          <w:spacing w:val="-5"/>
        </w:rPr>
        <w:t xml:space="preserve"> </w:t>
      </w:r>
      <w:r w:rsidRPr="00E0381A">
        <w:rPr>
          <w:color w:val="231F20"/>
          <w:w w:val="98"/>
        </w:rPr>
        <w:t>sustainabi</w:t>
      </w:r>
      <w:r w:rsidRPr="00E0381A">
        <w:rPr>
          <w:color w:val="231F20"/>
          <w:spacing w:val="2"/>
          <w:w w:val="98"/>
        </w:rPr>
        <w:t>l</w:t>
      </w:r>
      <w:r w:rsidRPr="00E0381A">
        <w:rPr>
          <w:color w:val="231F20"/>
          <w:w w:val="98"/>
        </w:rPr>
        <w:t>it</w:t>
      </w:r>
      <w:r w:rsidRPr="00E0381A">
        <w:rPr>
          <w:color w:val="231F20"/>
          <w:spacing w:val="-12"/>
          <w:w w:val="98"/>
        </w:rPr>
        <w:t>y</w:t>
      </w:r>
      <w:r w:rsidRPr="00E0381A">
        <w:rPr>
          <w:color w:val="231F20"/>
          <w:w w:val="98"/>
        </w:rPr>
        <w:t>.</w:t>
      </w:r>
      <w:r w:rsidRPr="00E0381A">
        <w:rPr>
          <w:color w:val="231F20"/>
          <w:spacing w:val="3"/>
          <w:w w:val="98"/>
        </w:rPr>
        <w:t xml:space="preserve"> </w:t>
      </w:r>
      <w:r w:rsidRPr="00E0381A">
        <w:rPr>
          <w:color w:val="231F20"/>
        </w:rPr>
        <w:t>Howeve</w:t>
      </w:r>
      <w:r w:rsidRPr="00E0381A">
        <w:rPr>
          <w:color w:val="231F20"/>
          <w:spacing w:val="-5"/>
        </w:rPr>
        <w:t>r</w:t>
      </w:r>
      <w:r w:rsidRPr="00E0381A">
        <w:rPr>
          <w:color w:val="231F20"/>
        </w:rPr>
        <w:t>,</w:t>
      </w:r>
      <w:r w:rsidRPr="00E0381A">
        <w:rPr>
          <w:color w:val="231F20"/>
          <w:spacing w:val="4"/>
        </w:rPr>
        <w:t xml:space="preserve"> </w:t>
      </w:r>
      <w:r w:rsidRPr="00E0381A">
        <w:rPr>
          <w:color w:val="231F20"/>
        </w:rPr>
        <w:t>the</w:t>
      </w:r>
      <w:r w:rsidRPr="00E0381A">
        <w:rPr>
          <w:color w:val="231F20"/>
          <w:spacing w:val="5"/>
        </w:rPr>
        <w:t xml:space="preserve"> </w:t>
      </w:r>
      <w:r w:rsidRPr="00E0381A">
        <w:rPr>
          <w:color w:val="231F20"/>
        </w:rPr>
        <w:t>beneﬁts</w:t>
      </w:r>
      <w:r w:rsidRPr="00E0381A">
        <w:rPr>
          <w:color w:val="231F20"/>
          <w:spacing w:val="5"/>
        </w:rPr>
        <w:t xml:space="preserve"> </w:t>
      </w:r>
      <w:r w:rsidRPr="00E0381A">
        <w:rPr>
          <w:color w:val="231F20"/>
        </w:rPr>
        <w:t>accor</w:t>
      </w:r>
      <w:r w:rsidRPr="00E0381A">
        <w:rPr>
          <w:color w:val="231F20"/>
          <w:spacing w:val="2"/>
        </w:rPr>
        <w:t>d</w:t>
      </w:r>
      <w:r w:rsidRPr="00E0381A">
        <w:rPr>
          <w:color w:val="231F20"/>
        </w:rPr>
        <w:t>ing</w:t>
      </w:r>
      <w:r w:rsidRPr="00E0381A">
        <w:rPr>
          <w:color w:val="231F20"/>
          <w:spacing w:val="-3"/>
        </w:rPr>
        <w:t xml:space="preserve"> </w:t>
      </w:r>
      <w:r w:rsidRPr="00E0381A">
        <w:rPr>
          <w:color w:val="231F20"/>
        </w:rPr>
        <w:t>to</w:t>
      </w:r>
      <w:r w:rsidRPr="00E0381A">
        <w:rPr>
          <w:color w:val="231F20"/>
          <w:spacing w:val="7"/>
        </w:rPr>
        <w:t xml:space="preserve"> </w:t>
      </w:r>
      <w:r w:rsidRPr="00E0381A">
        <w:rPr>
          <w:color w:val="231F20"/>
        </w:rPr>
        <w:t>the</w:t>
      </w:r>
      <w:r w:rsidRPr="00E0381A">
        <w:rPr>
          <w:color w:val="231F20"/>
          <w:spacing w:val="6"/>
        </w:rPr>
        <w:t xml:space="preserve"> </w:t>
      </w:r>
      <w:r w:rsidRPr="00E0381A">
        <w:rPr>
          <w:color w:val="231F20"/>
        </w:rPr>
        <w:t>survey</w:t>
      </w:r>
      <w:r w:rsidRPr="00E0381A">
        <w:rPr>
          <w:color w:val="231F20"/>
          <w:spacing w:val="6"/>
        </w:rPr>
        <w:t xml:space="preserve"> </w:t>
      </w:r>
      <w:r w:rsidRPr="00E0381A">
        <w:rPr>
          <w:color w:val="231F20"/>
        </w:rPr>
        <w:t>of</w:t>
      </w:r>
      <w:r w:rsidRPr="00E0381A">
        <w:rPr>
          <w:color w:val="231F20"/>
          <w:spacing w:val="7"/>
        </w:rPr>
        <w:t xml:space="preserve"> </w:t>
      </w:r>
      <w:r w:rsidRPr="00E0381A">
        <w:rPr>
          <w:color w:val="231F20"/>
        </w:rPr>
        <w:t>local</w:t>
      </w:r>
      <w:r w:rsidRPr="00E0381A">
        <w:rPr>
          <w:color w:val="231F20"/>
          <w:spacing w:val="3"/>
        </w:rPr>
        <w:t xml:space="preserve"> </w:t>
      </w:r>
      <w:r w:rsidRPr="00E0381A">
        <w:rPr>
          <w:color w:val="231F20"/>
        </w:rPr>
        <w:t>authorit</w:t>
      </w:r>
      <w:r w:rsidRPr="00E0381A">
        <w:rPr>
          <w:color w:val="231F20"/>
          <w:spacing w:val="2"/>
        </w:rPr>
        <w:t>i</w:t>
      </w:r>
      <w:r w:rsidRPr="00E0381A">
        <w:rPr>
          <w:color w:val="231F20"/>
        </w:rPr>
        <w:t>es</w:t>
      </w:r>
      <w:r w:rsidRPr="00E0381A">
        <w:rPr>
          <w:color w:val="231F20"/>
          <w:spacing w:val="-7"/>
        </w:rPr>
        <w:t xml:space="preserve"> </w:t>
      </w:r>
      <w:r w:rsidRPr="00E0381A">
        <w:rPr>
          <w:color w:val="231F20"/>
        </w:rPr>
        <w:t>are</w:t>
      </w:r>
      <w:r w:rsidRPr="00E0381A">
        <w:rPr>
          <w:color w:val="231F20"/>
          <w:spacing w:val="4"/>
        </w:rPr>
        <w:t xml:space="preserve"> </w:t>
      </w:r>
      <w:r w:rsidRPr="00E0381A">
        <w:rPr>
          <w:color w:val="231F20"/>
        </w:rPr>
        <w:t>also</w:t>
      </w:r>
      <w:r w:rsidRPr="00E0381A">
        <w:rPr>
          <w:color w:val="231F20"/>
          <w:spacing w:val="4"/>
        </w:rPr>
        <w:t xml:space="preserve"> </w:t>
      </w:r>
      <w:r w:rsidRPr="00E0381A">
        <w:rPr>
          <w:color w:val="231F20"/>
        </w:rPr>
        <w:t>wider</w:t>
      </w:r>
      <w:r w:rsidRPr="00E0381A">
        <w:rPr>
          <w:color w:val="231F20"/>
          <w:spacing w:val="2"/>
        </w:rPr>
        <w:t xml:space="preserve"> </w:t>
      </w:r>
      <w:r w:rsidRPr="00E0381A">
        <w:rPr>
          <w:color w:val="231F20"/>
        </w:rPr>
        <w:t>than</w:t>
      </w:r>
      <w:r w:rsidRPr="00E0381A">
        <w:rPr>
          <w:color w:val="231F20"/>
          <w:spacing w:val="8"/>
        </w:rPr>
        <w:t xml:space="preserve"> </w:t>
      </w:r>
      <w:r w:rsidRPr="00E0381A">
        <w:rPr>
          <w:color w:val="231F20"/>
        </w:rPr>
        <w:t>just the</w:t>
      </w:r>
      <w:r w:rsidRPr="00E0381A">
        <w:rPr>
          <w:color w:val="231F20"/>
          <w:spacing w:val="26"/>
        </w:rPr>
        <w:t xml:space="preserve"> </w:t>
      </w:r>
      <w:r w:rsidRPr="00E0381A">
        <w:rPr>
          <w:color w:val="231F20"/>
        </w:rPr>
        <w:t>commercial</w:t>
      </w:r>
      <w:r w:rsidRPr="00E0381A">
        <w:rPr>
          <w:color w:val="231F20"/>
          <w:spacing w:val="12"/>
        </w:rPr>
        <w:t xml:space="preserve"> </w:t>
      </w:r>
      <w:r w:rsidRPr="00E0381A">
        <w:rPr>
          <w:color w:val="231F20"/>
        </w:rPr>
        <w:t>returns</w:t>
      </w:r>
      <w:r w:rsidRPr="00E0381A">
        <w:rPr>
          <w:color w:val="231F20"/>
          <w:spacing w:val="20"/>
        </w:rPr>
        <w:t xml:space="preserve"> </w:t>
      </w:r>
      <w:r w:rsidRPr="00E0381A">
        <w:rPr>
          <w:color w:val="231F20"/>
        </w:rPr>
        <w:t>and</w:t>
      </w:r>
      <w:r w:rsidRPr="00E0381A">
        <w:rPr>
          <w:color w:val="231F20"/>
          <w:spacing w:val="27"/>
        </w:rPr>
        <w:t xml:space="preserve"> </w:t>
      </w:r>
      <w:r w:rsidRPr="00E0381A">
        <w:rPr>
          <w:color w:val="231F20"/>
        </w:rPr>
        <w:t>income</w:t>
      </w:r>
      <w:r w:rsidRPr="00E0381A">
        <w:rPr>
          <w:color w:val="231F20"/>
          <w:spacing w:val="19"/>
        </w:rPr>
        <w:t xml:space="preserve"> </w:t>
      </w:r>
      <w:r w:rsidRPr="00E0381A">
        <w:rPr>
          <w:color w:val="231F20"/>
        </w:rPr>
        <w:t>to</w:t>
      </w:r>
      <w:r w:rsidRPr="00E0381A">
        <w:rPr>
          <w:color w:val="231F20"/>
          <w:spacing w:val="28"/>
        </w:rPr>
        <w:t xml:space="preserve"> </w:t>
      </w:r>
      <w:r w:rsidRPr="00E0381A">
        <w:rPr>
          <w:color w:val="231F20"/>
        </w:rPr>
        <w:t>incumbe</w:t>
      </w:r>
      <w:r w:rsidRPr="00E0381A">
        <w:rPr>
          <w:color w:val="231F20"/>
          <w:spacing w:val="2"/>
        </w:rPr>
        <w:t>n</w:t>
      </w:r>
      <w:r w:rsidRPr="00E0381A">
        <w:rPr>
          <w:color w:val="231F20"/>
        </w:rPr>
        <w:t>t</w:t>
      </w:r>
      <w:r w:rsidRPr="00E0381A">
        <w:rPr>
          <w:color w:val="231F20"/>
          <w:spacing w:val="20"/>
        </w:rPr>
        <w:t xml:space="preserve"> </w:t>
      </w:r>
      <w:r w:rsidRPr="00E0381A">
        <w:rPr>
          <w:color w:val="231F20"/>
        </w:rPr>
        <w:t>local</w:t>
      </w:r>
      <w:r w:rsidRPr="00E0381A">
        <w:rPr>
          <w:color w:val="231F20"/>
          <w:spacing w:val="22"/>
        </w:rPr>
        <w:t xml:space="preserve"> </w:t>
      </w:r>
      <w:r w:rsidRPr="00E0381A">
        <w:rPr>
          <w:color w:val="231F20"/>
        </w:rPr>
        <w:t>authoriti</w:t>
      </w:r>
      <w:r w:rsidRPr="00E0381A">
        <w:rPr>
          <w:color w:val="231F20"/>
          <w:spacing w:val="2"/>
        </w:rPr>
        <w:t>e</w:t>
      </w:r>
      <w:r w:rsidRPr="00E0381A">
        <w:rPr>
          <w:color w:val="231F20"/>
        </w:rPr>
        <w:t>s</w:t>
      </w:r>
      <w:r w:rsidRPr="00E0381A">
        <w:rPr>
          <w:color w:val="231F20"/>
          <w:spacing w:val="12"/>
        </w:rPr>
        <w:t xml:space="preserve"> </w:t>
      </w:r>
      <w:r w:rsidRPr="00E0381A">
        <w:rPr>
          <w:color w:val="231F20"/>
        </w:rPr>
        <w:t>and</w:t>
      </w:r>
      <w:r w:rsidRPr="00E0381A">
        <w:rPr>
          <w:color w:val="231F20"/>
          <w:spacing w:val="27"/>
        </w:rPr>
        <w:t xml:space="preserve"> </w:t>
      </w:r>
      <w:r w:rsidRPr="00E0381A">
        <w:rPr>
          <w:color w:val="231F20"/>
        </w:rPr>
        <w:t>businesses,</w:t>
      </w:r>
      <w:r w:rsidRPr="00E0381A">
        <w:rPr>
          <w:color w:val="231F20"/>
          <w:spacing w:val="21"/>
        </w:rPr>
        <w:t xml:space="preserve"> </w:t>
      </w:r>
      <w:proofErr w:type="gramStart"/>
      <w:r w:rsidRPr="00E0381A">
        <w:rPr>
          <w:color w:val="231F20"/>
        </w:rPr>
        <w:t>w</w:t>
      </w:r>
      <w:r w:rsidRPr="00E0381A">
        <w:rPr>
          <w:color w:val="231F20"/>
          <w:spacing w:val="1"/>
        </w:rPr>
        <w:t>h</w:t>
      </w:r>
      <w:r w:rsidRPr="00E0381A">
        <w:rPr>
          <w:color w:val="231F20"/>
        </w:rPr>
        <w:t>o</w:t>
      </w:r>
      <w:proofErr w:type="gramEnd"/>
      <w:r w:rsidRPr="00E0381A">
        <w:rPr>
          <w:color w:val="231F20"/>
        </w:rPr>
        <w:t xml:space="preserve"> also</w:t>
      </w:r>
      <w:r w:rsidRPr="00E0381A">
        <w:rPr>
          <w:color w:val="231F20"/>
          <w:spacing w:val="3"/>
        </w:rPr>
        <w:t xml:space="preserve"> </w:t>
      </w:r>
      <w:r w:rsidRPr="00E0381A">
        <w:rPr>
          <w:color w:val="231F20"/>
        </w:rPr>
        <w:t>link</w:t>
      </w:r>
      <w:r w:rsidRPr="00E0381A">
        <w:rPr>
          <w:color w:val="231F20"/>
          <w:spacing w:val="2"/>
        </w:rPr>
        <w:t xml:space="preserve"> </w:t>
      </w:r>
      <w:r w:rsidRPr="00E0381A">
        <w:rPr>
          <w:color w:val="231F20"/>
        </w:rPr>
        <w:t>a</w:t>
      </w:r>
      <w:r w:rsidRPr="00E0381A">
        <w:rPr>
          <w:color w:val="231F20"/>
          <w:spacing w:val="6"/>
        </w:rPr>
        <w:t xml:space="preserve"> </w:t>
      </w:r>
      <w:r w:rsidRPr="00E0381A">
        <w:rPr>
          <w:color w:val="231F20"/>
        </w:rPr>
        <w:t>vibrant</w:t>
      </w:r>
      <w:r w:rsidRPr="00E0381A">
        <w:rPr>
          <w:color w:val="231F20"/>
          <w:spacing w:val="-2"/>
        </w:rPr>
        <w:t xml:space="preserve"> </w:t>
      </w:r>
      <w:r w:rsidRPr="00E0381A">
        <w:rPr>
          <w:color w:val="231F20"/>
        </w:rPr>
        <w:t>night</w:t>
      </w:r>
      <w:r w:rsidRPr="00E0381A">
        <w:rPr>
          <w:color w:val="231F20"/>
          <w:spacing w:val="4"/>
        </w:rPr>
        <w:t xml:space="preserve"> </w:t>
      </w:r>
      <w:r w:rsidRPr="00E0381A">
        <w:rPr>
          <w:color w:val="231F20"/>
        </w:rPr>
        <w:t>life</w:t>
      </w:r>
      <w:r w:rsidRPr="00E0381A">
        <w:rPr>
          <w:color w:val="231F20"/>
          <w:spacing w:val="1"/>
        </w:rPr>
        <w:t xml:space="preserve"> </w:t>
      </w:r>
      <w:r w:rsidRPr="00E0381A">
        <w:rPr>
          <w:color w:val="231F20"/>
        </w:rPr>
        <w:t>with</w:t>
      </w:r>
      <w:r w:rsidRPr="00E0381A">
        <w:rPr>
          <w:color w:val="231F20"/>
          <w:spacing w:val="2"/>
        </w:rPr>
        <w:t xml:space="preserve"> </w:t>
      </w:r>
      <w:r w:rsidRPr="00E0381A">
        <w:rPr>
          <w:color w:val="231F20"/>
        </w:rPr>
        <w:t>attracti</w:t>
      </w:r>
      <w:r w:rsidRPr="00E0381A">
        <w:rPr>
          <w:color w:val="231F20"/>
          <w:spacing w:val="3"/>
        </w:rPr>
        <w:t>o</w:t>
      </w:r>
      <w:r w:rsidRPr="00E0381A">
        <w:rPr>
          <w:color w:val="231F20"/>
        </w:rPr>
        <w:t>n</w:t>
      </w:r>
      <w:r w:rsidRPr="00E0381A">
        <w:rPr>
          <w:color w:val="231F20"/>
          <w:spacing w:val="-5"/>
        </w:rPr>
        <w:t xml:space="preserve"> </w:t>
      </w:r>
      <w:r w:rsidRPr="00E0381A">
        <w:rPr>
          <w:color w:val="231F20"/>
        </w:rPr>
        <w:t>to</w:t>
      </w:r>
      <w:r w:rsidRPr="00E0381A">
        <w:rPr>
          <w:color w:val="231F20"/>
          <w:spacing w:val="6"/>
        </w:rPr>
        <w:t xml:space="preserve"> </w:t>
      </w:r>
      <w:r w:rsidRPr="00E0381A">
        <w:rPr>
          <w:color w:val="231F20"/>
        </w:rPr>
        <w:t>residents</w:t>
      </w:r>
      <w:r w:rsidRPr="00E0381A">
        <w:rPr>
          <w:color w:val="231F20"/>
          <w:spacing w:val="-4"/>
        </w:rPr>
        <w:t xml:space="preserve"> </w:t>
      </w:r>
      <w:r w:rsidRPr="00E0381A">
        <w:rPr>
          <w:color w:val="231F20"/>
        </w:rPr>
        <w:t>and</w:t>
      </w:r>
      <w:r w:rsidRPr="00E0381A">
        <w:rPr>
          <w:color w:val="231F20"/>
          <w:spacing w:val="5"/>
        </w:rPr>
        <w:t xml:space="preserve"> </w:t>
      </w:r>
      <w:r w:rsidRPr="00E0381A">
        <w:rPr>
          <w:color w:val="231F20"/>
        </w:rPr>
        <w:t>investors</w:t>
      </w:r>
      <w:r w:rsidRPr="00E0381A">
        <w:rPr>
          <w:color w:val="231F20"/>
          <w:spacing w:val="-4"/>
        </w:rPr>
        <w:t xml:space="preserve"> </w:t>
      </w:r>
      <w:r w:rsidRPr="00E0381A">
        <w:rPr>
          <w:color w:val="231F20"/>
        </w:rPr>
        <w:t>(Roberts</w:t>
      </w:r>
      <w:r w:rsidRPr="00E0381A">
        <w:rPr>
          <w:color w:val="231F20"/>
          <w:spacing w:val="-5"/>
        </w:rPr>
        <w:t xml:space="preserve"> </w:t>
      </w:r>
      <w:r w:rsidRPr="00E0381A">
        <w:rPr>
          <w:color w:val="231F20"/>
        </w:rPr>
        <w:t>&amp;</w:t>
      </w:r>
      <w:r w:rsidRPr="00E0381A">
        <w:rPr>
          <w:color w:val="231F20"/>
          <w:spacing w:val="5"/>
        </w:rPr>
        <w:t xml:space="preserve"> </w:t>
      </w:r>
      <w:r w:rsidRPr="00E0381A">
        <w:rPr>
          <w:color w:val="231F20"/>
        </w:rPr>
        <w:t>Go</w:t>
      </w:r>
      <w:r w:rsidRPr="00E0381A">
        <w:rPr>
          <w:color w:val="231F20"/>
          <w:spacing w:val="2"/>
        </w:rPr>
        <w:t>r</w:t>
      </w:r>
      <w:r w:rsidRPr="00E0381A">
        <w:rPr>
          <w:color w:val="231F20"/>
        </w:rPr>
        <w:t>nostaeva,</w:t>
      </w:r>
      <w:r w:rsidRPr="00E0381A">
        <w:rPr>
          <w:color w:val="231F20"/>
          <w:spacing w:val="2"/>
        </w:rPr>
        <w:t xml:space="preserve"> </w:t>
      </w:r>
      <w:r w:rsidRPr="00E0381A">
        <w:rPr>
          <w:color w:val="231F20"/>
        </w:rPr>
        <w:t>2007).</w:t>
      </w:r>
      <w:r w:rsidRPr="00E0381A">
        <w:rPr>
          <w:color w:val="231F20"/>
          <w:spacing w:val="6"/>
        </w:rPr>
        <w:t xml:space="preserve"> </w:t>
      </w:r>
      <w:r w:rsidRPr="00E0381A">
        <w:rPr>
          <w:color w:val="231F20"/>
        </w:rPr>
        <w:t>Perc</w:t>
      </w:r>
      <w:r w:rsidRPr="00E0381A">
        <w:rPr>
          <w:color w:val="231F20"/>
          <w:spacing w:val="2"/>
        </w:rPr>
        <w:t>e</w:t>
      </w:r>
      <w:r w:rsidRPr="00E0381A">
        <w:rPr>
          <w:color w:val="231F20"/>
        </w:rPr>
        <w:t>ived</w:t>
      </w:r>
      <w:r w:rsidRPr="00E0381A">
        <w:rPr>
          <w:color w:val="231F20"/>
          <w:spacing w:val="-2"/>
        </w:rPr>
        <w:t xml:space="preserve"> </w:t>
      </w:r>
      <w:r w:rsidRPr="00E0381A">
        <w:rPr>
          <w:color w:val="231F20"/>
        </w:rPr>
        <w:t>beneﬁ</w:t>
      </w:r>
      <w:r w:rsidRPr="00E0381A">
        <w:rPr>
          <w:color w:val="231F20"/>
          <w:spacing w:val="2"/>
        </w:rPr>
        <w:t>t</w:t>
      </w:r>
      <w:r w:rsidRPr="00E0381A">
        <w:rPr>
          <w:color w:val="231F20"/>
        </w:rPr>
        <w:t>s</w:t>
      </w:r>
      <w:r w:rsidRPr="00E0381A">
        <w:rPr>
          <w:color w:val="231F20"/>
          <w:spacing w:val="2"/>
        </w:rPr>
        <w:t xml:space="preserve"> </w:t>
      </w:r>
      <w:r w:rsidRPr="00E0381A">
        <w:rPr>
          <w:color w:val="231F20"/>
        </w:rPr>
        <w:t>f</w:t>
      </w:r>
      <w:r w:rsidRPr="00E0381A">
        <w:rPr>
          <w:color w:val="231F20"/>
          <w:spacing w:val="2"/>
        </w:rPr>
        <w:t>r</w:t>
      </w:r>
      <w:r w:rsidRPr="00E0381A">
        <w:rPr>
          <w:color w:val="231F20"/>
        </w:rPr>
        <w:t>om</w:t>
      </w:r>
      <w:r w:rsidRPr="00E0381A">
        <w:rPr>
          <w:color w:val="231F20"/>
          <w:spacing w:val="2"/>
        </w:rPr>
        <w:t xml:space="preserve"> </w:t>
      </w:r>
      <w:r w:rsidRPr="00E0381A">
        <w:rPr>
          <w:color w:val="231F20"/>
        </w:rPr>
        <w:t>NTE</w:t>
      </w:r>
      <w:r w:rsidRPr="00E0381A">
        <w:rPr>
          <w:color w:val="231F20"/>
          <w:spacing w:val="6"/>
        </w:rPr>
        <w:t xml:space="preserve"> </w:t>
      </w:r>
      <w:r w:rsidRPr="00E0381A">
        <w:rPr>
          <w:color w:val="231F20"/>
        </w:rPr>
        <w:t>growth</w:t>
      </w:r>
      <w:r w:rsidRPr="00E0381A">
        <w:rPr>
          <w:color w:val="231F20"/>
          <w:spacing w:val="5"/>
        </w:rPr>
        <w:t xml:space="preserve"> </w:t>
      </w:r>
      <w:r w:rsidRPr="00E0381A">
        <w:rPr>
          <w:color w:val="231F20"/>
        </w:rPr>
        <w:t>i</w:t>
      </w:r>
      <w:r w:rsidRPr="00E0381A">
        <w:rPr>
          <w:color w:val="231F20"/>
          <w:spacing w:val="1"/>
        </w:rPr>
        <w:t>n</w:t>
      </w:r>
      <w:r w:rsidRPr="00E0381A">
        <w:rPr>
          <w:color w:val="231F20"/>
        </w:rPr>
        <w:t>cluded:</w:t>
      </w:r>
    </w:p>
    <w:p w14:paraId="63E6DAA0" w14:textId="556A01C5" w:rsidR="00410E03" w:rsidRPr="00E0381A" w:rsidRDefault="00410E03" w:rsidP="00F0636B">
      <w:pPr>
        <w:pStyle w:val="Bullet"/>
      </w:pPr>
      <w:proofErr w:type="gramStart"/>
      <w:r w:rsidRPr="00E0381A">
        <w:t>improvement</w:t>
      </w:r>
      <w:proofErr w:type="gramEnd"/>
      <w:r w:rsidRPr="00E0381A">
        <w:rPr>
          <w:spacing w:val="-9"/>
        </w:rPr>
        <w:t xml:space="preserve"> </w:t>
      </w:r>
      <w:r w:rsidRPr="00E0381A">
        <w:t>in</w:t>
      </w:r>
      <w:r w:rsidRPr="00E0381A">
        <w:rPr>
          <w:spacing w:val="7"/>
        </w:rPr>
        <w:t xml:space="preserve"> </w:t>
      </w:r>
      <w:r w:rsidRPr="00E0381A">
        <w:t>vitality</w:t>
      </w:r>
      <w:r w:rsidRPr="00E0381A">
        <w:rPr>
          <w:spacing w:val="1"/>
        </w:rPr>
        <w:t xml:space="preserve"> </w:t>
      </w:r>
      <w:r w:rsidRPr="00E0381A">
        <w:t>of</w:t>
      </w:r>
      <w:r w:rsidRPr="00E0381A">
        <w:rPr>
          <w:spacing w:val="7"/>
        </w:rPr>
        <w:t xml:space="preserve"> </w:t>
      </w:r>
      <w:r w:rsidRPr="00E0381A">
        <w:t>the</w:t>
      </w:r>
      <w:r w:rsidRPr="00E0381A">
        <w:rPr>
          <w:spacing w:val="5"/>
        </w:rPr>
        <w:t xml:space="preserve"> </w:t>
      </w:r>
      <w:r w:rsidRPr="00E0381A">
        <w:t>area</w:t>
      </w:r>
      <w:r w:rsidRPr="00E0381A">
        <w:rPr>
          <w:spacing w:val="4"/>
        </w:rPr>
        <w:t xml:space="preserve"> </w:t>
      </w:r>
      <w:r w:rsidRPr="00E0381A">
        <w:t>(and</w:t>
      </w:r>
      <w:r w:rsidRPr="00E0381A">
        <w:rPr>
          <w:spacing w:val="4"/>
        </w:rPr>
        <w:t xml:space="preserve"> </w:t>
      </w:r>
      <w:r w:rsidRPr="00E0381A">
        <w:t>reduced</w:t>
      </w:r>
      <w:r w:rsidRPr="00E0381A">
        <w:rPr>
          <w:spacing w:val="-2"/>
        </w:rPr>
        <w:t xml:space="preserve"> </w:t>
      </w:r>
      <w:r w:rsidRPr="00E0381A">
        <w:t>cri</w:t>
      </w:r>
      <w:r w:rsidRPr="00E0381A">
        <w:rPr>
          <w:spacing w:val="2"/>
        </w:rPr>
        <w:t>m</w:t>
      </w:r>
      <w:r w:rsidRPr="00E0381A">
        <w:t>e/fear</w:t>
      </w:r>
      <w:r w:rsidRPr="00E0381A">
        <w:rPr>
          <w:spacing w:val="-10"/>
        </w:rPr>
        <w:t xml:space="preserve"> </w:t>
      </w:r>
      <w:r w:rsidRPr="00E0381A">
        <w:t>of</w:t>
      </w:r>
      <w:r w:rsidRPr="00E0381A">
        <w:rPr>
          <w:spacing w:val="7"/>
        </w:rPr>
        <w:t xml:space="preserve"> </w:t>
      </w:r>
      <w:r w:rsidRPr="00E0381A">
        <w:t>crime)</w:t>
      </w:r>
    </w:p>
    <w:p w14:paraId="2A5E163A" w14:textId="560F8E68" w:rsidR="00410E03" w:rsidRPr="00E0381A" w:rsidRDefault="00410E03" w:rsidP="00F0636B">
      <w:pPr>
        <w:pStyle w:val="Bullet"/>
      </w:pPr>
      <w:proofErr w:type="gramStart"/>
      <w:r w:rsidRPr="00E0381A">
        <w:t>attraction</w:t>
      </w:r>
      <w:proofErr w:type="gramEnd"/>
      <w:r w:rsidRPr="00E0381A">
        <w:t>/expa</w:t>
      </w:r>
      <w:r w:rsidRPr="00E0381A">
        <w:rPr>
          <w:spacing w:val="3"/>
        </w:rPr>
        <w:t>n</w:t>
      </w:r>
      <w:r w:rsidRPr="00E0381A">
        <w:t>sion</w:t>
      </w:r>
      <w:r w:rsidRPr="00E0381A">
        <w:rPr>
          <w:spacing w:val="33"/>
        </w:rPr>
        <w:t xml:space="preserve"> </w:t>
      </w:r>
      <w:r w:rsidRPr="00E0381A">
        <w:t>of</w:t>
      </w:r>
      <w:r w:rsidR="00A033C6">
        <w:t xml:space="preserve"> </w:t>
      </w:r>
      <w:r w:rsidRPr="00E0381A">
        <w:t>leisure</w:t>
      </w:r>
      <w:r w:rsidR="00A033C6">
        <w:t xml:space="preserve"> </w:t>
      </w:r>
      <w:r w:rsidRPr="00E0381A">
        <w:t>venues</w:t>
      </w:r>
      <w:r w:rsidR="00A033C6">
        <w:t xml:space="preserve"> </w:t>
      </w:r>
      <w:r w:rsidRPr="00E0381A">
        <w:t>(cinemas,</w:t>
      </w:r>
      <w:r w:rsidRPr="00E0381A">
        <w:rPr>
          <w:spacing w:val="49"/>
        </w:rPr>
        <w:t xml:space="preserve"> </w:t>
      </w:r>
      <w:r w:rsidRPr="00E0381A">
        <w:t>theatres,</w:t>
      </w:r>
      <w:r w:rsidR="00A033C6">
        <w:t xml:space="preserve"> </w:t>
      </w:r>
      <w:r w:rsidRPr="00E0381A">
        <w:t>gyms,</w:t>
      </w:r>
      <w:r w:rsidR="00A033C6">
        <w:t xml:space="preserve"> </w:t>
      </w:r>
      <w:r w:rsidR="00570D27" w:rsidRPr="00E0381A">
        <w:t>cyber</w:t>
      </w:r>
      <w:r w:rsidR="00570D27">
        <w:t>-</w:t>
      </w:r>
      <w:r w:rsidRPr="00E0381A">
        <w:t>caf</w:t>
      </w:r>
      <w:r w:rsidR="00570D27">
        <w:t>é</w:t>
      </w:r>
      <w:r w:rsidRPr="00E0381A">
        <w:t>s, events)</w:t>
      </w:r>
    </w:p>
    <w:p w14:paraId="76876A56" w14:textId="2EEDE031" w:rsidR="00410E03" w:rsidRPr="00E0381A" w:rsidRDefault="00410E03" w:rsidP="00F0636B">
      <w:pPr>
        <w:pStyle w:val="Bullet"/>
      </w:pPr>
      <w:proofErr w:type="gramStart"/>
      <w:r w:rsidRPr="00E0381A">
        <w:t>new</w:t>
      </w:r>
      <w:proofErr w:type="gramEnd"/>
      <w:r w:rsidRPr="00E0381A">
        <w:rPr>
          <w:spacing w:val="7"/>
        </w:rPr>
        <w:t xml:space="preserve"> </w:t>
      </w:r>
      <w:r w:rsidRPr="00E0381A">
        <w:t>residents</w:t>
      </w:r>
      <w:r w:rsidRPr="00E0381A">
        <w:rPr>
          <w:spacing w:val="-2"/>
        </w:rPr>
        <w:t xml:space="preserve"> </w:t>
      </w:r>
      <w:r w:rsidRPr="00E0381A">
        <w:t>moving</w:t>
      </w:r>
      <w:r w:rsidRPr="00E0381A">
        <w:rPr>
          <w:spacing w:val="5"/>
        </w:rPr>
        <w:t xml:space="preserve"> </w:t>
      </w:r>
      <w:r w:rsidRPr="00E0381A">
        <w:t>into</w:t>
      </w:r>
      <w:r w:rsidRPr="00E0381A">
        <w:rPr>
          <w:spacing w:val="5"/>
        </w:rPr>
        <w:t xml:space="preserve"> </w:t>
      </w:r>
      <w:r w:rsidRPr="00E0381A">
        <w:t>the</w:t>
      </w:r>
      <w:r w:rsidRPr="00E0381A">
        <w:rPr>
          <w:spacing w:val="5"/>
        </w:rPr>
        <w:t xml:space="preserve"> </w:t>
      </w:r>
      <w:r w:rsidRPr="00E0381A">
        <w:t>area</w:t>
      </w:r>
    </w:p>
    <w:p w14:paraId="44075915" w14:textId="05177296" w:rsidR="00410E03" w:rsidRPr="00E0381A" w:rsidRDefault="00410E03" w:rsidP="00F0636B">
      <w:pPr>
        <w:pStyle w:val="Bullet"/>
      </w:pPr>
      <w:proofErr w:type="gramStart"/>
      <w:r w:rsidRPr="00E0381A">
        <w:t>increased</w:t>
      </w:r>
      <w:proofErr w:type="gramEnd"/>
      <w:r w:rsidRPr="00E0381A">
        <w:rPr>
          <w:spacing w:val="-4"/>
        </w:rPr>
        <w:t xml:space="preserve"> </w:t>
      </w:r>
      <w:r w:rsidRPr="00E0381A">
        <w:t>number</w:t>
      </w:r>
      <w:r w:rsidRPr="00E0381A">
        <w:rPr>
          <w:spacing w:val="5"/>
        </w:rPr>
        <w:t xml:space="preserve"> </w:t>
      </w:r>
      <w:r w:rsidRPr="00E0381A">
        <w:t>of</w:t>
      </w:r>
      <w:r w:rsidRPr="00E0381A">
        <w:rPr>
          <w:spacing w:val="7"/>
        </w:rPr>
        <w:t xml:space="preserve"> </w:t>
      </w:r>
      <w:r w:rsidRPr="00E0381A">
        <w:t>j</w:t>
      </w:r>
      <w:r w:rsidRPr="00E0381A">
        <w:rPr>
          <w:spacing w:val="1"/>
        </w:rPr>
        <w:t>o</w:t>
      </w:r>
      <w:r w:rsidRPr="00E0381A">
        <w:t>bs</w:t>
      </w:r>
    </w:p>
    <w:p w14:paraId="68F14D6C" w14:textId="0B53E11D" w:rsidR="00410E03" w:rsidRPr="00E0381A" w:rsidRDefault="00410E03" w:rsidP="00F0636B">
      <w:pPr>
        <w:pStyle w:val="Bullet"/>
      </w:pPr>
      <w:proofErr w:type="gramStart"/>
      <w:r w:rsidRPr="00E0381A">
        <w:t>greater</w:t>
      </w:r>
      <w:proofErr w:type="gramEnd"/>
      <w:r w:rsidRPr="00E0381A">
        <w:rPr>
          <w:spacing w:val="1"/>
        </w:rPr>
        <w:t xml:space="preserve"> </w:t>
      </w:r>
      <w:r w:rsidRPr="00E0381A">
        <w:t>number</w:t>
      </w:r>
      <w:r w:rsidRPr="00E0381A">
        <w:rPr>
          <w:spacing w:val="5"/>
        </w:rPr>
        <w:t xml:space="preserve"> </w:t>
      </w:r>
      <w:r w:rsidRPr="00E0381A">
        <w:t>of</w:t>
      </w:r>
      <w:r w:rsidRPr="00E0381A">
        <w:rPr>
          <w:spacing w:val="7"/>
        </w:rPr>
        <w:t xml:space="preserve"> </w:t>
      </w:r>
      <w:r w:rsidRPr="00E0381A">
        <w:t>tourists</w:t>
      </w:r>
    </w:p>
    <w:p w14:paraId="0C341D6D" w14:textId="2C5DA2F7" w:rsidR="00410E03" w:rsidRPr="00E0381A" w:rsidRDefault="00410E03" w:rsidP="00F0636B">
      <w:pPr>
        <w:pStyle w:val="Bullet"/>
      </w:pPr>
      <w:proofErr w:type="gramStart"/>
      <w:r w:rsidRPr="00E0381A">
        <w:t>inward</w:t>
      </w:r>
      <w:proofErr w:type="gramEnd"/>
      <w:r w:rsidRPr="00E0381A">
        <w:t xml:space="preserve"> investment</w:t>
      </w:r>
      <w:r w:rsidRPr="00E0381A">
        <w:rPr>
          <w:spacing w:val="-6"/>
        </w:rPr>
        <w:t xml:space="preserve"> </w:t>
      </w:r>
      <w:r w:rsidRPr="00E0381A">
        <w:t>in</w:t>
      </w:r>
      <w:r w:rsidRPr="00E0381A">
        <w:rPr>
          <w:spacing w:val="7"/>
        </w:rPr>
        <w:t xml:space="preserve"> </w:t>
      </w:r>
      <w:r w:rsidRPr="00E0381A">
        <w:t>other</w:t>
      </w:r>
      <w:r w:rsidRPr="00E0381A">
        <w:rPr>
          <w:spacing w:val="3"/>
        </w:rPr>
        <w:t xml:space="preserve"> </w:t>
      </w:r>
      <w:r w:rsidRPr="00E0381A">
        <w:t>businesses</w:t>
      </w:r>
    </w:p>
    <w:p w14:paraId="75C42EE2" w14:textId="1B38D0FA" w:rsidR="00410E03" w:rsidRPr="00520273" w:rsidRDefault="00410E03" w:rsidP="00224A2D">
      <w:pPr>
        <w:rPr>
          <w:rFonts w:cs="Arial"/>
        </w:rPr>
      </w:pPr>
      <w:r w:rsidRPr="00520273">
        <w:rPr>
          <w:rFonts w:cs="Arial"/>
          <w:color w:val="231F20"/>
        </w:rPr>
        <w:t>The</w:t>
      </w:r>
      <w:r w:rsidRPr="00520273">
        <w:rPr>
          <w:rFonts w:cs="Arial"/>
          <w:color w:val="231F20"/>
          <w:spacing w:val="-2"/>
        </w:rPr>
        <w:t xml:space="preserve"> </w:t>
      </w:r>
      <w:r w:rsidRPr="00520273">
        <w:rPr>
          <w:rFonts w:cs="Arial"/>
          <w:color w:val="231F20"/>
        </w:rPr>
        <w:t>Greater</w:t>
      </w:r>
      <w:r w:rsidRPr="00520273">
        <w:rPr>
          <w:rFonts w:cs="Arial"/>
          <w:color w:val="231F20"/>
          <w:spacing w:val="-10"/>
        </w:rPr>
        <w:t xml:space="preserve"> </w:t>
      </w:r>
      <w:r w:rsidRPr="00520273">
        <w:rPr>
          <w:rFonts w:cs="Arial"/>
          <w:color w:val="231F20"/>
        </w:rPr>
        <w:t>London</w:t>
      </w:r>
      <w:r w:rsidRPr="00520273">
        <w:rPr>
          <w:rFonts w:cs="Arial"/>
          <w:color w:val="231F20"/>
          <w:spacing w:val="-4"/>
        </w:rPr>
        <w:t xml:space="preserve"> </w:t>
      </w:r>
      <w:r w:rsidRPr="00520273">
        <w:rPr>
          <w:rFonts w:cs="Arial"/>
          <w:color w:val="231F20"/>
        </w:rPr>
        <w:t>Authority</w:t>
      </w:r>
      <w:r w:rsidRPr="00520273">
        <w:rPr>
          <w:rFonts w:cs="Arial"/>
          <w:color w:val="231F20"/>
          <w:spacing w:val="-14"/>
        </w:rPr>
        <w:t xml:space="preserve"> </w:t>
      </w:r>
      <w:r w:rsidRPr="00520273">
        <w:rPr>
          <w:rFonts w:cs="Arial"/>
          <w:color w:val="231F20"/>
        </w:rPr>
        <w:t>study</w:t>
      </w:r>
      <w:r w:rsidRPr="00520273">
        <w:rPr>
          <w:rFonts w:cs="Arial"/>
          <w:color w:val="231F20"/>
          <w:spacing w:val="-3"/>
        </w:rPr>
        <w:t xml:space="preserve"> </w:t>
      </w:r>
      <w:r w:rsidRPr="00520273">
        <w:rPr>
          <w:rFonts w:cs="Arial"/>
          <w:color w:val="231F20"/>
        </w:rPr>
        <w:t>of</w:t>
      </w:r>
      <w:r w:rsidRPr="00520273">
        <w:rPr>
          <w:rFonts w:cs="Arial"/>
          <w:color w:val="231F20"/>
          <w:spacing w:val="-2"/>
        </w:rPr>
        <w:t xml:space="preserve"> </w:t>
      </w:r>
      <w:r w:rsidRPr="00520273">
        <w:rPr>
          <w:rFonts w:cs="Arial"/>
          <w:color w:val="231F20"/>
        </w:rPr>
        <w:t>t</w:t>
      </w:r>
      <w:r w:rsidRPr="00520273">
        <w:rPr>
          <w:rFonts w:cs="Arial"/>
          <w:color w:val="231F20"/>
          <w:spacing w:val="1"/>
        </w:rPr>
        <w:t>h</w:t>
      </w:r>
      <w:r w:rsidRPr="00520273">
        <w:rPr>
          <w:rFonts w:cs="Arial"/>
          <w:color w:val="231F20"/>
        </w:rPr>
        <w:t>e</w:t>
      </w:r>
      <w:r w:rsidRPr="00520273">
        <w:rPr>
          <w:rFonts w:cs="Arial"/>
          <w:color w:val="231F20"/>
          <w:spacing w:val="-4"/>
        </w:rPr>
        <w:t xml:space="preserve"> </w:t>
      </w:r>
      <w:r w:rsidRPr="00C80488">
        <w:rPr>
          <w:rFonts w:cs="Arial"/>
          <w:i/>
          <w:color w:val="231F20"/>
        </w:rPr>
        <w:t>Leisure</w:t>
      </w:r>
      <w:r w:rsidRPr="00C80488">
        <w:rPr>
          <w:rFonts w:cs="Arial"/>
          <w:i/>
          <w:color w:val="231F20"/>
          <w:spacing w:val="-10"/>
        </w:rPr>
        <w:t xml:space="preserve"> </w:t>
      </w:r>
      <w:r w:rsidRPr="00C80488">
        <w:rPr>
          <w:rFonts w:cs="Arial"/>
          <w:i/>
          <w:color w:val="231F20"/>
        </w:rPr>
        <w:t>Economy</w:t>
      </w:r>
      <w:r w:rsidRPr="00520273">
        <w:rPr>
          <w:rFonts w:cs="Arial"/>
          <w:color w:val="231F20"/>
          <w:spacing w:val="-7"/>
        </w:rPr>
        <w:t xml:space="preserve"> </w:t>
      </w:r>
      <w:r w:rsidRPr="00520273">
        <w:rPr>
          <w:rFonts w:cs="Arial"/>
          <w:color w:val="231F20"/>
        </w:rPr>
        <w:t>(GLA,</w:t>
      </w:r>
      <w:r w:rsidRPr="00520273">
        <w:rPr>
          <w:rFonts w:cs="Arial"/>
          <w:color w:val="231F20"/>
          <w:spacing w:val="-2"/>
        </w:rPr>
        <w:t xml:space="preserve"> </w:t>
      </w:r>
      <w:r w:rsidRPr="00520273">
        <w:rPr>
          <w:rFonts w:cs="Arial"/>
          <w:color w:val="231F20"/>
        </w:rPr>
        <w:t>2003),</w:t>
      </w:r>
      <w:r w:rsidRPr="00520273">
        <w:rPr>
          <w:rFonts w:cs="Arial"/>
          <w:color w:val="231F20"/>
          <w:spacing w:val="-4"/>
        </w:rPr>
        <w:t xml:space="preserve"> </w:t>
      </w:r>
      <w:r w:rsidRPr="00520273">
        <w:rPr>
          <w:rFonts w:cs="Arial"/>
          <w:color w:val="231F20"/>
        </w:rPr>
        <w:t>for example,</w:t>
      </w:r>
      <w:r w:rsidRPr="00520273">
        <w:rPr>
          <w:rFonts w:cs="Arial"/>
          <w:color w:val="231F20"/>
          <w:spacing w:val="-11"/>
        </w:rPr>
        <w:t xml:space="preserve"> </w:t>
      </w:r>
      <w:r w:rsidRPr="00520273">
        <w:rPr>
          <w:rFonts w:cs="Arial"/>
          <w:color w:val="231F20"/>
        </w:rPr>
        <w:t>found</w:t>
      </w:r>
      <w:r w:rsidRPr="00520273">
        <w:rPr>
          <w:rFonts w:cs="Arial"/>
          <w:color w:val="231F20"/>
          <w:spacing w:val="-1"/>
        </w:rPr>
        <w:t xml:space="preserve"> </w:t>
      </w:r>
      <w:r w:rsidRPr="00520273">
        <w:rPr>
          <w:rFonts w:cs="Arial"/>
          <w:color w:val="231F20"/>
        </w:rPr>
        <w:t>that</w:t>
      </w:r>
      <w:r w:rsidRPr="00520273">
        <w:rPr>
          <w:rFonts w:cs="Arial"/>
          <w:color w:val="231F20"/>
          <w:spacing w:val="-3"/>
        </w:rPr>
        <w:t xml:space="preserve"> </w:t>
      </w:r>
      <w:r w:rsidRPr="00520273">
        <w:rPr>
          <w:rFonts w:cs="Arial"/>
          <w:color w:val="231F20"/>
        </w:rPr>
        <w:t>on</w:t>
      </w:r>
      <w:r w:rsidRPr="00520273">
        <w:rPr>
          <w:rFonts w:cs="Arial"/>
          <w:color w:val="231F20"/>
          <w:spacing w:val="4"/>
        </w:rPr>
        <w:t xml:space="preserve"> </w:t>
      </w:r>
      <w:r w:rsidRPr="00520273">
        <w:rPr>
          <w:rFonts w:cs="Arial"/>
          <w:color w:val="231F20"/>
        </w:rPr>
        <w:t>average</w:t>
      </w:r>
      <w:r w:rsidRPr="00520273">
        <w:rPr>
          <w:rFonts w:cs="Arial"/>
          <w:color w:val="231F20"/>
          <w:spacing w:val="-8"/>
        </w:rPr>
        <w:t xml:space="preserve"> </w:t>
      </w:r>
      <w:r w:rsidRPr="00520273">
        <w:rPr>
          <w:rFonts w:cs="Arial"/>
          <w:color w:val="231F20"/>
        </w:rPr>
        <w:t>each</w:t>
      </w:r>
      <w:r w:rsidRPr="00520273">
        <w:rPr>
          <w:rFonts w:cs="Arial"/>
          <w:color w:val="231F20"/>
          <w:spacing w:val="-4"/>
        </w:rPr>
        <w:t xml:space="preserve"> </w:t>
      </w:r>
      <w:r w:rsidRPr="00520273">
        <w:rPr>
          <w:rFonts w:cs="Arial"/>
          <w:color w:val="231F20"/>
        </w:rPr>
        <w:t>ward</w:t>
      </w:r>
      <w:r w:rsidRPr="00520273">
        <w:rPr>
          <w:rFonts w:cs="Arial"/>
          <w:color w:val="231F20"/>
          <w:spacing w:val="-4"/>
        </w:rPr>
        <w:t xml:space="preserve"> </w:t>
      </w:r>
      <w:r w:rsidRPr="00520273">
        <w:rPr>
          <w:rFonts w:cs="Arial"/>
          <w:color w:val="231F20"/>
        </w:rPr>
        <w:t>had</w:t>
      </w:r>
      <w:r w:rsidRPr="00520273">
        <w:rPr>
          <w:rFonts w:cs="Arial"/>
          <w:color w:val="231F20"/>
          <w:spacing w:val="1"/>
        </w:rPr>
        <w:t xml:space="preserve"> </w:t>
      </w:r>
      <w:r w:rsidRPr="00520273">
        <w:rPr>
          <w:rFonts w:cs="Arial"/>
          <w:color w:val="231F20"/>
        </w:rPr>
        <w:t>gained</w:t>
      </w:r>
      <w:r w:rsidRPr="00520273">
        <w:rPr>
          <w:rFonts w:cs="Arial"/>
          <w:color w:val="231F20"/>
          <w:spacing w:val="-2"/>
        </w:rPr>
        <w:t xml:space="preserve"> </w:t>
      </w:r>
      <w:r w:rsidRPr="00520273">
        <w:rPr>
          <w:rFonts w:cs="Arial"/>
          <w:color w:val="231F20"/>
        </w:rPr>
        <w:t>20</w:t>
      </w:r>
      <w:r w:rsidRPr="00520273">
        <w:rPr>
          <w:rFonts w:cs="Arial"/>
          <w:color w:val="231F20"/>
          <w:spacing w:val="3"/>
        </w:rPr>
        <w:t xml:space="preserve"> </w:t>
      </w:r>
      <w:r w:rsidRPr="00520273">
        <w:rPr>
          <w:rFonts w:cs="Arial"/>
          <w:color w:val="231F20"/>
        </w:rPr>
        <w:t>bar</w:t>
      </w:r>
      <w:r w:rsidRPr="00520273">
        <w:rPr>
          <w:rFonts w:cs="Arial"/>
          <w:color w:val="231F20"/>
          <w:spacing w:val="-2"/>
        </w:rPr>
        <w:t xml:space="preserve"> </w:t>
      </w:r>
      <w:r w:rsidRPr="00520273">
        <w:rPr>
          <w:rFonts w:cs="Arial"/>
          <w:color w:val="231F20"/>
        </w:rPr>
        <w:t>j</w:t>
      </w:r>
      <w:r w:rsidRPr="00520273">
        <w:rPr>
          <w:rFonts w:cs="Arial"/>
          <w:color w:val="231F20"/>
          <w:spacing w:val="1"/>
        </w:rPr>
        <w:t>o</w:t>
      </w:r>
      <w:r w:rsidRPr="00520273">
        <w:rPr>
          <w:rFonts w:cs="Arial"/>
          <w:color w:val="231F20"/>
        </w:rPr>
        <w:t>bs</w:t>
      </w:r>
      <w:r w:rsidRPr="00520273">
        <w:rPr>
          <w:rFonts w:cs="Arial"/>
          <w:color w:val="231F20"/>
          <w:spacing w:val="-3"/>
        </w:rPr>
        <w:t xml:space="preserve"> </w:t>
      </w:r>
      <w:r w:rsidRPr="00520273">
        <w:rPr>
          <w:rFonts w:cs="Arial"/>
          <w:color w:val="231F20"/>
        </w:rPr>
        <w:t>bet</w:t>
      </w:r>
      <w:r w:rsidRPr="00520273">
        <w:rPr>
          <w:rFonts w:cs="Arial"/>
          <w:color w:val="231F20"/>
          <w:spacing w:val="2"/>
        </w:rPr>
        <w:t>w</w:t>
      </w:r>
      <w:r w:rsidRPr="00520273">
        <w:rPr>
          <w:rFonts w:cs="Arial"/>
          <w:color w:val="231F20"/>
        </w:rPr>
        <w:t>een</w:t>
      </w:r>
      <w:r w:rsidRPr="00520273">
        <w:rPr>
          <w:rFonts w:cs="Arial"/>
          <w:color w:val="231F20"/>
          <w:spacing w:val="-6"/>
        </w:rPr>
        <w:t xml:space="preserve"> </w:t>
      </w:r>
      <w:r w:rsidRPr="00520273">
        <w:rPr>
          <w:rFonts w:cs="Arial"/>
          <w:color w:val="231F20"/>
        </w:rPr>
        <w:t>1995</w:t>
      </w:r>
      <w:r w:rsidRPr="00520273">
        <w:rPr>
          <w:rFonts w:cs="Arial"/>
          <w:color w:val="231F20"/>
          <w:spacing w:val="4"/>
        </w:rPr>
        <w:t xml:space="preserve"> </w:t>
      </w:r>
      <w:r w:rsidRPr="00520273">
        <w:rPr>
          <w:rFonts w:cs="Arial"/>
          <w:color w:val="231F20"/>
        </w:rPr>
        <w:t>and 2000 (an</w:t>
      </w:r>
      <w:r w:rsidRPr="00520273">
        <w:rPr>
          <w:rFonts w:cs="Arial"/>
          <w:color w:val="231F20"/>
          <w:spacing w:val="16"/>
        </w:rPr>
        <w:t xml:space="preserve"> </w:t>
      </w:r>
      <w:r w:rsidRPr="00520273">
        <w:rPr>
          <w:rFonts w:cs="Arial"/>
          <w:color w:val="231F20"/>
        </w:rPr>
        <w:t>increase</w:t>
      </w:r>
      <w:r w:rsidRPr="00520273">
        <w:rPr>
          <w:rFonts w:cs="Arial"/>
          <w:color w:val="231F20"/>
          <w:spacing w:val="9"/>
        </w:rPr>
        <w:t xml:space="preserve"> </w:t>
      </w:r>
      <w:r w:rsidRPr="00520273">
        <w:rPr>
          <w:rFonts w:cs="Arial"/>
          <w:color w:val="231F20"/>
        </w:rPr>
        <w:t>of</w:t>
      </w:r>
      <w:r w:rsidRPr="00520273">
        <w:rPr>
          <w:rFonts w:cs="Arial"/>
          <w:color w:val="231F20"/>
          <w:spacing w:val="18"/>
        </w:rPr>
        <w:t xml:space="preserve"> </w:t>
      </w:r>
      <w:r w:rsidRPr="00520273">
        <w:rPr>
          <w:rFonts w:cs="Arial"/>
          <w:color w:val="231F20"/>
        </w:rPr>
        <w:t>12%)</w:t>
      </w:r>
      <w:r w:rsidRPr="00520273">
        <w:rPr>
          <w:rFonts w:cs="Arial"/>
          <w:color w:val="231F20"/>
          <w:spacing w:val="12"/>
        </w:rPr>
        <w:t xml:space="preserve"> </w:t>
      </w:r>
      <w:r w:rsidRPr="00520273">
        <w:rPr>
          <w:rFonts w:cs="Arial"/>
          <w:color w:val="231F20"/>
        </w:rPr>
        <w:t>and</w:t>
      </w:r>
      <w:r w:rsidRPr="00520273">
        <w:rPr>
          <w:rFonts w:cs="Arial"/>
          <w:color w:val="231F20"/>
          <w:spacing w:val="18"/>
        </w:rPr>
        <w:t xml:space="preserve"> </w:t>
      </w:r>
      <w:r w:rsidRPr="00520273">
        <w:rPr>
          <w:rFonts w:cs="Arial"/>
          <w:color w:val="231F20"/>
        </w:rPr>
        <w:t>restaurant</w:t>
      </w:r>
      <w:r w:rsidRPr="00520273">
        <w:rPr>
          <w:rFonts w:cs="Arial"/>
          <w:color w:val="231F20"/>
          <w:spacing w:val="6"/>
        </w:rPr>
        <w:t xml:space="preserve"> </w:t>
      </w:r>
      <w:r w:rsidRPr="00520273">
        <w:rPr>
          <w:rFonts w:cs="Arial"/>
          <w:color w:val="231F20"/>
        </w:rPr>
        <w:t>jobs</w:t>
      </w:r>
      <w:r w:rsidRPr="00520273">
        <w:rPr>
          <w:rFonts w:cs="Arial"/>
          <w:color w:val="231F20"/>
          <w:spacing w:val="17"/>
        </w:rPr>
        <w:t xml:space="preserve"> </w:t>
      </w:r>
      <w:r w:rsidRPr="00520273">
        <w:rPr>
          <w:rFonts w:cs="Arial"/>
          <w:color w:val="231F20"/>
        </w:rPr>
        <w:t>i</w:t>
      </w:r>
      <w:r w:rsidRPr="00520273">
        <w:rPr>
          <w:rFonts w:cs="Arial"/>
          <w:color w:val="231F20"/>
          <w:spacing w:val="1"/>
        </w:rPr>
        <w:t>n</w:t>
      </w:r>
      <w:r w:rsidRPr="00520273">
        <w:rPr>
          <w:rFonts w:cs="Arial"/>
          <w:color w:val="231F20"/>
        </w:rPr>
        <w:t>creased</w:t>
      </w:r>
      <w:r w:rsidRPr="00520273">
        <w:rPr>
          <w:rFonts w:cs="Arial"/>
          <w:color w:val="231F20"/>
          <w:spacing w:val="6"/>
        </w:rPr>
        <w:t xml:space="preserve"> </w:t>
      </w:r>
      <w:r w:rsidRPr="00520273">
        <w:rPr>
          <w:rFonts w:cs="Arial"/>
          <w:color w:val="231F20"/>
        </w:rPr>
        <w:t>by</w:t>
      </w:r>
      <w:r w:rsidRPr="00520273">
        <w:rPr>
          <w:rFonts w:cs="Arial"/>
          <w:color w:val="231F20"/>
          <w:spacing w:val="21"/>
        </w:rPr>
        <w:t xml:space="preserve"> </w:t>
      </w:r>
      <w:r w:rsidRPr="00520273">
        <w:rPr>
          <w:rFonts w:cs="Arial"/>
          <w:color w:val="231F20"/>
        </w:rPr>
        <w:t>28%,</w:t>
      </w:r>
      <w:r w:rsidRPr="00520273">
        <w:rPr>
          <w:rFonts w:cs="Arial"/>
          <w:color w:val="231F20"/>
          <w:spacing w:val="17"/>
        </w:rPr>
        <w:t xml:space="preserve"> </w:t>
      </w:r>
      <w:r w:rsidRPr="00520273">
        <w:rPr>
          <w:rFonts w:cs="Arial"/>
          <w:color w:val="231F20"/>
        </w:rPr>
        <w:t>presenting</w:t>
      </w:r>
      <w:r w:rsidRPr="00520273">
        <w:rPr>
          <w:rFonts w:cs="Arial"/>
          <w:color w:val="231F20"/>
          <w:spacing w:val="5"/>
        </w:rPr>
        <w:t xml:space="preserve"> </w:t>
      </w:r>
      <w:r w:rsidRPr="00520273">
        <w:rPr>
          <w:rFonts w:cs="Arial"/>
          <w:color w:val="231F20"/>
        </w:rPr>
        <w:t>one</w:t>
      </w:r>
      <w:r w:rsidRPr="00520273">
        <w:rPr>
          <w:rFonts w:cs="Arial"/>
          <w:color w:val="231F20"/>
          <w:spacing w:val="18"/>
        </w:rPr>
        <w:t xml:space="preserve"> </w:t>
      </w:r>
      <w:r w:rsidRPr="00520273">
        <w:rPr>
          <w:rFonts w:cs="Arial"/>
          <w:color w:val="231F20"/>
        </w:rPr>
        <w:t>of</w:t>
      </w:r>
      <w:r w:rsidRPr="00520273">
        <w:rPr>
          <w:rFonts w:cs="Arial"/>
          <w:color w:val="231F20"/>
          <w:spacing w:val="18"/>
        </w:rPr>
        <w:t xml:space="preserve"> </w:t>
      </w:r>
      <w:r w:rsidRPr="00520273">
        <w:rPr>
          <w:rFonts w:cs="Arial"/>
          <w:color w:val="231F20"/>
        </w:rPr>
        <w:t>London</w:t>
      </w:r>
      <w:r w:rsidRPr="00520273">
        <w:rPr>
          <w:rFonts w:cs="Arial"/>
        </w:rPr>
        <w:t xml:space="preserve">’s </w:t>
      </w:r>
      <w:r w:rsidRPr="00520273">
        <w:rPr>
          <w:rFonts w:cs="Arial"/>
          <w:color w:val="231F20"/>
        </w:rPr>
        <w:t>‘best</w:t>
      </w:r>
      <w:r w:rsidR="00A033C6" w:rsidRPr="00520273">
        <w:rPr>
          <w:rFonts w:cs="Arial"/>
          <w:color w:val="231F20"/>
        </w:rPr>
        <w:t xml:space="preserve"> </w:t>
      </w:r>
      <w:r w:rsidRPr="00520273">
        <w:rPr>
          <w:rFonts w:cs="Arial"/>
          <w:color w:val="231F20"/>
        </w:rPr>
        <w:t>sources</w:t>
      </w:r>
      <w:r w:rsidR="00A033C6" w:rsidRPr="00520273">
        <w:rPr>
          <w:rFonts w:cs="Arial"/>
          <w:color w:val="231F20"/>
        </w:rPr>
        <w:t xml:space="preserve"> </w:t>
      </w:r>
      <w:r w:rsidRPr="00520273">
        <w:rPr>
          <w:rFonts w:cs="Arial"/>
          <w:color w:val="231F20"/>
        </w:rPr>
        <w:t>of</w:t>
      </w:r>
      <w:r w:rsidR="00A033C6" w:rsidRPr="00520273">
        <w:rPr>
          <w:rFonts w:cs="Arial"/>
          <w:color w:val="231F20"/>
        </w:rPr>
        <w:t xml:space="preserve"> </w:t>
      </w:r>
      <w:r w:rsidRPr="00520273">
        <w:rPr>
          <w:rFonts w:cs="Arial"/>
          <w:color w:val="231F20"/>
        </w:rPr>
        <w:t>employm</w:t>
      </w:r>
      <w:r w:rsidRPr="00520273">
        <w:rPr>
          <w:rFonts w:cs="Arial"/>
          <w:color w:val="231F20"/>
          <w:spacing w:val="2"/>
        </w:rPr>
        <w:t>e</w:t>
      </w:r>
      <w:r w:rsidRPr="00520273">
        <w:rPr>
          <w:rFonts w:cs="Arial"/>
          <w:color w:val="231F20"/>
        </w:rPr>
        <w:t>nt</w:t>
      </w:r>
      <w:r w:rsidR="00A033C6" w:rsidRPr="00520273">
        <w:rPr>
          <w:rFonts w:cs="Arial"/>
          <w:color w:val="231F20"/>
        </w:rPr>
        <w:t xml:space="preserve"> </w:t>
      </w:r>
      <w:r w:rsidRPr="00520273">
        <w:rPr>
          <w:rFonts w:cs="Arial"/>
          <w:color w:val="231F20"/>
        </w:rPr>
        <w:t>growth’.</w:t>
      </w:r>
      <w:r w:rsidR="00A033C6" w:rsidRPr="00520273">
        <w:rPr>
          <w:rFonts w:cs="Arial"/>
          <w:color w:val="231F20"/>
        </w:rPr>
        <w:t xml:space="preserve"> </w:t>
      </w:r>
      <w:r w:rsidRPr="00520273">
        <w:rPr>
          <w:rFonts w:cs="Arial"/>
          <w:color w:val="231F20"/>
        </w:rPr>
        <w:t>Atten</w:t>
      </w:r>
      <w:r w:rsidRPr="00520273">
        <w:rPr>
          <w:rFonts w:cs="Arial"/>
          <w:color w:val="231F20"/>
          <w:spacing w:val="2"/>
        </w:rPr>
        <w:t>d</w:t>
      </w:r>
      <w:r w:rsidRPr="00520273">
        <w:rPr>
          <w:rFonts w:cs="Arial"/>
          <w:color w:val="231F20"/>
        </w:rPr>
        <w:t>ance</w:t>
      </w:r>
      <w:r w:rsidRPr="00520273">
        <w:rPr>
          <w:rFonts w:cs="Arial"/>
          <w:color w:val="231F20"/>
          <w:spacing w:val="49"/>
        </w:rPr>
        <w:t xml:space="preserve"> </w:t>
      </w:r>
      <w:r w:rsidRPr="00520273">
        <w:rPr>
          <w:rFonts w:cs="Arial"/>
          <w:color w:val="231F20"/>
        </w:rPr>
        <w:t>at non-alcohol-</w:t>
      </w:r>
      <w:r w:rsidRPr="00520273">
        <w:rPr>
          <w:rFonts w:cs="Arial"/>
          <w:color w:val="231F20"/>
          <w:spacing w:val="3"/>
        </w:rPr>
        <w:t>b</w:t>
      </w:r>
      <w:r w:rsidRPr="00520273">
        <w:rPr>
          <w:rFonts w:cs="Arial"/>
          <w:color w:val="231F20"/>
        </w:rPr>
        <w:t>ased</w:t>
      </w:r>
      <w:r w:rsidRPr="00520273">
        <w:rPr>
          <w:rFonts w:cs="Arial"/>
          <w:color w:val="231F20"/>
          <w:spacing w:val="38"/>
        </w:rPr>
        <w:t xml:space="preserve"> </w:t>
      </w:r>
      <w:r w:rsidRPr="00520273">
        <w:rPr>
          <w:rFonts w:cs="Arial"/>
          <w:color w:val="231F20"/>
        </w:rPr>
        <w:t>venues also</w:t>
      </w:r>
      <w:r w:rsidRPr="00520273">
        <w:rPr>
          <w:rFonts w:cs="Arial"/>
        </w:rPr>
        <w:t xml:space="preserve"> </w:t>
      </w:r>
      <w:r w:rsidRPr="00520273">
        <w:rPr>
          <w:rFonts w:cs="Arial"/>
          <w:color w:val="231F20"/>
        </w:rPr>
        <w:t>recorded</w:t>
      </w:r>
      <w:r w:rsidRPr="00520273">
        <w:rPr>
          <w:rFonts w:cs="Arial"/>
          <w:color w:val="231F20"/>
          <w:spacing w:val="1"/>
        </w:rPr>
        <w:t xml:space="preserve"> </w:t>
      </w:r>
      <w:r w:rsidRPr="00520273">
        <w:rPr>
          <w:rFonts w:cs="Arial"/>
          <w:color w:val="231F20"/>
        </w:rPr>
        <w:t>an</w:t>
      </w:r>
      <w:r w:rsidRPr="00520273">
        <w:rPr>
          <w:rFonts w:cs="Arial"/>
          <w:color w:val="231F20"/>
          <w:spacing w:val="12"/>
        </w:rPr>
        <w:t xml:space="preserve"> </w:t>
      </w:r>
      <w:r w:rsidRPr="00520273">
        <w:rPr>
          <w:rFonts w:cs="Arial"/>
          <w:color w:val="231F20"/>
        </w:rPr>
        <w:t>increase</w:t>
      </w:r>
      <w:r w:rsidRPr="00520273">
        <w:rPr>
          <w:rFonts w:cs="Arial"/>
          <w:color w:val="231F20"/>
          <w:spacing w:val="2"/>
        </w:rPr>
        <w:t xml:space="preserve"> </w:t>
      </w:r>
      <w:r w:rsidRPr="00520273">
        <w:rPr>
          <w:rFonts w:cs="Arial"/>
          <w:color w:val="231F20"/>
        </w:rPr>
        <w:t>of</w:t>
      </w:r>
      <w:r w:rsidRPr="00520273">
        <w:rPr>
          <w:rFonts w:cs="Arial"/>
          <w:color w:val="231F20"/>
          <w:spacing w:val="12"/>
        </w:rPr>
        <w:t xml:space="preserve"> </w:t>
      </w:r>
      <w:r w:rsidRPr="00520273">
        <w:rPr>
          <w:rFonts w:cs="Arial"/>
          <w:color w:val="231F20"/>
        </w:rPr>
        <w:t>25%. For our purposes, isolating evening economic activity attributed to CS&amp;H assets may be possible although this may require some judgements over the timing of programmes/facility opening</w:t>
      </w:r>
      <w:r w:rsidR="00970BBE">
        <w:rPr>
          <w:rFonts w:cs="Arial"/>
          <w:color w:val="231F20"/>
        </w:rPr>
        <w:t>,</w:t>
      </w:r>
      <w:r w:rsidRPr="00520273">
        <w:rPr>
          <w:rFonts w:cs="Arial"/>
          <w:color w:val="231F20"/>
        </w:rPr>
        <w:t xml:space="preserve"> etc.</w:t>
      </w:r>
    </w:p>
    <w:p w14:paraId="0AD2B6F9" w14:textId="0DCAF0E6" w:rsidR="00410E03" w:rsidRPr="00520273" w:rsidRDefault="00410E03" w:rsidP="00520273">
      <w:pPr>
        <w:rPr>
          <w:rFonts w:cs="Arial"/>
          <w:sz w:val="28"/>
        </w:rPr>
      </w:pPr>
      <w:r w:rsidRPr="00520273">
        <w:rPr>
          <w:rFonts w:eastAsiaTheme="minorHAnsi" w:cs="Arial"/>
          <w:color w:val="231F20"/>
        </w:rPr>
        <w:t>Total attendances at these late night events and festivals events range from the smaller 40,000 to 100,000, and mega-events from 1 million (Lisbon, Lyon, Toronto) to 2 million (Paris, Rome). Their scale has developed rapidly on an annual basis. Paris first attracted 500,000 in 2002 and now attracts 2 million; 40,000 visited Dublin’s first all-night culture festival in 2006 and over 100,000 in 2008; Rome saw 1 million in 2005 and receives 2 million today; Toronto attracted 425,000 in 2006 and over 1 million in 2008. This expansion reflects the</w:t>
      </w:r>
      <w:r w:rsidR="00A033C6" w:rsidRPr="00520273">
        <w:rPr>
          <w:rFonts w:eastAsiaTheme="minorHAnsi" w:cs="Arial"/>
          <w:color w:val="231F20"/>
        </w:rPr>
        <w:t xml:space="preserve"> </w:t>
      </w:r>
      <w:r w:rsidRPr="00520273">
        <w:rPr>
          <w:rFonts w:eastAsiaTheme="minorHAnsi" w:cs="Arial"/>
          <w:color w:val="231F20"/>
        </w:rPr>
        <w:t>growing number of events, venues and geographic area covered, but also the success in</w:t>
      </w:r>
      <w:r w:rsidRPr="00520273">
        <w:rPr>
          <w:rFonts w:eastAsiaTheme="minorHAnsi" w:cs="Arial"/>
          <w:color w:val="000000"/>
        </w:rPr>
        <w:t xml:space="preserve"> </w:t>
      </w:r>
      <w:r w:rsidRPr="00520273">
        <w:rPr>
          <w:rFonts w:eastAsiaTheme="minorHAnsi" w:cs="Arial"/>
          <w:color w:val="231F20"/>
        </w:rPr>
        <w:t>marketing and generation of excitement around what has become a ‘must see’ event.</w:t>
      </w:r>
      <w:r w:rsidRPr="00520273">
        <w:rPr>
          <w:rFonts w:eastAsiaTheme="minorHAnsi" w:cs="Arial"/>
          <w:color w:val="000000"/>
        </w:rPr>
        <w:t xml:space="preserve"> </w:t>
      </w:r>
      <w:r w:rsidRPr="00520273">
        <w:rPr>
          <w:rFonts w:eastAsiaTheme="minorHAnsi" w:cs="Arial"/>
          <w:color w:val="231F20"/>
        </w:rPr>
        <w:t>Some visitor surveys have been undertaken (in Evans, 2011). Satisfaction with the quality of these events was high – Rome 90% (42% ‘Excellent’, 48% ‘Good’) and Dublin 94% (65% ‘Very’ and 29% ‘Somewhat Satisfied’). Nearly half of the visitors to this event participated in two or more activities and nearly 80% travelled by foot or public transport. Visitors to these late night events are primarily local residents</w:t>
      </w:r>
      <w:r w:rsidR="00970BBE">
        <w:rPr>
          <w:rFonts w:eastAsiaTheme="minorHAnsi" w:cs="Arial"/>
          <w:color w:val="231F20"/>
        </w:rPr>
        <w:t xml:space="preserve"> and</w:t>
      </w:r>
      <w:r w:rsidR="00970BBE" w:rsidRPr="00520273">
        <w:rPr>
          <w:rFonts w:eastAsiaTheme="minorHAnsi" w:cs="Arial"/>
          <w:color w:val="231F20"/>
        </w:rPr>
        <w:t xml:space="preserve"> </w:t>
      </w:r>
      <w:r w:rsidRPr="00520273">
        <w:rPr>
          <w:rFonts w:eastAsiaTheme="minorHAnsi" w:cs="Arial"/>
          <w:color w:val="231F20"/>
        </w:rPr>
        <w:t>‘domestic’</w:t>
      </w:r>
      <w:r w:rsidR="00970BBE">
        <w:rPr>
          <w:rFonts w:eastAsiaTheme="minorHAnsi" w:cs="Arial"/>
          <w:color w:val="231F20"/>
        </w:rPr>
        <w:t xml:space="preserve"> visitors</w:t>
      </w:r>
      <w:r w:rsidRPr="00520273">
        <w:rPr>
          <w:rFonts w:eastAsiaTheme="minorHAnsi" w:cs="Arial"/>
          <w:color w:val="231F20"/>
        </w:rPr>
        <w:t xml:space="preserve"> (whether staying overnight or not) with a growing international tourist or visitor</w:t>
      </w:r>
      <w:proofErr w:type="gramStart"/>
      <w:r w:rsidR="00970BBE">
        <w:rPr>
          <w:rFonts w:eastAsiaTheme="minorHAnsi" w:cs="Arial"/>
          <w:color w:val="231F20"/>
        </w:rPr>
        <w:t>;</w:t>
      </w:r>
      <w:proofErr w:type="gramEnd"/>
      <w:r w:rsidRPr="00520273">
        <w:rPr>
          <w:rFonts w:eastAsiaTheme="minorHAnsi" w:cs="Arial"/>
          <w:color w:val="231F20"/>
        </w:rPr>
        <w:t xml:space="preserve"> while Dublin’s Culture Festival attracts 100,000 visitors, 75% of these are from Ireland (62% from Dublin), but the remainder are from the UK/Europe and the USA. </w:t>
      </w:r>
      <w:r w:rsidRPr="00520273">
        <w:rPr>
          <w:rFonts w:eastAsiaTheme="minorHAnsi" w:cs="Arial"/>
          <w:b/>
          <w:color w:val="231F20"/>
        </w:rPr>
        <w:t xml:space="preserve">It seems clear that the </w:t>
      </w:r>
      <w:proofErr w:type="gramStart"/>
      <w:r w:rsidRPr="00520273">
        <w:rPr>
          <w:rFonts w:eastAsiaTheme="minorHAnsi" w:cs="Arial"/>
          <w:b/>
          <w:color w:val="231F20"/>
        </w:rPr>
        <w:t>night time</w:t>
      </w:r>
      <w:proofErr w:type="gramEnd"/>
      <w:r w:rsidRPr="00520273">
        <w:rPr>
          <w:rFonts w:eastAsiaTheme="minorHAnsi" w:cs="Arial"/>
          <w:b/>
          <w:color w:val="231F20"/>
        </w:rPr>
        <w:t xml:space="preserve"> cultural economy benefits from the place-shaping effects that CS&amp;H evening activities provide, with tangible economic, cultural and social benefits. Late night festivals have spread in the UK as a result, particularly building on local cultural assets (e.g. Stoke, Leeds).</w:t>
      </w:r>
    </w:p>
    <w:p w14:paraId="4152255D" w14:textId="63DD6BC9" w:rsidR="00410E03" w:rsidRDefault="00410E03" w:rsidP="00520273">
      <w:pPr>
        <w:pStyle w:val="Heading3Numbered"/>
      </w:pPr>
      <w:bookmarkStart w:id="106" w:name="_Toc464222943"/>
      <w:r>
        <w:t>City Branding and Creative City indices</w:t>
      </w:r>
      <w:bookmarkEnd w:id="106"/>
    </w:p>
    <w:p w14:paraId="07702F64" w14:textId="3D8867D8" w:rsidR="00410E03" w:rsidRDefault="00410E03" w:rsidP="00520273">
      <w:r>
        <w:t xml:space="preserve">The field of branding has also developed models of city and place branding linked to destination marketing, which uses a range of indices to rank places. These rely on surveys of visitors, property and business owners and marketing organisations, as well as the application of network analysis and visual audits (see Zenker &amp; Braun, 2014). Place indices are popular ways of ranking cities and places internationally and follow the trend for ranking cities (e.g. World/Global, Business Location, Quality of Life, Sustainable) including cultural and creative cities. In London’s </w:t>
      </w:r>
      <w:r w:rsidRPr="0076121D">
        <w:rPr>
          <w:i/>
        </w:rPr>
        <w:t>Cultural Audit</w:t>
      </w:r>
      <w:r>
        <w:t xml:space="preserve"> (GLA, 2008), the city was compared with several world cities in terms of a quantified range of cultural facilities, public and commercial, and this exercise is being updated to include more international cities. Creative City ranking was also a product of Florida’s (2002) Creative Class </w:t>
      </w:r>
      <w:proofErr w:type="gramStart"/>
      <w:r>
        <w:t>analysis which</w:t>
      </w:r>
      <w:proofErr w:type="gramEnd"/>
      <w:r>
        <w:t xml:space="preserve"> used his combined indices based on MSA level data analysis. Creative City indices and ranking have been </w:t>
      </w:r>
      <w:r w:rsidRPr="008638AD">
        <w:t>developed first largely qualitatively through Landry’s set of elements and qualities</w:t>
      </w:r>
      <w:r w:rsidR="00447143" w:rsidRPr="008638AD">
        <w:t xml:space="preserve"> (based on 10 ‘domains’)</w:t>
      </w:r>
      <w:r w:rsidRPr="008638AD">
        <w:t xml:space="preserve"> that distinguish a successful creative city (see Evans, 2015b). A group in Australia have developed a more systematic </w:t>
      </w:r>
      <w:r w:rsidR="00A37293" w:rsidRPr="008638AD">
        <w:t xml:space="preserve">Creative City Index </w:t>
      </w:r>
      <w:r w:rsidRPr="008638AD">
        <w:t>(CCI, 2012) drawing on world city and cultural indices, i.e.</w:t>
      </w:r>
    </w:p>
    <w:p w14:paraId="0C546263" w14:textId="2C86D56E" w:rsidR="00410E03" w:rsidRPr="00520273" w:rsidRDefault="00410E03" w:rsidP="00F0636B">
      <w:pPr>
        <w:pStyle w:val="Bullet"/>
        <w:rPr>
          <w:rFonts w:eastAsiaTheme="minorHAnsi"/>
        </w:rPr>
      </w:pPr>
      <w:r w:rsidRPr="00C80488">
        <w:rPr>
          <w:i/>
        </w:rPr>
        <w:t>Creative Stocks: creativity and culture-based</w:t>
      </w:r>
      <w:r w:rsidR="00A37293">
        <w:rPr>
          <w:i/>
        </w:rPr>
        <w:t xml:space="preserve"> – </w:t>
      </w:r>
      <w:r w:rsidRPr="00520273">
        <w:rPr>
          <w:rFonts w:eastAsiaTheme="minorHAnsi"/>
        </w:rPr>
        <w:t xml:space="preserve">This index, exemplified by the work of Richard Florida et al, is based on the premise that a ‘creative class’ of migrants is drawn to cities by cultural attractors and by societies that value diversity, openness and tolerance. These </w:t>
      </w:r>
      <w:r w:rsidR="00A37293" w:rsidRPr="00520273">
        <w:rPr>
          <w:rFonts w:eastAsiaTheme="minorHAnsi"/>
        </w:rPr>
        <w:t>ind</w:t>
      </w:r>
      <w:r w:rsidR="00A37293">
        <w:rPr>
          <w:rFonts w:eastAsiaTheme="minorHAnsi"/>
        </w:rPr>
        <w:t>ic</w:t>
      </w:r>
      <w:r w:rsidR="00A37293" w:rsidRPr="00520273">
        <w:rPr>
          <w:rFonts w:eastAsiaTheme="minorHAnsi"/>
        </w:rPr>
        <w:t xml:space="preserve">es </w:t>
      </w:r>
      <w:r w:rsidRPr="00520273">
        <w:rPr>
          <w:rFonts w:eastAsiaTheme="minorHAnsi"/>
        </w:rPr>
        <w:t xml:space="preserve">also strive to measure the vibrancy of the creative sectors in terms of output, employment, participation and talent. This is a </w:t>
      </w:r>
      <w:r w:rsidRPr="00520273">
        <w:rPr>
          <w:rFonts w:eastAsiaTheme="minorHAnsi"/>
          <w:i/>
          <w:iCs/>
        </w:rPr>
        <w:t xml:space="preserve">stocks </w:t>
      </w:r>
      <w:r w:rsidRPr="00520273">
        <w:rPr>
          <w:rFonts w:eastAsiaTheme="minorHAnsi"/>
        </w:rPr>
        <w:t xml:space="preserve">approach, even though the point is to attract mobile </w:t>
      </w:r>
      <w:r w:rsidRPr="00520273">
        <w:rPr>
          <w:rFonts w:eastAsiaTheme="minorHAnsi"/>
          <w:bCs/>
          <w:i/>
        </w:rPr>
        <w:t>inflowing stocks</w:t>
      </w:r>
      <w:r w:rsidRPr="00520273">
        <w:rPr>
          <w:rFonts w:eastAsiaTheme="minorHAnsi"/>
          <w:b/>
          <w:bCs/>
        </w:rPr>
        <w:t xml:space="preserve"> </w:t>
      </w:r>
      <w:r w:rsidRPr="00520273">
        <w:rPr>
          <w:rFonts w:eastAsiaTheme="minorHAnsi"/>
        </w:rPr>
        <w:t>of talent and intellectual capital.</w:t>
      </w:r>
    </w:p>
    <w:p w14:paraId="6FAE7AE7" w14:textId="3B30CC6A" w:rsidR="00410E03" w:rsidRPr="00520273" w:rsidRDefault="00410E03" w:rsidP="00F0636B">
      <w:pPr>
        <w:pStyle w:val="Bullet"/>
        <w:rPr>
          <w:rFonts w:eastAsiaTheme="minorHAnsi"/>
        </w:rPr>
      </w:pPr>
      <w:r w:rsidRPr="00C80488">
        <w:rPr>
          <w:rFonts w:eastAsiaTheme="minorHAnsi"/>
          <w:bCs/>
          <w:i/>
        </w:rPr>
        <w:t>Creative Flows</w:t>
      </w:r>
      <w:r w:rsidRPr="00C80488">
        <w:rPr>
          <w:rFonts w:eastAsiaTheme="minorHAnsi"/>
          <w:i/>
        </w:rPr>
        <w:t xml:space="preserve">: indices that focus more broadly </w:t>
      </w:r>
      <w:r w:rsidRPr="00C80488">
        <w:rPr>
          <w:rFonts w:eastAsiaTheme="minorHAnsi"/>
          <w:bCs/>
          <w:i/>
        </w:rPr>
        <w:t>on world status, global integration, and ICTs</w:t>
      </w:r>
      <w:r w:rsidR="00A37293">
        <w:rPr>
          <w:rFonts w:eastAsiaTheme="minorHAnsi"/>
          <w:bCs/>
          <w:i/>
        </w:rPr>
        <w:t xml:space="preserve"> – </w:t>
      </w:r>
      <w:r w:rsidR="00A37293" w:rsidRPr="00520273">
        <w:rPr>
          <w:rFonts w:eastAsiaTheme="minorHAnsi"/>
        </w:rPr>
        <w:t>Ind</w:t>
      </w:r>
      <w:r w:rsidR="00A37293">
        <w:rPr>
          <w:rFonts w:eastAsiaTheme="minorHAnsi"/>
        </w:rPr>
        <w:t>ic</w:t>
      </w:r>
      <w:r w:rsidR="00A37293" w:rsidRPr="00520273">
        <w:rPr>
          <w:rFonts w:eastAsiaTheme="minorHAnsi"/>
        </w:rPr>
        <w:t xml:space="preserve">es </w:t>
      </w:r>
      <w:r w:rsidRPr="00520273">
        <w:rPr>
          <w:rFonts w:eastAsiaTheme="minorHAnsi"/>
        </w:rPr>
        <w:t xml:space="preserve">in this class, exemplified by the Global Power Cities Index, tend to include comparable (though less detailed) ‘creative’ indicators as a subset, while expanding to cover a wider pool of city attractors, including business activity, liveability, the environment, transportation and accessibility, and technology. This wider scope tends to shift the focal point from culture and creativity towards city infrastructure and basic services, innovation and technology performance, and international exchange and network formation. This is a </w:t>
      </w:r>
      <w:r w:rsidRPr="00520273">
        <w:rPr>
          <w:rFonts w:eastAsiaTheme="minorHAnsi"/>
          <w:i/>
          <w:iCs/>
        </w:rPr>
        <w:t xml:space="preserve">flows </w:t>
      </w:r>
      <w:r w:rsidRPr="00520273">
        <w:rPr>
          <w:rFonts w:eastAsiaTheme="minorHAnsi"/>
        </w:rPr>
        <w:t xml:space="preserve">approach since it measures a city by the magnitude of </w:t>
      </w:r>
      <w:r w:rsidRPr="00520273">
        <w:rPr>
          <w:rFonts w:eastAsiaTheme="minorHAnsi"/>
          <w:bCs/>
        </w:rPr>
        <w:t>connections that flow between cities</w:t>
      </w:r>
      <w:r w:rsidRPr="00520273">
        <w:rPr>
          <w:rFonts w:eastAsiaTheme="minorHAnsi"/>
        </w:rPr>
        <w:t>.</w:t>
      </w:r>
    </w:p>
    <w:p w14:paraId="10AE405C" w14:textId="5A1EC670" w:rsidR="00410E03" w:rsidRPr="00520273" w:rsidRDefault="00410E03" w:rsidP="00131F29">
      <w:pPr>
        <w:rPr>
          <w:rFonts w:eastAsiaTheme="minorHAnsi" w:cs="Arial"/>
        </w:rPr>
      </w:pPr>
      <w:r w:rsidRPr="00520273">
        <w:rPr>
          <w:rFonts w:cs="Arial"/>
        </w:rPr>
        <w:t xml:space="preserve">The CCI index synthesises these and </w:t>
      </w:r>
      <w:proofErr w:type="gramStart"/>
      <w:r w:rsidRPr="00520273">
        <w:rPr>
          <w:rFonts w:cs="Arial"/>
        </w:rPr>
        <w:t>groups</w:t>
      </w:r>
      <w:proofErr w:type="gramEnd"/>
      <w:r w:rsidRPr="00520273">
        <w:rPr>
          <w:rFonts w:cs="Arial"/>
        </w:rPr>
        <w:t xml:space="preserve"> city data </w:t>
      </w:r>
      <w:r w:rsidRPr="00520273">
        <w:rPr>
          <w:rFonts w:eastAsiaTheme="minorHAnsi" w:cs="Arial"/>
        </w:rPr>
        <w:t>into eight categories of sub-indexes, producing city indicators and ranking, applied in this case to six cities (including Cardiff and London)</w:t>
      </w:r>
      <w:r w:rsidR="00A37293">
        <w:rPr>
          <w:rFonts w:eastAsiaTheme="minorHAnsi" w:cs="Arial"/>
        </w:rPr>
        <w:t>:</w:t>
      </w:r>
    </w:p>
    <w:p w14:paraId="6191265A" w14:textId="69AF9EE9" w:rsidR="00410E03" w:rsidRPr="00520273" w:rsidRDefault="00410E03" w:rsidP="00F0636B">
      <w:pPr>
        <w:pStyle w:val="Bullet"/>
        <w:rPr>
          <w:rFonts w:eastAsiaTheme="minorHAnsi"/>
        </w:rPr>
      </w:pPr>
      <w:r w:rsidRPr="00520273">
        <w:rPr>
          <w:rFonts w:eastAsiaTheme="minorHAnsi"/>
        </w:rPr>
        <w:t xml:space="preserve">1. Creative industries scale, scope </w:t>
      </w:r>
      <w:r w:rsidR="00A37293">
        <w:rPr>
          <w:rFonts w:eastAsiaTheme="minorHAnsi"/>
        </w:rPr>
        <w:t>and</w:t>
      </w:r>
      <w:r w:rsidR="00A37293" w:rsidRPr="00520273">
        <w:rPr>
          <w:rFonts w:eastAsiaTheme="minorHAnsi"/>
        </w:rPr>
        <w:t xml:space="preserve"> </w:t>
      </w:r>
      <w:r w:rsidRPr="00520273">
        <w:rPr>
          <w:rFonts w:eastAsiaTheme="minorHAnsi"/>
        </w:rPr>
        <w:t>employment</w:t>
      </w:r>
    </w:p>
    <w:p w14:paraId="18793CE4" w14:textId="77777777" w:rsidR="00410E03" w:rsidRPr="00520273" w:rsidRDefault="00410E03" w:rsidP="00F0636B">
      <w:pPr>
        <w:pStyle w:val="Bullet"/>
        <w:rPr>
          <w:rFonts w:eastAsiaTheme="minorHAnsi"/>
        </w:rPr>
      </w:pPr>
      <w:r w:rsidRPr="00520273">
        <w:rPr>
          <w:rFonts w:eastAsiaTheme="minorHAnsi"/>
        </w:rPr>
        <w:t>2. Micro-productivity</w:t>
      </w:r>
    </w:p>
    <w:p w14:paraId="7E21A368" w14:textId="117043E3" w:rsidR="00410E03" w:rsidRPr="00520273" w:rsidRDefault="00410E03" w:rsidP="00F0636B">
      <w:pPr>
        <w:pStyle w:val="Bullet"/>
        <w:rPr>
          <w:rFonts w:eastAsiaTheme="minorHAnsi"/>
        </w:rPr>
      </w:pPr>
      <w:r w:rsidRPr="00520273">
        <w:rPr>
          <w:rFonts w:eastAsiaTheme="minorHAnsi"/>
        </w:rPr>
        <w:t xml:space="preserve">3. Attractions </w:t>
      </w:r>
      <w:r w:rsidR="00A37293">
        <w:rPr>
          <w:rFonts w:eastAsiaTheme="minorHAnsi"/>
        </w:rPr>
        <w:t>and</w:t>
      </w:r>
      <w:r w:rsidR="00A37293" w:rsidRPr="00520273">
        <w:rPr>
          <w:rFonts w:eastAsiaTheme="minorHAnsi"/>
        </w:rPr>
        <w:t xml:space="preserve"> </w:t>
      </w:r>
      <w:r w:rsidRPr="00520273">
        <w:rPr>
          <w:rFonts w:eastAsiaTheme="minorHAnsi"/>
        </w:rPr>
        <w:t>economy of attention</w:t>
      </w:r>
    </w:p>
    <w:p w14:paraId="6B86CFE7" w14:textId="1AE91CE1" w:rsidR="00410E03" w:rsidRPr="00520273" w:rsidRDefault="00410E03" w:rsidP="00F0636B">
      <w:pPr>
        <w:pStyle w:val="Bullet"/>
        <w:rPr>
          <w:rFonts w:eastAsiaTheme="minorHAnsi"/>
        </w:rPr>
      </w:pPr>
      <w:r w:rsidRPr="00520273">
        <w:rPr>
          <w:rFonts w:eastAsiaTheme="minorHAnsi"/>
        </w:rPr>
        <w:t xml:space="preserve">4. Participation </w:t>
      </w:r>
      <w:r w:rsidR="00A37293">
        <w:rPr>
          <w:rFonts w:eastAsiaTheme="minorHAnsi"/>
        </w:rPr>
        <w:t>and</w:t>
      </w:r>
      <w:r w:rsidR="00A37293" w:rsidRPr="00520273">
        <w:rPr>
          <w:rFonts w:eastAsiaTheme="minorHAnsi"/>
        </w:rPr>
        <w:t xml:space="preserve"> </w:t>
      </w:r>
      <w:r w:rsidRPr="00520273">
        <w:rPr>
          <w:rFonts w:eastAsiaTheme="minorHAnsi"/>
        </w:rPr>
        <w:t>expenditure</w:t>
      </w:r>
    </w:p>
    <w:p w14:paraId="2DE2CC2D" w14:textId="77777777" w:rsidR="00410E03" w:rsidRPr="00520273" w:rsidRDefault="00410E03" w:rsidP="00F0636B">
      <w:pPr>
        <w:pStyle w:val="Bullet"/>
        <w:rPr>
          <w:rFonts w:eastAsiaTheme="minorHAnsi"/>
        </w:rPr>
      </w:pPr>
      <w:r w:rsidRPr="00520273">
        <w:rPr>
          <w:rFonts w:eastAsiaTheme="minorHAnsi"/>
        </w:rPr>
        <w:t>5. Public support</w:t>
      </w:r>
    </w:p>
    <w:p w14:paraId="70BFAC8B" w14:textId="7C05AD2A" w:rsidR="00410E03" w:rsidRPr="00520273" w:rsidRDefault="00410E03" w:rsidP="00F0636B">
      <w:pPr>
        <w:pStyle w:val="Bullet"/>
        <w:rPr>
          <w:rFonts w:eastAsiaTheme="minorHAnsi"/>
        </w:rPr>
      </w:pPr>
      <w:r w:rsidRPr="00520273">
        <w:rPr>
          <w:rFonts w:eastAsiaTheme="minorHAnsi"/>
        </w:rPr>
        <w:t xml:space="preserve">6. Human capital </w:t>
      </w:r>
      <w:r w:rsidR="00A37293">
        <w:rPr>
          <w:rFonts w:eastAsiaTheme="minorHAnsi"/>
        </w:rPr>
        <w:t>and</w:t>
      </w:r>
      <w:r w:rsidR="00A37293" w:rsidRPr="00520273">
        <w:rPr>
          <w:rFonts w:eastAsiaTheme="minorHAnsi"/>
        </w:rPr>
        <w:t xml:space="preserve"> </w:t>
      </w:r>
      <w:r w:rsidRPr="00520273">
        <w:rPr>
          <w:rFonts w:eastAsiaTheme="minorHAnsi"/>
        </w:rPr>
        <w:t>research</w:t>
      </w:r>
    </w:p>
    <w:p w14:paraId="044B344E" w14:textId="77777777" w:rsidR="00410E03" w:rsidRPr="00520273" w:rsidRDefault="00410E03" w:rsidP="00F0636B">
      <w:pPr>
        <w:pStyle w:val="Bullet"/>
        <w:rPr>
          <w:rFonts w:eastAsiaTheme="minorHAnsi"/>
        </w:rPr>
      </w:pPr>
      <w:r w:rsidRPr="00520273">
        <w:rPr>
          <w:rFonts w:eastAsiaTheme="minorHAnsi"/>
        </w:rPr>
        <w:t>7. Global integration</w:t>
      </w:r>
    </w:p>
    <w:p w14:paraId="542245B6" w14:textId="00D124C4" w:rsidR="00410E03" w:rsidRPr="00520273" w:rsidRDefault="00410E03" w:rsidP="00F0636B">
      <w:pPr>
        <w:pStyle w:val="Bullet"/>
        <w:rPr>
          <w:rFonts w:eastAsiaTheme="minorHAnsi"/>
        </w:rPr>
      </w:pPr>
      <w:r w:rsidRPr="00520273">
        <w:rPr>
          <w:rFonts w:eastAsiaTheme="minorHAnsi"/>
        </w:rPr>
        <w:t xml:space="preserve">8. Openness, tolerance </w:t>
      </w:r>
      <w:r w:rsidR="00A37293">
        <w:rPr>
          <w:rFonts w:eastAsiaTheme="minorHAnsi"/>
        </w:rPr>
        <w:t>and</w:t>
      </w:r>
      <w:r w:rsidR="00A37293" w:rsidRPr="00520273">
        <w:rPr>
          <w:rFonts w:eastAsiaTheme="minorHAnsi"/>
        </w:rPr>
        <w:t xml:space="preserve"> </w:t>
      </w:r>
      <w:r w:rsidRPr="00520273">
        <w:rPr>
          <w:rFonts w:eastAsiaTheme="minorHAnsi"/>
        </w:rPr>
        <w:t>diversity</w:t>
      </w:r>
    </w:p>
    <w:p w14:paraId="483FEA3F" w14:textId="05362BD7" w:rsidR="00410E03" w:rsidRPr="00520273" w:rsidRDefault="00410E03" w:rsidP="00224A2D">
      <w:pPr>
        <w:rPr>
          <w:rFonts w:cs="Arial"/>
        </w:rPr>
      </w:pPr>
      <w:r w:rsidRPr="00520273">
        <w:rPr>
          <w:rFonts w:cs="Arial"/>
        </w:rPr>
        <w:t xml:space="preserve">The extent to which the </w:t>
      </w:r>
      <w:r w:rsidR="00A37293" w:rsidRPr="00520273">
        <w:rPr>
          <w:rFonts w:cs="Arial"/>
        </w:rPr>
        <w:t xml:space="preserve">Creative City Index </w:t>
      </w:r>
      <w:r w:rsidRPr="00520273">
        <w:rPr>
          <w:rFonts w:cs="Arial"/>
        </w:rPr>
        <w:t>approach may be adapted to place-shaping effects needs consideration. This would be closer to the first type of index, above, but expanded to include key amenity factors provided by CS&amp;H assets.</w:t>
      </w:r>
    </w:p>
    <w:p w14:paraId="439E112E" w14:textId="5FB6D6C0" w:rsidR="00410E03" w:rsidRPr="00EF750E" w:rsidRDefault="00410E03" w:rsidP="00520273">
      <w:pPr>
        <w:pStyle w:val="Heading2Numbered"/>
      </w:pPr>
      <w:bookmarkStart w:id="107" w:name="_Toc464222944"/>
      <w:r>
        <w:t>Towards a Conceptual Fram</w:t>
      </w:r>
      <w:r w:rsidRPr="00EF750E">
        <w:t>ework</w:t>
      </w:r>
      <w:bookmarkEnd w:id="107"/>
    </w:p>
    <w:p w14:paraId="2205DF30" w14:textId="77777777" w:rsidR="00410E03" w:rsidRDefault="00410E03" w:rsidP="00520273">
      <w:r>
        <w:t xml:space="preserve">As already noted, one of the fundamental challenges in establishing relationships between CS&amp;H assets and place-shaping – and between CS&amp;H activity and impacts generally – is the weak link between population-based data and provision/CS&amp;H assets. The former is the basis for most participation, attendance, attitudinal surveys, but it is not generally place-based. On the other hand, CS&amp;H organisations and clusters have been measured locally (transactions, multipliers, surveys) in terms of economic and some social impacts, but not in most cases in relation to a discrete or measurable population group or wider geographic area. </w:t>
      </w:r>
    </w:p>
    <w:p w14:paraId="5732579F" w14:textId="4F78D825" w:rsidR="00410E03" w:rsidRDefault="00410E03" w:rsidP="00520273">
      <w:r>
        <w:t>As we have summarised above, e</w:t>
      </w:r>
      <w:r w:rsidRPr="00061455">
        <w:t>vidence and literature ranges from the more</w:t>
      </w:r>
      <w:r>
        <w:t xml:space="preserve"> linear hedonic price studies (</w:t>
      </w:r>
      <w:r w:rsidRPr="00061455">
        <w:t>amenity, property, place/regeneration)</w:t>
      </w:r>
      <w:r>
        <w:t xml:space="preserve"> and economic impact/footprint studies,</w:t>
      </w:r>
      <w:r w:rsidRPr="00061455">
        <w:t xml:space="preserve"> </w:t>
      </w:r>
      <w:r>
        <w:t xml:space="preserve">to the multi-dimensional effects in terms of social and economic impacts. </w:t>
      </w:r>
      <w:r w:rsidRPr="00F86D2B">
        <w:rPr>
          <w:b/>
        </w:rPr>
        <w:t xml:space="preserve">The latter includes the relationship </w:t>
      </w:r>
      <w:r w:rsidR="00583A38">
        <w:rPr>
          <w:b/>
        </w:rPr>
        <w:t>–</w:t>
      </w:r>
      <w:r w:rsidR="00583A38" w:rsidRPr="00F86D2B">
        <w:rPr>
          <w:b/>
        </w:rPr>
        <w:t xml:space="preserve"> </w:t>
      </w:r>
      <w:r w:rsidRPr="00F86D2B">
        <w:rPr>
          <w:b/>
        </w:rPr>
        <w:t>under-researched but potentially fruitful (</w:t>
      </w:r>
      <w:r w:rsidR="00583A38">
        <w:rPr>
          <w:b/>
        </w:rPr>
        <w:t>see</w:t>
      </w:r>
      <w:r>
        <w:rPr>
          <w:b/>
        </w:rPr>
        <w:t xml:space="preserve"> </w:t>
      </w:r>
      <w:r w:rsidRPr="00F86D2B">
        <w:rPr>
          <w:b/>
        </w:rPr>
        <w:t>NESTA, Markusen</w:t>
      </w:r>
      <w:r w:rsidR="00583A38">
        <w:rPr>
          <w:b/>
        </w:rPr>
        <w:t>,</w:t>
      </w:r>
      <w:r w:rsidRPr="00F86D2B">
        <w:rPr>
          <w:b/>
        </w:rPr>
        <w:t xml:space="preserve"> etc.) </w:t>
      </w:r>
      <w:r w:rsidR="00583A38">
        <w:rPr>
          <w:b/>
        </w:rPr>
        <w:t>–</w:t>
      </w:r>
      <w:r w:rsidR="00583A38" w:rsidRPr="00F86D2B">
        <w:rPr>
          <w:b/>
        </w:rPr>
        <w:t xml:space="preserve"> </w:t>
      </w:r>
      <w:r w:rsidRPr="00F86D2B">
        <w:rPr>
          <w:b/>
        </w:rPr>
        <w:t>and the effects generated by CS&amp;H assets/clusters and activity on the creative economy and the wider economy at expanding scales</w:t>
      </w:r>
      <w:r>
        <w:t>. This includes processes of co-location/proximity, innovation spillovers and consequent growth (of firms, investment, participation levels/demand, spending). Another set of change effects are the social and environmental benefits which CS&amp;H assets can make to local quality of life/wellbeing, a sense of place and place-shaping, including public realm/safety and design.</w:t>
      </w:r>
    </w:p>
    <w:p w14:paraId="736487ED" w14:textId="77777777" w:rsidR="00410E03" w:rsidRDefault="00410E03" w:rsidP="00520273">
      <w:r>
        <w:t xml:space="preserve">Two basic requirements need to be met in order to assess and distinguish the contribution that culture makes to </w:t>
      </w:r>
      <w:proofErr w:type="gramStart"/>
      <w:r>
        <w:t>place-shaping</w:t>
      </w:r>
      <w:proofErr w:type="gramEnd"/>
      <w:r>
        <w:t>. Firstly the identification of CS&amp;H assets at varying scales both as a comparative and independent variable against which to measure various place-shaping effects; and secondly, the effects that can be associated with place-shaping. Once identified and in some cases more specifically defined, data sources for each set will be needed, including investment and infrastructure resources. It needs to be accepted at the outset that much evidence in the literature of place-shaping effects associated with CS&amp;H assets has drawn on primary and customised research data collection. Primary research data may be used, however, in subsequent (‘synthetic’) modelling provided an acceptable statistical base is available (e.g. output averages for CS&amp;H asset types).</w:t>
      </w:r>
    </w:p>
    <w:p w14:paraId="72856E9A" w14:textId="6A08E6CB" w:rsidR="00410E03" w:rsidRDefault="00410E03" w:rsidP="00520273">
      <w:r>
        <w:t>In terms of robust data, this suggests the following routes:</w:t>
      </w:r>
    </w:p>
    <w:p w14:paraId="5195002C" w14:textId="0D05FDFF" w:rsidR="00410E03" w:rsidRPr="00520273" w:rsidRDefault="00410E03" w:rsidP="00F0636B">
      <w:pPr>
        <w:pStyle w:val="Bullet"/>
      </w:pPr>
      <w:r w:rsidRPr="00520273">
        <w:t xml:space="preserve">Define and specify data sources on CS&amp;H assets including investment flows and infrastructure </w:t>
      </w:r>
      <w:proofErr w:type="gramStart"/>
      <w:r w:rsidRPr="00520273">
        <w:t>value(</w:t>
      </w:r>
      <w:proofErr w:type="gramEnd"/>
      <w:r w:rsidRPr="00520273">
        <w:t>ations)</w:t>
      </w:r>
      <w:r w:rsidRPr="00520273">
        <w:rPr>
          <w:i/>
        </w:rPr>
        <w:t>, cf.</w:t>
      </w:r>
      <w:r w:rsidRPr="00520273">
        <w:t xml:space="preserve"> Physical Asset Mapping (CASE, 2010) and also see Points of Interest (POI, OS), land-use types and classifications (including as used by funders)</w:t>
      </w:r>
      <w:r w:rsidR="00E10960">
        <w:t>.</w:t>
      </w:r>
    </w:p>
    <w:p w14:paraId="665AF6A7" w14:textId="3A6D97C2" w:rsidR="00410E03" w:rsidRPr="00520273" w:rsidRDefault="00410E03" w:rsidP="00F0636B">
      <w:pPr>
        <w:pStyle w:val="Bullet"/>
      </w:pPr>
      <w:r w:rsidRPr="00520273">
        <w:t>Model clusters of CS&amp;H assets (1) aggregated at various scales (see</w:t>
      </w:r>
      <w:r w:rsidR="00C20D5D">
        <w:t xml:space="preserve"> section </w:t>
      </w:r>
      <w:r w:rsidR="00C20D5D">
        <w:fldChar w:fldCharType="begin"/>
      </w:r>
      <w:r w:rsidR="00C20D5D">
        <w:instrText xml:space="preserve"> REF _Ref464199231 \r \h </w:instrText>
      </w:r>
      <w:r w:rsidR="00511EC8">
        <w:instrText xml:space="preserve"> \* MERGEFORMAT </w:instrText>
      </w:r>
      <w:r w:rsidR="00C20D5D">
        <w:fldChar w:fldCharType="separate"/>
      </w:r>
      <w:r w:rsidR="00F0636B">
        <w:t>6.3</w:t>
      </w:r>
      <w:r w:rsidR="00C20D5D">
        <w:fldChar w:fldCharType="end"/>
      </w:r>
      <w:r w:rsidR="00C20D5D">
        <w:t xml:space="preserve"> </w:t>
      </w:r>
      <w:r w:rsidRPr="00520273">
        <w:t>above)</w:t>
      </w:r>
      <w:r w:rsidR="00E10960">
        <w:t>.</w:t>
      </w:r>
    </w:p>
    <w:p w14:paraId="2B2AF95A" w14:textId="23BCE1C8" w:rsidR="00410E03" w:rsidRPr="00520273" w:rsidRDefault="00410E03" w:rsidP="00131F29">
      <w:pPr>
        <w:rPr>
          <w:b/>
          <w:i/>
        </w:rPr>
      </w:pPr>
      <w:r w:rsidRPr="00520273">
        <w:rPr>
          <w:b/>
        </w:rPr>
        <w:t xml:space="preserve">Data on CS&amp;H assets will provide the </w:t>
      </w:r>
      <w:r w:rsidRPr="00520273">
        <w:rPr>
          <w:b/>
          <w:i/>
        </w:rPr>
        <w:t xml:space="preserve">independent variable </w:t>
      </w:r>
      <w:r w:rsidRPr="00520273">
        <w:rPr>
          <w:b/>
        </w:rPr>
        <w:t>in any regression analysis modelling</w:t>
      </w:r>
      <w:r w:rsidR="00E10960">
        <w:rPr>
          <w:b/>
        </w:rPr>
        <w:t>.</w:t>
      </w:r>
    </w:p>
    <w:p w14:paraId="3D5A6E5F" w14:textId="202E77E5" w:rsidR="00410E03" w:rsidRPr="00520273" w:rsidRDefault="00410E03" w:rsidP="00F0636B">
      <w:pPr>
        <w:pStyle w:val="Bullet"/>
      </w:pPr>
      <w:r w:rsidRPr="00520273">
        <w:t>Scope change effects – correlated and potentially causally linked to CS&amp;H assets, new and established</w:t>
      </w:r>
      <w:r w:rsidR="00E10960">
        <w:t>.</w:t>
      </w:r>
    </w:p>
    <w:p w14:paraId="792C98B8" w14:textId="1382FB1E" w:rsidR="00410E03" w:rsidRPr="00520273" w:rsidRDefault="00410E03" w:rsidP="00410E03">
      <w:pPr>
        <w:rPr>
          <w:rFonts w:cs="Arial"/>
          <w:b/>
        </w:rPr>
      </w:pPr>
      <w:r w:rsidRPr="00520273">
        <w:rPr>
          <w:rFonts w:cs="Arial"/>
          <w:b/>
        </w:rPr>
        <w:t xml:space="preserve">Data on change effects will provide a range of </w:t>
      </w:r>
      <w:r w:rsidRPr="00520273">
        <w:rPr>
          <w:rFonts w:cs="Arial"/>
          <w:b/>
          <w:i/>
        </w:rPr>
        <w:t>dependent variables</w:t>
      </w:r>
      <w:r w:rsidRPr="00520273">
        <w:rPr>
          <w:rFonts w:cs="Arial"/>
          <w:b/>
        </w:rPr>
        <w:t xml:space="preserve"> that might be attributed to CS&amp;H assets and therefore a predictor of CS&amp;H investment impacts</w:t>
      </w:r>
      <w:r w:rsidR="00E10960">
        <w:rPr>
          <w:rFonts w:cs="Arial"/>
          <w:b/>
        </w:rPr>
        <w:t>.</w:t>
      </w:r>
    </w:p>
    <w:p w14:paraId="497D0B91" w14:textId="77777777" w:rsidR="000F203F" w:rsidRPr="00514EFA" w:rsidRDefault="000F203F" w:rsidP="00520273">
      <w:pPr>
        <w:pStyle w:val="Heading3Numbered"/>
      </w:pPr>
      <w:bookmarkStart w:id="108" w:name="_Toc464222945"/>
      <w:r w:rsidRPr="00514EFA">
        <w:t>References</w:t>
      </w:r>
      <w:bookmarkEnd w:id="108"/>
    </w:p>
    <w:p w14:paraId="5D31A712" w14:textId="77777777" w:rsidR="000F203F" w:rsidRPr="00520273" w:rsidRDefault="000F203F" w:rsidP="000F203F">
      <w:pPr>
        <w:rPr>
          <w:rFonts w:cs="Arial"/>
          <w:szCs w:val="22"/>
        </w:rPr>
      </w:pPr>
      <w:r w:rsidRPr="00520273">
        <w:rPr>
          <w:rFonts w:cs="Arial"/>
          <w:szCs w:val="22"/>
        </w:rPr>
        <w:t xml:space="preserve">ACE (2012) </w:t>
      </w:r>
      <w:proofErr w:type="gramStart"/>
      <w:r w:rsidRPr="00520273">
        <w:rPr>
          <w:rFonts w:cs="Arial"/>
          <w:i/>
          <w:szCs w:val="22"/>
        </w:rPr>
        <w:t>Measuring</w:t>
      </w:r>
      <w:proofErr w:type="gramEnd"/>
      <w:r w:rsidRPr="00520273">
        <w:rPr>
          <w:rFonts w:cs="Arial"/>
          <w:i/>
          <w:szCs w:val="22"/>
        </w:rPr>
        <w:t xml:space="preserve"> the economic benefits of arts and culture. </w:t>
      </w:r>
      <w:proofErr w:type="gramStart"/>
      <w:r w:rsidRPr="00520273">
        <w:rPr>
          <w:rFonts w:cs="Arial"/>
          <w:i/>
          <w:szCs w:val="22"/>
        </w:rPr>
        <w:t>Practical guidance on research methodologies for arts and cultural organisations</w:t>
      </w:r>
      <w:r w:rsidRPr="00520273">
        <w:rPr>
          <w:rFonts w:cs="Arial"/>
          <w:szCs w:val="22"/>
        </w:rPr>
        <w:t>.</w:t>
      </w:r>
      <w:proofErr w:type="gramEnd"/>
      <w:r w:rsidRPr="00520273">
        <w:rPr>
          <w:rFonts w:cs="Arial"/>
          <w:szCs w:val="22"/>
        </w:rPr>
        <w:t xml:space="preserve"> </w:t>
      </w:r>
      <w:proofErr w:type="gramStart"/>
      <w:r w:rsidRPr="00520273">
        <w:rPr>
          <w:rFonts w:cs="Arial"/>
          <w:szCs w:val="22"/>
        </w:rPr>
        <w:t>BOP for the Arts Council of England.</w:t>
      </w:r>
      <w:proofErr w:type="gramEnd"/>
      <w:r w:rsidRPr="00520273">
        <w:rPr>
          <w:rFonts w:cs="Arial"/>
          <w:szCs w:val="22"/>
        </w:rPr>
        <w:t xml:space="preserve"> London, May</w:t>
      </w:r>
    </w:p>
    <w:p w14:paraId="2CEFC8FB" w14:textId="77777777" w:rsidR="000F203F" w:rsidRPr="00520273" w:rsidRDefault="000F203F" w:rsidP="000F203F">
      <w:pPr>
        <w:rPr>
          <w:rFonts w:cs="Arial"/>
          <w:szCs w:val="22"/>
        </w:rPr>
      </w:pPr>
      <w:r w:rsidRPr="00520273">
        <w:rPr>
          <w:rFonts w:cs="Arial"/>
          <w:szCs w:val="22"/>
        </w:rPr>
        <w:t xml:space="preserve">ACE (2014) </w:t>
      </w:r>
      <w:r w:rsidRPr="00520273">
        <w:rPr>
          <w:rFonts w:cs="Arial"/>
          <w:i/>
          <w:szCs w:val="22"/>
        </w:rPr>
        <w:t>Evidence review of the economic contribution of libraries</w:t>
      </w:r>
      <w:r w:rsidRPr="00520273">
        <w:rPr>
          <w:rFonts w:cs="Arial"/>
          <w:szCs w:val="22"/>
        </w:rPr>
        <w:t xml:space="preserve">. </w:t>
      </w:r>
      <w:proofErr w:type="gramStart"/>
      <w:r w:rsidRPr="00520273">
        <w:rPr>
          <w:rFonts w:cs="Arial"/>
          <w:szCs w:val="22"/>
        </w:rPr>
        <w:t>BOP for the Arts Council of England.</w:t>
      </w:r>
      <w:proofErr w:type="gramEnd"/>
      <w:r w:rsidRPr="00520273">
        <w:rPr>
          <w:rFonts w:cs="Arial"/>
          <w:szCs w:val="22"/>
        </w:rPr>
        <w:t xml:space="preserve"> London, June</w:t>
      </w:r>
    </w:p>
    <w:p w14:paraId="7CA36CC5" w14:textId="77777777" w:rsidR="000F203F" w:rsidRPr="00520273" w:rsidRDefault="000F203F" w:rsidP="000F203F">
      <w:pPr>
        <w:rPr>
          <w:rFonts w:cs="Arial"/>
          <w:szCs w:val="22"/>
        </w:rPr>
      </w:pPr>
      <w:r w:rsidRPr="00520273">
        <w:rPr>
          <w:rFonts w:cs="Arial"/>
          <w:szCs w:val="22"/>
        </w:rPr>
        <w:t xml:space="preserve">Ahlfeldt, P.G.M. and Maennig, W. (2008) Impact of Sports Arenas on Land Values: Evidence from Berlin, </w:t>
      </w:r>
      <w:r w:rsidRPr="00520273">
        <w:rPr>
          <w:rFonts w:cs="Arial"/>
          <w:i/>
          <w:szCs w:val="22"/>
        </w:rPr>
        <w:t>Annals of Regional Science</w:t>
      </w:r>
      <w:r w:rsidRPr="00520273">
        <w:rPr>
          <w:rFonts w:cs="Arial"/>
          <w:szCs w:val="22"/>
        </w:rPr>
        <w:t xml:space="preserve"> (submitted), </w:t>
      </w:r>
      <w:proofErr w:type="gramStart"/>
      <w:r w:rsidRPr="00520273">
        <w:rPr>
          <w:rFonts w:cs="Arial"/>
          <w:szCs w:val="22"/>
        </w:rPr>
        <w:t>pp.42</w:t>
      </w:r>
      <w:proofErr w:type="gramEnd"/>
    </w:p>
    <w:p w14:paraId="5D419886" w14:textId="31BA558C" w:rsidR="000F203F" w:rsidRPr="00520273" w:rsidRDefault="000F203F" w:rsidP="000F203F">
      <w:pPr>
        <w:rPr>
          <w:rFonts w:cs="Arial"/>
          <w:szCs w:val="22"/>
        </w:rPr>
      </w:pPr>
      <w:r w:rsidRPr="00520273">
        <w:rPr>
          <w:rFonts w:cs="Arial"/>
          <w:szCs w:val="22"/>
        </w:rPr>
        <w:t xml:space="preserve">Ahlfeldt, P.G.M. and Maennig, W. (2009) Arenas, Arena Architecture and the Impact on Location Desirability: the Case of ‘Olympic Arenas’ in Prenzlauer Berg, Berlin, </w:t>
      </w:r>
      <w:r w:rsidRPr="00520273">
        <w:rPr>
          <w:rFonts w:cs="Arial"/>
          <w:i/>
          <w:szCs w:val="22"/>
        </w:rPr>
        <w:t>Urban Studies</w:t>
      </w:r>
      <w:r w:rsidRPr="00520273">
        <w:rPr>
          <w:rFonts w:cs="Arial"/>
          <w:szCs w:val="22"/>
        </w:rPr>
        <w:t>, 46(7): 1343</w:t>
      </w:r>
      <w:r w:rsidR="00E10960">
        <w:rPr>
          <w:rFonts w:cs="Arial"/>
          <w:szCs w:val="22"/>
        </w:rPr>
        <w:t>–</w:t>
      </w:r>
      <w:r w:rsidRPr="00520273">
        <w:rPr>
          <w:rFonts w:cs="Arial"/>
          <w:szCs w:val="22"/>
        </w:rPr>
        <w:t>1362</w:t>
      </w:r>
    </w:p>
    <w:p w14:paraId="68909D90" w14:textId="5470AF07" w:rsidR="000F203F" w:rsidRPr="00520273" w:rsidRDefault="000F203F" w:rsidP="000F203F">
      <w:pPr>
        <w:autoSpaceDE w:val="0"/>
        <w:autoSpaceDN w:val="0"/>
        <w:adjustRightInd w:val="0"/>
        <w:rPr>
          <w:rFonts w:eastAsiaTheme="minorHAnsi" w:cs="Arial"/>
          <w:i/>
          <w:iCs/>
          <w:szCs w:val="22"/>
        </w:rPr>
      </w:pPr>
      <w:r w:rsidRPr="00520273">
        <w:rPr>
          <w:rFonts w:eastAsiaTheme="minorHAnsi" w:cs="Arial"/>
          <w:szCs w:val="22"/>
        </w:rPr>
        <w:t xml:space="preserve">Ahlfeldt, Gabriel M. and Kavetsos, Georgios (2014) </w:t>
      </w:r>
      <w:r w:rsidRPr="00520273">
        <w:rPr>
          <w:rFonts w:eastAsiaTheme="minorHAnsi" w:cs="Arial"/>
          <w:iCs/>
          <w:szCs w:val="22"/>
        </w:rPr>
        <w:t>Form or function</w:t>
      </w:r>
      <w:proofErr w:type="gramStart"/>
      <w:r w:rsidRPr="00520273">
        <w:rPr>
          <w:rFonts w:eastAsiaTheme="minorHAnsi" w:cs="Arial"/>
          <w:iCs/>
          <w:szCs w:val="22"/>
        </w:rPr>
        <w:t>?:</w:t>
      </w:r>
      <w:proofErr w:type="gramEnd"/>
      <w:r w:rsidRPr="00520273">
        <w:rPr>
          <w:rFonts w:eastAsiaTheme="minorHAnsi" w:cs="Arial"/>
          <w:iCs/>
          <w:szCs w:val="22"/>
        </w:rPr>
        <w:t xml:space="preserve"> the effect of new sports stadia on property prices in London.</w:t>
      </w:r>
      <w:r w:rsidRPr="00520273">
        <w:rPr>
          <w:rFonts w:eastAsiaTheme="minorHAnsi" w:cs="Arial"/>
          <w:i/>
          <w:iCs/>
          <w:szCs w:val="22"/>
        </w:rPr>
        <w:t xml:space="preserve"> </w:t>
      </w:r>
      <w:r w:rsidRPr="00520273">
        <w:rPr>
          <w:rFonts w:eastAsiaTheme="minorHAnsi" w:cs="Arial"/>
          <w:i/>
          <w:szCs w:val="22"/>
        </w:rPr>
        <w:t>Journal of the Royal Statistical Society: Series A (Statistics</w:t>
      </w:r>
      <w:r w:rsidRPr="00520273">
        <w:rPr>
          <w:rFonts w:eastAsiaTheme="minorHAnsi" w:cs="Arial"/>
          <w:i/>
          <w:iCs/>
          <w:szCs w:val="22"/>
        </w:rPr>
        <w:t xml:space="preserve"> </w:t>
      </w:r>
      <w:r w:rsidRPr="00520273">
        <w:rPr>
          <w:rFonts w:eastAsiaTheme="minorHAnsi" w:cs="Arial"/>
          <w:i/>
          <w:szCs w:val="22"/>
        </w:rPr>
        <w:t>in Society)</w:t>
      </w:r>
      <w:r w:rsidRPr="00520273">
        <w:rPr>
          <w:rFonts w:eastAsiaTheme="minorHAnsi" w:cs="Arial"/>
          <w:szCs w:val="22"/>
        </w:rPr>
        <w:t>, 177 (1): 169</w:t>
      </w:r>
      <w:r w:rsidR="00E10960">
        <w:rPr>
          <w:rFonts w:eastAsiaTheme="minorHAnsi" w:cs="Arial"/>
          <w:szCs w:val="22"/>
        </w:rPr>
        <w:t>–</w:t>
      </w:r>
      <w:r w:rsidRPr="00520273">
        <w:rPr>
          <w:rFonts w:eastAsiaTheme="minorHAnsi" w:cs="Arial"/>
          <w:szCs w:val="22"/>
        </w:rPr>
        <w:t>190</w:t>
      </w:r>
    </w:p>
    <w:p w14:paraId="19F409EF" w14:textId="67E67B62" w:rsidR="009640D5" w:rsidRDefault="009640D5" w:rsidP="000F203F">
      <w:pPr>
        <w:rPr>
          <w:rFonts w:cs="Arial"/>
          <w:szCs w:val="22"/>
        </w:rPr>
      </w:pPr>
      <w:r>
        <w:rPr>
          <w:rFonts w:cs="Arial"/>
          <w:szCs w:val="22"/>
        </w:rPr>
        <w:t xml:space="preserve">AHRC (2016) </w:t>
      </w:r>
      <w:r w:rsidRPr="009640D5">
        <w:rPr>
          <w:rFonts w:cs="Arial"/>
          <w:i/>
          <w:szCs w:val="22"/>
        </w:rPr>
        <w:t>Understanding the value of arts and culture</w:t>
      </w:r>
    </w:p>
    <w:p w14:paraId="1559ADF4" w14:textId="77777777" w:rsidR="000F203F" w:rsidRPr="00520273" w:rsidRDefault="000F203F" w:rsidP="000F203F">
      <w:pPr>
        <w:rPr>
          <w:rFonts w:cs="Arial"/>
          <w:szCs w:val="22"/>
        </w:rPr>
      </w:pPr>
      <w:r w:rsidRPr="00520273">
        <w:rPr>
          <w:rFonts w:cs="Arial"/>
          <w:szCs w:val="22"/>
        </w:rPr>
        <w:t>Amion/Locum (</w:t>
      </w:r>
      <w:proofErr w:type="gramStart"/>
      <w:r w:rsidRPr="00520273">
        <w:rPr>
          <w:rFonts w:cs="Arial"/>
          <w:szCs w:val="22"/>
        </w:rPr>
        <w:t>2010)</w:t>
      </w:r>
      <w:r w:rsidRPr="00520273">
        <w:rPr>
          <w:rFonts w:cs="Arial"/>
          <w:i/>
          <w:szCs w:val="22"/>
        </w:rPr>
        <w:t>The</w:t>
      </w:r>
      <w:proofErr w:type="gramEnd"/>
      <w:r w:rsidRPr="00520273">
        <w:rPr>
          <w:rFonts w:cs="Arial"/>
          <w:i/>
          <w:szCs w:val="22"/>
        </w:rPr>
        <w:t xml:space="preserve"> impact of historic environment regeneration</w:t>
      </w:r>
      <w:r w:rsidRPr="00520273">
        <w:rPr>
          <w:rFonts w:cs="Arial"/>
          <w:szCs w:val="22"/>
        </w:rPr>
        <w:t>, English Heritage</w:t>
      </w:r>
    </w:p>
    <w:p w14:paraId="570B7B40" w14:textId="01F79137" w:rsidR="000F203F" w:rsidRPr="00520273" w:rsidRDefault="000F203F" w:rsidP="000F203F">
      <w:pPr>
        <w:tabs>
          <w:tab w:val="left" w:pos="1244"/>
        </w:tabs>
        <w:rPr>
          <w:rFonts w:cs="Arial"/>
          <w:szCs w:val="22"/>
        </w:rPr>
      </w:pPr>
      <w:r w:rsidRPr="00520273">
        <w:rPr>
          <w:rFonts w:cs="Arial"/>
          <w:szCs w:val="22"/>
        </w:rPr>
        <w:t xml:space="preserve">Baade, R.A., Nikolova, M., Matheson, V.A. (2006) </w:t>
      </w:r>
      <w:r w:rsidRPr="00520273">
        <w:rPr>
          <w:rFonts w:cs="Arial"/>
          <w:i/>
          <w:iCs/>
          <w:szCs w:val="22"/>
        </w:rPr>
        <w:t>A Tale of Two Stadiums: Comparing the Economic Impact of Chicago’s Wrigley Field and U.S. Cellular Field</w:t>
      </w:r>
      <w:r w:rsidRPr="00520273">
        <w:rPr>
          <w:rFonts w:cs="Arial"/>
          <w:szCs w:val="22"/>
        </w:rPr>
        <w:t>, Working Paper Series, Paper No. 06</w:t>
      </w:r>
      <w:r w:rsidR="00E10960">
        <w:rPr>
          <w:rFonts w:cs="Arial"/>
          <w:szCs w:val="22"/>
        </w:rPr>
        <w:t>–</w:t>
      </w:r>
      <w:r w:rsidRPr="00520273">
        <w:rPr>
          <w:rFonts w:cs="Arial"/>
          <w:szCs w:val="22"/>
        </w:rPr>
        <w:t>14, IASE</w:t>
      </w:r>
    </w:p>
    <w:p w14:paraId="60062A8C" w14:textId="77777777" w:rsidR="000F203F" w:rsidRPr="00520273" w:rsidRDefault="000F203F" w:rsidP="000F203F">
      <w:pPr>
        <w:rPr>
          <w:rFonts w:cs="Arial"/>
          <w:szCs w:val="22"/>
        </w:rPr>
      </w:pPr>
      <w:r w:rsidRPr="00520273">
        <w:rPr>
          <w:rFonts w:cs="Arial"/>
          <w:szCs w:val="22"/>
        </w:rPr>
        <w:t xml:space="preserve">Bakhshi, H., Lee, N., Mateos-Garcia, J. (2013) Capital of Culture? An Econometric Analysis of the Relationship between Arts &amp; Cultural Clusters, Wages and the Creative Economy in English Cities, In </w:t>
      </w:r>
      <w:r w:rsidRPr="00520273">
        <w:rPr>
          <w:rFonts w:cs="Arial"/>
          <w:i/>
          <w:szCs w:val="22"/>
        </w:rPr>
        <w:t>Creative Communities: Art Works in Economic Development</w:t>
      </w:r>
      <w:r w:rsidRPr="00520273">
        <w:rPr>
          <w:rFonts w:cs="Arial"/>
          <w:szCs w:val="22"/>
        </w:rPr>
        <w:t xml:space="preserve"> (M.Rushton, ed). Washington DC: Brookings Institution</w:t>
      </w:r>
    </w:p>
    <w:p w14:paraId="48856BDD" w14:textId="0B55BE0E" w:rsidR="000F203F" w:rsidRPr="00520273" w:rsidRDefault="000F203F" w:rsidP="000F203F">
      <w:pPr>
        <w:rPr>
          <w:rFonts w:cs="Arial"/>
          <w:szCs w:val="22"/>
        </w:rPr>
      </w:pPr>
      <w:r w:rsidRPr="00520273">
        <w:rPr>
          <w:rFonts w:cs="Arial"/>
          <w:szCs w:val="22"/>
        </w:rPr>
        <w:t>Bathelt, H., Malmberg, A. and Maskell, P. (2004)</w:t>
      </w:r>
      <w:r w:rsidR="00E10960">
        <w:rPr>
          <w:rFonts w:cs="Arial"/>
          <w:szCs w:val="22"/>
        </w:rPr>
        <w:t xml:space="preserve"> </w:t>
      </w:r>
      <w:r w:rsidRPr="00520273">
        <w:rPr>
          <w:rFonts w:cs="Arial"/>
          <w:szCs w:val="22"/>
        </w:rPr>
        <w:t xml:space="preserve">Clusters and knowledge: local buzz, global pipelines and the process of knowledge creation, </w:t>
      </w:r>
      <w:r w:rsidRPr="00520273">
        <w:rPr>
          <w:rFonts w:cs="Arial"/>
          <w:i/>
          <w:iCs/>
          <w:szCs w:val="22"/>
        </w:rPr>
        <w:t>Progress in Human Geography</w:t>
      </w:r>
      <w:r w:rsidRPr="00520273">
        <w:rPr>
          <w:rFonts w:cs="Arial"/>
          <w:szCs w:val="22"/>
        </w:rPr>
        <w:t>, 28(1): 310</w:t>
      </w:r>
      <w:r w:rsidR="00E10960">
        <w:rPr>
          <w:rFonts w:cs="Arial"/>
          <w:szCs w:val="22"/>
        </w:rPr>
        <w:t>–</w:t>
      </w:r>
      <w:r w:rsidRPr="00520273">
        <w:rPr>
          <w:rFonts w:cs="Arial"/>
          <w:szCs w:val="22"/>
        </w:rPr>
        <w:t>356</w:t>
      </w:r>
    </w:p>
    <w:p w14:paraId="15DE5B12" w14:textId="77777777" w:rsidR="000F203F" w:rsidRPr="00520273" w:rsidRDefault="000F203F" w:rsidP="000F203F">
      <w:pPr>
        <w:spacing w:line="201" w:lineRule="exact"/>
        <w:ind w:right="-20"/>
        <w:rPr>
          <w:rFonts w:cs="Arial"/>
          <w:szCs w:val="22"/>
        </w:rPr>
      </w:pPr>
      <w:proofErr w:type="gramStart"/>
      <w:r w:rsidRPr="00520273">
        <w:rPr>
          <w:rFonts w:cs="Arial"/>
          <w:szCs w:val="22"/>
        </w:rPr>
        <w:t>Bevan,</w:t>
      </w:r>
      <w:r w:rsidRPr="00520273">
        <w:rPr>
          <w:rFonts w:cs="Arial"/>
          <w:spacing w:val="5"/>
          <w:szCs w:val="22"/>
        </w:rPr>
        <w:t xml:space="preserve"> </w:t>
      </w:r>
      <w:r w:rsidRPr="00520273">
        <w:rPr>
          <w:rFonts w:cs="Arial"/>
          <w:spacing w:val="-13"/>
          <w:szCs w:val="22"/>
        </w:rPr>
        <w:t>T</w:t>
      </w:r>
      <w:r w:rsidRPr="00520273">
        <w:rPr>
          <w:rFonts w:cs="Arial"/>
          <w:szCs w:val="22"/>
        </w:rPr>
        <w:t>.,</w:t>
      </w:r>
      <w:r w:rsidRPr="00520273">
        <w:rPr>
          <w:rFonts w:cs="Arial"/>
          <w:spacing w:val="7"/>
          <w:szCs w:val="22"/>
        </w:rPr>
        <w:t xml:space="preserve"> </w:t>
      </w:r>
      <w:r w:rsidRPr="00520273">
        <w:rPr>
          <w:rFonts w:cs="Arial"/>
          <w:szCs w:val="22"/>
        </w:rPr>
        <w:t>&amp;</w:t>
      </w:r>
      <w:r w:rsidRPr="00520273">
        <w:rPr>
          <w:rFonts w:cs="Arial"/>
          <w:spacing w:val="6"/>
          <w:szCs w:val="22"/>
        </w:rPr>
        <w:t xml:space="preserve"> </w:t>
      </w:r>
      <w:r w:rsidRPr="00520273">
        <w:rPr>
          <w:rFonts w:cs="Arial"/>
          <w:spacing w:val="-7"/>
          <w:szCs w:val="22"/>
        </w:rPr>
        <w:t>T</w:t>
      </w:r>
      <w:r w:rsidRPr="00520273">
        <w:rPr>
          <w:rFonts w:cs="Arial"/>
          <w:szCs w:val="22"/>
        </w:rPr>
        <w:t>urnham,</w:t>
      </w:r>
      <w:r w:rsidRPr="00520273">
        <w:rPr>
          <w:rFonts w:cs="Arial"/>
          <w:spacing w:val="2"/>
          <w:szCs w:val="22"/>
        </w:rPr>
        <w:t xml:space="preserve"> </w:t>
      </w:r>
      <w:r w:rsidRPr="00520273">
        <w:rPr>
          <w:rFonts w:cs="Arial"/>
          <w:szCs w:val="22"/>
        </w:rPr>
        <w:t>A.</w:t>
      </w:r>
      <w:r w:rsidRPr="00520273">
        <w:rPr>
          <w:rFonts w:cs="Arial"/>
          <w:spacing w:val="7"/>
          <w:szCs w:val="22"/>
        </w:rPr>
        <w:t xml:space="preserve"> </w:t>
      </w:r>
      <w:r w:rsidRPr="00520273">
        <w:rPr>
          <w:rFonts w:cs="Arial"/>
          <w:szCs w:val="22"/>
        </w:rPr>
        <w:t xml:space="preserve">(2010) </w:t>
      </w:r>
      <w:r w:rsidRPr="00520273">
        <w:rPr>
          <w:rFonts w:cs="Arial"/>
          <w:i/>
          <w:szCs w:val="22"/>
        </w:rPr>
        <w:t>Night</w:t>
      </w:r>
      <w:r w:rsidRPr="00520273">
        <w:rPr>
          <w:rFonts w:cs="Arial"/>
          <w:i/>
          <w:spacing w:val="-7"/>
          <w:szCs w:val="22"/>
        </w:rPr>
        <w:t xml:space="preserve"> </w:t>
      </w:r>
      <w:r w:rsidRPr="00520273">
        <w:rPr>
          <w:rFonts w:cs="Arial"/>
          <w:i/>
          <w:szCs w:val="22"/>
        </w:rPr>
        <w:t>mix</w:t>
      </w:r>
      <w:r w:rsidRPr="00520273">
        <w:rPr>
          <w:rFonts w:cs="Arial"/>
          <w:i/>
          <w:spacing w:val="-16"/>
          <w:szCs w:val="22"/>
        </w:rPr>
        <w:t xml:space="preserve"> </w:t>
      </w:r>
      <w:r w:rsidRPr="00520273">
        <w:rPr>
          <w:rFonts w:cs="Arial"/>
          <w:i/>
          <w:szCs w:val="22"/>
        </w:rPr>
        <w:t>new</w:t>
      </w:r>
      <w:r w:rsidRPr="00520273">
        <w:rPr>
          <w:rFonts w:cs="Arial"/>
          <w:i/>
          <w:spacing w:val="-1"/>
          <w:szCs w:val="22"/>
        </w:rPr>
        <w:t>s</w:t>
      </w:r>
      <w:r w:rsidRPr="00520273">
        <w:rPr>
          <w:rFonts w:cs="Arial"/>
          <w:szCs w:val="22"/>
        </w:rPr>
        <w:t>.</w:t>
      </w:r>
      <w:proofErr w:type="gramEnd"/>
      <w:r w:rsidRPr="00520273">
        <w:rPr>
          <w:rFonts w:cs="Arial"/>
          <w:spacing w:val="-6"/>
          <w:szCs w:val="22"/>
        </w:rPr>
        <w:t xml:space="preserve"> </w:t>
      </w:r>
      <w:r w:rsidRPr="00520273">
        <w:rPr>
          <w:rFonts w:cs="Arial"/>
          <w:szCs w:val="22"/>
        </w:rPr>
        <w:t>Summe</w:t>
      </w:r>
      <w:r w:rsidRPr="00520273">
        <w:rPr>
          <w:rFonts w:cs="Arial"/>
          <w:spacing w:val="-9"/>
          <w:szCs w:val="22"/>
        </w:rPr>
        <w:t>r</w:t>
      </w:r>
      <w:r w:rsidRPr="00520273">
        <w:rPr>
          <w:rFonts w:cs="Arial"/>
          <w:szCs w:val="22"/>
        </w:rPr>
        <w:t>.</w:t>
      </w:r>
      <w:r w:rsidRPr="00520273">
        <w:rPr>
          <w:rFonts w:cs="Arial"/>
          <w:spacing w:val="-3"/>
          <w:szCs w:val="22"/>
        </w:rPr>
        <w:t xml:space="preserve"> </w:t>
      </w:r>
      <w:r w:rsidRPr="00520273">
        <w:rPr>
          <w:rFonts w:cs="Arial"/>
          <w:szCs w:val="22"/>
        </w:rPr>
        <w:t>Retrieved</w:t>
      </w:r>
      <w:r w:rsidRPr="00520273">
        <w:rPr>
          <w:rFonts w:cs="Arial"/>
          <w:spacing w:val="-4"/>
          <w:szCs w:val="22"/>
        </w:rPr>
        <w:t xml:space="preserve"> </w:t>
      </w:r>
      <w:r w:rsidRPr="00520273">
        <w:rPr>
          <w:rFonts w:cs="Arial"/>
          <w:szCs w:val="22"/>
        </w:rPr>
        <w:t>from</w:t>
      </w:r>
      <w:r w:rsidRPr="00520273">
        <w:rPr>
          <w:rFonts w:cs="Arial"/>
          <w:spacing w:val="1"/>
          <w:szCs w:val="22"/>
        </w:rPr>
        <w:t xml:space="preserve"> </w:t>
      </w:r>
      <w:hyperlink r:id="rId29">
        <w:r w:rsidRPr="00520273">
          <w:rPr>
            <w:rFonts w:cs="Arial"/>
            <w:szCs w:val="22"/>
          </w:rPr>
          <w:t>ww</w:t>
        </w:r>
        <w:r w:rsidRPr="00520273">
          <w:rPr>
            <w:rFonts w:cs="Arial"/>
            <w:spacing w:val="-11"/>
            <w:szCs w:val="22"/>
          </w:rPr>
          <w:t>w</w:t>
        </w:r>
        <w:r w:rsidRPr="00520273">
          <w:rPr>
            <w:rFonts w:cs="Arial"/>
            <w:szCs w:val="22"/>
          </w:rPr>
          <w:t>.tb</w:t>
        </w:r>
        <w:r w:rsidRPr="00520273">
          <w:rPr>
            <w:rFonts w:cs="Arial"/>
            <w:spacing w:val="-9"/>
            <w:szCs w:val="22"/>
          </w:rPr>
          <w:t>r</w:t>
        </w:r>
        <w:r w:rsidRPr="00520273">
          <w:rPr>
            <w:rFonts w:cs="Arial"/>
            <w:szCs w:val="22"/>
          </w:rPr>
          <w:t>.co.uk</w:t>
        </w:r>
      </w:hyperlink>
    </w:p>
    <w:p w14:paraId="76A43D0C" w14:textId="77777777" w:rsidR="000F203F" w:rsidRPr="00520273" w:rsidRDefault="000F203F" w:rsidP="000F203F">
      <w:pPr>
        <w:rPr>
          <w:rFonts w:cs="Arial"/>
          <w:szCs w:val="22"/>
        </w:rPr>
      </w:pPr>
      <w:r w:rsidRPr="00520273">
        <w:rPr>
          <w:rFonts w:cs="Arial"/>
          <w:szCs w:val="22"/>
        </w:rPr>
        <w:t xml:space="preserve">BOP (2010) </w:t>
      </w:r>
      <w:r w:rsidRPr="00520273">
        <w:rPr>
          <w:rFonts w:cs="Arial"/>
          <w:i/>
          <w:szCs w:val="22"/>
        </w:rPr>
        <w:t>Evaluation of AV Festival</w:t>
      </w:r>
      <w:r w:rsidRPr="00520273">
        <w:rPr>
          <w:rFonts w:cs="Arial"/>
          <w:szCs w:val="22"/>
        </w:rPr>
        <w:t>. London</w:t>
      </w:r>
    </w:p>
    <w:p w14:paraId="0C20AE90" w14:textId="77777777" w:rsidR="000F203F" w:rsidRPr="00520273" w:rsidRDefault="000F203F" w:rsidP="000F203F">
      <w:pPr>
        <w:autoSpaceDE w:val="0"/>
        <w:autoSpaceDN w:val="0"/>
        <w:adjustRightInd w:val="0"/>
        <w:rPr>
          <w:rFonts w:eastAsiaTheme="minorHAnsi" w:cs="Arial"/>
          <w:szCs w:val="22"/>
        </w:rPr>
      </w:pPr>
      <w:r w:rsidRPr="00520273">
        <w:rPr>
          <w:rFonts w:cs="Arial"/>
          <w:szCs w:val="22"/>
        </w:rPr>
        <w:t xml:space="preserve">BOP (2013) </w:t>
      </w:r>
      <w:r w:rsidRPr="00520273">
        <w:rPr>
          <w:rFonts w:eastAsiaTheme="minorHAnsi" w:cs="Arial"/>
          <w:i/>
          <w:szCs w:val="22"/>
        </w:rPr>
        <w:t>The Economic, Social and Cultural Impact of the City Arts and Culture Cluster</w:t>
      </w:r>
      <w:r w:rsidRPr="00520273">
        <w:rPr>
          <w:rFonts w:eastAsiaTheme="minorHAnsi" w:cs="Arial"/>
          <w:szCs w:val="22"/>
        </w:rPr>
        <w:t>. City Corporation. London</w:t>
      </w:r>
    </w:p>
    <w:p w14:paraId="0794C58C" w14:textId="77777777" w:rsidR="000F203F" w:rsidRPr="00520273" w:rsidRDefault="000F203F" w:rsidP="000F203F">
      <w:pPr>
        <w:rPr>
          <w:rFonts w:cs="Arial"/>
          <w:szCs w:val="22"/>
        </w:rPr>
      </w:pPr>
      <w:r w:rsidRPr="00520273">
        <w:rPr>
          <w:rFonts w:cs="Arial"/>
          <w:szCs w:val="22"/>
        </w:rPr>
        <w:t xml:space="preserve">Boyle, P., Flowerdew, R. and Brook, O. (2008) </w:t>
      </w:r>
      <w:r w:rsidRPr="00520273">
        <w:rPr>
          <w:rFonts w:cs="Arial"/>
          <w:i/>
          <w:szCs w:val="22"/>
        </w:rPr>
        <w:t>Demographic indicators of cultural consumption</w:t>
      </w:r>
      <w:r w:rsidRPr="00520273">
        <w:rPr>
          <w:rFonts w:cs="Arial"/>
          <w:szCs w:val="22"/>
        </w:rPr>
        <w:t>: Full Research Report. Swindon: ESRC</w:t>
      </w:r>
    </w:p>
    <w:p w14:paraId="3A38BA1D" w14:textId="77777777" w:rsidR="000F203F" w:rsidRPr="00520273" w:rsidRDefault="000F203F" w:rsidP="000F203F">
      <w:pPr>
        <w:tabs>
          <w:tab w:val="left" w:pos="284"/>
          <w:tab w:val="left" w:pos="1244"/>
        </w:tabs>
        <w:rPr>
          <w:rFonts w:cs="Arial"/>
          <w:bCs/>
          <w:szCs w:val="22"/>
        </w:rPr>
      </w:pPr>
      <w:r w:rsidRPr="00520273">
        <w:rPr>
          <w:rFonts w:cs="Arial"/>
          <w:bCs/>
          <w:szCs w:val="22"/>
        </w:rPr>
        <w:t xml:space="preserve">CABE (2007) </w:t>
      </w:r>
      <w:r w:rsidRPr="00520273">
        <w:rPr>
          <w:rFonts w:cs="Arial"/>
          <w:bCs/>
          <w:i/>
          <w:szCs w:val="22"/>
        </w:rPr>
        <w:t>Paved with Gold: The real value of good street design</w:t>
      </w:r>
      <w:r w:rsidRPr="00520273">
        <w:rPr>
          <w:rFonts w:cs="Arial"/>
          <w:bCs/>
          <w:szCs w:val="22"/>
        </w:rPr>
        <w:t>. London: CABE</w:t>
      </w:r>
    </w:p>
    <w:p w14:paraId="5A9434B4" w14:textId="7368E1FE" w:rsidR="000F203F" w:rsidRPr="00520273" w:rsidRDefault="000F203F" w:rsidP="000F203F">
      <w:pPr>
        <w:tabs>
          <w:tab w:val="left" w:pos="1244"/>
        </w:tabs>
        <w:rPr>
          <w:rFonts w:cs="Arial"/>
          <w:bCs/>
          <w:szCs w:val="22"/>
        </w:rPr>
      </w:pPr>
      <w:r w:rsidRPr="00520273">
        <w:rPr>
          <w:rFonts w:cs="Arial"/>
          <w:bCs/>
          <w:szCs w:val="22"/>
        </w:rPr>
        <w:t xml:space="preserve">Canning, D. and Pedroni, P. (2008) Infrastructure, Long-Run Economic Growth and Causality Tests for Cointegrated Panels, </w:t>
      </w:r>
      <w:r w:rsidRPr="00520273">
        <w:rPr>
          <w:rFonts w:cs="Arial"/>
          <w:bCs/>
          <w:i/>
          <w:szCs w:val="22"/>
        </w:rPr>
        <w:t>Manchester School</w:t>
      </w:r>
      <w:r w:rsidRPr="00520273">
        <w:rPr>
          <w:rFonts w:cs="Arial"/>
          <w:bCs/>
          <w:szCs w:val="22"/>
        </w:rPr>
        <w:t>, 76(5): 504</w:t>
      </w:r>
      <w:r w:rsidR="00E10960">
        <w:rPr>
          <w:rFonts w:cs="Arial"/>
          <w:bCs/>
          <w:szCs w:val="22"/>
        </w:rPr>
        <w:t>–</w:t>
      </w:r>
      <w:r w:rsidRPr="00520273">
        <w:rPr>
          <w:rFonts w:cs="Arial"/>
          <w:bCs/>
          <w:szCs w:val="22"/>
        </w:rPr>
        <w:t>27</w:t>
      </w:r>
    </w:p>
    <w:p w14:paraId="371E9E6A" w14:textId="77777777" w:rsidR="000F203F" w:rsidRPr="00520273" w:rsidRDefault="000F203F" w:rsidP="000F203F">
      <w:pPr>
        <w:tabs>
          <w:tab w:val="left" w:pos="1244"/>
        </w:tabs>
        <w:rPr>
          <w:rFonts w:cs="Arial"/>
          <w:bCs/>
          <w:szCs w:val="22"/>
        </w:rPr>
      </w:pPr>
      <w:proofErr w:type="gramStart"/>
      <w:r w:rsidRPr="00520273">
        <w:rPr>
          <w:rFonts w:cs="Arial"/>
          <w:bCs/>
          <w:szCs w:val="22"/>
        </w:rPr>
        <w:t xml:space="preserve">CCI (2012) </w:t>
      </w:r>
      <w:r w:rsidRPr="00520273">
        <w:rPr>
          <w:rFonts w:cs="Arial"/>
          <w:bCs/>
          <w:i/>
          <w:szCs w:val="22"/>
        </w:rPr>
        <w:t>CCI Creative City Index</w:t>
      </w:r>
      <w:r w:rsidRPr="00520273">
        <w:rPr>
          <w:rFonts w:cs="Arial"/>
          <w:bCs/>
          <w:szCs w:val="22"/>
        </w:rPr>
        <w:t>.</w:t>
      </w:r>
      <w:proofErr w:type="gramEnd"/>
      <w:r w:rsidRPr="00520273">
        <w:rPr>
          <w:rFonts w:cs="Arial"/>
          <w:bCs/>
          <w:szCs w:val="22"/>
        </w:rPr>
        <w:t xml:space="preserve"> ARC, Queensland </w:t>
      </w:r>
      <w:hyperlink r:id="rId30" w:history="1">
        <w:r w:rsidRPr="00520273">
          <w:rPr>
            <w:rStyle w:val="Hyperlink"/>
            <w:rFonts w:cs="Arial"/>
            <w:bCs/>
            <w:szCs w:val="22"/>
          </w:rPr>
          <w:t>http://www.cci.edu.au/node/1349</w:t>
        </w:r>
      </w:hyperlink>
    </w:p>
    <w:p w14:paraId="7DA3C7AC" w14:textId="77777777" w:rsidR="000F203F" w:rsidRPr="00520273" w:rsidRDefault="000F203F" w:rsidP="000F203F">
      <w:pPr>
        <w:tabs>
          <w:tab w:val="left" w:pos="1244"/>
        </w:tabs>
        <w:rPr>
          <w:rFonts w:cs="Arial"/>
          <w:szCs w:val="22"/>
        </w:rPr>
      </w:pPr>
      <w:r w:rsidRPr="00520273">
        <w:rPr>
          <w:rFonts w:cs="Arial"/>
          <w:bCs/>
          <w:szCs w:val="22"/>
        </w:rPr>
        <w:t>CEBR (</w:t>
      </w:r>
      <w:proofErr w:type="gramStart"/>
      <w:r w:rsidRPr="00520273">
        <w:rPr>
          <w:rFonts w:cs="Arial"/>
          <w:bCs/>
          <w:szCs w:val="22"/>
        </w:rPr>
        <w:t>2013)</w:t>
      </w:r>
      <w:r w:rsidRPr="00520273">
        <w:rPr>
          <w:rFonts w:cs="Arial"/>
          <w:bCs/>
          <w:i/>
          <w:szCs w:val="22"/>
        </w:rPr>
        <w:t>The</w:t>
      </w:r>
      <w:proofErr w:type="gramEnd"/>
      <w:r w:rsidRPr="00520273">
        <w:rPr>
          <w:rFonts w:cs="Arial"/>
          <w:bCs/>
          <w:i/>
          <w:szCs w:val="22"/>
        </w:rPr>
        <w:t xml:space="preserve"> </w:t>
      </w:r>
      <w:r w:rsidRPr="00520273">
        <w:rPr>
          <w:rFonts w:cs="Arial"/>
          <w:i/>
          <w:szCs w:val="22"/>
        </w:rPr>
        <w:t>contribution of arts &amp; culture to the UK economy</w:t>
      </w:r>
      <w:r w:rsidRPr="00520273">
        <w:rPr>
          <w:rFonts w:cs="Arial"/>
          <w:szCs w:val="22"/>
        </w:rPr>
        <w:t>, Arts Council England/Museum Directors</w:t>
      </w:r>
    </w:p>
    <w:p w14:paraId="44316718" w14:textId="19B2D559" w:rsidR="000F203F" w:rsidRPr="00520273" w:rsidRDefault="000F203F" w:rsidP="000F203F">
      <w:pPr>
        <w:autoSpaceDE w:val="0"/>
        <w:autoSpaceDN w:val="0"/>
        <w:adjustRightInd w:val="0"/>
        <w:rPr>
          <w:rFonts w:cs="Arial"/>
          <w:szCs w:val="22"/>
        </w:rPr>
      </w:pPr>
      <w:r w:rsidRPr="00520273">
        <w:rPr>
          <w:rFonts w:cs="Arial"/>
          <w:szCs w:val="22"/>
        </w:rPr>
        <w:t xml:space="preserve">Clifton, N. (2008) The “Creative Class” in the UK: An Initial Analysis, </w:t>
      </w:r>
      <w:r w:rsidRPr="00520273">
        <w:rPr>
          <w:rFonts w:cs="Arial"/>
          <w:i/>
          <w:iCs/>
          <w:szCs w:val="22"/>
        </w:rPr>
        <w:t>Geografika Ann.B</w:t>
      </w:r>
      <w:r w:rsidRPr="00520273">
        <w:rPr>
          <w:rFonts w:cs="Arial"/>
          <w:szCs w:val="22"/>
        </w:rPr>
        <w:t>, 90(1): 63</w:t>
      </w:r>
      <w:r w:rsidR="00E10960">
        <w:rPr>
          <w:rFonts w:cs="Arial"/>
          <w:szCs w:val="22"/>
        </w:rPr>
        <w:t>–</w:t>
      </w:r>
      <w:r w:rsidRPr="00520273">
        <w:rPr>
          <w:rFonts w:cs="Arial"/>
          <w:szCs w:val="22"/>
        </w:rPr>
        <w:t>82</w:t>
      </w:r>
    </w:p>
    <w:p w14:paraId="3C193CED" w14:textId="7CAF6569" w:rsidR="000F203F" w:rsidRPr="00520273" w:rsidRDefault="000F203F" w:rsidP="000F203F">
      <w:pPr>
        <w:autoSpaceDE w:val="0"/>
        <w:autoSpaceDN w:val="0"/>
        <w:adjustRightInd w:val="0"/>
        <w:rPr>
          <w:rFonts w:cs="Arial"/>
          <w:szCs w:val="22"/>
        </w:rPr>
      </w:pPr>
      <w:r w:rsidRPr="00520273">
        <w:rPr>
          <w:rFonts w:cs="Arial"/>
          <w:szCs w:val="22"/>
        </w:rPr>
        <w:t xml:space="preserve">Clifton, N. and Cooke, P. (2009) Creative knowledge workers and location in Europe and North America: a comparative review, </w:t>
      </w:r>
      <w:r w:rsidRPr="00520273">
        <w:rPr>
          <w:rFonts w:cs="Arial"/>
          <w:i/>
          <w:iCs/>
          <w:szCs w:val="22"/>
        </w:rPr>
        <w:t>Creative Industries Journal</w:t>
      </w:r>
      <w:r w:rsidRPr="00520273">
        <w:rPr>
          <w:rFonts w:cs="Arial"/>
          <w:szCs w:val="22"/>
        </w:rPr>
        <w:t>, 2(1): 73</w:t>
      </w:r>
      <w:r w:rsidR="00E10960">
        <w:rPr>
          <w:rFonts w:cs="Arial"/>
          <w:szCs w:val="22"/>
        </w:rPr>
        <w:t>–</w:t>
      </w:r>
      <w:r w:rsidRPr="00520273">
        <w:rPr>
          <w:rFonts w:cs="Arial"/>
          <w:szCs w:val="22"/>
        </w:rPr>
        <w:t>89</w:t>
      </w:r>
    </w:p>
    <w:p w14:paraId="3DD5178F" w14:textId="77777777" w:rsidR="000F203F" w:rsidRPr="00520273" w:rsidRDefault="000F203F" w:rsidP="000F203F">
      <w:pPr>
        <w:tabs>
          <w:tab w:val="left" w:pos="1244"/>
        </w:tabs>
        <w:rPr>
          <w:rFonts w:cs="Arial"/>
          <w:bCs/>
          <w:szCs w:val="22"/>
        </w:rPr>
      </w:pPr>
      <w:r w:rsidRPr="00520273">
        <w:rPr>
          <w:rFonts w:cs="Arial"/>
          <w:bCs/>
          <w:szCs w:val="22"/>
        </w:rPr>
        <w:t xml:space="preserve">Coates, D. &amp; Humphreys, B.R., (1998) </w:t>
      </w:r>
      <w:r w:rsidRPr="00520273">
        <w:rPr>
          <w:rFonts w:cs="Arial"/>
          <w:bCs/>
          <w:i/>
          <w:iCs/>
          <w:szCs w:val="22"/>
        </w:rPr>
        <w:t>The Growth Effects of Sport Franchises, Stadia and Arenas</w:t>
      </w:r>
      <w:r w:rsidRPr="00520273">
        <w:rPr>
          <w:rFonts w:cs="Arial"/>
          <w:bCs/>
          <w:szCs w:val="22"/>
        </w:rPr>
        <w:t>, University of Maryland Baltimore County</w:t>
      </w:r>
    </w:p>
    <w:p w14:paraId="14B50E15" w14:textId="77777777" w:rsidR="000F203F" w:rsidRPr="00520273" w:rsidRDefault="000F203F" w:rsidP="000F203F">
      <w:pPr>
        <w:rPr>
          <w:rFonts w:cs="Arial"/>
          <w:szCs w:val="22"/>
        </w:rPr>
      </w:pPr>
      <w:r w:rsidRPr="00520273">
        <w:rPr>
          <w:rFonts w:cs="Arial"/>
          <w:szCs w:val="22"/>
        </w:rPr>
        <w:t xml:space="preserve">Daly, S. (2005) </w:t>
      </w:r>
      <w:r w:rsidRPr="00520273">
        <w:rPr>
          <w:rFonts w:cs="Arial"/>
          <w:i/>
          <w:szCs w:val="22"/>
        </w:rPr>
        <w:t>Social Capital and the Cultural Sector</w:t>
      </w:r>
      <w:r w:rsidRPr="00520273">
        <w:rPr>
          <w:rFonts w:cs="Arial"/>
          <w:szCs w:val="22"/>
        </w:rPr>
        <w:t>, LSE Centre for Civil Society, DCMS</w:t>
      </w:r>
    </w:p>
    <w:p w14:paraId="00EA02F7" w14:textId="6FD2622E" w:rsidR="000F203F" w:rsidRPr="00520273" w:rsidRDefault="000F203F" w:rsidP="000F203F">
      <w:pPr>
        <w:autoSpaceDE w:val="0"/>
        <w:autoSpaceDN w:val="0"/>
        <w:adjustRightInd w:val="0"/>
        <w:rPr>
          <w:rFonts w:eastAsiaTheme="minorHAnsi" w:cs="Arial"/>
          <w:szCs w:val="22"/>
        </w:rPr>
      </w:pPr>
      <w:r w:rsidRPr="00520273">
        <w:rPr>
          <w:rFonts w:eastAsiaTheme="minorHAnsi" w:cs="Arial"/>
          <w:bCs/>
          <w:szCs w:val="22"/>
        </w:rPr>
        <w:t>Davies L.E. (</w:t>
      </w:r>
      <w:r w:rsidRPr="00520273">
        <w:rPr>
          <w:rFonts w:eastAsiaTheme="minorHAnsi" w:cs="Arial"/>
          <w:szCs w:val="22"/>
        </w:rPr>
        <w:t xml:space="preserve">2002) Sport in the City: Measuring Economic Significance at the Local Level, </w:t>
      </w:r>
      <w:r w:rsidRPr="00520273">
        <w:rPr>
          <w:rFonts w:eastAsiaTheme="minorHAnsi" w:cs="Arial"/>
          <w:i/>
          <w:iCs/>
          <w:szCs w:val="22"/>
        </w:rPr>
        <w:t xml:space="preserve">European Sport Management Quarterly </w:t>
      </w:r>
      <w:r w:rsidRPr="00520273">
        <w:rPr>
          <w:rFonts w:eastAsiaTheme="minorHAnsi" w:cs="Arial"/>
          <w:szCs w:val="22"/>
        </w:rPr>
        <w:t>2 (2) 83</w:t>
      </w:r>
      <w:r w:rsidR="00E10960">
        <w:rPr>
          <w:rFonts w:eastAsiaTheme="minorHAnsi" w:cs="Arial"/>
          <w:szCs w:val="22"/>
        </w:rPr>
        <w:t>–</w:t>
      </w:r>
      <w:r w:rsidRPr="00520273">
        <w:rPr>
          <w:rFonts w:eastAsiaTheme="minorHAnsi" w:cs="Arial"/>
          <w:szCs w:val="22"/>
        </w:rPr>
        <w:t>107</w:t>
      </w:r>
    </w:p>
    <w:p w14:paraId="5610D519" w14:textId="750D746C" w:rsidR="000F203F" w:rsidRPr="00520273" w:rsidRDefault="000F203F" w:rsidP="000F203F">
      <w:pPr>
        <w:rPr>
          <w:rFonts w:cs="Arial"/>
          <w:szCs w:val="22"/>
        </w:rPr>
      </w:pPr>
      <w:r w:rsidRPr="00520273">
        <w:rPr>
          <w:rFonts w:eastAsiaTheme="minorHAnsi" w:cs="Arial"/>
          <w:szCs w:val="22"/>
        </w:rPr>
        <w:t>Davies, L.E.</w:t>
      </w:r>
      <w:r w:rsidRPr="00520273">
        <w:rPr>
          <w:rFonts w:cs="Arial"/>
          <w:szCs w:val="22"/>
        </w:rPr>
        <w:t xml:space="preserve"> (2005) </w:t>
      </w:r>
      <w:r w:rsidRPr="00520273">
        <w:rPr>
          <w:rFonts w:eastAsiaTheme="minorHAnsi" w:cs="Arial"/>
          <w:bCs/>
          <w:szCs w:val="22"/>
        </w:rPr>
        <w:t xml:space="preserve">Not in my back yard! </w:t>
      </w:r>
      <w:proofErr w:type="gramStart"/>
      <w:r w:rsidRPr="00520273">
        <w:rPr>
          <w:rFonts w:eastAsiaTheme="minorHAnsi" w:cs="Arial"/>
          <w:bCs/>
          <w:szCs w:val="22"/>
        </w:rPr>
        <w:t>Sports stadia location and the property</w:t>
      </w:r>
      <w:r w:rsidRPr="00520273">
        <w:rPr>
          <w:rFonts w:cs="Arial"/>
          <w:szCs w:val="22"/>
        </w:rPr>
        <w:t xml:space="preserve"> </w:t>
      </w:r>
      <w:r w:rsidRPr="00520273">
        <w:rPr>
          <w:rFonts w:eastAsiaTheme="minorHAnsi" w:cs="Arial"/>
          <w:bCs/>
          <w:szCs w:val="22"/>
        </w:rPr>
        <w:t xml:space="preserve">Market, </w:t>
      </w:r>
      <w:r w:rsidRPr="00520273">
        <w:rPr>
          <w:rFonts w:eastAsiaTheme="minorHAnsi" w:cs="Arial"/>
          <w:i/>
          <w:szCs w:val="22"/>
        </w:rPr>
        <w:t>Area</w:t>
      </w:r>
      <w:r w:rsidRPr="00520273">
        <w:rPr>
          <w:rFonts w:eastAsiaTheme="minorHAnsi" w:cs="Arial"/>
          <w:szCs w:val="22"/>
        </w:rPr>
        <w:t>, 37 (3).</w:t>
      </w:r>
      <w:proofErr w:type="gramEnd"/>
      <w:r w:rsidRPr="00520273">
        <w:rPr>
          <w:rFonts w:eastAsiaTheme="minorHAnsi" w:cs="Arial"/>
          <w:szCs w:val="22"/>
        </w:rPr>
        <w:t xml:space="preserve"> 268</w:t>
      </w:r>
      <w:r w:rsidR="00E10960">
        <w:rPr>
          <w:rFonts w:eastAsiaTheme="minorHAnsi" w:cs="Arial"/>
          <w:szCs w:val="22"/>
        </w:rPr>
        <w:t>–</w:t>
      </w:r>
      <w:r w:rsidRPr="00520273">
        <w:rPr>
          <w:rFonts w:eastAsiaTheme="minorHAnsi" w:cs="Arial"/>
          <w:szCs w:val="22"/>
        </w:rPr>
        <w:t>276</w:t>
      </w:r>
    </w:p>
    <w:p w14:paraId="559C8DB6" w14:textId="77777777" w:rsidR="000F203F" w:rsidRPr="00520273" w:rsidRDefault="000F203F" w:rsidP="000F203F">
      <w:pPr>
        <w:rPr>
          <w:rFonts w:cs="Arial"/>
          <w:color w:val="231F20"/>
          <w:szCs w:val="22"/>
        </w:rPr>
      </w:pPr>
      <w:proofErr w:type="gramStart"/>
      <w:r w:rsidRPr="00520273">
        <w:rPr>
          <w:rFonts w:cs="Arial"/>
          <w:szCs w:val="22"/>
        </w:rPr>
        <w:t xml:space="preserve">DCMS (2010) </w:t>
      </w:r>
      <w:r w:rsidRPr="00520273">
        <w:rPr>
          <w:rFonts w:cs="Arial"/>
          <w:i/>
          <w:szCs w:val="22"/>
        </w:rPr>
        <w:t>Taking Part – Statistical Release</w:t>
      </w:r>
      <w:r w:rsidRPr="00520273">
        <w:rPr>
          <w:rFonts w:cs="Arial"/>
          <w:szCs w:val="22"/>
        </w:rPr>
        <w:t>.</w:t>
      </w:r>
      <w:proofErr w:type="gramEnd"/>
      <w:r w:rsidRPr="00520273">
        <w:rPr>
          <w:rFonts w:cs="Arial"/>
          <w:szCs w:val="22"/>
        </w:rPr>
        <w:t xml:space="preserve"> </w:t>
      </w:r>
      <w:proofErr w:type="gramStart"/>
      <w:r w:rsidRPr="00520273">
        <w:rPr>
          <w:rFonts w:cs="Arial"/>
          <w:szCs w:val="22"/>
        </w:rPr>
        <w:t>Adult and Child Report 2009/10.</w:t>
      </w:r>
      <w:proofErr w:type="gramEnd"/>
      <w:r w:rsidRPr="00520273">
        <w:rPr>
          <w:rFonts w:cs="Arial"/>
          <w:szCs w:val="22"/>
        </w:rPr>
        <w:t xml:space="preserve"> August. </w:t>
      </w:r>
      <w:r w:rsidRPr="00520273">
        <w:rPr>
          <w:rFonts w:cs="Arial"/>
          <w:color w:val="231F20"/>
          <w:szCs w:val="22"/>
        </w:rPr>
        <w:t>London</w:t>
      </w:r>
    </w:p>
    <w:p w14:paraId="6BD886E2" w14:textId="77777777" w:rsidR="000F203F" w:rsidRPr="00520273" w:rsidRDefault="000F203F" w:rsidP="00520273">
      <w:pPr>
        <w:rPr>
          <w:rFonts w:cs="Arial"/>
          <w:szCs w:val="22"/>
        </w:rPr>
      </w:pPr>
      <w:proofErr w:type="gramStart"/>
      <w:r w:rsidRPr="00520273">
        <w:rPr>
          <w:rFonts w:cs="Arial"/>
          <w:szCs w:val="22"/>
        </w:rPr>
        <w:t xml:space="preserve">DCMS (2014) </w:t>
      </w:r>
      <w:r w:rsidRPr="00520273">
        <w:rPr>
          <w:rFonts w:cs="Arial"/>
          <w:i/>
          <w:szCs w:val="22"/>
        </w:rPr>
        <w:t>Quantifying the Social Impacts of Culture and Sport</w:t>
      </w:r>
      <w:r w:rsidRPr="00520273">
        <w:rPr>
          <w:rFonts w:cs="Arial"/>
          <w:szCs w:val="22"/>
        </w:rPr>
        <w:t>.</w:t>
      </w:r>
      <w:proofErr w:type="gramEnd"/>
      <w:r w:rsidRPr="00520273">
        <w:rPr>
          <w:rFonts w:cs="Arial"/>
          <w:szCs w:val="22"/>
        </w:rPr>
        <w:t xml:space="preserve"> Fujiwara, Kudrna and Dolan for DCMS, London </w:t>
      </w:r>
    </w:p>
    <w:p w14:paraId="6B576948" w14:textId="78C0B62C" w:rsidR="009640D5" w:rsidRDefault="009640D5" w:rsidP="000F203F">
      <w:pPr>
        <w:shd w:val="clear" w:color="auto" w:fill="FFFFFF"/>
        <w:rPr>
          <w:rFonts w:cs="Arial"/>
          <w:color w:val="111111"/>
          <w:spacing w:val="5"/>
          <w:szCs w:val="22"/>
          <w:lang w:eastAsia="en-GB"/>
        </w:rPr>
      </w:pPr>
      <w:r>
        <w:rPr>
          <w:rFonts w:cs="Arial"/>
          <w:color w:val="111111"/>
          <w:spacing w:val="5"/>
          <w:szCs w:val="22"/>
          <w:lang w:eastAsia="en-GB"/>
        </w:rPr>
        <w:t xml:space="preserve">Demos (2003) </w:t>
      </w:r>
      <w:r w:rsidRPr="009640D5">
        <w:rPr>
          <w:rFonts w:cs="Arial"/>
          <w:i/>
          <w:color w:val="111111"/>
          <w:spacing w:val="5"/>
          <w:szCs w:val="22"/>
          <w:lang w:eastAsia="en-GB"/>
        </w:rPr>
        <w:t>Capturing Cultural Value</w:t>
      </w:r>
    </w:p>
    <w:p w14:paraId="6D1D1677" w14:textId="20383ADD" w:rsidR="000F203F" w:rsidRPr="00520273" w:rsidRDefault="000F203F" w:rsidP="000F203F">
      <w:pPr>
        <w:shd w:val="clear" w:color="auto" w:fill="FFFFFF"/>
        <w:rPr>
          <w:rFonts w:cs="Arial"/>
          <w:color w:val="111111"/>
          <w:spacing w:val="5"/>
          <w:szCs w:val="22"/>
          <w:lang w:eastAsia="en-GB"/>
        </w:rPr>
      </w:pPr>
      <w:r w:rsidRPr="00520273">
        <w:rPr>
          <w:rFonts w:cs="Arial"/>
          <w:color w:val="111111"/>
          <w:spacing w:val="5"/>
          <w:szCs w:val="22"/>
          <w:lang w:eastAsia="en-GB"/>
        </w:rPr>
        <w:t xml:space="preserve">Dobson, L., &amp; West, E. (1989). Performing arts subsidies and future generations. In H. H. Chartrand, et al (Eds.), </w:t>
      </w:r>
      <w:proofErr w:type="gramStart"/>
      <w:r w:rsidRPr="00520273">
        <w:rPr>
          <w:rFonts w:cs="Arial"/>
          <w:i/>
          <w:iCs/>
          <w:color w:val="111111"/>
          <w:spacing w:val="5"/>
          <w:szCs w:val="22"/>
          <w:lang w:eastAsia="en-GB"/>
        </w:rPr>
        <w:t>Cultural</w:t>
      </w:r>
      <w:proofErr w:type="gramEnd"/>
      <w:r w:rsidRPr="00520273">
        <w:rPr>
          <w:rFonts w:cs="Arial"/>
          <w:i/>
          <w:iCs/>
          <w:color w:val="111111"/>
          <w:spacing w:val="5"/>
          <w:szCs w:val="22"/>
          <w:lang w:eastAsia="en-GB"/>
        </w:rPr>
        <w:t xml:space="preserve"> economics ‘88: A Canadian perspective</w:t>
      </w:r>
      <w:r w:rsidRPr="00520273">
        <w:rPr>
          <w:rFonts w:cs="Arial"/>
          <w:color w:val="111111"/>
          <w:spacing w:val="5"/>
          <w:szCs w:val="22"/>
          <w:lang w:eastAsia="en-GB"/>
        </w:rPr>
        <w:t xml:space="preserve"> (pp. 108–116). Akron: Association for Cultural Economics.</w:t>
      </w:r>
    </w:p>
    <w:p w14:paraId="180E9A8E" w14:textId="77777777" w:rsidR="000F203F" w:rsidRPr="00520273" w:rsidRDefault="000F203F" w:rsidP="000F203F">
      <w:pPr>
        <w:autoSpaceDE w:val="0"/>
        <w:autoSpaceDN w:val="0"/>
        <w:adjustRightInd w:val="0"/>
        <w:rPr>
          <w:rFonts w:cs="Arial"/>
          <w:szCs w:val="22"/>
        </w:rPr>
      </w:pPr>
      <w:r w:rsidRPr="00520273">
        <w:rPr>
          <w:rFonts w:cs="Arial"/>
          <w:szCs w:val="22"/>
        </w:rPr>
        <w:t xml:space="preserve">DTI (2004) </w:t>
      </w:r>
      <w:r w:rsidRPr="00520273">
        <w:rPr>
          <w:rFonts w:cs="Arial"/>
          <w:i/>
          <w:iCs/>
          <w:szCs w:val="22"/>
        </w:rPr>
        <w:t>Creative People, Openness and Productivity. An exploration of regional differences inspired by the Rise of the Creative Class</w:t>
      </w:r>
      <w:r w:rsidRPr="00520273">
        <w:rPr>
          <w:rFonts w:cs="Arial"/>
          <w:szCs w:val="22"/>
        </w:rPr>
        <w:t>. Adey, M., Coates, B. and Govett, C. London</w:t>
      </w:r>
    </w:p>
    <w:p w14:paraId="1713BF79" w14:textId="77777777" w:rsidR="000F203F" w:rsidRPr="00520273" w:rsidRDefault="000F203F" w:rsidP="000F203F">
      <w:pPr>
        <w:autoSpaceDE w:val="0"/>
        <w:autoSpaceDN w:val="0"/>
        <w:adjustRightInd w:val="0"/>
        <w:rPr>
          <w:rFonts w:cs="Arial"/>
          <w:szCs w:val="22"/>
        </w:rPr>
      </w:pPr>
      <w:r w:rsidRPr="00520273">
        <w:rPr>
          <w:rFonts w:cs="Arial"/>
          <w:szCs w:val="22"/>
        </w:rPr>
        <w:t xml:space="preserve">Ecclesiastical Insurance Group) (2013) </w:t>
      </w:r>
      <w:r w:rsidRPr="00520273">
        <w:rPr>
          <w:rFonts w:cs="Arial"/>
          <w:i/>
          <w:szCs w:val="22"/>
        </w:rPr>
        <w:t>Community Census</w:t>
      </w:r>
      <w:r w:rsidRPr="00520273">
        <w:rPr>
          <w:rFonts w:cs="Arial"/>
          <w:szCs w:val="22"/>
        </w:rPr>
        <w:t>, July</w:t>
      </w:r>
    </w:p>
    <w:p w14:paraId="3E0830C4" w14:textId="77777777" w:rsidR="000F203F" w:rsidRPr="00520273" w:rsidRDefault="000F203F" w:rsidP="000F203F">
      <w:pPr>
        <w:autoSpaceDE w:val="0"/>
        <w:autoSpaceDN w:val="0"/>
        <w:adjustRightInd w:val="0"/>
        <w:rPr>
          <w:rFonts w:cs="Arial"/>
          <w:szCs w:val="22"/>
        </w:rPr>
      </w:pPr>
      <w:r w:rsidRPr="00520273">
        <w:rPr>
          <w:rFonts w:cs="Arial"/>
          <w:szCs w:val="22"/>
        </w:rPr>
        <w:t xml:space="preserve">ECORYS (2014) </w:t>
      </w:r>
      <w:r w:rsidRPr="00520273">
        <w:rPr>
          <w:rFonts w:cs="Arial"/>
          <w:i/>
          <w:szCs w:val="22"/>
        </w:rPr>
        <w:t>Local economic impacts from cultural sector investments</w:t>
      </w:r>
      <w:r w:rsidRPr="00520273">
        <w:rPr>
          <w:rFonts w:cs="Arial"/>
          <w:szCs w:val="22"/>
        </w:rPr>
        <w:t xml:space="preserve"> for DCMS. London</w:t>
      </w:r>
    </w:p>
    <w:p w14:paraId="4B79F688" w14:textId="77777777" w:rsidR="000F203F" w:rsidRPr="00520273" w:rsidRDefault="000F203F" w:rsidP="000F203F">
      <w:pPr>
        <w:autoSpaceDE w:val="0"/>
        <w:autoSpaceDN w:val="0"/>
        <w:adjustRightInd w:val="0"/>
        <w:rPr>
          <w:rFonts w:cs="Arial"/>
          <w:szCs w:val="22"/>
        </w:rPr>
      </w:pPr>
      <w:proofErr w:type="gramStart"/>
      <w:r w:rsidRPr="00520273">
        <w:rPr>
          <w:rFonts w:cs="Arial"/>
          <w:szCs w:val="22"/>
        </w:rPr>
        <w:t xml:space="preserve">English Heritage (2010) </w:t>
      </w:r>
      <w:r w:rsidRPr="00520273">
        <w:rPr>
          <w:rFonts w:cs="Arial"/>
          <w:i/>
          <w:szCs w:val="22"/>
        </w:rPr>
        <w:t>Heritage Counts 2010</w:t>
      </w:r>
      <w:r w:rsidRPr="00520273">
        <w:rPr>
          <w:rFonts w:cs="Arial"/>
          <w:szCs w:val="22"/>
        </w:rPr>
        <w:t>.</w:t>
      </w:r>
      <w:proofErr w:type="gramEnd"/>
      <w:r w:rsidRPr="00520273">
        <w:rPr>
          <w:rFonts w:cs="Arial"/>
          <w:szCs w:val="22"/>
        </w:rPr>
        <w:t xml:space="preserve"> London</w:t>
      </w:r>
    </w:p>
    <w:p w14:paraId="3F027843" w14:textId="77777777" w:rsidR="000F203F" w:rsidRPr="00520273" w:rsidRDefault="000F203F" w:rsidP="000F203F">
      <w:pPr>
        <w:autoSpaceDE w:val="0"/>
        <w:autoSpaceDN w:val="0"/>
        <w:adjustRightInd w:val="0"/>
        <w:rPr>
          <w:rFonts w:cs="Arial"/>
          <w:szCs w:val="22"/>
        </w:rPr>
      </w:pPr>
      <w:proofErr w:type="gramStart"/>
      <w:r w:rsidRPr="00520273">
        <w:rPr>
          <w:rFonts w:cs="Arial"/>
          <w:szCs w:val="22"/>
        </w:rPr>
        <w:t xml:space="preserve">English Heritage (2013) </w:t>
      </w:r>
      <w:r w:rsidRPr="00520273">
        <w:rPr>
          <w:rFonts w:cs="Arial"/>
          <w:i/>
          <w:szCs w:val="22"/>
        </w:rPr>
        <w:t>Heritage Counts 2013</w:t>
      </w:r>
      <w:r w:rsidRPr="00520273">
        <w:rPr>
          <w:rFonts w:cs="Arial"/>
          <w:szCs w:val="22"/>
        </w:rPr>
        <w:t>.</w:t>
      </w:r>
      <w:proofErr w:type="gramEnd"/>
      <w:r w:rsidRPr="00520273">
        <w:rPr>
          <w:rFonts w:cs="Arial"/>
          <w:szCs w:val="22"/>
        </w:rPr>
        <w:t xml:space="preserve"> London</w:t>
      </w:r>
    </w:p>
    <w:p w14:paraId="2BB942E7" w14:textId="77777777" w:rsidR="000F203F" w:rsidRPr="00520273" w:rsidRDefault="000F203F" w:rsidP="000F203F">
      <w:pPr>
        <w:autoSpaceDE w:val="0"/>
        <w:autoSpaceDN w:val="0"/>
        <w:adjustRightInd w:val="0"/>
        <w:rPr>
          <w:rFonts w:cs="Arial"/>
          <w:szCs w:val="22"/>
        </w:rPr>
      </w:pPr>
      <w:r w:rsidRPr="00520273">
        <w:rPr>
          <w:rFonts w:cs="Arial"/>
          <w:szCs w:val="22"/>
        </w:rPr>
        <w:t xml:space="preserve">English Heritage (2014) </w:t>
      </w:r>
      <w:r w:rsidRPr="00520273">
        <w:rPr>
          <w:rFonts w:cs="Arial"/>
          <w:i/>
          <w:szCs w:val="22"/>
        </w:rPr>
        <w:t>Heritage Counts 2014: The Value and Impact of Heritage</w:t>
      </w:r>
      <w:r w:rsidRPr="00520273">
        <w:rPr>
          <w:rFonts w:cs="Arial"/>
          <w:szCs w:val="22"/>
        </w:rPr>
        <w:t>. London</w:t>
      </w:r>
    </w:p>
    <w:p w14:paraId="5BE857B0" w14:textId="77777777" w:rsidR="000F203F" w:rsidRPr="00520273" w:rsidRDefault="000F203F" w:rsidP="000F203F">
      <w:pPr>
        <w:autoSpaceDE w:val="0"/>
        <w:autoSpaceDN w:val="0"/>
        <w:adjustRightInd w:val="0"/>
        <w:rPr>
          <w:rFonts w:cs="Arial"/>
          <w:szCs w:val="22"/>
        </w:rPr>
      </w:pPr>
      <w:r w:rsidRPr="00520273">
        <w:rPr>
          <w:rFonts w:cs="Arial"/>
          <w:szCs w:val="22"/>
        </w:rPr>
        <w:t>Evans, G.L. (1999) The economics of the national performing arts – exploiting consumer surplus and willingness-to-pay: a case of cultural policy failure</w:t>
      </w:r>
      <w:proofErr w:type="gramStart"/>
      <w:r w:rsidRPr="00520273">
        <w:rPr>
          <w:rFonts w:cs="Arial"/>
          <w:szCs w:val="22"/>
        </w:rPr>
        <w:t>?,</w:t>
      </w:r>
      <w:proofErr w:type="gramEnd"/>
      <w:r w:rsidRPr="00520273">
        <w:rPr>
          <w:rFonts w:cs="Arial"/>
          <w:szCs w:val="22"/>
        </w:rPr>
        <w:t xml:space="preserve"> </w:t>
      </w:r>
      <w:r w:rsidRPr="00520273">
        <w:rPr>
          <w:rFonts w:cs="Arial"/>
          <w:i/>
          <w:iCs/>
          <w:szCs w:val="22"/>
        </w:rPr>
        <w:t xml:space="preserve">Leisure Studies </w:t>
      </w:r>
      <w:r w:rsidRPr="00520273">
        <w:rPr>
          <w:rFonts w:cs="Arial"/>
          <w:szCs w:val="22"/>
        </w:rPr>
        <w:t>18: 97–118</w:t>
      </w:r>
    </w:p>
    <w:p w14:paraId="6587A7F6" w14:textId="77777777" w:rsidR="000F203F" w:rsidRPr="00520273" w:rsidRDefault="000F203F" w:rsidP="000F203F">
      <w:pPr>
        <w:tabs>
          <w:tab w:val="left" w:pos="1244"/>
        </w:tabs>
        <w:rPr>
          <w:rFonts w:cs="Arial"/>
          <w:szCs w:val="22"/>
        </w:rPr>
      </w:pPr>
      <w:r w:rsidRPr="00520273">
        <w:rPr>
          <w:rFonts w:cs="Arial"/>
          <w:szCs w:val="22"/>
        </w:rPr>
        <w:t>Evans, G.L. (</w:t>
      </w:r>
      <w:proofErr w:type="gramStart"/>
      <w:r w:rsidRPr="00520273">
        <w:rPr>
          <w:rFonts w:cs="Arial"/>
          <w:szCs w:val="22"/>
        </w:rPr>
        <w:t>1997)</w:t>
      </w:r>
      <w:r w:rsidRPr="00520273">
        <w:rPr>
          <w:rFonts w:cs="Arial"/>
          <w:i/>
          <w:iCs/>
          <w:szCs w:val="22"/>
        </w:rPr>
        <w:t>The</w:t>
      </w:r>
      <w:proofErr w:type="gramEnd"/>
      <w:r w:rsidRPr="00520273">
        <w:rPr>
          <w:rFonts w:cs="Arial"/>
          <w:i/>
          <w:iCs/>
          <w:szCs w:val="22"/>
        </w:rPr>
        <w:t xml:space="preserve"> Employment Effects of Arts Lottery Spending</w:t>
      </w:r>
      <w:r w:rsidRPr="00520273">
        <w:rPr>
          <w:rFonts w:cs="Arial"/>
          <w:szCs w:val="22"/>
        </w:rPr>
        <w:t>, Arts Council of England</w:t>
      </w:r>
    </w:p>
    <w:p w14:paraId="59CF9B3A" w14:textId="2836EBDB" w:rsidR="000F203F" w:rsidRPr="00520273" w:rsidRDefault="000F203F" w:rsidP="009C50A7">
      <w:pPr>
        <w:tabs>
          <w:tab w:val="left" w:pos="1244"/>
        </w:tabs>
        <w:rPr>
          <w:rFonts w:cs="Arial"/>
          <w:szCs w:val="22"/>
        </w:rPr>
      </w:pPr>
      <w:r w:rsidRPr="00520273">
        <w:rPr>
          <w:rFonts w:cs="Arial"/>
          <w:szCs w:val="22"/>
        </w:rPr>
        <w:t>Evans, G.L.</w:t>
      </w:r>
      <w:r w:rsidR="00A033C6">
        <w:rPr>
          <w:rFonts w:cs="Arial"/>
          <w:szCs w:val="22"/>
        </w:rPr>
        <w:t xml:space="preserve"> </w:t>
      </w:r>
      <w:r w:rsidRPr="00520273">
        <w:rPr>
          <w:rFonts w:cs="Arial"/>
          <w:szCs w:val="22"/>
        </w:rPr>
        <w:t xml:space="preserve">(2004) Cultural Industry Quarters - from pre-industrial to post-industrial production, In Bell, D. &amp; Jayne, M. (eds), </w:t>
      </w:r>
      <w:r w:rsidRPr="00C20D5D">
        <w:rPr>
          <w:rFonts w:cs="Arial"/>
          <w:i/>
          <w:szCs w:val="22"/>
        </w:rPr>
        <w:t>City of Quarters: Urban Villages in the Contemporary City</w:t>
      </w:r>
      <w:r w:rsidRPr="00520273">
        <w:rPr>
          <w:rFonts w:cs="Arial"/>
          <w:szCs w:val="22"/>
        </w:rPr>
        <w:t>. Aldershot, Ashgate: 71</w:t>
      </w:r>
      <w:r w:rsidR="00E10960">
        <w:rPr>
          <w:rFonts w:cs="Arial"/>
          <w:szCs w:val="22"/>
        </w:rPr>
        <w:t>–</w:t>
      </w:r>
      <w:r w:rsidRPr="00520273">
        <w:rPr>
          <w:rFonts w:cs="Arial"/>
          <w:szCs w:val="22"/>
        </w:rPr>
        <w:t>92</w:t>
      </w:r>
    </w:p>
    <w:p w14:paraId="1555B5A5" w14:textId="77777777" w:rsidR="000F203F" w:rsidRPr="00520273" w:rsidRDefault="000F203F" w:rsidP="000F203F">
      <w:pPr>
        <w:tabs>
          <w:tab w:val="left" w:pos="1244"/>
        </w:tabs>
        <w:rPr>
          <w:rFonts w:cs="Arial"/>
          <w:szCs w:val="22"/>
        </w:rPr>
      </w:pPr>
      <w:r w:rsidRPr="00520273">
        <w:rPr>
          <w:rFonts w:cs="Arial"/>
          <w:szCs w:val="22"/>
        </w:rPr>
        <w:t xml:space="preserve">Evans, G.L (2005) Measure for Measure: Evaluating the evidence of culture's contribution to regeneration, </w:t>
      </w:r>
      <w:r w:rsidRPr="00520273">
        <w:rPr>
          <w:rFonts w:cs="Arial"/>
          <w:i/>
          <w:iCs/>
          <w:szCs w:val="22"/>
        </w:rPr>
        <w:t>Urban Studies</w:t>
      </w:r>
      <w:r w:rsidRPr="00520273">
        <w:rPr>
          <w:rFonts w:cs="Arial"/>
          <w:szCs w:val="22"/>
        </w:rPr>
        <w:t>, 42 (5/6): 959–983</w:t>
      </w:r>
    </w:p>
    <w:p w14:paraId="17CF908C" w14:textId="5E02F38B" w:rsidR="000F203F" w:rsidRPr="00520273" w:rsidRDefault="000F203F" w:rsidP="000F203F">
      <w:pPr>
        <w:rPr>
          <w:rFonts w:cs="Arial"/>
          <w:color w:val="231F20"/>
          <w:szCs w:val="22"/>
        </w:rPr>
      </w:pPr>
      <w:r w:rsidRPr="00520273">
        <w:rPr>
          <w:rFonts w:cs="Arial"/>
          <w:szCs w:val="22"/>
        </w:rPr>
        <w:t xml:space="preserve">Evans, G.L. (2008). Cultural mapping and sustainable communities: Planning for the Arts revisited, </w:t>
      </w:r>
      <w:r w:rsidRPr="00520273">
        <w:rPr>
          <w:rFonts w:cs="Arial"/>
          <w:i/>
          <w:szCs w:val="22"/>
        </w:rPr>
        <w:t>Cultural Trends</w:t>
      </w:r>
      <w:r w:rsidRPr="00520273">
        <w:rPr>
          <w:rFonts w:cs="Arial"/>
          <w:color w:val="231F20"/>
          <w:w w:val="101"/>
          <w:szCs w:val="22"/>
        </w:rPr>
        <w:t xml:space="preserve">, </w:t>
      </w:r>
      <w:r w:rsidRPr="00520273">
        <w:rPr>
          <w:rFonts w:cs="Arial"/>
          <w:color w:val="231F20"/>
          <w:szCs w:val="22"/>
        </w:rPr>
        <w:t>17(2)</w:t>
      </w:r>
      <w:r w:rsidRPr="00520273">
        <w:rPr>
          <w:rFonts w:cs="Arial"/>
          <w:color w:val="231F20"/>
          <w:spacing w:val="8"/>
          <w:szCs w:val="22"/>
        </w:rPr>
        <w:t xml:space="preserve">: </w:t>
      </w:r>
      <w:r w:rsidRPr="00520273">
        <w:rPr>
          <w:rFonts w:cs="Arial"/>
          <w:color w:val="231F20"/>
          <w:w w:val="99"/>
          <w:szCs w:val="22"/>
        </w:rPr>
        <w:t>65–</w:t>
      </w:r>
      <w:r w:rsidRPr="00520273">
        <w:rPr>
          <w:rFonts w:cs="Arial"/>
          <w:color w:val="231F20"/>
          <w:spacing w:val="-27"/>
          <w:szCs w:val="22"/>
        </w:rPr>
        <w:t xml:space="preserve"> </w:t>
      </w:r>
      <w:r w:rsidRPr="00520273">
        <w:rPr>
          <w:rFonts w:cs="Arial"/>
          <w:color w:val="231F20"/>
          <w:szCs w:val="22"/>
        </w:rPr>
        <w:t>96</w:t>
      </w:r>
    </w:p>
    <w:p w14:paraId="5560BBB0" w14:textId="77777777" w:rsidR="000F203F" w:rsidRPr="00520273" w:rsidRDefault="000F203F" w:rsidP="000F203F">
      <w:pPr>
        <w:rPr>
          <w:rFonts w:cs="Arial"/>
          <w:bCs/>
          <w:szCs w:val="22"/>
        </w:rPr>
      </w:pPr>
      <w:r w:rsidRPr="00520273">
        <w:rPr>
          <w:rFonts w:cs="Arial"/>
          <w:color w:val="231F20"/>
          <w:szCs w:val="22"/>
        </w:rPr>
        <w:t xml:space="preserve">Evans, G.L. (2009a) </w:t>
      </w:r>
      <w:r w:rsidRPr="00520273">
        <w:rPr>
          <w:rFonts w:cs="Arial"/>
          <w:bCs/>
          <w:i/>
          <w:szCs w:val="22"/>
        </w:rPr>
        <w:t>Creative Class – Back to the Future or Back to School</w:t>
      </w:r>
      <w:r w:rsidRPr="00520273">
        <w:rPr>
          <w:rFonts w:cs="Arial"/>
          <w:bCs/>
          <w:szCs w:val="22"/>
        </w:rPr>
        <w:t>? Association of American Geographers Annual Meeting</w:t>
      </w:r>
    </w:p>
    <w:p w14:paraId="46858210" w14:textId="3246042C" w:rsidR="000F203F" w:rsidRPr="00520273" w:rsidRDefault="000F203F" w:rsidP="000F203F">
      <w:pPr>
        <w:rPr>
          <w:rFonts w:cs="Arial"/>
          <w:bCs/>
          <w:szCs w:val="22"/>
        </w:rPr>
      </w:pPr>
      <w:r w:rsidRPr="00520273">
        <w:rPr>
          <w:rFonts w:cs="Arial"/>
          <w:bCs/>
          <w:szCs w:val="22"/>
        </w:rPr>
        <w:t xml:space="preserve">Evans, G.L. </w:t>
      </w:r>
      <w:r w:rsidRPr="00520273">
        <w:rPr>
          <w:rFonts w:cs="Arial"/>
          <w:szCs w:val="22"/>
        </w:rPr>
        <w:t xml:space="preserve">(2009b) </w:t>
      </w:r>
      <w:r w:rsidRPr="00520273">
        <w:rPr>
          <w:rFonts w:cs="Arial"/>
          <w:iCs/>
          <w:szCs w:val="22"/>
        </w:rPr>
        <w:t xml:space="preserve">Accessibility, Urban Design and the Whole Journey Environment, </w:t>
      </w:r>
      <w:r w:rsidRPr="00520273">
        <w:rPr>
          <w:rFonts w:cs="Arial"/>
          <w:i/>
          <w:iCs/>
          <w:szCs w:val="22"/>
        </w:rPr>
        <w:t>Built Environment</w:t>
      </w:r>
      <w:r w:rsidR="00A033C6">
        <w:rPr>
          <w:rFonts w:cs="Arial"/>
          <w:bCs/>
          <w:iCs/>
          <w:szCs w:val="22"/>
        </w:rPr>
        <w:t xml:space="preserve"> </w:t>
      </w:r>
      <w:r w:rsidRPr="00520273">
        <w:rPr>
          <w:rFonts w:cs="Arial"/>
          <w:bCs/>
          <w:iCs/>
          <w:szCs w:val="22"/>
        </w:rPr>
        <w:t>35(3): 366</w:t>
      </w:r>
      <w:r w:rsidR="00E10960">
        <w:rPr>
          <w:rFonts w:cs="Arial"/>
          <w:bCs/>
          <w:iCs/>
          <w:szCs w:val="22"/>
        </w:rPr>
        <w:t>–</w:t>
      </w:r>
      <w:r w:rsidRPr="00520273">
        <w:rPr>
          <w:rFonts w:cs="Arial"/>
          <w:bCs/>
          <w:iCs/>
          <w:szCs w:val="22"/>
        </w:rPr>
        <w:t>385</w:t>
      </w:r>
    </w:p>
    <w:p w14:paraId="21EAC0ED" w14:textId="1FD45B38" w:rsidR="000F203F" w:rsidRPr="00520273" w:rsidRDefault="000F203F" w:rsidP="009C50A7">
      <w:pPr>
        <w:tabs>
          <w:tab w:val="left" w:pos="1244"/>
        </w:tabs>
        <w:rPr>
          <w:rFonts w:cs="Arial"/>
          <w:szCs w:val="22"/>
        </w:rPr>
      </w:pPr>
      <w:r w:rsidRPr="00520273">
        <w:rPr>
          <w:rFonts w:cs="Arial"/>
          <w:szCs w:val="22"/>
        </w:rPr>
        <w:t xml:space="preserve">Evans, G.L. (2009c) Creative Cities, Creative Spaces, </w:t>
      </w:r>
      <w:proofErr w:type="gramStart"/>
      <w:r w:rsidRPr="00C20D5D">
        <w:rPr>
          <w:rFonts w:cs="Arial"/>
          <w:i/>
          <w:szCs w:val="22"/>
        </w:rPr>
        <w:t>Urban Studies</w:t>
      </w:r>
      <w:r w:rsidR="00A033C6">
        <w:rPr>
          <w:rFonts w:cs="Arial"/>
          <w:szCs w:val="22"/>
        </w:rPr>
        <w:t xml:space="preserve"> </w:t>
      </w:r>
      <w:r w:rsidRPr="00520273">
        <w:rPr>
          <w:rFonts w:cs="Arial"/>
          <w:szCs w:val="22"/>
        </w:rPr>
        <w:t>46</w:t>
      </w:r>
      <w:proofErr w:type="gramEnd"/>
      <w:r w:rsidRPr="00520273">
        <w:rPr>
          <w:rFonts w:cs="Arial"/>
          <w:szCs w:val="22"/>
        </w:rPr>
        <w:t>(5&amp;6): 1003–1040</w:t>
      </w:r>
    </w:p>
    <w:p w14:paraId="58C42754" w14:textId="431ADC4F" w:rsidR="000F203F" w:rsidRPr="00520273" w:rsidRDefault="000F203F" w:rsidP="000F203F">
      <w:pPr>
        <w:shd w:val="clear" w:color="auto" w:fill="FFFFFF"/>
        <w:rPr>
          <w:rFonts w:cs="Arial"/>
          <w:i/>
          <w:szCs w:val="22"/>
        </w:rPr>
      </w:pPr>
      <w:r w:rsidRPr="00520273">
        <w:rPr>
          <w:rFonts w:cs="Arial"/>
          <w:szCs w:val="22"/>
        </w:rPr>
        <w:t xml:space="preserve">Evans, G.L. </w:t>
      </w:r>
      <w:r w:rsidRPr="00520273">
        <w:rPr>
          <w:rFonts w:cs="Arial"/>
          <w:bCs/>
          <w:szCs w:val="22"/>
        </w:rPr>
        <w:t xml:space="preserve">(2009d) </w:t>
      </w:r>
      <w:r w:rsidRPr="00520273">
        <w:rPr>
          <w:rFonts w:cs="Arial"/>
          <w:szCs w:val="22"/>
        </w:rPr>
        <w:t xml:space="preserve">From cultural quarters to creative clusters: creative spaces in the new city economy. In M.Legner (ed) </w:t>
      </w:r>
      <w:r w:rsidRPr="00520273">
        <w:rPr>
          <w:rFonts w:cs="Arial"/>
          <w:i/>
          <w:szCs w:val="22"/>
        </w:rPr>
        <w:t>The sustainability and development of cultural quarters: international perspectives</w:t>
      </w:r>
      <w:r w:rsidRPr="00520273">
        <w:rPr>
          <w:rFonts w:cs="Arial"/>
          <w:szCs w:val="22"/>
        </w:rPr>
        <w:t>.</w:t>
      </w:r>
      <w:r w:rsidRPr="00520273">
        <w:rPr>
          <w:rFonts w:cs="Arial"/>
          <w:i/>
          <w:szCs w:val="22"/>
        </w:rPr>
        <w:t xml:space="preserve"> </w:t>
      </w:r>
      <w:r w:rsidRPr="00520273">
        <w:rPr>
          <w:rFonts w:cs="Arial"/>
          <w:szCs w:val="22"/>
        </w:rPr>
        <w:t>Stockholm: Institute of Urban History, 32</w:t>
      </w:r>
      <w:r w:rsidR="00E10960">
        <w:rPr>
          <w:rFonts w:cs="Arial"/>
          <w:szCs w:val="22"/>
        </w:rPr>
        <w:t>–</w:t>
      </w:r>
      <w:r w:rsidRPr="00520273">
        <w:rPr>
          <w:rFonts w:cs="Arial"/>
          <w:szCs w:val="22"/>
        </w:rPr>
        <w:t>59</w:t>
      </w:r>
    </w:p>
    <w:p w14:paraId="78259475" w14:textId="788291BF" w:rsidR="000F203F" w:rsidRPr="00520273" w:rsidRDefault="000F203F" w:rsidP="00ED2B2F">
      <w:pPr>
        <w:shd w:val="clear" w:color="auto" w:fill="FFFFFF"/>
        <w:rPr>
          <w:rFonts w:cs="Arial"/>
          <w:szCs w:val="22"/>
        </w:rPr>
      </w:pPr>
      <w:r w:rsidRPr="00520273">
        <w:rPr>
          <w:rFonts w:cs="Arial"/>
          <w:szCs w:val="22"/>
        </w:rPr>
        <w:t xml:space="preserve">Evans, G.L. (2011) Hold Back the Night – Nuit Blanche Events in Capital Cities, </w:t>
      </w:r>
      <w:r w:rsidRPr="00C20D5D">
        <w:rPr>
          <w:rFonts w:cs="Arial"/>
          <w:i/>
          <w:szCs w:val="22"/>
        </w:rPr>
        <w:t>Current Issues in Tourism</w:t>
      </w:r>
      <w:r w:rsidRPr="00520273">
        <w:rPr>
          <w:rFonts w:cs="Arial"/>
          <w:szCs w:val="22"/>
        </w:rPr>
        <w:t>, 15(1/2): 35</w:t>
      </w:r>
      <w:r w:rsidR="00E10960">
        <w:rPr>
          <w:rFonts w:cs="Arial"/>
          <w:szCs w:val="22"/>
        </w:rPr>
        <w:t>–</w:t>
      </w:r>
      <w:r w:rsidRPr="00520273">
        <w:rPr>
          <w:rFonts w:cs="Arial"/>
          <w:szCs w:val="22"/>
        </w:rPr>
        <w:t xml:space="preserve">49 </w:t>
      </w:r>
    </w:p>
    <w:p w14:paraId="7DA4A887" w14:textId="441E3E6D" w:rsidR="000F203F" w:rsidRPr="00520273" w:rsidRDefault="000F203F" w:rsidP="00ED2B2F">
      <w:pPr>
        <w:shd w:val="clear" w:color="auto" w:fill="FFFFFF"/>
        <w:rPr>
          <w:rFonts w:cs="Arial"/>
          <w:szCs w:val="22"/>
        </w:rPr>
      </w:pPr>
      <w:proofErr w:type="gramStart"/>
      <w:r w:rsidRPr="00520273">
        <w:rPr>
          <w:rFonts w:cs="Arial"/>
          <w:szCs w:val="22"/>
        </w:rPr>
        <w:t xml:space="preserve">Evans, G.L. (2011) Events, Cities and the Night Time Economy, In S.Page &amp; J.Connell (eds) </w:t>
      </w:r>
      <w:r w:rsidRPr="00C20D5D">
        <w:rPr>
          <w:rFonts w:cs="Arial"/>
          <w:i/>
          <w:szCs w:val="22"/>
        </w:rPr>
        <w:t>Handbook of Events</w:t>
      </w:r>
      <w:r w:rsidRPr="00520273">
        <w:rPr>
          <w:rFonts w:cs="Arial"/>
          <w:szCs w:val="22"/>
        </w:rPr>
        <w:t>.</w:t>
      </w:r>
      <w:proofErr w:type="gramEnd"/>
      <w:r w:rsidRPr="00520273">
        <w:rPr>
          <w:rFonts w:cs="Arial"/>
          <w:szCs w:val="22"/>
        </w:rPr>
        <w:t xml:space="preserve"> Routledge: 415</w:t>
      </w:r>
      <w:r w:rsidR="00E10960">
        <w:rPr>
          <w:rFonts w:cs="Arial"/>
          <w:szCs w:val="22"/>
        </w:rPr>
        <w:t>–</w:t>
      </w:r>
      <w:r w:rsidRPr="00520273">
        <w:rPr>
          <w:rFonts w:cs="Arial"/>
          <w:szCs w:val="22"/>
        </w:rPr>
        <w:t>430</w:t>
      </w:r>
    </w:p>
    <w:p w14:paraId="74292EF9" w14:textId="574DC71E" w:rsidR="000F203F" w:rsidRPr="00520273" w:rsidRDefault="000F203F" w:rsidP="00ED2B2F">
      <w:pPr>
        <w:shd w:val="clear" w:color="auto" w:fill="FFFFFF"/>
        <w:rPr>
          <w:rFonts w:cs="Arial"/>
          <w:szCs w:val="22"/>
        </w:rPr>
      </w:pPr>
      <w:r w:rsidRPr="00520273">
        <w:rPr>
          <w:rFonts w:cs="Arial"/>
          <w:szCs w:val="22"/>
        </w:rPr>
        <w:t xml:space="preserve">Evans, G.L. (2015a) Participation and Provision in Arts &amp; Culture: Bridging the Divide, </w:t>
      </w:r>
      <w:r w:rsidRPr="00C20D5D">
        <w:rPr>
          <w:rFonts w:cs="Arial"/>
          <w:i/>
          <w:szCs w:val="22"/>
        </w:rPr>
        <w:t>Cultural Trends</w:t>
      </w:r>
      <w:r w:rsidR="00C20D5D">
        <w:rPr>
          <w:rFonts w:cs="Arial"/>
          <w:szCs w:val="22"/>
        </w:rPr>
        <w:t xml:space="preserve"> 25</w:t>
      </w:r>
    </w:p>
    <w:p w14:paraId="5E599897" w14:textId="77777777" w:rsidR="000F203F" w:rsidRPr="00520273" w:rsidRDefault="000F203F" w:rsidP="00ED2B2F">
      <w:pPr>
        <w:shd w:val="clear" w:color="auto" w:fill="FFFFFF"/>
        <w:rPr>
          <w:rFonts w:cs="Arial"/>
          <w:szCs w:val="22"/>
        </w:rPr>
      </w:pPr>
      <w:r w:rsidRPr="00520273">
        <w:rPr>
          <w:rFonts w:cs="Arial"/>
          <w:szCs w:val="22"/>
        </w:rPr>
        <w:t xml:space="preserve">Evans, G.L. (2015b) Creative Cities: An International Perspective, In Richards, G. and Hannigan, J. (eds) </w:t>
      </w:r>
      <w:r w:rsidRPr="00C20D5D">
        <w:rPr>
          <w:rFonts w:cs="Arial"/>
          <w:i/>
          <w:szCs w:val="22"/>
        </w:rPr>
        <w:t>SAGE Handbook of New Urban Studies</w:t>
      </w:r>
      <w:r w:rsidRPr="00520273">
        <w:rPr>
          <w:rFonts w:cs="Arial"/>
          <w:szCs w:val="22"/>
        </w:rPr>
        <w:t xml:space="preserve"> (forthcoming)</w:t>
      </w:r>
    </w:p>
    <w:p w14:paraId="5F018DF4" w14:textId="77777777" w:rsidR="000F203F" w:rsidRPr="00520273" w:rsidRDefault="000F203F" w:rsidP="000F203F">
      <w:pPr>
        <w:tabs>
          <w:tab w:val="left" w:pos="1244"/>
        </w:tabs>
        <w:rPr>
          <w:rFonts w:cs="Arial"/>
          <w:szCs w:val="22"/>
        </w:rPr>
      </w:pPr>
      <w:r w:rsidRPr="00520273">
        <w:rPr>
          <w:rFonts w:cs="Arial"/>
          <w:szCs w:val="22"/>
        </w:rPr>
        <w:t xml:space="preserve">Evans, G. &amp; Shaw, P. (2001) </w:t>
      </w:r>
      <w:r w:rsidRPr="00520273">
        <w:rPr>
          <w:rFonts w:cs="Arial"/>
          <w:i/>
          <w:iCs/>
          <w:szCs w:val="22"/>
        </w:rPr>
        <w:t>Study into the Social Impacts of Lottery Good Cause Spending in the UK</w:t>
      </w:r>
      <w:r w:rsidRPr="00520273">
        <w:rPr>
          <w:rFonts w:cs="Arial"/>
          <w:szCs w:val="22"/>
        </w:rPr>
        <w:t>, Final report. London: DCMS</w:t>
      </w:r>
    </w:p>
    <w:p w14:paraId="428CB271" w14:textId="30BC4564" w:rsidR="000F203F" w:rsidRPr="00520273" w:rsidRDefault="000F203F" w:rsidP="000F203F">
      <w:pPr>
        <w:tabs>
          <w:tab w:val="left" w:pos="1244"/>
        </w:tabs>
        <w:rPr>
          <w:rFonts w:cs="Arial"/>
          <w:szCs w:val="22"/>
        </w:rPr>
      </w:pPr>
      <w:r w:rsidRPr="00520273">
        <w:rPr>
          <w:rFonts w:cs="Arial"/>
          <w:szCs w:val="22"/>
        </w:rPr>
        <w:t>Evans, G. and Shaw, P.</w:t>
      </w:r>
      <w:r w:rsidR="00A033C6">
        <w:rPr>
          <w:rFonts w:cs="Arial"/>
          <w:szCs w:val="22"/>
        </w:rPr>
        <w:t xml:space="preserve"> </w:t>
      </w:r>
      <w:r w:rsidRPr="00520273">
        <w:rPr>
          <w:rFonts w:cs="Arial"/>
          <w:szCs w:val="22"/>
        </w:rPr>
        <w:t xml:space="preserve">(2004) </w:t>
      </w:r>
      <w:r w:rsidRPr="00520273">
        <w:rPr>
          <w:rFonts w:cs="Arial"/>
          <w:i/>
          <w:iCs/>
          <w:szCs w:val="22"/>
        </w:rPr>
        <w:t>The contribution of culture to regeneration in the UK: a review of evidence</w:t>
      </w:r>
      <w:r w:rsidRPr="00520273">
        <w:rPr>
          <w:rFonts w:cs="Arial"/>
          <w:szCs w:val="22"/>
        </w:rPr>
        <w:t>. London: DCMS</w:t>
      </w:r>
    </w:p>
    <w:p w14:paraId="4E086CB5" w14:textId="5DDCBCD6" w:rsidR="000F203F" w:rsidRPr="00520273" w:rsidRDefault="000F203F" w:rsidP="000F203F">
      <w:pPr>
        <w:tabs>
          <w:tab w:val="left" w:pos="1244"/>
        </w:tabs>
        <w:rPr>
          <w:rFonts w:cs="Arial"/>
          <w:bCs/>
          <w:i/>
          <w:iCs/>
          <w:szCs w:val="22"/>
        </w:rPr>
      </w:pPr>
      <w:r w:rsidRPr="00520273">
        <w:rPr>
          <w:rFonts w:cs="Arial"/>
          <w:bCs/>
          <w:szCs w:val="22"/>
        </w:rPr>
        <w:t xml:space="preserve">Feng, X, Humphreys, B.R. (2008) </w:t>
      </w:r>
      <w:r w:rsidRPr="00520273">
        <w:rPr>
          <w:rFonts w:cs="Arial"/>
          <w:bCs/>
          <w:i/>
          <w:iCs/>
          <w:szCs w:val="22"/>
        </w:rPr>
        <w:t>Assessing the Economic Impact of Sports Facilities on Residential Property Values: A Spatial Hedonic Approach</w:t>
      </w:r>
      <w:r w:rsidRPr="00520273">
        <w:rPr>
          <w:rFonts w:cs="Arial"/>
          <w:bCs/>
          <w:szCs w:val="22"/>
        </w:rPr>
        <w:t xml:space="preserve">, Working Paper Series, </w:t>
      </w:r>
      <w:proofErr w:type="gramStart"/>
      <w:r w:rsidRPr="00520273">
        <w:rPr>
          <w:rFonts w:cs="Arial"/>
          <w:bCs/>
          <w:szCs w:val="22"/>
        </w:rPr>
        <w:t>No</w:t>
      </w:r>
      <w:proofErr w:type="gramEnd"/>
      <w:r w:rsidRPr="00520273">
        <w:rPr>
          <w:rFonts w:cs="Arial"/>
          <w:bCs/>
          <w:szCs w:val="22"/>
        </w:rPr>
        <w:t>. 08</w:t>
      </w:r>
      <w:r w:rsidR="00E10960">
        <w:rPr>
          <w:rFonts w:cs="Arial"/>
          <w:szCs w:val="22"/>
        </w:rPr>
        <w:t>–</w:t>
      </w:r>
      <w:r w:rsidRPr="00520273">
        <w:rPr>
          <w:rFonts w:cs="Arial"/>
          <w:bCs/>
          <w:szCs w:val="22"/>
        </w:rPr>
        <w:t>12, IASE/NAASE</w:t>
      </w:r>
    </w:p>
    <w:p w14:paraId="78CC9051" w14:textId="78455001" w:rsidR="000F203F" w:rsidRPr="00520273" w:rsidRDefault="000F203F" w:rsidP="000F203F">
      <w:pPr>
        <w:tabs>
          <w:tab w:val="left" w:pos="1244"/>
        </w:tabs>
        <w:rPr>
          <w:rFonts w:cs="Arial"/>
          <w:szCs w:val="22"/>
        </w:rPr>
      </w:pPr>
      <w:r w:rsidRPr="00520273">
        <w:rPr>
          <w:rFonts w:cs="Arial"/>
          <w:szCs w:val="22"/>
        </w:rPr>
        <w:t xml:space="preserve">Falck, O., Fritsch, M. and Heblich, S. (2011) The phantom of the opera: Cultural amenities, human capital and regional economic growth, </w:t>
      </w:r>
      <w:r w:rsidRPr="00520273">
        <w:rPr>
          <w:rFonts w:cs="Arial"/>
          <w:i/>
          <w:szCs w:val="22"/>
        </w:rPr>
        <w:t>Labour Economics</w:t>
      </w:r>
      <w:r w:rsidRPr="00520273">
        <w:rPr>
          <w:rFonts w:cs="Arial"/>
          <w:szCs w:val="22"/>
        </w:rPr>
        <w:t>, 18: 755</w:t>
      </w:r>
      <w:r w:rsidR="00E10960">
        <w:rPr>
          <w:rFonts w:cs="Arial"/>
          <w:szCs w:val="22"/>
        </w:rPr>
        <w:t>–</w:t>
      </w:r>
      <w:r w:rsidRPr="00520273">
        <w:rPr>
          <w:rFonts w:cs="Arial"/>
          <w:szCs w:val="22"/>
        </w:rPr>
        <w:t>766</w:t>
      </w:r>
    </w:p>
    <w:p w14:paraId="7D9F36A5" w14:textId="161B36A5" w:rsidR="000F203F" w:rsidRPr="00520273" w:rsidRDefault="000F203F" w:rsidP="000F203F">
      <w:pPr>
        <w:tabs>
          <w:tab w:val="left" w:pos="1244"/>
        </w:tabs>
        <w:rPr>
          <w:rFonts w:eastAsiaTheme="minorHAnsi" w:cs="Arial"/>
          <w:szCs w:val="22"/>
        </w:rPr>
      </w:pPr>
      <w:r w:rsidRPr="00520273">
        <w:rPr>
          <w:rFonts w:eastAsiaTheme="minorHAnsi" w:cs="Arial"/>
          <w:szCs w:val="22"/>
        </w:rPr>
        <w:t xml:space="preserve">Foord, J. (2012) The new boomtown? Creative city to Tech City in east London, </w:t>
      </w:r>
      <w:r w:rsidRPr="00520273">
        <w:rPr>
          <w:rFonts w:eastAsiaTheme="minorHAnsi" w:cs="Arial"/>
          <w:i/>
          <w:szCs w:val="22"/>
        </w:rPr>
        <w:t>Cities</w:t>
      </w:r>
      <w:r w:rsidRPr="00520273">
        <w:rPr>
          <w:rFonts w:eastAsiaTheme="minorHAnsi" w:cs="Arial"/>
          <w:szCs w:val="22"/>
        </w:rPr>
        <w:t>, 33: 51</w:t>
      </w:r>
      <w:r w:rsidR="00E10960">
        <w:rPr>
          <w:rFonts w:cs="Arial"/>
          <w:szCs w:val="22"/>
        </w:rPr>
        <w:t>–</w:t>
      </w:r>
      <w:r w:rsidRPr="00520273">
        <w:rPr>
          <w:rFonts w:eastAsiaTheme="minorHAnsi" w:cs="Arial"/>
          <w:szCs w:val="22"/>
        </w:rPr>
        <w:t>60</w:t>
      </w:r>
    </w:p>
    <w:p w14:paraId="0861F3D8" w14:textId="41BEE332" w:rsidR="000F203F" w:rsidRPr="00520273" w:rsidRDefault="000F203F" w:rsidP="00351721">
      <w:pPr>
        <w:tabs>
          <w:tab w:val="left" w:pos="1244"/>
        </w:tabs>
        <w:rPr>
          <w:rFonts w:eastAsiaTheme="minorHAnsi" w:cs="Arial"/>
          <w:szCs w:val="22"/>
        </w:rPr>
      </w:pPr>
      <w:r w:rsidRPr="00520273">
        <w:rPr>
          <w:rFonts w:eastAsiaTheme="minorHAnsi" w:cs="Arial"/>
          <w:szCs w:val="22"/>
        </w:rPr>
        <w:t>Freeman, A.</w:t>
      </w:r>
      <w:r w:rsidR="00A033C6">
        <w:rPr>
          <w:rFonts w:eastAsiaTheme="minorHAnsi" w:cs="Arial"/>
          <w:szCs w:val="22"/>
        </w:rPr>
        <w:t xml:space="preserve"> </w:t>
      </w:r>
      <w:r w:rsidRPr="00520273">
        <w:rPr>
          <w:rFonts w:eastAsiaTheme="minorHAnsi" w:cs="Arial"/>
          <w:szCs w:val="22"/>
        </w:rPr>
        <w:t xml:space="preserve">(2010) </w:t>
      </w:r>
      <w:r w:rsidRPr="00C20D5D">
        <w:rPr>
          <w:rFonts w:eastAsiaTheme="minorHAnsi" w:cs="Arial"/>
          <w:i/>
          <w:szCs w:val="22"/>
        </w:rPr>
        <w:t>London’s creative workforce: 2009 Update</w:t>
      </w:r>
      <w:r w:rsidRPr="00520273">
        <w:rPr>
          <w:rFonts w:eastAsiaTheme="minorHAnsi" w:cs="Arial"/>
          <w:szCs w:val="22"/>
        </w:rPr>
        <w:t>. Working paper 40. London: Greater London Authority</w:t>
      </w:r>
    </w:p>
    <w:p w14:paraId="5E5F2255" w14:textId="77777777" w:rsidR="000F203F" w:rsidRPr="00520273" w:rsidRDefault="000F203F" w:rsidP="000F203F">
      <w:pPr>
        <w:tabs>
          <w:tab w:val="left" w:pos="1244"/>
        </w:tabs>
        <w:rPr>
          <w:rFonts w:cs="Arial"/>
          <w:bCs/>
          <w:szCs w:val="22"/>
        </w:rPr>
      </w:pPr>
      <w:r w:rsidRPr="00520273">
        <w:rPr>
          <w:rFonts w:cs="Arial"/>
          <w:bCs/>
          <w:szCs w:val="22"/>
        </w:rPr>
        <w:t xml:space="preserve">GLA (2003) </w:t>
      </w:r>
      <w:r w:rsidRPr="00520273">
        <w:rPr>
          <w:rFonts w:cs="Arial"/>
          <w:bCs/>
          <w:i/>
          <w:szCs w:val="22"/>
        </w:rPr>
        <w:t>Valuing Greenness: Green spaces, house price and Londoners’ priorities</w:t>
      </w:r>
      <w:r w:rsidRPr="00520273">
        <w:rPr>
          <w:rFonts w:cs="Arial"/>
          <w:bCs/>
          <w:szCs w:val="22"/>
        </w:rPr>
        <w:t>. Greater London Authority</w:t>
      </w:r>
    </w:p>
    <w:p w14:paraId="763549F7" w14:textId="77777777" w:rsidR="000F203F" w:rsidRPr="00520273" w:rsidRDefault="000F203F" w:rsidP="000F203F">
      <w:pPr>
        <w:tabs>
          <w:tab w:val="left" w:pos="1244"/>
        </w:tabs>
        <w:rPr>
          <w:rFonts w:cs="Arial"/>
          <w:szCs w:val="22"/>
        </w:rPr>
      </w:pPr>
      <w:r w:rsidRPr="00520273">
        <w:rPr>
          <w:rFonts w:cs="Arial"/>
          <w:szCs w:val="22"/>
        </w:rPr>
        <w:t xml:space="preserve">GHK (2010) </w:t>
      </w:r>
      <w:r w:rsidRPr="00520273">
        <w:rPr>
          <w:rFonts w:cs="Arial"/>
          <w:i/>
          <w:szCs w:val="22"/>
        </w:rPr>
        <w:t>Economic Impact of HLF funded projects</w:t>
      </w:r>
      <w:r w:rsidRPr="00520273">
        <w:rPr>
          <w:rFonts w:cs="Arial"/>
          <w:szCs w:val="22"/>
        </w:rPr>
        <w:t>. Heritage Lottery Fund</w:t>
      </w:r>
    </w:p>
    <w:p w14:paraId="0480D8FC" w14:textId="77777777" w:rsidR="000F203F" w:rsidRPr="00520273" w:rsidRDefault="000F203F" w:rsidP="000F203F">
      <w:pPr>
        <w:autoSpaceDE w:val="0"/>
        <w:autoSpaceDN w:val="0"/>
        <w:adjustRightInd w:val="0"/>
        <w:rPr>
          <w:rFonts w:cs="Arial"/>
          <w:szCs w:val="22"/>
        </w:rPr>
      </w:pPr>
      <w:proofErr w:type="gramStart"/>
      <w:r w:rsidRPr="00520273">
        <w:rPr>
          <w:rFonts w:cs="Arial"/>
          <w:szCs w:val="22"/>
        </w:rPr>
        <w:t xml:space="preserve">Glaeser, E. (2004) Review of </w:t>
      </w:r>
      <w:r w:rsidRPr="00520273">
        <w:rPr>
          <w:rFonts w:cs="Arial"/>
          <w:i/>
          <w:iCs/>
          <w:szCs w:val="22"/>
        </w:rPr>
        <w:t>The rise of the creative class</w:t>
      </w:r>
      <w:r w:rsidRPr="00520273">
        <w:rPr>
          <w:rFonts w:cs="Arial"/>
          <w:szCs w:val="22"/>
        </w:rPr>
        <w:t>, by Richard Florida.</w:t>
      </w:r>
      <w:proofErr w:type="gramEnd"/>
      <w:r w:rsidRPr="00520273">
        <w:rPr>
          <w:rFonts w:cs="Arial"/>
          <w:szCs w:val="22"/>
        </w:rPr>
        <w:t xml:space="preserve"> </w:t>
      </w:r>
      <w:hyperlink r:id="rId31" w:history="1">
        <w:r w:rsidRPr="00520273">
          <w:rPr>
            <w:rStyle w:val="Hyperlink"/>
            <w:rFonts w:cs="Arial"/>
            <w:szCs w:val="22"/>
          </w:rPr>
          <w:t>www.creativeclass.com/rfcgdb/articles/GlaeserReview.pdf</w:t>
        </w:r>
      </w:hyperlink>
    </w:p>
    <w:p w14:paraId="4CDC31C3" w14:textId="77777777" w:rsidR="000F203F" w:rsidRPr="00520273" w:rsidRDefault="000F203F" w:rsidP="000F203F">
      <w:pPr>
        <w:autoSpaceDE w:val="0"/>
        <w:autoSpaceDN w:val="0"/>
        <w:adjustRightInd w:val="0"/>
        <w:rPr>
          <w:rFonts w:eastAsiaTheme="minorHAnsi" w:cs="Arial"/>
          <w:szCs w:val="22"/>
        </w:rPr>
      </w:pPr>
      <w:r w:rsidRPr="00520273">
        <w:rPr>
          <w:rFonts w:eastAsiaTheme="minorHAnsi" w:cs="Arial"/>
          <w:szCs w:val="22"/>
        </w:rPr>
        <w:t xml:space="preserve">Glaeser, E, Giacomo, A., Ponzetto &amp; Tobio, K. (2011) </w:t>
      </w:r>
      <w:r w:rsidRPr="00520273">
        <w:rPr>
          <w:rFonts w:eastAsiaTheme="minorHAnsi" w:cs="Arial"/>
          <w:i/>
          <w:szCs w:val="22"/>
        </w:rPr>
        <w:t>Cities, Skills, and Regional Change</w:t>
      </w:r>
      <w:r w:rsidRPr="00520273">
        <w:rPr>
          <w:rFonts w:eastAsiaTheme="minorHAnsi" w:cs="Arial"/>
          <w:szCs w:val="22"/>
        </w:rPr>
        <w:t>, Harvard Institute of Economic Research</w:t>
      </w:r>
    </w:p>
    <w:p w14:paraId="31055E0E" w14:textId="531ED525" w:rsidR="000F203F" w:rsidRPr="00520273" w:rsidRDefault="000F203F" w:rsidP="000F203F">
      <w:pPr>
        <w:spacing w:line="276" w:lineRule="auto"/>
        <w:rPr>
          <w:rFonts w:cs="Arial"/>
          <w:szCs w:val="22"/>
          <w:lang w:val="en-US"/>
        </w:rPr>
      </w:pPr>
      <w:r w:rsidRPr="00520273">
        <w:rPr>
          <w:rFonts w:cs="Arial"/>
          <w:szCs w:val="22"/>
          <w:lang w:val="en-US"/>
        </w:rPr>
        <w:t xml:space="preserve">Impacts08 (2008) </w:t>
      </w:r>
      <w:r w:rsidRPr="00520273">
        <w:rPr>
          <w:rFonts w:cs="Arial"/>
          <w:i/>
          <w:szCs w:val="22"/>
          <w:lang w:val="en-US"/>
        </w:rPr>
        <w:t>Doing Business in the European Capital of Culture: a profile of impact on the Merseyside and NW business base</w:t>
      </w:r>
      <w:r w:rsidRPr="00520273">
        <w:rPr>
          <w:rFonts w:cs="Arial"/>
          <w:szCs w:val="22"/>
          <w:lang w:val="en-US"/>
        </w:rPr>
        <w:t>.</w:t>
      </w:r>
      <w:r w:rsidR="00A033C6">
        <w:rPr>
          <w:rFonts w:cs="Arial"/>
          <w:szCs w:val="22"/>
          <w:lang w:val="en-US"/>
        </w:rPr>
        <w:t xml:space="preserve"> </w:t>
      </w:r>
      <w:proofErr w:type="gramStart"/>
      <w:r w:rsidRPr="00520273">
        <w:rPr>
          <w:rFonts w:cs="Arial"/>
          <w:szCs w:val="22"/>
          <w:lang w:val="en-US"/>
        </w:rPr>
        <w:t>European Capital of Culture Research Programme.</w:t>
      </w:r>
      <w:proofErr w:type="gramEnd"/>
      <w:r w:rsidRPr="00520273">
        <w:rPr>
          <w:rFonts w:cs="Arial"/>
          <w:szCs w:val="22"/>
          <w:lang w:val="en-US"/>
        </w:rPr>
        <w:t xml:space="preserve"> Liverpool University, March.</w:t>
      </w:r>
    </w:p>
    <w:p w14:paraId="3C245969" w14:textId="77777777" w:rsidR="000F203F" w:rsidRPr="00520273" w:rsidRDefault="000F203F" w:rsidP="000F203F">
      <w:pPr>
        <w:spacing w:line="276" w:lineRule="auto"/>
        <w:rPr>
          <w:rFonts w:cs="Arial"/>
          <w:szCs w:val="22"/>
          <w:lang w:val="en-US"/>
        </w:rPr>
      </w:pPr>
      <w:proofErr w:type="gramStart"/>
      <w:r w:rsidRPr="00520273">
        <w:rPr>
          <w:rFonts w:cs="Arial"/>
          <w:szCs w:val="22"/>
          <w:lang w:val="en-US"/>
        </w:rPr>
        <w:t xml:space="preserve">Impacts08 (2009) </w:t>
      </w:r>
      <w:r w:rsidRPr="00520273">
        <w:rPr>
          <w:rFonts w:cs="Arial"/>
          <w:i/>
          <w:szCs w:val="22"/>
          <w:lang w:val="en-US"/>
        </w:rPr>
        <w:t>Local Area Studies – 2008 Results</w:t>
      </w:r>
      <w:r w:rsidRPr="00520273">
        <w:rPr>
          <w:rFonts w:cs="Arial"/>
          <w:szCs w:val="22"/>
          <w:lang w:val="en-US"/>
        </w:rPr>
        <w:t>.</w:t>
      </w:r>
      <w:proofErr w:type="gramEnd"/>
      <w:r w:rsidRPr="00520273">
        <w:rPr>
          <w:rFonts w:cs="Arial"/>
          <w:szCs w:val="22"/>
          <w:lang w:val="en-US"/>
        </w:rPr>
        <w:t xml:space="preserve"> </w:t>
      </w:r>
      <w:proofErr w:type="gramStart"/>
      <w:r w:rsidRPr="00520273">
        <w:rPr>
          <w:rFonts w:cs="Arial"/>
          <w:szCs w:val="22"/>
          <w:lang w:val="en-US"/>
        </w:rPr>
        <w:t>European Capital of Culture Research Programme, Liverpool University, April.</w:t>
      </w:r>
      <w:proofErr w:type="gramEnd"/>
    </w:p>
    <w:p w14:paraId="25F7ADFB" w14:textId="77777777" w:rsidR="000F203F" w:rsidRPr="00520273" w:rsidRDefault="000F203F" w:rsidP="00ED2B2F">
      <w:pPr>
        <w:spacing w:line="276" w:lineRule="auto"/>
        <w:rPr>
          <w:rFonts w:cs="Arial"/>
          <w:szCs w:val="22"/>
          <w:lang w:val="en-US"/>
        </w:rPr>
      </w:pPr>
      <w:r w:rsidRPr="00520273">
        <w:rPr>
          <w:rFonts w:cs="Arial"/>
          <w:szCs w:val="22"/>
          <w:lang w:val="en-US"/>
        </w:rPr>
        <w:t xml:space="preserve">Impacts08 (2010) </w:t>
      </w:r>
      <w:r w:rsidRPr="00C20D5D">
        <w:rPr>
          <w:rFonts w:cs="Arial"/>
          <w:i/>
          <w:szCs w:val="22"/>
          <w:lang w:val="en-US"/>
        </w:rPr>
        <w:t>Creating an impact: Liverpool’s experience as European Capital of Culture</w:t>
      </w:r>
      <w:r w:rsidRPr="00520273">
        <w:rPr>
          <w:rFonts w:cs="Arial"/>
          <w:szCs w:val="22"/>
          <w:lang w:val="en-US"/>
        </w:rPr>
        <w:t>. Impacts08 Study Unit, Liverpool University</w:t>
      </w:r>
    </w:p>
    <w:p w14:paraId="36A18ED6" w14:textId="77777777" w:rsidR="000F203F" w:rsidRPr="00520273" w:rsidRDefault="000F203F" w:rsidP="00ED2B2F">
      <w:pPr>
        <w:spacing w:line="276" w:lineRule="auto"/>
        <w:rPr>
          <w:rFonts w:cs="Arial"/>
          <w:szCs w:val="22"/>
          <w:lang w:val="en-US"/>
        </w:rPr>
      </w:pPr>
      <w:r w:rsidRPr="00520273">
        <w:rPr>
          <w:rFonts w:cs="Arial"/>
          <w:szCs w:val="22"/>
          <w:lang w:val="en-US"/>
        </w:rPr>
        <w:t xml:space="preserve">Ipsos MORI (2010) </w:t>
      </w:r>
      <w:r w:rsidRPr="00C20D5D">
        <w:rPr>
          <w:rFonts w:cs="Arial"/>
          <w:i/>
          <w:szCs w:val="22"/>
          <w:lang w:val="en-US"/>
        </w:rPr>
        <w:t>People and Places: public attitudes to beauty</w:t>
      </w:r>
      <w:r w:rsidRPr="00520273">
        <w:rPr>
          <w:rFonts w:cs="Arial"/>
          <w:szCs w:val="22"/>
          <w:lang w:val="en-US"/>
        </w:rPr>
        <w:t>, CABE</w:t>
      </w:r>
    </w:p>
    <w:p w14:paraId="40CE90C5" w14:textId="3C8D5D5D" w:rsidR="000F203F" w:rsidRPr="00520273" w:rsidRDefault="000F203F" w:rsidP="00ED2B2F">
      <w:pPr>
        <w:spacing w:line="276" w:lineRule="auto"/>
        <w:rPr>
          <w:rFonts w:cs="Arial"/>
          <w:szCs w:val="22"/>
          <w:lang w:val="en-US"/>
        </w:rPr>
      </w:pPr>
      <w:proofErr w:type="gramStart"/>
      <w:r w:rsidRPr="00520273">
        <w:rPr>
          <w:rFonts w:cs="Arial"/>
          <w:szCs w:val="22"/>
          <w:lang w:val="en-US"/>
        </w:rPr>
        <w:t>Jermyn, H. (2001)</w:t>
      </w:r>
      <w:r w:rsidR="00C20D5D">
        <w:rPr>
          <w:rFonts w:cs="Arial"/>
          <w:szCs w:val="22"/>
          <w:lang w:val="en-US"/>
        </w:rPr>
        <w:t xml:space="preserve"> </w:t>
      </w:r>
      <w:r w:rsidRPr="002D625F">
        <w:rPr>
          <w:rFonts w:cs="Arial"/>
          <w:i/>
          <w:szCs w:val="22"/>
          <w:lang w:val="en-US"/>
        </w:rPr>
        <w:t>The Arts and Social Exclusion.</w:t>
      </w:r>
      <w:proofErr w:type="gramEnd"/>
      <w:r w:rsidRPr="002D625F">
        <w:rPr>
          <w:rFonts w:cs="Arial"/>
          <w:i/>
          <w:szCs w:val="22"/>
          <w:lang w:val="en-US"/>
        </w:rPr>
        <w:t xml:space="preserve"> A review</w:t>
      </w:r>
      <w:r w:rsidRPr="00520273">
        <w:rPr>
          <w:rFonts w:cs="Arial"/>
          <w:szCs w:val="22"/>
          <w:lang w:val="en-US"/>
        </w:rPr>
        <w:t>. London: Arts Council of England</w:t>
      </w:r>
    </w:p>
    <w:p w14:paraId="13C4155B" w14:textId="77777777" w:rsidR="000F203F" w:rsidRPr="00520273" w:rsidRDefault="000F203F" w:rsidP="00ED2B2F">
      <w:pPr>
        <w:spacing w:line="276" w:lineRule="auto"/>
        <w:rPr>
          <w:rFonts w:cs="Arial"/>
          <w:szCs w:val="22"/>
          <w:lang w:val="en-US"/>
        </w:rPr>
      </w:pPr>
      <w:r w:rsidRPr="00520273">
        <w:rPr>
          <w:rFonts w:cs="Arial"/>
          <w:szCs w:val="22"/>
          <w:lang w:val="en-US"/>
        </w:rPr>
        <w:t xml:space="preserve">Jermyn, J. (ed) (2000) </w:t>
      </w:r>
      <w:r w:rsidRPr="002D625F">
        <w:rPr>
          <w:rFonts w:cs="Arial"/>
          <w:i/>
          <w:szCs w:val="22"/>
          <w:lang w:val="en-US"/>
        </w:rPr>
        <w:t>Placing Art in New Contexts: summary of a report to the Arts Council of England</w:t>
      </w:r>
      <w:r w:rsidRPr="00520273">
        <w:rPr>
          <w:rFonts w:cs="Arial"/>
          <w:szCs w:val="22"/>
          <w:lang w:val="en-US"/>
        </w:rPr>
        <w:t xml:space="preserve">. </w:t>
      </w:r>
      <w:proofErr w:type="gramStart"/>
      <w:r w:rsidRPr="00520273">
        <w:rPr>
          <w:rFonts w:cs="Arial"/>
          <w:szCs w:val="22"/>
          <w:lang w:val="en-US"/>
        </w:rPr>
        <w:t>ACE Research Report No.19.</w:t>
      </w:r>
      <w:proofErr w:type="gramEnd"/>
      <w:r w:rsidRPr="00520273">
        <w:rPr>
          <w:rFonts w:cs="Arial"/>
          <w:szCs w:val="22"/>
          <w:lang w:val="en-US"/>
        </w:rPr>
        <w:t xml:space="preserve"> London: Arts Council of England</w:t>
      </w:r>
    </w:p>
    <w:p w14:paraId="51D4BE75" w14:textId="77777777" w:rsidR="000F203F" w:rsidRPr="00520273" w:rsidRDefault="000F203F" w:rsidP="00ED2B2F">
      <w:pPr>
        <w:spacing w:line="276" w:lineRule="auto"/>
        <w:rPr>
          <w:rFonts w:cs="Arial"/>
          <w:szCs w:val="22"/>
          <w:lang w:val="en-US"/>
        </w:rPr>
      </w:pPr>
      <w:r w:rsidRPr="00520273">
        <w:rPr>
          <w:rFonts w:cs="Arial"/>
          <w:szCs w:val="22"/>
          <w:lang w:val="en-US"/>
        </w:rPr>
        <w:t xml:space="preserve">Jones, K., Lea, T., Sharpe, D., Jones, T. and Harvey, S. (2003) </w:t>
      </w:r>
      <w:r w:rsidRPr="002D625F">
        <w:rPr>
          <w:rFonts w:cs="Arial"/>
          <w:i/>
          <w:szCs w:val="22"/>
          <w:lang w:val="en-US"/>
        </w:rPr>
        <w:t>Beyond Anecdotal Evidence: The Spillover Effects of Investments in Cultural Facilities</w:t>
      </w:r>
      <w:r w:rsidRPr="00520273">
        <w:rPr>
          <w:rFonts w:cs="Arial"/>
          <w:szCs w:val="22"/>
          <w:lang w:val="en-US"/>
        </w:rPr>
        <w:t>. Toronto: Ryerson University</w:t>
      </w:r>
    </w:p>
    <w:p w14:paraId="086C5BC0" w14:textId="77777777" w:rsidR="000F203F" w:rsidRPr="00520273" w:rsidRDefault="000F203F" w:rsidP="00ED2B2F">
      <w:pPr>
        <w:spacing w:line="276" w:lineRule="auto"/>
        <w:rPr>
          <w:rFonts w:cs="Arial"/>
          <w:szCs w:val="22"/>
          <w:lang w:val="en-US"/>
        </w:rPr>
      </w:pPr>
      <w:r w:rsidRPr="00520273">
        <w:rPr>
          <w:rFonts w:cs="Arial"/>
          <w:szCs w:val="22"/>
          <w:lang w:val="en-US"/>
        </w:rPr>
        <w:t xml:space="preserve">Jura Consultants (2005) </w:t>
      </w:r>
      <w:r w:rsidRPr="002D625F">
        <w:rPr>
          <w:rFonts w:cs="Arial"/>
          <w:i/>
          <w:szCs w:val="22"/>
          <w:lang w:val="en-US"/>
        </w:rPr>
        <w:t>Bolton Museum, Library &amp; Archives Services: An Economic Valuation for Bolton Council and MLA North West</w:t>
      </w:r>
    </w:p>
    <w:p w14:paraId="228728EF" w14:textId="77777777" w:rsidR="000F203F" w:rsidRPr="00520273" w:rsidRDefault="000F203F" w:rsidP="00ED2B2F">
      <w:pPr>
        <w:spacing w:line="276" w:lineRule="auto"/>
        <w:rPr>
          <w:rFonts w:cs="Arial"/>
          <w:szCs w:val="22"/>
          <w:lang w:val="en-US"/>
        </w:rPr>
      </w:pPr>
      <w:r w:rsidRPr="00520273">
        <w:rPr>
          <w:rFonts w:cs="Arial"/>
          <w:szCs w:val="22"/>
          <w:lang w:val="en-US"/>
        </w:rPr>
        <w:t>Kloosterman, R</w:t>
      </w:r>
      <w:proofErr w:type="gramStart"/>
      <w:r w:rsidRPr="00520273">
        <w:rPr>
          <w:rFonts w:cs="Arial"/>
          <w:szCs w:val="22"/>
          <w:lang w:val="en-US"/>
        </w:rPr>
        <w:t>.(</w:t>
      </w:r>
      <w:proofErr w:type="gramEnd"/>
      <w:r w:rsidRPr="00520273">
        <w:rPr>
          <w:rFonts w:cs="Arial"/>
          <w:szCs w:val="22"/>
          <w:lang w:val="en-US"/>
        </w:rPr>
        <w:t xml:space="preserve">2013) Cultural Amenities: Large and Small, Mainstream and Niche – A Conceptual Framework for Cultural Planning in an Age of Austerity, </w:t>
      </w:r>
      <w:r w:rsidRPr="002D625F">
        <w:rPr>
          <w:rFonts w:cs="Arial"/>
          <w:i/>
          <w:szCs w:val="22"/>
          <w:lang w:val="en-US"/>
        </w:rPr>
        <w:t>European Planning Studies</w:t>
      </w:r>
      <w:r w:rsidRPr="00520273">
        <w:rPr>
          <w:rFonts w:cs="Arial"/>
          <w:szCs w:val="22"/>
          <w:lang w:val="en-US"/>
        </w:rPr>
        <w:t>, pp.16</w:t>
      </w:r>
    </w:p>
    <w:p w14:paraId="6EBF9792" w14:textId="77777777" w:rsidR="000F203F" w:rsidRPr="00520273" w:rsidRDefault="000F203F" w:rsidP="00ED2B2F">
      <w:pPr>
        <w:spacing w:line="276" w:lineRule="auto"/>
        <w:rPr>
          <w:rFonts w:cs="Arial"/>
          <w:szCs w:val="22"/>
          <w:lang w:val="en-US"/>
        </w:rPr>
      </w:pPr>
      <w:r w:rsidRPr="00520273">
        <w:rPr>
          <w:rFonts w:cs="Arial"/>
          <w:szCs w:val="22"/>
          <w:lang w:val="en-US"/>
        </w:rPr>
        <w:t xml:space="preserve">LDA (2003) </w:t>
      </w:r>
      <w:r w:rsidRPr="002D625F">
        <w:rPr>
          <w:rFonts w:cs="Arial"/>
          <w:i/>
          <w:szCs w:val="22"/>
          <w:lang w:val="en-US"/>
        </w:rPr>
        <w:t>Creative London: Vision and Plan</w:t>
      </w:r>
      <w:r w:rsidRPr="00520273">
        <w:rPr>
          <w:rFonts w:cs="Arial"/>
          <w:szCs w:val="22"/>
          <w:lang w:val="en-US"/>
        </w:rPr>
        <w:t>. London: London Development Agency</w:t>
      </w:r>
    </w:p>
    <w:p w14:paraId="30505377" w14:textId="77777777" w:rsidR="000F203F" w:rsidRPr="00520273" w:rsidRDefault="000F203F" w:rsidP="00ED2B2F">
      <w:pPr>
        <w:spacing w:line="276" w:lineRule="auto"/>
        <w:rPr>
          <w:rFonts w:cs="Arial"/>
          <w:szCs w:val="22"/>
          <w:lang w:val="en-US"/>
        </w:rPr>
      </w:pPr>
      <w:r w:rsidRPr="00520273">
        <w:rPr>
          <w:rFonts w:cs="Arial"/>
          <w:szCs w:val="22"/>
          <w:lang w:val="en-US"/>
        </w:rPr>
        <w:t xml:space="preserve">LIRC (Leisure Industries Research Centre) (1997) </w:t>
      </w:r>
      <w:r w:rsidRPr="002D625F">
        <w:rPr>
          <w:rFonts w:cs="Arial"/>
          <w:i/>
          <w:szCs w:val="22"/>
          <w:lang w:val="en-US"/>
        </w:rPr>
        <w:t>A review of the economic impact of sport in the United Kingdom (Final Report)</w:t>
      </w:r>
      <w:r w:rsidRPr="00520273">
        <w:rPr>
          <w:rFonts w:cs="Arial"/>
          <w:szCs w:val="22"/>
          <w:lang w:val="en-US"/>
        </w:rPr>
        <w:t>. London: The Sports Council</w:t>
      </w:r>
    </w:p>
    <w:p w14:paraId="2CCF1EFB" w14:textId="77777777" w:rsidR="000F203F" w:rsidRPr="00520273" w:rsidRDefault="000F203F" w:rsidP="00ED2B2F">
      <w:pPr>
        <w:spacing w:line="276" w:lineRule="auto"/>
        <w:rPr>
          <w:rFonts w:cs="Arial"/>
          <w:szCs w:val="22"/>
          <w:lang w:val="en-US"/>
        </w:rPr>
      </w:pPr>
      <w:r w:rsidRPr="00520273">
        <w:rPr>
          <w:rFonts w:cs="Arial"/>
          <w:szCs w:val="22"/>
          <w:lang w:val="en-US"/>
        </w:rPr>
        <w:t xml:space="preserve">Lorenzen, M. and Andersen, K.V. (2007) </w:t>
      </w:r>
      <w:r w:rsidRPr="002D625F">
        <w:rPr>
          <w:rFonts w:cs="Arial"/>
          <w:i/>
          <w:szCs w:val="22"/>
          <w:lang w:val="en-US"/>
        </w:rPr>
        <w:t>The Geography of the European Creative Class: A Rank Size Analysis</w:t>
      </w:r>
      <w:r w:rsidRPr="00520273">
        <w:rPr>
          <w:rFonts w:cs="Arial"/>
          <w:szCs w:val="22"/>
          <w:lang w:val="en-US"/>
        </w:rPr>
        <w:t xml:space="preserve">. </w:t>
      </w:r>
      <w:proofErr w:type="gramStart"/>
      <w:r w:rsidRPr="00520273">
        <w:rPr>
          <w:rFonts w:cs="Arial"/>
          <w:szCs w:val="22"/>
          <w:lang w:val="en-US"/>
        </w:rPr>
        <w:t>DRUID Working Paper 07-1.</w:t>
      </w:r>
      <w:proofErr w:type="gramEnd"/>
      <w:r w:rsidRPr="00520273">
        <w:rPr>
          <w:rFonts w:cs="Arial"/>
          <w:szCs w:val="22"/>
          <w:lang w:val="en-US"/>
        </w:rPr>
        <w:t xml:space="preserve"> </w:t>
      </w:r>
      <w:hyperlink r:id="rId32" w:history="1">
        <w:r w:rsidRPr="00520273">
          <w:rPr>
            <w:rFonts w:cs="Arial"/>
            <w:szCs w:val="22"/>
            <w:lang w:val="en-US"/>
          </w:rPr>
          <w:t>www.druid.dk</w:t>
        </w:r>
      </w:hyperlink>
    </w:p>
    <w:p w14:paraId="20E44247" w14:textId="77777777" w:rsidR="000F203F" w:rsidRPr="00520273" w:rsidRDefault="000F203F" w:rsidP="00ED2B2F">
      <w:pPr>
        <w:spacing w:line="276" w:lineRule="auto"/>
        <w:rPr>
          <w:rFonts w:cs="Arial"/>
          <w:szCs w:val="22"/>
          <w:lang w:val="en-US"/>
        </w:rPr>
      </w:pPr>
      <w:proofErr w:type="gramStart"/>
      <w:r w:rsidRPr="00520273">
        <w:rPr>
          <w:rFonts w:cs="Arial"/>
          <w:szCs w:val="22"/>
          <w:lang w:val="en-US"/>
        </w:rPr>
        <w:t xml:space="preserve">LSE (2012) </w:t>
      </w:r>
      <w:r w:rsidRPr="002D625F">
        <w:rPr>
          <w:rFonts w:cs="Arial"/>
          <w:i/>
          <w:szCs w:val="22"/>
          <w:lang w:val="en-US"/>
        </w:rPr>
        <w:t>An assessment of the effects of conservation areas on value</w:t>
      </w:r>
      <w:r w:rsidRPr="00520273">
        <w:rPr>
          <w:rFonts w:cs="Arial"/>
          <w:szCs w:val="22"/>
          <w:lang w:val="en-US"/>
        </w:rPr>
        <w:t>.</w:t>
      </w:r>
      <w:proofErr w:type="gramEnd"/>
      <w:r w:rsidRPr="00520273">
        <w:rPr>
          <w:rFonts w:cs="Arial"/>
          <w:szCs w:val="22"/>
          <w:lang w:val="en-US"/>
        </w:rPr>
        <w:t xml:space="preserve"> London: English Heritage</w:t>
      </w:r>
    </w:p>
    <w:p w14:paraId="7F17599D" w14:textId="2D0C0A38" w:rsidR="000F203F" w:rsidRPr="00520273" w:rsidRDefault="000F203F" w:rsidP="00ED2B2F">
      <w:pPr>
        <w:spacing w:line="276" w:lineRule="auto"/>
        <w:rPr>
          <w:rFonts w:cs="Arial"/>
          <w:szCs w:val="22"/>
          <w:lang w:val="en-US"/>
        </w:rPr>
      </w:pPr>
      <w:r w:rsidRPr="00520273">
        <w:rPr>
          <w:rFonts w:cs="Arial"/>
          <w:szCs w:val="22"/>
          <w:lang w:val="en-US"/>
        </w:rPr>
        <w:t xml:space="preserve">Markusen, A. and Schrock, G. (2006) The Artistic Dividend: Urban Artistic Specialisation and Economic Development Implications, </w:t>
      </w:r>
      <w:r w:rsidRPr="002D625F">
        <w:rPr>
          <w:rFonts w:cs="Arial"/>
          <w:i/>
          <w:szCs w:val="22"/>
          <w:lang w:val="en-US"/>
        </w:rPr>
        <w:t>Urban Studies</w:t>
      </w:r>
      <w:r w:rsidRPr="00520273">
        <w:rPr>
          <w:rFonts w:cs="Arial"/>
          <w:szCs w:val="22"/>
          <w:lang w:val="en-US"/>
        </w:rPr>
        <w:t>, 43(10): 1661</w:t>
      </w:r>
      <w:r w:rsidR="00E10960">
        <w:rPr>
          <w:rFonts w:cs="Arial"/>
          <w:szCs w:val="22"/>
        </w:rPr>
        <w:t>–</w:t>
      </w:r>
      <w:r w:rsidRPr="00520273">
        <w:rPr>
          <w:rFonts w:cs="Arial"/>
          <w:szCs w:val="22"/>
          <w:lang w:val="en-US"/>
        </w:rPr>
        <w:t>1686</w:t>
      </w:r>
    </w:p>
    <w:p w14:paraId="51A553F0" w14:textId="77777777" w:rsidR="000F203F" w:rsidRPr="00520273" w:rsidRDefault="000F203F" w:rsidP="00ED2B2F">
      <w:pPr>
        <w:spacing w:line="276" w:lineRule="auto"/>
        <w:rPr>
          <w:rFonts w:cs="Arial"/>
          <w:szCs w:val="22"/>
          <w:lang w:val="en-US"/>
        </w:rPr>
      </w:pPr>
      <w:proofErr w:type="gramStart"/>
      <w:r w:rsidRPr="00520273">
        <w:rPr>
          <w:rFonts w:cs="Arial"/>
          <w:szCs w:val="22"/>
          <w:lang w:val="en-US"/>
        </w:rPr>
        <w:t>Markusen, A., Gadwa, A., Barbour, E. (2013) The Arts, Consumption and Innovation in Regional Development.</w:t>
      </w:r>
      <w:proofErr w:type="gramEnd"/>
      <w:r w:rsidRPr="00520273">
        <w:rPr>
          <w:rFonts w:cs="Arial"/>
          <w:szCs w:val="22"/>
          <w:lang w:val="en-US"/>
        </w:rPr>
        <w:t xml:space="preserve"> </w:t>
      </w:r>
      <w:proofErr w:type="gramStart"/>
      <w:r w:rsidRPr="00520273">
        <w:rPr>
          <w:rFonts w:cs="Arial"/>
          <w:szCs w:val="22"/>
          <w:lang w:val="en-US"/>
        </w:rPr>
        <w:t xml:space="preserve">In </w:t>
      </w:r>
      <w:r w:rsidRPr="002D625F">
        <w:rPr>
          <w:rFonts w:cs="Arial"/>
          <w:i/>
          <w:szCs w:val="22"/>
          <w:lang w:val="en-US"/>
        </w:rPr>
        <w:t>Creative Communities: Art Works in Economic Development</w:t>
      </w:r>
      <w:r w:rsidRPr="00520273">
        <w:rPr>
          <w:rFonts w:cs="Arial"/>
          <w:szCs w:val="22"/>
          <w:lang w:val="en-US"/>
        </w:rPr>
        <w:t xml:space="preserve"> (M.Rushton, ed).</w:t>
      </w:r>
      <w:proofErr w:type="gramEnd"/>
      <w:r w:rsidRPr="00520273">
        <w:rPr>
          <w:rFonts w:cs="Arial"/>
          <w:szCs w:val="22"/>
          <w:lang w:val="en-US"/>
        </w:rPr>
        <w:t xml:space="preserve"> Washington DC: Brookings Institution</w:t>
      </w:r>
    </w:p>
    <w:p w14:paraId="54D0D38D" w14:textId="0994B39E" w:rsidR="000F203F" w:rsidRPr="00520273" w:rsidRDefault="000F203F" w:rsidP="00ED2B2F">
      <w:pPr>
        <w:spacing w:line="276" w:lineRule="auto"/>
        <w:rPr>
          <w:rFonts w:cs="Arial"/>
          <w:szCs w:val="22"/>
          <w:lang w:val="en-US"/>
        </w:rPr>
      </w:pPr>
      <w:r w:rsidRPr="00520273">
        <w:rPr>
          <w:rFonts w:cs="Arial"/>
          <w:szCs w:val="22"/>
          <w:lang w:val="en-US"/>
        </w:rPr>
        <w:t xml:space="preserve">Marlet, G. and Woerkens, C. </w:t>
      </w:r>
      <w:proofErr w:type="gramStart"/>
      <w:r w:rsidRPr="00520273">
        <w:rPr>
          <w:rFonts w:cs="Arial"/>
          <w:szCs w:val="22"/>
          <w:lang w:val="en-US"/>
        </w:rPr>
        <w:t>van</w:t>
      </w:r>
      <w:proofErr w:type="gramEnd"/>
      <w:r w:rsidRPr="00520273">
        <w:rPr>
          <w:rFonts w:cs="Arial"/>
          <w:szCs w:val="22"/>
          <w:lang w:val="en-US"/>
        </w:rPr>
        <w:t xml:space="preserve"> (2005) </w:t>
      </w:r>
      <w:r w:rsidRPr="002D625F">
        <w:rPr>
          <w:rFonts w:cs="Arial"/>
          <w:i/>
          <w:szCs w:val="22"/>
          <w:lang w:val="en-US"/>
        </w:rPr>
        <w:t xml:space="preserve">Tolerance, aesthetics, amenities or jobs? </w:t>
      </w:r>
      <w:proofErr w:type="gramStart"/>
      <w:r w:rsidRPr="002D625F">
        <w:rPr>
          <w:rFonts w:cs="Arial"/>
          <w:i/>
          <w:szCs w:val="22"/>
          <w:lang w:val="en-US"/>
        </w:rPr>
        <w:t>Dutch city attraction</w:t>
      </w:r>
      <w:r w:rsidR="00DC5A69" w:rsidRPr="002D625F">
        <w:rPr>
          <w:rFonts w:cs="Arial"/>
          <w:i/>
          <w:szCs w:val="22"/>
          <w:lang w:val="en-US"/>
        </w:rPr>
        <w:t xml:space="preserve"> </w:t>
      </w:r>
      <w:r w:rsidRPr="002D625F">
        <w:rPr>
          <w:rFonts w:cs="Arial"/>
          <w:i/>
          <w:szCs w:val="22"/>
          <w:lang w:val="en-US"/>
        </w:rPr>
        <w:t>to the creative class</w:t>
      </w:r>
      <w:r w:rsidRPr="00520273">
        <w:rPr>
          <w:rFonts w:cs="Arial"/>
          <w:szCs w:val="22"/>
          <w:lang w:val="en-US"/>
        </w:rPr>
        <w:t>.</w:t>
      </w:r>
      <w:proofErr w:type="gramEnd"/>
      <w:r w:rsidRPr="00520273">
        <w:rPr>
          <w:rFonts w:cs="Arial"/>
          <w:szCs w:val="22"/>
          <w:lang w:val="en-US"/>
        </w:rPr>
        <w:t xml:space="preserve"> Discussion Paper Series No. 05-33, Tjalling C. Koopmans Research Institute, Utrecht</w:t>
      </w:r>
    </w:p>
    <w:p w14:paraId="357F6DCB" w14:textId="5025E4A2" w:rsidR="000F203F" w:rsidRPr="00520273" w:rsidRDefault="000F203F" w:rsidP="00ED2B2F">
      <w:pPr>
        <w:spacing w:line="276" w:lineRule="auto"/>
        <w:rPr>
          <w:rFonts w:cs="Arial"/>
          <w:szCs w:val="22"/>
          <w:lang w:val="en-US"/>
        </w:rPr>
      </w:pPr>
      <w:r w:rsidRPr="00520273">
        <w:rPr>
          <w:rFonts w:cs="Arial"/>
          <w:szCs w:val="22"/>
          <w:lang w:val="en-US"/>
        </w:rPr>
        <w:t xml:space="preserve">Matarasso, F. (1999) </w:t>
      </w:r>
      <w:r w:rsidRPr="002D625F">
        <w:rPr>
          <w:rFonts w:cs="Arial"/>
          <w:i/>
          <w:szCs w:val="22"/>
          <w:lang w:val="en-US"/>
        </w:rPr>
        <w:t>Towards a Local Culture Index: Measuring the Cultural Vitality of Communities</w:t>
      </w:r>
      <w:r w:rsidRPr="00520273">
        <w:rPr>
          <w:rFonts w:cs="Arial"/>
          <w:szCs w:val="22"/>
          <w:lang w:val="en-US"/>
        </w:rPr>
        <w:t>. Stroud: Comedia</w:t>
      </w:r>
    </w:p>
    <w:p w14:paraId="49D35DE0" w14:textId="58C10972" w:rsidR="000F203F" w:rsidRPr="00520273" w:rsidRDefault="000F203F" w:rsidP="00ED2B2F">
      <w:pPr>
        <w:spacing w:line="276" w:lineRule="auto"/>
        <w:rPr>
          <w:rFonts w:cs="Arial"/>
          <w:szCs w:val="22"/>
          <w:lang w:val="en-US"/>
        </w:rPr>
      </w:pPr>
      <w:r w:rsidRPr="00520273">
        <w:rPr>
          <w:rFonts w:cs="Arial"/>
          <w:szCs w:val="22"/>
          <w:lang w:val="en-US"/>
        </w:rPr>
        <w:t xml:space="preserve">Meijers, E. (2008) Summing Small Cities Does Not Make a Large City: Polycentric Urban Regions and the Provision of Cultural, </w:t>
      </w:r>
      <w:r w:rsidRPr="002D625F">
        <w:rPr>
          <w:rFonts w:cs="Arial"/>
          <w:i/>
          <w:szCs w:val="22"/>
          <w:lang w:val="en-US"/>
        </w:rPr>
        <w:t>Leisure and Sports Amenities Urban Studies</w:t>
      </w:r>
      <w:r w:rsidRPr="00520273">
        <w:rPr>
          <w:rFonts w:cs="Arial"/>
          <w:szCs w:val="22"/>
          <w:lang w:val="en-US"/>
        </w:rPr>
        <w:t xml:space="preserve"> 45(11), 2323</w:t>
      </w:r>
      <w:r w:rsidR="00E10960">
        <w:rPr>
          <w:rFonts w:cs="Arial"/>
          <w:szCs w:val="22"/>
        </w:rPr>
        <w:t>–</w:t>
      </w:r>
      <w:r w:rsidRPr="00520273">
        <w:rPr>
          <w:rFonts w:cs="Arial"/>
          <w:szCs w:val="22"/>
          <w:lang w:val="en-US"/>
        </w:rPr>
        <w:t>42</w:t>
      </w:r>
    </w:p>
    <w:p w14:paraId="4625DFFF" w14:textId="00943827" w:rsidR="000F203F" w:rsidRPr="00520273" w:rsidRDefault="000F203F" w:rsidP="00ED2B2F">
      <w:pPr>
        <w:spacing w:line="276" w:lineRule="auto"/>
        <w:rPr>
          <w:rFonts w:cs="Arial"/>
          <w:szCs w:val="22"/>
          <w:lang w:val="en-US"/>
        </w:rPr>
      </w:pPr>
      <w:r w:rsidRPr="00520273">
        <w:rPr>
          <w:rFonts w:cs="Arial"/>
          <w:szCs w:val="22"/>
          <w:lang w:val="en-US"/>
        </w:rPr>
        <w:t xml:space="preserve">Molotoch, H. and Treskon, M. (2009) Changing Art: SoHo, Chelsea and the Dynamic Geography of Galleries in New York City, </w:t>
      </w:r>
      <w:r w:rsidRPr="002D625F">
        <w:rPr>
          <w:rFonts w:cs="Arial"/>
          <w:i/>
          <w:szCs w:val="22"/>
          <w:lang w:val="en-US"/>
        </w:rPr>
        <w:t>International Journal of Urban and Regional Research</w:t>
      </w:r>
      <w:r w:rsidRPr="00520273">
        <w:rPr>
          <w:rFonts w:cs="Arial"/>
          <w:szCs w:val="22"/>
          <w:lang w:val="en-US"/>
        </w:rPr>
        <w:t>, 33(2): 517</w:t>
      </w:r>
      <w:r w:rsidR="00E10960">
        <w:rPr>
          <w:rFonts w:cs="Arial"/>
          <w:szCs w:val="22"/>
        </w:rPr>
        <w:t>–</w:t>
      </w:r>
      <w:r w:rsidRPr="00520273">
        <w:rPr>
          <w:rFonts w:cs="Arial"/>
          <w:szCs w:val="22"/>
          <w:lang w:val="en-US"/>
        </w:rPr>
        <w:t>541</w:t>
      </w:r>
    </w:p>
    <w:p w14:paraId="658E1C65" w14:textId="2B40B503" w:rsidR="009640D5" w:rsidRDefault="009640D5" w:rsidP="00ED2B2F">
      <w:pPr>
        <w:spacing w:line="276" w:lineRule="auto"/>
        <w:rPr>
          <w:rFonts w:cs="Arial"/>
          <w:szCs w:val="22"/>
          <w:lang w:val="en-US"/>
        </w:rPr>
      </w:pPr>
      <w:r>
        <w:rPr>
          <w:rFonts w:cs="Arial"/>
          <w:szCs w:val="22"/>
          <w:lang w:val="en-US"/>
        </w:rPr>
        <w:t xml:space="preserve">Morris, Hargreaves, McIntyre (2009) </w:t>
      </w:r>
      <w:r w:rsidRPr="009640D5">
        <w:rPr>
          <w:rFonts w:cs="Arial"/>
          <w:i/>
          <w:szCs w:val="22"/>
          <w:lang w:val="en-US"/>
        </w:rPr>
        <w:t>Cultural impact study</w:t>
      </w:r>
      <w:r>
        <w:rPr>
          <w:rFonts w:cs="Arial"/>
          <w:i/>
          <w:szCs w:val="22"/>
          <w:lang w:val="en-US"/>
        </w:rPr>
        <w:t>- the impact of the arts in Birmingham</w:t>
      </w:r>
    </w:p>
    <w:p w14:paraId="7976D77E" w14:textId="77777777" w:rsidR="000F203F" w:rsidRPr="00520273" w:rsidRDefault="000F203F" w:rsidP="00ED2B2F">
      <w:pPr>
        <w:spacing w:line="276" w:lineRule="auto"/>
        <w:rPr>
          <w:rFonts w:cs="Arial"/>
          <w:szCs w:val="22"/>
          <w:lang w:val="en-US"/>
        </w:rPr>
      </w:pPr>
      <w:r w:rsidRPr="00520273">
        <w:rPr>
          <w:rFonts w:cs="Arial"/>
          <w:szCs w:val="22"/>
          <w:lang w:val="en-US"/>
        </w:rPr>
        <w:t xml:space="preserve">Myerscough, J. (1988) </w:t>
      </w:r>
      <w:r w:rsidRPr="002D625F">
        <w:rPr>
          <w:rFonts w:cs="Arial"/>
          <w:i/>
          <w:szCs w:val="22"/>
          <w:lang w:val="en-US"/>
        </w:rPr>
        <w:t>The Economic Importance of the Arts in GB</w:t>
      </w:r>
      <w:r w:rsidRPr="00520273">
        <w:rPr>
          <w:rFonts w:cs="Arial"/>
          <w:szCs w:val="22"/>
          <w:lang w:val="en-US"/>
        </w:rPr>
        <w:t>, Policy Studies Institute, London</w:t>
      </w:r>
    </w:p>
    <w:p w14:paraId="335F69C7" w14:textId="77777777" w:rsidR="000F203F" w:rsidRPr="00520273" w:rsidRDefault="000F203F" w:rsidP="00ED2B2F">
      <w:pPr>
        <w:spacing w:line="276" w:lineRule="auto"/>
        <w:rPr>
          <w:rFonts w:cs="Arial"/>
          <w:szCs w:val="22"/>
          <w:lang w:val="en-US"/>
        </w:rPr>
      </w:pPr>
      <w:proofErr w:type="gramStart"/>
      <w:r w:rsidRPr="00520273">
        <w:rPr>
          <w:rFonts w:cs="Arial"/>
          <w:szCs w:val="22"/>
          <w:lang w:val="en-US"/>
        </w:rPr>
        <w:t xml:space="preserve">NEA (2010) </w:t>
      </w:r>
      <w:r w:rsidRPr="002D625F">
        <w:rPr>
          <w:rFonts w:cs="Arial"/>
          <w:i/>
          <w:szCs w:val="22"/>
          <w:lang w:val="en-US"/>
        </w:rPr>
        <w:t>Economic Analysis of Cultural Services</w:t>
      </w:r>
      <w:r w:rsidRPr="00520273">
        <w:rPr>
          <w:rFonts w:cs="Arial"/>
          <w:szCs w:val="22"/>
          <w:lang w:val="en-US"/>
        </w:rPr>
        <w:t>.</w:t>
      </w:r>
      <w:proofErr w:type="gramEnd"/>
      <w:r w:rsidRPr="00520273">
        <w:rPr>
          <w:rFonts w:cs="Arial"/>
          <w:szCs w:val="22"/>
          <w:lang w:val="en-US"/>
        </w:rPr>
        <w:t xml:space="preserve"> Executive Summary, December </w:t>
      </w:r>
    </w:p>
    <w:p w14:paraId="6B4F851E" w14:textId="77777777" w:rsidR="000F203F" w:rsidRPr="00520273" w:rsidRDefault="000F203F" w:rsidP="00ED2B2F">
      <w:pPr>
        <w:spacing w:line="276" w:lineRule="auto"/>
        <w:rPr>
          <w:rFonts w:cs="Arial"/>
          <w:szCs w:val="22"/>
          <w:lang w:val="en-US"/>
        </w:rPr>
      </w:pPr>
      <w:r w:rsidRPr="00520273">
        <w:rPr>
          <w:rFonts w:cs="Arial"/>
          <w:szCs w:val="22"/>
          <w:lang w:val="en-US"/>
        </w:rPr>
        <w:t xml:space="preserve">NEA (2011a) </w:t>
      </w:r>
      <w:r w:rsidRPr="002D625F">
        <w:rPr>
          <w:rFonts w:cs="Arial"/>
          <w:i/>
          <w:szCs w:val="22"/>
          <w:lang w:val="en-US"/>
        </w:rPr>
        <w:t>Economic Analysis of Cultural Services, Executive Summary; Final Report</w:t>
      </w:r>
      <w:r w:rsidRPr="00520273">
        <w:rPr>
          <w:rFonts w:cs="Arial"/>
          <w:szCs w:val="22"/>
          <w:lang w:val="en-US"/>
        </w:rPr>
        <w:t>, Mourato et al.</w:t>
      </w:r>
    </w:p>
    <w:p w14:paraId="392B9B1C" w14:textId="77777777" w:rsidR="000F203F" w:rsidRPr="00520273" w:rsidRDefault="000F203F" w:rsidP="00ED2B2F">
      <w:pPr>
        <w:spacing w:line="276" w:lineRule="auto"/>
        <w:rPr>
          <w:rFonts w:cs="Arial"/>
          <w:szCs w:val="22"/>
          <w:lang w:val="en-US"/>
        </w:rPr>
      </w:pPr>
      <w:r w:rsidRPr="00520273">
        <w:rPr>
          <w:rFonts w:cs="Arial"/>
          <w:szCs w:val="22"/>
          <w:lang w:val="en-US"/>
        </w:rPr>
        <w:t xml:space="preserve">NEA (2011b) </w:t>
      </w:r>
      <w:r w:rsidRPr="002D625F">
        <w:rPr>
          <w:rFonts w:cs="Arial"/>
          <w:i/>
          <w:szCs w:val="22"/>
          <w:lang w:val="en-US"/>
        </w:rPr>
        <w:t>National Ecosystems Assessment</w:t>
      </w:r>
      <w:r w:rsidRPr="00520273">
        <w:rPr>
          <w:rFonts w:cs="Arial"/>
          <w:szCs w:val="22"/>
          <w:lang w:val="en-US"/>
        </w:rPr>
        <w:t>. London, DEFRA</w:t>
      </w:r>
    </w:p>
    <w:p w14:paraId="300BC6C6" w14:textId="513AEC8F" w:rsidR="000F203F" w:rsidRPr="00520273" w:rsidRDefault="000F203F" w:rsidP="00ED2B2F">
      <w:pPr>
        <w:spacing w:line="276" w:lineRule="auto"/>
        <w:rPr>
          <w:rFonts w:cs="Arial"/>
          <w:szCs w:val="22"/>
          <w:lang w:val="en-US"/>
        </w:rPr>
      </w:pPr>
      <w:r w:rsidRPr="00520273">
        <w:rPr>
          <w:rFonts w:cs="Arial"/>
          <w:szCs w:val="22"/>
          <w:lang w:val="en-US"/>
        </w:rPr>
        <w:t xml:space="preserve">Noonan, D. (2003) Contingent Valuation and Cultural Resources: A Meta-Analytic Review of the Literature, </w:t>
      </w:r>
      <w:r w:rsidRPr="002D625F">
        <w:rPr>
          <w:rFonts w:cs="Arial"/>
          <w:i/>
          <w:szCs w:val="22"/>
          <w:lang w:val="en-US"/>
        </w:rPr>
        <w:t>Journal of Cultural Economics</w:t>
      </w:r>
      <w:r w:rsidRPr="00520273">
        <w:rPr>
          <w:rFonts w:cs="Arial"/>
          <w:szCs w:val="22"/>
          <w:lang w:val="en-US"/>
        </w:rPr>
        <w:t xml:space="preserve"> 27: 159</w:t>
      </w:r>
      <w:r w:rsidR="00E10960">
        <w:rPr>
          <w:rFonts w:cs="Arial"/>
          <w:szCs w:val="22"/>
        </w:rPr>
        <w:t>–</w:t>
      </w:r>
      <w:r w:rsidRPr="00520273">
        <w:rPr>
          <w:rFonts w:cs="Arial"/>
          <w:szCs w:val="22"/>
          <w:lang w:val="en-US"/>
        </w:rPr>
        <w:t>76</w:t>
      </w:r>
    </w:p>
    <w:p w14:paraId="6C824CDA" w14:textId="5C921339" w:rsidR="000F203F" w:rsidRPr="00520273" w:rsidRDefault="000F203F" w:rsidP="00ED2B2F">
      <w:pPr>
        <w:spacing w:line="276" w:lineRule="auto"/>
        <w:rPr>
          <w:rFonts w:cs="Arial"/>
          <w:szCs w:val="22"/>
          <w:lang w:val="en-US"/>
        </w:rPr>
      </w:pPr>
      <w:r w:rsidRPr="00520273">
        <w:rPr>
          <w:rFonts w:cs="Arial"/>
          <w:szCs w:val="22"/>
          <w:lang w:val="en-US"/>
        </w:rPr>
        <w:t xml:space="preserve">Noonan, D. (2013) How US Cultural Districts Shape Neighbourhoods, </w:t>
      </w:r>
      <w:r w:rsidRPr="002D625F">
        <w:rPr>
          <w:rFonts w:cs="Arial"/>
          <w:i/>
          <w:szCs w:val="22"/>
          <w:lang w:val="en-US"/>
        </w:rPr>
        <w:t>Cultural Trends</w:t>
      </w:r>
      <w:r w:rsidRPr="00520273">
        <w:rPr>
          <w:rFonts w:cs="Arial"/>
          <w:szCs w:val="22"/>
          <w:lang w:val="en-US"/>
        </w:rPr>
        <w:t>, 22(3-4): 203</w:t>
      </w:r>
      <w:r w:rsidR="00E10960">
        <w:rPr>
          <w:rFonts w:cs="Arial"/>
          <w:szCs w:val="22"/>
        </w:rPr>
        <w:t>–</w:t>
      </w:r>
      <w:r w:rsidRPr="00520273">
        <w:rPr>
          <w:rFonts w:cs="Arial"/>
          <w:szCs w:val="22"/>
          <w:lang w:val="en-US"/>
        </w:rPr>
        <w:t>212</w:t>
      </w:r>
    </w:p>
    <w:p w14:paraId="5579FF89" w14:textId="77777777" w:rsidR="000F203F" w:rsidRPr="00520273" w:rsidRDefault="000F203F" w:rsidP="00ED2B2F">
      <w:pPr>
        <w:spacing w:line="276" w:lineRule="auto"/>
        <w:rPr>
          <w:rFonts w:cs="Arial"/>
          <w:szCs w:val="22"/>
          <w:lang w:val="en-US"/>
        </w:rPr>
      </w:pPr>
      <w:r w:rsidRPr="00520273">
        <w:rPr>
          <w:rFonts w:cs="Arial"/>
          <w:szCs w:val="22"/>
          <w:lang w:val="en-US"/>
        </w:rPr>
        <w:t xml:space="preserve">Oxford Economics (2013) </w:t>
      </w:r>
      <w:r w:rsidRPr="002D625F">
        <w:rPr>
          <w:rFonts w:cs="Arial"/>
          <w:i/>
          <w:szCs w:val="22"/>
          <w:lang w:val="en-US"/>
        </w:rPr>
        <w:t>An assessment of the economic impact of heritage buildings</w:t>
      </w:r>
      <w:r w:rsidRPr="00520273">
        <w:rPr>
          <w:rFonts w:cs="Arial"/>
          <w:szCs w:val="22"/>
          <w:lang w:val="en-US"/>
        </w:rPr>
        <w:t>, Heritage Lottery Fund</w:t>
      </w:r>
    </w:p>
    <w:p w14:paraId="59BF45F4" w14:textId="77777777" w:rsidR="000F203F" w:rsidRPr="00520273" w:rsidRDefault="000F203F" w:rsidP="00ED2B2F">
      <w:pPr>
        <w:spacing w:line="276" w:lineRule="auto"/>
        <w:rPr>
          <w:rFonts w:cs="Arial"/>
          <w:szCs w:val="22"/>
          <w:lang w:val="en-US"/>
        </w:rPr>
      </w:pPr>
      <w:r w:rsidRPr="00520273">
        <w:rPr>
          <w:rFonts w:cs="Arial"/>
          <w:szCs w:val="22"/>
          <w:lang w:val="en-US"/>
        </w:rPr>
        <w:t>Pedroni</w:t>
      </w:r>
      <w:proofErr w:type="gramStart"/>
      <w:r w:rsidRPr="00520273">
        <w:rPr>
          <w:rFonts w:cs="Arial"/>
          <w:szCs w:val="22"/>
          <w:lang w:val="en-US"/>
        </w:rPr>
        <w:t>,,</w:t>
      </w:r>
      <w:proofErr w:type="gramEnd"/>
      <w:r w:rsidRPr="00520273">
        <w:rPr>
          <w:rFonts w:cs="Arial"/>
          <w:szCs w:val="22"/>
          <w:lang w:val="en-US"/>
        </w:rPr>
        <w:t xml:space="preserve"> P. and Sheppard, S. (2013) The Economic Consequences of Cultural Spending, In </w:t>
      </w:r>
      <w:r w:rsidRPr="002D625F">
        <w:rPr>
          <w:rFonts w:cs="Arial"/>
          <w:i/>
          <w:szCs w:val="22"/>
          <w:lang w:val="en-US"/>
        </w:rPr>
        <w:t>Creative Communities: Art Works in Economic Development</w:t>
      </w:r>
      <w:r w:rsidRPr="00520273">
        <w:rPr>
          <w:rFonts w:cs="Arial"/>
          <w:szCs w:val="22"/>
          <w:lang w:val="en-US"/>
        </w:rPr>
        <w:t xml:space="preserve"> (M.Rushton, ed). Washington DC: Brookings Institution</w:t>
      </w:r>
    </w:p>
    <w:p w14:paraId="7DC12340" w14:textId="77777777" w:rsidR="000F203F" w:rsidRPr="00520273" w:rsidRDefault="000F203F" w:rsidP="00ED2B2F">
      <w:pPr>
        <w:spacing w:line="276" w:lineRule="auto"/>
        <w:rPr>
          <w:rFonts w:cs="Arial"/>
          <w:szCs w:val="22"/>
          <w:lang w:val="en-US"/>
        </w:rPr>
      </w:pPr>
      <w:r w:rsidRPr="00520273">
        <w:rPr>
          <w:rFonts w:cs="Arial"/>
          <w:szCs w:val="22"/>
          <w:lang w:val="en-US"/>
        </w:rPr>
        <w:t xml:space="preserve">Plieninger, T., Dijks, S., Oteros-Rozas, E., &amp; Bieling, C. (2013) Assessing, mapping, and quantifying cultural ecosystem services at community level, </w:t>
      </w:r>
      <w:r w:rsidRPr="002D625F">
        <w:rPr>
          <w:rFonts w:cs="Arial"/>
          <w:i/>
          <w:szCs w:val="22"/>
          <w:lang w:val="en-US"/>
        </w:rPr>
        <w:t>Land Use Policy</w:t>
      </w:r>
      <w:r w:rsidRPr="00520273">
        <w:rPr>
          <w:rFonts w:cs="Arial"/>
          <w:szCs w:val="22"/>
          <w:lang w:val="en-US"/>
        </w:rPr>
        <w:t>, 33, 118–129</w:t>
      </w:r>
    </w:p>
    <w:p w14:paraId="3F46924C" w14:textId="77777777" w:rsidR="000F203F" w:rsidRPr="00520273" w:rsidRDefault="000F203F" w:rsidP="00ED2B2F">
      <w:pPr>
        <w:spacing w:line="276" w:lineRule="auto"/>
        <w:rPr>
          <w:rFonts w:cs="Arial"/>
          <w:szCs w:val="22"/>
          <w:lang w:val="en-US"/>
        </w:rPr>
      </w:pPr>
      <w:r w:rsidRPr="00520273">
        <w:rPr>
          <w:rFonts w:cs="Arial"/>
          <w:szCs w:val="22"/>
          <w:lang w:val="en-US"/>
        </w:rPr>
        <w:t xml:space="preserve">Potter, A. &amp; Watts, </w:t>
      </w:r>
      <w:proofErr w:type="gramStart"/>
      <w:r w:rsidRPr="00520273">
        <w:rPr>
          <w:rFonts w:cs="Arial"/>
          <w:szCs w:val="22"/>
          <w:lang w:val="en-US"/>
        </w:rPr>
        <w:t>H. (2012) Revisiting Marshall's Agglomeration Economies</w:t>
      </w:r>
      <w:proofErr w:type="gramEnd"/>
      <w:r w:rsidRPr="00520273">
        <w:rPr>
          <w:rFonts w:cs="Arial"/>
          <w:szCs w:val="22"/>
          <w:lang w:val="en-US"/>
        </w:rPr>
        <w:t xml:space="preserve">: Technological Relatedness and the Evolution of the Sheffield Metals Cluster, </w:t>
      </w:r>
      <w:r w:rsidRPr="002D625F">
        <w:rPr>
          <w:rFonts w:cs="Arial"/>
          <w:i/>
          <w:szCs w:val="22"/>
          <w:lang w:val="en-US"/>
        </w:rPr>
        <w:t>Regional Studies</w:t>
      </w:r>
      <w:r w:rsidRPr="00520273">
        <w:rPr>
          <w:rFonts w:cs="Arial"/>
          <w:szCs w:val="22"/>
          <w:lang w:val="en-US"/>
        </w:rPr>
        <w:t xml:space="preserve">, 1-21 </w:t>
      </w:r>
    </w:p>
    <w:p w14:paraId="406C6CA0" w14:textId="6AF85EE0" w:rsidR="000F203F" w:rsidRPr="00520273" w:rsidRDefault="000F203F" w:rsidP="00ED2B2F">
      <w:pPr>
        <w:spacing w:line="276" w:lineRule="auto"/>
        <w:rPr>
          <w:rFonts w:cs="Arial"/>
          <w:szCs w:val="22"/>
          <w:lang w:val="en-US"/>
        </w:rPr>
      </w:pPr>
      <w:r w:rsidRPr="00520273">
        <w:rPr>
          <w:rFonts w:cs="Arial"/>
          <w:szCs w:val="22"/>
          <w:lang w:val="en-US"/>
        </w:rPr>
        <w:t xml:space="preserve">Roberts, M., &amp; Gornostaeva, G. (2007) The night-time economy and sustainable town centres: Dilemmas for local government, </w:t>
      </w:r>
      <w:r w:rsidRPr="002D625F">
        <w:rPr>
          <w:rFonts w:cs="Arial"/>
          <w:i/>
          <w:szCs w:val="22"/>
          <w:lang w:val="en-US"/>
        </w:rPr>
        <w:t>Journal of Sustainable</w:t>
      </w:r>
      <w:r w:rsidR="00A033C6" w:rsidRPr="002D625F">
        <w:rPr>
          <w:rFonts w:cs="Arial"/>
          <w:i/>
          <w:szCs w:val="22"/>
          <w:lang w:val="en-US"/>
        </w:rPr>
        <w:t xml:space="preserve"> </w:t>
      </w:r>
      <w:r w:rsidRPr="002D625F">
        <w:rPr>
          <w:rFonts w:cs="Arial"/>
          <w:i/>
          <w:szCs w:val="22"/>
          <w:lang w:val="en-US"/>
        </w:rPr>
        <w:t>Development and</w:t>
      </w:r>
      <w:r w:rsidR="00A033C6" w:rsidRPr="002D625F">
        <w:rPr>
          <w:rFonts w:cs="Arial"/>
          <w:i/>
          <w:szCs w:val="22"/>
          <w:lang w:val="en-US"/>
        </w:rPr>
        <w:t xml:space="preserve"> </w:t>
      </w:r>
      <w:r w:rsidRPr="002D625F">
        <w:rPr>
          <w:rFonts w:cs="Arial"/>
          <w:i/>
          <w:szCs w:val="22"/>
          <w:lang w:val="en-US"/>
        </w:rPr>
        <w:t>Planning</w:t>
      </w:r>
      <w:r w:rsidRPr="00520273">
        <w:rPr>
          <w:rFonts w:cs="Arial"/>
          <w:szCs w:val="22"/>
          <w:lang w:val="en-US"/>
        </w:rPr>
        <w:t>,</w:t>
      </w:r>
      <w:r w:rsidR="00A033C6">
        <w:rPr>
          <w:rFonts w:cs="Arial"/>
          <w:szCs w:val="22"/>
          <w:lang w:val="en-US"/>
        </w:rPr>
        <w:t xml:space="preserve"> </w:t>
      </w:r>
      <w:r w:rsidRPr="00520273">
        <w:rPr>
          <w:rFonts w:cs="Arial"/>
          <w:szCs w:val="22"/>
          <w:lang w:val="en-US"/>
        </w:rPr>
        <w:t>2(2)</w:t>
      </w:r>
      <w:proofErr w:type="gramStart"/>
      <w:r w:rsidRPr="00520273">
        <w:rPr>
          <w:rFonts w:cs="Arial"/>
          <w:szCs w:val="22"/>
          <w:lang w:val="en-US"/>
        </w:rPr>
        <w:t>,134</w:t>
      </w:r>
      <w:proofErr w:type="gramEnd"/>
      <w:r w:rsidR="00E10960">
        <w:rPr>
          <w:rFonts w:cs="Arial"/>
          <w:szCs w:val="22"/>
        </w:rPr>
        <w:t>–</w:t>
      </w:r>
      <w:r w:rsidRPr="00520273">
        <w:rPr>
          <w:rFonts w:cs="Arial"/>
          <w:szCs w:val="22"/>
          <w:lang w:val="en-US"/>
        </w:rPr>
        <w:t xml:space="preserve"> 52.</w:t>
      </w:r>
    </w:p>
    <w:p w14:paraId="0E1567EE" w14:textId="2ADFFCC7" w:rsidR="009640D5" w:rsidRDefault="009640D5" w:rsidP="00ED2B2F">
      <w:pPr>
        <w:spacing w:line="276" w:lineRule="auto"/>
        <w:rPr>
          <w:rFonts w:cs="Arial"/>
          <w:szCs w:val="22"/>
          <w:lang w:val="en-US"/>
        </w:rPr>
      </w:pPr>
      <w:r>
        <w:rPr>
          <w:rFonts w:cs="Arial"/>
          <w:szCs w:val="22"/>
          <w:lang w:val="en-US"/>
        </w:rPr>
        <w:t xml:space="preserve">Robinson, K., &amp; NACCCE (1999) </w:t>
      </w:r>
      <w:proofErr w:type="gramStart"/>
      <w:r w:rsidRPr="009640D5">
        <w:rPr>
          <w:rFonts w:cs="Arial"/>
          <w:i/>
          <w:szCs w:val="22"/>
          <w:lang w:val="en-US"/>
        </w:rPr>
        <w:t>All</w:t>
      </w:r>
      <w:proofErr w:type="gramEnd"/>
      <w:r w:rsidRPr="009640D5">
        <w:rPr>
          <w:rFonts w:cs="Arial"/>
          <w:i/>
          <w:szCs w:val="22"/>
          <w:lang w:val="en-US"/>
        </w:rPr>
        <w:t xml:space="preserve"> our futures: creativity, culture and education</w:t>
      </w:r>
    </w:p>
    <w:p w14:paraId="224B9938" w14:textId="77777777" w:rsidR="000F203F" w:rsidRPr="00520273" w:rsidRDefault="000F203F" w:rsidP="00ED2B2F">
      <w:pPr>
        <w:spacing w:line="276" w:lineRule="auto"/>
        <w:rPr>
          <w:rFonts w:cs="Arial"/>
          <w:szCs w:val="22"/>
          <w:lang w:val="en-US"/>
        </w:rPr>
      </w:pPr>
      <w:proofErr w:type="gramStart"/>
      <w:r w:rsidRPr="00520273">
        <w:rPr>
          <w:rFonts w:cs="Arial"/>
          <w:szCs w:val="22"/>
          <w:lang w:val="en-US"/>
        </w:rPr>
        <w:t xml:space="preserve">Roodhouse, S. (ed) (2010) </w:t>
      </w:r>
      <w:r w:rsidRPr="002D625F">
        <w:rPr>
          <w:rFonts w:cs="Arial"/>
          <w:i/>
          <w:szCs w:val="22"/>
          <w:lang w:val="en-US"/>
        </w:rPr>
        <w:t>Cultural Quarters, Principles &amp; Practice</w:t>
      </w:r>
      <w:r w:rsidRPr="00520273">
        <w:rPr>
          <w:rFonts w:cs="Arial"/>
          <w:szCs w:val="22"/>
          <w:lang w:val="en-US"/>
        </w:rPr>
        <w:t>.</w:t>
      </w:r>
      <w:proofErr w:type="gramEnd"/>
      <w:r w:rsidRPr="00520273">
        <w:rPr>
          <w:rFonts w:cs="Arial"/>
          <w:szCs w:val="22"/>
          <w:lang w:val="en-US"/>
        </w:rPr>
        <w:t xml:space="preserve"> Bristol: Intellect</w:t>
      </w:r>
    </w:p>
    <w:p w14:paraId="774AC910" w14:textId="77777777" w:rsidR="000F203F" w:rsidRPr="00520273" w:rsidRDefault="000F203F" w:rsidP="00ED2B2F">
      <w:pPr>
        <w:spacing w:line="276" w:lineRule="auto"/>
        <w:rPr>
          <w:rFonts w:cs="Arial"/>
          <w:szCs w:val="22"/>
          <w:lang w:val="en-US"/>
        </w:rPr>
      </w:pPr>
      <w:proofErr w:type="gramStart"/>
      <w:r w:rsidRPr="00520273">
        <w:rPr>
          <w:rFonts w:cs="Arial"/>
          <w:szCs w:val="22"/>
          <w:lang w:val="en-US"/>
        </w:rPr>
        <w:t xml:space="preserve">Root-Bernstein, R. (2013) A Network Approach to Understanding the Creative Knowledge Economy, In </w:t>
      </w:r>
      <w:r w:rsidRPr="002D625F">
        <w:rPr>
          <w:rFonts w:cs="Arial"/>
          <w:i/>
          <w:szCs w:val="22"/>
          <w:lang w:val="en-US"/>
        </w:rPr>
        <w:t>Creative Communities: Art Works in Economic Development</w:t>
      </w:r>
      <w:r w:rsidRPr="00520273">
        <w:rPr>
          <w:rFonts w:cs="Arial"/>
          <w:szCs w:val="22"/>
          <w:lang w:val="en-US"/>
        </w:rPr>
        <w:t xml:space="preserve"> (M.Rushton, ed).</w:t>
      </w:r>
      <w:proofErr w:type="gramEnd"/>
      <w:r w:rsidRPr="00520273">
        <w:rPr>
          <w:rFonts w:cs="Arial"/>
          <w:szCs w:val="22"/>
          <w:lang w:val="en-US"/>
        </w:rPr>
        <w:t xml:space="preserve"> Washington DC: Brookings Institution</w:t>
      </w:r>
    </w:p>
    <w:p w14:paraId="0D6826EA" w14:textId="77777777" w:rsidR="000F203F" w:rsidRPr="00520273" w:rsidRDefault="000F203F" w:rsidP="00ED2B2F">
      <w:pPr>
        <w:spacing w:line="276" w:lineRule="auto"/>
        <w:rPr>
          <w:rFonts w:cs="Arial"/>
          <w:szCs w:val="22"/>
          <w:lang w:val="en-US"/>
        </w:rPr>
      </w:pPr>
      <w:r w:rsidRPr="00520273">
        <w:rPr>
          <w:rFonts w:cs="Arial"/>
          <w:szCs w:val="22"/>
          <w:lang w:val="en-US"/>
        </w:rPr>
        <w:t xml:space="preserve">Scotland Government (2011) </w:t>
      </w:r>
      <w:r w:rsidRPr="002D625F">
        <w:rPr>
          <w:rFonts w:cs="Arial"/>
          <w:i/>
          <w:szCs w:val="22"/>
          <w:lang w:val="en-US"/>
        </w:rPr>
        <w:t>Scotland’s Cities: Delivering for Scotland</w:t>
      </w:r>
      <w:r w:rsidRPr="00520273">
        <w:rPr>
          <w:rFonts w:cs="Arial"/>
          <w:szCs w:val="22"/>
          <w:lang w:val="en-US"/>
        </w:rPr>
        <w:t>, Edinburgh</w:t>
      </w:r>
    </w:p>
    <w:p w14:paraId="577F4F8E" w14:textId="77777777" w:rsidR="000F203F" w:rsidRPr="00520273" w:rsidRDefault="000F203F" w:rsidP="00ED2B2F">
      <w:pPr>
        <w:spacing w:line="276" w:lineRule="auto"/>
        <w:rPr>
          <w:rFonts w:cs="Arial"/>
          <w:szCs w:val="22"/>
          <w:lang w:val="en-US"/>
        </w:rPr>
      </w:pPr>
      <w:r w:rsidRPr="00520273">
        <w:rPr>
          <w:rFonts w:cs="Arial"/>
          <w:szCs w:val="22"/>
          <w:lang w:val="en-US"/>
        </w:rPr>
        <w:t xml:space="preserve">Scott, A. (2000) </w:t>
      </w:r>
      <w:r w:rsidRPr="002D625F">
        <w:rPr>
          <w:rFonts w:cs="Arial"/>
          <w:i/>
          <w:szCs w:val="22"/>
          <w:lang w:val="en-US"/>
        </w:rPr>
        <w:t>The Cultural Economy of Cities</w:t>
      </w:r>
      <w:r w:rsidRPr="00520273">
        <w:rPr>
          <w:rFonts w:cs="Arial"/>
          <w:szCs w:val="22"/>
          <w:lang w:val="en-US"/>
        </w:rPr>
        <w:t>. New York, Sage</w:t>
      </w:r>
    </w:p>
    <w:p w14:paraId="28D3A9B8" w14:textId="555CAA2A" w:rsidR="000F203F" w:rsidRPr="00520273" w:rsidRDefault="000F203F" w:rsidP="00ED2B2F">
      <w:pPr>
        <w:spacing w:line="276" w:lineRule="auto"/>
        <w:rPr>
          <w:rFonts w:cs="Arial"/>
          <w:szCs w:val="22"/>
          <w:lang w:val="en-US"/>
        </w:rPr>
      </w:pPr>
      <w:r w:rsidRPr="00520273">
        <w:rPr>
          <w:rFonts w:cs="Arial"/>
          <w:szCs w:val="22"/>
          <w:lang w:val="en-US"/>
        </w:rPr>
        <w:t xml:space="preserve">Scott, A. (2014) Beyond the Creative City: Cognitive-Cultural Capitalism and the New Urbanism, </w:t>
      </w:r>
      <w:r w:rsidRPr="002D625F">
        <w:rPr>
          <w:rFonts w:cs="Arial"/>
          <w:i/>
          <w:szCs w:val="22"/>
          <w:lang w:val="en-US"/>
        </w:rPr>
        <w:t>Regional Studies</w:t>
      </w:r>
      <w:r w:rsidRPr="00520273">
        <w:rPr>
          <w:rFonts w:cs="Arial"/>
          <w:szCs w:val="22"/>
          <w:lang w:val="en-US"/>
        </w:rPr>
        <w:t>, 48(4): 565</w:t>
      </w:r>
      <w:r w:rsidR="00E10960">
        <w:rPr>
          <w:rFonts w:cs="Arial"/>
          <w:szCs w:val="22"/>
        </w:rPr>
        <w:t>–</w:t>
      </w:r>
      <w:r w:rsidRPr="00520273">
        <w:rPr>
          <w:rFonts w:cs="Arial"/>
          <w:szCs w:val="22"/>
          <w:lang w:val="en-US"/>
        </w:rPr>
        <w:t>578</w:t>
      </w:r>
    </w:p>
    <w:p w14:paraId="60184C29" w14:textId="77777777" w:rsidR="000F203F" w:rsidRPr="00520273" w:rsidRDefault="000F203F" w:rsidP="00ED2B2F">
      <w:pPr>
        <w:spacing w:line="276" w:lineRule="auto"/>
        <w:rPr>
          <w:rFonts w:cs="Arial"/>
          <w:szCs w:val="22"/>
          <w:lang w:val="en-US"/>
        </w:rPr>
      </w:pPr>
      <w:r w:rsidRPr="00520273">
        <w:rPr>
          <w:rFonts w:cs="Arial"/>
          <w:szCs w:val="22"/>
          <w:lang w:val="en-US"/>
        </w:rPr>
        <w:t xml:space="preserve">Sharpe, D., Jones, T., Lea, T., Jones, K. Harvey, S. (2004) </w:t>
      </w:r>
      <w:r w:rsidRPr="002D625F">
        <w:rPr>
          <w:rFonts w:cs="Arial"/>
          <w:i/>
          <w:szCs w:val="22"/>
          <w:lang w:val="en-US"/>
        </w:rPr>
        <w:t>Critique and Consolidation of Research on the Spillover Effects of Investments in Cultural Facilities</w:t>
      </w:r>
      <w:r w:rsidRPr="00520273">
        <w:rPr>
          <w:rFonts w:cs="Arial"/>
          <w:szCs w:val="22"/>
          <w:lang w:val="en-US"/>
        </w:rPr>
        <w:t>, National Research Advisory Committee Meeting, 15 March. Toronto: Ryserson University</w:t>
      </w:r>
    </w:p>
    <w:p w14:paraId="5D00CCCA" w14:textId="5EF8F196" w:rsidR="000F203F" w:rsidRPr="00520273" w:rsidRDefault="000F203F" w:rsidP="00ED2B2F">
      <w:pPr>
        <w:spacing w:line="276" w:lineRule="auto"/>
        <w:rPr>
          <w:rFonts w:cs="Arial"/>
          <w:szCs w:val="22"/>
          <w:lang w:val="en-US"/>
        </w:rPr>
      </w:pPr>
      <w:r w:rsidRPr="00520273">
        <w:rPr>
          <w:rFonts w:cs="Arial"/>
          <w:szCs w:val="22"/>
          <w:lang w:val="en-US"/>
        </w:rPr>
        <w:t xml:space="preserve">Shaw, P., et al (2006) </w:t>
      </w:r>
      <w:r w:rsidRPr="002D625F">
        <w:rPr>
          <w:rFonts w:cs="Arial"/>
          <w:i/>
          <w:szCs w:val="22"/>
          <w:lang w:val="en-US"/>
        </w:rPr>
        <w:t>Arts Centres Research</w:t>
      </w:r>
      <w:r w:rsidRPr="00520273">
        <w:rPr>
          <w:rFonts w:cs="Arial"/>
          <w:szCs w:val="22"/>
          <w:lang w:val="en-US"/>
        </w:rPr>
        <w:t>, Arts Council England</w:t>
      </w:r>
    </w:p>
    <w:p w14:paraId="3502586D" w14:textId="77777777" w:rsidR="000F203F" w:rsidRPr="00520273" w:rsidRDefault="000F203F" w:rsidP="00ED2B2F">
      <w:pPr>
        <w:spacing w:line="276" w:lineRule="auto"/>
        <w:rPr>
          <w:rFonts w:cs="Arial"/>
          <w:szCs w:val="22"/>
          <w:lang w:val="en-US"/>
        </w:rPr>
      </w:pPr>
      <w:r w:rsidRPr="00520273">
        <w:rPr>
          <w:rFonts w:cs="Arial"/>
          <w:szCs w:val="22"/>
          <w:lang w:val="en-US"/>
        </w:rPr>
        <w:t xml:space="preserve">Shorthose, J. (2004) Nottingham’s de facto Cultural Quarter: The Lace Market, Independents and </w:t>
      </w:r>
      <w:proofErr w:type="gramStart"/>
      <w:r w:rsidRPr="00520273">
        <w:rPr>
          <w:rFonts w:cs="Arial"/>
          <w:szCs w:val="22"/>
          <w:lang w:val="en-US"/>
        </w:rPr>
        <w:t>a Convivial</w:t>
      </w:r>
      <w:proofErr w:type="gramEnd"/>
      <w:r w:rsidRPr="00520273">
        <w:rPr>
          <w:rFonts w:cs="Arial"/>
          <w:szCs w:val="22"/>
          <w:lang w:val="en-US"/>
        </w:rPr>
        <w:t xml:space="preserve"> Ecology. In D. Bell and M. Jayne (eds.) </w:t>
      </w:r>
      <w:r w:rsidRPr="002D625F">
        <w:rPr>
          <w:rFonts w:cs="Arial"/>
          <w:i/>
          <w:szCs w:val="22"/>
          <w:lang w:val="en-US"/>
        </w:rPr>
        <w:t>City of Quarters: Urban Villages and the Contemporary City</w:t>
      </w:r>
      <w:r w:rsidRPr="00520273">
        <w:rPr>
          <w:rFonts w:cs="Arial"/>
          <w:szCs w:val="22"/>
          <w:lang w:val="en-US"/>
        </w:rPr>
        <w:t xml:space="preserve">. London: Ashgate </w:t>
      </w:r>
    </w:p>
    <w:p w14:paraId="4992729B" w14:textId="0F58E9A7" w:rsidR="000F203F" w:rsidRPr="00520273" w:rsidRDefault="000F203F" w:rsidP="00ED2B2F">
      <w:pPr>
        <w:spacing w:line="276" w:lineRule="auto"/>
        <w:rPr>
          <w:rFonts w:cs="Arial"/>
          <w:szCs w:val="22"/>
          <w:lang w:val="en-US"/>
        </w:rPr>
      </w:pPr>
      <w:r w:rsidRPr="00520273">
        <w:rPr>
          <w:rFonts w:cs="Arial"/>
          <w:szCs w:val="22"/>
          <w:lang w:val="en-US"/>
        </w:rPr>
        <w:t xml:space="preserve">Silver, D. et al (nd) Scenescapes: </w:t>
      </w:r>
      <w:r w:rsidRPr="002D625F">
        <w:rPr>
          <w:rFonts w:cs="Arial"/>
          <w:i/>
          <w:szCs w:val="22"/>
          <w:lang w:val="en-US"/>
        </w:rPr>
        <w:t>What we can learn from where our scenes are</w:t>
      </w:r>
      <w:r w:rsidRPr="00520273">
        <w:rPr>
          <w:rFonts w:cs="Arial"/>
          <w:szCs w:val="22"/>
          <w:lang w:val="en-US"/>
        </w:rPr>
        <w:t>. University of Chicago</w:t>
      </w:r>
    </w:p>
    <w:p w14:paraId="439B9A58" w14:textId="1555C343" w:rsidR="000F203F" w:rsidRPr="00520273" w:rsidRDefault="000F203F" w:rsidP="00ED2B2F">
      <w:pPr>
        <w:spacing w:line="276" w:lineRule="auto"/>
        <w:rPr>
          <w:rFonts w:cs="Arial"/>
          <w:szCs w:val="22"/>
          <w:lang w:val="en-US"/>
        </w:rPr>
      </w:pPr>
      <w:r w:rsidRPr="00520273">
        <w:rPr>
          <w:rFonts w:cs="Arial"/>
          <w:szCs w:val="22"/>
          <w:lang w:val="en-US"/>
        </w:rPr>
        <w:t>Stern, M.J. and Seifert, S.</w:t>
      </w:r>
      <w:r w:rsidR="00A033C6">
        <w:rPr>
          <w:rFonts w:cs="Arial"/>
          <w:szCs w:val="22"/>
          <w:lang w:val="en-US"/>
        </w:rPr>
        <w:t xml:space="preserve"> </w:t>
      </w:r>
      <w:r w:rsidRPr="00520273">
        <w:rPr>
          <w:rFonts w:cs="Arial"/>
          <w:szCs w:val="22"/>
          <w:lang w:val="en-US"/>
        </w:rPr>
        <w:t xml:space="preserve">(2007) </w:t>
      </w:r>
      <w:r w:rsidRPr="002D625F">
        <w:rPr>
          <w:rFonts w:cs="Arial"/>
          <w:i/>
          <w:szCs w:val="22"/>
          <w:lang w:val="en-US"/>
        </w:rPr>
        <w:t>Cultivating “Natural” Cultural Districts</w:t>
      </w:r>
      <w:r w:rsidRPr="00520273">
        <w:rPr>
          <w:rFonts w:cs="Arial"/>
          <w:szCs w:val="22"/>
          <w:lang w:val="en-US"/>
        </w:rPr>
        <w:t>. Penn University: The Social Impact of the Arts Programme</w:t>
      </w:r>
    </w:p>
    <w:p w14:paraId="2F3F0A11" w14:textId="61085D32" w:rsidR="000F203F" w:rsidRPr="00520273" w:rsidRDefault="000F203F" w:rsidP="00ED2B2F">
      <w:pPr>
        <w:spacing w:line="276" w:lineRule="auto"/>
        <w:rPr>
          <w:rFonts w:cs="Arial"/>
          <w:szCs w:val="22"/>
          <w:lang w:val="en-US"/>
        </w:rPr>
      </w:pPr>
      <w:r w:rsidRPr="00520273">
        <w:rPr>
          <w:rFonts w:cs="Arial"/>
          <w:szCs w:val="22"/>
          <w:lang w:val="en-US"/>
        </w:rPr>
        <w:t>Stern, M.J. and Seifert, S.</w:t>
      </w:r>
      <w:r w:rsidR="00A033C6">
        <w:rPr>
          <w:rFonts w:cs="Arial"/>
          <w:szCs w:val="22"/>
          <w:lang w:val="en-US"/>
        </w:rPr>
        <w:t xml:space="preserve"> </w:t>
      </w:r>
      <w:r w:rsidRPr="00131F29">
        <w:rPr>
          <w:rFonts w:cs="Arial"/>
          <w:szCs w:val="22"/>
          <w:lang w:val="en-US"/>
        </w:rPr>
        <w:t xml:space="preserve">(2010) </w:t>
      </w:r>
      <w:r w:rsidRPr="00520273">
        <w:rPr>
          <w:rFonts w:cs="Arial"/>
          <w:szCs w:val="22"/>
          <w:lang w:val="en-US"/>
        </w:rPr>
        <w:t xml:space="preserve">Cultural Clusters: The Implications of Cultural Assets Agglomeration for Neighbourhood Revitalization, </w:t>
      </w:r>
      <w:r w:rsidRPr="002D625F">
        <w:rPr>
          <w:rFonts w:cs="Arial"/>
          <w:i/>
          <w:szCs w:val="22"/>
          <w:lang w:val="en-US"/>
        </w:rPr>
        <w:t>Journal of Planning Education and Research</w:t>
      </w:r>
      <w:r w:rsidRPr="00520273">
        <w:rPr>
          <w:rFonts w:cs="Arial"/>
          <w:szCs w:val="22"/>
          <w:lang w:val="en-US"/>
        </w:rPr>
        <w:t>, 29</w:t>
      </w:r>
      <w:proofErr w:type="gramStart"/>
      <w:r w:rsidRPr="00520273">
        <w:rPr>
          <w:rFonts w:cs="Arial"/>
          <w:szCs w:val="22"/>
          <w:lang w:val="en-US"/>
        </w:rPr>
        <w:t>;</w:t>
      </w:r>
      <w:proofErr w:type="gramEnd"/>
      <w:r w:rsidRPr="00520273">
        <w:rPr>
          <w:rFonts w:cs="Arial"/>
          <w:szCs w:val="22"/>
          <w:lang w:val="en-US"/>
        </w:rPr>
        <w:t xml:space="preserve"> 262</w:t>
      </w:r>
      <w:r w:rsidR="00E10960">
        <w:rPr>
          <w:rFonts w:cs="Arial"/>
          <w:szCs w:val="22"/>
        </w:rPr>
        <w:t>–</w:t>
      </w:r>
      <w:r w:rsidRPr="00520273">
        <w:rPr>
          <w:rFonts w:cs="Arial"/>
          <w:szCs w:val="22"/>
          <w:lang w:val="en-US"/>
        </w:rPr>
        <w:t>279</w:t>
      </w:r>
    </w:p>
    <w:p w14:paraId="510C3A3D" w14:textId="18EC237A" w:rsidR="000F203F" w:rsidRPr="00520273" w:rsidRDefault="000F203F" w:rsidP="00ED2B2F">
      <w:pPr>
        <w:spacing w:line="276" w:lineRule="auto"/>
        <w:rPr>
          <w:rFonts w:cs="Arial"/>
          <w:szCs w:val="22"/>
          <w:lang w:val="en-US"/>
        </w:rPr>
      </w:pPr>
      <w:r w:rsidRPr="00520273">
        <w:rPr>
          <w:rFonts w:cs="Arial"/>
          <w:szCs w:val="22"/>
          <w:lang w:val="en-US"/>
        </w:rPr>
        <w:t xml:space="preserve">Thomas, C.J., &amp; Bromley, D.F. (2000) City centre revitalisation: Problems of fragmentation and fear in the evening and night-time city, </w:t>
      </w:r>
      <w:r w:rsidRPr="002D625F">
        <w:rPr>
          <w:rFonts w:cs="Arial"/>
          <w:i/>
          <w:szCs w:val="22"/>
          <w:lang w:val="en-US"/>
        </w:rPr>
        <w:t>Urban Studies</w:t>
      </w:r>
      <w:r w:rsidRPr="00520273">
        <w:rPr>
          <w:rFonts w:cs="Arial"/>
          <w:szCs w:val="22"/>
          <w:lang w:val="en-US"/>
        </w:rPr>
        <w:t>, 37(8): 1403</w:t>
      </w:r>
      <w:r w:rsidR="00E10960">
        <w:rPr>
          <w:rFonts w:cs="Arial"/>
          <w:szCs w:val="22"/>
        </w:rPr>
        <w:t>–</w:t>
      </w:r>
      <w:r w:rsidRPr="00520273">
        <w:rPr>
          <w:rFonts w:cs="Arial"/>
          <w:szCs w:val="22"/>
          <w:lang w:val="en-US"/>
        </w:rPr>
        <w:t>1429</w:t>
      </w:r>
    </w:p>
    <w:p w14:paraId="24914887" w14:textId="77777777" w:rsidR="000F203F" w:rsidRPr="00520273" w:rsidRDefault="000F203F" w:rsidP="00ED2B2F">
      <w:pPr>
        <w:spacing w:line="276" w:lineRule="auto"/>
        <w:rPr>
          <w:rFonts w:cs="Arial"/>
          <w:szCs w:val="22"/>
          <w:lang w:val="en-US"/>
        </w:rPr>
      </w:pPr>
      <w:r w:rsidRPr="00520273">
        <w:rPr>
          <w:rFonts w:cs="Arial"/>
          <w:szCs w:val="22"/>
          <w:lang w:val="en-US"/>
        </w:rPr>
        <w:t xml:space="preserve">Varma, P. (2003) </w:t>
      </w:r>
      <w:r w:rsidRPr="002D625F">
        <w:rPr>
          <w:rFonts w:cs="Arial"/>
          <w:i/>
          <w:szCs w:val="22"/>
          <w:lang w:val="en-US"/>
        </w:rPr>
        <w:t>Working Paper 3: Valuing Greenness: Is there a segmented preference for housing attributes in London?</w:t>
      </w:r>
      <w:r w:rsidRPr="00520273">
        <w:rPr>
          <w:rFonts w:cs="Arial"/>
          <w:szCs w:val="22"/>
          <w:lang w:val="en-US"/>
        </w:rPr>
        <w:t xml:space="preserve"> London: Greater London Authority, June</w:t>
      </w:r>
    </w:p>
    <w:p w14:paraId="1A2C7E57" w14:textId="5E2DB134" w:rsidR="009640D5" w:rsidRDefault="009640D5" w:rsidP="00ED2B2F">
      <w:pPr>
        <w:spacing w:line="276" w:lineRule="auto"/>
        <w:rPr>
          <w:rFonts w:cs="Arial"/>
          <w:szCs w:val="22"/>
          <w:lang w:val="en-US"/>
        </w:rPr>
      </w:pPr>
      <w:r>
        <w:rPr>
          <w:rFonts w:cs="Arial"/>
          <w:szCs w:val="22"/>
          <w:lang w:val="en-US"/>
        </w:rPr>
        <w:t xml:space="preserve">Warwick Commission (2015) </w:t>
      </w:r>
      <w:r w:rsidRPr="009640D5">
        <w:rPr>
          <w:rFonts w:cs="Arial"/>
          <w:i/>
          <w:szCs w:val="22"/>
          <w:lang w:val="en-US"/>
        </w:rPr>
        <w:t>Enriching Britain: Culture, Creativity and Growth</w:t>
      </w:r>
    </w:p>
    <w:p w14:paraId="0D8FF0DB" w14:textId="77777777" w:rsidR="000F203F" w:rsidRPr="00520273" w:rsidRDefault="000F203F" w:rsidP="00ED2B2F">
      <w:pPr>
        <w:spacing w:line="276" w:lineRule="auto"/>
        <w:rPr>
          <w:rFonts w:cs="Arial"/>
          <w:szCs w:val="22"/>
          <w:lang w:val="en-US"/>
        </w:rPr>
      </w:pPr>
      <w:r w:rsidRPr="00520273">
        <w:rPr>
          <w:rFonts w:cs="Arial"/>
          <w:szCs w:val="22"/>
          <w:lang w:val="en-US"/>
        </w:rPr>
        <w:t xml:space="preserve">WWCLEC (2014) </w:t>
      </w:r>
      <w:r w:rsidRPr="002D625F">
        <w:rPr>
          <w:rFonts w:cs="Arial"/>
          <w:i/>
          <w:szCs w:val="22"/>
          <w:lang w:val="en-US"/>
        </w:rPr>
        <w:t>Evidence Review: Sport and Culture</w:t>
      </w:r>
      <w:r w:rsidRPr="00520273">
        <w:rPr>
          <w:rFonts w:cs="Arial"/>
          <w:szCs w:val="22"/>
          <w:lang w:val="en-US"/>
        </w:rPr>
        <w:t xml:space="preserve">. London: What Works Centre for Local Economic Growth for DCMS. July </w:t>
      </w:r>
    </w:p>
    <w:p w14:paraId="3968CAD6" w14:textId="77777777" w:rsidR="000F203F" w:rsidRDefault="000F203F" w:rsidP="00ED2B2F">
      <w:pPr>
        <w:spacing w:line="276" w:lineRule="auto"/>
        <w:rPr>
          <w:rFonts w:cs="Arial"/>
          <w:szCs w:val="22"/>
          <w:lang w:val="en-US"/>
        </w:rPr>
      </w:pPr>
      <w:r w:rsidRPr="00520273">
        <w:rPr>
          <w:rFonts w:cs="Arial"/>
          <w:szCs w:val="22"/>
          <w:lang w:val="en-US"/>
        </w:rPr>
        <w:t xml:space="preserve">Zenker, S. and Braun, E. (2014) Rethinking the Measurement of Place Brands, in </w:t>
      </w:r>
      <w:r w:rsidRPr="002D625F">
        <w:rPr>
          <w:rFonts w:cs="Arial"/>
          <w:i/>
          <w:szCs w:val="22"/>
          <w:lang w:val="en-US"/>
        </w:rPr>
        <w:t>Rethinking Place Branding</w:t>
      </w:r>
      <w:r w:rsidRPr="00520273">
        <w:rPr>
          <w:rFonts w:cs="Arial"/>
          <w:szCs w:val="22"/>
          <w:lang w:val="en-US"/>
        </w:rPr>
        <w:t xml:space="preserve"> (Kavaratzis, Warnaby and Ashworth, eds). Springer</w:t>
      </w:r>
    </w:p>
    <w:p w14:paraId="17685DB0" w14:textId="19DEEFAC" w:rsidR="00E11FF1" w:rsidRDefault="00E11FF1">
      <w:pPr>
        <w:spacing w:before="0"/>
        <w:ind w:left="0"/>
        <w:rPr>
          <w:rFonts w:cs="Arial"/>
          <w:szCs w:val="22"/>
          <w:lang w:val="en-US"/>
        </w:rPr>
      </w:pPr>
      <w:r>
        <w:rPr>
          <w:rFonts w:cs="Arial"/>
          <w:szCs w:val="22"/>
          <w:lang w:val="en-US"/>
        </w:rPr>
        <w:br w:type="page"/>
      </w:r>
    </w:p>
    <w:p w14:paraId="351DF6FF" w14:textId="3619D0C5" w:rsidR="00C17BF2" w:rsidRDefault="00C17BF2" w:rsidP="00F0636B">
      <w:pPr>
        <w:pStyle w:val="Heading1Numbered"/>
        <w:rPr>
          <w:rFonts w:eastAsia="Calibri"/>
        </w:rPr>
      </w:pPr>
      <w:bookmarkStart w:id="109" w:name="_Ref460315918"/>
      <w:bookmarkStart w:id="110" w:name="_Ref460315921"/>
      <w:bookmarkStart w:id="111" w:name="_Toc464222946"/>
      <w:r>
        <w:rPr>
          <w:rFonts w:eastAsia="Calibri"/>
        </w:rPr>
        <w:t>Appendix II – Quantitative Analysis options</w:t>
      </w:r>
      <w:bookmarkEnd w:id="109"/>
      <w:bookmarkEnd w:id="110"/>
      <w:bookmarkEnd w:id="111"/>
    </w:p>
    <w:p w14:paraId="246A4A14" w14:textId="7DFB46F0" w:rsidR="00C17BF2" w:rsidRPr="00520273" w:rsidRDefault="00C17BF2" w:rsidP="00C17BF2">
      <w:pPr>
        <w:rPr>
          <w:rFonts w:cs="Tahoma"/>
        </w:rPr>
      </w:pPr>
      <w:r w:rsidRPr="00520273">
        <w:rPr>
          <w:rFonts w:cs="Tahoma"/>
        </w:rPr>
        <w:t xml:space="preserve">This </w:t>
      </w:r>
      <w:r w:rsidR="00E17DB0">
        <w:rPr>
          <w:rFonts w:cs="Tahoma"/>
        </w:rPr>
        <w:t>section</w:t>
      </w:r>
      <w:r w:rsidR="00E17DB0" w:rsidRPr="00520273">
        <w:rPr>
          <w:rFonts w:cs="Tahoma"/>
        </w:rPr>
        <w:t xml:space="preserve"> </w:t>
      </w:r>
      <w:r w:rsidRPr="00520273">
        <w:rPr>
          <w:rFonts w:cs="Tahoma"/>
        </w:rPr>
        <w:t xml:space="preserve">presents key options for the quantitative </w:t>
      </w:r>
      <w:proofErr w:type="gramStart"/>
      <w:r w:rsidRPr="00520273">
        <w:rPr>
          <w:rFonts w:cs="Tahoma"/>
        </w:rPr>
        <w:t>analysis which</w:t>
      </w:r>
      <w:proofErr w:type="gramEnd"/>
      <w:r w:rsidRPr="00520273">
        <w:rPr>
          <w:rFonts w:cs="Tahoma"/>
        </w:rPr>
        <w:t xml:space="preserve"> were identified in the early stages of the study. It was suggested that these options were not mutually exclusive and all were feasible from a modelling point of view.</w:t>
      </w:r>
    </w:p>
    <w:p w14:paraId="709A27F2" w14:textId="793BFF4F" w:rsidR="00C17BF2" w:rsidRPr="00520273" w:rsidRDefault="00C17BF2" w:rsidP="00C17BF2">
      <w:pPr>
        <w:rPr>
          <w:rFonts w:cs="Tahoma"/>
        </w:rPr>
      </w:pPr>
      <w:r w:rsidRPr="00520273">
        <w:rPr>
          <w:rFonts w:cs="Tahoma"/>
        </w:rPr>
        <w:t>However, once available data had been collated and reviewed, it was decided with the</w:t>
      </w:r>
      <w:r w:rsidR="002A635D">
        <w:rPr>
          <w:rFonts w:cs="Tahoma"/>
        </w:rPr>
        <w:t xml:space="preserve"> project</w:t>
      </w:r>
      <w:r w:rsidRPr="00520273">
        <w:rPr>
          <w:rFonts w:cs="Tahoma"/>
        </w:rPr>
        <w:t xml:space="preserve"> </w:t>
      </w:r>
      <w:r w:rsidR="002A635D">
        <w:rPr>
          <w:rFonts w:cs="Tahoma"/>
        </w:rPr>
        <w:t>s</w:t>
      </w:r>
      <w:r w:rsidR="002A635D" w:rsidRPr="00520273">
        <w:rPr>
          <w:rFonts w:cs="Tahoma"/>
        </w:rPr>
        <w:t xml:space="preserve">teering </w:t>
      </w:r>
      <w:r w:rsidR="002A635D">
        <w:rPr>
          <w:rFonts w:cs="Tahoma"/>
        </w:rPr>
        <w:t>g</w:t>
      </w:r>
      <w:r w:rsidR="002A635D" w:rsidRPr="00520273">
        <w:rPr>
          <w:rFonts w:cs="Tahoma"/>
        </w:rPr>
        <w:t xml:space="preserve">roup </w:t>
      </w:r>
      <w:r w:rsidRPr="00520273">
        <w:rPr>
          <w:rFonts w:cs="Tahoma"/>
        </w:rPr>
        <w:t>that Option 1 presented the most feasible and deliverable option.</w:t>
      </w:r>
    </w:p>
    <w:p w14:paraId="191BBB0B" w14:textId="5D0FDED7" w:rsidR="00C17BF2" w:rsidRPr="00520273" w:rsidRDefault="00C17BF2" w:rsidP="00C17BF2">
      <w:pPr>
        <w:rPr>
          <w:rFonts w:cs="Tahoma"/>
        </w:rPr>
      </w:pPr>
      <w:r w:rsidRPr="00520273">
        <w:rPr>
          <w:rFonts w:cs="Tahoma"/>
        </w:rPr>
        <w:t>Options 2 and 3 might be considered for future work and may contribute further to the evidence base regarding the existence and nature of the impact ecosystem (discussed in section</w:t>
      </w:r>
      <w:r w:rsidR="002A635D">
        <w:rPr>
          <w:rFonts w:cs="Tahoma"/>
        </w:rPr>
        <w:t xml:space="preserve"> </w:t>
      </w:r>
      <w:r w:rsidR="00131F29" w:rsidRPr="00520273">
        <w:rPr>
          <w:rFonts w:cs="Tahoma"/>
        </w:rPr>
        <w:fldChar w:fldCharType="begin"/>
      </w:r>
      <w:r w:rsidR="00131F29" w:rsidRPr="00520273">
        <w:rPr>
          <w:rFonts w:cs="Tahoma"/>
        </w:rPr>
        <w:instrText xml:space="preserve"> REF _Ref460320332 \r \h </w:instrText>
      </w:r>
      <w:r w:rsidR="00E17DB0">
        <w:rPr>
          <w:rFonts w:cs="Tahoma"/>
        </w:rPr>
        <w:instrText xml:space="preserve"> \* MERGEFORMAT </w:instrText>
      </w:r>
      <w:r w:rsidR="00131F29" w:rsidRPr="00520273">
        <w:rPr>
          <w:rFonts w:cs="Tahoma"/>
        </w:rPr>
      </w:r>
      <w:r w:rsidR="00131F29" w:rsidRPr="00520273">
        <w:rPr>
          <w:rFonts w:cs="Tahoma"/>
        </w:rPr>
        <w:fldChar w:fldCharType="separate"/>
      </w:r>
      <w:r w:rsidR="00F0636B">
        <w:rPr>
          <w:rFonts w:cs="Tahoma"/>
        </w:rPr>
        <w:t></w:t>
      </w:r>
      <w:r w:rsidR="00131F29" w:rsidRPr="00520273">
        <w:rPr>
          <w:rFonts w:cs="Tahoma"/>
        </w:rPr>
        <w:fldChar w:fldCharType="end"/>
      </w:r>
      <w:r w:rsidR="00131F29" w:rsidRPr="00520273">
        <w:rPr>
          <w:rFonts w:cs="Tahoma"/>
        </w:rPr>
        <w:t>, p.</w:t>
      </w:r>
      <w:r w:rsidR="00131F29" w:rsidRPr="00520273">
        <w:rPr>
          <w:rFonts w:cs="Tahoma"/>
        </w:rPr>
        <w:fldChar w:fldCharType="begin"/>
      </w:r>
      <w:r w:rsidR="00131F29" w:rsidRPr="00520273">
        <w:rPr>
          <w:rFonts w:cs="Tahoma"/>
        </w:rPr>
        <w:instrText xml:space="preserve"> PAGEREF _Ref460320332 \h </w:instrText>
      </w:r>
      <w:r w:rsidR="00131F29" w:rsidRPr="00520273">
        <w:rPr>
          <w:rFonts w:cs="Tahoma"/>
        </w:rPr>
      </w:r>
      <w:r w:rsidR="00131F29" w:rsidRPr="00520273">
        <w:rPr>
          <w:rFonts w:cs="Tahoma"/>
        </w:rPr>
        <w:fldChar w:fldCharType="separate"/>
      </w:r>
      <w:r w:rsidR="00F0636B">
        <w:rPr>
          <w:rFonts w:cs="Tahoma"/>
          <w:noProof/>
        </w:rPr>
        <w:t>8</w:t>
      </w:r>
      <w:r w:rsidR="00131F29" w:rsidRPr="00520273">
        <w:rPr>
          <w:rFonts w:cs="Tahoma"/>
        </w:rPr>
        <w:fldChar w:fldCharType="end"/>
      </w:r>
      <w:r w:rsidRPr="00520273">
        <w:rPr>
          <w:rFonts w:cs="Tahoma"/>
        </w:rPr>
        <w:t>).</w:t>
      </w:r>
    </w:p>
    <w:p w14:paraId="64FB65C0" w14:textId="77777777" w:rsidR="00C17BF2" w:rsidRPr="00245955" w:rsidRDefault="00C17BF2" w:rsidP="00F0636B">
      <w:pPr>
        <w:pStyle w:val="Heading2Numbered"/>
      </w:pPr>
      <w:bookmarkStart w:id="112" w:name="_Toc417910967"/>
      <w:bookmarkStart w:id="113" w:name="_Toc464222947"/>
      <w:r w:rsidRPr="00245955">
        <w:t>Option 1: exploring direct causal links between CS&amp;H infrastructure and competitiveness</w:t>
      </w:r>
      <w:bookmarkEnd w:id="112"/>
      <w:bookmarkEnd w:id="113"/>
    </w:p>
    <w:p w14:paraId="1B7B53E3" w14:textId="77777777" w:rsidR="00C17BF2" w:rsidRPr="00397F94" w:rsidRDefault="00C17BF2" w:rsidP="00C17BF2">
      <w:pPr>
        <w:rPr>
          <w:rFonts w:cs="Tahoma"/>
        </w:rPr>
      </w:pPr>
      <w:r w:rsidRPr="00397F94">
        <w:rPr>
          <w:rFonts w:cs="Tahoma"/>
        </w:rPr>
        <w:t xml:space="preserve">Option 1 would test the hypothesis that </w:t>
      </w:r>
      <w:r w:rsidRPr="00397F94">
        <w:rPr>
          <w:rFonts w:cs="Tahoma"/>
          <w:b/>
        </w:rPr>
        <w:t>there are direct causal links between concentrations of culture, sport and heritage (CS&amp;H) infrastructure and/or investment in CS&amp;H infrastructure and indicators of competitiveness</w:t>
      </w:r>
      <w:r w:rsidRPr="00397F94">
        <w:rPr>
          <w:rFonts w:cs="Tahoma"/>
        </w:rPr>
        <w:t xml:space="preserve">. We use here as an example, business concentration or immigration of creative industries. However, other indicators may be used depending on data availability and/or meaningfulness (e.g. immigration of highly qualified individuals). </w:t>
      </w:r>
    </w:p>
    <w:p w14:paraId="654DFCD6" w14:textId="44EBBBC0" w:rsidR="00C17BF2" w:rsidRDefault="00C17BF2" w:rsidP="00C17BF2">
      <w:pPr>
        <w:rPr>
          <w:rFonts w:cs="Tahoma"/>
        </w:rPr>
      </w:pPr>
      <w:r w:rsidRPr="00397F94">
        <w:rPr>
          <w:rFonts w:cs="Tahoma"/>
        </w:rPr>
        <w:t xml:space="preserve">An econometric testing of that type would use as a dependent variable a business indicator to be determined (e.g. density of creative businesses, migration of creative businesses etc.) and a set of independent variables traditionally used to determine business location decisions. One of the independent variables would be concentration of CS&amp;H infrastructure and/or investment in CS&amp;H infrastructure and business concentration. This would allow us to test whether concentration of CS&amp;H infrastructure and/or investment in CS&amp;H infrastructure and business concentration has a </w:t>
      </w:r>
      <w:r w:rsidRPr="00397F94">
        <w:rPr>
          <w:rFonts w:cs="Tahoma"/>
          <w:i/>
        </w:rPr>
        <w:t>direct</w:t>
      </w:r>
      <w:r w:rsidRPr="00397F94">
        <w:rPr>
          <w:rFonts w:cs="Tahoma"/>
        </w:rPr>
        <w:t xml:space="preserve"> statistically significant impact on business location (and therefore on local/regional competitiveness).</w:t>
      </w:r>
      <w:r w:rsidR="00A033C6">
        <w:rPr>
          <w:rFonts w:cs="Tahoma"/>
        </w:rPr>
        <w:t xml:space="preserve"> </w:t>
      </w:r>
    </w:p>
    <w:p w14:paraId="4317DF71" w14:textId="77777777" w:rsidR="00511EC8" w:rsidRPr="00397F94" w:rsidRDefault="00511EC8" w:rsidP="00C17BF2">
      <w:pPr>
        <w:rPr>
          <w:rFonts w:cs="Tahoma"/>
        </w:rPr>
      </w:pPr>
    </w:p>
    <w:p w14:paraId="7BE9819E" w14:textId="77777777" w:rsidR="00C17BF2" w:rsidRDefault="00C17BF2" w:rsidP="00C17BF2">
      <w:pPr>
        <w:rPr>
          <w:rFonts w:cs="Arial"/>
        </w:rPr>
      </w:pPr>
      <w:r>
        <w:rPr>
          <w:rFonts w:cs="Arial"/>
          <w:noProof/>
          <w:lang w:val="en-US"/>
        </w:rPr>
        <w:drawing>
          <wp:inline distT="0" distB="0" distL="0" distR="0" wp14:anchorId="40C87C6D" wp14:editId="665A48C6">
            <wp:extent cx="4954270" cy="16922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54270" cy="1692275"/>
                    </a:xfrm>
                    <a:prstGeom prst="rect">
                      <a:avLst/>
                    </a:prstGeom>
                    <a:noFill/>
                    <a:ln>
                      <a:noFill/>
                    </a:ln>
                  </pic:spPr>
                </pic:pic>
              </a:graphicData>
            </a:graphic>
          </wp:inline>
        </w:drawing>
      </w:r>
    </w:p>
    <w:p w14:paraId="39A29016" w14:textId="77777777" w:rsidR="002A635D" w:rsidRDefault="002A635D" w:rsidP="00C17BF2">
      <w:pPr>
        <w:rPr>
          <w:rFonts w:cs="Arial"/>
        </w:rPr>
      </w:pPr>
    </w:p>
    <w:p w14:paraId="481E8F79" w14:textId="228E860D" w:rsidR="00C17BF2" w:rsidRPr="00397F94" w:rsidRDefault="00C17BF2" w:rsidP="00C17BF2">
      <w:r w:rsidRPr="00397F94">
        <w:t xml:space="preserve">In a nutshell, this approach would use previous (established in the economics literature) regression models to explain business location by adding to these models one variable on concentration of / investment in CS&amp;H infrastructure. </w:t>
      </w:r>
    </w:p>
    <w:p w14:paraId="6CE9F4AE" w14:textId="77777777" w:rsidR="00C17BF2" w:rsidRPr="00245955" w:rsidRDefault="00C17BF2" w:rsidP="00F0636B">
      <w:pPr>
        <w:pStyle w:val="Heading2Numbered"/>
      </w:pPr>
      <w:bookmarkStart w:id="114" w:name="_Toc417910968"/>
      <w:bookmarkStart w:id="115" w:name="_Toc464222948"/>
      <w:r w:rsidRPr="00245955">
        <w:t>Option 2: exploring indirect causal links between CS &amp; H infrastructure and competitiveness</w:t>
      </w:r>
      <w:bookmarkEnd w:id="114"/>
      <w:bookmarkEnd w:id="115"/>
    </w:p>
    <w:p w14:paraId="665C9DC9" w14:textId="388DF952" w:rsidR="00C17BF2" w:rsidRPr="00397F94" w:rsidRDefault="00C17BF2" w:rsidP="00C17BF2">
      <w:pPr>
        <w:rPr>
          <w:rFonts w:cs="Tahoma"/>
        </w:rPr>
      </w:pPr>
      <w:r w:rsidRPr="00397F94">
        <w:rPr>
          <w:rFonts w:cs="Tahoma"/>
        </w:rPr>
        <w:t>Concentration of, and investment in, CS&amp;H infrastructure has multiple short and long term impacts on urban spaces (and local and regional social economies). Some of these impacts are likely to affect pull (</w:t>
      </w:r>
      <w:r w:rsidR="002A635D">
        <w:rPr>
          <w:rFonts w:cs="Tahoma"/>
        </w:rPr>
        <w:t xml:space="preserve">and </w:t>
      </w:r>
      <w:r w:rsidRPr="00397F94">
        <w:rPr>
          <w:rFonts w:cs="Tahoma"/>
        </w:rPr>
        <w:t xml:space="preserve">push) factors of businesses. Some of these links have already been explored in previous quantative analyses, to an extent. </w:t>
      </w:r>
    </w:p>
    <w:p w14:paraId="0A1E1B7D" w14:textId="77777777" w:rsidR="00C17BF2" w:rsidRPr="00397F94" w:rsidRDefault="00C17BF2" w:rsidP="00C17BF2">
      <w:pPr>
        <w:rPr>
          <w:rFonts w:cs="Tahoma"/>
        </w:rPr>
      </w:pPr>
      <w:r w:rsidRPr="00397F94">
        <w:rPr>
          <w:rFonts w:cs="Tahoma"/>
        </w:rPr>
        <w:t xml:space="preserve">In a situation whereby no </w:t>
      </w:r>
      <w:r w:rsidRPr="00397F94">
        <w:rPr>
          <w:rFonts w:cs="Tahoma"/>
          <w:i/>
        </w:rPr>
        <w:t>direct</w:t>
      </w:r>
      <w:r w:rsidRPr="00397F94">
        <w:rPr>
          <w:rFonts w:cs="Tahoma"/>
        </w:rPr>
        <w:t xml:space="preserve"> causal link can be established (either due to lack of appropriate data or due to non-statistically significant results) option 2 would test the hypothesis that </w:t>
      </w:r>
      <w:r w:rsidRPr="00397F94">
        <w:rPr>
          <w:rFonts w:cs="Tahoma"/>
          <w:b/>
        </w:rPr>
        <w:t xml:space="preserve">there are </w:t>
      </w:r>
      <w:r w:rsidRPr="00397F94">
        <w:rPr>
          <w:rFonts w:cs="Tahoma"/>
          <w:b/>
          <w:i/>
        </w:rPr>
        <w:t>indirect</w:t>
      </w:r>
      <w:r w:rsidRPr="00397F94">
        <w:rPr>
          <w:rFonts w:cs="Tahoma"/>
          <w:b/>
        </w:rPr>
        <w:t xml:space="preserve"> causal links between the impacts of CS&amp;H infrastructure on social economies (e.g. well-being, criminality, health etc.) and business location decisions</w:t>
      </w:r>
      <w:r w:rsidRPr="00397F94">
        <w:rPr>
          <w:rFonts w:cs="Tahoma"/>
        </w:rPr>
        <w:t xml:space="preserve">. </w:t>
      </w:r>
    </w:p>
    <w:p w14:paraId="40113A5D" w14:textId="77777777" w:rsidR="00C17BF2" w:rsidRDefault="00C17BF2" w:rsidP="00C17BF2">
      <w:pPr>
        <w:rPr>
          <w:rFonts w:cs="Tahoma"/>
        </w:rPr>
      </w:pPr>
      <w:r w:rsidRPr="00397F94">
        <w:rPr>
          <w:rFonts w:cs="Tahoma"/>
        </w:rPr>
        <w:t xml:space="preserve">As with option 1, the dependent variable will be a business indicator to be determined, but the independent variables added (to established regression models) would be key selected impacts of CS&amp;H infrastructure. </w:t>
      </w:r>
    </w:p>
    <w:p w14:paraId="5289CE45" w14:textId="77777777" w:rsidR="00511EC8" w:rsidRPr="00397F94" w:rsidRDefault="00511EC8" w:rsidP="00C17BF2">
      <w:pPr>
        <w:rPr>
          <w:rFonts w:cs="Tahoma"/>
        </w:rPr>
      </w:pPr>
    </w:p>
    <w:p w14:paraId="6FF8E536" w14:textId="77777777" w:rsidR="00C17BF2" w:rsidRDefault="00C17BF2" w:rsidP="00C17BF2">
      <w:pPr>
        <w:rPr>
          <w:rFonts w:cs="Arial"/>
        </w:rPr>
      </w:pPr>
      <w:r>
        <w:rPr>
          <w:rFonts w:cs="Arial"/>
          <w:noProof/>
          <w:lang w:val="en-US"/>
        </w:rPr>
        <w:drawing>
          <wp:inline distT="0" distB="0" distL="0" distR="0" wp14:anchorId="30A6B257" wp14:editId="0614885A">
            <wp:extent cx="5254625" cy="162433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4625" cy="1624330"/>
                    </a:xfrm>
                    <a:prstGeom prst="rect">
                      <a:avLst/>
                    </a:prstGeom>
                    <a:noFill/>
                    <a:ln>
                      <a:noFill/>
                    </a:ln>
                  </pic:spPr>
                </pic:pic>
              </a:graphicData>
            </a:graphic>
          </wp:inline>
        </w:drawing>
      </w:r>
    </w:p>
    <w:p w14:paraId="15BCA90E" w14:textId="77777777" w:rsidR="009543F0" w:rsidRDefault="009543F0" w:rsidP="00C17BF2">
      <w:pPr>
        <w:rPr>
          <w:rFonts w:cs="Arial"/>
        </w:rPr>
      </w:pPr>
    </w:p>
    <w:p w14:paraId="3A7E4A3E" w14:textId="1A037BF4" w:rsidR="00C17BF2" w:rsidRPr="00397F94" w:rsidRDefault="00C17BF2" w:rsidP="00C17BF2">
      <w:pPr>
        <w:rPr>
          <w:rFonts w:cs="Tahoma"/>
        </w:rPr>
      </w:pPr>
      <w:r w:rsidRPr="00397F94">
        <w:rPr>
          <w:rFonts w:cs="Tahoma"/>
        </w:rPr>
        <w:t>For example, since it is established that concentration of CS&amp;H infrastructure affects well-being indicators, then determining a causal link between business location (or concentration, migration</w:t>
      </w:r>
      <w:r w:rsidR="009543F0">
        <w:rPr>
          <w:rFonts w:cs="Tahoma"/>
        </w:rPr>
        <w:t>,</w:t>
      </w:r>
      <w:r w:rsidRPr="00397F94">
        <w:rPr>
          <w:rFonts w:cs="Tahoma"/>
        </w:rPr>
        <w:t xml:space="preserve"> etc.) and well-being would bring to the light the indirect link between sports and cultural infrastructure and local/regional competitiveness.</w:t>
      </w:r>
      <w:r w:rsidR="00A033C6">
        <w:rPr>
          <w:rFonts w:cs="Tahoma"/>
        </w:rPr>
        <w:t xml:space="preserve"> </w:t>
      </w:r>
      <w:r w:rsidRPr="00397F94">
        <w:rPr>
          <w:rFonts w:cs="Tahoma"/>
        </w:rPr>
        <w:t xml:space="preserve"> </w:t>
      </w:r>
    </w:p>
    <w:p w14:paraId="19F30FA8" w14:textId="112365DB" w:rsidR="00C17BF2" w:rsidRPr="00397F94" w:rsidRDefault="00C17BF2" w:rsidP="00C17BF2">
      <w:pPr>
        <w:rPr>
          <w:rFonts w:cs="Tahoma"/>
        </w:rPr>
      </w:pPr>
      <w:r w:rsidRPr="00397F94">
        <w:rPr>
          <w:rFonts w:cs="Tahoma"/>
        </w:rPr>
        <w:t xml:space="preserve">The challenge for this approach will be that (unless creating a composite indicator reflecting numerous socio-economic indicators) numerous models may need to be run </w:t>
      </w:r>
      <w:r w:rsidR="009543F0">
        <w:rPr>
          <w:rFonts w:cs="Tahoma"/>
        </w:rPr>
        <w:t>to</w:t>
      </w:r>
      <w:r w:rsidR="009543F0" w:rsidRPr="00397F94">
        <w:rPr>
          <w:rFonts w:cs="Tahoma"/>
        </w:rPr>
        <w:t xml:space="preserve"> </w:t>
      </w:r>
      <w:r w:rsidRPr="00397F94">
        <w:rPr>
          <w:rFonts w:cs="Tahoma"/>
        </w:rPr>
        <w:t>elicit the links between business location and respective socio-economic conditions.</w:t>
      </w:r>
      <w:r w:rsidR="00A033C6">
        <w:rPr>
          <w:rFonts w:cs="Tahoma"/>
        </w:rPr>
        <w:t xml:space="preserve"> </w:t>
      </w:r>
      <w:r w:rsidRPr="00397F94">
        <w:rPr>
          <w:rFonts w:cs="Tahoma"/>
        </w:rPr>
        <w:t xml:space="preserve"> </w:t>
      </w:r>
    </w:p>
    <w:p w14:paraId="1CAC5F6C" w14:textId="77777777" w:rsidR="00C17BF2" w:rsidRPr="00245955" w:rsidRDefault="00C17BF2" w:rsidP="00F0636B">
      <w:pPr>
        <w:pStyle w:val="Heading2Numbered"/>
      </w:pPr>
      <w:bookmarkStart w:id="116" w:name="_Toc417910969"/>
      <w:bookmarkStart w:id="117" w:name="_Toc464222949"/>
      <w:r w:rsidRPr="00245955">
        <w:t>Option 3: exploring indirect causal links between CS &amp; H infrastructure and competitiveness through a two-stage approach</w:t>
      </w:r>
      <w:bookmarkEnd w:id="116"/>
      <w:bookmarkEnd w:id="117"/>
    </w:p>
    <w:p w14:paraId="1BD57F57" w14:textId="69B896F0" w:rsidR="00C17BF2" w:rsidRPr="00397F94" w:rsidRDefault="00C17BF2" w:rsidP="00C17BF2">
      <w:pPr>
        <w:rPr>
          <w:rFonts w:cs="Tahoma"/>
        </w:rPr>
      </w:pPr>
      <w:r w:rsidRPr="00397F94">
        <w:rPr>
          <w:rFonts w:cs="Tahoma"/>
        </w:rPr>
        <w:t>Option 3 would be an enhanced version of option 2. If deemed that the quant</w:t>
      </w:r>
      <w:r w:rsidR="009543F0">
        <w:rPr>
          <w:rFonts w:cs="Tahoma"/>
        </w:rPr>
        <w:t>it</w:t>
      </w:r>
      <w:r w:rsidRPr="00397F94">
        <w:rPr>
          <w:rFonts w:cs="Tahoma"/>
        </w:rPr>
        <w:t xml:space="preserve">ative evidence on the links between CS&amp;H infrastructure (concentration and/or investment) and key socio-economic impacts affecting business location (concentration) are not sufficiently determined at a national scale, then this option would aim to test the following hypotheses: </w:t>
      </w:r>
    </w:p>
    <w:p w14:paraId="6882DC8F" w14:textId="77777777" w:rsidR="00C17BF2" w:rsidRPr="00397F94" w:rsidRDefault="00C17BF2" w:rsidP="00F0636B">
      <w:pPr>
        <w:pStyle w:val="Bullet"/>
      </w:pPr>
      <w:r w:rsidRPr="00397F94">
        <w:t xml:space="preserve">Firstly, that </w:t>
      </w:r>
      <w:r w:rsidRPr="00C17BF2">
        <w:t>there are causal links between CS&amp;H infrastructure and key socio-economic impacts, and</w:t>
      </w:r>
    </w:p>
    <w:p w14:paraId="7F543D60" w14:textId="77777777" w:rsidR="00C17BF2" w:rsidRPr="00397F94" w:rsidRDefault="00C17BF2" w:rsidP="00F0636B">
      <w:pPr>
        <w:pStyle w:val="Bullet"/>
      </w:pPr>
      <w:r w:rsidRPr="00397F94">
        <w:t xml:space="preserve">Secondly (as per Option 2) that </w:t>
      </w:r>
      <w:r w:rsidRPr="00C17BF2">
        <w:t>there are causal links between these impacts and concentration (migration etc.) of businesses</w:t>
      </w:r>
    </w:p>
    <w:p w14:paraId="5DC38D80" w14:textId="77777777" w:rsidR="00C17BF2" w:rsidRDefault="00C17BF2" w:rsidP="00C17BF2">
      <w:pPr>
        <w:rPr>
          <w:rFonts w:cs="Arial"/>
        </w:rPr>
      </w:pPr>
      <w:r>
        <w:rPr>
          <w:rFonts w:cs="Arial"/>
        </w:rPr>
        <w:t xml:space="preserve"> </w:t>
      </w:r>
    </w:p>
    <w:p w14:paraId="32184AA2" w14:textId="77777777" w:rsidR="00C17BF2" w:rsidRDefault="00C17BF2" w:rsidP="00C17BF2">
      <w:pPr>
        <w:rPr>
          <w:rFonts w:asciiTheme="minorHAnsi" w:hAnsiTheme="minorHAnsi" w:cstheme="minorBidi"/>
        </w:rPr>
      </w:pPr>
      <w:r>
        <w:rPr>
          <w:noProof/>
          <w:lang w:val="en-US"/>
        </w:rPr>
        <w:drawing>
          <wp:inline distT="0" distB="0" distL="0" distR="0" wp14:anchorId="5CBFA8E1" wp14:editId="3FBEA4D1">
            <wp:extent cx="5090795" cy="18967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0795" cy="1896745"/>
                    </a:xfrm>
                    <a:prstGeom prst="rect">
                      <a:avLst/>
                    </a:prstGeom>
                    <a:noFill/>
                    <a:ln>
                      <a:noFill/>
                    </a:ln>
                  </pic:spPr>
                </pic:pic>
              </a:graphicData>
            </a:graphic>
          </wp:inline>
        </w:drawing>
      </w:r>
    </w:p>
    <w:p w14:paraId="698366ED" w14:textId="77777777" w:rsidR="009543F0" w:rsidRDefault="009543F0" w:rsidP="00C17BF2">
      <w:pPr>
        <w:rPr>
          <w:rFonts w:asciiTheme="minorHAnsi" w:hAnsiTheme="minorHAnsi" w:cstheme="minorBidi"/>
        </w:rPr>
      </w:pPr>
    </w:p>
    <w:p w14:paraId="68F3E83D" w14:textId="77777777" w:rsidR="00C17BF2" w:rsidRPr="00397F94" w:rsidRDefault="00C17BF2" w:rsidP="00C17BF2">
      <w:pPr>
        <w:rPr>
          <w:rFonts w:cs="Tahoma"/>
        </w:rPr>
      </w:pPr>
      <w:r w:rsidRPr="00397F94">
        <w:rPr>
          <w:rFonts w:cs="Tahoma"/>
        </w:rPr>
        <w:t xml:space="preserve">For example, if there is a causal link between concentration of sports and cultural infrastructure and criminality levels, and there is also a causal link between criminality levels and business location decisions, then there is a strong case for suggesting that CS&amp;H infrastructure may affect business location decisions and thus local and regional competitiveness. This approach is thus an indirect way of eliciting possible routes through which sports and cultural infrastructure affect economic outcomes for local areas or regions. </w:t>
      </w:r>
    </w:p>
    <w:p w14:paraId="70215F9F" w14:textId="77777777" w:rsidR="00C17BF2" w:rsidRDefault="00C17BF2" w:rsidP="00C17BF2"/>
    <w:p w14:paraId="4B5E5371" w14:textId="77777777" w:rsidR="00C17BF2" w:rsidRDefault="00C17BF2" w:rsidP="00C17BF2"/>
    <w:p w14:paraId="7CB3F97A" w14:textId="77777777" w:rsidR="00C17BF2" w:rsidRDefault="00C17BF2" w:rsidP="00C17BF2">
      <w:pPr>
        <w:pStyle w:val="Heading1"/>
        <w:pageBreakBefore w:val="0"/>
        <w:pBdr>
          <w:bottom w:val="none" w:sz="0" w:space="0" w:color="auto"/>
        </w:pBdr>
        <w:spacing w:before="360" w:after="120"/>
        <w:jc w:val="both"/>
      </w:pPr>
      <w:r>
        <w:br w:type="page"/>
      </w:r>
    </w:p>
    <w:p w14:paraId="534DABDD" w14:textId="082A7555" w:rsidR="00AF1E6B" w:rsidRPr="00AF1E6B" w:rsidRDefault="00AF1E6B" w:rsidP="00AF1E6B">
      <w:pPr>
        <w:pStyle w:val="Heading1Numbered"/>
        <w:rPr>
          <w:lang w:val="en-US"/>
        </w:rPr>
      </w:pPr>
      <w:bookmarkStart w:id="118" w:name="_Toc464222950"/>
      <w:bookmarkStart w:id="119" w:name="_Ref460316349"/>
      <w:bookmarkStart w:id="120" w:name="_Ref460316353"/>
      <w:bookmarkStart w:id="121" w:name="_Ref464204652"/>
      <w:bookmarkStart w:id="122" w:name="_Ref464204674"/>
      <w:r w:rsidRPr="00AF1E6B">
        <w:rPr>
          <w:lang w:val="en-US"/>
        </w:rPr>
        <w:t xml:space="preserve">Appendix </w:t>
      </w:r>
      <w:r w:rsidR="00EE41B4">
        <w:rPr>
          <w:lang w:val="en-US"/>
        </w:rPr>
        <w:t>III</w:t>
      </w:r>
      <w:r>
        <w:rPr>
          <w:lang w:val="en-US"/>
        </w:rPr>
        <w:t xml:space="preserve"> –</w:t>
      </w:r>
      <w:r w:rsidRPr="00AF1E6B">
        <w:rPr>
          <w:lang w:val="en-US"/>
        </w:rPr>
        <w:t xml:space="preserve"> Correlation analysis</w:t>
      </w:r>
      <w:bookmarkEnd w:id="118"/>
    </w:p>
    <w:p w14:paraId="65C72E6D" w14:textId="281FBE97" w:rsidR="00AF1E6B" w:rsidRDefault="00AF1E6B" w:rsidP="005567B2">
      <w:r>
        <w:t>This section presents findings from an initial exploration of the relationships between CS&amp;H assets and investment and local economic performance. This analysis was undertaken in order</w:t>
      </w:r>
      <w:r w:rsidRPr="00C973B0">
        <w:t xml:space="preserve"> to determine whether any </w:t>
      </w:r>
      <w:r>
        <w:t xml:space="preserve">correlation is at play </w:t>
      </w:r>
      <w:r w:rsidRPr="00C973B0">
        <w:t xml:space="preserve">between CS&amp;H infrastructure indicators and </w:t>
      </w:r>
      <w:r>
        <w:t>economic</w:t>
      </w:r>
      <w:r w:rsidRPr="00C973B0">
        <w:t xml:space="preserve"> indicators</w:t>
      </w:r>
      <w:r>
        <w:t xml:space="preserve">, </w:t>
      </w:r>
      <w:r w:rsidRPr="00C973B0">
        <w:t xml:space="preserve">effectively testing whether </w:t>
      </w:r>
      <w:r>
        <w:t xml:space="preserve">the first of our quantitative analysis options (see section </w:t>
      </w:r>
      <w:r>
        <w:fldChar w:fldCharType="begin"/>
      </w:r>
      <w:r>
        <w:instrText xml:space="preserve"> REF _Ref460315918 \r \h </w:instrText>
      </w:r>
      <w:r w:rsidR="005567B2">
        <w:instrText xml:space="preserve"> \* MERGEFORMAT </w:instrText>
      </w:r>
      <w:r>
        <w:fldChar w:fldCharType="separate"/>
      </w:r>
      <w:r w:rsidR="00F0636B">
        <w:t>7:</w:t>
      </w:r>
      <w:r>
        <w:fldChar w:fldCharType="end"/>
      </w:r>
      <w:r>
        <w:t>, p.</w:t>
      </w:r>
      <w:r>
        <w:fldChar w:fldCharType="begin"/>
      </w:r>
      <w:r>
        <w:instrText xml:space="preserve"> PAGEREF _Ref460315918 \h </w:instrText>
      </w:r>
      <w:r>
        <w:fldChar w:fldCharType="separate"/>
      </w:r>
      <w:r w:rsidR="00F0636B">
        <w:rPr>
          <w:noProof/>
        </w:rPr>
        <w:t>82</w:t>
      </w:r>
      <w:r>
        <w:fldChar w:fldCharType="end"/>
      </w:r>
      <w:r>
        <w:t>)</w:t>
      </w:r>
      <w:r w:rsidRPr="00C973B0">
        <w:t xml:space="preserve"> </w:t>
      </w:r>
      <w:proofErr w:type="gramStart"/>
      <w:r>
        <w:t>would</w:t>
      </w:r>
      <w:proofErr w:type="gramEnd"/>
      <w:r>
        <w:t xml:space="preserve"> be likely to yield meaningful results</w:t>
      </w:r>
      <w:r w:rsidRPr="00C973B0">
        <w:t xml:space="preserve">. </w:t>
      </w:r>
    </w:p>
    <w:p w14:paraId="254CF014" w14:textId="4CFA2D98" w:rsidR="00AF1E6B" w:rsidRPr="00C973B0" w:rsidRDefault="00AF1E6B" w:rsidP="005567B2">
      <w:r>
        <w:t>Correlations were run between key variables to examine whether relationships exist. Note that correlations were run on static data (i.e. in one year). To test relationships over time, regression analysis is needed.</w:t>
      </w:r>
    </w:p>
    <w:p w14:paraId="13A2F900" w14:textId="42CB000F" w:rsidR="00AF1E6B" w:rsidRDefault="00AF1E6B" w:rsidP="005567B2">
      <w:r>
        <w:t>Initial correlations were run for 2013 using local authorities as the unit of analysis, in order to test whether simple relationships exist. Correlations were re-tested for 2006 where initial findings suggested a strong relationship.</w:t>
      </w:r>
    </w:p>
    <w:p w14:paraId="51B6CDE9" w14:textId="5B6E9767" w:rsidR="00AC62D7" w:rsidRDefault="00AC62D7" w:rsidP="00F0636B">
      <w:pPr>
        <w:pStyle w:val="Heading2Numbered"/>
      </w:pPr>
      <w:bookmarkStart w:id="123" w:name="_Toc464222951"/>
      <w:r>
        <w:t>Key findings</w:t>
      </w:r>
      <w:bookmarkEnd w:id="123"/>
    </w:p>
    <w:p w14:paraId="75571B14" w14:textId="1D9B2258" w:rsidR="00AF1E6B" w:rsidRDefault="00AC62D7" w:rsidP="005567B2">
      <w:r>
        <w:fldChar w:fldCharType="begin"/>
      </w:r>
      <w:r>
        <w:instrText xml:space="preserve"> REF _Ref464211866 \h </w:instrText>
      </w:r>
      <w:r>
        <w:fldChar w:fldCharType="separate"/>
      </w:r>
      <w:r w:rsidR="00F0636B">
        <w:t xml:space="preserve">Table </w:t>
      </w:r>
      <w:r w:rsidR="00F0636B">
        <w:rPr>
          <w:noProof/>
        </w:rPr>
        <w:t>10</w:t>
      </w:r>
      <w:r>
        <w:fldChar w:fldCharType="end"/>
      </w:r>
      <w:r>
        <w:t xml:space="preserve"> </w:t>
      </w:r>
      <w:r w:rsidR="00AF1E6B">
        <w:t>shows the results for correlations between indicators of competitiveness and CS&amp;H investment in 2013.</w:t>
      </w:r>
    </w:p>
    <w:p w14:paraId="5520CB4A" w14:textId="77777777" w:rsidR="00AC62D7" w:rsidRDefault="00AC62D7" w:rsidP="005567B2"/>
    <w:p w14:paraId="64756153" w14:textId="01FA6CCA" w:rsidR="00AC62D7" w:rsidRDefault="00AC62D7" w:rsidP="00F0636B">
      <w:pPr>
        <w:pStyle w:val="Caption"/>
      </w:pPr>
      <w:bookmarkStart w:id="124" w:name="_Ref464211866"/>
      <w:bookmarkStart w:id="125" w:name="_Toc464220264"/>
      <w:r>
        <w:t xml:space="preserve">Table </w:t>
      </w:r>
      <w:fldSimple w:instr=" SEQ Table \* ARABIC ">
        <w:r w:rsidR="00F0636B">
          <w:rPr>
            <w:noProof/>
          </w:rPr>
          <w:t>10</w:t>
        </w:r>
      </w:fldSimple>
      <w:bookmarkEnd w:id="124"/>
      <w:r>
        <w:t xml:space="preserve">: </w:t>
      </w:r>
      <w:r w:rsidR="0016776E">
        <w:t>Selected c</w:t>
      </w:r>
      <w:r w:rsidRPr="00AC62D7">
        <w:t>orrelations between CS&amp;H investment</w:t>
      </w:r>
      <w:r>
        <w:t xml:space="preserve"> and economic indicators</w:t>
      </w:r>
      <w:r w:rsidRPr="00AC62D7">
        <w:t>, 2013</w:t>
      </w:r>
      <w:bookmarkEnd w:id="125"/>
    </w:p>
    <w:tbl>
      <w:tblPr>
        <w:tblStyle w:val="TableGrid"/>
        <w:tblW w:w="0" w:type="auto"/>
        <w:tblLayout w:type="fixed"/>
        <w:tblLook w:val="04A0" w:firstRow="1" w:lastRow="0" w:firstColumn="1" w:lastColumn="0" w:noHBand="0" w:noVBand="1"/>
      </w:tblPr>
      <w:tblGrid>
        <w:gridCol w:w="2376"/>
        <w:gridCol w:w="799"/>
        <w:gridCol w:w="799"/>
        <w:gridCol w:w="800"/>
        <w:gridCol w:w="799"/>
        <w:gridCol w:w="799"/>
        <w:gridCol w:w="800"/>
        <w:gridCol w:w="799"/>
        <w:gridCol w:w="799"/>
        <w:gridCol w:w="800"/>
      </w:tblGrid>
      <w:tr w:rsidR="00AC62D7" w:rsidRPr="00AC62D7" w14:paraId="26AA8E0C" w14:textId="77777777" w:rsidTr="00F0636B">
        <w:trPr>
          <w:cantSplit/>
          <w:trHeight w:val="2131"/>
        </w:trPr>
        <w:tc>
          <w:tcPr>
            <w:tcW w:w="2376" w:type="dxa"/>
            <w:hideMark/>
          </w:tcPr>
          <w:p w14:paraId="6BD0BC8B" w14:textId="77777777" w:rsidR="00AC62D7" w:rsidRPr="00F0636B" w:rsidRDefault="00AC62D7" w:rsidP="00F0636B">
            <w:pPr>
              <w:spacing w:before="40" w:after="40"/>
              <w:ind w:left="0"/>
              <w:rPr>
                <w:sz w:val="18"/>
                <w:szCs w:val="18"/>
              </w:rPr>
            </w:pPr>
          </w:p>
        </w:tc>
        <w:tc>
          <w:tcPr>
            <w:tcW w:w="799" w:type="dxa"/>
            <w:textDirection w:val="btLr"/>
            <w:vAlign w:val="bottom"/>
            <w:hideMark/>
          </w:tcPr>
          <w:p w14:paraId="41DDFF48" w14:textId="77777777" w:rsidR="00AC62D7" w:rsidRPr="00F0636B" w:rsidRDefault="00AC62D7" w:rsidP="00F0636B">
            <w:pPr>
              <w:spacing w:before="0"/>
              <w:ind w:left="113" w:right="113"/>
              <w:rPr>
                <w:sz w:val="18"/>
                <w:szCs w:val="18"/>
              </w:rPr>
            </w:pPr>
            <w:r w:rsidRPr="00F0636B">
              <w:rPr>
                <w:sz w:val="18"/>
                <w:szCs w:val="18"/>
              </w:rPr>
              <w:t>Total number of firms</w:t>
            </w:r>
          </w:p>
        </w:tc>
        <w:tc>
          <w:tcPr>
            <w:tcW w:w="799" w:type="dxa"/>
            <w:textDirection w:val="btLr"/>
            <w:vAlign w:val="bottom"/>
            <w:hideMark/>
          </w:tcPr>
          <w:p w14:paraId="7C973E73" w14:textId="77777777" w:rsidR="00AC62D7" w:rsidRPr="00F0636B" w:rsidRDefault="00AC62D7" w:rsidP="00F0636B">
            <w:pPr>
              <w:spacing w:before="0"/>
              <w:ind w:left="113" w:right="113"/>
              <w:rPr>
                <w:sz w:val="18"/>
                <w:szCs w:val="18"/>
              </w:rPr>
            </w:pPr>
            <w:r w:rsidRPr="00F0636B">
              <w:rPr>
                <w:sz w:val="18"/>
                <w:szCs w:val="18"/>
              </w:rPr>
              <w:t>Total turnover of all firms</w:t>
            </w:r>
          </w:p>
        </w:tc>
        <w:tc>
          <w:tcPr>
            <w:tcW w:w="800" w:type="dxa"/>
            <w:textDirection w:val="btLr"/>
            <w:vAlign w:val="bottom"/>
            <w:hideMark/>
          </w:tcPr>
          <w:p w14:paraId="5143C50D" w14:textId="77777777" w:rsidR="00AC62D7" w:rsidRPr="00F0636B" w:rsidRDefault="00AC62D7" w:rsidP="00F0636B">
            <w:pPr>
              <w:spacing w:before="0"/>
              <w:ind w:left="113" w:right="113"/>
              <w:rPr>
                <w:sz w:val="18"/>
                <w:szCs w:val="18"/>
              </w:rPr>
            </w:pPr>
            <w:r w:rsidRPr="00F0636B">
              <w:rPr>
                <w:sz w:val="18"/>
                <w:szCs w:val="18"/>
              </w:rPr>
              <w:t>Turnover growth rate of all firms</w:t>
            </w:r>
          </w:p>
        </w:tc>
        <w:tc>
          <w:tcPr>
            <w:tcW w:w="799" w:type="dxa"/>
            <w:textDirection w:val="btLr"/>
            <w:vAlign w:val="bottom"/>
            <w:hideMark/>
          </w:tcPr>
          <w:p w14:paraId="2FEB668E" w14:textId="77777777" w:rsidR="00AC62D7" w:rsidRPr="00F0636B" w:rsidRDefault="00AC62D7" w:rsidP="00F0636B">
            <w:pPr>
              <w:spacing w:before="0"/>
              <w:ind w:left="113" w:right="113"/>
              <w:rPr>
                <w:sz w:val="18"/>
                <w:szCs w:val="18"/>
              </w:rPr>
            </w:pPr>
            <w:r w:rsidRPr="00F0636B">
              <w:rPr>
                <w:sz w:val="18"/>
                <w:szCs w:val="18"/>
              </w:rPr>
              <w:t>Number of creative industries firms</w:t>
            </w:r>
          </w:p>
        </w:tc>
        <w:tc>
          <w:tcPr>
            <w:tcW w:w="799" w:type="dxa"/>
            <w:textDirection w:val="btLr"/>
            <w:vAlign w:val="bottom"/>
            <w:hideMark/>
          </w:tcPr>
          <w:p w14:paraId="74CA1F76" w14:textId="77777777" w:rsidR="00AC62D7" w:rsidRPr="00F0636B" w:rsidRDefault="00AC62D7" w:rsidP="00F0636B">
            <w:pPr>
              <w:spacing w:before="0"/>
              <w:ind w:left="113" w:right="113"/>
              <w:rPr>
                <w:sz w:val="18"/>
                <w:szCs w:val="18"/>
              </w:rPr>
            </w:pPr>
            <w:r w:rsidRPr="00F0636B">
              <w:rPr>
                <w:sz w:val="18"/>
                <w:szCs w:val="18"/>
              </w:rPr>
              <w:t>Creative industries firms per capita</w:t>
            </w:r>
          </w:p>
        </w:tc>
        <w:tc>
          <w:tcPr>
            <w:tcW w:w="800" w:type="dxa"/>
            <w:textDirection w:val="btLr"/>
            <w:vAlign w:val="bottom"/>
            <w:hideMark/>
          </w:tcPr>
          <w:p w14:paraId="0925F5D2" w14:textId="77777777" w:rsidR="00AC62D7" w:rsidRPr="00F0636B" w:rsidRDefault="00AC62D7" w:rsidP="00F0636B">
            <w:pPr>
              <w:spacing w:before="0"/>
              <w:ind w:left="113" w:right="113"/>
              <w:rPr>
                <w:sz w:val="18"/>
                <w:szCs w:val="18"/>
              </w:rPr>
            </w:pPr>
            <w:r w:rsidRPr="00F0636B">
              <w:rPr>
                <w:sz w:val="18"/>
                <w:szCs w:val="18"/>
              </w:rPr>
              <w:t>Creative industries firms LQ</w:t>
            </w:r>
          </w:p>
        </w:tc>
        <w:tc>
          <w:tcPr>
            <w:tcW w:w="799" w:type="dxa"/>
            <w:textDirection w:val="btLr"/>
            <w:vAlign w:val="bottom"/>
            <w:hideMark/>
          </w:tcPr>
          <w:p w14:paraId="105427D3" w14:textId="77777777" w:rsidR="00AC62D7" w:rsidRPr="00F0636B" w:rsidRDefault="00AC62D7" w:rsidP="00F0636B">
            <w:pPr>
              <w:spacing w:before="0"/>
              <w:ind w:left="113" w:right="113"/>
              <w:rPr>
                <w:sz w:val="18"/>
                <w:szCs w:val="18"/>
              </w:rPr>
            </w:pPr>
            <w:r w:rsidRPr="00F0636B">
              <w:rPr>
                <w:sz w:val="18"/>
                <w:szCs w:val="18"/>
              </w:rPr>
              <w:t>Net migration of creative industries firms</w:t>
            </w:r>
          </w:p>
        </w:tc>
        <w:tc>
          <w:tcPr>
            <w:tcW w:w="799" w:type="dxa"/>
            <w:textDirection w:val="btLr"/>
            <w:vAlign w:val="bottom"/>
            <w:hideMark/>
          </w:tcPr>
          <w:p w14:paraId="0788756A" w14:textId="77777777" w:rsidR="00AC62D7" w:rsidRPr="00F0636B" w:rsidRDefault="00AC62D7" w:rsidP="00F0636B">
            <w:pPr>
              <w:spacing w:before="0"/>
              <w:ind w:left="113" w:right="113"/>
              <w:rPr>
                <w:sz w:val="18"/>
                <w:szCs w:val="18"/>
              </w:rPr>
            </w:pPr>
            <w:r w:rsidRPr="00F0636B">
              <w:rPr>
                <w:sz w:val="18"/>
                <w:szCs w:val="18"/>
              </w:rPr>
              <w:t>Turnover of creative industries firms</w:t>
            </w:r>
          </w:p>
        </w:tc>
        <w:tc>
          <w:tcPr>
            <w:tcW w:w="800" w:type="dxa"/>
            <w:textDirection w:val="btLr"/>
            <w:vAlign w:val="bottom"/>
            <w:hideMark/>
          </w:tcPr>
          <w:p w14:paraId="190D19FC" w14:textId="77777777" w:rsidR="00AC62D7" w:rsidRPr="00F0636B" w:rsidRDefault="00AC62D7" w:rsidP="00F0636B">
            <w:pPr>
              <w:spacing w:before="0"/>
              <w:ind w:left="113" w:right="113"/>
              <w:rPr>
                <w:sz w:val="18"/>
                <w:szCs w:val="18"/>
              </w:rPr>
            </w:pPr>
            <w:r w:rsidRPr="00F0636B">
              <w:rPr>
                <w:sz w:val="18"/>
                <w:szCs w:val="18"/>
              </w:rPr>
              <w:t>Turnover growth rate of creative industries firms</w:t>
            </w:r>
          </w:p>
        </w:tc>
      </w:tr>
      <w:tr w:rsidR="00AC62D7" w:rsidRPr="00AC62D7" w14:paraId="214F75C9" w14:textId="77777777" w:rsidTr="00F0636B">
        <w:trPr>
          <w:trHeight w:val="285"/>
        </w:trPr>
        <w:tc>
          <w:tcPr>
            <w:tcW w:w="2376" w:type="dxa"/>
            <w:noWrap/>
            <w:hideMark/>
          </w:tcPr>
          <w:p w14:paraId="7818305B" w14:textId="77777777" w:rsidR="00AC62D7" w:rsidRPr="00F0636B" w:rsidRDefault="00AC62D7" w:rsidP="00F0636B">
            <w:pPr>
              <w:spacing w:before="40" w:after="40"/>
              <w:ind w:left="0"/>
              <w:rPr>
                <w:sz w:val="18"/>
                <w:szCs w:val="18"/>
              </w:rPr>
            </w:pPr>
            <w:r w:rsidRPr="00F0636B">
              <w:rPr>
                <w:sz w:val="18"/>
                <w:szCs w:val="18"/>
              </w:rPr>
              <w:t>Total CS&amp;H investment</w:t>
            </w:r>
          </w:p>
        </w:tc>
        <w:tc>
          <w:tcPr>
            <w:tcW w:w="799" w:type="dxa"/>
            <w:noWrap/>
            <w:vAlign w:val="center"/>
            <w:hideMark/>
          </w:tcPr>
          <w:p w14:paraId="530416A2" w14:textId="77777777" w:rsidR="00AC62D7" w:rsidRPr="00F0636B" w:rsidRDefault="00AC62D7" w:rsidP="00F0636B">
            <w:pPr>
              <w:spacing w:before="40" w:after="40"/>
              <w:ind w:left="0"/>
              <w:jc w:val="right"/>
              <w:rPr>
                <w:sz w:val="18"/>
                <w:szCs w:val="18"/>
              </w:rPr>
            </w:pPr>
            <w:r w:rsidRPr="00F0636B">
              <w:rPr>
                <w:sz w:val="18"/>
                <w:szCs w:val="18"/>
              </w:rPr>
              <w:t>0.78</w:t>
            </w:r>
          </w:p>
        </w:tc>
        <w:tc>
          <w:tcPr>
            <w:tcW w:w="799" w:type="dxa"/>
            <w:noWrap/>
            <w:vAlign w:val="center"/>
            <w:hideMark/>
          </w:tcPr>
          <w:p w14:paraId="5EE51D31" w14:textId="77777777" w:rsidR="00AC62D7" w:rsidRPr="00F0636B" w:rsidRDefault="00AC62D7" w:rsidP="00F0636B">
            <w:pPr>
              <w:spacing w:before="40" w:after="40"/>
              <w:ind w:left="0"/>
              <w:jc w:val="right"/>
              <w:rPr>
                <w:sz w:val="18"/>
                <w:szCs w:val="18"/>
              </w:rPr>
            </w:pPr>
            <w:r w:rsidRPr="00F0636B">
              <w:rPr>
                <w:sz w:val="18"/>
                <w:szCs w:val="18"/>
              </w:rPr>
              <w:t>0.43</w:t>
            </w:r>
          </w:p>
        </w:tc>
        <w:tc>
          <w:tcPr>
            <w:tcW w:w="800" w:type="dxa"/>
            <w:noWrap/>
            <w:vAlign w:val="center"/>
            <w:hideMark/>
          </w:tcPr>
          <w:p w14:paraId="169DC090" w14:textId="77777777" w:rsidR="00AC62D7" w:rsidRPr="00F0636B" w:rsidRDefault="00AC62D7" w:rsidP="00F0636B">
            <w:pPr>
              <w:spacing w:before="40" w:after="40"/>
              <w:ind w:left="0"/>
              <w:jc w:val="right"/>
              <w:rPr>
                <w:sz w:val="18"/>
                <w:szCs w:val="18"/>
              </w:rPr>
            </w:pPr>
            <w:r w:rsidRPr="00F0636B">
              <w:rPr>
                <w:sz w:val="18"/>
                <w:szCs w:val="18"/>
              </w:rPr>
              <w:t>0.04</w:t>
            </w:r>
          </w:p>
        </w:tc>
        <w:tc>
          <w:tcPr>
            <w:tcW w:w="799" w:type="dxa"/>
            <w:noWrap/>
            <w:vAlign w:val="center"/>
            <w:hideMark/>
          </w:tcPr>
          <w:p w14:paraId="3CF10D09" w14:textId="77777777" w:rsidR="00AC62D7" w:rsidRPr="00F0636B" w:rsidRDefault="00AC62D7" w:rsidP="00F0636B">
            <w:pPr>
              <w:spacing w:before="40" w:after="40"/>
              <w:ind w:left="0"/>
              <w:jc w:val="right"/>
              <w:rPr>
                <w:sz w:val="18"/>
                <w:szCs w:val="18"/>
              </w:rPr>
            </w:pPr>
            <w:r w:rsidRPr="00F0636B">
              <w:rPr>
                <w:sz w:val="18"/>
                <w:szCs w:val="18"/>
              </w:rPr>
              <w:t>0.64</w:t>
            </w:r>
          </w:p>
        </w:tc>
        <w:tc>
          <w:tcPr>
            <w:tcW w:w="799" w:type="dxa"/>
            <w:noWrap/>
            <w:vAlign w:val="center"/>
            <w:hideMark/>
          </w:tcPr>
          <w:p w14:paraId="068DD901" w14:textId="77777777" w:rsidR="00AC62D7" w:rsidRPr="00F0636B" w:rsidRDefault="00AC62D7" w:rsidP="00F0636B">
            <w:pPr>
              <w:spacing w:before="40" w:after="40"/>
              <w:ind w:left="0"/>
              <w:jc w:val="right"/>
              <w:rPr>
                <w:sz w:val="18"/>
                <w:szCs w:val="18"/>
              </w:rPr>
            </w:pPr>
            <w:r w:rsidRPr="00F0636B">
              <w:rPr>
                <w:sz w:val="18"/>
                <w:szCs w:val="18"/>
              </w:rPr>
              <w:t>0.09</w:t>
            </w:r>
          </w:p>
        </w:tc>
        <w:tc>
          <w:tcPr>
            <w:tcW w:w="800" w:type="dxa"/>
            <w:noWrap/>
            <w:vAlign w:val="center"/>
            <w:hideMark/>
          </w:tcPr>
          <w:p w14:paraId="0ACAC0D3" w14:textId="77777777" w:rsidR="00AC62D7" w:rsidRPr="00F0636B" w:rsidRDefault="00AC62D7" w:rsidP="00F0636B">
            <w:pPr>
              <w:spacing w:before="40" w:after="40"/>
              <w:ind w:left="0"/>
              <w:jc w:val="right"/>
              <w:rPr>
                <w:sz w:val="18"/>
                <w:szCs w:val="18"/>
              </w:rPr>
            </w:pPr>
            <w:r w:rsidRPr="00F0636B">
              <w:rPr>
                <w:sz w:val="18"/>
                <w:szCs w:val="18"/>
              </w:rPr>
              <w:t>-0.07</w:t>
            </w:r>
          </w:p>
        </w:tc>
        <w:tc>
          <w:tcPr>
            <w:tcW w:w="799" w:type="dxa"/>
            <w:noWrap/>
            <w:vAlign w:val="center"/>
            <w:hideMark/>
          </w:tcPr>
          <w:p w14:paraId="1F5420BE" w14:textId="77777777" w:rsidR="00AC62D7" w:rsidRPr="00F0636B" w:rsidRDefault="00AC62D7" w:rsidP="00F0636B">
            <w:pPr>
              <w:spacing w:before="40" w:after="40"/>
              <w:ind w:left="0"/>
              <w:jc w:val="right"/>
              <w:rPr>
                <w:sz w:val="18"/>
                <w:szCs w:val="18"/>
              </w:rPr>
            </w:pPr>
            <w:r w:rsidRPr="00F0636B">
              <w:rPr>
                <w:sz w:val="18"/>
                <w:szCs w:val="18"/>
              </w:rPr>
              <w:t>-0.38</w:t>
            </w:r>
          </w:p>
        </w:tc>
        <w:tc>
          <w:tcPr>
            <w:tcW w:w="799" w:type="dxa"/>
            <w:noWrap/>
            <w:vAlign w:val="center"/>
            <w:hideMark/>
          </w:tcPr>
          <w:p w14:paraId="7978D470" w14:textId="77777777" w:rsidR="00AC62D7" w:rsidRPr="00F0636B" w:rsidRDefault="00AC62D7" w:rsidP="00F0636B">
            <w:pPr>
              <w:spacing w:before="40" w:after="40"/>
              <w:ind w:left="0"/>
              <w:jc w:val="right"/>
              <w:rPr>
                <w:sz w:val="18"/>
                <w:szCs w:val="18"/>
              </w:rPr>
            </w:pPr>
            <w:r w:rsidRPr="00F0636B">
              <w:rPr>
                <w:sz w:val="18"/>
                <w:szCs w:val="18"/>
              </w:rPr>
              <w:t>0.42</w:t>
            </w:r>
          </w:p>
        </w:tc>
        <w:tc>
          <w:tcPr>
            <w:tcW w:w="800" w:type="dxa"/>
            <w:noWrap/>
            <w:vAlign w:val="center"/>
            <w:hideMark/>
          </w:tcPr>
          <w:p w14:paraId="2B7ACE77" w14:textId="77777777" w:rsidR="00AC62D7" w:rsidRPr="00F0636B" w:rsidRDefault="00AC62D7" w:rsidP="00F0636B">
            <w:pPr>
              <w:spacing w:before="40" w:after="40"/>
              <w:ind w:left="0"/>
              <w:jc w:val="right"/>
              <w:rPr>
                <w:sz w:val="18"/>
                <w:szCs w:val="18"/>
              </w:rPr>
            </w:pPr>
            <w:r w:rsidRPr="00F0636B">
              <w:rPr>
                <w:sz w:val="18"/>
                <w:szCs w:val="18"/>
              </w:rPr>
              <w:t>0.3</w:t>
            </w:r>
          </w:p>
        </w:tc>
      </w:tr>
      <w:tr w:rsidR="00AC62D7" w:rsidRPr="00AC62D7" w14:paraId="0EE065BF" w14:textId="77777777" w:rsidTr="00F0636B">
        <w:trPr>
          <w:trHeight w:val="285"/>
        </w:trPr>
        <w:tc>
          <w:tcPr>
            <w:tcW w:w="2376" w:type="dxa"/>
            <w:noWrap/>
            <w:hideMark/>
          </w:tcPr>
          <w:p w14:paraId="00666F99" w14:textId="77777777" w:rsidR="00AC62D7" w:rsidRPr="00F0636B" w:rsidRDefault="00AC62D7" w:rsidP="00F0636B">
            <w:pPr>
              <w:spacing w:before="40" w:after="40"/>
              <w:ind w:left="0"/>
              <w:rPr>
                <w:sz w:val="18"/>
                <w:szCs w:val="18"/>
              </w:rPr>
            </w:pPr>
            <w:r w:rsidRPr="00F0636B">
              <w:rPr>
                <w:sz w:val="18"/>
                <w:szCs w:val="18"/>
              </w:rPr>
              <w:t>CS&amp;H investment, lagged one year</w:t>
            </w:r>
          </w:p>
        </w:tc>
        <w:tc>
          <w:tcPr>
            <w:tcW w:w="799" w:type="dxa"/>
            <w:noWrap/>
            <w:vAlign w:val="center"/>
            <w:hideMark/>
          </w:tcPr>
          <w:p w14:paraId="74D3F04F" w14:textId="77777777" w:rsidR="00AC62D7" w:rsidRPr="00F0636B" w:rsidRDefault="00AC62D7" w:rsidP="00F0636B">
            <w:pPr>
              <w:spacing w:before="40" w:after="40"/>
              <w:ind w:left="0"/>
              <w:jc w:val="right"/>
              <w:rPr>
                <w:sz w:val="18"/>
                <w:szCs w:val="18"/>
              </w:rPr>
            </w:pPr>
            <w:r w:rsidRPr="00F0636B">
              <w:rPr>
                <w:sz w:val="18"/>
                <w:szCs w:val="18"/>
              </w:rPr>
              <w:t>0.78</w:t>
            </w:r>
          </w:p>
        </w:tc>
        <w:tc>
          <w:tcPr>
            <w:tcW w:w="799" w:type="dxa"/>
            <w:noWrap/>
            <w:vAlign w:val="center"/>
            <w:hideMark/>
          </w:tcPr>
          <w:p w14:paraId="01B6FB98" w14:textId="77777777" w:rsidR="00AC62D7" w:rsidRPr="00F0636B" w:rsidRDefault="00AC62D7" w:rsidP="00F0636B">
            <w:pPr>
              <w:spacing w:before="40" w:after="40"/>
              <w:ind w:left="0"/>
              <w:jc w:val="right"/>
              <w:rPr>
                <w:sz w:val="18"/>
                <w:szCs w:val="18"/>
              </w:rPr>
            </w:pPr>
            <w:r w:rsidRPr="00F0636B">
              <w:rPr>
                <w:sz w:val="18"/>
                <w:szCs w:val="18"/>
              </w:rPr>
              <w:t>0.41</w:t>
            </w:r>
          </w:p>
        </w:tc>
        <w:tc>
          <w:tcPr>
            <w:tcW w:w="800" w:type="dxa"/>
            <w:noWrap/>
            <w:vAlign w:val="center"/>
            <w:hideMark/>
          </w:tcPr>
          <w:p w14:paraId="63DE9F81" w14:textId="77777777" w:rsidR="00AC62D7" w:rsidRPr="00F0636B" w:rsidRDefault="00AC62D7" w:rsidP="00F0636B">
            <w:pPr>
              <w:spacing w:before="40" w:after="40"/>
              <w:ind w:left="0"/>
              <w:jc w:val="right"/>
              <w:rPr>
                <w:sz w:val="18"/>
                <w:szCs w:val="18"/>
              </w:rPr>
            </w:pPr>
            <w:r w:rsidRPr="00F0636B">
              <w:rPr>
                <w:sz w:val="18"/>
                <w:szCs w:val="18"/>
              </w:rPr>
              <w:t>0.03</w:t>
            </w:r>
          </w:p>
        </w:tc>
        <w:tc>
          <w:tcPr>
            <w:tcW w:w="799" w:type="dxa"/>
            <w:noWrap/>
            <w:vAlign w:val="center"/>
            <w:hideMark/>
          </w:tcPr>
          <w:p w14:paraId="6E99F4ED" w14:textId="77777777" w:rsidR="00AC62D7" w:rsidRPr="00F0636B" w:rsidRDefault="00AC62D7" w:rsidP="00F0636B">
            <w:pPr>
              <w:spacing w:before="40" w:after="40"/>
              <w:ind w:left="0"/>
              <w:jc w:val="right"/>
              <w:rPr>
                <w:sz w:val="18"/>
                <w:szCs w:val="18"/>
              </w:rPr>
            </w:pPr>
            <w:r w:rsidRPr="00F0636B">
              <w:rPr>
                <w:sz w:val="18"/>
                <w:szCs w:val="18"/>
              </w:rPr>
              <w:t>0.65</w:t>
            </w:r>
          </w:p>
        </w:tc>
        <w:tc>
          <w:tcPr>
            <w:tcW w:w="799" w:type="dxa"/>
            <w:noWrap/>
            <w:vAlign w:val="center"/>
            <w:hideMark/>
          </w:tcPr>
          <w:p w14:paraId="23560982" w14:textId="77777777" w:rsidR="00AC62D7" w:rsidRPr="00F0636B" w:rsidRDefault="00AC62D7" w:rsidP="00F0636B">
            <w:pPr>
              <w:spacing w:before="40" w:after="40"/>
              <w:ind w:left="0"/>
              <w:jc w:val="right"/>
              <w:rPr>
                <w:sz w:val="18"/>
                <w:szCs w:val="18"/>
              </w:rPr>
            </w:pPr>
            <w:r w:rsidRPr="00F0636B">
              <w:rPr>
                <w:sz w:val="18"/>
                <w:szCs w:val="18"/>
              </w:rPr>
              <w:t>0.08</w:t>
            </w:r>
          </w:p>
        </w:tc>
        <w:tc>
          <w:tcPr>
            <w:tcW w:w="800" w:type="dxa"/>
            <w:noWrap/>
            <w:vAlign w:val="center"/>
            <w:hideMark/>
          </w:tcPr>
          <w:p w14:paraId="36B778CC" w14:textId="77777777" w:rsidR="00AC62D7" w:rsidRPr="00F0636B" w:rsidRDefault="00AC62D7" w:rsidP="00F0636B">
            <w:pPr>
              <w:spacing w:before="40" w:after="40"/>
              <w:ind w:left="0"/>
              <w:jc w:val="right"/>
              <w:rPr>
                <w:sz w:val="18"/>
                <w:szCs w:val="18"/>
              </w:rPr>
            </w:pPr>
            <w:r w:rsidRPr="00F0636B">
              <w:rPr>
                <w:sz w:val="18"/>
                <w:szCs w:val="18"/>
              </w:rPr>
              <w:t>-0.08</w:t>
            </w:r>
          </w:p>
        </w:tc>
        <w:tc>
          <w:tcPr>
            <w:tcW w:w="799" w:type="dxa"/>
            <w:noWrap/>
            <w:vAlign w:val="center"/>
            <w:hideMark/>
          </w:tcPr>
          <w:p w14:paraId="37A20945" w14:textId="77777777" w:rsidR="00AC62D7" w:rsidRPr="00F0636B" w:rsidRDefault="00AC62D7" w:rsidP="00F0636B">
            <w:pPr>
              <w:spacing w:before="40" w:after="40"/>
              <w:ind w:left="0"/>
              <w:jc w:val="right"/>
              <w:rPr>
                <w:sz w:val="18"/>
                <w:szCs w:val="18"/>
              </w:rPr>
            </w:pPr>
            <w:r w:rsidRPr="00F0636B">
              <w:rPr>
                <w:sz w:val="18"/>
                <w:szCs w:val="18"/>
              </w:rPr>
              <w:t>-0.33</w:t>
            </w:r>
          </w:p>
        </w:tc>
        <w:tc>
          <w:tcPr>
            <w:tcW w:w="799" w:type="dxa"/>
            <w:noWrap/>
            <w:vAlign w:val="center"/>
            <w:hideMark/>
          </w:tcPr>
          <w:p w14:paraId="5E4A69C4" w14:textId="77777777" w:rsidR="00AC62D7" w:rsidRPr="00F0636B" w:rsidRDefault="00AC62D7" w:rsidP="00F0636B">
            <w:pPr>
              <w:spacing w:before="40" w:after="40"/>
              <w:ind w:left="0"/>
              <w:jc w:val="right"/>
              <w:rPr>
                <w:sz w:val="18"/>
                <w:szCs w:val="18"/>
              </w:rPr>
            </w:pPr>
            <w:r w:rsidRPr="00F0636B">
              <w:rPr>
                <w:sz w:val="18"/>
                <w:szCs w:val="18"/>
              </w:rPr>
              <w:t>0.43</w:t>
            </w:r>
          </w:p>
        </w:tc>
        <w:tc>
          <w:tcPr>
            <w:tcW w:w="800" w:type="dxa"/>
            <w:noWrap/>
            <w:vAlign w:val="center"/>
            <w:hideMark/>
          </w:tcPr>
          <w:p w14:paraId="67C86BE7" w14:textId="77777777" w:rsidR="00AC62D7" w:rsidRPr="00F0636B" w:rsidRDefault="00AC62D7" w:rsidP="00F0636B">
            <w:pPr>
              <w:spacing w:before="40" w:after="40"/>
              <w:ind w:left="0"/>
              <w:jc w:val="right"/>
              <w:rPr>
                <w:sz w:val="18"/>
                <w:szCs w:val="18"/>
              </w:rPr>
            </w:pPr>
            <w:r w:rsidRPr="00F0636B">
              <w:rPr>
                <w:sz w:val="18"/>
                <w:szCs w:val="18"/>
              </w:rPr>
              <w:t>0.3</w:t>
            </w:r>
          </w:p>
        </w:tc>
      </w:tr>
      <w:tr w:rsidR="00AC62D7" w:rsidRPr="00AC62D7" w14:paraId="72E92AD7" w14:textId="77777777" w:rsidTr="00F0636B">
        <w:trPr>
          <w:trHeight w:val="285"/>
        </w:trPr>
        <w:tc>
          <w:tcPr>
            <w:tcW w:w="2376" w:type="dxa"/>
            <w:noWrap/>
            <w:hideMark/>
          </w:tcPr>
          <w:p w14:paraId="51AC0848" w14:textId="77777777" w:rsidR="00AC62D7" w:rsidRPr="00F0636B" w:rsidRDefault="00AC62D7" w:rsidP="00F0636B">
            <w:pPr>
              <w:spacing w:before="40" w:after="40"/>
              <w:ind w:left="0"/>
              <w:rPr>
                <w:sz w:val="18"/>
                <w:szCs w:val="18"/>
              </w:rPr>
            </w:pPr>
            <w:r w:rsidRPr="00F0636B">
              <w:rPr>
                <w:sz w:val="18"/>
                <w:szCs w:val="18"/>
              </w:rPr>
              <w:t>CS&amp;H investment, lagged two years</w:t>
            </w:r>
          </w:p>
        </w:tc>
        <w:tc>
          <w:tcPr>
            <w:tcW w:w="799" w:type="dxa"/>
            <w:noWrap/>
            <w:vAlign w:val="center"/>
            <w:hideMark/>
          </w:tcPr>
          <w:p w14:paraId="4FC69F53" w14:textId="77777777" w:rsidR="00AC62D7" w:rsidRPr="00F0636B" w:rsidRDefault="00AC62D7" w:rsidP="00F0636B">
            <w:pPr>
              <w:spacing w:before="40" w:after="40"/>
              <w:ind w:left="0"/>
              <w:jc w:val="right"/>
              <w:rPr>
                <w:sz w:val="18"/>
                <w:szCs w:val="18"/>
              </w:rPr>
            </w:pPr>
            <w:r w:rsidRPr="00F0636B">
              <w:rPr>
                <w:sz w:val="18"/>
                <w:szCs w:val="18"/>
              </w:rPr>
              <w:t>0.65</w:t>
            </w:r>
          </w:p>
        </w:tc>
        <w:tc>
          <w:tcPr>
            <w:tcW w:w="799" w:type="dxa"/>
            <w:noWrap/>
            <w:vAlign w:val="center"/>
            <w:hideMark/>
          </w:tcPr>
          <w:p w14:paraId="11DB25F2" w14:textId="77777777" w:rsidR="00AC62D7" w:rsidRPr="00F0636B" w:rsidRDefault="00AC62D7" w:rsidP="00F0636B">
            <w:pPr>
              <w:spacing w:before="40" w:after="40"/>
              <w:ind w:left="0"/>
              <w:jc w:val="right"/>
              <w:rPr>
                <w:sz w:val="18"/>
                <w:szCs w:val="18"/>
              </w:rPr>
            </w:pPr>
            <w:r w:rsidRPr="00F0636B">
              <w:rPr>
                <w:sz w:val="18"/>
                <w:szCs w:val="18"/>
              </w:rPr>
              <w:t>0.31</w:t>
            </w:r>
          </w:p>
        </w:tc>
        <w:tc>
          <w:tcPr>
            <w:tcW w:w="800" w:type="dxa"/>
            <w:noWrap/>
            <w:vAlign w:val="center"/>
            <w:hideMark/>
          </w:tcPr>
          <w:p w14:paraId="1F4B72E2" w14:textId="77777777" w:rsidR="00AC62D7" w:rsidRPr="00F0636B" w:rsidRDefault="00AC62D7" w:rsidP="00F0636B">
            <w:pPr>
              <w:spacing w:before="40" w:after="40"/>
              <w:ind w:left="0"/>
              <w:jc w:val="right"/>
              <w:rPr>
                <w:sz w:val="18"/>
                <w:szCs w:val="18"/>
              </w:rPr>
            </w:pPr>
            <w:r w:rsidRPr="00F0636B">
              <w:rPr>
                <w:sz w:val="18"/>
                <w:szCs w:val="18"/>
              </w:rPr>
              <w:t>0.03</w:t>
            </w:r>
          </w:p>
        </w:tc>
        <w:tc>
          <w:tcPr>
            <w:tcW w:w="799" w:type="dxa"/>
            <w:noWrap/>
            <w:vAlign w:val="center"/>
            <w:hideMark/>
          </w:tcPr>
          <w:p w14:paraId="2C8303E5" w14:textId="77777777" w:rsidR="00AC62D7" w:rsidRPr="00F0636B" w:rsidRDefault="00AC62D7" w:rsidP="00F0636B">
            <w:pPr>
              <w:spacing w:before="40" w:after="40"/>
              <w:ind w:left="0"/>
              <w:jc w:val="right"/>
              <w:rPr>
                <w:sz w:val="18"/>
                <w:szCs w:val="18"/>
              </w:rPr>
            </w:pPr>
            <w:r w:rsidRPr="00F0636B">
              <w:rPr>
                <w:sz w:val="18"/>
                <w:szCs w:val="18"/>
              </w:rPr>
              <w:t>0.52</w:t>
            </w:r>
          </w:p>
        </w:tc>
        <w:tc>
          <w:tcPr>
            <w:tcW w:w="799" w:type="dxa"/>
            <w:noWrap/>
            <w:vAlign w:val="center"/>
            <w:hideMark/>
          </w:tcPr>
          <w:p w14:paraId="39394015" w14:textId="77777777" w:rsidR="00AC62D7" w:rsidRPr="00F0636B" w:rsidRDefault="00AC62D7" w:rsidP="00F0636B">
            <w:pPr>
              <w:spacing w:before="40" w:after="40"/>
              <w:ind w:left="0"/>
              <w:jc w:val="right"/>
              <w:rPr>
                <w:sz w:val="18"/>
                <w:szCs w:val="18"/>
              </w:rPr>
            </w:pPr>
            <w:r w:rsidRPr="00F0636B">
              <w:rPr>
                <w:sz w:val="18"/>
                <w:szCs w:val="18"/>
              </w:rPr>
              <w:t>0.08</w:t>
            </w:r>
          </w:p>
        </w:tc>
        <w:tc>
          <w:tcPr>
            <w:tcW w:w="800" w:type="dxa"/>
            <w:noWrap/>
            <w:vAlign w:val="center"/>
            <w:hideMark/>
          </w:tcPr>
          <w:p w14:paraId="645C41F0" w14:textId="77777777" w:rsidR="00AC62D7" w:rsidRPr="00F0636B" w:rsidRDefault="00AC62D7" w:rsidP="00F0636B">
            <w:pPr>
              <w:spacing w:before="40" w:after="40"/>
              <w:ind w:left="0"/>
              <w:jc w:val="right"/>
              <w:rPr>
                <w:sz w:val="18"/>
                <w:szCs w:val="18"/>
              </w:rPr>
            </w:pPr>
            <w:r w:rsidRPr="00F0636B">
              <w:rPr>
                <w:sz w:val="18"/>
                <w:szCs w:val="18"/>
              </w:rPr>
              <w:t>-0.08</w:t>
            </w:r>
          </w:p>
        </w:tc>
        <w:tc>
          <w:tcPr>
            <w:tcW w:w="799" w:type="dxa"/>
            <w:noWrap/>
            <w:vAlign w:val="center"/>
            <w:hideMark/>
          </w:tcPr>
          <w:p w14:paraId="425A8BFF" w14:textId="77777777" w:rsidR="00AC62D7" w:rsidRPr="00F0636B" w:rsidRDefault="00AC62D7" w:rsidP="00F0636B">
            <w:pPr>
              <w:spacing w:before="40" w:after="40"/>
              <w:ind w:left="0"/>
              <w:jc w:val="right"/>
              <w:rPr>
                <w:sz w:val="18"/>
                <w:szCs w:val="18"/>
              </w:rPr>
            </w:pPr>
            <w:r w:rsidRPr="00F0636B">
              <w:rPr>
                <w:sz w:val="18"/>
                <w:szCs w:val="18"/>
              </w:rPr>
              <w:t>-0.31</w:t>
            </w:r>
          </w:p>
        </w:tc>
        <w:tc>
          <w:tcPr>
            <w:tcW w:w="799" w:type="dxa"/>
            <w:noWrap/>
            <w:vAlign w:val="center"/>
            <w:hideMark/>
          </w:tcPr>
          <w:p w14:paraId="26B9A07D" w14:textId="77777777" w:rsidR="00AC62D7" w:rsidRPr="00F0636B" w:rsidRDefault="00AC62D7" w:rsidP="00F0636B">
            <w:pPr>
              <w:spacing w:before="40" w:after="40"/>
              <w:ind w:left="0"/>
              <w:jc w:val="right"/>
              <w:rPr>
                <w:sz w:val="18"/>
                <w:szCs w:val="18"/>
              </w:rPr>
            </w:pPr>
            <w:r w:rsidRPr="00F0636B">
              <w:rPr>
                <w:sz w:val="18"/>
                <w:szCs w:val="18"/>
              </w:rPr>
              <w:t>0.32</w:t>
            </w:r>
          </w:p>
        </w:tc>
        <w:tc>
          <w:tcPr>
            <w:tcW w:w="800" w:type="dxa"/>
            <w:noWrap/>
            <w:vAlign w:val="center"/>
            <w:hideMark/>
          </w:tcPr>
          <w:p w14:paraId="3A4E8FA3" w14:textId="77777777" w:rsidR="00AC62D7" w:rsidRPr="00F0636B" w:rsidRDefault="00AC62D7" w:rsidP="00F0636B">
            <w:pPr>
              <w:spacing w:before="40" w:after="40"/>
              <w:ind w:left="0"/>
              <w:jc w:val="right"/>
              <w:rPr>
                <w:sz w:val="18"/>
                <w:szCs w:val="18"/>
              </w:rPr>
            </w:pPr>
            <w:r w:rsidRPr="00F0636B">
              <w:rPr>
                <w:sz w:val="18"/>
                <w:szCs w:val="18"/>
              </w:rPr>
              <w:t>0.19</w:t>
            </w:r>
          </w:p>
        </w:tc>
      </w:tr>
      <w:tr w:rsidR="00AC62D7" w:rsidRPr="00AC62D7" w14:paraId="6120D83D" w14:textId="77777777" w:rsidTr="00F0636B">
        <w:trPr>
          <w:trHeight w:val="285"/>
        </w:trPr>
        <w:tc>
          <w:tcPr>
            <w:tcW w:w="2376" w:type="dxa"/>
            <w:noWrap/>
            <w:hideMark/>
          </w:tcPr>
          <w:p w14:paraId="761D7702" w14:textId="77777777" w:rsidR="00AC62D7" w:rsidRPr="00F0636B" w:rsidRDefault="00AC62D7" w:rsidP="00F0636B">
            <w:pPr>
              <w:spacing w:before="40" w:after="40"/>
              <w:ind w:left="0"/>
              <w:rPr>
                <w:sz w:val="18"/>
                <w:szCs w:val="18"/>
              </w:rPr>
            </w:pPr>
            <w:r w:rsidRPr="00F0636B">
              <w:rPr>
                <w:sz w:val="18"/>
                <w:szCs w:val="18"/>
              </w:rPr>
              <w:t>CS&amp;H investment, lagged three years</w:t>
            </w:r>
          </w:p>
        </w:tc>
        <w:tc>
          <w:tcPr>
            <w:tcW w:w="799" w:type="dxa"/>
            <w:noWrap/>
            <w:vAlign w:val="center"/>
            <w:hideMark/>
          </w:tcPr>
          <w:p w14:paraId="636B8022" w14:textId="77777777" w:rsidR="00AC62D7" w:rsidRPr="00F0636B" w:rsidRDefault="00AC62D7" w:rsidP="00F0636B">
            <w:pPr>
              <w:spacing w:before="40" w:after="40"/>
              <w:ind w:left="0"/>
              <w:jc w:val="right"/>
              <w:rPr>
                <w:sz w:val="18"/>
                <w:szCs w:val="18"/>
              </w:rPr>
            </w:pPr>
            <w:r w:rsidRPr="00F0636B">
              <w:rPr>
                <w:sz w:val="18"/>
                <w:szCs w:val="18"/>
              </w:rPr>
              <w:t>0.69</w:t>
            </w:r>
          </w:p>
        </w:tc>
        <w:tc>
          <w:tcPr>
            <w:tcW w:w="799" w:type="dxa"/>
            <w:noWrap/>
            <w:vAlign w:val="center"/>
            <w:hideMark/>
          </w:tcPr>
          <w:p w14:paraId="2E1F94A9" w14:textId="77777777" w:rsidR="00AC62D7" w:rsidRPr="00F0636B" w:rsidRDefault="00AC62D7" w:rsidP="00F0636B">
            <w:pPr>
              <w:spacing w:before="40" w:after="40"/>
              <w:ind w:left="0"/>
              <w:jc w:val="right"/>
              <w:rPr>
                <w:sz w:val="18"/>
                <w:szCs w:val="18"/>
              </w:rPr>
            </w:pPr>
            <w:r w:rsidRPr="00F0636B">
              <w:rPr>
                <w:sz w:val="18"/>
                <w:szCs w:val="18"/>
              </w:rPr>
              <w:t>0.34</w:t>
            </w:r>
          </w:p>
        </w:tc>
        <w:tc>
          <w:tcPr>
            <w:tcW w:w="800" w:type="dxa"/>
            <w:noWrap/>
            <w:vAlign w:val="center"/>
            <w:hideMark/>
          </w:tcPr>
          <w:p w14:paraId="0C96D7FC" w14:textId="77777777" w:rsidR="00AC62D7" w:rsidRPr="00F0636B" w:rsidRDefault="00AC62D7" w:rsidP="00F0636B">
            <w:pPr>
              <w:spacing w:before="40" w:after="40"/>
              <w:ind w:left="0"/>
              <w:jc w:val="right"/>
              <w:rPr>
                <w:sz w:val="18"/>
                <w:szCs w:val="18"/>
              </w:rPr>
            </w:pPr>
            <w:r w:rsidRPr="00F0636B">
              <w:rPr>
                <w:sz w:val="18"/>
                <w:szCs w:val="18"/>
              </w:rPr>
              <w:t>0.04</w:t>
            </w:r>
          </w:p>
        </w:tc>
        <w:tc>
          <w:tcPr>
            <w:tcW w:w="799" w:type="dxa"/>
            <w:noWrap/>
            <w:vAlign w:val="center"/>
            <w:hideMark/>
          </w:tcPr>
          <w:p w14:paraId="11E8A80E" w14:textId="77777777" w:rsidR="00AC62D7" w:rsidRPr="00F0636B" w:rsidRDefault="00AC62D7" w:rsidP="00F0636B">
            <w:pPr>
              <w:spacing w:before="40" w:after="40"/>
              <w:ind w:left="0"/>
              <w:jc w:val="right"/>
              <w:rPr>
                <w:sz w:val="18"/>
                <w:szCs w:val="18"/>
              </w:rPr>
            </w:pPr>
            <w:r w:rsidRPr="00F0636B">
              <w:rPr>
                <w:sz w:val="18"/>
                <w:szCs w:val="18"/>
              </w:rPr>
              <w:t>0.53</w:t>
            </w:r>
          </w:p>
        </w:tc>
        <w:tc>
          <w:tcPr>
            <w:tcW w:w="799" w:type="dxa"/>
            <w:noWrap/>
            <w:vAlign w:val="center"/>
            <w:hideMark/>
          </w:tcPr>
          <w:p w14:paraId="2583DBD5" w14:textId="77777777" w:rsidR="00AC62D7" w:rsidRPr="00F0636B" w:rsidRDefault="00AC62D7" w:rsidP="00F0636B">
            <w:pPr>
              <w:spacing w:before="40" w:after="40"/>
              <w:ind w:left="0"/>
              <w:jc w:val="right"/>
              <w:rPr>
                <w:sz w:val="18"/>
                <w:szCs w:val="18"/>
              </w:rPr>
            </w:pPr>
            <w:r w:rsidRPr="00F0636B">
              <w:rPr>
                <w:sz w:val="18"/>
                <w:szCs w:val="18"/>
              </w:rPr>
              <w:t>0.09</w:t>
            </w:r>
          </w:p>
        </w:tc>
        <w:tc>
          <w:tcPr>
            <w:tcW w:w="800" w:type="dxa"/>
            <w:noWrap/>
            <w:vAlign w:val="center"/>
            <w:hideMark/>
          </w:tcPr>
          <w:p w14:paraId="4E953D70" w14:textId="77777777" w:rsidR="00AC62D7" w:rsidRPr="00F0636B" w:rsidRDefault="00AC62D7" w:rsidP="00F0636B">
            <w:pPr>
              <w:spacing w:before="40" w:after="40"/>
              <w:ind w:left="0"/>
              <w:jc w:val="right"/>
              <w:rPr>
                <w:sz w:val="18"/>
                <w:szCs w:val="18"/>
              </w:rPr>
            </w:pPr>
            <w:r w:rsidRPr="00F0636B">
              <w:rPr>
                <w:sz w:val="18"/>
                <w:szCs w:val="18"/>
              </w:rPr>
              <w:t>-0.09</w:t>
            </w:r>
          </w:p>
        </w:tc>
        <w:tc>
          <w:tcPr>
            <w:tcW w:w="799" w:type="dxa"/>
            <w:noWrap/>
            <w:vAlign w:val="center"/>
            <w:hideMark/>
          </w:tcPr>
          <w:p w14:paraId="4E62E155" w14:textId="77777777" w:rsidR="00AC62D7" w:rsidRPr="00F0636B" w:rsidRDefault="00AC62D7" w:rsidP="00F0636B">
            <w:pPr>
              <w:spacing w:before="40" w:after="40"/>
              <w:ind w:left="0"/>
              <w:jc w:val="right"/>
              <w:rPr>
                <w:sz w:val="18"/>
                <w:szCs w:val="18"/>
              </w:rPr>
            </w:pPr>
            <w:r w:rsidRPr="00F0636B">
              <w:rPr>
                <w:sz w:val="18"/>
                <w:szCs w:val="18"/>
              </w:rPr>
              <w:t>-0.28</w:t>
            </w:r>
          </w:p>
        </w:tc>
        <w:tc>
          <w:tcPr>
            <w:tcW w:w="799" w:type="dxa"/>
            <w:noWrap/>
            <w:vAlign w:val="center"/>
            <w:hideMark/>
          </w:tcPr>
          <w:p w14:paraId="426B4615" w14:textId="77777777" w:rsidR="00AC62D7" w:rsidRPr="00F0636B" w:rsidRDefault="00AC62D7" w:rsidP="00F0636B">
            <w:pPr>
              <w:spacing w:before="40" w:after="40"/>
              <w:ind w:left="0"/>
              <w:jc w:val="right"/>
              <w:rPr>
                <w:sz w:val="18"/>
                <w:szCs w:val="18"/>
              </w:rPr>
            </w:pPr>
            <w:r w:rsidRPr="00F0636B">
              <w:rPr>
                <w:sz w:val="18"/>
                <w:szCs w:val="18"/>
              </w:rPr>
              <w:t>0.28</w:t>
            </w:r>
          </w:p>
        </w:tc>
        <w:tc>
          <w:tcPr>
            <w:tcW w:w="800" w:type="dxa"/>
            <w:noWrap/>
            <w:vAlign w:val="center"/>
            <w:hideMark/>
          </w:tcPr>
          <w:p w14:paraId="286C630E" w14:textId="77777777" w:rsidR="00AC62D7" w:rsidRPr="00F0636B" w:rsidRDefault="00AC62D7" w:rsidP="00F0636B">
            <w:pPr>
              <w:spacing w:before="40" w:after="40"/>
              <w:ind w:left="0"/>
              <w:jc w:val="right"/>
              <w:rPr>
                <w:sz w:val="18"/>
                <w:szCs w:val="18"/>
              </w:rPr>
            </w:pPr>
            <w:r w:rsidRPr="00F0636B">
              <w:rPr>
                <w:sz w:val="18"/>
                <w:szCs w:val="18"/>
              </w:rPr>
              <w:t>0.23</w:t>
            </w:r>
          </w:p>
        </w:tc>
      </w:tr>
      <w:tr w:rsidR="00AC62D7" w:rsidRPr="00AC62D7" w14:paraId="754EF88A" w14:textId="77777777" w:rsidTr="00F0636B">
        <w:trPr>
          <w:trHeight w:val="285"/>
        </w:trPr>
        <w:tc>
          <w:tcPr>
            <w:tcW w:w="2376" w:type="dxa"/>
            <w:noWrap/>
            <w:hideMark/>
          </w:tcPr>
          <w:p w14:paraId="4414994A" w14:textId="77777777" w:rsidR="00AC62D7" w:rsidRPr="00F0636B" w:rsidRDefault="00AC62D7" w:rsidP="00F0636B">
            <w:pPr>
              <w:spacing w:before="40" w:after="40"/>
              <w:ind w:left="0"/>
              <w:rPr>
                <w:sz w:val="18"/>
                <w:szCs w:val="18"/>
              </w:rPr>
            </w:pPr>
            <w:r w:rsidRPr="00F0636B">
              <w:rPr>
                <w:sz w:val="18"/>
                <w:szCs w:val="18"/>
              </w:rPr>
              <w:t>CS&amp;H investment per capita</w:t>
            </w:r>
          </w:p>
        </w:tc>
        <w:tc>
          <w:tcPr>
            <w:tcW w:w="799" w:type="dxa"/>
            <w:noWrap/>
            <w:vAlign w:val="center"/>
            <w:hideMark/>
          </w:tcPr>
          <w:p w14:paraId="654992C2" w14:textId="77777777" w:rsidR="00AC62D7" w:rsidRPr="00F0636B" w:rsidRDefault="00AC62D7" w:rsidP="00F0636B">
            <w:pPr>
              <w:spacing w:before="40" w:after="40"/>
              <w:ind w:left="0"/>
              <w:jc w:val="right"/>
              <w:rPr>
                <w:sz w:val="18"/>
                <w:szCs w:val="18"/>
              </w:rPr>
            </w:pPr>
            <w:r w:rsidRPr="00F0636B">
              <w:rPr>
                <w:sz w:val="18"/>
                <w:szCs w:val="18"/>
              </w:rPr>
              <w:t>0.16</w:t>
            </w:r>
          </w:p>
        </w:tc>
        <w:tc>
          <w:tcPr>
            <w:tcW w:w="799" w:type="dxa"/>
            <w:noWrap/>
            <w:vAlign w:val="center"/>
            <w:hideMark/>
          </w:tcPr>
          <w:p w14:paraId="52900560" w14:textId="77777777" w:rsidR="00AC62D7" w:rsidRPr="00F0636B" w:rsidRDefault="00AC62D7" w:rsidP="00F0636B">
            <w:pPr>
              <w:spacing w:before="40" w:after="40"/>
              <w:ind w:left="0"/>
              <w:jc w:val="right"/>
              <w:rPr>
                <w:sz w:val="18"/>
                <w:szCs w:val="18"/>
              </w:rPr>
            </w:pPr>
            <w:r w:rsidRPr="00F0636B">
              <w:rPr>
                <w:sz w:val="18"/>
                <w:szCs w:val="18"/>
              </w:rPr>
              <w:t>0.4</w:t>
            </w:r>
          </w:p>
        </w:tc>
        <w:tc>
          <w:tcPr>
            <w:tcW w:w="800" w:type="dxa"/>
            <w:noWrap/>
            <w:vAlign w:val="center"/>
            <w:hideMark/>
          </w:tcPr>
          <w:p w14:paraId="7A2B191A" w14:textId="77777777" w:rsidR="00AC62D7" w:rsidRPr="00F0636B" w:rsidRDefault="00AC62D7" w:rsidP="00F0636B">
            <w:pPr>
              <w:spacing w:before="40" w:after="40"/>
              <w:ind w:left="0"/>
              <w:jc w:val="right"/>
              <w:rPr>
                <w:sz w:val="18"/>
                <w:szCs w:val="18"/>
              </w:rPr>
            </w:pPr>
            <w:r w:rsidRPr="00F0636B">
              <w:rPr>
                <w:sz w:val="18"/>
                <w:szCs w:val="18"/>
              </w:rPr>
              <w:t>-0.04</w:t>
            </w:r>
          </w:p>
        </w:tc>
        <w:tc>
          <w:tcPr>
            <w:tcW w:w="799" w:type="dxa"/>
            <w:noWrap/>
            <w:vAlign w:val="center"/>
            <w:hideMark/>
          </w:tcPr>
          <w:p w14:paraId="626EE37E" w14:textId="77777777" w:rsidR="00AC62D7" w:rsidRPr="00F0636B" w:rsidRDefault="00AC62D7" w:rsidP="00F0636B">
            <w:pPr>
              <w:spacing w:before="40" w:after="40"/>
              <w:ind w:left="0"/>
              <w:jc w:val="right"/>
              <w:rPr>
                <w:sz w:val="18"/>
                <w:szCs w:val="18"/>
              </w:rPr>
            </w:pPr>
            <w:r w:rsidRPr="00F0636B">
              <w:rPr>
                <w:sz w:val="18"/>
                <w:szCs w:val="18"/>
              </w:rPr>
              <w:t>0.11</w:t>
            </w:r>
          </w:p>
        </w:tc>
        <w:tc>
          <w:tcPr>
            <w:tcW w:w="799" w:type="dxa"/>
            <w:noWrap/>
            <w:vAlign w:val="center"/>
            <w:hideMark/>
          </w:tcPr>
          <w:p w14:paraId="531A4C16" w14:textId="77777777" w:rsidR="00AC62D7" w:rsidRPr="00F0636B" w:rsidRDefault="00AC62D7" w:rsidP="00F0636B">
            <w:pPr>
              <w:spacing w:before="40" w:after="40"/>
              <w:ind w:left="0"/>
              <w:jc w:val="right"/>
              <w:rPr>
                <w:sz w:val="18"/>
                <w:szCs w:val="18"/>
              </w:rPr>
            </w:pPr>
            <w:r w:rsidRPr="00F0636B">
              <w:rPr>
                <w:sz w:val="18"/>
                <w:szCs w:val="18"/>
              </w:rPr>
              <w:t>0.71</w:t>
            </w:r>
          </w:p>
        </w:tc>
        <w:tc>
          <w:tcPr>
            <w:tcW w:w="800" w:type="dxa"/>
            <w:noWrap/>
            <w:vAlign w:val="center"/>
            <w:hideMark/>
          </w:tcPr>
          <w:p w14:paraId="32E5D6BD" w14:textId="77777777" w:rsidR="00AC62D7" w:rsidRPr="00F0636B" w:rsidRDefault="00AC62D7" w:rsidP="00F0636B">
            <w:pPr>
              <w:spacing w:before="40" w:after="40"/>
              <w:ind w:left="0"/>
              <w:jc w:val="right"/>
              <w:rPr>
                <w:sz w:val="18"/>
                <w:szCs w:val="18"/>
              </w:rPr>
            </w:pPr>
            <w:r w:rsidRPr="00F0636B">
              <w:rPr>
                <w:sz w:val="18"/>
                <w:szCs w:val="18"/>
              </w:rPr>
              <w:t>0.03</w:t>
            </w:r>
          </w:p>
        </w:tc>
        <w:tc>
          <w:tcPr>
            <w:tcW w:w="799" w:type="dxa"/>
            <w:noWrap/>
            <w:vAlign w:val="center"/>
            <w:hideMark/>
          </w:tcPr>
          <w:p w14:paraId="366BD5F8" w14:textId="77777777" w:rsidR="00AC62D7" w:rsidRPr="00F0636B" w:rsidRDefault="00AC62D7" w:rsidP="00F0636B">
            <w:pPr>
              <w:spacing w:before="40" w:after="40"/>
              <w:ind w:left="0"/>
              <w:jc w:val="right"/>
              <w:rPr>
                <w:sz w:val="18"/>
                <w:szCs w:val="18"/>
              </w:rPr>
            </w:pPr>
            <w:r w:rsidRPr="00F0636B">
              <w:rPr>
                <w:sz w:val="18"/>
                <w:szCs w:val="18"/>
              </w:rPr>
              <w:t>-0.2</w:t>
            </w:r>
          </w:p>
        </w:tc>
        <w:tc>
          <w:tcPr>
            <w:tcW w:w="799" w:type="dxa"/>
            <w:noWrap/>
            <w:vAlign w:val="center"/>
            <w:hideMark/>
          </w:tcPr>
          <w:p w14:paraId="61FC659B" w14:textId="77777777" w:rsidR="00AC62D7" w:rsidRPr="00F0636B" w:rsidRDefault="00AC62D7" w:rsidP="00F0636B">
            <w:pPr>
              <w:spacing w:before="40" w:after="40"/>
              <w:ind w:left="0"/>
              <w:jc w:val="right"/>
              <w:rPr>
                <w:sz w:val="18"/>
                <w:szCs w:val="18"/>
              </w:rPr>
            </w:pPr>
            <w:r w:rsidRPr="00F0636B">
              <w:rPr>
                <w:sz w:val="18"/>
                <w:szCs w:val="18"/>
              </w:rPr>
              <w:t>0.09</w:t>
            </w:r>
          </w:p>
        </w:tc>
        <w:tc>
          <w:tcPr>
            <w:tcW w:w="800" w:type="dxa"/>
            <w:noWrap/>
            <w:vAlign w:val="center"/>
            <w:hideMark/>
          </w:tcPr>
          <w:p w14:paraId="2AD2D555" w14:textId="77777777" w:rsidR="00AC62D7" w:rsidRPr="00F0636B" w:rsidRDefault="00AC62D7" w:rsidP="00F0636B">
            <w:pPr>
              <w:spacing w:before="40" w:after="40"/>
              <w:ind w:left="0"/>
              <w:jc w:val="right"/>
              <w:rPr>
                <w:sz w:val="18"/>
                <w:szCs w:val="18"/>
              </w:rPr>
            </w:pPr>
            <w:r w:rsidRPr="00F0636B">
              <w:rPr>
                <w:sz w:val="18"/>
                <w:szCs w:val="18"/>
              </w:rPr>
              <w:t>0.07</w:t>
            </w:r>
          </w:p>
        </w:tc>
      </w:tr>
      <w:tr w:rsidR="00AC62D7" w:rsidRPr="00AC62D7" w14:paraId="777E5CC2" w14:textId="77777777" w:rsidTr="00F0636B">
        <w:trPr>
          <w:trHeight w:val="285"/>
        </w:trPr>
        <w:tc>
          <w:tcPr>
            <w:tcW w:w="2376" w:type="dxa"/>
            <w:noWrap/>
            <w:hideMark/>
          </w:tcPr>
          <w:p w14:paraId="71A1BE17" w14:textId="77777777" w:rsidR="00AC62D7" w:rsidRPr="00F0636B" w:rsidRDefault="00AC62D7" w:rsidP="00F0636B">
            <w:pPr>
              <w:spacing w:before="40" w:after="40"/>
              <w:ind w:left="0"/>
              <w:rPr>
                <w:sz w:val="18"/>
                <w:szCs w:val="18"/>
              </w:rPr>
            </w:pPr>
            <w:r w:rsidRPr="00F0636B">
              <w:rPr>
                <w:sz w:val="18"/>
                <w:szCs w:val="18"/>
              </w:rPr>
              <w:t>Lottery investment per capita</w:t>
            </w:r>
          </w:p>
        </w:tc>
        <w:tc>
          <w:tcPr>
            <w:tcW w:w="799" w:type="dxa"/>
            <w:noWrap/>
            <w:vAlign w:val="center"/>
            <w:hideMark/>
          </w:tcPr>
          <w:p w14:paraId="65067136" w14:textId="77777777" w:rsidR="00AC62D7" w:rsidRPr="00F0636B" w:rsidRDefault="00AC62D7" w:rsidP="00F0636B">
            <w:pPr>
              <w:spacing w:before="40" w:after="40"/>
              <w:ind w:left="0"/>
              <w:jc w:val="right"/>
              <w:rPr>
                <w:sz w:val="18"/>
                <w:szCs w:val="18"/>
              </w:rPr>
            </w:pPr>
            <w:r w:rsidRPr="00F0636B">
              <w:rPr>
                <w:sz w:val="18"/>
                <w:szCs w:val="18"/>
              </w:rPr>
              <w:t>0.41</w:t>
            </w:r>
          </w:p>
        </w:tc>
        <w:tc>
          <w:tcPr>
            <w:tcW w:w="799" w:type="dxa"/>
            <w:noWrap/>
            <w:vAlign w:val="center"/>
            <w:hideMark/>
          </w:tcPr>
          <w:p w14:paraId="4332245F" w14:textId="77777777" w:rsidR="00AC62D7" w:rsidRPr="00F0636B" w:rsidRDefault="00AC62D7" w:rsidP="00F0636B">
            <w:pPr>
              <w:spacing w:before="40" w:after="40"/>
              <w:ind w:left="0"/>
              <w:jc w:val="right"/>
              <w:rPr>
                <w:sz w:val="18"/>
                <w:szCs w:val="18"/>
              </w:rPr>
            </w:pPr>
            <w:r w:rsidRPr="00F0636B">
              <w:rPr>
                <w:sz w:val="18"/>
                <w:szCs w:val="18"/>
              </w:rPr>
              <w:t>0.47</w:t>
            </w:r>
          </w:p>
        </w:tc>
        <w:tc>
          <w:tcPr>
            <w:tcW w:w="800" w:type="dxa"/>
            <w:noWrap/>
            <w:vAlign w:val="center"/>
            <w:hideMark/>
          </w:tcPr>
          <w:p w14:paraId="75AA1EBC" w14:textId="77777777" w:rsidR="00AC62D7" w:rsidRPr="00F0636B" w:rsidRDefault="00AC62D7" w:rsidP="00F0636B">
            <w:pPr>
              <w:spacing w:before="40" w:after="40"/>
              <w:ind w:left="0"/>
              <w:jc w:val="right"/>
              <w:rPr>
                <w:sz w:val="18"/>
                <w:szCs w:val="18"/>
              </w:rPr>
            </w:pPr>
            <w:r w:rsidRPr="00F0636B">
              <w:rPr>
                <w:sz w:val="18"/>
                <w:szCs w:val="18"/>
              </w:rPr>
              <w:t>0.01</w:t>
            </w:r>
          </w:p>
        </w:tc>
        <w:tc>
          <w:tcPr>
            <w:tcW w:w="799" w:type="dxa"/>
            <w:noWrap/>
            <w:vAlign w:val="center"/>
            <w:hideMark/>
          </w:tcPr>
          <w:p w14:paraId="1A6A046A" w14:textId="77777777" w:rsidR="00AC62D7" w:rsidRPr="00F0636B" w:rsidRDefault="00AC62D7" w:rsidP="00F0636B">
            <w:pPr>
              <w:spacing w:before="40" w:after="40"/>
              <w:ind w:left="0"/>
              <w:jc w:val="right"/>
              <w:rPr>
                <w:sz w:val="18"/>
                <w:szCs w:val="18"/>
              </w:rPr>
            </w:pPr>
            <w:r w:rsidRPr="00F0636B">
              <w:rPr>
                <w:sz w:val="18"/>
                <w:szCs w:val="18"/>
              </w:rPr>
              <w:t>0.41</w:t>
            </w:r>
          </w:p>
        </w:tc>
        <w:tc>
          <w:tcPr>
            <w:tcW w:w="799" w:type="dxa"/>
            <w:noWrap/>
            <w:vAlign w:val="center"/>
            <w:hideMark/>
          </w:tcPr>
          <w:p w14:paraId="7038228F" w14:textId="77777777" w:rsidR="00AC62D7" w:rsidRPr="00F0636B" w:rsidRDefault="00AC62D7" w:rsidP="00F0636B">
            <w:pPr>
              <w:spacing w:before="40" w:after="40"/>
              <w:ind w:left="0"/>
              <w:jc w:val="right"/>
              <w:rPr>
                <w:sz w:val="18"/>
                <w:szCs w:val="18"/>
              </w:rPr>
            </w:pPr>
            <w:r w:rsidRPr="00F0636B">
              <w:rPr>
                <w:sz w:val="18"/>
                <w:szCs w:val="18"/>
              </w:rPr>
              <w:t>0.52</w:t>
            </w:r>
          </w:p>
        </w:tc>
        <w:tc>
          <w:tcPr>
            <w:tcW w:w="800" w:type="dxa"/>
            <w:noWrap/>
            <w:vAlign w:val="center"/>
            <w:hideMark/>
          </w:tcPr>
          <w:p w14:paraId="3492AFCD" w14:textId="77777777" w:rsidR="00AC62D7" w:rsidRPr="00F0636B" w:rsidRDefault="00AC62D7" w:rsidP="00F0636B">
            <w:pPr>
              <w:spacing w:before="40" w:after="40"/>
              <w:ind w:left="0"/>
              <w:jc w:val="right"/>
              <w:rPr>
                <w:sz w:val="18"/>
                <w:szCs w:val="18"/>
              </w:rPr>
            </w:pPr>
            <w:r w:rsidRPr="00F0636B">
              <w:rPr>
                <w:sz w:val="18"/>
                <w:szCs w:val="18"/>
              </w:rPr>
              <w:t>0.06</w:t>
            </w:r>
          </w:p>
        </w:tc>
        <w:tc>
          <w:tcPr>
            <w:tcW w:w="799" w:type="dxa"/>
            <w:noWrap/>
            <w:vAlign w:val="center"/>
            <w:hideMark/>
          </w:tcPr>
          <w:p w14:paraId="7A6F1C04" w14:textId="77777777" w:rsidR="00AC62D7" w:rsidRPr="00F0636B" w:rsidRDefault="00AC62D7" w:rsidP="00F0636B">
            <w:pPr>
              <w:spacing w:before="40" w:after="40"/>
              <w:ind w:left="0"/>
              <w:jc w:val="right"/>
              <w:rPr>
                <w:sz w:val="18"/>
                <w:szCs w:val="18"/>
              </w:rPr>
            </w:pPr>
            <w:r w:rsidRPr="00F0636B">
              <w:rPr>
                <w:sz w:val="18"/>
                <w:szCs w:val="18"/>
              </w:rPr>
              <w:t>-0.37</w:t>
            </w:r>
          </w:p>
        </w:tc>
        <w:tc>
          <w:tcPr>
            <w:tcW w:w="799" w:type="dxa"/>
            <w:noWrap/>
            <w:vAlign w:val="center"/>
            <w:hideMark/>
          </w:tcPr>
          <w:p w14:paraId="1392CFC6" w14:textId="77777777" w:rsidR="00AC62D7" w:rsidRPr="00F0636B" w:rsidRDefault="00AC62D7" w:rsidP="00F0636B">
            <w:pPr>
              <w:spacing w:before="40" w:after="40"/>
              <w:ind w:left="0"/>
              <w:jc w:val="right"/>
              <w:rPr>
                <w:sz w:val="18"/>
                <w:szCs w:val="18"/>
              </w:rPr>
            </w:pPr>
            <w:r w:rsidRPr="00F0636B">
              <w:rPr>
                <w:sz w:val="18"/>
                <w:szCs w:val="18"/>
              </w:rPr>
              <w:t>0.4</w:t>
            </w:r>
          </w:p>
        </w:tc>
        <w:tc>
          <w:tcPr>
            <w:tcW w:w="800" w:type="dxa"/>
            <w:noWrap/>
            <w:vAlign w:val="center"/>
            <w:hideMark/>
          </w:tcPr>
          <w:p w14:paraId="02399E66" w14:textId="77777777" w:rsidR="00AC62D7" w:rsidRPr="00F0636B" w:rsidRDefault="00AC62D7" w:rsidP="00F0636B">
            <w:pPr>
              <w:spacing w:before="40" w:after="40"/>
              <w:ind w:left="0"/>
              <w:jc w:val="right"/>
              <w:rPr>
                <w:sz w:val="18"/>
                <w:szCs w:val="18"/>
              </w:rPr>
            </w:pPr>
            <w:r w:rsidRPr="00F0636B">
              <w:rPr>
                <w:sz w:val="18"/>
                <w:szCs w:val="18"/>
              </w:rPr>
              <w:t>0.18</w:t>
            </w:r>
          </w:p>
        </w:tc>
      </w:tr>
      <w:tr w:rsidR="00AC62D7" w:rsidRPr="00AC62D7" w14:paraId="21285ABF" w14:textId="77777777" w:rsidTr="00F0636B">
        <w:trPr>
          <w:trHeight w:val="285"/>
        </w:trPr>
        <w:tc>
          <w:tcPr>
            <w:tcW w:w="2376" w:type="dxa"/>
            <w:noWrap/>
            <w:hideMark/>
          </w:tcPr>
          <w:p w14:paraId="45B9770A" w14:textId="77777777" w:rsidR="00AC62D7" w:rsidRPr="00F0636B" w:rsidRDefault="00AC62D7" w:rsidP="00F0636B">
            <w:pPr>
              <w:spacing w:before="40" w:after="40"/>
              <w:ind w:left="0"/>
              <w:rPr>
                <w:sz w:val="18"/>
                <w:szCs w:val="18"/>
              </w:rPr>
            </w:pPr>
            <w:r w:rsidRPr="00F0636B">
              <w:rPr>
                <w:sz w:val="18"/>
                <w:szCs w:val="18"/>
              </w:rPr>
              <w:t>Local authority investment per capita</w:t>
            </w:r>
          </w:p>
        </w:tc>
        <w:tc>
          <w:tcPr>
            <w:tcW w:w="799" w:type="dxa"/>
            <w:noWrap/>
            <w:vAlign w:val="center"/>
            <w:hideMark/>
          </w:tcPr>
          <w:p w14:paraId="77188F13" w14:textId="77777777" w:rsidR="00AC62D7" w:rsidRPr="00F0636B" w:rsidRDefault="00AC62D7" w:rsidP="00F0636B">
            <w:pPr>
              <w:spacing w:before="40" w:after="40"/>
              <w:ind w:left="0"/>
              <w:jc w:val="right"/>
              <w:rPr>
                <w:sz w:val="18"/>
                <w:szCs w:val="18"/>
              </w:rPr>
            </w:pPr>
            <w:r w:rsidRPr="00F0636B">
              <w:rPr>
                <w:sz w:val="18"/>
                <w:szCs w:val="18"/>
              </w:rPr>
              <w:t>0.13</w:t>
            </w:r>
          </w:p>
        </w:tc>
        <w:tc>
          <w:tcPr>
            <w:tcW w:w="799" w:type="dxa"/>
            <w:noWrap/>
            <w:vAlign w:val="center"/>
            <w:hideMark/>
          </w:tcPr>
          <w:p w14:paraId="0435C0F2" w14:textId="77777777" w:rsidR="00AC62D7" w:rsidRPr="00F0636B" w:rsidRDefault="00AC62D7" w:rsidP="00F0636B">
            <w:pPr>
              <w:spacing w:before="40" w:after="40"/>
              <w:ind w:left="0"/>
              <w:jc w:val="right"/>
              <w:rPr>
                <w:sz w:val="18"/>
                <w:szCs w:val="18"/>
              </w:rPr>
            </w:pPr>
            <w:r w:rsidRPr="00F0636B">
              <w:rPr>
                <w:sz w:val="18"/>
                <w:szCs w:val="18"/>
              </w:rPr>
              <w:t>0.38</w:t>
            </w:r>
          </w:p>
        </w:tc>
        <w:tc>
          <w:tcPr>
            <w:tcW w:w="800" w:type="dxa"/>
            <w:noWrap/>
            <w:vAlign w:val="center"/>
            <w:hideMark/>
          </w:tcPr>
          <w:p w14:paraId="1D37ACE7" w14:textId="77777777" w:rsidR="00AC62D7" w:rsidRPr="00F0636B" w:rsidRDefault="00AC62D7" w:rsidP="00F0636B">
            <w:pPr>
              <w:spacing w:before="40" w:after="40"/>
              <w:ind w:left="0"/>
              <w:jc w:val="right"/>
              <w:rPr>
                <w:sz w:val="18"/>
                <w:szCs w:val="18"/>
              </w:rPr>
            </w:pPr>
            <w:r w:rsidRPr="00F0636B">
              <w:rPr>
                <w:sz w:val="18"/>
                <w:szCs w:val="18"/>
              </w:rPr>
              <w:t>-0.05</w:t>
            </w:r>
          </w:p>
        </w:tc>
        <w:tc>
          <w:tcPr>
            <w:tcW w:w="799" w:type="dxa"/>
            <w:noWrap/>
            <w:vAlign w:val="center"/>
            <w:hideMark/>
          </w:tcPr>
          <w:p w14:paraId="7BF0DB1A" w14:textId="77777777" w:rsidR="00AC62D7" w:rsidRPr="00F0636B" w:rsidRDefault="00AC62D7" w:rsidP="00F0636B">
            <w:pPr>
              <w:spacing w:before="40" w:after="40"/>
              <w:ind w:left="0"/>
              <w:jc w:val="right"/>
              <w:rPr>
                <w:sz w:val="18"/>
                <w:szCs w:val="18"/>
              </w:rPr>
            </w:pPr>
            <w:r w:rsidRPr="00F0636B">
              <w:rPr>
                <w:sz w:val="18"/>
                <w:szCs w:val="18"/>
              </w:rPr>
              <w:t>0.08</w:t>
            </w:r>
          </w:p>
        </w:tc>
        <w:tc>
          <w:tcPr>
            <w:tcW w:w="799" w:type="dxa"/>
            <w:noWrap/>
            <w:vAlign w:val="center"/>
            <w:hideMark/>
          </w:tcPr>
          <w:p w14:paraId="621275B2" w14:textId="77777777" w:rsidR="00AC62D7" w:rsidRPr="00F0636B" w:rsidRDefault="00AC62D7" w:rsidP="00F0636B">
            <w:pPr>
              <w:spacing w:before="40" w:after="40"/>
              <w:ind w:left="0"/>
              <w:jc w:val="right"/>
              <w:rPr>
                <w:sz w:val="18"/>
                <w:szCs w:val="18"/>
              </w:rPr>
            </w:pPr>
            <w:r w:rsidRPr="00F0636B">
              <w:rPr>
                <w:sz w:val="18"/>
                <w:szCs w:val="18"/>
              </w:rPr>
              <w:t>0.7</w:t>
            </w:r>
          </w:p>
        </w:tc>
        <w:tc>
          <w:tcPr>
            <w:tcW w:w="800" w:type="dxa"/>
            <w:noWrap/>
            <w:vAlign w:val="center"/>
            <w:hideMark/>
          </w:tcPr>
          <w:p w14:paraId="793A143D" w14:textId="77777777" w:rsidR="00AC62D7" w:rsidRPr="00F0636B" w:rsidRDefault="00AC62D7" w:rsidP="00F0636B">
            <w:pPr>
              <w:spacing w:before="40" w:after="40"/>
              <w:ind w:left="0"/>
              <w:jc w:val="right"/>
              <w:rPr>
                <w:sz w:val="18"/>
                <w:szCs w:val="18"/>
              </w:rPr>
            </w:pPr>
            <w:r w:rsidRPr="00F0636B">
              <w:rPr>
                <w:sz w:val="18"/>
                <w:szCs w:val="18"/>
              </w:rPr>
              <w:t>0.03</w:t>
            </w:r>
          </w:p>
        </w:tc>
        <w:tc>
          <w:tcPr>
            <w:tcW w:w="799" w:type="dxa"/>
            <w:noWrap/>
            <w:vAlign w:val="center"/>
            <w:hideMark/>
          </w:tcPr>
          <w:p w14:paraId="44275B8D" w14:textId="77777777" w:rsidR="00AC62D7" w:rsidRPr="00F0636B" w:rsidRDefault="00AC62D7" w:rsidP="00F0636B">
            <w:pPr>
              <w:spacing w:before="40" w:after="40"/>
              <w:ind w:left="0"/>
              <w:jc w:val="right"/>
              <w:rPr>
                <w:sz w:val="18"/>
                <w:szCs w:val="18"/>
              </w:rPr>
            </w:pPr>
            <w:r w:rsidRPr="00F0636B">
              <w:rPr>
                <w:sz w:val="18"/>
                <w:szCs w:val="18"/>
              </w:rPr>
              <w:t>-0.18</w:t>
            </w:r>
          </w:p>
        </w:tc>
        <w:tc>
          <w:tcPr>
            <w:tcW w:w="799" w:type="dxa"/>
            <w:noWrap/>
            <w:vAlign w:val="center"/>
            <w:hideMark/>
          </w:tcPr>
          <w:p w14:paraId="34EFFF93" w14:textId="77777777" w:rsidR="00AC62D7" w:rsidRPr="00F0636B" w:rsidRDefault="00AC62D7" w:rsidP="00F0636B">
            <w:pPr>
              <w:spacing w:before="40" w:after="40"/>
              <w:ind w:left="0"/>
              <w:jc w:val="right"/>
              <w:rPr>
                <w:sz w:val="18"/>
                <w:szCs w:val="18"/>
              </w:rPr>
            </w:pPr>
            <w:r w:rsidRPr="00F0636B">
              <w:rPr>
                <w:sz w:val="18"/>
                <w:szCs w:val="18"/>
              </w:rPr>
              <w:t>0.06</w:t>
            </w:r>
          </w:p>
        </w:tc>
        <w:tc>
          <w:tcPr>
            <w:tcW w:w="800" w:type="dxa"/>
            <w:noWrap/>
            <w:vAlign w:val="center"/>
            <w:hideMark/>
          </w:tcPr>
          <w:p w14:paraId="762C6B96" w14:textId="77777777" w:rsidR="00AC62D7" w:rsidRPr="00F0636B" w:rsidRDefault="00AC62D7" w:rsidP="00F0636B">
            <w:pPr>
              <w:spacing w:before="40" w:after="40"/>
              <w:ind w:left="0"/>
              <w:jc w:val="right"/>
              <w:rPr>
                <w:sz w:val="18"/>
                <w:szCs w:val="18"/>
              </w:rPr>
            </w:pPr>
            <w:r w:rsidRPr="00F0636B">
              <w:rPr>
                <w:sz w:val="18"/>
                <w:szCs w:val="18"/>
              </w:rPr>
              <w:t>0.05</w:t>
            </w:r>
          </w:p>
        </w:tc>
      </w:tr>
      <w:tr w:rsidR="00AC62D7" w:rsidRPr="00AC62D7" w14:paraId="24FEFF4F" w14:textId="77777777" w:rsidTr="00F0636B">
        <w:trPr>
          <w:trHeight w:val="285"/>
        </w:trPr>
        <w:tc>
          <w:tcPr>
            <w:tcW w:w="2376" w:type="dxa"/>
            <w:noWrap/>
            <w:hideMark/>
          </w:tcPr>
          <w:p w14:paraId="242E119A" w14:textId="77777777" w:rsidR="00AC62D7" w:rsidRPr="00F0636B" w:rsidRDefault="00AC62D7" w:rsidP="00F0636B">
            <w:pPr>
              <w:spacing w:before="40" w:after="40"/>
              <w:ind w:left="0"/>
              <w:rPr>
                <w:sz w:val="18"/>
                <w:szCs w:val="18"/>
              </w:rPr>
            </w:pPr>
            <w:r w:rsidRPr="00F0636B">
              <w:rPr>
                <w:sz w:val="18"/>
                <w:szCs w:val="18"/>
              </w:rPr>
              <w:t>CS&amp;H investment per capita, lagged one year</w:t>
            </w:r>
          </w:p>
        </w:tc>
        <w:tc>
          <w:tcPr>
            <w:tcW w:w="799" w:type="dxa"/>
            <w:noWrap/>
            <w:vAlign w:val="center"/>
            <w:hideMark/>
          </w:tcPr>
          <w:p w14:paraId="16660DF9" w14:textId="77777777" w:rsidR="00AC62D7" w:rsidRPr="00F0636B" w:rsidRDefault="00AC62D7" w:rsidP="00F0636B">
            <w:pPr>
              <w:spacing w:before="40" w:after="40"/>
              <w:ind w:left="0"/>
              <w:jc w:val="right"/>
              <w:rPr>
                <w:sz w:val="18"/>
                <w:szCs w:val="18"/>
              </w:rPr>
            </w:pPr>
            <w:r w:rsidRPr="00F0636B">
              <w:rPr>
                <w:sz w:val="18"/>
                <w:szCs w:val="18"/>
              </w:rPr>
              <w:t>0.16</w:t>
            </w:r>
          </w:p>
        </w:tc>
        <w:tc>
          <w:tcPr>
            <w:tcW w:w="799" w:type="dxa"/>
            <w:noWrap/>
            <w:vAlign w:val="center"/>
            <w:hideMark/>
          </w:tcPr>
          <w:p w14:paraId="6432D8CE" w14:textId="77777777" w:rsidR="00AC62D7" w:rsidRPr="00F0636B" w:rsidRDefault="00AC62D7" w:rsidP="00F0636B">
            <w:pPr>
              <w:spacing w:before="40" w:after="40"/>
              <w:ind w:left="0"/>
              <w:jc w:val="right"/>
              <w:rPr>
                <w:sz w:val="18"/>
                <w:szCs w:val="18"/>
              </w:rPr>
            </w:pPr>
            <w:r w:rsidRPr="00F0636B">
              <w:rPr>
                <w:sz w:val="18"/>
                <w:szCs w:val="18"/>
              </w:rPr>
              <w:t>0.41</w:t>
            </w:r>
          </w:p>
        </w:tc>
        <w:tc>
          <w:tcPr>
            <w:tcW w:w="800" w:type="dxa"/>
            <w:noWrap/>
            <w:vAlign w:val="center"/>
            <w:hideMark/>
          </w:tcPr>
          <w:p w14:paraId="0DB43E64" w14:textId="77777777" w:rsidR="00AC62D7" w:rsidRPr="00F0636B" w:rsidRDefault="00AC62D7" w:rsidP="00F0636B">
            <w:pPr>
              <w:spacing w:before="40" w:after="40"/>
              <w:ind w:left="0"/>
              <w:jc w:val="right"/>
              <w:rPr>
                <w:sz w:val="18"/>
                <w:szCs w:val="18"/>
              </w:rPr>
            </w:pPr>
            <w:r w:rsidRPr="00F0636B">
              <w:rPr>
                <w:sz w:val="18"/>
                <w:szCs w:val="18"/>
              </w:rPr>
              <w:t>-0.05</w:t>
            </w:r>
          </w:p>
        </w:tc>
        <w:tc>
          <w:tcPr>
            <w:tcW w:w="799" w:type="dxa"/>
            <w:noWrap/>
            <w:vAlign w:val="center"/>
            <w:hideMark/>
          </w:tcPr>
          <w:p w14:paraId="56CA36DA" w14:textId="77777777" w:rsidR="00AC62D7" w:rsidRPr="00F0636B" w:rsidRDefault="00AC62D7" w:rsidP="00F0636B">
            <w:pPr>
              <w:spacing w:before="40" w:after="40"/>
              <w:ind w:left="0"/>
              <w:jc w:val="right"/>
              <w:rPr>
                <w:sz w:val="18"/>
                <w:szCs w:val="18"/>
              </w:rPr>
            </w:pPr>
            <w:r w:rsidRPr="00F0636B">
              <w:rPr>
                <w:sz w:val="18"/>
                <w:szCs w:val="18"/>
              </w:rPr>
              <w:t>0.11</w:t>
            </w:r>
          </w:p>
        </w:tc>
        <w:tc>
          <w:tcPr>
            <w:tcW w:w="799" w:type="dxa"/>
            <w:noWrap/>
            <w:vAlign w:val="center"/>
            <w:hideMark/>
          </w:tcPr>
          <w:p w14:paraId="26A72FB3" w14:textId="77777777" w:rsidR="00AC62D7" w:rsidRPr="00F0636B" w:rsidRDefault="00AC62D7" w:rsidP="00F0636B">
            <w:pPr>
              <w:spacing w:before="40" w:after="40"/>
              <w:ind w:left="0"/>
              <w:jc w:val="right"/>
              <w:rPr>
                <w:sz w:val="18"/>
                <w:szCs w:val="18"/>
              </w:rPr>
            </w:pPr>
            <w:r w:rsidRPr="00F0636B">
              <w:rPr>
                <w:sz w:val="18"/>
                <w:szCs w:val="18"/>
              </w:rPr>
              <w:t>0.69</w:t>
            </w:r>
          </w:p>
        </w:tc>
        <w:tc>
          <w:tcPr>
            <w:tcW w:w="800" w:type="dxa"/>
            <w:noWrap/>
            <w:vAlign w:val="center"/>
            <w:hideMark/>
          </w:tcPr>
          <w:p w14:paraId="76DDAC15" w14:textId="77777777" w:rsidR="00AC62D7" w:rsidRPr="00F0636B" w:rsidRDefault="00AC62D7" w:rsidP="00F0636B">
            <w:pPr>
              <w:spacing w:before="40" w:after="40"/>
              <w:ind w:left="0"/>
              <w:jc w:val="right"/>
              <w:rPr>
                <w:sz w:val="18"/>
                <w:szCs w:val="18"/>
              </w:rPr>
            </w:pPr>
            <w:r w:rsidRPr="00F0636B">
              <w:rPr>
                <w:sz w:val="18"/>
                <w:szCs w:val="18"/>
              </w:rPr>
              <w:t>0</w:t>
            </w:r>
          </w:p>
        </w:tc>
        <w:tc>
          <w:tcPr>
            <w:tcW w:w="799" w:type="dxa"/>
            <w:noWrap/>
            <w:vAlign w:val="center"/>
            <w:hideMark/>
          </w:tcPr>
          <w:p w14:paraId="311F9B77" w14:textId="77777777" w:rsidR="00AC62D7" w:rsidRPr="00F0636B" w:rsidRDefault="00AC62D7" w:rsidP="00F0636B">
            <w:pPr>
              <w:spacing w:before="40" w:after="40"/>
              <w:ind w:left="0"/>
              <w:jc w:val="right"/>
              <w:rPr>
                <w:sz w:val="18"/>
                <w:szCs w:val="18"/>
              </w:rPr>
            </w:pPr>
            <w:r w:rsidRPr="00F0636B">
              <w:rPr>
                <w:sz w:val="18"/>
                <w:szCs w:val="18"/>
              </w:rPr>
              <w:t>-0.19</w:t>
            </w:r>
          </w:p>
        </w:tc>
        <w:tc>
          <w:tcPr>
            <w:tcW w:w="799" w:type="dxa"/>
            <w:noWrap/>
            <w:vAlign w:val="center"/>
            <w:hideMark/>
          </w:tcPr>
          <w:p w14:paraId="249BE532" w14:textId="77777777" w:rsidR="00AC62D7" w:rsidRPr="00F0636B" w:rsidRDefault="00AC62D7" w:rsidP="00F0636B">
            <w:pPr>
              <w:spacing w:before="40" w:after="40"/>
              <w:ind w:left="0"/>
              <w:jc w:val="right"/>
              <w:rPr>
                <w:sz w:val="18"/>
                <w:szCs w:val="18"/>
              </w:rPr>
            </w:pPr>
            <w:r w:rsidRPr="00F0636B">
              <w:rPr>
                <w:sz w:val="18"/>
                <w:szCs w:val="18"/>
              </w:rPr>
              <w:t>0.09</w:t>
            </w:r>
          </w:p>
        </w:tc>
        <w:tc>
          <w:tcPr>
            <w:tcW w:w="800" w:type="dxa"/>
            <w:noWrap/>
            <w:vAlign w:val="center"/>
            <w:hideMark/>
          </w:tcPr>
          <w:p w14:paraId="0BB47527" w14:textId="77777777" w:rsidR="00AC62D7" w:rsidRPr="00F0636B" w:rsidRDefault="00AC62D7" w:rsidP="00F0636B">
            <w:pPr>
              <w:spacing w:before="40" w:after="40"/>
              <w:ind w:left="0"/>
              <w:jc w:val="right"/>
              <w:rPr>
                <w:sz w:val="18"/>
                <w:szCs w:val="18"/>
              </w:rPr>
            </w:pPr>
            <w:r w:rsidRPr="00F0636B">
              <w:rPr>
                <w:sz w:val="18"/>
                <w:szCs w:val="18"/>
              </w:rPr>
              <w:t>0.07</w:t>
            </w:r>
          </w:p>
        </w:tc>
      </w:tr>
      <w:tr w:rsidR="00AC62D7" w:rsidRPr="00AC62D7" w14:paraId="52C12C22" w14:textId="77777777" w:rsidTr="00F0636B">
        <w:trPr>
          <w:trHeight w:val="285"/>
        </w:trPr>
        <w:tc>
          <w:tcPr>
            <w:tcW w:w="2376" w:type="dxa"/>
            <w:noWrap/>
            <w:hideMark/>
          </w:tcPr>
          <w:p w14:paraId="65953EA2" w14:textId="77777777" w:rsidR="00AC62D7" w:rsidRPr="00F0636B" w:rsidRDefault="00AC62D7" w:rsidP="00F0636B">
            <w:pPr>
              <w:spacing w:before="40" w:after="40"/>
              <w:ind w:left="0"/>
              <w:rPr>
                <w:sz w:val="18"/>
                <w:szCs w:val="18"/>
              </w:rPr>
            </w:pPr>
            <w:r w:rsidRPr="00F0636B">
              <w:rPr>
                <w:sz w:val="18"/>
                <w:szCs w:val="18"/>
              </w:rPr>
              <w:t>CS&amp;H investment per capita, lagged two years</w:t>
            </w:r>
          </w:p>
        </w:tc>
        <w:tc>
          <w:tcPr>
            <w:tcW w:w="799" w:type="dxa"/>
            <w:noWrap/>
            <w:vAlign w:val="center"/>
            <w:hideMark/>
          </w:tcPr>
          <w:p w14:paraId="2990AAE3" w14:textId="77777777" w:rsidR="00AC62D7" w:rsidRPr="00F0636B" w:rsidRDefault="00AC62D7" w:rsidP="00F0636B">
            <w:pPr>
              <w:spacing w:before="40" w:after="40"/>
              <w:ind w:left="0"/>
              <w:jc w:val="right"/>
              <w:rPr>
                <w:sz w:val="18"/>
                <w:szCs w:val="18"/>
              </w:rPr>
            </w:pPr>
            <w:r w:rsidRPr="00F0636B">
              <w:rPr>
                <w:sz w:val="18"/>
                <w:szCs w:val="18"/>
              </w:rPr>
              <w:t>0.14</w:t>
            </w:r>
          </w:p>
        </w:tc>
        <w:tc>
          <w:tcPr>
            <w:tcW w:w="799" w:type="dxa"/>
            <w:noWrap/>
            <w:vAlign w:val="center"/>
            <w:hideMark/>
          </w:tcPr>
          <w:p w14:paraId="2DF89EBB" w14:textId="77777777" w:rsidR="00AC62D7" w:rsidRPr="00F0636B" w:rsidRDefault="00AC62D7" w:rsidP="00F0636B">
            <w:pPr>
              <w:spacing w:before="40" w:after="40"/>
              <w:ind w:left="0"/>
              <w:jc w:val="right"/>
              <w:rPr>
                <w:sz w:val="18"/>
                <w:szCs w:val="18"/>
              </w:rPr>
            </w:pPr>
            <w:r w:rsidRPr="00F0636B">
              <w:rPr>
                <w:sz w:val="18"/>
                <w:szCs w:val="18"/>
              </w:rPr>
              <w:t>0.38</w:t>
            </w:r>
          </w:p>
        </w:tc>
        <w:tc>
          <w:tcPr>
            <w:tcW w:w="800" w:type="dxa"/>
            <w:noWrap/>
            <w:vAlign w:val="center"/>
            <w:hideMark/>
          </w:tcPr>
          <w:p w14:paraId="35EE44B9" w14:textId="77777777" w:rsidR="00AC62D7" w:rsidRPr="00F0636B" w:rsidRDefault="00AC62D7" w:rsidP="00F0636B">
            <w:pPr>
              <w:spacing w:before="40" w:after="40"/>
              <w:ind w:left="0"/>
              <w:jc w:val="right"/>
              <w:rPr>
                <w:sz w:val="18"/>
                <w:szCs w:val="18"/>
              </w:rPr>
            </w:pPr>
            <w:r w:rsidRPr="00F0636B">
              <w:rPr>
                <w:sz w:val="18"/>
                <w:szCs w:val="18"/>
              </w:rPr>
              <w:t>-0.04</w:t>
            </w:r>
          </w:p>
        </w:tc>
        <w:tc>
          <w:tcPr>
            <w:tcW w:w="799" w:type="dxa"/>
            <w:noWrap/>
            <w:vAlign w:val="center"/>
            <w:hideMark/>
          </w:tcPr>
          <w:p w14:paraId="10CF506A" w14:textId="77777777" w:rsidR="00AC62D7" w:rsidRPr="00F0636B" w:rsidRDefault="00AC62D7" w:rsidP="00F0636B">
            <w:pPr>
              <w:spacing w:before="40" w:after="40"/>
              <w:ind w:left="0"/>
              <w:jc w:val="right"/>
              <w:rPr>
                <w:sz w:val="18"/>
                <w:szCs w:val="18"/>
              </w:rPr>
            </w:pPr>
            <w:r w:rsidRPr="00F0636B">
              <w:rPr>
                <w:sz w:val="18"/>
                <w:szCs w:val="18"/>
              </w:rPr>
              <w:t>0.09</w:t>
            </w:r>
          </w:p>
        </w:tc>
        <w:tc>
          <w:tcPr>
            <w:tcW w:w="799" w:type="dxa"/>
            <w:noWrap/>
            <w:vAlign w:val="center"/>
            <w:hideMark/>
          </w:tcPr>
          <w:p w14:paraId="7C4CB8DD" w14:textId="77777777" w:rsidR="00AC62D7" w:rsidRPr="00F0636B" w:rsidRDefault="00AC62D7" w:rsidP="00F0636B">
            <w:pPr>
              <w:spacing w:before="40" w:after="40"/>
              <w:ind w:left="0"/>
              <w:jc w:val="right"/>
              <w:rPr>
                <w:sz w:val="18"/>
                <w:szCs w:val="18"/>
              </w:rPr>
            </w:pPr>
            <w:r w:rsidRPr="00F0636B">
              <w:rPr>
                <w:sz w:val="18"/>
                <w:szCs w:val="18"/>
              </w:rPr>
              <w:t>0.74</w:t>
            </w:r>
          </w:p>
        </w:tc>
        <w:tc>
          <w:tcPr>
            <w:tcW w:w="800" w:type="dxa"/>
            <w:noWrap/>
            <w:vAlign w:val="center"/>
            <w:hideMark/>
          </w:tcPr>
          <w:p w14:paraId="265CE5A1" w14:textId="77777777" w:rsidR="00AC62D7" w:rsidRPr="00F0636B" w:rsidRDefault="00AC62D7" w:rsidP="00F0636B">
            <w:pPr>
              <w:spacing w:before="40" w:after="40"/>
              <w:ind w:left="0"/>
              <w:jc w:val="right"/>
              <w:rPr>
                <w:sz w:val="18"/>
                <w:szCs w:val="18"/>
              </w:rPr>
            </w:pPr>
            <w:r w:rsidRPr="00F0636B">
              <w:rPr>
                <w:sz w:val="18"/>
                <w:szCs w:val="18"/>
              </w:rPr>
              <w:t>0.08</w:t>
            </w:r>
          </w:p>
        </w:tc>
        <w:tc>
          <w:tcPr>
            <w:tcW w:w="799" w:type="dxa"/>
            <w:noWrap/>
            <w:vAlign w:val="center"/>
            <w:hideMark/>
          </w:tcPr>
          <w:p w14:paraId="54E22854" w14:textId="77777777" w:rsidR="00AC62D7" w:rsidRPr="00F0636B" w:rsidRDefault="00AC62D7" w:rsidP="00F0636B">
            <w:pPr>
              <w:spacing w:before="40" w:after="40"/>
              <w:ind w:left="0"/>
              <w:jc w:val="right"/>
              <w:rPr>
                <w:sz w:val="18"/>
                <w:szCs w:val="18"/>
              </w:rPr>
            </w:pPr>
            <w:r w:rsidRPr="00F0636B">
              <w:rPr>
                <w:sz w:val="18"/>
                <w:szCs w:val="18"/>
              </w:rPr>
              <w:t>-0.19</w:t>
            </w:r>
          </w:p>
        </w:tc>
        <w:tc>
          <w:tcPr>
            <w:tcW w:w="799" w:type="dxa"/>
            <w:noWrap/>
            <w:vAlign w:val="center"/>
            <w:hideMark/>
          </w:tcPr>
          <w:p w14:paraId="03320C5D" w14:textId="77777777" w:rsidR="00AC62D7" w:rsidRPr="00F0636B" w:rsidRDefault="00AC62D7" w:rsidP="00F0636B">
            <w:pPr>
              <w:spacing w:before="40" w:after="40"/>
              <w:ind w:left="0"/>
              <w:jc w:val="right"/>
              <w:rPr>
                <w:sz w:val="18"/>
                <w:szCs w:val="18"/>
              </w:rPr>
            </w:pPr>
            <w:r w:rsidRPr="00F0636B">
              <w:rPr>
                <w:sz w:val="18"/>
                <w:szCs w:val="18"/>
              </w:rPr>
              <w:t>0.07</w:t>
            </w:r>
          </w:p>
        </w:tc>
        <w:tc>
          <w:tcPr>
            <w:tcW w:w="800" w:type="dxa"/>
            <w:noWrap/>
            <w:vAlign w:val="center"/>
            <w:hideMark/>
          </w:tcPr>
          <w:p w14:paraId="32110A34" w14:textId="77777777" w:rsidR="00AC62D7" w:rsidRPr="00F0636B" w:rsidRDefault="00AC62D7" w:rsidP="00F0636B">
            <w:pPr>
              <w:spacing w:before="40" w:after="40"/>
              <w:ind w:left="0"/>
              <w:jc w:val="right"/>
              <w:rPr>
                <w:sz w:val="18"/>
                <w:szCs w:val="18"/>
              </w:rPr>
            </w:pPr>
            <w:r w:rsidRPr="00F0636B">
              <w:rPr>
                <w:sz w:val="18"/>
                <w:szCs w:val="18"/>
              </w:rPr>
              <w:t>0.05</w:t>
            </w:r>
          </w:p>
        </w:tc>
      </w:tr>
      <w:tr w:rsidR="00AC62D7" w:rsidRPr="00AC62D7" w14:paraId="3563FC72" w14:textId="77777777" w:rsidTr="00F0636B">
        <w:trPr>
          <w:trHeight w:val="285"/>
        </w:trPr>
        <w:tc>
          <w:tcPr>
            <w:tcW w:w="2376" w:type="dxa"/>
            <w:noWrap/>
            <w:hideMark/>
          </w:tcPr>
          <w:p w14:paraId="57C6EA85" w14:textId="77777777" w:rsidR="00AC62D7" w:rsidRPr="00F0636B" w:rsidRDefault="00AC62D7" w:rsidP="00F0636B">
            <w:pPr>
              <w:spacing w:before="40" w:after="40"/>
              <w:ind w:left="0"/>
              <w:rPr>
                <w:sz w:val="18"/>
                <w:szCs w:val="18"/>
              </w:rPr>
            </w:pPr>
            <w:r w:rsidRPr="00F0636B">
              <w:rPr>
                <w:sz w:val="18"/>
                <w:szCs w:val="18"/>
              </w:rPr>
              <w:t>CS&amp;H investment per capita, lagged three years</w:t>
            </w:r>
          </w:p>
        </w:tc>
        <w:tc>
          <w:tcPr>
            <w:tcW w:w="799" w:type="dxa"/>
            <w:noWrap/>
            <w:vAlign w:val="center"/>
            <w:hideMark/>
          </w:tcPr>
          <w:p w14:paraId="051FC5D0" w14:textId="77777777" w:rsidR="00AC62D7" w:rsidRPr="00F0636B" w:rsidRDefault="00AC62D7" w:rsidP="00F0636B">
            <w:pPr>
              <w:spacing w:before="40" w:after="40"/>
              <w:ind w:left="0"/>
              <w:jc w:val="right"/>
              <w:rPr>
                <w:sz w:val="18"/>
                <w:szCs w:val="18"/>
              </w:rPr>
            </w:pPr>
            <w:r w:rsidRPr="00F0636B">
              <w:rPr>
                <w:sz w:val="18"/>
                <w:szCs w:val="18"/>
              </w:rPr>
              <w:t>0.14</w:t>
            </w:r>
          </w:p>
        </w:tc>
        <w:tc>
          <w:tcPr>
            <w:tcW w:w="799" w:type="dxa"/>
            <w:noWrap/>
            <w:vAlign w:val="center"/>
            <w:hideMark/>
          </w:tcPr>
          <w:p w14:paraId="2EF479B5" w14:textId="77777777" w:rsidR="00AC62D7" w:rsidRPr="00F0636B" w:rsidRDefault="00AC62D7" w:rsidP="00F0636B">
            <w:pPr>
              <w:spacing w:before="40" w:after="40"/>
              <w:ind w:left="0"/>
              <w:jc w:val="right"/>
              <w:rPr>
                <w:sz w:val="18"/>
                <w:szCs w:val="18"/>
              </w:rPr>
            </w:pPr>
            <w:r w:rsidRPr="00F0636B">
              <w:rPr>
                <w:sz w:val="18"/>
                <w:szCs w:val="18"/>
              </w:rPr>
              <w:t>0.39</w:t>
            </w:r>
          </w:p>
        </w:tc>
        <w:tc>
          <w:tcPr>
            <w:tcW w:w="800" w:type="dxa"/>
            <w:noWrap/>
            <w:vAlign w:val="center"/>
            <w:hideMark/>
          </w:tcPr>
          <w:p w14:paraId="73EDD09E" w14:textId="77777777" w:rsidR="00AC62D7" w:rsidRPr="00F0636B" w:rsidRDefault="00AC62D7" w:rsidP="00F0636B">
            <w:pPr>
              <w:spacing w:before="40" w:after="40"/>
              <w:ind w:left="0"/>
              <w:jc w:val="right"/>
              <w:rPr>
                <w:sz w:val="18"/>
                <w:szCs w:val="18"/>
              </w:rPr>
            </w:pPr>
            <w:r w:rsidRPr="00F0636B">
              <w:rPr>
                <w:sz w:val="18"/>
                <w:szCs w:val="18"/>
              </w:rPr>
              <w:t>-0.04</w:t>
            </w:r>
          </w:p>
        </w:tc>
        <w:tc>
          <w:tcPr>
            <w:tcW w:w="799" w:type="dxa"/>
            <w:noWrap/>
            <w:vAlign w:val="center"/>
            <w:hideMark/>
          </w:tcPr>
          <w:p w14:paraId="056942A0" w14:textId="77777777" w:rsidR="00AC62D7" w:rsidRPr="00F0636B" w:rsidRDefault="00AC62D7" w:rsidP="00F0636B">
            <w:pPr>
              <w:spacing w:before="40" w:after="40"/>
              <w:ind w:left="0"/>
              <w:jc w:val="right"/>
              <w:rPr>
                <w:sz w:val="18"/>
                <w:szCs w:val="18"/>
              </w:rPr>
            </w:pPr>
            <w:r w:rsidRPr="00F0636B">
              <w:rPr>
                <w:sz w:val="18"/>
                <w:szCs w:val="18"/>
              </w:rPr>
              <w:t>0.08</w:t>
            </w:r>
          </w:p>
        </w:tc>
        <w:tc>
          <w:tcPr>
            <w:tcW w:w="799" w:type="dxa"/>
            <w:noWrap/>
            <w:vAlign w:val="center"/>
            <w:hideMark/>
          </w:tcPr>
          <w:p w14:paraId="322DA61A" w14:textId="77777777" w:rsidR="00AC62D7" w:rsidRPr="00F0636B" w:rsidRDefault="00AC62D7" w:rsidP="00F0636B">
            <w:pPr>
              <w:spacing w:before="40" w:after="40"/>
              <w:ind w:left="0"/>
              <w:jc w:val="right"/>
              <w:rPr>
                <w:sz w:val="18"/>
                <w:szCs w:val="18"/>
              </w:rPr>
            </w:pPr>
            <w:r w:rsidRPr="00F0636B">
              <w:rPr>
                <w:sz w:val="18"/>
                <w:szCs w:val="18"/>
              </w:rPr>
              <w:t>0.68</w:t>
            </w:r>
          </w:p>
        </w:tc>
        <w:tc>
          <w:tcPr>
            <w:tcW w:w="800" w:type="dxa"/>
            <w:noWrap/>
            <w:vAlign w:val="center"/>
            <w:hideMark/>
          </w:tcPr>
          <w:p w14:paraId="1C4A1335" w14:textId="77777777" w:rsidR="00AC62D7" w:rsidRPr="00F0636B" w:rsidRDefault="00AC62D7" w:rsidP="00F0636B">
            <w:pPr>
              <w:spacing w:before="40" w:after="40"/>
              <w:ind w:left="0"/>
              <w:jc w:val="right"/>
              <w:rPr>
                <w:sz w:val="18"/>
                <w:szCs w:val="18"/>
              </w:rPr>
            </w:pPr>
            <w:r w:rsidRPr="00F0636B">
              <w:rPr>
                <w:sz w:val="18"/>
                <w:szCs w:val="18"/>
              </w:rPr>
              <w:t>-0.01</w:t>
            </w:r>
          </w:p>
        </w:tc>
        <w:tc>
          <w:tcPr>
            <w:tcW w:w="799" w:type="dxa"/>
            <w:noWrap/>
            <w:vAlign w:val="center"/>
            <w:hideMark/>
          </w:tcPr>
          <w:p w14:paraId="60CF90F9" w14:textId="77777777" w:rsidR="00AC62D7" w:rsidRPr="00F0636B" w:rsidRDefault="00AC62D7" w:rsidP="00F0636B">
            <w:pPr>
              <w:spacing w:before="40" w:after="40"/>
              <w:ind w:left="0"/>
              <w:jc w:val="right"/>
              <w:rPr>
                <w:sz w:val="18"/>
                <w:szCs w:val="18"/>
              </w:rPr>
            </w:pPr>
            <w:r w:rsidRPr="00F0636B">
              <w:rPr>
                <w:sz w:val="18"/>
                <w:szCs w:val="18"/>
              </w:rPr>
              <w:t>-0.18</w:t>
            </w:r>
          </w:p>
        </w:tc>
        <w:tc>
          <w:tcPr>
            <w:tcW w:w="799" w:type="dxa"/>
            <w:noWrap/>
            <w:vAlign w:val="center"/>
            <w:hideMark/>
          </w:tcPr>
          <w:p w14:paraId="15F98D8E" w14:textId="77777777" w:rsidR="00AC62D7" w:rsidRPr="00F0636B" w:rsidRDefault="00AC62D7" w:rsidP="00F0636B">
            <w:pPr>
              <w:spacing w:before="40" w:after="40"/>
              <w:ind w:left="0"/>
              <w:jc w:val="right"/>
              <w:rPr>
                <w:sz w:val="18"/>
                <w:szCs w:val="18"/>
              </w:rPr>
            </w:pPr>
            <w:r w:rsidRPr="00F0636B">
              <w:rPr>
                <w:sz w:val="18"/>
                <w:szCs w:val="18"/>
              </w:rPr>
              <w:t>0.06</w:t>
            </w:r>
          </w:p>
        </w:tc>
        <w:tc>
          <w:tcPr>
            <w:tcW w:w="800" w:type="dxa"/>
            <w:noWrap/>
            <w:vAlign w:val="center"/>
            <w:hideMark/>
          </w:tcPr>
          <w:p w14:paraId="21B8460C" w14:textId="77777777" w:rsidR="00AC62D7" w:rsidRPr="00F0636B" w:rsidRDefault="00AC62D7" w:rsidP="00F0636B">
            <w:pPr>
              <w:spacing w:before="40" w:after="40"/>
              <w:ind w:left="0"/>
              <w:jc w:val="right"/>
              <w:rPr>
                <w:sz w:val="18"/>
                <w:szCs w:val="18"/>
              </w:rPr>
            </w:pPr>
            <w:r w:rsidRPr="00F0636B">
              <w:rPr>
                <w:sz w:val="18"/>
                <w:szCs w:val="18"/>
              </w:rPr>
              <w:t>0.05</w:t>
            </w:r>
          </w:p>
        </w:tc>
      </w:tr>
    </w:tbl>
    <w:p w14:paraId="4DA2F4B0" w14:textId="77777777" w:rsidR="00AC62D7" w:rsidRPr="009548FC" w:rsidRDefault="00AC62D7" w:rsidP="00AC62D7">
      <w:pPr>
        <w:ind w:left="0"/>
        <w:rPr>
          <w:rFonts w:eastAsia="Calibri" w:cs="Arial"/>
          <w:sz w:val="18"/>
        </w:rPr>
      </w:pPr>
      <w:r w:rsidRPr="009548FC">
        <w:rPr>
          <w:rFonts w:eastAsia="Calibri" w:cs="Arial"/>
          <w:sz w:val="18"/>
        </w:rPr>
        <w:t>Source: NEF Consulting</w:t>
      </w:r>
    </w:p>
    <w:p w14:paraId="6CF018F9" w14:textId="77777777" w:rsidR="00AC62D7" w:rsidRDefault="00AC62D7" w:rsidP="005567B2"/>
    <w:p w14:paraId="29B6B5E5" w14:textId="136559B5" w:rsidR="00AF1E6B" w:rsidRDefault="00AF1E6B" w:rsidP="00AC62D7">
      <w:r>
        <w:t xml:space="preserve">There are several ostensibly strong relationships between </w:t>
      </w:r>
      <w:r w:rsidR="00AC62D7">
        <w:t>local economic performance</w:t>
      </w:r>
      <w:r>
        <w:t xml:space="preserve"> and CS&amp;H investment, including </w:t>
      </w:r>
      <w:r w:rsidRPr="00D825F1">
        <w:t>the number of creative firms</w:t>
      </w:r>
      <w:r>
        <w:t xml:space="preserve">, turnover of creative firms, </w:t>
      </w:r>
      <w:proofErr w:type="gramStart"/>
      <w:r>
        <w:t>turnover</w:t>
      </w:r>
      <w:proofErr w:type="gramEnd"/>
      <w:r>
        <w:t xml:space="preserve"> growth of creative firms</w:t>
      </w:r>
      <w:r w:rsidRPr="00D825F1">
        <w:t xml:space="preserve"> and level of CS&amp;H investment</w:t>
      </w:r>
      <w:r>
        <w:t xml:space="preserve">. </w:t>
      </w:r>
    </w:p>
    <w:p w14:paraId="261E74D4" w14:textId="40207168" w:rsidR="00AF1E6B" w:rsidRDefault="00AF1E6B" w:rsidP="00AC62D7">
      <w:r>
        <w:t>The strongest relationship appears to be between CS&amp;H investment per capita and number of creative firms per capita (correlation coefficient = 0.71). However, examination of the data reveals two extreme outliers: the Isles of Scilly and City of London (see</w:t>
      </w:r>
      <w:r w:rsidR="00AC62D7">
        <w:t xml:space="preserve"> </w:t>
      </w:r>
      <w:r w:rsidR="0016776E">
        <w:fldChar w:fldCharType="begin"/>
      </w:r>
      <w:r w:rsidR="0016776E">
        <w:instrText xml:space="preserve"> REF _Ref464212129 \h </w:instrText>
      </w:r>
      <w:r w:rsidR="0016776E">
        <w:fldChar w:fldCharType="separate"/>
      </w:r>
      <w:r w:rsidR="00F0636B">
        <w:t xml:space="preserve">Figure </w:t>
      </w:r>
      <w:r w:rsidR="00F0636B">
        <w:rPr>
          <w:noProof/>
        </w:rPr>
        <w:t>4</w:t>
      </w:r>
      <w:r w:rsidR="0016776E">
        <w:fldChar w:fldCharType="end"/>
      </w:r>
      <w:r>
        <w:t xml:space="preserve">). </w:t>
      </w:r>
    </w:p>
    <w:p w14:paraId="4FBCA6A7" w14:textId="77777777" w:rsidR="00AC62D7" w:rsidRDefault="00AC62D7" w:rsidP="00AC62D7"/>
    <w:p w14:paraId="71462F82" w14:textId="11082377" w:rsidR="00AC62D7" w:rsidRDefault="0016776E" w:rsidP="00F0636B">
      <w:pPr>
        <w:pStyle w:val="Caption"/>
      </w:pPr>
      <w:bookmarkStart w:id="126" w:name="_Ref464212129"/>
      <w:bookmarkStart w:id="127" w:name="_Toc464220051"/>
      <w:r>
        <w:t xml:space="preserve">Figure </w:t>
      </w:r>
      <w:fldSimple w:instr=" SEQ Figure \* ARABIC ">
        <w:r w:rsidR="00F0636B">
          <w:rPr>
            <w:noProof/>
          </w:rPr>
          <w:t>4</w:t>
        </w:r>
      </w:fldSimple>
      <w:bookmarkEnd w:id="126"/>
      <w:r w:rsidR="00AC62D7">
        <w:t>: Correlation between number of creative industries firms per capita and Lottery investment</w:t>
      </w:r>
      <w:r>
        <w:t>, by local authority</w:t>
      </w:r>
      <w:bookmarkEnd w:id="127"/>
    </w:p>
    <w:p w14:paraId="7974AB53" w14:textId="77777777" w:rsidR="00AF1E6B" w:rsidRDefault="00AF1E6B" w:rsidP="00F0636B">
      <w:r>
        <w:rPr>
          <w:noProof/>
          <w:lang w:val="en-US"/>
        </w:rPr>
        <w:drawing>
          <wp:inline distT="0" distB="0" distL="0" distR="0" wp14:anchorId="45493D58" wp14:editId="25C337FB">
            <wp:extent cx="4343400" cy="317868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3400" cy="3178689"/>
                    </a:xfrm>
                    <a:prstGeom prst="rect">
                      <a:avLst/>
                    </a:prstGeom>
                    <a:noFill/>
                    <a:ln>
                      <a:noFill/>
                    </a:ln>
                  </pic:spPr>
                </pic:pic>
              </a:graphicData>
            </a:graphic>
          </wp:inline>
        </w:drawing>
      </w:r>
    </w:p>
    <w:p w14:paraId="416E1714" w14:textId="77777777" w:rsidR="0016776E" w:rsidRPr="009548FC" w:rsidRDefault="0016776E" w:rsidP="0016776E">
      <w:pPr>
        <w:ind w:left="0"/>
        <w:rPr>
          <w:rFonts w:eastAsia="Calibri" w:cs="Arial"/>
          <w:sz w:val="18"/>
        </w:rPr>
      </w:pPr>
      <w:r w:rsidRPr="009548FC">
        <w:rPr>
          <w:rFonts w:eastAsia="Calibri" w:cs="Arial"/>
          <w:sz w:val="18"/>
        </w:rPr>
        <w:t>Source: NEF Consulting</w:t>
      </w:r>
    </w:p>
    <w:p w14:paraId="37782CB0" w14:textId="77777777" w:rsidR="0016776E" w:rsidRDefault="0016776E" w:rsidP="0016776E"/>
    <w:p w14:paraId="4AB30EDE" w14:textId="5D236BE8" w:rsidR="0016776E" w:rsidRDefault="0016776E" w:rsidP="00F0636B">
      <w:r>
        <w:t xml:space="preserve">The relationship remains once these two outliers are removed (see </w:t>
      </w:r>
      <w:r>
        <w:fldChar w:fldCharType="begin"/>
      </w:r>
      <w:r>
        <w:instrText xml:space="preserve"> REF _Ref464212208 \h </w:instrText>
      </w:r>
      <w:r>
        <w:fldChar w:fldCharType="separate"/>
      </w:r>
      <w:r w:rsidR="00F0636B">
        <w:t xml:space="preserve">Figure </w:t>
      </w:r>
      <w:r w:rsidR="00F0636B">
        <w:rPr>
          <w:noProof/>
        </w:rPr>
        <w:t>5</w:t>
      </w:r>
      <w:r>
        <w:fldChar w:fldCharType="end"/>
      </w:r>
      <w:r>
        <w:t>), but is less strong at 0.18, although lottery CS&amp;H investment per capita is still reasonably well correlated at 0.44 – compared to minus 0.16 for local authority CS&amp;H investment (the latter suggesting a negative relationship).</w:t>
      </w:r>
    </w:p>
    <w:p w14:paraId="0C1520FD" w14:textId="77777777" w:rsidR="0016776E" w:rsidRDefault="0016776E" w:rsidP="00F0636B"/>
    <w:p w14:paraId="3C38D95C" w14:textId="3F8B85C3" w:rsidR="0016776E" w:rsidRDefault="0016776E" w:rsidP="0016776E">
      <w:pPr>
        <w:pStyle w:val="Caption"/>
      </w:pPr>
      <w:bookmarkStart w:id="128" w:name="_Ref464212208"/>
      <w:bookmarkStart w:id="129" w:name="_Toc464220052"/>
      <w:r>
        <w:t xml:space="preserve">Figure </w:t>
      </w:r>
      <w:fldSimple w:instr=" SEQ Figure \* ARABIC ">
        <w:r w:rsidR="00F0636B">
          <w:rPr>
            <w:noProof/>
          </w:rPr>
          <w:t>5</w:t>
        </w:r>
      </w:fldSimple>
      <w:bookmarkEnd w:id="128"/>
      <w:r>
        <w:t>: Correlation between number of creative industries firms per capita and Lottery CS&amp;H investment, by local authority (excluding Isles of Scilly and City of London)</w:t>
      </w:r>
      <w:bookmarkEnd w:id="129"/>
    </w:p>
    <w:p w14:paraId="0BDD85D8" w14:textId="77777777" w:rsidR="00AF1E6B" w:rsidRDefault="00AF1E6B" w:rsidP="00F0636B">
      <w:r>
        <w:rPr>
          <w:noProof/>
          <w:lang w:val="en-US"/>
        </w:rPr>
        <w:drawing>
          <wp:inline distT="0" distB="0" distL="0" distR="0" wp14:anchorId="4D4757F2" wp14:editId="4505CEDB">
            <wp:extent cx="4347035" cy="318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7035" cy="3181350"/>
                    </a:xfrm>
                    <a:prstGeom prst="rect">
                      <a:avLst/>
                    </a:prstGeom>
                    <a:noFill/>
                    <a:ln>
                      <a:noFill/>
                    </a:ln>
                  </pic:spPr>
                </pic:pic>
              </a:graphicData>
            </a:graphic>
          </wp:inline>
        </w:drawing>
      </w:r>
    </w:p>
    <w:p w14:paraId="6397D078" w14:textId="77777777" w:rsidR="0016776E" w:rsidRPr="009548FC" w:rsidRDefault="0016776E" w:rsidP="0016776E">
      <w:pPr>
        <w:ind w:left="0"/>
        <w:rPr>
          <w:rFonts w:eastAsia="Calibri" w:cs="Arial"/>
          <w:sz w:val="18"/>
        </w:rPr>
      </w:pPr>
      <w:r w:rsidRPr="009548FC">
        <w:rPr>
          <w:rFonts w:eastAsia="Calibri" w:cs="Arial"/>
          <w:sz w:val="18"/>
        </w:rPr>
        <w:t>Source: NEF Consulting</w:t>
      </w:r>
    </w:p>
    <w:p w14:paraId="4C645828" w14:textId="77777777" w:rsidR="00AF1E6B" w:rsidRDefault="00AF1E6B" w:rsidP="005567B2"/>
    <w:p w14:paraId="4096C236" w14:textId="73FBA818" w:rsidR="00AF1E6B" w:rsidRDefault="00AF1E6B" w:rsidP="005567B2">
      <w:r>
        <w:t xml:space="preserve">The relationship between </w:t>
      </w:r>
      <w:r w:rsidR="0016776E">
        <w:t xml:space="preserve">the total </w:t>
      </w:r>
      <w:r>
        <w:t xml:space="preserve">number of firms and CS&amp;H </w:t>
      </w:r>
      <w:proofErr w:type="gramStart"/>
      <w:r>
        <w:t>investment,</w:t>
      </w:r>
      <w:proofErr w:type="gramEnd"/>
      <w:r>
        <w:t xml:space="preserve"> is stronger than the relationship between CS&amp;H investment and </w:t>
      </w:r>
      <w:r w:rsidR="0016776E">
        <w:t>creative industries</w:t>
      </w:r>
      <w:r>
        <w:t xml:space="preserve"> firms. This is reflected in the location quotient variable, which measures the relative concentration of creative firms in a local authority compared to the national context – higher CS&amp;H current and lagged investment is associated with a lower concentration of creative firms, although this relationship is weak. </w:t>
      </w:r>
    </w:p>
    <w:p w14:paraId="4BF91D21" w14:textId="6308613D" w:rsidR="00AF1E6B" w:rsidRDefault="00AF1E6B" w:rsidP="005567B2">
      <w:r>
        <w:t>As investment is a flow variable, it makes sense to consider the relationship between it and other flow variables. Turnover growth rate was found</w:t>
      </w:r>
      <w:r w:rsidRPr="007635EE">
        <w:t xml:space="preserve"> </w:t>
      </w:r>
      <w:r>
        <w:t xml:space="preserve">to </w:t>
      </w:r>
      <w:r w:rsidRPr="007635EE">
        <w:t>also have a weak positive relationship</w:t>
      </w:r>
      <w:r>
        <w:t xml:space="preserve"> with investment (see</w:t>
      </w:r>
      <w:r w:rsidR="0016776E">
        <w:t xml:space="preserve"> </w:t>
      </w:r>
      <w:r w:rsidR="0016776E">
        <w:fldChar w:fldCharType="begin"/>
      </w:r>
      <w:r w:rsidR="0016776E">
        <w:instrText xml:space="preserve"> REF _Ref464212370 \h </w:instrText>
      </w:r>
      <w:r w:rsidR="0016776E">
        <w:fldChar w:fldCharType="separate"/>
      </w:r>
      <w:r w:rsidR="00F0636B">
        <w:t xml:space="preserve">Figure </w:t>
      </w:r>
      <w:r w:rsidR="00F0636B">
        <w:rPr>
          <w:noProof/>
        </w:rPr>
        <w:t>6</w:t>
      </w:r>
      <w:r w:rsidR="0016776E">
        <w:fldChar w:fldCharType="end"/>
      </w:r>
      <w:r>
        <w:t>)</w:t>
      </w:r>
      <w:r w:rsidRPr="007635EE">
        <w:t>.</w:t>
      </w:r>
      <w:r>
        <w:t xml:space="preserve"> Creative</w:t>
      </w:r>
      <w:r w:rsidR="0016776E">
        <w:t xml:space="preserve"> industries</w:t>
      </w:r>
      <w:r>
        <w:t xml:space="preserve"> firm</w:t>
      </w:r>
      <w:r w:rsidR="0016776E">
        <w:t>s’</w:t>
      </w:r>
      <w:r>
        <w:t xml:space="preserve"> turnover growth is more strongly </w:t>
      </w:r>
      <w:r w:rsidR="0016776E">
        <w:t>cor</w:t>
      </w:r>
      <w:r>
        <w:t xml:space="preserve">related </w:t>
      </w:r>
      <w:r w:rsidR="0016776E">
        <w:t>with</w:t>
      </w:r>
      <w:r>
        <w:t xml:space="preserve"> CS&amp;H investment than </w:t>
      </w:r>
      <w:r w:rsidR="0016776E">
        <w:t xml:space="preserve">turnover growth among </w:t>
      </w:r>
      <w:r>
        <w:t>all firms: c</w:t>
      </w:r>
      <w:r w:rsidRPr="007635EE">
        <w:t xml:space="preserve">reative </w:t>
      </w:r>
      <w:r w:rsidR="0016776E">
        <w:t xml:space="preserve">industries </w:t>
      </w:r>
      <w:r w:rsidRPr="007635EE">
        <w:t>firms</w:t>
      </w:r>
      <w:r w:rsidR="0016776E">
        <w:t>’</w:t>
      </w:r>
      <w:r w:rsidRPr="007635EE">
        <w:t xml:space="preserve"> turnover growth and investment have a correlation coefficient of 0.3, whereas all firms</w:t>
      </w:r>
      <w:r w:rsidR="0016776E">
        <w:t>’</w:t>
      </w:r>
      <w:r w:rsidRPr="007635EE">
        <w:t xml:space="preserve"> turnover growth and investment have a correlation coefficient of 0.04.</w:t>
      </w:r>
    </w:p>
    <w:p w14:paraId="3D453E59" w14:textId="77777777" w:rsidR="0016776E" w:rsidRDefault="0016776E" w:rsidP="005567B2"/>
    <w:p w14:paraId="3781860F" w14:textId="512475A9" w:rsidR="0016776E" w:rsidRDefault="0016776E" w:rsidP="0016776E">
      <w:pPr>
        <w:pStyle w:val="Caption"/>
      </w:pPr>
      <w:bookmarkStart w:id="130" w:name="_Ref464212370"/>
      <w:bookmarkStart w:id="131" w:name="_Toc464220053"/>
      <w:r>
        <w:t xml:space="preserve">Figure </w:t>
      </w:r>
      <w:fldSimple w:instr=" SEQ Figure \* ARABIC ">
        <w:r w:rsidR="00F0636B">
          <w:rPr>
            <w:noProof/>
          </w:rPr>
          <w:t>6</w:t>
        </w:r>
      </w:fldSimple>
      <w:bookmarkEnd w:id="130"/>
      <w:r>
        <w:t>: Correlation between turnover growth in creative industries firms and CS&amp;H investment, by local authority</w:t>
      </w:r>
      <w:bookmarkEnd w:id="131"/>
    </w:p>
    <w:p w14:paraId="2EDF4F22" w14:textId="77777777" w:rsidR="00AF1E6B" w:rsidRDefault="00AF1E6B" w:rsidP="00F0636B">
      <w:r>
        <w:rPr>
          <w:noProof/>
          <w:lang w:val="en-US"/>
        </w:rPr>
        <w:drawing>
          <wp:inline distT="0" distB="0" distL="0" distR="0" wp14:anchorId="0ADD8FA3" wp14:editId="70DC1F27">
            <wp:extent cx="5133975" cy="3743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33975" cy="3743325"/>
                    </a:xfrm>
                    <a:prstGeom prst="rect">
                      <a:avLst/>
                    </a:prstGeom>
                    <a:noFill/>
                    <a:ln>
                      <a:noFill/>
                    </a:ln>
                  </pic:spPr>
                </pic:pic>
              </a:graphicData>
            </a:graphic>
          </wp:inline>
        </w:drawing>
      </w:r>
    </w:p>
    <w:p w14:paraId="4F038DEA" w14:textId="77777777" w:rsidR="0016776E" w:rsidRPr="009548FC" w:rsidRDefault="0016776E" w:rsidP="0016776E">
      <w:pPr>
        <w:ind w:left="0"/>
        <w:rPr>
          <w:rFonts w:eastAsia="Calibri" w:cs="Arial"/>
          <w:sz w:val="18"/>
        </w:rPr>
      </w:pPr>
      <w:r w:rsidRPr="009548FC">
        <w:rPr>
          <w:rFonts w:eastAsia="Calibri" w:cs="Arial"/>
          <w:sz w:val="18"/>
        </w:rPr>
        <w:t>Source: NEF Consulting</w:t>
      </w:r>
    </w:p>
    <w:p w14:paraId="47EBA484" w14:textId="77777777" w:rsidR="00AF1E6B" w:rsidRDefault="00AF1E6B" w:rsidP="005567B2"/>
    <w:p w14:paraId="36133BA3" w14:textId="3C0F69DE" w:rsidR="00AF1E6B" w:rsidRPr="00B57363" w:rsidRDefault="00AF1E6B" w:rsidP="005567B2">
      <w:r>
        <w:t>Lagged investment was also tested, and yielded very similar correlations as investment – nearly identical for the one year lag</w:t>
      </w:r>
      <w:r w:rsidR="0016776E">
        <w:t>, with</w:t>
      </w:r>
      <w:r>
        <w:t xml:space="preserve"> slightly weaker relationships for the later year lags.</w:t>
      </w:r>
    </w:p>
    <w:p w14:paraId="2C89EBBC" w14:textId="79A88287" w:rsidR="00AF1E6B" w:rsidRDefault="00AF1E6B" w:rsidP="005567B2">
      <w:r>
        <w:t>Results for correlations between the same variables in 2006 were broadly similar to results from 2013 (2006 was chosen as a comparator year so that considerations around the financial crisis did not have to be taken into account). The only large difference between the two years was the relationship between net migration of creative firms and CS&amp;H investment, which was weakly negative in 2013 (-0.38) and weakly positive in 2006 (0.27).</w:t>
      </w:r>
    </w:p>
    <w:p w14:paraId="2C898536" w14:textId="7E2E7EC2" w:rsidR="00AF1E6B" w:rsidRDefault="00AF1E6B" w:rsidP="005567B2">
      <w:r>
        <w:t>All investment data is public investment. It would be useful to be able to test data including private investment</w:t>
      </w:r>
      <w:r w:rsidR="0016776E">
        <w:t>, though data limitations prevent this.</w:t>
      </w:r>
    </w:p>
    <w:p w14:paraId="4402061E" w14:textId="77777777" w:rsidR="0016776E" w:rsidRDefault="0016776E" w:rsidP="005567B2"/>
    <w:p w14:paraId="630D6524" w14:textId="77342245" w:rsidR="0016776E" w:rsidRDefault="0016776E" w:rsidP="0016776E">
      <w:pPr>
        <w:pStyle w:val="Caption"/>
      </w:pPr>
      <w:bookmarkStart w:id="132" w:name="_Toc464220265"/>
      <w:r>
        <w:t xml:space="preserve">Table </w:t>
      </w:r>
      <w:fldSimple w:instr=" SEQ Table \* ARABIC ">
        <w:r w:rsidR="00F0636B">
          <w:rPr>
            <w:noProof/>
          </w:rPr>
          <w:t>11</w:t>
        </w:r>
      </w:fldSimple>
      <w:r>
        <w:t>: Selected c</w:t>
      </w:r>
      <w:r w:rsidRPr="00AC62D7">
        <w:t xml:space="preserve">orrelations between CS&amp;H </w:t>
      </w:r>
      <w:r>
        <w:t>assets and economic indicators</w:t>
      </w:r>
      <w:r w:rsidRPr="00AC62D7">
        <w:t>, 2013</w:t>
      </w:r>
      <w:bookmarkEnd w:id="132"/>
    </w:p>
    <w:tbl>
      <w:tblPr>
        <w:tblStyle w:val="TableGrid"/>
        <w:tblW w:w="0" w:type="auto"/>
        <w:tblLayout w:type="fixed"/>
        <w:tblLook w:val="04A0" w:firstRow="1" w:lastRow="0" w:firstColumn="1" w:lastColumn="0" w:noHBand="0" w:noVBand="1"/>
      </w:tblPr>
      <w:tblGrid>
        <w:gridCol w:w="2660"/>
        <w:gridCol w:w="972"/>
        <w:gridCol w:w="972"/>
        <w:gridCol w:w="972"/>
        <w:gridCol w:w="972"/>
        <w:gridCol w:w="972"/>
        <w:gridCol w:w="972"/>
        <w:gridCol w:w="972"/>
      </w:tblGrid>
      <w:tr w:rsidR="0016776E" w:rsidRPr="00AC62D7" w14:paraId="708FBEED" w14:textId="77777777" w:rsidTr="00F0636B">
        <w:trPr>
          <w:cantSplit/>
          <w:trHeight w:val="2131"/>
        </w:trPr>
        <w:tc>
          <w:tcPr>
            <w:tcW w:w="2660" w:type="dxa"/>
            <w:vAlign w:val="bottom"/>
          </w:tcPr>
          <w:p w14:paraId="13EDF889" w14:textId="77777777" w:rsidR="0016776E" w:rsidRPr="00EB50AC" w:rsidRDefault="0016776E" w:rsidP="0016776E">
            <w:pPr>
              <w:spacing w:before="40" w:after="40"/>
              <w:ind w:left="0"/>
              <w:rPr>
                <w:sz w:val="18"/>
                <w:szCs w:val="18"/>
              </w:rPr>
            </w:pPr>
          </w:p>
        </w:tc>
        <w:tc>
          <w:tcPr>
            <w:tcW w:w="972" w:type="dxa"/>
            <w:textDirection w:val="btLr"/>
            <w:vAlign w:val="bottom"/>
          </w:tcPr>
          <w:p w14:paraId="2B646D2C" w14:textId="4BA1C5D4" w:rsidR="0016776E" w:rsidRPr="00EB50AC" w:rsidRDefault="0016776E" w:rsidP="0016776E">
            <w:pPr>
              <w:spacing w:before="0"/>
              <w:ind w:left="113" w:right="113"/>
              <w:rPr>
                <w:sz w:val="18"/>
                <w:szCs w:val="18"/>
              </w:rPr>
            </w:pPr>
            <w:r>
              <w:rPr>
                <w:rFonts w:cs="Arial"/>
                <w:color w:val="000000"/>
                <w:sz w:val="18"/>
                <w:szCs w:val="18"/>
              </w:rPr>
              <w:t>Total number of firms</w:t>
            </w:r>
          </w:p>
        </w:tc>
        <w:tc>
          <w:tcPr>
            <w:tcW w:w="972" w:type="dxa"/>
            <w:textDirection w:val="btLr"/>
            <w:vAlign w:val="bottom"/>
          </w:tcPr>
          <w:p w14:paraId="46BCFCD0" w14:textId="182F2751" w:rsidR="0016776E" w:rsidRPr="00EB50AC" w:rsidRDefault="0016776E" w:rsidP="0016776E">
            <w:pPr>
              <w:spacing w:before="0"/>
              <w:ind w:left="113" w:right="113"/>
              <w:rPr>
                <w:sz w:val="18"/>
                <w:szCs w:val="18"/>
              </w:rPr>
            </w:pPr>
            <w:r>
              <w:rPr>
                <w:rFonts w:cs="Arial"/>
                <w:color w:val="000000"/>
                <w:sz w:val="18"/>
                <w:szCs w:val="18"/>
              </w:rPr>
              <w:t>Total turnover of all firms</w:t>
            </w:r>
          </w:p>
        </w:tc>
        <w:tc>
          <w:tcPr>
            <w:tcW w:w="972" w:type="dxa"/>
            <w:textDirection w:val="btLr"/>
            <w:vAlign w:val="bottom"/>
          </w:tcPr>
          <w:p w14:paraId="5B3B8A82" w14:textId="640404F9" w:rsidR="0016776E" w:rsidRPr="00EB50AC" w:rsidRDefault="0016776E" w:rsidP="0016776E">
            <w:pPr>
              <w:spacing w:before="0"/>
              <w:ind w:left="113" w:right="113"/>
              <w:rPr>
                <w:sz w:val="18"/>
                <w:szCs w:val="18"/>
              </w:rPr>
            </w:pPr>
            <w:r>
              <w:rPr>
                <w:rFonts w:cs="Arial"/>
                <w:color w:val="000000"/>
                <w:sz w:val="18"/>
                <w:szCs w:val="18"/>
              </w:rPr>
              <w:t>Number of creative industries firms</w:t>
            </w:r>
          </w:p>
        </w:tc>
        <w:tc>
          <w:tcPr>
            <w:tcW w:w="972" w:type="dxa"/>
            <w:textDirection w:val="btLr"/>
            <w:vAlign w:val="bottom"/>
          </w:tcPr>
          <w:p w14:paraId="163D79FE" w14:textId="093FA74B" w:rsidR="0016776E" w:rsidRPr="00EB50AC" w:rsidRDefault="0016776E" w:rsidP="0016776E">
            <w:pPr>
              <w:spacing w:before="0"/>
              <w:ind w:left="113" w:right="113"/>
              <w:rPr>
                <w:sz w:val="18"/>
                <w:szCs w:val="18"/>
              </w:rPr>
            </w:pPr>
            <w:r>
              <w:rPr>
                <w:rFonts w:cs="Arial"/>
                <w:color w:val="000000"/>
                <w:sz w:val="18"/>
                <w:szCs w:val="18"/>
              </w:rPr>
              <w:t>Creative industries firms per capita</w:t>
            </w:r>
          </w:p>
        </w:tc>
        <w:tc>
          <w:tcPr>
            <w:tcW w:w="972" w:type="dxa"/>
            <w:textDirection w:val="btLr"/>
            <w:vAlign w:val="bottom"/>
          </w:tcPr>
          <w:p w14:paraId="4F7DB3CE" w14:textId="6A018BC3" w:rsidR="0016776E" w:rsidRPr="00EB50AC" w:rsidRDefault="0016776E" w:rsidP="0016776E">
            <w:pPr>
              <w:spacing w:before="0"/>
              <w:ind w:left="113" w:right="113"/>
              <w:rPr>
                <w:sz w:val="18"/>
                <w:szCs w:val="18"/>
              </w:rPr>
            </w:pPr>
            <w:r>
              <w:rPr>
                <w:rFonts w:cs="Arial"/>
                <w:color w:val="000000"/>
                <w:sz w:val="18"/>
                <w:szCs w:val="18"/>
              </w:rPr>
              <w:t>Creative industries firms LQ</w:t>
            </w:r>
          </w:p>
        </w:tc>
        <w:tc>
          <w:tcPr>
            <w:tcW w:w="972" w:type="dxa"/>
            <w:textDirection w:val="btLr"/>
            <w:vAlign w:val="bottom"/>
          </w:tcPr>
          <w:p w14:paraId="2467B7F6" w14:textId="585B956D" w:rsidR="0016776E" w:rsidRPr="00EB50AC" w:rsidRDefault="0016776E" w:rsidP="0016776E">
            <w:pPr>
              <w:spacing w:before="0"/>
              <w:ind w:left="113" w:right="113"/>
              <w:rPr>
                <w:sz w:val="18"/>
                <w:szCs w:val="18"/>
              </w:rPr>
            </w:pPr>
            <w:r>
              <w:rPr>
                <w:rFonts w:cs="Arial"/>
                <w:color w:val="000000"/>
                <w:sz w:val="18"/>
                <w:szCs w:val="18"/>
              </w:rPr>
              <w:t>Net migration of creative industries firms</w:t>
            </w:r>
          </w:p>
        </w:tc>
        <w:tc>
          <w:tcPr>
            <w:tcW w:w="972" w:type="dxa"/>
            <w:textDirection w:val="btLr"/>
            <w:vAlign w:val="bottom"/>
          </w:tcPr>
          <w:p w14:paraId="3A090ED7" w14:textId="4C804B6B" w:rsidR="0016776E" w:rsidRPr="00EB50AC" w:rsidRDefault="0016776E" w:rsidP="0016776E">
            <w:pPr>
              <w:spacing w:before="0"/>
              <w:ind w:left="113" w:right="113"/>
              <w:rPr>
                <w:sz w:val="18"/>
                <w:szCs w:val="18"/>
              </w:rPr>
            </w:pPr>
            <w:r>
              <w:rPr>
                <w:rFonts w:cs="Arial"/>
                <w:color w:val="000000"/>
                <w:sz w:val="18"/>
                <w:szCs w:val="18"/>
              </w:rPr>
              <w:t>Turnover of creative industries firms</w:t>
            </w:r>
          </w:p>
        </w:tc>
      </w:tr>
      <w:tr w:rsidR="0016776E" w:rsidRPr="00AC62D7" w14:paraId="63CF4D9E" w14:textId="77777777" w:rsidTr="00F0636B">
        <w:trPr>
          <w:trHeight w:val="285"/>
        </w:trPr>
        <w:tc>
          <w:tcPr>
            <w:tcW w:w="2660" w:type="dxa"/>
            <w:noWrap/>
            <w:vAlign w:val="bottom"/>
          </w:tcPr>
          <w:p w14:paraId="559C88CD" w14:textId="70DA1306" w:rsidR="0016776E" w:rsidRPr="00EB50AC" w:rsidRDefault="0016776E" w:rsidP="0016776E">
            <w:pPr>
              <w:spacing w:before="40" w:after="40"/>
              <w:ind w:left="0"/>
              <w:rPr>
                <w:sz w:val="18"/>
                <w:szCs w:val="18"/>
              </w:rPr>
            </w:pPr>
            <w:r>
              <w:rPr>
                <w:rFonts w:cs="Arial"/>
                <w:color w:val="000000"/>
                <w:sz w:val="18"/>
                <w:szCs w:val="18"/>
              </w:rPr>
              <w:t>Total number of CS&amp;H assets</w:t>
            </w:r>
          </w:p>
        </w:tc>
        <w:tc>
          <w:tcPr>
            <w:tcW w:w="972" w:type="dxa"/>
            <w:noWrap/>
            <w:vAlign w:val="bottom"/>
          </w:tcPr>
          <w:p w14:paraId="7139004E" w14:textId="7918AE22" w:rsidR="0016776E" w:rsidRPr="00EB50AC" w:rsidRDefault="0016776E" w:rsidP="0016776E">
            <w:pPr>
              <w:spacing w:before="40" w:after="40"/>
              <w:ind w:left="0"/>
              <w:jc w:val="right"/>
              <w:rPr>
                <w:sz w:val="18"/>
                <w:szCs w:val="18"/>
              </w:rPr>
            </w:pPr>
            <w:r>
              <w:rPr>
                <w:rFonts w:cs="Arial"/>
                <w:color w:val="000000"/>
                <w:sz w:val="18"/>
                <w:szCs w:val="18"/>
              </w:rPr>
              <w:t>0.1</w:t>
            </w:r>
          </w:p>
        </w:tc>
        <w:tc>
          <w:tcPr>
            <w:tcW w:w="972" w:type="dxa"/>
            <w:noWrap/>
            <w:vAlign w:val="bottom"/>
          </w:tcPr>
          <w:p w14:paraId="32CD9664" w14:textId="42DD505A" w:rsidR="0016776E" w:rsidRPr="00EB50AC" w:rsidRDefault="0016776E" w:rsidP="0016776E">
            <w:pPr>
              <w:spacing w:before="40" w:after="40"/>
              <w:ind w:left="0"/>
              <w:jc w:val="right"/>
              <w:rPr>
                <w:sz w:val="18"/>
                <w:szCs w:val="18"/>
              </w:rPr>
            </w:pPr>
            <w:r>
              <w:rPr>
                <w:rFonts w:cs="Arial"/>
                <w:color w:val="000000"/>
                <w:sz w:val="18"/>
                <w:szCs w:val="18"/>
              </w:rPr>
              <w:t>-0.03</w:t>
            </w:r>
          </w:p>
        </w:tc>
        <w:tc>
          <w:tcPr>
            <w:tcW w:w="972" w:type="dxa"/>
            <w:noWrap/>
            <w:vAlign w:val="bottom"/>
          </w:tcPr>
          <w:p w14:paraId="140F3D18" w14:textId="3F606C3B" w:rsidR="0016776E" w:rsidRPr="00EB50AC" w:rsidRDefault="0016776E" w:rsidP="0016776E">
            <w:pPr>
              <w:spacing w:before="40" w:after="40"/>
              <w:ind w:left="0"/>
              <w:jc w:val="right"/>
              <w:rPr>
                <w:sz w:val="18"/>
                <w:szCs w:val="18"/>
              </w:rPr>
            </w:pPr>
            <w:r>
              <w:rPr>
                <w:rFonts w:cs="Arial"/>
                <w:color w:val="000000"/>
                <w:sz w:val="18"/>
                <w:szCs w:val="18"/>
              </w:rPr>
              <w:t>0.03</w:t>
            </w:r>
          </w:p>
        </w:tc>
        <w:tc>
          <w:tcPr>
            <w:tcW w:w="972" w:type="dxa"/>
            <w:noWrap/>
            <w:vAlign w:val="bottom"/>
          </w:tcPr>
          <w:p w14:paraId="27A76F21" w14:textId="7124DD9C" w:rsidR="0016776E" w:rsidRPr="00EB50AC" w:rsidRDefault="0016776E" w:rsidP="0016776E">
            <w:pPr>
              <w:spacing w:before="40" w:after="40"/>
              <w:ind w:left="0"/>
              <w:jc w:val="right"/>
              <w:rPr>
                <w:sz w:val="18"/>
                <w:szCs w:val="18"/>
              </w:rPr>
            </w:pPr>
            <w:r>
              <w:rPr>
                <w:rFonts w:cs="Arial"/>
                <w:color w:val="000000"/>
                <w:sz w:val="18"/>
                <w:szCs w:val="18"/>
              </w:rPr>
              <w:t>-0.04</w:t>
            </w:r>
          </w:p>
        </w:tc>
        <w:tc>
          <w:tcPr>
            <w:tcW w:w="972" w:type="dxa"/>
            <w:noWrap/>
            <w:vAlign w:val="bottom"/>
          </w:tcPr>
          <w:p w14:paraId="5D5EFB4F" w14:textId="2E56A322" w:rsidR="0016776E" w:rsidRPr="00EB50AC" w:rsidRDefault="0016776E" w:rsidP="0016776E">
            <w:pPr>
              <w:spacing w:before="40" w:after="40"/>
              <w:ind w:left="0"/>
              <w:jc w:val="right"/>
              <w:rPr>
                <w:sz w:val="18"/>
                <w:szCs w:val="18"/>
              </w:rPr>
            </w:pPr>
            <w:r>
              <w:rPr>
                <w:rFonts w:cs="Arial"/>
                <w:color w:val="000000"/>
                <w:sz w:val="18"/>
                <w:szCs w:val="18"/>
              </w:rPr>
              <w:t>-0.05</w:t>
            </w:r>
          </w:p>
        </w:tc>
        <w:tc>
          <w:tcPr>
            <w:tcW w:w="972" w:type="dxa"/>
            <w:noWrap/>
            <w:vAlign w:val="bottom"/>
          </w:tcPr>
          <w:p w14:paraId="1FDBF9FD" w14:textId="4CBD13C3" w:rsidR="0016776E" w:rsidRPr="00EB50AC" w:rsidRDefault="0016776E" w:rsidP="0016776E">
            <w:pPr>
              <w:spacing w:before="40" w:after="40"/>
              <w:ind w:left="0"/>
              <w:jc w:val="right"/>
              <w:rPr>
                <w:sz w:val="18"/>
                <w:szCs w:val="18"/>
              </w:rPr>
            </w:pPr>
            <w:r>
              <w:rPr>
                <w:rFonts w:cs="Arial"/>
                <w:color w:val="000000"/>
                <w:sz w:val="18"/>
                <w:szCs w:val="18"/>
              </w:rPr>
              <w:t>0.19</w:t>
            </w:r>
          </w:p>
        </w:tc>
        <w:tc>
          <w:tcPr>
            <w:tcW w:w="972" w:type="dxa"/>
            <w:noWrap/>
            <w:vAlign w:val="bottom"/>
          </w:tcPr>
          <w:p w14:paraId="55123527" w14:textId="0CABF377" w:rsidR="0016776E" w:rsidRPr="00EB50AC" w:rsidRDefault="0016776E" w:rsidP="0016776E">
            <w:pPr>
              <w:spacing w:before="40" w:after="40"/>
              <w:ind w:left="0"/>
              <w:jc w:val="right"/>
              <w:rPr>
                <w:sz w:val="18"/>
                <w:szCs w:val="18"/>
              </w:rPr>
            </w:pPr>
            <w:r>
              <w:rPr>
                <w:rFonts w:cs="Arial"/>
                <w:color w:val="000000"/>
                <w:sz w:val="18"/>
                <w:szCs w:val="18"/>
              </w:rPr>
              <w:t>-0.11</w:t>
            </w:r>
          </w:p>
        </w:tc>
      </w:tr>
      <w:tr w:rsidR="0016776E" w:rsidRPr="00AC62D7" w14:paraId="7D36766F" w14:textId="77777777" w:rsidTr="00F0636B">
        <w:trPr>
          <w:trHeight w:val="285"/>
        </w:trPr>
        <w:tc>
          <w:tcPr>
            <w:tcW w:w="2660" w:type="dxa"/>
            <w:noWrap/>
            <w:vAlign w:val="bottom"/>
          </w:tcPr>
          <w:p w14:paraId="22E181BD" w14:textId="3BA7C49E" w:rsidR="0016776E" w:rsidRPr="00EB50AC" w:rsidRDefault="0016776E" w:rsidP="0016776E">
            <w:pPr>
              <w:spacing w:before="40" w:after="40"/>
              <w:ind w:left="0"/>
              <w:rPr>
                <w:sz w:val="18"/>
                <w:szCs w:val="18"/>
              </w:rPr>
            </w:pPr>
            <w:r>
              <w:rPr>
                <w:rFonts w:cs="Arial"/>
                <w:color w:val="000000"/>
                <w:sz w:val="18"/>
                <w:szCs w:val="18"/>
              </w:rPr>
              <w:t>CS&amp;H assets density</w:t>
            </w:r>
          </w:p>
        </w:tc>
        <w:tc>
          <w:tcPr>
            <w:tcW w:w="972" w:type="dxa"/>
            <w:noWrap/>
            <w:vAlign w:val="bottom"/>
          </w:tcPr>
          <w:p w14:paraId="403AF33F" w14:textId="2E2EB791" w:rsidR="0016776E" w:rsidRPr="00EB50AC" w:rsidRDefault="0016776E" w:rsidP="0016776E">
            <w:pPr>
              <w:spacing w:before="40" w:after="40"/>
              <w:ind w:left="0"/>
              <w:jc w:val="right"/>
              <w:rPr>
                <w:sz w:val="18"/>
                <w:szCs w:val="18"/>
              </w:rPr>
            </w:pPr>
            <w:r>
              <w:rPr>
                <w:rFonts w:cs="Arial"/>
                <w:color w:val="000000"/>
                <w:sz w:val="18"/>
                <w:szCs w:val="18"/>
              </w:rPr>
              <w:t>0.02</w:t>
            </w:r>
          </w:p>
        </w:tc>
        <w:tc>
          <w:tcPr>
            <w:tcW w:w="972" w:type="dxa"/>
            <w:noWrap/>
            <w:vAlign w:val="bottom"/>
          </w:tcPr>
          <w:p w14:paraId="30928B95" w14:textId="51450B2B" w:rsidR="0016776E" w:rsidRPr="00EB50AC" w:rsidRDefault="0016776E" w:rsidP="0016776E">
            <w:pPr>
              <w:spacing w:before="40" w:after="40"/>
              <w:ind w:left="0"/>
              <w:jc w:val="right"/>
              <w:rPr>
                <w:sz w:val="18"/>
                <w:szCs w:val="18"/>
              </w:rPr>
            </w:pPr>
            <w:r>
              <w:rPr>
                <w:rFonts w:cs="Arial"/>
                <w:color w:val="000000"/>
                <w:sz w:val="18"/>
                <w:szCs w:val="18"/>
              </w:rPr>
              <w:t>0.06</w:t>
            </w:r>
          </w:p>
        </w:tc>
        <w:tc>
          <w:tcPr>
            <w:tcW w:w="972" w:type="dxa"/>
            <w:noWrap/>
            <w:vAlign w:val="bottom"/>
          </w:tcPr>
          <w:p w14:paraId="0101A8DA" w14:textId="60CA5420" w:rsidR="0016776E" w:rsidRPr="00EB50AC" w:rsidRDefault="0016776E" w:rsidP="0016776E">
            <w:pPr>
              <w:spacing w:before="40" w:after="40"/>
              <w:ind w:left="0"/>
              <w:jc w:val="right"/>
              <w:rPr>
                <w:sz w:val="18"/>
                <w:szCs w:val="18"/>
              </w:rPr>
            </w:pPr>
            <w:r>
              <w:rPr>
                <w:rFonts w:cs="Arial"/>
                <w:color w:val="000000"/>
                <w:sz w:val="18"/>
                <w:szCs w:val="18"/>
              </w:rPr>
              <w:t>0.12</w:t>
            </w:r>
          </w:p>
        </w:tc>
        <w:tc>
          <w:tcPr>
            <w:tcW w:w="972" w:type="dxa"/>
            <w:noWrap/>
            <w:vAlign w:val="bottom"/>
          </w:tcPr>
          <w:p w14:paraId="37B75EE1" w14:textId="4D0A31DB" w:rsidR="0016776E" w:rsidRPr="00EB50AC" w:rsidRDefault="0016776E" w:rsidP="0016776E">
            <w:pPr>
              <w:spacing w:before="40" w:after="40"/>
              <w:ind w:left="0"/>
              <w:jc w:val="right"/>
              <w:rPr>
                <w:sz w:val="18"/>
                <w:szCs w:val="18"/>
              </w:rPr>
            </w:pPr>
            <w:r>
              <w:rPr>
                <w:rFonts w:cs="Arial"/>
                <w:color w:val="000000"/>
                <w:sz w:val="18"/>
                <w:szCs w:val="18"/>
              </w:rPr>
              <w:t>0.08</w:t>
            </w:r>
          </w:p>
        </w:tc>
        <w:tc>
          <w:tcPr>
            <w:tcW w:w="972" w:type="dxa"/>
            <w:noWrap/>
            <w:vAlign w:val="bottom"/>
          </w:tcPr>
          <w:p w14:paraId="10BFB39C" w14:textId="1B277D6C" w:rsidR="0016776E" w:rsidRPr="00EB50AC" w:rsidRDefault="0016776E" w:rsidP="0016776E">
            <w:pPr>
              <w:spacing w:before="40" w:after="40"/>
              <w:ind w:left="0"/>
              <w:jc w:val="right"/>
              <w:rPr>
                <w:sz w:val="18"/>
                <w:szCs w:val="18"/>
              </w:rPr>
            </w:pPr>
            <w:r>
              <w:rPr>
                <w:rFonts w:cs="Arial"/>
                <w:color w:val="000000"/>
                <w:sz w:val="18"/>
                <w:szCs w:val="18"/>
              </w:rPr>
              <w:t>0.13</w:t>
            </w:r>
          </w:p>
        </w:tc>
        <w:tc>
          <w:tcPr>
            <w:tcW w:w="972" w:type="dxa"/>
            <w:noWrap/>
            <w:vAlign w:val="bottom"/>
          </w:tcPr>
          <w:p w14:paraId="255A2CC2" w14:textId="55034A10" w:rsidR="0016776E" w:rsidRPr="00EB50AC" w:rsidRDefault="0016776E" w:rsidP="0016776E">
            <w:pPr>
              <w:spacing w:before="40" w:after="40"/>
              <w:ind w:left="0"/>
              <w:jc w:val="right"/>
              <w:rPr>
                <w:sz w:val="18"/>
                <w:szCs w:val="18"/>
              </w:rPr>
            </w:pPr>
            <w:r>
              <w:rPr>
                <w:rFonts w:cs="Arial"/>
                <w:color w:val="000000"/>
                <w:sz w:val="18"/>
                <w:szCs w:val="18"/>
              </w:rPr>
              <w:t>-0.09</w:t>
            </w:r>
          </w:p>
        </w:tc>
        <w:tc>
          <w:tcPr>
            <w:tcW w:w="972" w:type="dxa"/>
            <w:noWrap/>
            <w:vAlign w:val="bottom"/>
          </w:tcPr>
          <w:p w14:paraId="0F73D417" w14:textId="7A3D19A2" w:rsidR="0016776E" w:rsidRPr="00EB50AC" w:rsidRDefault="0016776E" w:rsidP="0016776E">
            <w:pPr>
              <w:spacing w:before="40" w:after="40"/>
              <w:ind w:left="0"/>
              <w:jc w:val="right"/>
              <w:rPr>
                <w:sz w:val="18"/>
                <w:szCs w:val="18"/>
              </w:rPr>
            </w:pPr>
            <w:r>
              <w:rPr>
                <w:rFonts w:cs="Arial"/>
                <w:color w:val="000000"/>
                <w:sz w:val="18"/>
                <w:szCs w:val="18"/>
              </w:rPr>
              <w:t>0.12</w:t>
            </w:r>
          </w:p>
        </w:tc>
      </w:tr>
      <w:tr w:rsidR="0016776E" w:rsidRPr="00AC62D7" w14:paraId="1EBAD39A" w14:textId="77777777" w:rsidTr="00F0636B">
        <w:trPr>
          <w:trHeight w:val="285"/>
        </w:trPr>
        <w:tc>
          <w:tcPr>
            <w:tcW w:w="2660" w:type="dxa"/>
            <w:noWrap/>
            <w:vAlign w:val="bottom"/>
          </w:tcPr>
          <w:p w14:paraId="2D6A6A33" w14:textId="150D432E" w:rsidR="0016776E" w:rsidRPr="00EB50AC" w:rsidRDefault="0016776E" w:rsidP="0016776E">
            <w:pPr>
              <w:spacing w:before="40" w:after="40"/>
              <w:ind w:left="0"/>
              <w:rPr>
                <w:sz w:val="18"/>
                <w:szCs w:val="18"/>
              </w:rPr>
            </w:pPr>
            <w:r>
              <w:rPr>
                <w:rFonts w:cs="Arial"/>
                <w:color w:val="000000"/>
                <w:sz w:val="18"/>
                <w:szCs w:val="18"/>
              </w:rPr>
              <w:t>Number of Heritage assets</w:t>
            </w:r>
          </w:p>
        </w:tc>
        <w:tc>
          <w:tcPr>
            <w:tcW w:w="972" w:type="dxa"/>
            <w:noWrap/>
            <w:vAlign w:val="bottom"/>
          </w:tcPr>
          <w:p w14:paraId="6678F354" w14:textId="38D701C5" w:rsidR="0016776E" w:rsidRPr="00EB50AC" w:rsidRDefault="0016776E" w:rsidP="0016776E">
            <w:pPr>
              <w:spacing w:before="40" w:after="40"/>
              <w:ind w:left="0"/>
              <w:jc w:val="right"/>
              <w:rPr>
                <w:sz w:val="18"/>
                <w:szCs w:val="18"/>
              </w:rPr>
            </w:pPr>
            <w:r>
              <w:rPr>
                <w:rFonts w:cs="Arial"/>
                <w:color w:val="000000"/>
                <w:sz w:val="18"/>
                <w:szCs w:val="18"/>
              </w:rPr>
              <w:t>0.31</w:t>
            </w:r>
          </w:p>
        </w:tc>
        <w:tc>
          <w:tcPr>
            <w:tcW w:w="972" w:type="dxa"/>
            <w:noWrap/>
            <w:vAlign w:val="bottom"/>
          </w:tcPr>
          <w:p w14:paraId="491BBE53" w14:textId="2B6BB60A" w:rsidR="0016776E" w:rsidRPr="00EB50AC" w:rsidRDefault="0016776E" w:rsidP="0016776E">
            <w:pPr>
              <w:spacing w:before="40" w:after="40"/>
              <w:ind w:left="0"/>
              <w:jc w:val="right"/>
              <w:rPr>
                <w:sz w:val="18"/>
                <w:szCs w:val="18"/>
              </w:rPr>
            </w:pPr>
            <w:r>
              <w:rPr>
                <w:rFonts w:cs="Arial"/>
                <w:color w:val="000000"/>
                <w:sz w:val="18"/>
                <w:szCs w:val="18"/>
              </w:rPr>
              <w:t>0.06</w:t>
            </w:r>
          </w:p>
        </w:tc>
        <w:tc>
          <w:tcPr>
            <w:tcW w:w="972" w:type="dxa"/>
            <w:noWrap/>
            <w:vAlign w:val="bottom"/>
          </w:tcPr>
          <w:p w14:paraId="486143B4" w14:textId="5E335E72" w:rsidR="0016776E" w:rsidRPr="00EB50AC" w:rsidRDefault="0016776E" w:rsidP="0016776E">
            <w:pPr>
              <w:spacing w:before="40" w:after="40"/>
              <w:ind w:left="0"/>
              <w:jc w:val="right"/>
              <w:rPr>
                <w:sz w:val="18"/>
                <w:szCs w:val="18"/>
              </w:rPr>
            </w:pPr>
            <w:r>
              <w:rPr>
                <w:rFonts w:cs="Arial"/>
                <w:color w:val="000000"/>
                <w:sz w:val="18"/>
                <w:szCs w:val="18"/>
              </w:rPr>
              <w:t>0.22</w:t>
            </w:r>
          </w:p>
        </w:tc>
        <w:tc>
          <w:tcPr>
            <w:tcW w:w="972" w:type="dxa"/>
            <w:noWrap/>
            <w:vAlign w:val="bottom"/>
          </w:tcPr>
          <w:p w14:paraId="566F2A27" w14:textId="73BB19D2" w:rsidR="0016776E" w:rsidRPr="00EB50AC" w:rsidRDefault="0016776E" w:rsidP="0016776E">
            <w:pPr>
              <w:spacing w:before="40" w:after="40"/>
              <w:ind w:left="0"/>
              <w:jc w:val="right"/>
              <w:rPr>
                <w:sz w:val="18"/>
                <w:szCs w:val="18"/>
              </w:rPr>
            </w:pPr>
            <w:r>
              <w:rPr>
                <w:rFonts w:cs="Arial"/>
                <w:color w:val="000000"/>
                <w:sz w:val="18"/>
                <w:szCs w:val="18"/>
              </w:rPr>
              <w:t>-0.02</w:t>
            </w:r>
          </w:p>
        </w:tc>
        <w:tc>
          <w:tcPr>
            <w:tcW w:w="972" w:type="dxa"/>
            <w:noWrap/>
            <w:vAlign w:val="bottom"/>
          </w:tcPr>
          <w:p w14:paraId="01B10B3D" w14:textId="6BDA8865" w:rsidR="0016776E" w:rsidRPr="00EB50AC" w:rsidRDefault="0016776E" w:rsidP="0016776E">
            <w:pPr>
              <w:spacing w:before="40" w:after="40"/>
              <w:ind w:left="0"/>
              <w:jc w:val="right"/>
              <w:rPr>
                <w:sz w:val="18"/>
                <w:szCs w:val="18"/>
              </w:rPr>
            </w:pPr>
            <w:r>
              <w:rPr>
                <w:rFonts w:cs="Arial"/>
                <w:color w:val="000000"/>
                <w:sz w:val="18"/>
                <w:szCs w:val="18"/>
              </w:rPr>
              <w:t>-0.07</w:t>
            </w:r>
          </w:p>
        </w:tc>
        <w:tc>
          <w:tcPr>
            <w:tcW w:w="972" w:type="dxa"/>
            <w:noWrap/>
            <w:vAlign w:val="bottom"/>
          </w:tcPr>
          <w:p w14:paraId="0008DA50" w14:textId="39AF7551" w:rsidR="0016776E" w:rsidRPr="00EB50AC" w:rsidRDefault="0016776E" w:rsidP="0016776E">
            <w:pPr>
              <w:spacing w:before="40" w:after="40"/>
              <w:ind w:left="0"/>
              <w:jc w:val="right"/>
              <w:rPr>
                <w:sz w:val="18"/>
                <w:szCs w:val="18"/>
              </w:rPr>
            </w:pPr>
            <w:r>
              <w:rPr>
                <w:rFonts w:cs="Arial"/>
                <w:color w:val="000000"/>
                <w:sz w:val="18"/>
                <w:szCs w:val="18"/>
              </w:rPr>
              <w:t>0.12</w:t>
            </w:r>
          </w:p>
        </w:tc>
        <w:tc>
          <w:tcPr>
            <w:tcW w:w="972" w:type="dxa"/>
            <w:noWrap/>
            <w:vAlign w:val="bottom"/>
          </w:tcPr>
          <w:p w14:paraId="6EABD68D" w14:textId="1B346A30" w:rsidR="0016776E" w:rsidRPr="00EB50AC" w:rsidRDefault="0016776E" w:rsidP="0016776E">
            <w:pPr>
              <w:spacing w:before="40" w:after="40"/>
              <w:ind w:left="0"/>
              <w:jc w:val="right"/>
              <w:rPr>
                <w:sz w:val="18"/>
                <w:szCs w:val="18"/>
              </w:rPr>
            </w:pPr>
            <w:r>
              <w:rPr>
                <w:rFonts w:cs="Arial"/>
                <w:color w:val="000000"/>
                <w:sz w:val="18"/>
                <w:szCs w:val="18"/>
              </w:rPr>
              <w:t>0.05</w:t>
            </w:r>
          </w:p>
        </w:tc>
      </w:tr>
      <w:tr w:rsidR="0016776E" w:rsidRPr="00AC62D7" w14:paraId="4A8267EB" w14:textId="77777777" w:rsidTr="00F0636B">
        <w:trPr>
          <w:trHeight w:val="285"/>
        </w:trPr>
        <w:tc>
          <w:tcPr>
            <w:tcW w:w="2660" w:type="dxa"/>
            <w:noWrap/>
            <w:vAlign w:val="bottom"/>
          </w:tcPr>
          <w:p w14:paraId="0054814F" w14:textId="44DA6B09" w:rsidR="0016776E" w:rsidRPr="00EB50AC" w:rsidRDefault="0016776E" w:rsidP="0016776E">
            <w:pPr>
              <w:spacing w:before="40" w:after="40"/>
              <w:ind w:left="0"/>
              <w:rPr>
                <w:sz w:val="18"/>
                <w:szCs w:val="18"/>
              </w:rPr>
            </w:pPr>
            <w:r>
              <w:rPr>
                <w:rFonts w:cs="Arial"/>
                <w:color w:val="000000"/>
                <w:sz w:val="18"/>
                <w:szCs w:val="18"/>
              </w:rPr>
              <w:t>Number of sports assets</w:t>
            </w:r>
          </w:p>
        </w:tc>
        <w:tc>
          <w:tcPr>
            <w:tcW w:w="972" w:type="dxa"/>
            <w:noWrap/>
            <w:vAlign w:val="bottom"/>
          </w:tcPr>
          <w:p w14:paraId="44F15651" w14:textId="0A490992" w:rsidR="0016776E" w:rsidRPr="00EB50AC" w:rsidRDefault="0016776E" w:rsidP="0016776E">
            <w:pPr>
              <w:spacing w:before="40" w:after="40"/>
              <w:ind w:left="0"/>
              <w:jc w:val="right"/>
              <w:rPr>
                <w:sz w:val="18"/>
                <w:szCs w:val="18"/>
              </w:rPr>
            </w:pPr>
            <w:r>
              <w:rPr>
                <w:rFonts w:cs="Arial"/>
                <w:color w:val="000000"/>
                <w:sz w:val="18"/>
                <w:szCs w:val="18"/>
              </w:rPr>
              <w:t>0.61</w:t>
            </w:r>
          </w:p>
        </w:tc>
        <w:tc>
          <w:tcPr>
            <w:tcW w:w="972" w:type="dxa"/>
            <w:noWrap/>
            <w:vAlign w:val="bottom"/>
          </w:tcPr>
          <w:p w14:paraId="7989381E" w14:textId="2F00DC97" w:rsidR="0016776E" w:rsidRPr="00EB50AC" w:rsidRDefault="0016776E" w:rsidP="0016776E">
            <w:pPr>
              <w:spacing w:before="40" w:after="40"/>
              <w:ind w:left="0"/>
              <w:jc w:val="right"/>
              <w:rPr>
                <w:sz w:val="18"/>
                <w:szCs w:val="18"/>
              </w:rPr>
            </w:pPr>
            <w:r>
              <w:rPr>
                <w:rFonts w:cs="Arial"/>
                <w:color w:val="000000"/>
                <w:sz w:val="18"/>
                <w:szCs w:val="18"/>
              </w:rPr>
              <w:t>0.1</w:t>
            </w:r>
          </w:p>
        </w:tc>
        <w:tc>
          <w:tcPr>
            <w:tcW w:w="972" w:type="dxa"/>
            <w:noWrap/>
            <w:vAlign w:val="bottom"/>
          </w:tcPr>
          <w:p w14:paraId="203AC532" w14:textId="4F1B4952" w:rsidR="0016776E" w:rsidRPr="00EB50AC" w:rsidRDefault="0016776E" w:rsidP="0016776E">
            <w:pPr>
              <w:spacing w:before="40" w:after="40"/>
              <w:ind w:left="0"/>
              <w:jc w:val="right"/>
              <w:rPr>
                <w:sz w:val="18"/>
                <w:szCs w:val="18"/>
              </w:rPr>
            </w:pPr>
            <w:r>
              <w:rPr>
                <w:rFonts w:cs="Arial"/>
                <w:color w:val="000000"/>
                <w:sz w:val="18"/>
                <w:szCs w:val="18"/>
              </w:rPr>
              <w:t>0.39</w:t>
            </w:r>
          </w:p>
        </w:tc>
        <w:tc>
          <w:tcPr>
            <w:tcW w:w="972" w:type="dxa"/>
            <w:noWrap/>
            <w:vAlign w:val="bottom"/>
          </w:tcPr>
          <w:p w14:paraId="09ABD108" w14:textId="64D8BF08" w:rsidR="0016776E" w:rsidRPr="00EB50AC" w:rsidRDefault="0016776E" w:rsidP="0016776E">
            <w:pPr>
              <w:spacing w:before="40" w:after="40"/>
              <w:ind w:left="0"/>
              <w:jc w:val="right"/>
              <w:rPr>
                <w:sz w:val="18"/>
                <w:szCs w:val="18"/>
              </w:rPr>
            </w:pPr>
            <w:r>
              <w:rPr>
                <w:rFonts w:cs="Arial"/>
                <w:color w:val="000000"/>
                <w:sz w:val="18"/>
                <w:szCs w:val="18"/>
              </w:rPr>
              <w:t>-0.14</w:t>
            </w:r>
          </w:p>
        </w:tc>
        <w:tc>
          <w:tcPr>
            <w:tcW w:w="972" w:type="dxa"/>
            <w:noWrap/>
            <w:vAlign w:val="bottom"/>
          </w:tcPr>
          <w:p w14:paraId="1F7EC66C" w14:textId="6A25737D" w:rsidR="0016776E" w:rsidRPr="00EB50AC" w:rsidRDefault="0016776E" w:rsidP="0016776E">
            <w:pPr>
              <w:spacing w:before="40" w:after="40"/>
              <w:ind w:left="0"/>
              <w:jc w:val="right"/>
              <w:rPr>
                <w:sz w:val="18"/>
                <w:szCs w:val="18"/>
              </w:rPr>
            </w:pPr>
            <w:r>
              <w:rPr>
                <w:rFonts w:cs="Arial"/>
                <w:color w:val="000000"/>
                <w:sz w:val="18"/>
                <w:szCs w:val="18"/>
              </w:rPr>
              <w:t>-0.16</w:t>
            </w:r>
          </w:p>
        </w:tc>
        <w:tc>
          <w:tcPr>
            <w:tcW w:w="972" w:type="dxa"/>
            <w:noWrap/>
            <w:vAlign w:val="bottom"/>
          </w:tcPr>
          <w:p w14:paraId="5D8EDEA5" w14:textId="39CC7D98" w:rsidR="0016776E" w:rsidRPr="00EB50AC" w:rsidRDefault="0016776E" w:rsidP="0016776E">
            <w:pPr>
              <w:spacing w:before="40" w:after="40"/>
              <w:ind w:left="0"/>
              <w:jc w:val="right"/>
              <w:rPr>
                <w:sz w:val="18"/>
                <w:szCs w:val="18"/>
              </w:rPr>
            </w:pPr>
            <w:r>
              <w:rPr>
                <w:rFonts w:cs="Arial"/>
                <w:color w:val="000000"/>
                <w:sz w:val="18"/>
                <w:szCs w:val="18"/>
              </w:rPr>
              <w:t>-0.02</w:t>
            </w:r>
          </w:p>
        </w:tc>
        <w:tc>
          <w:tcPr>
            <w:tcW w:w="972" w:type="dxa"/>
            <w:noWrap/>
            <w:vAlign w:val="bottom"/>
          </w:tcPr>
          <w:p w14:paraId="4D004FBC" w14:textId="74FAFB5E" w:rsidR="0016776E" w:rsidRPr="00EB50AC" w:rsidRDefault="0016776E" w:rsidP="0016776E">
            <w:pPr>
              <w:spacing w:before="40" w:after="40"/>
              <w:ind w:left="0"/>
              <w:jc w:val="right"/>
              <w:rPr>
                <w:sz w:val="18"/>
                <w:szCs w:val="18"/>
              </w:rPr>
            </w:pPr>
            <w:r>
              <w:rPr>
                <w:rFonts w:cs="Arial"/>
                <w:color w:val="000000"/>
                <w:sz w:val="18"/>
                <w:szCs w:val="18"/>
              </w:rPr>
              <w:t>0.07</w:t>
            </w:r>
          </w:p>
        </w:tc>
      </w:tr>
      <w:tr w:rsidR="0016776E" w:rsidRPr="00AC62D7" w14:paraId="33BA8F28" w14:textId="77777777" w:rsidTr="00F0636B">
        <w:trPr>
          <w:trHeight w:val="285"/>
        </w:trPr>
        <w:tc>
          <w:tcPr>
            <w:tcW w:w="2660" w:type="dxa"/>
            <w:noWrap/>
            <w:vAlign w:val="bottom"/>
          </w:tcPr>
          <w:p w14:paraId="07D97219" w14:textId="5B8A4C78" w:rsidR="0016776E" w:rsidRPr="00EB50AC" w:rsidRDefault="0016776E" w:rsidP="0016776E">
            <w:pPr>
              <w:spacing w:before="40" w:after="40"/>
              <w:ind w:left="0"/>
              <w:rPr>
                <w:sz w:val="18"/>
                <w:szCs w:val="18"/>
              </w:rPr>
            </w:pPr>
            <w:r>
              <w:rPr>
                <w:rFonts w:cs="Arial"/>
                <w:color w:val="000000"/>
                <w:sz w:val="18"/>
                <w:szCs w:val="18"/>
              </w:rPr>
              <w:t>Sports assets density</w:t>
            </w:r>
          </w:p>
        </w:tc>
        <w:tc>
          <w:tcPr>
            <w:tcW w:w="972" w:type="dxa"/>
            <w:noWrap/>
            <w:vAlign w:val="bottom"/>
          </w:tcPr>
          <w:p w14:paraId="3BFAE6C0" w14:textId="63A4733B" w:rsidR="0016776E" w:rsidRPr="00EB50AC" w:rsidRDefault="0016776E" w:rsidP="0016776E">
            <w:pPr>
              <w:spacing w:before="40" w:after="40"/>
              <w:ind w:left="0"/>
              <w:jc w:val="right"/>
              <w:rPr>
                <w:sz w:val="18"/>
                <w:szCs w:val="18"/>
              </w:rPr>
            </w:pPr>
            <w:r>
              <w:rPr>
                <w:rFonts w:cs="Arial"/>
                <w:color w:val="000000"/>
                <w:sz w:val="18"/>
                <w:szCs w:val="18"/>
              </w:rPr>
              <w:t>-0.19</w:t>
            </w:r>
          </w:p>
        </w:tc>
        <w:tc>
          <w:tcPr>
            <w:tcW w:w="972" w:type="dxa"/>
            <w:noWrap/>
            <w:vAlign w:val="bottom"/>
          </w:tcPr>
          <w:p w14:paraId="23731A09" w14:textId="36E57DE5" w:rsidR="0016776E" w:rsidRPr="00EB50AC" w:rsidRDefault="0016776E" w:rsidP="0016776E">
            <w:pPr>
              <w:spacing w:before="40" w:after="40"/>
              <w:ind w:left="0"/>
              <w:jc w:val="right"/>
              <w:rPr>
                <w:sz w:val="18"/>
                <w:szCs w:val="18"/>
              </w:rPr>
            </w:pPr>
            <w:r>
              <w:rPr>
                <w:rFonts w:cs="Arial"/>
                <w:color w:val="000000"/>
                <w:sz w:val="18"/>
                <w:szCs w:val="18"/>
              </w:rPr>
              <w:t>0.11</w:t>
            </w:r>
          </w:p>
        </w:tc>
        <w:tc>
          <w:tcPr>
            <w:tcW w:w="972" w:type="dxa"/>
            <w:noWrap/>
            <w:vAlign w:val="bottom"/>
          </w:tcPr>
          <w:p w14:paraId="11BA8D49" w14:textId="1D1B7D68" w:rsidR="0016776E" w:rsidRPr="00EB50AC" w:rsidRDefault="0016776E" w:rsidP="0016776E">
            <w:pPr>
              <w:spacing w:before="40" w:after="40"/>
              <w:ind w:left="0"/>
              <w:jc w:val="right"/>
              <w:rPr>
                <w:sz w:val="18"/>
                <w:szCs w:val="18"/>
              </w:rPr>
            </w:pPr>
            <w:r>
              <w:rPr>
                <w:rFonts w:cs="Arial"/>
                <w:color w:val="000000"/>
                <w:sz w:val="18"/>
                <w:szCs w:val="18"/>
              </w:rPr>
              <w:t>-0.24</w:t>
            </w:r>
          </w:p>
        </w:tc>
        <w:tc>
          <w:tcPr>
            <w:tcW w:w="972" w:type="dxa"/>
            <w:noWrap/>
            <w:vAlign w:val="bottom"/>
          </w:tcPr>
          <w:p w14:paraId="3CCADDF8" w14:textId="42A6AFA2" w:rsidR="0016776E" w:rsidRPr="00EB50AC" w:rsidRDefault="0016776E" w:rsidP="0016776E">
            <w:pPr>
              <w:spacing w:before="40" w:after="40"/>
              <w:ind w:left="0"/>
              <w:jc w:val="right"/>
              <w:rPr>
                <w:sz w:val="18"/>
                <w:szCs w:val="18"/>
              </w:rPr>
            </w:pPr>
            <w:r>
              <w:rPr>
                <w:rFonts w:cs="Arial"/>
                <w:color w:val="000000"/>
                <w:sz w:val="18"/>
                <w:szCs w:val="18"/>
              </w:rPr>
              <w:t>0.57</w:t>
            </w:r>
          </w:p>
        </w:tc>
        <w:tc>
          <w:tcPr>
            <w:tcW w:w="972" w:type="dxa"/>
            <w:noWrap/>
            <w:vAlign w:val="bottom"/>
          </w:tcPr>
          <w:p w14:paraId="4DB252A0" w14:textId="0FACC42E" w:rsidR="0016776E" w:rsidRPr="00EB50AC" w:rsidRDefault="0016776E" w:rsidP="0016776E">
            <w:pPr>
              <w:spacing w:before="40" w:after="40"/>
              <w:ind w:left="0"/>
              <w:jc w:val="right"/>
              <w:rPr>
                <w:sz w:val="18"/>
                <w:szCs w:val="18"/>
              </w:rPr>
            </w:pPr>
            <w:r>
              <w:rPr>
                <w:rFonts w:cs="Arial"/>
                <w:color w:val="000000"/>
                <w:sz w:val="18"/>
                <w:szCs w:val="18"/>
              </w:rPr>
              <w:t>0.16</w:t>
            </w:r>
          </w:p>
        </w:tc>
        <w:tc>
          <w:tcPr>
            <w:tcW w:w="972" w:type="dxa"/>
            <w:noWrap/>
            <w:vAlign w:val="bottom"/>
          </w:tcPr>
          <w:p w14:paraId="4D18B4AB" w14:textId="71EEC285" w:rsidR="0016776E" w:rsidRPr="00EB50AC" w:rsidRDefault="0016776E" w:rsidP="0016776E">
            <w:pPr>
              <w:spacing w:before="40" w:after="40"/>
              <w:ind w:left="0"/>
              <w:jc w:val="right"/>
              <w:rPr>
                <w:sz w:val="18"/>
                <w:szCs w:val="18"/>
              </w:rPr>
            </w:pPr>
            <w:r>
              <w:rPr>
                <w:rFonts w:cs="Arial"/>
                <w:color w:val="000000"/>
                <w:sz w:val="18"/>
                <w:szCs w:val="18"/>
              </w:rPr>
              <w:t>0.14</w:t>
            </w:r>
          </w:p>
        </w:tc>
        <w:tc>
          <w:tcPr>
            <w:tcW w:w="972" w:type="dxa"/>
            <w:noWrap/>
            <w:vAlign w:val="bottom"/>
          </w:tcPr>
          <w:p w14:paraId="47D7D737" w14:textId="6FA94FCA" w:rsidR="0016776E" w:rsidRPr="00EB50AC" w:rsidRDefault="0016776E" w:rsidP="0016776E">
            <w:pPr>
              <w:spacing w:before="40" w:after="40"/>
              <w:ind w:left="0"/>
              <w:jc w:val="right"/>
              <w:rPr>
                <w:sz w:val="18"/>
                <w:szCs w:val="18"/>
              </w:rPr>
            </w:pPr>
            <w:r>
              <w:rPr>
                <w:rFonts w:cs="Arial"/>
                <w:color w:val="000000"/>
                <w:sz w:val="18"/>
                <w:szCs w:val="18"/>
              </w:rPr>
              <w:t>-0.22</w:t>
            </w:r>
          </w:p>
        </w:tc>
      </w:tr>
    </w:tbl>
    <w:p w14:paraId="540FA0C2" w14:textId="77777777" w:rsidR="0016776E" w:rsidRPr="009548FC" w:rsidRDefault="0016776E" w:rsidP="0016776E">
      <w:pPr>
        <w:ind w:left="0"/>
        <w:rPr>
          <w:rFonts w:eastAsia="Calibri" w:cs="Arial"/>
          <w:sz w:val="18"/>
        </w:rPr>
      </w:pPr>
      <w:r w:rsidRPr="009548FC">
        <w:rPr>
          <w:rFonts w:eastAsia="Calibri" w:cs="Arial"/>
          <w:sz w:val="18"/>
        </w:rPr>
        <w:t>Source: NEF Consulting</w:t>
      </w:r>
    </w:p>
    <w:p w14:paraId="7E1DCD4D" w14:textId="77777777" w:rsidR="0016776E" w:rsidRPr="003B1B5F" w:rsidRDefault="0016776E" w:rsidP="005567B2"/>
    <w:p w14:paraId="4631C51E" w14:textId="0A638850" w:rsidR="00AF1E6B" w:rsidRDefault="00AF1E6B" w:rsidP="005567B2">
      <w:r>
        <w:t xml:space="preserve">There were few correlations between CS&amp;H assets and </w:t>
      </w:r>
      <w:r w:rsidR="0016776E">
        <w:t>local economic indicators</w:t>
      </w:r>
      <w:r>
        <w:t xml:space="preserve">. However, this may be due to quality of available data. Data on </w:t>
      </w:r>
      <w:r w:rsidR="0016776E">
        <w:t>CS&amp;H</w:t>
      </w:r>
      <w:r>
        <w:t xml:space="preserve"> assets were only available for the current year, but </w:t>
      </w:r>
      <w:r w:rsidR="0016776E">
        <w:t>economic</w:t>
      </w:r>
      <w:r>
        <w:t xml:space="preserve"> indicators were from previous years – so essentially these correlations are testing, for example, whether the number of creative firms</w:t>
      </w:r>
      <w:r w:rsidR="0016776E">
        <w:t>,</w:t>
      </w:r>
      <w:r>
        <w:t xml:space="preserve"> etc. from two years ago is related to cultural assets now. </w:t>
      </w:r>
    </w:p>
    <w:p w14:paraId="7E63EC0F" w14:textId="5CA52562" w:rsidR="00AF1E6B" w:rsidRDefault="00AF1E6B" w:rsidP="005567B2">
      <w:r>
        <w:t>Note that the regressions to be used for the econometric analysis are panel data regressions, whereas the cor</w:t>
      </w:r>
      <w:r w:rsidR="0016776E">
        <w:t>relation analysis is ‘</w:t>
      </w:r>
      <w:r>
        <w:t>static</w:t>
      </w:r>
      <w:r w:rsidR="0016776E">
        <w:t>’</w:t>
      </w:r>
      <w:r>
        <w:t xml:space="preserve"> (looking at correlation for one year at a time). It may thus be that panel data regressions will yield somewhat different results and are consequently worth undertaking. </w:t>
      </w:r>
    </w:p>
    <w:p w14:paraId="423B834A" w14:textId="6B3DEEAD" w:rsidR="0016776E" w:rsidRDefault="0016776E" w:rsidP="00F0636B">
      <w:pPr>
        <w:pStyle w:val="Heading2Numbered"/>
      </w:pPr>
      <w:bookmarkStart w:id="133" w:name="_Toc464222952"/>
      <w:r>
        <w:t>Conclusions</w:t>
      </w:r>
      <w:bookmarkEnd w:id="133"/>
    </w:p>
    <w:p w14:paraId="45616DF4" w14:textId="64A631B4" w:rsidR="00AF1E6B" w:rsidRDefault="00AF1E6B" w:rsidP="005567B2">
      <w:r w:rsidRPr="00652731">
        <w:t>Not all relationships are worth testing econometrically. Most notably, given the quality of existing data</w:t>
      </w:r>
      <w:r w:rsidR="0016776E" w:rsidRPr="0016776E">
        <w:t xml:space="preserve"> </w:t>
      </w:r>
      <w:r w:rsidR="0016776E" w:rsidRPr="00652731">
        <w:t xml:space="preserve">and </w:t>
      </w:r>
      <w:r w:rsidR="0016776E">
        <w:t xml:space="preserve">the </w:t>
      </w:r>
      <w:r w:rsidR="0016776E" w:rsidRPr="00652731">
        <w:t>absence of longitudinal information</w:t>
      </w:r>
      <w:r w:rsidRPr="00652731">
        <w:t>, testing the relatio</w:t>
      </w:r>
      <w:r w:rsidR="008F1AB4">
        <w:t xml:space="preserve">nship between CS&amp;H assets and any </w:t>
      </w:r>
      <w:r w:rsidRPr="00652731">
        <w:t>variables</w:t>
      </w:r>
      <w:r>
        <w:t xml:space="preserve"> linked to </w:t>
      </w:r>
      <w:r w:rsidR="008F1AB4">
        <w:t>local economic performance</w:t>
      </w:r>
      <w:r w:rsidRPr="00652731">
        <w:t xml:space="preserve"> is unlikely to yield </w:t>
      </w:r>
      <w:r w:rsidR="0016776E">
        <w:t>meaningful</w:t>
      </w:r>
      <w:r w:rsidRPr="00652731">
        <w:t xml:space="preserve"> r</w:t>
      </w:r>
      <w:r>
        <w:t>esult</w:t>
      </w:r>
      <w:r w:rsidR="0016776E">
        <w:t>s</w:t>
      </w:r>
      <w:proofErr w:type="gramStart"/>
      <w:r>
        <w:t>.</w:t>
      </w:r>
      <w:r w:rsidRPr="00652731">
        <w:t>.</w:t>
      </w:r>
      <w:proofErr w:type="gramEnd"/>
      <w:r w:rsidRPr="00652731">
        <w:t xml:space="preserve"> </w:t>
      </w:r>
    </w:p>
    <w:p w14:paraId="0CD1AB55" w14:textId="54844A38" w:rsidR="00AF1E6B" w:rsidRDefault="00AF1E6B" w:rsidP="005567B2">
      <w:r>
        <w:t>Investment in CS&amp;H (and associated variables, such as growth rate of CS&amp;H investment</w:t>
      </w:r>
      <w:r w:rsidR="008F1AB4">
        <w:t>,</w:t>
      </w:r>
      <w:r>
        <w:t xml:space="preserve"> etc.) is positively correlated with numerous indicators, such as turnover of creative (and other) firms, turnover growth rates and, for some years, net </w:t>
      </w:r>
      <w:r w:rsidR="008F1AB4">
        <w:t xml:space="preserve">firm </w:t>
      </w:r>
      <w:r>
        <w:t xml:space="preserve">migration. The econometric analysis should thus focus primarily on these variables. </w:t>
      </w:r>
    </w:p>
    <w:p w14:paraId="2AD387DD" w14:textId="63BDD4F1" w:rsidR="00AF1E6B" w:rsidRDefault="00AF1E6B" w:rsidP="005567B2">
      <w:r>
        <w:t xml:space="preserve">More granular analysis may need to be undertaken. For example, we have run preliminary estimations both at a regional scale and by distinguishing between </w:t>
      </w:r>
      <w:r w:rsidR="008F1AB4">
        <w:t xml:space="preserve">local </w:t>
      </w:r>
      <w:proofErr w:type="gramStart"/>
      <w:r w:rsidR="008F1AB4">
        <w:t>authorities</w:t>
      </w:r>
      <w:r>
        <w:t xml:space="preserve"> which are predominantly urban</w:t>
      </w:r>
      <w:proofErr w:type="gramEnd"/>
      <w:r>
        <w:t xml:space="preserve"> and those </w:t>
      </w:r>
      <w:r w:rsidR="008F1AB4">
        <w:t>which are</w:t>
      </w:r>
      <w:r>
        <w:t xml:space="preserve"> predominantly rural. </w:t>
      </w:r>
      <w:r w:rsidR="008F1AB4">
        <w:t>A</w:t>
      </w:r>
      <w:r>
        <w:t xml:space="preserve"> more granular analysis may show different correlations. In London’s </w:t>
      </w:r>
      <w:r w:rsidR="008F1AB4">
        <w:t>local authoritie</w:t>
      </w:r>
      <w:r>
        <w:t xml:space="preserve">s, for example, the correlation between CS&amp;H investment and various creative industries indicators appear extremely strong. The question is whether this holds when considering all major English urban centres. Preliminary analysis shows this may be the case. On the other hand, in predominantly rural areas, investment in CS&amp;H may not provide sufficient incentives for firms to stay, expand, or migrate in those areas (due to other factors at play). A more granular analysis would provide answers to these hypotheses.   </w:t>
      </w:r>
    </w:p>
    <w:p w14:paraId="100FE070" w14:textId="77777777" w:rsidR="00AF1E6B" w:rsidRPr="00FC48CA" w:rsidRDefault="00AF1E6B" w:rsidP="005567B2"/>
    <w:p w14:paraId="4C21D02D" w14:textId="77777777" w:rsidR="00AF1E6B" w:rsidRPr="00ED2B2F" w:rsidRDefault="00AF1E6B" w:rsidP="00AF1E6B">
      <w:pPr>
        <w:spacing w:line="276" w:lineRule="auto"/>
        <w:rPr>
          <w:rFonts w:cs="Arial"/>
          <w:sz w:val="20"/>
          <w:lang w:val="en-US"/>
        </w:rPr>
      </w:pPr>
    </w:p>
    <w:p w14:paraId="483C1D9F" w14:textId="77777777" w:rsidR="00AF1E6B" w:rsidRDefault="00AF1E6B" w:rsidP="00AF1E6B">
      <w:pPr>
        <w:rPr>
          <w:rFonts w:eastAsia="Calibri" w:cs="Arial"/>
        </w:rPr>
        <w:sectPr w:rsidR="00AF1E6B" w:rsidSect="007770D4">
          <w:headerReference w:type="default" r:id="rId39"/>
          <w:pgSz w:w="11906" w:h="16838" w:code="9"/>
          <w:pgMar w:top="1560" w:right="1134" w:bottom="1418" w:left="1418" w:header="709" w:footer="408" w:gutter="0"/>
          <w:cols w:space="708"/>
          <w:docGrid w:linePitch="360"/>
        </w:sectPr>
      </w:pPr>
    </w:p>
    <w:p w14:paraId="7F531363" w14:textId="5FE3FA92" w:rsidR="00101F25" w:rsidRPr="00514EFA" w:rsidRDefault="003318C7" w:rsidP="00F0636B">
      <w:pPr>
        <w:pStyle w:val="Heading1Numbered"/>
        <w:rPr>
          <w:rFonts w:eastAsia="Calibri"/>
        </w:rPr>
      </w:pPr>
      <w:bookmarkStart w:id="134" w:name="_Toc464222953"/>
      <w:r>
        <w:rPr>
          <w:rFonts w:eastAsia="Calibri"/>
        </w:rPr>
        <w:t xml:space="preserve">Appendix </w:t>
      </w:r>
      <w:r w:rsidR="00EE41B4">
        <w:rPr>
          <w:rFonts w:eastAsia="Calibri"/>
        </w:rPr>
        <w:t>I</w:t>
      </w:r>
      <w:r>
        <w:rPr>
          <w:rFonts w:eastAsia="Calibri"/>
        </w:rPr>
        <w:t>V</w:t>
      </w:r>
      <w:r w:rsidR="00101F25" w:rsidRPr="00514EFA">
        <w:rPr>
          <w:rFonts w:eastAsia="Calibri"/>
        </w:rPr>
        <w:t xml:space="preserve"> </w:t>
      </w:r>
      <w:r w:rsidR="009543F0">
        <w:rPr>
          <w:rFonts w:eastAsia="Calibri"/>
        </w:rPr>
        <w:t>–</w:t>
      </w:r>
      <w:r w:rsidR="009543F0" w:rsidRPr="00514EFA">
        <w:rPr>
          <w:rFonts w:eastAsia="Calibri"/>
        </w:rPr>
        <w:t xml:space="preserve"> </w:t>
      </w:r>
      <w:r w:rsidR="00101F25" w:rsidRPr="00514EFA">
        <w:rPr>
          <w:rFonts w:eastAsia="Calibri"/>
        </w:rPr>
        <w:t>Data review</w:t>
      </w:r>
      <w:bookmarkEnd w:id="119"/>
      <w:bookmarkEnd w:id="120"/>
      <w:bookmarkEnd w:id="121"/>
      <w:bookmarkEnd w:id="122"/>
      <w:bookmarkEnd w:id="134"/>
    </w:p>
    <w:p w14:paraId="41457E83" w14:textId="78CF1361" w:rsidR="00101F25" w:rsidRPr="00514EFA" w:rsidRDefault="00101F25" w:rsidP="00101F25">
      <w:pPr>
        <w:rPr>
          <w:rFonts w:cs="Arial"/>
        </w:rPr>
      </w:pPr>
      <w:r w:rsidRPr="00514EFA">
        <w:rPr>
          <w:rFonts w:cs="Arial"/>
        </w:rPr>
        <w:t>A detailed review of data sources which identify CS&amp;H assets and investments, and/or which might provide dependent variables for the analysis</w:t>
      </w:r>
      <w:r w:rsidR="00890A24">
        <w:rPr>
          <w:rFonts w:cs="Arial"/>
        </w:rPr>
        <w:t xml:space="preserve"> was undertaken to inform the study</w:t>
      </w:r>
      <w:r w:rsidRPr="00514EFA">
        <w:rPr>
          <w:rFonts w:cs="Arial"/>
        </w:rPr>
        <w:t>. This focused initially on assets and investments, but also consider</w:t>
      </w:r>
      <w:r w:rsidR="00890A24">
        <w:rPr>
          <w:rFonts w:cs="Arial"/>
        </w:rPr>
        <w:t>ed</w:t>
      </w:r>
      <w:r w:rsidRPr="00514EFA">
        <w:rPr>
          <w:rFonts w:cs="Arial"/>
        </w:rPr>
        <w:t xml:space="preserve"> other indicators. The data sources reviewed include freely available data, mainly provided by public bodies, as well as commercial datasets.</w:t>
      </w:r>
    </w:p>
    <w:p w14:paraId="22132F13" w14:textId="52551DBE" w:rsidR="00101F25" w:rsidRPr="00514EFA" w:rsidRDefault="00890A24" w:rsidP="00101F25">
      <w:pPr>
        <w:rPr>
          <w:rFonts w:cs="Arial"/>
        </w:rPr>
      </w:pPr>
      <w:r>
        <w:rPr>
          <w:rFonts w:cs="Arial"/>
        </w:rPr>
        <w:t>D</w:t>
      </w:r>
      <w:r w:rsidR="00101F25" w:rsidRPr="00514EFA">
        <w:rPr>
          <w:rFonts w:cs="Arial"/>
        </w:rPr>
        <w:t xml:space="preserve">ata sources reviewed in relation to assets and investment are set out in </w:t>
      </w:r>
      <w:r w:rsidR="00101F25" w:rsidRPr="00514EFA">
        <w:rPr>
          <w:rFonts w:cs="Arial"/>
        </w:rPr>
        <w:fldChar w:fldCharType="begin"/>
      </w:r>
      <w:r w:rsidR="00101F25" w:rsidRPr="00514EFA">
        <w:rPr>
          <w:rFonts w:cs="Arial"/>
        </w:rPr>
        <w:instrText xml:space="preserve"> REF _Ref417910767 \h </w:instrText>
      </w:r>
      <w:r w:rsidR="00A65C64" w:rsidRPr="00514EFA">
        <w:rPr>
          <w:rFonts w:cs="Arial"/>
        </w:rPr>
        <w:instrText xml:space="preserve"> \* MERGEFORMAT </w:instrText>
      </w:r>
      <w:r w:rsidR="00101F25" w:rsidRPr="00514EFA">
        <w:rPr>
          <w:rFonts w:cs="Arial"/>
        </w:rPr>
      </w:r>
      <w:r w:rsidR="00101F25" w:rsidRPr="00514EFA">
        <w:rPr>
          <w:rFonts w:cs="Arial"/>
        </w:rPr>
        <w:fldChar w:fldCharType="separate"/>
      </w:r>
      <w:r w:rsidR="00F0636B" w:rsidRPr="00F0636B">
        <w:rPr>
          <w:rFonts w:cs="Arial"/>
        </w:rPr>
        <w:t xml:space="preserve">Table </w:t>
      </w:r>
      <w:r w:rsidR="00F0636B" w:rsidRPr="00F0636B">
        <w:rPr>
          <w:rFonts w:cs="Arial"/>
          <w:noProof/>
        </w:rPr>
        <w:t>12</w:t>
      </w:r>
      <w:r w:rsidR="00101F25" w:rsidRPr="00514EFA">
        <w:rPr>
          <w:rFonts w:cs="Arial"/>
        </w:rPr>
        <w:fldChar w:fldCharType="end"/>
      </w:r>
      <w:r w:rsidR="00101F25" w:rsidRPr="00514EFA">
        <w:rPr>
          <w:rFonts w:cs="Arial"/>
        </w:rPr>
        <w:t xml:space="preserve"> below.</w:t>
      </w:r>
    </w:p>
    <w:p w14:paraId="595A319A" w14:textId="77777777" w:rsidR="000D4209" w:rsidRPr="00514EFA" w:rsidRDefault="000D4209" w:rsidP="00101F25">
      <w:pPr>
        <w:rPr>
          <w:rFonts w:cs="Arial"/>
        </w:rPr>
      </w:pPr>
    </w:p>
    <w:p w14:paraId="5501AA51" w14:textId="2662DDF6" w:rsidR="00101F25" w:rsidRPr="00514EFA" w:rsidRDefault="00101F25" w:rsidP="00101F25">
      <w:pPr>
        <w:pStyle w:val="Caption"/>
      </w:pPr>
      <w:bookmarkStart w:id="135" w:name="_Ref417910767"/>
      <w:bookmarkStart w:id="136" w:name="_Toc464220266"/>
      <w:r w:rsidRPr="00514EFA">
        <w:t xml:space="preserve">Table </w:t>
      </w:r>
      <w:fldSimple w:instr=" SEQ Table \* ARABIC ">
        <w:r w:rsidR="00F0636B">
          <w:rPr>
            <w:noProof/>
          </w:rPr>
          <w:t>12</w:t>
        </w:r>
      </w:fldSimple>
      <w:bookmarkEnd w:id="135"/>
      <w:r w:rsidRPr="00514EFA">
        <w:t>: Assets and investment datasets review</w:t>
      </w:r>
      <w:r w:rsidR="00131F29">
        <w:t>ed</w:t>
      </w:r>
      <w:bookmarkEnd w:id="136"/>
    </w:p>
    <w:tbl>
      <w:tblPr>
        <w:tblStyle w:val="TableGrid"/>
        <w:tblW w:w="0" w:type="auto"/>
        <w:tblLook w:val="04A0" w:firstRow="1" w:lastRow="0" w:firstColumn="1" w:lastColumn="0" w:noHBand="0" w:noVBand="1"/>
      </w:tblPr>
      <w:tblGrid>
        <w:gridCol w:w="4905"/>
        <w:gridCol w:w="4665"/>
      </w:tblGrid>
      <w:tr w:rsidR="00101F25" w:rsidRPr="00514EFA" w14:paraId="6443E0D9" w14:textId="77777777" w:rsidTr="00522071">
        <w:tc>
          <w:tcPr>
            <w:tcW w:w="5211" w:type="dxa"/>
          </w:tcPr>
          <w:p w14:paraId="3BEFCB07" w14:textId="77777777" w:rsidR="00101F25" w:rsidRPr="00514EFA" w:rsidRDefault="00101F25" w:rsidP="00522071">
            <w:pPr>
              <w:rPr>
                <w:rFonts w:cs="Arial"/>
                <w:b/>
              </w:rPr>
            </w:pPr>
            <w:r w:rsidRPr="00514EFA">
              <w:rPr>
                <w:rFonts w:cs="Arial"/>
                <w:b/>
              </w:rPr>
              <w:t>Assets/infrastructure:</w:t>
            </w:r>
          </w:p>
          <w:p w14:paraId="794CB111" w14:textId="77777777" w:rsidR="00101F25" w:rsidRPr="00514EFA" w:rsidRDefault="00101F25" w:rsidP="00F0636B">
            <w:pPr>
              <w:numPr>
                <w:ilvl w:val="0"/>
                <w:numId w:val="25"/>
              </w:numPr>
              <w:spacing w:before="0" w:after="180"/>
              <w:jc w:val="both"/>
              <w:rPr>
                <w:rFonts w:cs="Arial"/>
              </w:rPr>
            </w:pPr>
            <w:r w:rsidRPr="00514EFA">
              <w:rPr>
                <w:rFonts w:cs="Arial"/>
              </w:rPr>
              <w:t>Inter-Departmental Business Database (IDBR) / Business Structures Database (BSD)</w:t>
            </w:r>
          </w:p>
          <w:p w14:paraId="0E31DE1A" w14:textId="67A9FA16" w:rsidR="00101F25" w:rsidRPr="00514EFA" w:rsidRDefault="00101F25" w:rsidP="00F0636B">
            <w:pPr>
              <w:numPr>
                <w:ilvl w:val="0"/>
                <w:numId w:val="25"/>
              </w:numPr>
              <w:spacing w:before="0" w:after="180"/>
              <w:jc w:val="both"/>
              <w:rPr>
                <w:rFonts w:cs="Arial"/>
              </w:rPr>
            </w:pPr>
            <w:r w:rsidRPr="00514EFA">
              <w:rPr>
                <w:rFonts w:cs="Arial"/>
              </w:rPr>
              <w:t>TCR</w:t>
            </w:r>
            <w:r w:rsidR="006D376C" w:rsidRPr="00514EFA">
              <w:rPr>
                <w:rFonts w:cs="Arial"/>
              </w:rPr>
              <w:t xml:space="preserve"> (longitudinal database of UK businesses, owned by TBR)</w:t>
            </w:r>
          </w:p>
          <w:p w14:paraId="2A2247EA" w14:textId="77777777" w:rsidR="00101F25" w:rsidRPr="00514EFA" w:rsidRDefault="00101F25" w:rsidP="00F0636B">
            <w:pPr>
              <w:numPr>
                <w:ilvl w:val="0"/>
                <w:numId w:val="25"/>
              </w:numPr>
              <w:spacing w:before="0" w:after="180"/>
              <w:jc w:val="both"/>
              <w:rPr>
                <w:rFonts w:cs="Arial"/>
              </w:rPr>
            </w:pPr>
            <w:r w:rsidRPr="00514EFA">
              <w:rPr>
                <w:rFonts w:cs="Arial"/>
              </w:rPr>
              <w:t>Experian National Business Data</w:t>
            </w:r>
          </w:p>
          <w:p w14:paraId="002DA5E4" w14:textId="77777777" w:rsidR="00101F25" w:rsidRPr="00514EFA" w:rsidRDefault="00101F25" w:rsidP="00F0636B">
            <w:pPr>
              <w:numPr>
                <w:ilvl w:val="0"/>
                <w:numId w:val="25"/>
              </w:numPr>
              <w:spacing w:before="0" w:after="180"/>
              <w:jc w:val="both"/>
              <w:rPr>
                <w:rFonts w:cs="Arial"/>
              </w:rPr>
            </w:pPr>
            <w:r w:rsidRPr="00514EFA">
              <w:rPr>
                <w:rFonts w:cs="Arial"/>
              </w:rPr>
              <w:t>Yellow Pages</w:t>
            </w:r>
          </w:p>
          <w:p w14:paraId="7241D30C" w14:textId="77777777" w:rsidR="00101F25" w:rsidRPr="00514EFA" w:rsidRDefault="00101F25" w:rsidP="00F0636B">
            <w:pPr>
              <w:numPr>
                <w:ilvl w:val="0"/>
                <w:numId w:val="25"/>
              </w:numPr>
              <w:spacing w:before="0" w:after="180"/>
              <w:jc w:val="both"/>
              <w:rPr>
                <w:rFonts w:cs="Arial"/>
              </w:rPr>
            </w:pPr>
            <w:r w:rsidRPr="00514EFA">
              <w:rPr>
                <w:rFonts w:cs="Arial"/>
              </w:rPr>
              <w:t>FAME</w:t>
            </w:r>
          </w:p>
          <w:p w14:paraId="624A6E8B" w14:textId="77777777" w:rsidR="00101F25" w:rsidRPr="00514EFA" w:rsidRDefault="00101F25" w:rsidP="00F0636B">
            <w:pPr>
              <w:numPr>
                <w:ilvl w:val="0"/>
                <w:numId w:val="25"/>
              </w:numPr>
              <w:spacing w:before="0" w:after="180"/>
              <w:jc w:val="both"/>
              <w:rPr>
                <w:rFonts w:cs="Arial"/>
              </w:rPr>
            </w:pPr>
            <w:r w:rsidRPr="00514EFA">
              <w:rPr>
                <w:rFonts w:cs="Arial"/>
              </w:rPr>
              <w:t>Market Location</w:t>
            </w:r>
          </w:p>
          <w:p w14:paraId="5C7FA409" w14:textId="77777777" w:rsidR="00101F25" w:rsidRPr="00514EFA" w:rsidRDefault="00101F25" w:rsidP="00F0636B">
            <w:pPr>
              <w:numPr>
                <w:ilvl w:val="0"/>
                <w:numId w:val="25"/>
              </w:numPr>
              <w:spacing w:before="0" w:after="180"/>
              <w:jc w:val="both"/>
              <w:rPr>
                <w:rFonts w:cs="Arial"/>
              </w:rPr>
            </w:pPr>
            <w:r w:rsidRPr="00514EFA">
              <w:rPr>
                <w:rFonts w:cs="Arial"/>
              </w:rPr>
              <w:t>Active Places Power</w:t>
            </w:r>
          </w:p>
          <w:p w14:paraId="27C4C96F" w14:textId="77777777" w:rsidR="00101F25" w:rsidRPr="00514EFA" w:rsidRDefault="00101F25" w:rsidP="00F0636B">
            <w:pPr>
              <w:numPr>
                <w:ilvl w:val="0"/>
                <w:numId w:val="25"/>
              </w:numPr>
              <w:spacing w:before="0" w:after="180"/>
              <w:jc w:val="both"/>
              <w:rPr>
                <w:rFonts w:cs="Arial"/>
              </w:rPr>
            </w:pPr>
            <w:r w:rsidRPr="00514EFA">
              <w:rPr>
                <w:rFonts w:cs="Arial"/>
              </w:rPr>
              <w:t>Culture24</w:t>
            </w:r>
          </w:p>
          <w:p w14:paraId="43706AD6" w14:textId="77777777" w:rsidR="00101F25" w:rsidRPr="00514EFA" w:rsidRDefault="00101F25" w:rsidP="00F0636B">
            <w:pPr>
              <w:numPr>
                <w:ilvl w:val="0"/>
                <w:numId w:val="25"/>
              </w:numPr>
              <w:spacing w:before="0" w:after="180"/>
              <w:jc w:val="both"/>
              <w:rPr>
                <w:rFonts w:cs="Arial"/>
              </w:rPr>
            </w:pPr>
            <w:r w:rsidRPr="00514EFA">
              <w:rPr>
                <w:rFonts w:cs="Arial"/>
              </w:rPr>
              <w:t>ArchSearch</w:t>
            </w:r>
          </w:p>
          <w:p w14:paraId="4ABF6078" w14:textId="77777777" w:rsidR="00101F25" w:rsidRPr="00514EFA" w:rsidRDefault="00101F25" w:rsidP="00F0636B">
            <w:pPr>
              <w:numPr>
                <w:ilvl w:val="0"/>
                <w:numId w:val="25"/>
              </w:numPr>
              <w:spacing w:before="0" w:after="180"/>
              <w:jc w:val="both"/>
              <w:rPr>
                <w:rFonts w:cs="Arial"/>
              </w:rPr>
            </w:pPr>
            <w:r w:rsidRPr="00514EFA">
              <w:rPr>
                <w:rFonts w:cs="Arial"/>
              </w:rPr>
              <w:t>National Record of the Historic Environment</w:t>
            </w:r>
          </w:p>
          <w:p w14:paraId="2AE4B56F" w14:textId="77777777" w:rsidR="00101F25" w:rsidRPr="00514EFA" w:rsidRDefault="00101F25" w:rsidP="00F0636B">
            <w:pPr>
              <w:numPr>
                <w:ilvl w:val="0"/>
                <w:numId w:val="25"/>
              </w:numPr>
              <w:spacing w:before="0" w:after="180"/>
              <w:jc w:val="both"/>
              <w:rPr>
                <w:rFonts w:cs="Arial"/>
              </w:rPr>
            </w:pPr>
            <w:r w:rsidRPr="00514EFA">
              <w:rPr>
                <w:rFonts w:cs="Arial"/>
              </w:rPr>
              <w:t>National Heritage List for England</w:t>
            </w:r>
          </w:p>
          <w:p w14:paraId="23113500" w14:textId="77777777" w:rsidR="00101F25" w:rsidRPr="00514EFA" w:rsidRDefault="00101F25" w:rsidP="00F0636B">
            <w:pPr>
              <w:numPr>
                <w:ilvl w:val="0"/>
                <w:numId w:val="25"/>
              </w:numPr>
              <w:spacing w:before="0" w:after="180"/>
              <w:jc w:val="both"/>
              <w:rPr>
                <w:rFonts w:cs="Arial"/>
              </w:rPr>
            </w:pPr>
            <w:r w:rsidRPr="00514EFA">
              <w:rPr>
                <w:rFonts w:cs="Arial"/>
              </w:rPr>
              <w:t>Natural England GIS Digital Boundary Datasets</w:t>
            </w:r>
          </w:p>
          <w:p w14:paraId="662AF406" w14:textId="77777777" w:rsidR="00101F25" w:rsidRPr="00514EFA" w:rsidRDefault="00101F25" w:rsidP="00F0636B">
            <w:pPr>
              <w:numPr>
                <w:ilvl w:val="0"/>
                <w:numId w:val="25"/>
              </w:numPr>
              <w:spacing w:before="0" w:after="180"/>
              <w:jc w:val="both"/>
              <w:rPr>
                <w:rFonts w:cs="Arial"/>
              </w:rPr>
            </w:pPr>
            <w:r w:rsidRPr="00514EFA">
              <w:rPr>
                <w:rFonts w:cs="Arial"/>
              </w:rPr>
              <w:t>UK Public Library Dataset</w:t>
            </w:r>
          </w:p>
          <w:p w14:paraId="18E07EC5" w14:textId="77777777" w:rsidR="00101F25" w:rsidRPr="00514EFA" w:rsidRDefault="00101F25" w:rsidP="00F0636B">
            <w:pPr>
              <w:numPr>
                <w:ilvl w:val="0"/>
                <w:numId w:val="25"/>
              </w:numPr>
              <w:spacing w:before="0" w:after="180"/>
              <w:jc w:val="both"/>
              <w:rPr>
                <w:rFonts w:cs="Arial"/>
              </w:rPr>
            </w:pPr>
            <w:r w:rsidRPr="00514EFA">
              <w:rPr>
                <w:rFonts w:cs="Arial"/>
              </w:rPr>
              <w:t>Culture Grid</w:t>
            </w:r>
          </w:p>
          <w:p w14:paraId="776C1751" w14:textId="77777777" w:rsidR="00101F25" w:rsidRPr="00514EFA" w:rsidRDefault="00101F25" w:rsidP="00F0636B">
            <w:pPr>
              <w:numPr>
                <w:ilvl w:val="0"/>
                <w:numId w:val="25"/>
              </w:numPr>
              <w:spacing w:before="0" w:after="180"/>
              <w:jc w:val="both"/>
              <w:rPr>
                <w:rFonts w:cs="Arial"/>
              </w:rPr>
            </w:pPr>
            <w:r w:rsidRPr="00514EFA">
              <w:rPr>
                <w:rFonts w:cs="Arial"/>
              </w:rPr>
              <w:t>PointX</w:t>
            </w:r>
          </w:p>
          <w:p w14:paraId="08C770C5" w14:textId="77777777" w:rsidR="00101F25" w:rsidRPr="00514EFA" w:rsidRDefault="00101F25" w:rsidP="00F0636B">
            <w:pPr>
              <w:numPr>
                <w:ilvl w:val="0"/>
                <w:numId w:val="25"/>
              </w:numPr>
              <w:spacing w:before="0" w:after="180"/>
              <w:jc w:val="both"/>
              <w:rPr>
                <w:rFonts w:cs="Arial"/>
              </w:rPr>
            </w:pPr>
            <w:r w:rsidRPr="00514EFA">
              <w:rPr>
                <w:rFonts w:cs="Arial"/>
              </w:rPr>
              <w:t>Points of Interest</w:t>
            </w:r>
          </w:p>
          <w:p w14:paraId="663DF03C" w14:textId="77777777" w:rsidR="00101F25" w:rsidRPr="00514EFA" w:rsidRDefault="00101F25" w:rsidP="00F0636B">
            <w:pPr>
              <w:numPr>
                <w:ilvl w:val="0"/>
                <w:numId w:val="25"/>
              </w:numPr>
              <w:spacing w:before="0" w:after="180"/>
              <w:jc w:val="both"/>
              <w:rPr>
                <w:rFonts w:cs="Arial"/>
              </w:rPr>
            </w:pPr>
            <w:r w:rsidRPr="00514EFA">
              <w:rPr>
                <w:rFonts w:cs="Arial"/>
              </w:rPr>
              <w:t>OSMasterMap</w:t>
            </w:r>
          </w:p>
          <w:p w14:paraId="71361040" w14:textId="77777777" w:rsidR="00101F25" w:rsidRPr="00514EFA" w:rsidRDefault="00101F25" w:rsidP="00F0636B">
            <w:pPr>
              <w:numPr>
                <w:ilvl w:val="0"/>
                <w:numId w:val="25"/>
              </w:numPr>
              <w:spacing w:before="0" w:after="180"/>
              <w:jc w:val="both"/>
              <w:rPr>
                <w:rFonts w:cs="Arial"/>
              </w:rPr>
            </w:pPr>
            <w:r w:rsidRPr="00514EFA">
              <w:rPr>
                <w:rFonts w:cs="Arial"/>
              </w:rPr>
              <w:t>OpenStreetMap</w:t>
            </w:r>
          </w:p>
          <w:p w14:paraId="421A5B04" w14:textId="77777777" w:rsidR="00101F25" w:rsidRPr="00514EFA" w:rsidRDefault="00101F25" w:rsidP="00F0636B">
            <w:pPr>
              <w:numPr>
                <w:ilvl w:val="0"/>
                <w:numId w:val="25"/>
              </w:numPr>
              <w:spacing w:before="0" w:after="180"/>
              <w:jc w:val="both"/>
              <w:rPr>
                <w:rFonts w:cs="Arial"/>
              </w:rPr>
            </w:pPr>
            <w:r w:rsidRPr="00514EFA">
              <w:rPr>
                <w:rFonts w:cs="Arial"/>
              </w:rPr>
              <w:t>POIplaza</w:t>
            </w:r>
          </w:p>
          <w:p w14:paraId="0822745C" w14:textId="77777777" w:rsidR="00101F25" w:rsidRPr="00514EFA" w:rsidRDefault="00101F25" w:rsidP="00F0636B">
            <w:pPr>
              <w:numPr>
                <w:ilvl w:val="0"/>
                <w:numId w:val="25"/>
              </w:numPr>
              <w:spacing w:before="0" w:after="180"/>
              <w:jc w:val="both"/>
              <w:rPr>
                <w:rFonts w:cs="Arial"/>
              </w:rPr>
            </w:pPr>
            <w:r w:rsidRPr="00514EFA">
              <w:rPr>
                <w:rFonts w:cs="Arial"/>
              </w:rPr>
              <w:t>Points of Interest Northern Ireland, Isle of Man, Channel Islands</w:t>
            </w:r>
          </w:p>
          <w:p w14:paraId="2CD6A0F9" w14:textId="77777777" w:rsidR="00101F25" w:rsidRPr="00514EFA" w:rsidRDefault="00101F25" w:rsidP="00F0636B">
            <w:pPr>
              <w:numPr>
                <w:ilvl w:val="0"/>
                <w:numId w:val="25"/>
              </w:numPr>
              <w:spacing w:before="0" w:after="180"/>
              <w:jc w:val="both"/>
              <w:rPr>
                <w:rFonts w:cs="Arial"/>
              </w:rPr>
            </w:pPr>
            <w:r w:rsidRPr="00514EFA">
              <w:rPr>
                <w:rFonts w:cs="Arial"/>
              </w:rPr>
              <w:t>OpenPOIS</w:t>
            </w:r>
          </w:p>
          <w:p w14:paraId="40EA4919" w14:textId="77777777" w:rsidR="00101F25" w:rsidRPr="00514EFA" w:rsidRDefault="00101F25" w:rsidP="00F0636B">
            <w:pPr>
              <w:numPr>
                <w:ilvl w:val="0"/>
                <w:numId w:val="25"/>
              </w:numPr>
              <w:spacing w:before="0" w:after="180"/>
              <w:jc w:val="both"/>
              <w:rPr>
                <w:rFonts w:cs="Arial"/>
              </w:rPr>
            </w:pPr>
            <w:r w:rsidRPr="00514EFA">
              <w:rPr>
                <w:rFonts w:cs="Arial"/>
              </w:rPr>
              <w:t>GPS POI data</w:t>
            </w:r>
          </w:p>
        </w:tc>
        <w:tc>
          <w:tcPr>
            <w:tcW w:w="5211" w:type="dxa"/>
          </w:tcPr>
          <w:p w14:paraId="77031959" w14:textId="77777777" w:rsidR="00101F25" w:rsidRPr="00514EFA" w:rsidRDefault="00101F25" w:rsidP="00522071">
            <w:pPr>
              <w:rPr>
                <w:rFonts w:cs="Arial"/>
                <w:b/>
              </w:rPr>
            </w:pPr>
            <w:r w:rsidRPr="00514EFA">
              <w:rPr>
                <w:rFonts w:cs="Arial"/>
                <w:b/>
              </w:rPr>
              <w:t>Investment:</w:t>
            </w:r>
          </w:p>
          <w:p w14:paraId="4CF0604B" w14:textId="77777777" w:rsidR="00101F25" w:rsidRPr="00514EFA" w:rsidRDefault="00101F25" w:rsidP="00F0636B">
            <w:pPr>
              <w:numPr>
                <w:ilvl w:val="0"/>
                <w:numId w:val="24"/>
              </w:numPr>
              <w:spacing w:before="0" w:after="180"/>
              <w:jc w:val="both"/>
              <w:rPr>
                <w:rFonts w:cs="Arial"/>
              </w:rPr>
            </w:pPr>
            <w:r w:rsidRPr="00514EFA">
              <w:rPr>
                <w:rFonts w:cs="Arial"/>
              </w:rPr>
              <w:t>Local authority revenue expenditure</w:t>
            </w:r>
          </w:p>
          <w:p w14:paraId="3CAB0BEA" w14:textId="77777777" w:rsidR="00101F25" w:rsidRPr="00514EFA" w:rsidRDefault="00101F25" w:rsidP="00F0636B">
            <w:pPr>
              <w:numPr>
                <w:ilvl w:val="0"/>
                <w:numId w:val="24"/>
              </w:numPr>
              <w:spacing w:before="0" w:after="180"/>
              <w:jc w:val="both"/>
              <w:rPr>
                <w:rFonts w:cs="Arial"/>
              </w:rPr>
            </w:pPr>
            <w:r w:rsidRPr="00514EFA">
              <w:rPr>
                <w:rFonts w:cs="Arial"/>
              </w:rPr>
              <w:t>Local authority capital expenditure</w:t>
            </w:r>
          </w:p>
          <w:p w14:paraId="08F4F4B7" w14:textId="77777777" w:rsidR="00101F25" w:rsidRPr="00514EFA" w:rsidRDefault="00101F25" w:rsidP="00F0636B">
            <w:pPr>
              <w:numPr>
                <w:ilvl w:val="0"/>
                <w:numId w:val="24"/>
              </w:numPr>
              <w:spacing w:before="0" w:after="180"/>
              <w:jc w:val="both"/>
              <w:rPr>
                <w:rFonts w:cs="Arial"/>
              </w:rPr>
            </w:pPr>
            <w:r w:rsidRPr="00514EFA">
              <w:rPr>
                <w:rFonts w:cs="Arial"/>
              </w:rPr>
              <w:t>National English Heritage Grants</w:t>
            </w:r>
          </w:p>
          <w:p w14:paraId="385CC8C1" w14:textId="39E9FB56" w:rsidR="00101F25" w:rsidRPr="00514EFA" w:rsidRDefault="00101F25" w:rsidP="00F0636B">
            <w:pPr>
              <w:numPr>
                <w:ilvl w:val="0"/>
                <w:numId w:val="24"/>
              </w:numPr>
              <w:spacing w:before="0" w:after="180"/>
              <w:jc w:val="both"/>
              <w:rPr>
                <w:rFonts w:cs="Arial"/>
              </w:rPr>
            </w:pPr>
            <w:r w:rsidRPr="00514EFA">
              <w:rPr>
                <w:rFonts w:cs="Arial"/>
              </w:rPr>
              <w:t xml:space="preserve">Heritage Lottery Fund </w:t>
            </w:r>
            <w:r w:rsidR="00CC5E33">
              <w:rPr>
                <w:rFonts w:cs="Arial"/>
              </w:rPr>
              <w:t>–</w:t>
            </w:r>
            <w:r w:rsidR="00CC5E33" w:rsidRPr="00514EFA">
              <w:rPr>
                <w:rFonts w:cs="Arial"/>
              </w:rPr>
              <w:t xml:space="preserve"> </w:t>
            </w:r>
            <w:r w:rsidRPr="00514EFA">
              <w:rPr>
                <w:rFonts w:cs="Arial"/>
              </w:rPr>
              <w:t>20 years in 12 places</w:t>
            </w:r>
          </w:p>
          <w:p w14:paraId="5A8E5766" w14:textId="605BEB55" w:rsidR="00101F25" w:rsidRPr="00514EFA" w:rsidRDefault="00101F25" w:rsidP="00F0636B">
            <w:pPr>
              <w:numPr>
                <w:ilvl w:val="0"/>
                <w:numId w:val="24"/>
              </w:numPr>
              <w:spacing w:before="0" w:after="180"/>
              <w:jc w:val="both"/>
              <w:rPr>
                <w:rFonts w:cs="Arial"/>
              </w:rPr>
            </w:pPr>
            <w:r w:rsidRPr="00514EFA">
              <w:rPr>
                <w:rFonts w:cs="Arial"/>
              </w:rPr>
              <w:t xml:space="preserve">Heritage Lottery Fund </w:t>
            </w:r>
            <w:r w:rsidR="00CC5E33">
              <w:rPr>
                <w:rFonts w:cs="Arial"/>
              </w:rPr>
              <w:t>–</w:t>
            </w:r>
            <w:r w:rsidR="00CC5E33" w:rsidRPr="00514EFA">
              <w:rPr>
                <w:rFonts w:cs="Arial"/>
              </w:rPr>
              <w:t xml:space="preserve"> </w:t>
            </w:r>
            <w:r w:rsidRPr="00514EFA">
              <w:rPr>
                <w:rFonts w:cs="Arial"/>
              </w:rPr>
              <w:t>Grants research</w:t>
            </w:r>
          </w:p>
          <w:p w14:paraId="21BBC23E" w14:textId="77777777" w:rsidR="00101F25" w:rsidRPr="00514EFA" w:rsidRDefault="00101F25" w:rsidP="00F0636B">
            <w:pPr>
              <w:numPr>
                <w:ilvl w:val="0"/>
                <w:numId w:val="24"/>
              </w:numPr>
              <w:spacing w:before="0" w:after="180"/>
              <w:jc w:val="both"/>
              <w:rPr>
                <w:rFonts w:cs="Arial"/>
              </w:rPr>
            </w:pPr>
            <w:r w:rsidRPr="00514EFA">
              <w:rPr>
                <w:rFonts w:cs="Arial"/>
              </w:rPr>
              <w:t>Churches Conservation Trust</w:t>
            </w:r>
          </w:p>
          <w:p w14:paraId="3B17845D" w14:textId="77777777" w:rsidR="00101F25" w:rsidRPr="00514EFA" w:rsidRDefault="00101F25" w:rsidP="00F0636B">
            <w:pPr>
              <w:numPr>
                <w:ilvl w:val="0"/>
                <w:numId w:val="24"/>
              </w:numPr>
              <w:spacing w:before="0" w:after="180"/>
              <w:jc w:val="both"/>
              <w:rPr>
                <w:rFonts w:cs="Arial"/>
              </w:rPr>
            </w:pPr>
            <w:r w:rsidRPr="00514EFA">
              <w:rPr>
                <w:rFonts w:cs="Arial"/>
              </w:rPr>
              <w:t>Listed Places of Worship Grant Scheme</w:t>
            </w:r>
          </w:p>
          <w:p w14:paraId="103DB456" w14:textId="77777777" w:rsidR="00101F25" w:rsidRPr="00514EFA" w:rsidRDefault="00101F25" w:rsidP="00F0636B">
            <w:pPr>
              <w:numPr>
                <w:ilvl w:val="0"/>
                <w:numId w:val="24"/>
              </w:numPr>
              <w:spacing w:before="0" w:after="180"/>
              <w:jc w:val="both"/>
              <w:rPr>
                <w:rFonts w:cs="Arial"/>
              </w:rPr>
            </w:pPr>
            <w:r w:rsidRPr="00514EFA">
              <w:rPr>
                <w:rFonts w:cs="Arial"/>
              </w:rPr>
              <w:t>National Heritage Memorial Fund</w:t>
            </w:r>
          </w:p>
          <w:p w14:paraId="2A3C04D6" w14:textId="77777777" w:rsidR="00101F25" w:rsidRPr="00514EFA" w:rsidRDefault="00101F25" w:rsidP="00F0636B">
            <w:pPr>
              <w:numPr>
                <w:ilvl w:val="0"/>
                <w:numId w:val="24"/>
              </w:numPr>
              <w:spacing w:before="0" w:after="180"/>
              <w:jc w:val="both"/>
              <w:rPr>
                <w:rFonts w:cs="Arial"/>
              </w:rPr>
            </w:pPr>
            <w:r w:rsidRPr="00514EFA">
              <w:rPr>
                <w:rFonts w:cs="Arial"/>
              </w:rPr>
              <w:t>DCMS Arms Length Bodies funding</w:t>
            </w:r>
          </w:p>
          <w:p w14:paraId="5B92450E" w14:textId="77777777" w:rsidR="00101F25" w:rsidRPr="00514EFA" w:rsidRDefault="00101F25" w:rsidP="00F0636B">
            <w:pPr>
              <w:numPr>
                <w:ilvl w:val="0"/>
                <w:numId w:val="24"/>
              </w:numPr>
              <w:spacing w:before="0" w:after="180"/>
              <w:jc w:val="both"/>
              <w:rPr>
                <w:rFonts w:cs="Arial"/>
              </w:rPr>
            </w:pPr>
            <w:r w:rsidRPr="00514EFA">
              <w:rPr>
                <w:rFonts w:cs="Arial"/>
              </w:rPr>
              <w:t>Rural Development programme budget</w:t>
            </w:r>
          </w:p>
          <w:p w14:paraId="15701696" w14:textId="77777777" w:rsidR="00101F25" w:rsidRPr="00514EFA" w:rsidRDefault="00101F25" w:rsidP="00F0636B">
            <w:pPr>
              <w:numPr>
                <w:ilvl w:val="0"/>
                <w:numId w:val="24"/>
              </w:numPr>
              <w:spacing w:before="0" w:after="180"/>
              <w:jc w:val="both"/>
              <w:rPr>
                <w:rFonts w:cs="Arial"/>
              </w:rPr>
            </w:pPr>
            <w:r w:rsidRPr="00514EFA">
              <w:rPr>
                <w:rFonts w:cs="Arial"/>
              </w:rPr>
              <w:t>Rural Development programme budget</w:t>
            </w:r>
          </w:p>
          <w:p w14:paraId="081F2C92" w14:textId="77777777" w:rsidR="00101F25" w:rsidRPr="00514EFA" w:rsidRDefault="00101F25" w:rsidP="00F0636B">
            <w:pPr>
              <w:numPr>
                <w:ilvl w:val="0"/>
                <w:numId w:val="24"/>
              </w:numPr>
              <w:spacing w:before="0" w:after="180"/>
              <w:jc w:val="both"/>
              <w:rPr>
                <w:rFonts w:cs="Arial"/>
              </w:rPr>
            </w:pPr>
            <w:r w:rsidRPr="00514EFA">
              <w:rPr>
                <w:rFonts w:cs="Arial"/>
              </w:rPr>
              <w:t>CAP Payments</w:t>
            </w:r>
          </w:p>
          <w:p w14:paraId="2EFD99BB" w14:textId="77777777" w:rsidR="00101F25" w:rsidRPr="00514EFA" w:rsidRDefault="00101F25" w:rsidP="00F0636B">
            <w:pPr>
              <w:numPr>
                <w:ilvl w:val="0"/>
                <w:numId w:val="24"/>
              </w:numPr>
              <w:spacing w:before="0" w:after="180"/>
              <w:jc w:val="both"/>
              <w:rPr>
                <w:rFonts w:cs="Arial"/>
              </w:rPr>
            </w:pPr>
            <w:r w:rsidRPr="00514EFA">
              <w:rPr>
                <w:rFonts w:cs="Arial"/>
              </w:rPr>
              <w:t>Science and Heritage Programme</w:t>
            </w:r>
          </w:p>
          <w:p w14:paraId="51FF79B8" w14:textId="77777777" w:rsidR="00101F25" w:rsidRPr="00514EFA" w:rsidRDefault="00101F25" w:rsidP="00F0636B">
            <w:pPr>
              <w:numPr>
                <w:ilvl w:val="0"/>
                <w:numId w:val="24"/>
              </w:numPr>
              <w:spacing w:before="0" w:after="180"/>
              <w:jc w:val="both"/>
              <w:rPr>
                <w:rFonts w:cs="Arial"/>
              </w:rPr>
            </w:pPr>
            <w:r w:rsidRPr="00514EFA">
              <w:rPr>
                <w:rFonts w:cs="Arial"/>
              </w:rPr>
              <w:t>Gateway to Research (GtR)</w:t>
            </w:r>
          </w:p>
          <w:p w14:paraId="50ED5911" w14:textId="77777777" w:rsidR="00101F25" w:rsidRPr="00514EFA" w:rsidRDefault="00101F25" w:rsidP="00F0636B">
            <w:pPr>
              <w:numPr>
                <w:ilvl w:val="0"/>
                <w:numId w:val="24"/>
              </w:numPr>
              <w:spacing w:before="0" w:after="180"/>
              <w:jc w:val="both"/>
              <w:rPr>
                <w:rFonts w:cs="Arial"/>
                <w:color w:val="1F497D"/>
              </w:rPr>
            </w:pPr>
            <w:r w:rsidRPr="00514EFA">
              <w:rPr>
                <w:rFonts w:cs="Arial"/>
              </w:rPr>
              <w:t>CIPFA data</w:t>
            </w:r>
          </w:p>
          <w:p w14:paraId="3C7EB71E" w14:textId="77777777" w:rsidR="00101F25" w:rsidRPr="00514EFA" w:rsidRDefault="00101F25" w:rsidP="00522071">
            <w:pPr>
              <w:rPr>
                <w:rFonts w:cs="Arial"/>
              </w:rPr>
            </w:pPr>
          </w:p>
        </w:tc>
      </w:tr>
    </w:tbl>
    <w:p w14:paraId="5BF87092" w14:textId="77777777" w:rsidR="00101F25" w:rsidRPr="00514EFA" w:rsidRDefault="00101F25" w:rsidP="00F0636B">
      <w:pPr>
        <w:pStyle w:val="Heading2Numbered"/>
      </w:pPr>
      <w:bookmarkStart w:id="137" w:name="_Toc417910959"/>
      <w:bookmarkStart w:id="138" w:name="_Toc464222954"/>
      <w:r w:rsidRPr="00514EFA">
        <w:t>Assets</w:t>
      </w:r>
      <w:bookmarkEnd w:id="137"/>
      <w:bookmarkEnd w:id="138"/>
    </w:p>
    <w:p w14:paraId="650383C1" w14:textId="0A9A8788" w:rsidR="00101F25" w:rsidRPr="00514EFA" w:rsidRDefault="00101F25" w:rsidP="00101F25">
      <w:pPr>
        <w:rPr>
          <w:rFonts w:cs="Arial"/>
        </w:rPr>
      </w:pPr>
      <w:r w:rsidRPr="00514EFA">
        <w:rPr>
          <w:rFonts w:cs="Arial"/>
        </w:rPr>
        <w:t xml:space="preserve">The data review </w:t>
      </w:r>
      <w:r w:rsidR="00890A24">
        <w:rPr>
          <w:rFonts w:cs="Arial"/>
        </w:rPr>
        <w:t>did</w:t>
      </w:r>
      <w:r w:rsidR="00890A24" w:rsidRPr="00514EFA">
        <w:rPr>
          <w:rFonts w:cs="Arial"/>
        </w:rPr>
        <w:t xml:space="preserve"> </w:t>
      </w:r>
      <w:r w:rsidRPr="00514EFA">
        <w:rPr>
          <w:rFonts w:cs="Arial"/>
        </w:rPr>
        <w:t xml:space="preserve">not </w:t>
      </w:r>
      <w:r w:rsidR="00890A24" w:rsidRPr="00514EFA">
        <w:rPr>
          <w:rFonts w:cs="Arial"/>
        </w:rPr>
        <w:t>identif</w:t>
      </w:r>
      <w:r w:rsidR="00890A24">
        <w:rPr>
          <w:rFonts w:cs="Arial"/>
        </w:rPr>
        <w:t>y</w:t>
      </w:r>
      <w:r w:rsidR="00890A24" w:rsidRPr="00514EFA">
        <w:rPr>
          <w:rFonts w:cs="Arial"/>
        </w:rPr>
        <w:t xml:space="preserve"> </w:t>
      </w:r>
      <w:r w:rsidRPr="00514EFA">
        <w:rPr>
          <w:rFonts w:cs="Arial"/>
        </w:rPr>
        <w:t xml:space="preserve">a single </w:t>
      </w:r>
      <w:proofErr w:type="gramStart"/>
      <w:r w:rsidRPr="00514EFA">
        <w:rPr>
          <w:rFonts w:cs="Arial"/>
        </w:rPr>
        <w:t>source which</w:t>
      </w:r>
      <w:proofErr w:type="gramEnd"/>
      <w:r w:rsidRPr="00514EFA">
        <w:rPr>
          <w:rFonts w:cs="Arial"/>
        </w:rPr>
        <w:t xml:space="preserve"> provides comprehensive coverage of all CS&amp;H assets. A number of datasets are available which appear to ‘definitively’ identify assets in a particular category – culture, sport </w:t>
      </w:r>
      <w:r w:rsidRPr="00514EFA">
        <w:rPr>
          <w:rFonts w:cs="Arial"/>
          <w:i/>
        </w:rPr>
        <w:t>or</w:t>
      </w:r>
      <w:r w:rsidRPr="00514EFA">
        <w:rPr>
          <w:rFonts w:cs="Arial"/>
        </w:rPr>
        <w:t xml:space="preserve"> heritage – but not all three. While this means the analysis </w:t>
      </w:r>
      <w:r w:rsidR="00890A24">
        <w:rPr>
          <w:rFonts w:cs="Arial"/>
        </w:rPr>
        <w:t>might</w:t>
      </w:r>
      <w:r w:rsidR="00890A24" w:rsidRPr="00514EFA">
        <w:rPr>
          <w:rFonts w:cs="Arial"/>
        </w:rPr>
        <w:t xml:space="preserve"> </w:t>
      </w:r>
      <w:r w:rsidRPr="00514EFA">
        <w:rPr>
          <w:rFonts w:cs="Arial"/>
        </w:rPr>
        <w:t xml:space="preserve">potentially examine the impacts of each type of asset separately, in order to test the impact of the CS&amp;H offer as a whole it is </w:t>
      </w:r>
      <w:r w:rsidR="00890A24">
        <w:rPr>
          <w:rFonts w:cs="Arial"/>
        </w:rPr>
        <w:t>necessary</w:t>
      </w:r>
      <w:r w:rsidRPr="00514EFA">
        <w:rPr>
          <w:rFonts w:cs="Arial"/>
        </w:rPr>
        <w:t xml:space="preserve"> to collate data from a number of different sources.</w:t>
      </w:r>
    </w:p>
    <w:p w14:paraId="52E26079" w14:textId="77777777" w:rsidR="00101F25" w:rsidRPr="00514EFA" w:rsidRDefault="00101F25" w:rsidP="00101F25">
      <w:pPr>
        <w:rPr>
          <w:rFonts w:cs="Arial"/>
        </w:rPr>
      </w:pPr>
      <w:r w:rsidRPr="00514EFA">
        <w:rPr>
          <w:rFonts w:cs="Arial"/>
        </w:rPr>
        <w:t xml:space="preserve">In the absence of detailed local knowledge of all the places to be examined in the analysis it is, of course, difficult to judge the comprehensiveness of many of the data sources reviewed. At the national level, this is impossible. Where they relate to </w:t>
      </w:r>
      <w:proofErr w:type="gramStart"/>
      <w:r w:rsidRPr="00514EFA">
        <w:rPr>
          <w:rFonts w:cs="Arial"/>
        </w:rPr>
        <w:t>assets which</w:t>
      </w:r>
      <w:proofErr w:type="gramEnd"/>
      <w:r w:rsidRPr="00514EFA">
        <w:rPr>
          <w:rFonts w:cs="Arial"/>
        </w:rPr>
        <w:t xml:space="preserve"> receive public funding, or which are managed by public bodies, we can generally expect coverage of data sources to be comprehensive (within the definitions of the dataset). Other data sources may vary in their coverage, especially where data is supplied by individual </w:t>
      </w:r>
      <w:proofErr w:type="gramStart"/>
      <w:r w:rsidRPr="00514EFA">
        <w:rPr>
          <w:rFonts w:cs="Arial"/>
        </w:rPr>
        <w:t>organisations which</w:t>
      </w:r>
      <w:proofErr w:type="gramEnd"/>
      <w:r w:rsidRPr="00514EFA">
        <w:rPr>
          <w:rFonts w:cs="Arial"/>
        </w:rPr>
        <w:t xml:space="preserve"> own or manage the assets themselves (as in the case of the Culture24 website/dataset). There may also be spatial variation in comprehensiveness – that is, a single source may provide comprehensive coverage of the assets in one place, while coverage may be patchy in another.</w:t>
      </w:r>
    </w:p>
    <w:p w14:paraId="519BE83C" w14:textId="77777777" w:rsidR="00101F25" w:rsidRPr="00514EFA" w:rsidRDefault="00101F25" w:rsidP="00101F25">
      <w:pPr>
        <w:rPr>
          <w:rFonts w:cs="Arial"/>
        </w:rPr>
      </w:pPr>
      <w:r w:rsidRPr="00514EFA">
        <w:rPr>
          <w:rFonts w:cs="Arial"/>
        </w:rPr>
        <w:t xml:space="preserve">Commercial datasets (e.g. point of interest data) are likely to provide the broadest coverage (that is, include a broad range of CS&amp;H assets) but are hardest to judge in terms of comprehensiveness without arranging access to the data and comparing with the available public data. There is also a cost implication to the use of commercial </w:t>
      </w:r>
      <w:proofErr w:type="gramStart"/>
      <w:r w:rsidRPr="00514EFA">
        <w:rPr>
          <w:rFonts w:cs="Arial"/>
        </w:rPr>
        <w:t>datasets which</w:t>
      </w:r>
      <w:proofErr w:type="gramEnd"/>
      <w:r w:rsidRPr="00514EFA">
        <w:rPr>
          <w:rFonts w:cs="Arial"/>
        </w:rPr>
        <w:t xml:space="preserve"> needs to be considered, of course.</w:t>
      </w:r>
    </w:p>
    <w:p w14:paraId="65291D50" w14:textId="4B29D22E" w:rsidR="00101F25" w:rsidRPr="00514EFA" w:rsidRDefault="00101F25" w:rsidP="00101F25">
      <w:pPr>
        <w:rPr>
          <w:rFonts w:cs="Arial"/>
        </w:rPr>
      </w:pPr>
      <w:r w:rsidRPr="00514EFA">
        <w:rPr>
          <w:rFonts w:cs="Arial"/>
        </w:rPr>
        <w:t>Identifying the places in which CS&amp;H assets are located is generally straightforward – the data sources reviewed include postcodes, grid references or both. This means that assets can be georeferenced at detailed spatial levels, and other indicators used in the analysis are</w:t>
      </w:r>
      <w:r w:rsidR="00890A24">
        <w:rPr>
          <w:rFonts w:cs="Arial"/>
        </w:rPr>
        <w:t xml:space="preserve"> more</w:t>
      </w:r>
      <w:r w:rsidRPr="00514EFA">
        <w:rPr>
          <w:rFonts w:cs="Arial"/>
        </w:rPr>
        <w:t xml:space="preserve"> likely to determine the spatial level at which CS&amp;H impacts can be tested. However, it should be noted that our experience of some sources available from public bodies shows that geo</w:t>
      </w:r>
      <w:r w:rsidR="00AD0C23" w:rsidRPr="00514EFA">
        <w:rPr>
          <w:rFonts w:cs="Arial"/>
        </w:rPr>
        <w:t>-</w:t>
      </w:r>
      <w:r w:rsidRPr="00514EFA">
        <w:rPr>
          <w:rFonts w:cs="Arial"/>
        </w:rPr>
        <w:t>referencing variables are not alwa</w:t>
      </w:r>
      <w:r w:rsidR="00AD0C23" w:rsidRPr="00514EFA">
        <w:rPr>
          <w:rFonts w:cs="Arial"/>
        </w:rPr>
        <w:t xml:space="preserve">ys fully populated or accurate. </w:t>
      </w:r>
      <w:r w:rsidRPr="00514EFA">
        <w:rPr>
          <w:rFonts w:cs="Arial"/>
        </w:rPr>
        <w:t>This points to a wider need to validate the sources used.</w:t>
      </w:r>
    </w:p>
    <w:p w14:paraId="755665E5" w14:textId="77777777" w:rsidR="00101F25" w:rsidRPr="00514EFA" w:rsidRDefault="00101F25" w:rsidP="00101F25">
      <w:pPr>
        <w:rPr>
          <w:rFonts w:cs="Arial"/>
        </w:rPr>
      </w:pPr>
      <w:r w:rsidRPr="00514EFA">
        <w:rPr>
          <w:rFonts w:cs="Arial"/>
        </w:rPr>
        <w:t>Time-series data on CS&amp;H assets is not readily available. Many data sources provide a recent snapshot of assets, without historical comparisons. In some cases, time series might be constructed by comparing historical versions of the datasets. In many cases, however, historical datasets are not available – this is particularly the case where data is sourced from a continuously updated database or from a commercial supplier.</w:t>
      </w:r>
    </w:p>
    <w:p w14:paraId="0E8FE83F" w14:textId="77777777" w:rsidR="00101F25" w:rsidRPr="00514EFA" w:rsidRDefault="00101F25" w:rsidP="00101F25">
      <w:pPr>
        <w:rPr>
          <w:rFonts w:cs="Arial"/>
        </w:rPr>
      </w:pPr>
      <w:r w:rsidRPr="00514EFA">
        <w:rPr>
          <w:rFonts w:cs="Arial"/>
        </w:rPr>
        <w:t>Data on the value of CS&amp;H assets is not readily available. Value indicators may be available on a case-study basis, though collating this data would require extensive desk research and is unlikely to provide a consistent picture across either the range of CS&amp;H assets or the places examined. It may be possible to match data sources in order to identify the economic value of commercial assets (e.g. turnover, GVA or output). However, the definition of ‘value’ needs to be considered and agreed – it may be that value is better defined in terms of usage or public perception/satisfaction, rather than in purely economic terms. One or more proxy indicators of value may need to be defined and suitable sources identified.</w:t>
      </w:r>
    </w:p>
    <w:p w14:paraId="41CD7BA6" w14:textId="74EA5CA8" w:rsidR="00101F25" w:rsidRPr="00514EFA" w:rsidRDefault="00101F25" w:rsidP="00101F25">
      <w:pPr>
        <w:rPr>
          <w:rFonts w:cs="Arial"/>
        </w:rPr>
      </w:pPr>
      <w:r w:rsidRPr="00514EFA">
        <w:rPr>
          <w:rFonts w:cs="Arial"/>
        </w:rPr>
        <w:t xml:space="preserve">It must also be recognised that examining stocks </w:t>
      </w:r>
      <w:r w:rsidRPr="00890A24">
        <w:rPr>
          <w:rFonts w:cs="Arial"/>
          <w:i/>
        </w:rPr>
        <w:t>and</w:t>
      </w:r>
      <w:r w:rsidRPr="00514EFA">
        <w:rPr>
          <w:rFonts w:cs="Arial"/>
        </w:rPr>
        <w:t xml:space="preserve"> flows, in terms of assets and investments (discussed below) will add value to the analysis.</w:t>
      </w:r>
      <w:r w:rsidR="00A033C6">
        <w:rPr>
          <w:rFonts w:cs="Arial"/>
        </w:rPr>
        <w:t xml:space="preserve"> </w:t>
      </w:r>
      <w:r w:rsidRPr="00514EFA">
        <w:rPr>
          <w:rFonts w:cs="Arial"/>
        </w:rPr>
        <w:t>The key implication is that longitudinal data would be required to examine flows.</w:t>
      </w:r>
    </w:p>
    <w:p w14:paraId="030D6314" w14:textId="77777777" w:rsidR="00101F25" w:rsidRPr="00514EFA" w:rsidRDefault="00101F25" w:rsidP="00101F25">
      <w:pPr>
        <w:rPr>
          <w:rFonts w:cs="Arial"/>
        </w:rPr>
      </w:pPr>
      <w:r w:rsidRPr="00514EFA">
        <w:rPr>
          <w:rFonts w:cs="Arial"/>
        </w:rPr>
        <w:t xml:space="preserve">Also, the measurement of the existence of an asset (at one or more points in time) is ‘easier’ than measuring quality, given the nature of available data. </w:t>
      </w:r>
    </w:p>
    <w:p w14:paraId="339EAC97" w14:textId="77777777" w:rsidR="00101F25" w:rsidRPr="00514EFA" w:rsidRDefault="00101F25" w:rsidP="00F0636B">
      <w:pPr>
        <w:pStyle w:val="Heading2Numbered"/>
      </w:pPr>
      <w:bookmarkStart w:id="139" w:name="_Toc417910960"/>
      <w:bookmarkStart w:id="140" w:name="_Toc464222955"/>
      <w:r w:rsidRPr="00514EFA">
        <w:t>Investment</w:t>
      </w:r>
      <w:bookmarkEnd w:id="139"/>
      <w:bookmarkEnd w:id="140"/>
    </w:p>
    <w:p w14:paraId="694FEAC8" w14:textId="77777777" w:rsidR="00101F25" w:rsidRPr="00514EFA" w:rsidRDefault="00101F25" w:rsidP="00101F25">
      <w:pPr>
        <w:rPr>
          <w:rFonts w:cs="Arial"/>
        </w:rPr>
      </w:pPr>
      <w:r w:rsidRPr="00514EFA">
        <w:rPr>
          <w:rFonts w:cs="Arial"/>
        </w:rPr>
        <w:t xml:space="preserve">Data on investment in CS&amp;H assets – and in particular, data on private investment – is less readily available than data relating to the type or location of assets themselves. As with data on value, investment data (including private investment) may be available on a case-study basis, though again collating this would require extensive desk research and is unlikely to provide a consistent picture across the range of CS&amp;H assets or the places examined. </w:t>
      </w:r>
    </w:p>
    <w:p w14:paraId="39EEE7E7" w14:textId="415FF498" w:rsidR="00101F25" w:rsidRPr="00514EFA" w:rsidRDefault="00101F25" w:rsidP="00101F25">
      <w:pPr>
        <w:rPr>
          <w:rFonts w:cs="Arial"/>
        </w:rPr>
      </w:pPr>
      <w:r w:rsidRPr="00514EFA">
        <w:rPr>
          <w:rFonts w:cs="Arial"/>
        </w:rPr>
        <w:t xml:space="preserve">Where it is available, investment data is often not specific to individual assets but is only available at aggregate levels. </w:t>
      </w:r>
      <w:r w:rsidR="00890A24">
        <w:rPr>
          <w:rFonts w:cs="Arial"/>
        </w:rPr>
        <w:t>T</w:t>
      </w:r>
      <w:r w:rsidRPr="00514EFA">
        <w:rPr>
          <w:rFonts w:cs="Arial"/>
        </w:rPr>
        <w:t xml:space="preserve">he availability of investment data </w:t>
      </w:r>
      <w:r w:rsidR="00890A24">
        <w:rPr>
          <w:rFonts w:cs="Arial"/>
        </w:rPr>
        <w:t>was a key</w:t>
      </w:r>
      <w:r w:rsidRPr="00514EFA">
        <w:rPr>
          <w:rFonts w:cs="Arial"/>
        </w:rPr>
        <w:t xml:space="preserve"> factor in determining the spatial level at which CS&amp;H impacts </w:t>
      </w:r>
      <w:r w:rsidR="00D91B68">
        <w:rPr>
          <w:rFonts w:cs="Arial"/>
        </w:rPr>
        <w:t>could</w:t>
      </w:r>
      <w:r w:rsidR="00D91B68" w:rsidRPr="00514EFA">
        <w:rPr>
          <w:rFonts w:cs="Arial"/>
        </w:rPr>
        <w:t xml:space="preserve"> </w:t>
      </w:r>
      <w:r w:rsidRPr="00514EFA">
        <w:rPr>
          <w:rFonts w:cs="Arial"/>
        </w:rPr>
        <w:t xml:space="preserve">be </w:t>
      </w:r>
      <w:r w:rsidR="00D91B68" w:rsidRPr="00514EFA">
        <w:rPr>
          <w:rFonts w:cs="Arial"/>
        </w:rPr>
        <w:t>teste</w:t>
      </w:r>
      <w:r w:rsidR="00C26CA6">
        <w:rPr>
          <w:rFonts w:cs="Arial"/>
        </w:rPr>
        <w:t>d</w:t>
      </w:r>
      <w:r w:rsidR="00D91B68">
        <w:rPr>
          <w:rFonts w:cs="Arial"/>
        </w:rPr>
        <w:t xml:space="preserve"> in this study</w:t>
      </w:r>
      <w:r w:rsidRPr="00514EFA">
        <w:rPr>
          <w:rFonts w:cs="Arial"/>
        </w:rPr>
        <w:t>.</w:t>
      </w:r>
      <w:r w:rsidR="00A033C6">
        <w:rPr>
          <w:rFonts w:cs="Arial"/>
        </w:rPr>
        <w:t xml:space="preserve"> </w:t>
      </w:r>
      <w:r w:rsidR="00D91B68">
        <w:rPr>
          <w:rFonts w:cs="Arial"/>
        </w:rPr>
        <w:t>T</w:t>
      </w:r>
      <w:r w:rsidRPr="00514EFA">
        <w:rPr>
          <w:rFonts w:cs="Arial"/>
        </w:rPr>
        <w:t>he most consistent source of investment data is on local authority expenditure, which would not allow analysis at spatial levels below local authority boundaries.</w:t>
      </w:r>
    </w:p>
    <w:p w14:paraId="1D435C51" w14:textId="77777777" w:rsidR="00101F25" w:rsidRPr="00514EFA" w:rsidRDefault="00101F25" w:rsidP="00101F25">
      <w:pPr>
        <w:rPr>
          <w:rFonts w:cs="Arial"/>
        </w:rPr>
      </w:pPr>
      <w:r w:rsidRPr="00514EFA">
        <w:rPr>
          <w:rFonts w:cs="Arial"/>
        </w:rPr>
        <w:t>It may be possible to use proxy indicators for investment. At the broadest level, for example, an increase in the number of CS&amp;H assets in a place would imply investment in the CS&amp;H infrastructure. However, the extent of investment is likely to be difficult to measure by proxy, and the suitability of proxy indicators needs further consideration.</w:t>
      </w:r>
    </w:p>
    <w:p w14:paraId="3C394945" w14:textId="77777777" w:rsidR="00101F25" w:rsidRPr="00514EFA" w:rsidRDefault="00101F25" w:rsidP="00F0636B">
      <w:pPr>
        <w:pStyle w:val="Heading2Numbered"/>
      </w:pPr>
      <w:bookmarkStart w:id="141" w:name="_Toc417910961"/>
      <w:bookmarkStart w:id="142" w:name="_Toc464222956"/>
      <w:r w:rsidRPr="00514EFA">
        <w:t>Dependent variables</w:t>
      </w:r>
      <w:bookmarkEnd w:id="141"/>
      <w:bookmarkEnd w:id="142"/>
    </w:p>
    <w:p w14:paraId="7CBCBE98" w14:textId="5B4C7B89" w:rsidR="00101F25" w:rsidRPr="00514EFA" w:rsidRDefault="00101F25" w:rsidP="00101F25">
      <w:pPr>
        <w:rPr>
          <w:rFonts w:cs="Arial"/>
        </w:rPr>
      </w:pPr>
      <w:r w:rsidRPr="00514EFA">
        <w:rPr>
          <w:rFonts w:cs="Arial"/>
        </w:rPr>
        <w:t xml:space="preserve">A wide range of data sources </w:t>
      </w:r>
      <w:r w:rsidR="00D91B68">
        <w:rPr>
          <w:rFonts w:cs="Arial"/>
        </w:rPr>
        <w:t>is</w:t>
      </w:r>
      <w:r w:rsidR="00D91B68" w:rsidRPr="00514EFA">
        <w:rPr>
          <w:rFonts w:cs="Arial"/>
        </w:rPr>
        <w:t xml:space="preserve"> </w:t>
      </w:r>
      <w:r w:rsidRPr="00514EFA">
        <w:rPr>
          <w:rFonts w:cs="Arial"/>
        </w:rPr>
        <w:t xml:space="preserve">available which can provide dependent variables (and control variables) for the analysis. These include data on business infrastructure and performance (including the Inter-Departmental Business Register as well as commercial datasets), demography, labour market indicators, indicators relating to quality of life and </w:t>
      </w:r>
      <w:proofErr w:type="gramStart"/>
      <w:r w:rsidRPr="00514EFA">
        <w:rPr>
          <w:rFonts w:cs="Arial"/>
        </w:rPr>
        <w:t>well-being</w:t>
      </w:r>
      <w:proofErr w:type="gramEnd"/>
      <w:r w:rsidRPr="00514EFA">
        <w:rPr>
          <w:rFonts w:cs="Arial"/>
        </w:rPr>
        <w:t>, and indicators relating to the local infrastructure. In most cases, data is freely available. In a few cases (e.g. availability and cost of business premises) the use of commercial datasets is needed.</w:t>
      </w:r>
    </w:p>
    <w:p w14:paraId="6FE8C7F3" w14:textId="7E060328" w:rsidR="00101F25" w:rsidRPr="00514EFA" w:rsidRDefault="00101F25" w:rsidP="00101F25">
      <w:pPr>
        <w:rPr>
          <w:rFonts w:cs="Arial"/>
        </w:rPr>
      </w:pPr>
      <w:r w:rsidRPr="00514EFA">
        <w:rPr>
          <w:rFonts w:cs="Arial"/>
        </w:rPr>
        <w:t xml:space="preserve">Data is available at various spatial levels, depending on the specific indicator and the source used. Data on business infrastructure and performance and data on demography is generally available at detailed spatial levels (though in the case </w:t>
      </w:r>
      <w:r w:rsidR="00D91B68">
        <w:rPr>
          <w:rFonts w:cs="Arial"/>
        </w:rPr>
        <w:br/>
      </w:r>
      <w:r w:rsidRPr="00514EFA">
        <w:rPr>
          <w:rFonts w:cs="Arial"/>
        </w:rPr>
        <w:t>of demography, time-series data at fine resolution is only available from the Census and therefore covers change over ten-year periods). Other data may only be available at local authority level and not for smaller geographies.</w:t>
      </w:r>
    </w:p>
    <w:p w14:paraId="504BA37F" w14:textId="77777777" w:rsidR="00101F25" w:rsidRPr="00514EFA" w:rsidRDefault="00101F25" w:rsidP="00F0636B">
      <w:pPr>
        <w:pStyle w:val="Heading2Numbered"/>
      </w:pPr>
      <w:bookmarkStart w:id="143" w:name="_Toc417910962"/>
      <w:bookmarkStart w:id="144" w:name="_Toc464222957"/>
      <w:r w:rsidRPr="00514EFA">
        <w:t>Conclusions</w:t>
      </w:r>
      <w:bookmarkEnd w:id="143"/>
      <w:bookmarkEnd w:id="144"/>
    </w:p>
    <w:p w14:paraId="00CC2079" w14:textId="3C254296" w:rsidR="00101F25" w:rsidRPr="00514EFA" w:rsidRDefault="00101F25" w:rsidP="00101F25">
      <w:pPr>
        <w:rPr>
          <w:rFonts w:cs="Arial"/>
        </w:rPr>
      </w:pPr>
      <w:r w:rsidRPr="00514EFA">
        <w:rPr>
          <w:rFonts w:cs="Arial"/>
        </w:rPr>
        <w:t xml:space="preserve">Identifying the CS&amp;H assets in a place is relatively straightforward, though a comprehensive picture </w:t>
      </w:r>
      <w:r w:rsidR="00D91B68">
        <w:rPr>
          <w:rFonts w:cs="Arial"/>
        </w:rPr>
        <w:t>needs</w:t>
      </w:r>
      <w:r w:rsidRPr="00514EFA">
        <w:rPr>
          <w:rFonts w:cs="Arial"/>
        </w:rPr>
        <w:t xml:space="preserve"> to be collated from a number of different data sources. Identifying changes in the number, type and quality of assets is more difficult. Similarly, developing a comprehensive picture of investment in CS&amp;H assets is also difficult. </w:t>
      </w:r>
      <w:r w:rsidR="00C65E4A">
        <w:rPr>
          <w:rFonts w:cs="Arial"/>
        </w:rPr>
        <w:t>D</w:t>
      </w:r>
      <w:r w:rsidR="00C65E4A" w:rsidRPr="00514EFA">
        <w:rPr>
          <w:rFonts w:cs="Arial"/>
        </w:rPr>
        <w:t xml:space="preserve">ata </w:t>
      </w:r>
      <w:r w:rsidRPr="00514EFA">
        <w:rPr>
          <w:rFonts w:cs="Arial"/>
        </w:rPr>
        <w:t xml:space="preserve">availability </w:t>
      </w:r>
      <w:r w:rsidR="00C26CA6">
        <w:rPr>
          <w:rFonts w:cs="Arial"/>
        </w:rPr>
        <w:t>was taken to</w:t>
      </w:r>
      <w:r w:rsidR="00C26CA6" w:rsidRPr="00514EFA">
        <w:rPr>
          <w:rFonts w:cs="Arial"/>
        </w:rPr>
        <w:t xml:space="preserve"> </w:t>
      </w:r>
      <w:r w:rsidRPr="00514EFA">
        <w:rPr>
          <w:rFonts w:cs="Arial"/>
        </w:rPr>
        <w:t>determine the specification for analysis.</w:t>
      </w:r>
    </w:p>
    <w:p w14:paraId="32067390" w14:textId="37C89474" w:rsidR="00101F25" w:rsidRPr="00514EFA" w:rsidRDefault="00101F25" w:rsidP="00101F25">
      <w:pPr>
        <w:rPr>
          <w:rFonts w:cs="Arial"/>
        </w:rPr>
      </w:pPr>
      <w:r w:rsidRPr="00514EFA">
        <w:rPr>
          <w:rFonts w:cs="Arial"/>
        </w:rPr>
        <w:t>A range of indicators is available to examine the impacts of CS&amp;H assets and investment. The available data will also allow impacts to be tested at a range of spatial levels</w:t>
      </w:r>
      <w:r w:rsidR="00C65E4A">
        <w:rPr>
          <w:rFonts w:cs="Arial"/>
        </w:rPr>
        <w:t>, though generally not robustly below local authority level</w:t>
      </w:r>
      <w:r w:rsidRPr="00514EFA">
        <w:rPr>
          <w:rFonts w:cs="Arial"/>
        </w:rPr>
        <w:t xml:space="preserve">. The specific indicators to be used as dependent and control variables </w:t>
      </w:r>
      <w:r w:rsidR="00C26CA6">
        <w:rPr>
          <w:rFonts w:cs="Arial"/>
        </w:rPr>
        <w:t>were</w:t>
      </w:r>
      <w:r w:rsidRPr="00514EFA">
        <w:rPr>
          <w:rFonts w:cs="Arial"/>
        </w:rPr>
        <w:t xml:space="preserve"> defined in line with the specification for analysis.</w:t>
      </w:r>
    </w:p>
    <w:p w14:paraId="658A6842" w14:textId="14FE0E16" w:rsidR="00101F25" w:rsidRPr="00514EFA" w:rsidRDefault="00101F25" w:rsidP="00101F25">
      <w:pPr>
        <w:rPr>
          <w:rFonts w:cs="Arial"/>
        </w:rPr>
      </w:pPr>
      <w:r w:rsidRPr="00514EFA">
        <w:rPr>
          <w:rFonts w:cs="Arial"/>
        </w:rPr>
        <w:t xml:space="preserve">The ecosystem presented </w:t>
      </w:r>
      <w:r w:rsidR="00C26CA6">
        <w:rPr>
          <w:rFonts w:cs="Arial"/>
        </w:rPr>
        <w:t xml:space="preserve">in section </w:t>
      </w:r>
      <w:r w:rsidR="00C26CA6">
        <w:rPr>
          <w:rFonts w:cs="Arial"/>
        </w:rPr>
        <w:fldChar w:fldCharType="begin"/>
      </w:r>
      <w:r w:rsidR="00C26CA6">
        <w:rPr>
          <w:rFonts w:cs="Arial"/>
        </w:rPr>
        <w:instrText xml:space="preserve"> REF _Ref464048813 \r \h </w:instrText>
      </w:r>
      <w:r w:rsidR="00C26CA6">
        <w:rPr>
          <w:rFonts w:cs="Arial"/>
        </w:rPr>
      </w:r>
      <w:r w:rsidR="00C26CA6">
        <w:rPr>
          <w:rFonts w:cs="Arial"/>
        </w:rPr>
        <w:fldChar w:fldCharType="separate"/>
      </w:r>
      <w:r w:rsidR="00F0636B">
        <w:rPr>
          <w:rFonts w:cs="Arial"/>
        </w:rPr>
        <w:t>2.3.3</w:t>
      </w:r>
      <w:r w:rsidR="00C26CA6">
        <w:rPr>
          <w:rFonts w:cs="Arial"/>
        </w:rPr>
        <w:fldChar w:fldCharType="end"/>
      </w:r>
      <w:r w:rsidR="00C26CA6">
        <w:rPr>
          <w:rFonts w:cs="Arial"/>
        </w:rPr>
        <w:t xml:space="preserve"> (p.</w:t>
      </w:r>
      <w:r w:rsidR="00C26CA6">
        <w:rPr>
          <w:rFonts w:cs="Arial"/>
        </w:rPr>
        <w:fldChar w:fldCharType="begin"/>
      </w:r>
      <w:r w:rsidR="00C26CA6">
        <w:rPr>
          <w:rFonts w:cs="Arial"/>
        </w:rPr>
        <w:instrText xml:space="preserve"> PAGEREF _Ref464048822 \h </w:instrText>
      </w:r>
      <w:r w:rsidR="00C26CA6">
        <w:rPr>
          <w:rFonts w:cs="Arial"/>
        </w:rPr>
      </w:r>
      <w:r w:rsidR="00C26CA6">
        <w:rPr>
          <w:rFonts w:cs="Arial"/>
        </w:rPr>
        <w:fldChar w:fldCharType="separate"/>
      </w:r>
      <w:r w:rsidR="00F0636B">
        <w:rPr>
          <w:rFonts w:cs="Arial"/>
          <w:noProof/>
        </w:rPr>
        <w:t>13</w:t>
      </w:r>
      <w:r w:rsidR="00C26CA6">
        <w:rPr>
          <w:rFonts w:cs="Arial"/>
        </w:rPr>
        <w:fldChar w:fldCharType="end"/>
      </w:r>
      <w:r w:rsidR="00C26CA6">
        <w:rPr>
          <w:rFonts w:cs="Arial"/>
        </w:rPr>
        <w:t>)</w:t>
      </w:r>
      <w:r w:rsidR="00C26CA6" w:rsidRPr="00514EFA">
        <w:rPr>
          <w:rFonts w:cs="Arial"/>
        </w:rPr>
        <w:t xml:space="preserve"> </w:t>
      </w:r>
      <w:proofErr w:type="gramStart"/>
      <w:r w:rsidRPr="00514EFA">
        <w:rPr>
          <w:rFonts w:cs="Arial"/>
        </w:rPr>
        <w:t>highlights</w:t>
      </w:r>
      <w:proofErr w:type="gramEnd"/>
      <w:r w:rsidRPr="00514EFA">
        <w:rPr>
          <w:rFonts w:cs="Arial"/>
        </w:rPr>
        <w:t xml:space="preserve"> some of the theoretical impacts of CS&amp;H assets/investments.</w:t>
      </w:r>
      <w:r w:rsidR="00A033C6">
        <w:rPr>
          <w:rFonts w:cs="Arial"/>
        </w:rPr>
        <w:t xml:space="preserve"> </w:t>
      </w:r>
      <w:r w:rsidR="00C26CA6">
        <w:rPr>
          <w:rFonts w:cs="Arial"/>
        </w:rPr>
        <w:t>T</w:t>
      </w:r>
      <w:r w:rsidRPr="00514EFA">
        <w:rPr>
          <w:rFonts w:cs="Arial"/>
        </w:rPr>
        <w:t xml:space="preserve">his study </w:t>
      </w:r>
      <w:r w:rsidR="00C26CA6">
        <w:rPr>
          <w:rFonts w:cs="Arial"/>
        </w:rPr>
        <w:t>presented an opportunity</w:t>
      </w:r>
      <w:r w:rsidR="00C26CA6" w:rsidRPr="00514EFA">
        <w:rPr>
          <w:rFonts w:cs="Arial"/>
        </w:rPr>
        <w:t xml:space="preserve"> </w:t>
      </w:r>
      <w:r w:rsidRPr="00514EFA">
        <w:rPr>
          <w:rFonts w:cs="Arial"/>
        </w:rPr>
        <w:t>to test a variety of these potential impacts to understand where relationships do and do not exist and then to focus in on strong relationships in order to understand how they are generated.</w:t>
      </w:r>
      <w:r w:rsidR="00C65E4A">
        <w:rPr>
          <w:rFonts w:cs="Arial"/>
        </w:rPr>
        <w:t xml:space="preserve"> </w:t>
      </w:r>
      <w:r w:rsidRPr="00514EFA">
        <w:rPr>
          <w:rFonts w:cs="Arial"/>
        </w:rPr>
        <w:t xml:space="preserve">In some cases, however, specific indicators </w:t>
      </w:r>
      <w:r w:rsidR="00C26CA6">
        <w:rPr>
          <w:rFonts w:cs="Arial"/>
        </w:rPr>
        <w:t>were</w:t>
      </w:r>
      <w:r w:rsidR="00C26CA6" w:rsidRPr="00514EFA">
        <w:rPr>
          <w:rFonts w:cs="Arial"/>
        </w:rPr>
        <w:t xml:space="preserve"> </w:t>
      </w:r>
      <w:r w:rsidRPr="00514EFA">
        <w:rPr>
          <w:rFonts w:cs="Arial"/>
        </w:rPr>
        <w:t>not available. This is the case</w:t>
      </w:r>
      <w:r w:rsidR="00C65E4A">
        <w:rPr>
          <w:rFonts w:cs="Arial"/>
        </w:rPr>
        <w:t>, for example,</w:t>
      </w:r>
      <w:r w:rsidRPr="00514EFA">
        <w:rPr>
          <w:rFonts w:cs="Arial"/>
        </w:rPr>
        <w:t xml:space="preserve"> in relation to independent and dependent variables relating to quality or value (e.g. the quality of the CS&amp;H offer). Where the data review </w:t>
      </w:r>
      <w:r w:rsidR="00C26CA6" w:rsidRPr="00514EFA">
        <w:rPr>
          <w:rFonts w:cs="Arial"/>
        </w:rPr>
        <w:t>identifie</w:t>
      </w:r>
      <w:r w:rsidR="00C26CA6">
        <w:rPr>
          <w:rFonts w:cs="Arial"/>
        </w:rPr>
        <w:t>d</w:t>
      </w:r>
      <w:r w:rsidR="00C26CA6" w:rsidRPr="00514EFA">
        <w:rPr>
          <w:rFonts w:cs="Arial"/>
        </w:rPr>
        <w:t xml:space="preserve"> </w:t>
      </w:r>
      <w:r w:rsidRPr="00514EFA">
        <w:rPr>
          <w:rFonts w:cs="Arial"/>
        </w:rPr>
        <w:t xml:space="preserve">a gap in the available data, a suitable proxy </w:t>
      </w:r>
      <w:r w:rsidR="00C26CA6">
        <w:rPr>
          <w:rFonts w:cs="Arial"/>
        </w:rPr>
        <w:t>was sought</w:t>
      </w:r>
      <w:r w:rsidRPr="00514EFA">
        <w:rPr>
          <w:rFonts w:cs="Arial"/>
        </w:rPr>
        <w:t>.</w:t>
      </w:r>
      <w:r w:rsidR="00A033C6">
        <w:rPr>
          <w:rFonts w:cs="Arial"/>
        </w:rPr>
        <w:t xml:space="preserve"> </w:t>
      </w:r>
      <w:r w:rsidR="00C26CA6">
        <w:rPr>
          <w:rFonts w:cs="Arial"/>
        </w:rPr>
        <w:t>However, t</w:t>
      </w:r>
      <w:r w:rsidR="00C26CA6" w:rsidRPr="00514EFA">
        <w:rPr>
          <w:rFonts w:cs="Arial"/>
        </w:rPr>
        <w:t xml:space="preserve">he </w:t>
      </w:r>
      <w:r w:rsidRPr="00514EFA">
        <w:rPr>
          <w:rFonts w:cs="Arial"/>
        </w:rPr>
        <w:t xml:space="preserve">analysis </w:t>
      </w:r>
      <w:r w:rsidR="00C26CA6">
        <w:rPr>
          <w:rFonts w:cs="Arial"/>
        </w:rPr>
        <w:t>was</w:t>
      </w:r>
      <w:r w:rsidRPr="00514EFA">
        <w:rPr>
          <w:rFonts w:cs="Arial"/>
        </w:rPr>
        <w:t xml:space="preserve"> driven by available data.</w:t>
      </w:r>
    </w:p>
    <w:p w14:paraId="349D7EEB" w14:textId="4D133437" w:rsidR="00C65E4A" w:rsidRPr="00514EFA" w:rsidRDefault="00101F25" w:rsidP="00C65E4A">
      <w:pPr>
        <w:rPr>
          <w:rFonts w:cs="Arial"/>
        </w:rPr>
      </w:pPr>
      <w:r w:rsidRPr="00514EFA">
        <w:rPr>
          <w:rFonts w:cs="Arial"/>
        </w:rPr>
        <w:t xml:space="preserve">It </w:t>
      </w:r>
      <w:r w:rsidR="00C65E4A">
        <w:rPr>
          <w:rFonts w:cs="Arial"/>
        </w:rPr>
        <w:t>was recognised</w:t>
      </w:r>
      <w:r w:rsidRPr="00514EFA">
        <w:rPr>
          <w:rFonts w:cs="Arial"/>
        </w:rPr>
        <w:t xml:space="preserve"> that the process of reviewing data sources and developing a specification for the analysis </w:t>
      </w:r>
      <w:r w:rsidR="00C65E4A">
        <w:rPr>
          <w:rFonts w:cs="Arial"/>
        </w:rPr>
        <w:t>should be</w:t>
      </w:r>
      <w:r w:rsidR="00C65E4A" w:rsidRPr="00514EFA">
        <w:rPr>
          <w:rFonts w:cs="Arial"/>
        </w:rPr>
        <w:t xml:space="preserve"> </w:t>
      </w:r>
      <w:r w:rsidRPr="00514EFA">
        <w:rPr>
          <w:rFonts w:cs="Arial"/>
        </w:rPr>
        <w:t>an iterative one</w:t>
      </w:r>
      <w:r w:rsidR="00C65E4A">
        <w:rPr>
          <w:rFonts w:cs="Arial"/>
        </w:rPr>
        <w:t>, with</w:t>
      </w:r>
      <w:r w:rsidRPr="00514EFA">
        <w:rPr>
          <w:rFonts w:cs="Arial"/>
        </w:rPr>
        <w:t xml:space="preserve"> each </w:t>
      </w:r>
      <w:r w:rsidR="00C65E4A" w:rsidRPr="00514EFA">
        <w:rPr>
          <w:rFonts w:cs="Arial"/>
        </w:rPr>
        <w:t>inform</w:t>
      </w:r>
      <w:r w:rsidR="00C65E4A">
        <w:rPr>
          <w:rFonts w:cs="Arial"/>
        </w:rPr>
        <w:t>ing</w:t>
      </w:r>
      <w:r w:rsidR="00C65E4A" w:rsidRPr="00514EFA">
        <w:rPr>
          <w:rFonts w:cs="Arial"/>
        </w:rPr>
        <w:t xml:space="preserve"> </w:t>
      </w:r>
      <w:r w:rsidRPr="00514EFA">
        <w:rPr>
          <w:rFonts w:cs="Arial"/>
        </w:rPr>
        <w:t xml:space="preserve">the other. A data </w:t>
      </w:r>
      <w:proofErr w:type="gramStart"/>
      <w:r w:rsidRPr="00514EFA">
        <w:rPr>
          <w:rFonts w:cs="Arial"/>
        </w:rPr>
        <w:t>specification which describes the indicators</w:t>
      </w:r>
      <w:proofErr w:type="gramEnd"/>
      <w:r w:rsidRPr="00514EFA">
        <w:rPr>
          <w:rFonts w:cs="Arial"/>
        </w:rPr>
        <w:t xml:space="preserve"> to be used in the analysis and the sources from which they are drawn </w:t>
      </w:r>
      <w:r w:rsidR="00C65E4A">
        <w:rPr>
          <w:rFonts w:cs="Arial"/>
        </w:rPr>
        <w:t>was</w:t>
      </w:r>
      <w:r w:rsidRPr="00514EFA">
        <w:rPr>
          <w:rFonts w:cs="Arial"/>
        </w:rPr>
        <w:t xml:space="preserve"> developed as </w:t>
      </w:r>
      <w:r w:rsidR="00C65E4A">
        <w:rPr>
          <w:rFonts w:cs="Arial"/>
        </w:rPr>
        <w:t>the study</w:t>
      </w:r>
      <w:r w:rsidR="00C65E4A" w:rsidRPr="00514EFA">
        <w:rPr>
          <w:rFonts w:cs="Arial"/>
        </w:rPr>
        <w:t xml:space="preserve"> </w:t>
      </w:r>
      <w:r w:rsidRPr="00514EFA">
        <w:rPr>
          <w:rFonts w:cs="Arial"/>
        </w:rPr>
        <w:t>progress</w:t>
      </w:r>
      <w:r w:rsidR="00C65E4A">
        <w:rPr>
          <w:rFonts w:cs="Arial"/>
        </w:rPr>
        <w:t>ed</w:t>
      </w:r>
      <w:r w:rsidRPr="00514EFA">
        <w:rPr>
          <w:rFonts w:cs="Arial"/>
        </w:rPr>
        <w:t>.</w:t>
      </w:r>
      <w:r w:rsidR="00C65E4A">
        <w:rPr>
          <w:rFonts w:eastAsiaTheme="minorHAnsi" w:cs="Arial"/>
        </w:rPr>
        <w:t xml:space="preserve"> Details of the dataset used in the analysis can be found in section </w:t>
      </w:r>
      <w:r w:rsidR="00C65E4A">
        <w:rPr>
          <w:rFonts w:eastAsiaTheme="minorHAnsi" w:cs="Arial"/>
        </w:rPr>
        <w:fldChar w:fldCharType="begin"/>
      </w:r>
      <w:r w:rsidR="00C65E4A">
        <w:rPr>
          <w:rFonts w:eastAsiaTheme="minorHAnsi" w:cs="Arial"/>
        </w:rPr>
        <w:instrText xml:space="preserve"> REF _Ref460261622 \r \h </w:instrText>
      </w:r>
      <w:r w:rsidR="00C65E4A">
        <w:rPr>
          <w:rFonts w:eastAsiaTheme="minorHAnsi" w:cs="Arial"/>
        </w:rPr>
      </w:r>
      <w:r w:rsidR="00C65E4A">
        <w:rPr>
          <w:rFonts w:eastAsiaTheme="minorHAnsi" w:cs="Arial"/>
        </w:rPr>
        <w:fldChar w:fldCharType="separate"/>
      </w:r>
      <w:r w:rsidR="00F0636B">
        <w:rPr>
          <w:rFonts w:eastAsiaTheme="minorHAnsi" w:cs="Arial"/>
        </w:rPr>
        <w:t>11:</w:t>
      </w:r>
      <w:r w:rsidR="00C65E4A">
        <w:rPr>
          <w:rFonts w:eastAsiaTheme="minorHAnsi" w:cs="Arial"/>
        </w:rPr>
        <w:fldChar w:fldCharType="end"/>
      </w:r>
      <w:r w:rsidR="00C65E4A">
        <w:rPr>
          <w:rFonts w:eastAsiaTheme="minorHAnsi" w:cs="Arial"/>
        </w:rPr>
        <w:t xml:space="preserve"> (p.</w:t>
      </w:r>
      <w:r w:rsidR="00C65E4A">
        <w:rPr>
          <w:rFonts w:eastAsiaTheme="minorHAnsi" w:cs="Arial"/>
        </w:rPr>
        <w:fldChar w:fldCharType="begin"/>
      </w:r>
      <w:r w:rsidR="00C65E4A">
        <w:rPr>
          <w:rFonts w:eastAsiaTheme="minorHAnsi" w:cs="Arial"/>
        </w:rPr>
        <w:instrText xml:space="preserve"> PAGEREF _Ref460261622 \h </w:instrText>
      </w:r>
      <w:r w:rsidR="00C65E4A">
        <w:rPr>
          <w:rFonts w:eastAsiaTheme="minorHAnsi" w:cs="Arial"/>
        </w:rPr>
      </w:r>
      <w:r w:rsidR="00C65E4A">
        <w:rPr>
          <w:rFonts w:eastAsiaTheme="minorHAnsi" w:cs="Arial"/>
        </w:rPr>
        <w:fldChar w:fldCharType="separate"/>
      </w:r>
      <w:r w:rsidR="00F0636B">
        <w:rPr>
          <w:rFonts w:eastAsiaTheme="minorHAnsi" w:cs="Arial"/>
          <w:noProof/>
        </w:rPr>
        <w:t>102</w:t>
      </w:r>
      <w:r w:rsidR="00C65E4A">
        <w:rPr>
          <w:rFonts w:eastAsiaTheme="minorHAnsi" w:cs="Arial"/>
        </w:rPr>
        <w:fldChar w:fldCharType="end"/>
      </w:r>
      <w:r w:rsidR="00C65E4A">
        <w:rPr>
          <w:rFonts w:eastAsiaTheme="minorHAnsi" w:cs="Arial"/>
        </w:rPr>
        <w:t>).</w:t>
      </w:r>
    </w:p>
    <w:p w14:paraId="75358BBF" w14:textId="77777777" w:rsidR="004E0FEF" w:rsidRPr="00514EFA" w:rsidRDefault="004E0FEF" w:rsidP="00EC6821">
      <w:pPr>
        <w:widowControl w:val="0"/>
        <w:autoSpaceDE w:val="0"/>
        <w:autoSpaceDN w:val="0"/>
        <w:adjustRightInd w:val="0"/>
        <w:spacing w:before="0" w:after="120" w:line="276" w:lineRule="auto"/>
        <w:ind w:left="0"/>
        <w:contextualSpacing/>
        <w:rPr>
          <w:rFonts w:eastAsia="Calibri" w:cs="Arial"/>
          <w:szCs w:val="22"/>
        </w:rPr>
      </w:pPr>
    </w:p>
    <w:p w14:paraId="4A99BC68" w14:textId="77777777" w:rsidR="0030150C" w:rsidRPr="00514EFA" w:rsidRDefault="0030150C" w:rsidP="0030150C">
      <w:pPr>
        <w:pStyle w:val="Heading2Numbered"/>
        <w:rPr>
          <w:rFonts w:eastAsia="Calibri"/>
        </w:rPr>
      </w:pPr>
      <w:r w:rsidRPr="00514EFA">
        <w:rPr>
          <w:rFonts w:eastAsia="Calibri"/>
        </w:rPr>
        <w:br w:type="page"/>
      </w:r>
    </w:p>
    <w:p w14:paraId="223F2183" w14:textId="481091D3" w:rsidR="004E0FEF" w:rsidRPr="00514EFA" w:rsidRDefault="003318C7" w:rsidP="00F0636B">
      <w:pPr>
        <w:pStyle w:val="Heading1Numbered"/>
        <w:rPr>
          <w:rFonts w:eastAsia="Calibri"/>
        </w:rPr>
      </w:pPr>
      <w:bookmarkStart w:id="145" w:name="_Toc464222958"/>
      <w:r>
        <w:rPr>
          <w:rFonts w:eastAsia="Calibri"/>
        </w:rPr>
        <w:t xml:space="preserve">Appendix </w:t>
      </w:r>
      <w:r w:rsidR="00C17BF2">
        <w:rPr>
          <w:rFonts w:eastAsia="Calibri"/>
        </w:rPr>
        <w:t>V</w:t>
      </w:r>
      <w:r w:rsidR="0030150C" w:rsidRPr="00514EFA">
        <w:rPr>
          <w:rFonts w:eastAsia="Calibri"/>
        </w:rPr>
        <w:t xml:space="preserve"> – </w:t>
      </w:r>
      <w:r w:rsidR="00F922D0" w:rsidRPr="00514EFA">
        <w:rPr>
          <w:rFonts w:eastAsia="Calibri"/>
        </w:rPr>
        <w:t xml:space="preserve">Sector </w:t>
      </w:r>
      <w:r w:rsidR="0030150C" w:rsidRPr="00514EFA">
        <w:rPr>
          <w:rFonts w:eastAsia="Calibri"/>
        </w:rPr>
        <w:t>definition</w:t>
      </w:r>
      <w:r w:rsidR="00F922D0" w:rsidRPr="00514EFA">
        <w:rPr>
          <w:rFonts w:eastAsia="Calibri"/>
        </w:rPr>
        <w:t>s</w:t>
      </w:r>
      <w:bookmarkEnd w:id="145"/>
    </w:p>
    <w:p w14:paraId="598C52B8" w14:textId="4B853568" w:rsidR="00F922D0" w:rsidRPr="00514EFA" w:rsidRDefault="00F922D0" w:rsidP="00F922D0">
      <w:pPr>
        <w:rPr>
          <w:rFonts w:eastAsia="Calibri" w:cs="Arial"/>
        </w:rPr>
      </w:pPr>
      <w:r w:rsidRPr="00514EFA">
        <w:rPr>
          <w:rFonts w:eastAsia="Calibri" w:cs="Arial"/>
        </w:rPr>
        <w:t xml:space="preserve">This section provides </w:t>
      </w:r>
      <w:r w:rsidR="00C65E4A">
        <w:rPr>
          <w:rFonts w:eastAsia="Calibri" w:cs="Arial"/>
        </w:rPr>
        <w:t>Standard Industrial Classification</w:t>
      </w:r>
      <w:r w:rsidR="00C65E4A" w:rsidRPr="00514EFA">
        <w:rPr>
          <w:rFonts w:eastAsia="Calibri" w:cs="Arial"/>
        </w:rPr>
        <w:t xml:space="preserve"> </w:t>
      </w:r>
      <w:r w:rsidRPr="00514EFA">
        <w:rPr>
          <w:rFonts w:eastAsia="Calibri" w:cs="Arial"/>
        </w:rPr>
        <w:t>definitions for the four sectors tested in the analysis: creative industries, knowledge industries, tourism and professional services.</w:t>
      </w:r>
    </w:p>
    <w:p w14:paraId="6779E388" w14:textId="77777777" w:rsidR="00E3489C" w:rsidRPr="00514EFA" w:rsidRDefault="00E3489C" w:rsidP="00F0636B">
      <w:pPr>
        <w:pStyle w:val="Heading2Numbered"/>
      </w:pPr>
      <w:bookmarkStart w:id="146" w:name="_Toc464222959"/>
      <w:r w:rsidRPr="00514EFA">
        <w:t>Creative Industries</w:t>
      </w:r>
      <w:bookmarkEnd w:id="146"/>
    </w:p>
    <w:p w14:paraId="4A1AD456" w14:textId="77777777" w:rsidR="00E3489C" w:rsidRPr="00514EFA" w:rsidRDefault="00E3489C" w:rsidP="00E3489C">
      <w:pPr>
        <w:rPr>
          <w:rFonts w:cs="Arial"/>
        </w:rPr>
      </w:pPr>
      <w:r>
        <w:rPr>
          <w:rFonts w:cs="Arial"/>
        </w:rPr>
        <w:t>Analysis is based on the DCMS definition of the Creative Industries</w:t>
      </w:r>
      <w:r>
        <w:rPr>
          <w:rStyle w:val="FootnoteReference"/>
          <w:rFonts w:cs="Arial"/>
        </w:rPr>
        <w:footnoteReference w:id="40"/>
      </w:r>
      <w:r>
        <w:rPr>
          <w:rFonts w:cs="Arial"/>
        </w:rPr>
        <w:t>. T</w:t>
      </w:r>
      <w:r w:rsidRPr="00514EFA">
        <w:rPr>
          <w:rFonts w:cs="Arial"/>
        </w:rPr>
        <w:t>ier 1 is the standard definition used unless specified otherwise. Tier 2 and 3 industries were successively added to test the robustness of the analysis.</w:t>
      </w:r>
    </w:p>
    <w:p w14:paraId="0250D1B8" w14:textId="77777777" w:rsidR="00E3489C" w:rsidRPr="00514EFA" w:rsidRDefault="00E3489C" w:rsidP="00E3489C">
      <w:pPr>
        <w:rPr>
          <w:rFonts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512"/>
        <w:gridCol w:w="993"/>
      </w:tblGrid>
      <w:tr w:rsidR="00E3489C" w:rsidRPr="006C0A42" w14:paraId="69FEA00E" w14:textId="77777777" w:rsidTr="00D262DC">
        <w:trPr>
          <w:trHeight w:val="300"/>
          <w:tblHeader/>
        </w:trPr>
        <w:tc>
          <w:tcPr>
            <w:tcW w:w="1101" w:type="dxa"/>
            <w:shd w:val="clear" w:color="auto" w:fill="auto"/>
            <w:noWrap/>
            <w:vAlign w:val="center"/>
            <w:hideMark/>
          </w:tcPr>
          <w:p w14:paraId="718A3796" w14:textId="74C6F91F" w:rsidR="00E3489C" w:rsidRPr="006C0A42" w:rsidRDefault="00C26CA6" w:rsidP="00FA72FB">
            <w:pPr>
              <w:spacing w:before="20" w:after="20"/>
              <w:ind w:hanging="1361"/>
              <w:jc w:val="center"/>
              <w:rPr>
                <w:rFonts w:cs="Arial"/>
                <w:b/>
                <w:bCs/>
                <w:sz w:val="18"/>
                <w:szCs w:val="18"/>
                <w:lang w:eastAsia="en-GB"/>
              </w:rPr>
            </w:pPr>
            <w:r>
              <w:rPr>
                <w:rFonts w:cs="Arial"/>
                <w:b/>
                <w:bCs/>
                <w:sz w:val="18"/>
                <w:szCs w:val="18"/>
                <w:lang w:eastAsia="en-GB"/>
              </w:rPr>
              <w:t>SIC07</w:t>
            </w:r>
          </w:p>
        </w:tc>
        <w:tc>
          <w:tcPr>
            <w:tcW w:w="7512" w:type="dxa"/>
            <w:shd w:val="clear" w:color="auto" w:fill="auto"/>
            <w:noWrap/>
            <w:vAlign w:val="center"/>
            <w:hideMark/>
          </w:tcPr>
          <w:p w14:paraId="5E837B17" w14:textId="77777777" w:rsidR="00E3489C" w:rsidRPr="006C0A42" w:rsidRDefault="00E3489C" w:rsidP="00C26CA6">
            <w:pPr>
              <w:spacing w:before="20" w:after="20"/>
              <w:ind w:left="33"/>
              <w:rPr>
                <w:rFonts w:cs="Arial"/>
                <w:b/>
                <w:bCs/>
                <w:sz w:val="18"/>
                <w:szCs w:val="18"/>
                <w:lang w:eastAsia="en-GB"/>
              </w:rPr>
            </w:pPr>
            <w:r w:rsidRPr="006C0A42">
              <w:rPr>
                <w:rFonts w:cs="Arial"/>
                <w:b/>
                <w:bCs/>
                <w:sz w:val="18"/>
                <w:szCs w:val="18"/>
                <w:lang w:eastAsia="en-GB"/>
              </w:rPr>
              <w:t>Description</w:t>
            </w:r>
          </w:p>
        </w:tc>
        <w:tc>
          <w:tcPr>
            <w:tcW w:w="993" w:type="dxa"/>
            <w:shd w:val="clear" w:color="auto" w:fill="auto"/>
            <w:noWrap/>
            <w:vAlign w:val="center"/>
            <w:hideMark/>
          </w:tcPr>
          <w:p w14:paraId="75160D06" w14:textId="77777777" w:rsidR="00E3489C" w:rsidRPr="006C0A42" w:rsidRDefault="00E3489C" w:rsidP="00FA72FB">
            <w:pPr>
              <w:spacing w:before="20" w:after="20"/>
              <w:ind w:hanging="1327"/>
              <w:jc w:val="center"/>
              <w:rPr>
                <w:rFonts w:cs="Arial"/>
                <w:b/>
                <w:bCs/>
                <w:sz w:val="18"/>
                <w:szCs w:val="18"/>
                <w:lang w:eastAsia="en-GB"/>
              </w:rPr>
            </w:pPr>
            <w:r w:rsidRPr="006C0A42">
              <w:rPr>
                <w:rFonts w:cs="Arial"/>
                <w:b/>
                <w:bCs/>
                <w:sz w:val="18"/>
                <w:szCs w:val="18"/>
                <w:lang w:eastAsia="en-GB"/>
              </w:rPr>
              <w:t>Tier</w:t>
            </w:r>
          </w:p>
        </w:tc>
      </w:tr>
      <w:tr w:rsidR="00E3489C" w:rsidRPr="006C0A42" w14:paraId="243C6E07" w14:textId="77777777" w:rsidTr="00D262DC">
        <w:trPr>
          <w:trHeight w:val="300"/>
        </w:trPr>
        <w:tc>
          <w:tcPr>
            <w:tcW w:w="1101" w:type="dxa"/>
            <w:shd w:val="clear" w:color="auto" w:fill="auto"/>
            <w:noWrap/>
            <w:vAlign w:val="center"/>
            <w:hideMark/>
          </w:tcPr>
          <w:p w14:paraId="684F231B"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32120</w:t>
            </w:r>
          </w:p>
        </w:tc>
        <w:tc>
          <w:tcPr>
            <w:tcW w:w="7512" w:type="dxa"/>
            <w:shd w:val="clear" w:color="auto" w:fill="auto"/>
            <w:noWrap/>
            <w:vAlign w:val="center"/>
            <w:hideMark/>
          </w:tcPr>
          <w:p w14:paraId="3F02C3D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Manufacture of jewellery and related articles</w:t>
            </w:r>
          </w:p>
        </w:tc>
        <w:tc>
          <w:tcPr>
            <w:tcW w:w="993" w:type="dxa"/>
            <w:shd w:val="clear" w:color="auto" w:fill="auto"/>
            <w:noWrap/>
            <w:vAlign w:val="center"/>
            <w:hideMark/>
          </w:tcPr>
          <w:p w14:paraId="681FBA5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FFDC53E" w14:textId="77777777" w:rsidTr="00D262DC">
        <w:trPr>
          <w:trHeight w:val="300"/>
        </w:trPr>
        <w:tc>
          <w:tcPr>
            <w:tcW w:w="1101" w:type="dxa"/>
            <w:shd w:val="clear" w:color="auto" w:fill="auto"/>
            <w:noWrap/>
            <w:vAlign w:val="center"/>
            <w:hideMark/>
          </w:tcPr>
          <w:p w14:paraId="3D55D4E4"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32300</w:t>
            </w:r>
          </w:p>
        </w:tc>
        <w:tc>
          <w:tcPr>
            <w:tcW w:w="7512" w:type="dxa"/>
            <w:shd w:val="clear" w:color="auto" w:fill="auto"/>
            <w:noWrap/>
            <w:vAlign w:val="center"/>
            <w:hideMark/>
          </w:tcPr>
          <w:p w14:paraId="20D4FA3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Manufacture of sports goods</w:t>
            </w:r>
          </w:p>
        </w:tc>
        <w:tc>
          <w:tcPr>
            <w:tcW w:w="993" w:type="dxa"/>
            <w:shd w:val="clear" w:color="auto" w:fill="auto"/>
            <w:noWrap/>
            <w:vAlign w:val="center"/>
            <w:hideMark/>
          </w:tcPr>
          <w:p w14:paraId="258F92C1"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1DDF322" w14:textId="77777777" w:rsidTr="00D262DC">
        <w:trPr>
          <w:trHeight w:val="300"/>
        </w:trPr>
        <w:tc>
          <w:tcPr>
            <w:tcW w:w="1101" w:type="dxa"/>
            <w:shd w:val="clear" w:color="auto" w:fill="auto"/>
            <w:noWrap/>
            <w:vAlign w:val="center"/>
            <w:hideMark/>
          </w:tcPr>
          <w:p w14:paraId="158487CF"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58110</w:t>
            </w:r>
          </w:p>
        </w:tc>
        <w:tc>
          <w:tcPr>
            <w:tcW w:w="7512" w:type="dxa"/>
            <w:shd w:val="clear" w:color="auto" w:fill="auto"/>
            <w:noWrap/>
            <w:vAlign w:val="center"/>
            <w:hideMark/>
          </w:tcPr>
          <w:p w14:paraId="185AD117"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Book publishing</w:t>
            </w:r>
          </w:p>
        </w:tc>
        <w:tc>
          <w:tcPr>
            <w:tcW w:w="993" w:type="dxa"/>
            <w:shd w:val="clear" w:color="auto" w:fill="auto"/>
            <w:noWrap/>
            <w:vAlign w:val="center"/>
            <w:hideMark/>
          </w:tcPr>
          <w:p w14:paraId="6F141E5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E59598C" w14:textId="77777777" w:rsidTr="00D262DC">
        <w:trPr>
          <w:trHeight w:val="300"/>
        </w:trPr>
        <w:tc>
          <w:tcPr>
            <w:tcW w:w="1101" w:type="dxa"/>
            <w:shd w:val="clear" w:color="auto" w:fill="auto"/>
            <w:noWrap/>
            <w:vAlign w:val="center"/>
            <w:hideMark/>
          </w:tcPr>
          <w:p w14:paraId="6AC54A46"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58120</w:t>
            </w:r>
          </w:p>
        </w:tc>
        <w:tc>
          <w:tcPr>
            <w:tcW w:w="7512" w:type="dxa"/>
            <w:shd w:val="clear" w:color="auto" w:fill="auto"/>
            <w:noWrap/>
            <w:vAlign w:val="center"/>
            <w:hideMark/>
          </w:tcPr>
          <w:p w14:paraId="2DBF411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Publishing of directories and mailing lists</w:t>
            </w:r>
          </w:p>
        </w:tc>
        <w:tc>
          <w:tcPr>
            <w:tcW w:w="993" w:type="dxa"/>
            <w:shd w:val="clear" w:color="auto" w:fill="auto"/>
            <w:noWrap/>
            <w:vAlign w:val="center"/>
            <w:hideMark/>
          </w:tcPr>
          <w:p w14:paraId="1D2FD05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7B502F5" w14:textId="77777777" w:rsidTr="00D262DC">
        <w:trPr>
          <w:trHeight w:val="300"/>
        </w:trPr>
        <w:tc>
          <w:tcPr>
            <w:tcW w:w="1101" w:type="dxa"/>
            <w:shd w:val="clear" w:color="auto" w:fill="auto"/>
            <w:noWrap/>
            <w:vAlign w:val="center"/>
            <w:hideMark/>
          </w:tcPr>
          <w:p w14:paraId="54CD40ED"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58130</w:t>
            </w:r>
          </w:p>
        </w:tc>
        <w:tc>
          <w:tcPr>
            <w:tcW w:w="7512" w:type="dxa"/>
            <w:shd w:val="clear" w:color="auto" w:fill="auto"/>
            <w:noWrap/>
            <w:vAlign w:val="center"/>
            <w:hideMark/>
          </w:tcPr>
          <w:p w14:paraId="6140A19B"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Publishing of newspapers</w:t>
            </w:r>
          </w:p>
        </w:tc>
        <w:tc>
          <w:tcPr>
            <w:tcW w:w="993" w:type="dxa"/>
            <w:shd w:val="clear" w:color="auto" w:fill="auto"/>
            <w:noWrap/>
            <w:vAlign w:val="center"/>
            <w:hideMark/>
          </w:tcPr>
          <w:p w14:paraId="0784AB8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81E3C42" w14:textId="77777777" w:rsidTr="00D262DC">
        <w:trPr>
          <w:trHeight w:val="300"/>
        </w:trPr>
        <w:tc>
          <w:tcPr>
            <w:tcW w:w="1101" w:type="dxa"/>
            <w:shd w:val="clear" w:color="auto" w:fill="auto"/>
            <w:noWrap/>
            <w:vAlign w:val="center"/>
            <w:hideMark/>
          </w:tcPr>
          <w:p w14:paraId="463F2B39"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58141</w:t>
            </w:r>
          </w:p>
        </w:tc>
        <w:tc>
          <w:tcPr>
            <w:tcW w:w="7512" w:type="dxa"/>
            <w:shd w:val="clear" w:color="auto" w:fill="auto"/>
            <w:noWrap/>
            <w:vAlign w:val="center"/>
            <w:hideMark/>
          </w:tcPr>
          <w:p w14:paraId="006A08B8"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Publishing of learned journals</w:t>
            </w:r>
          </w:p>
        </w:tc>
        <w:tc>
          <w:tcPr>
            <w:tcW w:w="993" w:type="dxa"/>
            <w:shd w:val="clear" w:color="auto" w:fill="auto"/>
            <w:noWrap/>
            <w:vAlign w:val="center"/>
            <w:hideMark/>
          </w:tcPr>
          <w:p w14:paraId="7EDD3A9B"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669F1281" w14:textId="77777777" w:rsidTr="00D262DC">
        <w:trPr>
          <w:trHeight w:val="300"/>
        </w:trPr>
        <w:tc>
          <w:tcPr>
            <w:tcW w:w="1101" w:type="dxa"/>
            <w:shd w:val="clear" w:color="auto" w:fill="auto"/>
            <w:noWrap/>
            <w:vAlign w:val="center"/>
            <w:hideMark/>
          </w:tcPr>
          <w:p w14:paraId="0AFA59B7"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58142</w:t>
            </w:r>
          </w:p>
        </w:tc>
        <w:tc>
          <w:tcPr>
            <w:tcW w:w="7512" w:type="dxa"/>
            <w:shd w:val="clear" w:color="auto" w:fill="auto"/>
            <w:noWrap/>
            <w:vAlign w:val="center"/>
            <w:hideMark/>
          </w:tcPr>
          <w:p w14:paraId="41507BA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Publishing of consumer and business journals and periodicals</w:t>
            </w:r>
          </w:p>
        </w:tc>
        <w:tc>
          <w:tcPr>
            <w:tcW w:w="993" w:type="dxa"/>
            <w:shd w:val="clear" w:color="auto" w:fill="auto"/>
            <w:noWrap/>
            <w:vAlign w:val="center"/>
            <w:hideMark/>
          </w:tcPr>
          <w:p w14:paraId="47A3812A"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53551EB" w14:textId="77777777" w:rsidTr="00D262DC">
        <w:trPr>
          <w:trHeight w:val="300"/>
        </w:trPr>
        <w:tc>
          <w:tcPr>
            <w:tcW w:w="1101" w:type="dxa"/>
            <w:shd w:val="clear" w:color="auto" w:fill="auto"/>
            <w:noWrap/>
            <w:vAlign w:val="center"/>
            <w:hideMark/>
          </w:tcPr>
          <w:p w14:paraId="7F95CE6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58190</w:t>
            </w:r>
          </w:p>
        </w:tc>
        <w:tc>
          <w:tcPr>
            <w:tcW w:w="7512" w:type="dxa"/>
            <w:shd w:val="clear" w:color="auto" w:fill="auto"/>
            <w:noWrap/>
            <w:vAlign w:val="center"/>
            <w:hideMark/>
          </w:tcPr>
          <w:p w14:paraId="311D3D8F"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Other publishing activities</w:t>
            </w:r>
          </w:p>
        </w:tc>
        <w:tc>
          <w:tcPr>
            <w:tcW w:w="993" w:type="dxa"/>
            <w:shd w:val="clear" w:color="auto" w:fill="auto"/>
            <w:noWrap/>
            <w:vAlign w:val="center"/>
            <w:hideMark/>
          </w:tcPr>
          <w:p w14:paraId="49CF6A7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AF9C3DF" w14:textId="77777777" w:rsidTr="00D262DC">
        <w:trPr>
          <w:trHeight w:val="300"/>
        </w:trPr>
        <w:tc>
          <w:tcPr>
            <w:tcW w:w="1101" w:type="dxa"/>
            <w:shd w:val="clear" w:color="auto" w:fill="auto"/>
            <w:noWrap/>
            <w:vAlign w:val="center"/>
            <w:hideMark/>
          </w:tcPr>
          <w:p w14:paraId="59947EA9"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58210</w:t>
            </w:r>
          </w:p>
        </w:tc>
        <w:tc>
          <w:tcPr>
            <w:tcW w:w="7512" w:type="dxa"/>
            <w:shd w:val="clear" w:color="auto" w:fill="auto"/>
            <w:noWrap/>
            <w:vAlign w:val="center"/>
            <w:hideMark/>
          </w:tcPr>
          <w:p w14:paraId="30CBEE84"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Publishing of computer games</w:t>
            </w:r>
          </w:p>
        </w:tc>
        <w:tc>
          <w:tcPr>
            <w:tcW w:w="993" w:type="dxa"/>
            <w:shd w:val="clear" w:color="auto" w:fill="auto"/>
            <w:noWrap/>
            <w:vAlign w:val="center"/>
            <w:hideMark/>
          </w:tcPr>
          <w:p w14:paraId="1A89FE9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96F3F61" w14:textId="77777777" w:rsidTr="00D262DC">
        <w:trPr>
          <w:trHeight w:val="300"/>
        </w:trPr>
        <w:tc>
          <w:tcPr>
            <w:tcW w:w="1101" w:type="dxa"/>
            <w:shd w:val="clear" w:color="auto" w:fill="auto"/>
            <w:noWrap/>
            <w:vAlign w:val="center"/>
            <w:hideMark/>
          </w:tcPr>
          <w:p w14:paraId="1ADC1F0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58290</w:t>
            </w:r>
          </w:p>
        </w:tc>
        <w:tc>
          <w:tcPr>
            <w:tcW w:w="7512" w:type="dxa"/>
            <w:shd w:val="clear" w:color="auto" w:fill="auto"/>
            <w:noWrap/>
            <w:vAlign w:val="center"/>
            <w:hideMark/>
          </w:tcPr>
          <w:p w14:paraId="099E067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Other software publishing</w:t>
            </w:r>
          </w:p>
        </w:tc>
        <w:tc>
          <w:tcPr>
            <w:tcW w:w="993" w:type="dxa"/>
            <w:shd w:val="clear" w:color="auto" w:fill="auto"/>
            <w:noWrap/>
            <w:vAlign w:val="center"/>
            <w:hideMark/>
          </w:tcPr>
          <w:p w14:paraId="0E69BC73"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2291B10" w14:textId="77777777" w:rsidTr="00D262DC">
        <w:trPr>
          <w:trHeight w:val="300"/>
        </w:trPr>
        <w:tc>
          <w:tcPr>
            <w:tcW w:w="1101" w:type="dxa"/>
            <w:shd w:val="clear" w:color="auto" w:fill="auto"/>
            <w:noWrap/>
            <w:vAlign w:val="center"/>
            <w:hideMark/>
          </w:tcPr>
          <w:p w14:paraId="0BDF172D"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59111</w:t>
            </w:r>
          </w:p>
        </w:tc>
        <w:tc>
          <w:tcPr>
            <w:tcW w:w="7512" w:type="dxa"/>
            <w:shd w:val="clear" w:color="auto" w:fill="auto"/>
            <w:noWrap/>
            <w:vAlign w:val="center"/>
            <w:hideMark/>
          </w:tcPr>
          <w:p w14:paraId="0888CFE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Motion picture production activities</w:t>
            </w:r>
          </w:p>
        </w:tc>
        <w:tc>
          <w:tcPr>
            <w:tcW w:w="993" w:type="dxa"/>
            <w:shd w:val="clear" w:color="auto" w:fill="auto"/>
            <w:noWrap/>
            <w:vAlign w:val="center"/>
            <w:hideMark/>
          </w:tcPr>
          <w:p w14:paraId="039C670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6B8C3F42" w14:textId="77777777" w:rsidTr="00D262DC">
        <w:trPr>
          <w:trHeight w:val="300"/>
        </w:trPr>
        <w:tc>
          <w:tcPr>
            <w:tcW w:w="1101" w:type="dxa"/>
            <w:shd w:val="clear" w:color="auto" w:fill="auto"/>
            <w:noWrap/>
            <w:vAlign w:val="center"/>
            <w:hideMark/>
          </w:tcPr>
          <w:p w14:paraId="1DFFEC09"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59112</w:t>
            </w:r>
          </w:p>
        </w:tc>
        <w:tc>
          <w:tcPr>
            <w:tcW w:w="7512" w:type="dxa"/>
            <w:shd w:val="clear" w:color="auto" w:fill="auto"/>
            <w:noWrap/>
            <w:vAlign w:val="center"/>
            <w:hideMark/>
          </w:tcPr>
          <w:p w14:paraId="7E0EEA1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Video production activities</w:t>
            </w:r>
          </w:p>
        </w:tc>
        <w:tc>
          <w:tcPr>
            <w:tcW w:w="993" w:type="dxa"/>
            <w:shd w:val="clear" w:color="auto" w:fill="auto"/>
            <w:noWrap/>
            <w:vAlign w:val="center"/>
            <w:hideMark/>
          </w:tcPr>
          <w:p w14:paraId="1D373F83"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53DD62A7" w14:textId="77777777" w:rsidTr="00D262DC">
        <w:trPr>
          <w:trHeight w:val="300"/>
        </w:trPr>
        <w:tc>
          <w:tcPr>
            <w:tcW w:w="1101" w:type="dxa"/>
            <w:shd w:val="clear" w:color="auto" w:fill="auto"/>
            <w:noWrap/>
            <w:vAlign w:val="center"/>
            <w:hideMark/>
          </w:tcPr>
          <w:p w14:paraId="7E63A96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59113</w:t>
            </w:r>
          </w:p>
        </w:tc>
        <w:tc>
          <w:tcPr>
            <w:tcW w:w="7512" w:type="dxa"/>
            <w:shd w:val="clear" w:color="auto" w:fill="auto"/>
            <w:noWrap/>
            <w:vAlign w:val="center"/>
            <w:hideMark/>
          </w:tcPr>
          <w:p w14:paraId="5067D4E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Television programme production activities</w:t>
            </w:r>
          </w:p>
        </w:tc>
        <w:tc>
          <w:tcPr>
            <w:tcW w:w="993" w:type="dxa"/>
            <w:shd w:val="clear" w:color="auto" w:fill="auto"/>
            <w:noWrap/>
            <w:vAlign w:val="center"/>
            <w:hideMark/>
          </w:tcPr>
          <w:p w14:paraId="3A5E6F3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ED74EFF" w14:textId="77777777" w:rsidTr="00D262DC">
        <w:trPr>
          <w:trHeight w:val="300"/>
        </w:trPr>
        <w:tc>
          <w:tcPr>
            <w:tcW w:w="1101" w:type="dxa"/>
            <w:shd w:val="clear" w:color="auto" w:fill="auto"/>
            <w:noWrap/>
            <w:vAlign w:val="center"/>
            <w:hideMark/>
          </w:tcPr>
          <w:p w14:paraId="6F1E7A0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59120</w:t>
            </w:r>
          </w:p>
        </w:tc>
        <w:tc>
          <w:tcPr>
            <w:tcW w:w="7512" w:type="dxa"/>
            <w:shd w:val="clear" w:color="auto" w:fill="auto"/>
            <w:noWrap/>
            <w:vAlign w:val="center"/>
            <w:hideMark/>
          </w:tcPr>
          <w:p w14:paraId="7F3D5FAC"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Motion picture, video and television programme post-production activities</w:t>
            </w:r>
          </w:p>
        </w:tc>
        <w:tc>
          <w:tcPr>
            <w:tcW w:w="993" w:type="dxa"/>
            <w:shd w:val="clear" w:color="auto" w:fill="auto"/>
            <w:noWrap/>
            <w:vAlign w:val="center"/>
            <w:hideMark/>
          </w:tcPr>
          <w:p w14:paraId="708C3B99"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9CD721B" w14:textId="77777777" w:rsidTr="00D262DC">
        <w:trPr>
          <w:trHeight w:val="300"/>
        </w:trPr>
        <w:tc>
          <w:tcPr>
            <w:tcW w:w="1101" w:type="dxa"/>
            <w:shd w:val="clear" w:color="auto" w:fill="auto"/>
            <w:noWrap/>
            <w:vAlign w:val="center"/>
            <w:hideMark/>
          </w:tcPr>
          <w:p w14:paraId="34FE749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59131</w:t>
            </w:r>
          </w:p>
        </w:tc>
        <w:tc>
          <w:tcPr>
            <w:tcW w:w="7512" w:type="dxa"/>
            <w:shd w:val="clear" w:color="auto" w:fill="auto"/>
            <w:noWrap/>
            <w:vAlign w:val="center"/>
            <w:hideMark/>
          </w:tcPr>
          <w:p w14:paraId="20CA8FA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Motion picture distribution activities</w:t>
            </w:r>
          </w:p>
        </w:tc>
        <w:tc>
          <w:tcPr>
            <w:tcW w:w="993" w:type="dxa"/>
            <w:shd w:val="clear" w:color="auto" w:fill="auto"/>
            <w:noWrap/>
            <w:vAlign w:val="center"/>
            <w:hideMark/>
          </w:tcPr>
          <w:p w14:paraId="15F6D81C"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1AF138F6" w14:textId="77777777" w:rsidTr="00D262DC">
        <w:trPr>
          <w:trHeight w:val="300"/>
        </w:trPr>
        <w:tc>
          <w:tcPr>
            <w:tcW w:w="1101" w:type="dxa"/>
            <w:shd w:val="clear" w:color="auto" w:fill="auto"/>
            <w:noWrap/>
            <w:vAlign w:val="center"/>
            <w:hideMark/>
          </w:tcPr>
          <w:p w14:paraId="199F37AC"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59132</w:t>
            </w:r>
          </w:p>
        </w:tc>
        <w:tc>
          <w:tcPr>
            <w:tcW w:w="7512" w:type="dxa"/>
            <w:shd w:val="clear" w:color="auto" w:fill="auto"/>
            <w:noWrap/>
            <w:vAlign w:val="center"/>
            <w:hideMark/>
          </w:tcPr>
          <w:p w14:paraId="0C278E5D"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Video distribution activities</w:t>
            </w:r>
          </w:p>
        </w:tc>
        <w:tc>
          <w:tcPr>
            <w:tcW w:w="993" w:type="dxa"/>
            <w:shd w:val="clear" w:color="auto" w:fill="auto"/>
            <w:noWrap/>
            <w:vAlign w:val="center"/>
            <w:hideMark/>
          </w:tcPr>
          <w:p w14:paraId="648D4732"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2FDC8A2" w14:textId="77777777" w:rsidTr="00D262DC">
        <w:trPr>
          <w:trHeight w:val="300"/>
        </w:trPr>
        <w:tc>
          <w:tcPr>
            <w:tcW w:w="1101" w:type="dxa"/>
            <w:shd w:val="clear" w:color="auto" w:fill="auto"/>
            <w:noWrap/>
            <w:vAlign w:val="center"/>
            <w:hideMark/>
          </w:tcPr>
          <w:p w14:paraId="3322E92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59133</w:t>
            </w:r>
          </w:p>
        </w:tc>
        <w:tc>
          <w:tcPr>
            <w:tcW w:w="7512" w:type="dxa"/>
            <w:shd w:val="clear" w:color="auto" w:fill="auto"/>
            <w:noWrap/>
            <w:vAlign w:val="center"/>
            <w:hideMark/>
          </w:tcPr>
          <w:p w14:paraId="5D56F79F"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Television programme distribution activities</w:t>
            </w:r>
          </w:p>
        </w:tc>
        <w:tc>
          <w:tcPr>
            <w:tcW w:w="993" w:type="dxa"/>
            <w:shd w:val="clear" w:color="auto" w:fill="auto"/>
            <w:noWrap/>
            <w:vAlign w:val="center"/>
            <w:hideMark/>
          </w:tcPr>
          <w:p w14:paraId="6C667E0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1E6A2D2" w14:textId="77777777" w:rsidTr="00D262DC">
        <w:trPr>
          <w:trHeight w:val="300"/>
        </w:trPr>
        <w:tc>
          <w:tcPr>
            <w:tcW w:w="1101" w:type="dxa"/>
            <w:shd w:val="clear" w:color="auto" w:fill="auto"/>
            <w:noWrap/>
            <w:vAlign w:val="center"/>
            <w:hideMark/>
          </w:tcPr>
          <w:p w14:paraId="4D06AC84"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59140</w:t>
            </w:r>
          </w:p>
        </w:tc>
        <w:tc>
          <w:tcPr>
            <w:tcW w:w="7512" w:type="dxa"/>
            <w:shd w:val="clear" w:color="auto" w:fill="auto"/>
            <w:noWrap/>
            <w:vAlign w:val="center"/>
            <w:hideMark/>
          </w:tcPr>
          <w:p w14:paraId="1415309A"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Motion picture projection activities</w:t>
            </w:r>
          </w:p>
        </w:tc>
        <w:tc>
          <w:tcPr>
            <w:tcW w:w="993" w:type="dxa"/>
            <w:shd w:val="clear" w:color="auto" w:fill="auto"/>
            <w:noWrap/>
            <w:vAlign w:val="center"/>
            <w:hideMark/>
          </w:tcPr>
          <w:p w14:paraId="0BF645F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9596429" w14:textId="77777777" w:rsidTr="00D262DC">
        <w:trPr>
          <w:trHeight w:val="300"/>
        </w:trPr>
        <w:tc>
          <w:tcPr>
            <w:tcW w:w="1101" w:type="dxa"/>
            <w:shd w:val="clear" w:color="auto" w:fill="auto"/>
            <w:noWrap/>
            <w:vAlign w:val="center"/>
            <w:hideMark/>
          </w:tcPr>
          <w:p w14:paraId="08010B77"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59200</w:t>
            </w:r>
          </w:p>
        </w:tc>
        <w:tc>
          <w:tcPr>
            <w:tcW w:w="7512" w:type="dxa"/>
            <w:shd w:val="clear" w:color="auto" w:fill="auto"/>
            <w:noWrap/>
            <w:vAlign w:val="center"/>
            <w:hideMark/>
          </w:tcPr>
          <w:p w14:paraId="2B21780D"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Sound recording and music publishing activities</w:t>
            </w:r>
          </w:p>
        </w:tc>
        <w:tc>
          <w:tcPr>
            <w:tcW w:w="993" w:type="dxa"/>
            <w:shd w:val="clear" w:color="auto" w:fill="auto"/>
            <w:noWrap/>
            <w:vAlign w:val="center"/>
            <w:hideMark/>
          </w:tcPr>
          <w:p w14:paraId="3E074E73"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A37DF60" w14:textId="77777777" w:rsidTr="00D262DC">
        <w:trPr>
          <w:trHeight w:val="300"/>
        </w:trPr>
        <w:tc>
          <w:tcPr>
            <w:tcW w:w="1101" w:type="dxa"/>
            <w:shd w:val="clear" w:color="auto" w:fill="auto"/>
            <w:noWrap/>
            <w:vAlign w:val="center"/>
            <w:hideMark/>
          </w:tcPr>
          <w:p w14:paraId="35645AE7"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60100</w:t>
            </w:r>
          </w:p>
        </w:tc>
        <w:tc>
          <w:tcPr>
            <w:tcW w:w="7512" w:type="dxa"/>
            <w:shd w:val="clear" w:color="auto" w:fill="auto"/>
            <w:noWrap/>
            <w:vAlign w:val="center"/>
            <w:hideMark/>
          </w:tcPr>
          <w:p w14:paraId="660019DF"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Radio broadcasting</w:t>
            </w:r>
          </w:p>
        </w:tc>
        <w:tc>
          <w:tcPr>
            <w:tcW w:w="993" w:type="dxa"/>
            <w:shd w:val="clear" w:color="auto" w:fill="auto"/>
            <w:noWrap/>
            <w:vAlign w:val="center"/>
            <w:hideMark/>
          </w:tcPr>
          <w:p w14:paraId="2CED6491"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05F9B73" w14:textId="77777777" w:rsidTr="00D262DC">
        <w:trPr>
          <w:trHeight w:val="300"/>
        </w:trPr>
        <w:tc>
          <w:tcPr>
            <w:tcW w:w="1101" w:type="dxa"/>
            <w:shd w:val="clear" w:color="auto" w:fill="auto"/>
            <w:noWrap/>
            <w:vAlign w:val="center"/>
            <w:hideMark/>
          </w:tcPr>
          <w:p w14:paraId="3C813167"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60200</w:t>
            </w:r>
          </w:p>
        </w:tc>
        <w:tc>
          <w:tcPr>
            <w:tcW w:w="7512" w:type="dxa"/>
            <w:shd w:val="clear" w:color="auto" w:fill="auto"/>
            <w:noWrap/>
            <w:vAlign w:val="center"/>
            <w:hideMark/>
          </w:tcPr>
          <w:p w14:paraId="435119DB"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Television programming and broadcasting activities</w:t>
            </w:r>
          </w:p>
        </w:tc>
        <w:tc>
          <w:tcPr>
            <w:tcW w:w="993" w:type="dxa"/>
            <w:shd w:val="clear" w:color="auto" w:fill="auto"/>
            <w:noWrap/>
            <w:vAlign w:val="center"/>
            <w:hideMark/>
          </w:tcPr>
          <w:p w14:paraId="1959AD72"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5D01DC1A" w14:textId="77777777" w:rsidTr="00D262DC">
        <w:trPr>
          <w:trHeight w:val="300"/>
        </w:trPr>
        <w:tc>
          <w:tcPr>
            <w:tcW w:w="1101" w:type="dxa"/>
            <w:shd w:val="clear" w:color="auto" w:fill="auto"/>
            <w:noWrap/>
            <w:vAlign w:val="center"/>
            <w:hideMark/>
          </w:tcPr>
          <w:p w14:paraId="0EDB44A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62011</w:t>
            </w:r>
          </w:p>
        </w:tc>
        <w:tc>
          <w:tcPr>
            <w:tcW w:w="7512" w:type="dxa"/>
            <w:shd w:val="clear" w:color="auto" w:fill="auto"/>
            <w:noWrap/>
            <w:vAlign w:val="center"/>
            <w:hideMark/>
          </w:tcPr>
          <w:p w14:paraId="0CE46A4C"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Ready-made interactive leisure and entertainment software development</w:t>
            </w:r>
          </w:p>
        </w:tc>
        <w:tc>
          <w:tcPr>
            <w:tcW w:w="993" w:type="dxa"/>
            <w:shd w:val="clear" w:color="auto" w:fill="auto"/>
            <w:noWrap/>
            <w:vAlign w:val="center"/>
            <w:hideMark/>
          </w:tcPr>
          <w:p w14:paraId="31CE939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FD6C25A" w14:textId="77777777" w:rsidTr="00D262DC">
        <w:trPr>
          <w:trHeight w:val="300"/>
        </w:trPr>
        <w:tc>
          <w:tcPr>
            <w:tcW w:w="1101" w:type="dxa"/>
            <w:shd w:val="clear" w:color="auto" w:fill="auto"/>
            <w:noWrap/>
            <w:vAlign w:val="center"/>
            <w:hideMark/>
          </w:tcPr>
          <w:p w14:paraId="2B65CB21"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62012</w:t>
            </w:r>
          </w:p>
        </w:tc>
        <w:tc>
          <w:tcPr>
            <w:tcW w:w="7512" w:type="dxa"/>
            <w:shd w:val="clear" w:color="auto" w:fill="auto"/>
            <w:noWrap/>
            <w:vAlign w:val="center"/>
            <w:hideMark/>
          </w:tcPr>
          <w:p w14:paraId="7B2E8A39"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Business and domestic software development</w:t>
            </w:r>
          </w:p>
        </w:tc>
        <w:tc>
          <w:tcPr>
            <w:tcW w:w="993" w:type="dxa"/>
            <w:shd w:val="clear" w:color="auto" w:fill="auto"/>
            <w:noWrap/>
            <w:vAlign w:val="center"/>
            <w:hideMark/>
          </w:tcPr>
          <w:p w14:paraId="4379B9B9"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8EA8473" w14:textId="77777777" w:rsidTr="00D262DC">
        <w:trPr>
          <w:trHeight w:val="300"/>
        </w:trPr>
        <w:tc>
          <w:tcPr>
            <w:tcW w:w="1101" w:type="dxa"/>
            <w:shd w:val="clear" w:color="auto" w:fill="auto"/>
            <w:noWrap/>
            <w:vAlign w:val="center"/>
            <w:hideMark/>
          </w:tcPr>
          <w:p w14:paraId="5CEACFDC"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62020</w:t>
            </w:r>
          </w:p>
        </w:tc>
        <w:tc>
          <w:tcPr>
            <w:tcW w:w="7512" w:type="dxa"/>
            <w:shd w:val="clear" w:color="auto" w:fill="auto"/>
            <w:noWrap/>
            <w:vAlign w:val="center"/>
            <w:hideMark/>
          </w:tcPr>
          <w:p w14:paraId="37350A9B"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Computer consultancy activities</w:t>
            </w:r>
          </w:p>
        </w:tc>
        <w:tc>
          <w:tcPr>
            <w:tcW w:w="993" w:type="dxa"/>
            <w:shd w:val="clear" w:color="auto" w:fill="auto"/>
            <w:noWrap/>
            <w:vAlign w:val="center"/>
            <w:hideMark/>
          </w:tcPr>
          <w:p w14:paraId="08E4B46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1807B57" w14:textId="77777777" w:rsidTr="00D262DC">
        <w:trPr>
          <w:trHeight w:val="300"/>
        </w:trPr>
        <w:tc>
          <w:tcPr>
            <w:tcW w:w="1101" w:type="dxa"/>
            <w:shd w:val="clear" w:color="auto" w:fill="auto"/>
            <w:noWrap/>
            <w:vAlign w:val="center"/>
            <w:hideMark/>
          </w:tcPr>
          <w:p w14:paraId="67E81B39"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70210</w:t>
            </w:r>
          </w:p>
        </w:tc>
        <w:tc>
          <w:tcPr>
            <w:tcW w:w="7512" w:type="dxa"/>
            <w:shd w:val="clear" w:color="auto" w:fill="auto"/>
            <w:noWrap/>
            <w:vAlign w:val="center"/>
            <w:hideMark/>
          </w:tcPr>
          <w:p w14:paraId="4E6945A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Public relations and communications activities</w:t>
            </w:r>
          </w:p>
        </w:tc>
        <w:tc>
          <w:tcPr>
            <w:tcW w:w="993" w:type="dxa"/>
            <w:shd w:val="clear" w:color="auto" w:fill="auto"/>
            <w:noWrap/>
            <w:vAlign w:val="center"/>
            <w:hideMark/>
          </w:tcPr>
          <w:p w14:paraId="37A2F43C"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10C4283" w14:textId="77777777" w:rsidTr="00D262DC">
        <w:trPr>
          <w:trHeight w:val="300"/>
        </w:trPr>
        <w:tc>
          <w:tcPr>
            <w:tcW w:w="1101" w:type="dxa"/>
            <w:shd w:val="clear" w:color="auto" w:fill="auto"/>
            <w:noWrap/>
            <w:vAlign w:val="center"/>
            <w:hideMark/>
          </w:tcPr>
          <w:p w14:paraId="39086E68"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71111</w:t>
            </w:r>
          </w:p>
        </w:tc>
        <w:tc>
          <w:tcPr>
            <w:tcW w:w="7512" w:type="dxa"/>
            <w:shd w:val="clear" w:color="auto" w:fill="auto"/>
            <w:noWrap/>
            <w:vAlign w:val="center"/>
            <w:hideMark/>
          </w:tcPr>
          <w:p w14:paraId="13804F4C"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Architectural activities</w:t>
            </w:r>
          </w:p>
        </w:tc>
        <w:tc>
          <w:tcPr>
            <w:tcW w:w="993" w:type="dxa"/>
            <w:shd w:val="clear" w:color="auto" w:fill="auto"/>
            <w:noWrap/>
            <w:vAlign w:val="center"/>
            <w:hideMark/>
          </w:tcPr>
          <w:p w14:paraId="3C6EC870"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66373FA4" w14:textId="77777777" w:rsidTr="00D262DC">
        <w:trPr>
          <w:trHeight w:val="300"/>
        </w:trPr>
        <w:tc>
          <w:tcPr>
            <w:tcW w:w="1101" w:type="dxa"/>
            <w:shd w:val="clear" w:color="auto" w:fill="auto"/>
            <w:noWrap/>
            <w:vAlign w:val="center"/>
            <w:hideMark/>
          </w:tcPr>
          <w:p w14:paraId="4E605C8D"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71112</w:t>
            </w:r>
          </w:p>
        </w:tc>
        <w:tc>
          <w:tcPr>
            <w:tcW w:w="7512" w:type="dxa"/>
            <w:shd w:val="clear" w:color="auto" w:fill="auto"/>
            <w:noWrap/>
            <w:vAlign w:val="center"/>
            <w:hideMark/>
          </w:tcPr>
          <w:p w14:paraId="61CB7992"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Urban planning and landscape architectural activities</w:t>
            </w:r>
          </w:p>
        </w:tc>
        <w:tc>
          <w:tcPr>
            <w:tcW w:w="993" w:type="dxa"/>
            <w:shd w:val="clear" w:color="auto" w:fill="auto"/>
            <w:noWrap/>
            <w:vAlign w:val="center"/>
            <w:hideMark/>
          </w:tcPr>
          <w:p w14:paraId="5603AE01"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DE35B84" w14:textId="77777777" w:rsidTr="00D262DC">
        <w:trPr>
          <w:trHeight w:val="300"/>
        </w:trPr>
        <w:tc>
          <w:tcPr>
            <w:tcW w:w="1101" w:type="dxa"/>
            <w:shd w:val="clear" w:color="auto" w:fill="auto"/>
            <w:noWrap/>
            <w:vAlign w:val="center"/>
            <w:hideMark/>
          </w:tcPr>
          <w:p w14:paraId="70916A44"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73110</w:t>
            </w:r>
          </w:p>
        </w:tc>
        <w:tc>
          <w:tcPr>
            <w:tcW w:w="7512" w:type="dxa"/>
            <w:shd w:val="clear" w:color="auto" w:fill="auto"/>
            <w:noWrap/>
            <w:vAlign w:val="center"/>
            <w:hideMark/>
          </w:tcPr>
          <w:p w14:paraId="15A69DE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Advertising agencies</w:t>
            </w:r>
          </w:p>
        </w:tc>
        <w:tc>
          <w:tcPr>
            <w:tcW w:w="993" w:type="dxa"/>
            <w:shd w:val="clear" w:color="auto" w:fill="auto"/>
            <w:noWrap/>
            <w:vAlign w:val="center"/>
            <w:hideMark/>
          </w:tcPr>
          <w:p w14:paraId="3405643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6B31890" w14:textId="77777777" w:rsidTr="00D262DC">
        <w:trPr>
          <w:trHeight w:val="300"/>
        </w:trPr>
        <w:tc>
          <w:tcPr>
            <w:tcW w:w="1101" w:type="dxa"/>
            <w:shd w:val="clear" w:color="auto" w:fill="auto"/>
            <w:noWrap/>
            <w:vAlign w:val="center"/>
            <w:hideMark/>
          </w:tcPr>
          <w:p w14:paraId="263AAB4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73120</w:t>
            </w:r>
          </w:p>
        </w:tc>
        <w:tc>
          <w:tcPr>
            <w:tcW w:w="7512" w:type="dxa"/>
            <w:shd w:val="clear" w:color="auto" w:fill="auto"/>
            <w:noWrap/>
            <w:vAlign w:val="center"/>
            <w:hideMark/>
          </w:tcPr>
          <w:p w14:paraId="33C876FD"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Media representation services</w:t>
            </w:r>
          </w:p>
        </w:tc>
        <w:tc>
          <w:tcPr>
            <w:tcW w:w="993" w:type="dxa"/>
            <w:shd w:val="clear" w:color="auto" w:fill="auto"/>
            <w:noWrap/>
            <w:vAlign w:val="center"/>
            <w:hideMark/>
          </w:tcPr>
          <w:p w14:paraId="2C899F5A"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F4756BF" w14:textId="77777777" w:rsidTr="00D262DC">
        <w:trPr>
          <w:trHeight w:val="300"/>
        </w:trPr>
        <w:tc>
          <w:tcPr>
            <w:tcW w:w="1101" w:type="dxa"/>
            <w:shd w:val="clear" w:color="auto" w:fill="auto"/>
            <w:noWrap/>
            <w:vAlign w:val="center"/>
            <w:hideMark/>
          </w:tcPr>
          <w:p w14:paraId="0FC2102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74100</w:t>
            </w:r>
          </w:p>
        </w:tc>
        <w:tc>
          <w:tcPr>
            <w:tcW w:w="7512" w:type="dxa"/>
            <w:shd w:val="clear" w:color="auto" w:fill="auto"/>
            <w:noWrap/>
            <w:vAlign w:val="center"/>
            <w:hideMark/>
          </w:tcPr>
          <w:p w14:paraId="22F15DDD" w14:textId="77777777" w:rsidR="00E3489C" w:rsidRPr="006C0A42" w:rsidRDefault="00E3489C" w:rsidP="00C26CA6">
            <w:pPr>
              <w:spacing w:before="20" w:after="20"/>
              <w:ind w:left="33"/>
              <w:rPr>
                <w:rFonts w:cs="Arial"/>
                <w:sz w:val="18"/>
                <w:szCs w:val="18"/>
                <w:lang w:eastAsia="en-GB"/>
              </w:rPr>
            </w:pPr>
            <w:proofErr w:type="gramStart"/>
            <w:r w:rsidRPr="006C0A42">
              <w:rPr>
                <w:rFonts w:cs="Arial"/>
                <w:sz w:val="18"/>
                <w:szCs w:val="18"/>
                <w:lang w:eastAsia="en-GB"/>
              </w:rPr>
              <w:t>specialised</w:t>
            </w:r>
            <w:proofErr w:type="gramEnd"/>
            <w:r w:rsidRPr="006C0A42">
              <w:rPr>
                <w:rFonts w:cs="Arial"/>
                <w:sz w:val="18"/>
                <w:szCs w:val="18"/>
                <w:lang w:eastAsia="en-GB"/>
              </w:rPr>
              <w:t xml:space="preserve"> design activities</w:t>
            </w:r>
          </w:p>
        </w:tc>
        <w:tc>
          <w:tcPr>
            <w:tcW w:w="993" w:type="dxa"/>
            <w:shd w:val="clear" w:color="auto" w:fill="auto"/>
            <w:noWrap/>
            <w:vAlign w:val="center"/>
            <w:hideMark/>
          </w:tcPr>
          <w:p w14:paraId="20AAB0A4"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D22C037" w14:textId="77777777" w:rsidTr="00D262DC">
        <w:trPr>
          <w:trHeight w:val="300"/>
        </w:trPr>
        <w:tc>
          <w:tcPr>
            <w:tcW w:w="1101" w:type="dxa"/>
            <w:shd w:val="clear" w:color="auto" w:fill="auto"/>
            <w:noWrap/>
            <w:vAlign w:val="center"/>
            <w:hideMark/>
          </w:tcPr>
          <w:p w14:paraId="7ED7CF0D"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74201</w:t>
            </w:r>
          </w:p>
        </w:tc>
        <w:tc>
          <w:tcPr>
            <w:tcW w:w="7512" w:type="dxa"/>
            <w:shd w:val="clear" w:color="auto" w:fill="auto"/>
            <w:noWrap/>
            <w:vAlign w:val="center"/>
            <w:hideMark/>
          </w:tcPr>
          <w:p w14:paraId="382F149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Portrait photographic activities</w:t>
            </w:r>
          </w:p>
        </w:tc>
        <w:tc>
          <w:tcPr>
            <w:tcW w:w="993" w:type="dxa"/>
            <w:shd w:val="clear" w:color="auto" w:fill="auto"/>
            <w:noWrap/>
            <w:vAlign w:val="center"/>
            <w:hideMark/>
          </w:tcPr>
          <w:p w14:paraId="0136C4A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16DE66F8" w14:textId="77777777" w:rsidTr="00D262DC">
        <w:trPr>
          <w:trHeight w:val="300"/>
        </w:trPr>
        <w:tc>
          <w:tcPr>
            <w:tcW w:w="1101" w:type="dxa"/>
            <w:shd w:val="clear" w:color="auto" w:fill="auto"/>
            <w:noWrap/>
            <w:vAlign w:val="center"/>
            <w:hideMark/>
          </w:tcPr>
          <w:p w14:paraId="2934C26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74202</w:t>
            </w:r>
          </w:p>
        </w:tc>
        <w:tc>
          <w:tcPr>
            <w:tcW w:w="7512" w:type="dxa"/>
            <w:shd w:val="clear" w:color="auto" w:fill="auto"/>
            <w:noWrap/>
            <w:vAlign w:val="center"/>
            <w:hideMark/>
          </w:tcPr>
          <w:p w14:paraId="68125573"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Other specialist photography (not including portrait photography)</w:t>
            </w:r>
          </w:p>
        </w:tc>
        <w:tc>
          <w:tcPr>
            <w:tcW w:w="993" w:type="dxa"/>
            <w:shd w:val="clear" w:color="auto" w:fill="auto"/>
            <w:noWrap/>
            <w:vAlign w:val="center"/>
            <w:hideMark/>
          </w:tcPr>
          <w:p w14:paraId="2264FA2D"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9A3E2C3" w14:textId="77777777" w:rsidTr="00D262DC">
        <w:trPr>
          <w:trHeight w:val="300"/>
        </w:trPr>
        <w:tc>
          <w:tcPr>
            <w:tcW w:w="1101" w:type="dxa"/>
            <w:shd w:val="clear" w:color="auto" w:fill="auto"/>
            <w:noWrap/>
            <w:vAlign w:val="center"/>
            <w:hideMark/>
          </w:tcPr>
          <w:p w14:paraId="6D20EAAB"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74203</w:t>
            </w:r>
          </w:p>
        </w:tc>
        <w:tc>
          <w:tcPr>
            <w:tcW w:w="7512" w:type="dxa"/>
            <w:shd w:val="clear" w:color="auto" w:fill="auto"/>
            <w:noWrap/>
            <w:vAlign w:val="center"/>
            <w:hideMark/>
          </w:tcPr>
          <w:p w14:paraId="22D79344"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Film processing</w:t>
            </w:r>
          </w:p>
        </w:tc>
        <w:tc>
          <w:tcPr>
            <w:tcW w:w="993" w:type="dxa"/>
            <w:shd w:val="clear" w:color="auto" w:fill="auto"/>
            <w:noWrap/>
            <w:vAlign w:val="center"/>
            <w:hideMark/>
          </w:tcPr>
          <w:p w14:paraId="433955F8"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D65F91F" w14:textId="77777777" w:rsidTr="00D262DC">
        <w:trPr>
          <w:trHeight w:val="300"/>
        </w:trPr>
        <w:tc>
          <w:tcPr>
            <w:tcW w:w="1101" w:type="dxa"/>
            <w:shd w:val="clear" w:color="auto" w:fill="auto"/>
            <w:noWrap/>
            <w:vAlign w:val="center"/>
            <w:hideMark/>
          </w:tcPr>
          <w:p w14:paraId="6F3F1A3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74209</w:t>
            </w:r>
          </w:p>
        </w:tc>
        <w:tc>
          <w:tcPr>
            <w:tcW w:w="7512" w:type="dxa"/>
            <w:shd w:val="clear" w:color="auto" w:fill="auto"/>
            <w:noWrap/>
            <w:vAlign w:val="center"/>
            <w:hideMark/>
          </w:tcPr>
          <w:p w14:paraId="62DEC0B2"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Photographic activities not elsewhere classified</w:t>
            </w:r>
          </w:p>
        </w:tc>
        <w:tc>
          <w:tcPr>
            <w:tcW w:w="993" w:type="dxa"/>
            <w:shd w:val="clear" w:color="auto" w:fill="auto"/>
            <w:noWrap/>
            <w:vAlign w:val="center"/>
            <w:hideMark/>
          </w:tcPr>
          <w:p w14:paraId="16935664"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0CD85E99" w14:textId="77777777" w:rsidTr="00D262DC">
        <w:trPr>
          <w:trHeight w:val="300"/>
        </w:trPr>
        <w:tc>
          <w:tcPr>
            <w:tcW w:w="1101" w:type="dxa"/>
            <w:shd w:val="clear" w:color="auto" w:fill="auto"/>
            <w:noWrap/>
            <w:vAlign w:val="center"/>
            <w:hideMark/>
          </w:tcPr>
          <w:p w14:paraId="3C12D5FB"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74300</w:t>
            </w:r>
          </w:p>
        </w:tc>
        <w:tc>
          <w:tcPr>
            <w:tcW w:w="7512" w:type="dxa"/>
            <w:shd w:val="clear" w:color="auto" w:fill="auto"/>
            <w:noWrap/>
            <w:vAlign w:val="center"/>
            <w:hideMark/>
          </w:tcPr>
          <w:p w14:paraId="39A7CF1B"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Translation and interpretation activities</w:t>
            </w:r>
          </w:p>
        </w:tc>
        <w:tc>
          <w:tcPr>
            <w:tcW w:w="993" w:type="dxa"/>
            <w:shd w:val="clear" w:color="auto" w:fill="auto"/>
            <w:noWrap/>
            <w:vAlign w:val="center"/>
            <w:hideMark/>
          </w:tcPr>
          <w:p w14:paraId="75C11F3D"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FCD4EDA" w14:textId="77777777" w:rsidTr="00D262DC">
        <w:trPr>
          <w:trHeight w:val="300"/>
        </w:trPr>
        <w:tc>
          <w:tcPr>
            <w:tcW w:w="1101" w:type="dxa"/>
            <w:shd w:val="clear" w:color="auto" w:fill="auto"/>
            <w:noWrap/>
            <w:vAlign w:val="center"/>
            <w:hideMark/>
          </w:tcPr>
          <w:p w14:paraId="63B1DBBC"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85510</w:t>
            </w:r>
          </w:p>
        </w:tc>
        <w:tc>
          <w:tcPr>
            <w:tcW w:w="7512" w:type="dxa"/>
            <w:shd w:val="clear" w:color="auto" w:fill="auto"/>
            <w:noWrap/>
            <w:vAlign w:val="center"/>
            <w:hideMark/>
          </w:tcPr>
          <w:p w14:paraId="3947B86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Sports and recreation education</w:t>
            </w:r>
          </w:p>
        </w:tc>
        <w:tc>
          <w:tcPr>
            <w:tcW w:w="993" w:type="dxa"/>
            <w:shd w:val="clear" w:color="auto" w:fill="auto"/>
            <w:noWrap/>
            <w:vAlign w:val="center"/>
            <w:hideMark/>
          </w:tcPr>
          <w:p w14:paraId="0F7B147A"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DA0124F" w14:textId="77777777" w:rsidTr="00D262DC">
        <w:trPr>
          <w:trHeight w:val="300"/>
        </w:trPr>
        <w:tc>
          <w:tcPr>
            <w:tcW w:w="1101" w:type="dxa"/>
            <w:shd w:val="clear" w:color="auto" w:fill="auto"/>
            <w:noWrap/>
            <w:vAlign w:val="center"/>
            <w:hideMark/>
          </w:tcPr>
          <w:p w14:paraId="02570CCA"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85520</w:t>
            </w:r>
          </w:p>
        </w:tc>
        <w:tc>
          <w:tcPr>
            <w:tcW w:w="7512" w:type="dxa"/>
            <w:shd w:val="clear" w:color="auto" w:fill="auto"/>
            <w:noWrap/>
            <w:vAlign w:val="center"/>
            <w:hideMark/>
          </w:tcPr>
          <w:p w14:paraId="60926424"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Cultural education</w:t>
            </w:r>
          </w:p>
        </w:tc>
        <w:tc>
          <w:tcPr>
            <w:tcW w:w="993" w:type="dxa"/>
            <w:shd w:val="clear" w:color="auto" w:fill="auto"/>
            <w:noWrap/>
            <w:vAlign w:val="center"/>
            <w:hideMark/>
          </w:tcPr>
          <w:p w14:paraId="6B18B33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6CCD3743" w14:textId="77777777" w:rsidTr="00D262DC">
        <w:trPr>
          <w:trHeight w:val="300"/>
        </w:trPr>
        <w:tc>
          <w:tcPr>
            <w:tcW w:w="1101" w:type="dxa"/>
            <w:shd w:val="clear" w:color="auto" w:fill="auto"/>
            <w:noWrap/>
            <w:vAlign w:val="center"/>
            <w:hideMark/>
          </w:tcPr>
          <w:p w14:paraId="70EB258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90010</w:t>
            </w:r>
          </w:p>
        </w:tc>
        <w:tc>
          <w:tcPr>
            <w:tcW w:w="7512" w:type="dxa"/>
            <w:shd w:val="clear" w:color="auto" w:fill="auto"/>
            <w:noWrap/>
            <w:vAlign w:val="center"/>
            <w:hideMark/>
          </w:tcPr>
          <w:p w14:paraId="080CB60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Performing arts</w:t>
            </w:r>
          </w:p>
        </w:tc>
        <w:tc>
          <w:tcPr>
            <w:tcW w:w="993" w:type="dxa"/>
            <w:shd w:val="clear" w:color="auto" w:fill="auto"/>
            <w:noWrap/>
            <w:vAlign w:val="center"/>
            <w:hideMark/>
          </w:tcPr>
          <w:p w14:paraId="6AAF93FD"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93A5DF5" w14:textId="77777777" w:rsidTr="00D262DC">
        <w:trPr>
          <w:trHeight w:val="300"/>
        </w:trPr>
        <w:tc>
          <w:tcPr>
            <w:tcW w:w="1101" w:type="dxa"/>
            <w:shd w:val="clear" w:color="auto" w:fill="auto"/>
            <w:noWrap/>
            <w:vAlign w:val="center"/>
            <w:hideMark/>
          </w:tcPr>
          <w:p w14:paraId="17CDE3D4"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90020</w:t>
            </w:r>
          </w:p>
        </w:tc>
        <w:tc>
          <w:tcPr>
            <w:tcW w:w="7512" w:type="dxa"/>
            <w:shd w:val="clear" w:color="auto" w:fill="auto"/>
            <w:noWrap/>
            <w:vAlign w:val="center"/>
            <w:hideMark/>
          </w:tcPr>
          <w:p w14:paraId="50A9F17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Support activities to performing arts</w:t>
            </w:r>
          </w:p>
        </w:tc>
        <w:tc>
          <w:tcPr>
            <w:tcW w:w="993" w:type="dxa"/>
            <w:shd w:val="clear" w:color="auto" w:fill="auto"/>
            <w:noWrap/>
            <w:vAlign w:val="center"/>
            <w:hideMark/>
          </w:tcPr>
          <w:p w14:paraId="22A0431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50202359" w14:textId="77777777" w:rsidTr="00D262DC">
        <w:trPr>
          <w:trHeight w:val="300"/>
        </w:trPr>
        <w:tc>
          <w:tcPr>
            <w:tcW w:w="1101" w:type="dxa"/>
            <w:shd w:val="clear" w:color="auto" w:fill="auto"/>
            <w:noWrap/>
            <w:vAlign w:val="center"/>
            <w:hideMark/>
          </w:tcPr>
          <w:p w14:paraId="4F337E5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90030</w:t>
            </w:r>
          </w:p>
        </w:tc>
        <w:tc>
          <w:tcPr>
            <w:tcW w:w="7512" w:type="dxa"/>
            <w:shd w:val="clear" w:color="auto" w:fill="auto"/>
            <w:noWrap/>
            <w:vAlign w:val="center"/>
            <w:hideMark/>
          </w:tcPr>
          <w:p w14:paraId="05826650"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Artistic creation</w:t>
            </w:r>
          </w:p>
        </w:tc>
        <w:tc>
          <w:tcPr>
            <w:tcW w:w="993" w:type="dxa"/>
            <w:shd w:val="clear" w:color="auto" w:fill="auto"/>
            <w:noWrap/>
            <w:vAlign w:val="center"/>
            <w:hideMark/>
          </w:tcPr>
          <w:p w14:paraId="769BBFF5"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A27FA2F" w14:textId="77777777" w:rsidTr="00D262DC">
        <w:trPr>
          <w:trHeight w:val="300"/>
        </w:trPr>
        <w:tc>
          <w:tcPr>
            <w:tcW w:w="1101" w:type="dxa"/>
            <w:shd w:val="clear" w:color="auto" w:fill="auto"/>
            <w:noWrap/>
            <w:vAlign w:val="center"/>
            <w:hideMark/>
          </w:tcPr>
          <w:p w14:paraId="7BF8E538"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90040</w:t>
            </w:r>
          </w:p>
        </w:tc>
        <w:tc>
          <w:tcPr>
            <w:tcW w:w="7512" w:type="dxa"/>
            <w:shd w:val="clear" w:color="auto" w:fill="auto"/>
            <w:noWrap/>
            <w:vAlign w:val="center"/>
            <w:hideMark/>
          </w:tcPr>
          <w:p w14:paraId="167E980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Operation of arts facilities</w:t>
            </w:r>
          </w:p>
        </w:tc>
        <w:tc>
          <w:tcPr>
            <w:tcW w:w="993" w:type="dxa"/>
            <w:shd w:val="clear" w:color="auto" w:fill="auto"/>
            <w:noWrap/>
            <w:vAlign w:val="center"/>
            <w:hideMark/>
          </w:tcPr>
          <w:p w14:paraId="119AC944"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56091E8" w14:textId="77777777" w:rsidTr="00D262DC">
        <w:trPr>
          <w:trHeight w:val="300"/>
        </w:trPr>
        <w:tc>
          <w:tcPr>
            <w:tcW w:w="1101" w:type="dxa"/>
            <w:shd w:val="clear" w:color="auto" w:fill="auto"/>
            <w:noWrap/>
            <w:vAlign w:val="center"/>
            <w:hideMark/>
          </w:tcPr>
          <w:p w14:paraId="6AB5DE06"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91011</w:t>
            </w:r>
          </w:p>
        </w:tc>
        <w:tc>
          <w:tcPr>
            <w:tcW w:w="7512" w:type="dxa"/>
            <w:shd w:val="clear" w:color="auto" w:fill="auto"/>
            <w:noWrap/>
            <w:vAlign w:val="center"/>
            <w:hideMark/>
          </w:tcPr>
          <w:p w14:paraId="5E137D3F"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Library activities</w:t>
            </w:r>
          </w:p>
        </w:tc>
        <w:tc>
          <w:tcPr>
            <w:tcW w:w="993" w:type="dxa"/>
            <w:shd w:val="clear" w:color="auto" w:fill="auto"/>
            <w:noWrap/>
            <w:vAlign w:val="center"/>
            <w:hideMark/>
          </w:tcPr>
          <w:p w14:paraId="2CB8B76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2655BE9E" w14:textId="77777777" w:rsidTr="00D262DC">
        <w:trPr>
          <w:trHeight w:val="300"/>
        </w:trPr>
        <w:tc>
          <w:tcPr>
            <w:tcW w:w="1101" w:type="dxa"/>
            <w:shd w:val="clear" w:color="auto" w:fill="auto"/>
            <w:noWrap/>
            <w:vAlign w:val="center"/>
            <w:hideMark/>
          </w:tcPr>
          <w:p w14:paraId="24CA408F"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91012</w:t>
            </w:r>
          </w:p>
        </w:tc>
        <w:tc>
          <w:tcPr>
            <w:tcW w:w="7512" w:type="dxa"/>
            <w:shd w:val="clear" w:color="auto" w:fill="auto"/>
            <w:noWrap/>
            <w:vAlign w:val="center"/>
            <w:hideMark/>
          </w:tcPr>
          <w:p w14:paraId="7E1B682A"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Archives activities</w:t>
            </w:r>
          </w:p>
        </w:tc>
        <w:tc>
          <w:tcPr>
            <w:tcW w:w="993" w:type="dxa"/>
            <w:shd w:val="clear" w:color="auto" w:fill="auto"/>
            <w:noWrap/>
            <w:vAlign w:val="center"/>
            <w:hideMark/>
          </w:tcPr>
          <w:p w14:paraId="7C7818A0"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DE0F9FE" w14:textId="77777777" w:rsidTr="00D262DC">
        <w:trPr>
          <w:trHeight w:val="300"/>
        </w:trPr>
        <w:tc>
          <w:tcPr>
            <w:tcW w:w="1101" w:type="dxa"/>
            <w:shd w:val="clear" w:color="auto" w:fill="auto"/>
            <w:noWrap/>
            <w:vAlign w:val="center"/>
            <w:hideMark/>
          </w:tcPr>
          <w:p w14:paraId="427E7D0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91020</w:t>
            </w:r>
          </w:p>
        </w:tc>
        <w:tc>
          <w:tcPr>
            <w:tcW w:w="7512" w:type="dxa"/>
            <w:shd w:val="clear" w:color="auto" w:fill="auto"/>
            <w:noWrap/>
            <w:vAlign w:val="center"/>
            <w:hideMark/>
          </w:tcPr>
          <w:p w14:paraId="09904AC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Museums activities</w:t>
            </w:r>
          </w:p>
        </w:tc>
        <w:tc>
          <w:tcPr>
            <w:tcW w:w="993" w:type="dxa"/>
            <w:shd w:val="clear" w:color="auto" w:fill="auto"/>
            <w:noWrap/>
            <w:vAlign w:val="center"/>
            <w:hideMark/>
          </w:tcPr>
          <w:p w14:paraId="7F912262"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587418E9" w14:textId="77777777" w:rsidTr="00D262DC">
        <w:trPr>
          <w:trHeight w:val="300"/>
        </w:trPr>
        <w:tc>
          <w:tcPr>
            <w:tcW w:w="1101" w:type="dxa"/>
            <w:shd w:val="clear" w:color="auto" w:fill="auto"/>
            <w:noWrap/>
            <w:vAlign w:val="center"/>
            <w:hideMark/>
          </w:tcPr>
          <w:p w14:paraId="3AE370CC"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93110</w:t>
            </w:r>
          </w:p>
        </w:tc>
        <w:tc>
          <w:tcPr>
            <w:tcW w:w="7512" w:type="dxa"/>
            <w:shd w:val="clear" w:color="auto" w:fill="auto"/>
            <w:noWrap/>
            <w:vAlign w:val="center"/>
            <w:hideMark/>
          </w:tcPr>
          <w:p w14:paraId="426B0EC3"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Operation of sports facilities</w:t>
            </w:r>
          </w:p>
        </w:tc>
        <w:tc>
          <w:tcPr>
            <w:tcW w:w="993" w:type="dxa"/>
            <w:shd w:val="clear" w:color="auto" w:fill="auto"/>
            <w:noWrap/>
            <w:vAlign w:val="center"/>
            <w:hideMark/>
          </w:tcPr>
          <w:p w14:paraId="202221B6"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9FBF7AA" w14:textId="77777777" w:rsidTr="00D262DC">
        <w:trPr>
          <w:trHeight w:val="300"/>
        </w:trPr>
        <w:tc>
          <w:tcPr>
            <w:tcW w:w="1101" w:type="dxa"/>
            <w:shd w:val="clear" w:color="auto" w:fill="auto"/>
            <w:noWrap/>
            <w:vAlign w:val="center"/>
            <w:hideMark/>
          </w:tcPr>
          <w:p w14:paraId="78EC7BA8"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93120</w:t>
            </w:r>
          </w:p>
        </w:tc>
        <w:tc>
          <w:tcPr>
            <w:tcW w:w="7512" w:type="dxa"/>
            <w:shd w:val="clear" w:color="auto" w:fill="auto"/>
            <w:noWrap/>
            <w:vAlign w:val="center"/>
            <w:hideMark/>
          </w:tcPr>
          <w:p w14:paraId="2350D42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Activities of sport clubs</w:t>
            </w:r>
          </w:p>
        </w:tc>
        <w:tc>
          <w:tcPr>
            <w:tcW w:w="993" w:type="dxa"/>
            <w:shd w:val="clear" w:color="auto" w:fill="auto"/>
            <w:noWrap/>
            <w:vAlign w:val="center"/>
            <w:hideMark/>
          </w:tcPr>
          <w:p w14:paraId="6EE74982"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6F131CCF" w14:textId="77777777" w:rsidTr="00D262DC">
        <w:trPr>
          <w:trHeight w:val="300"/>
        </w:trPr>
        <w:tc>
          <w:tcPr>
            <w:tcW w:w="1101" w:type="dxa"/>
            <w:shd w:val="clear" w:color="auto" w:fill="auto"/>
            <w:noWrap/>
            <w:vAlign w:val="center"/>
            <w:hideMark/>
          </w:tcPr>
          <w:p w14:paraId="1258FCEB"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93130</w:t>
            </w:r>
          </w:p>
        </w:tc>
        <w:tc>
          <w:tcPr>
            <w:tcW w:w="7512" w:type="dxa"/>
            <w:shd w:val="clear" w:color="auto" w:fill="auto"/>
            <w:noWrap/>
            <w:vAlign w:val="center"/>
            <w:hideMark/>
          </w:tcPr>
          <w:p w14:paraId="7AEB73C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Fitness facilities</w:t>
            </w:r>
          </w:p>
        </w:tc>
        <w:tc>
          <w:tcPr>
            <w:tcW w:w="993" w:type="dxa"/>
            <w:shd w:val="clear" w:color="auto" w:fill="auto"/>
            <w:noWrap/>
            <w:vAlign w:val="center"/>
            <w:hideMark/>
          </w:tcPr>
          <w:p w14:paraId="35C559CF"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786D0478" w14:textId="77777777" w:rsidTr="00D262DC">
        <w:trPr>
          <w:trHeight w:val="300"/>
        </w:trPr>
        <w:tc>
          <w:tcPr>
            <w:tcW w:w="1101" w:type="dxa"/>
            <w:shd w:val="clear" w:color="auto" w:fill="auto"/>
            <w:noWrap/>
            <w:vAlign w:val="center"/>
            <w:hideMark/>
          </w:tcPr>
          <w:p w14:paraId="4B451D6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93191</w:t>
            </w:r>
          </w:p>
        </w:tc>
        <w:tc>
          <w:tcPr>
            <w:tcW w:w="7512" w:type="dxa"/>
            <w:shd w:val="clear" w:color="auto" w:fill="auto"/>
            <w:noWrap/>
            <w:vAlign w:val="center"/>
            <w:hideMark/>
          </w:tcPr>
          <w:p w14:paraId="3585909F"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Activities of racehorse owners</w:t>
            </w:r>
          </w:p>
        </w:tc>
        <w:tc>
          <w:tcPr>
            <w:tcW w:w="993" w:type="dxa"/>
            <w:shd w:val="clear" w:color="auto" w:fill="auto"/>
            <w:noWrap/>
            <w:vAlign w:val="center"/>
            <w:hideMark/>
          </w:tcPr>
          <w:p w14:paraId="6009F0F0"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4A02A963" w14:textId="77777777" w:rsidTr="00D262DC">
        <w:trPr>
          <w:trHeight w:val="300"/>
        </w:trPr>
        <w:tc>
          <w:tcPr>
            <w:tcW w:w="1101" w:type="dxa"/>
            <w:shd w:val="clear" w:color="auto" w:fill="auto"/>
            <w:noWrap/>
            <w:vAlign w:val="center"/>
            <w:hideMark/>
          </w:tcPr>
          <w:p w14:paraId="0951754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93199</w:t>
            </w:r>
          </w:p>
        </w:tc>
        <w:tc>
          <w:tcPr>
            <w:tcW w:w="7512" w:type="dxa"/>
            <w:shd w:val="clear" w:color="auto" w:fill="auto"/>
            <w:noWrap/>
            <w:vAlign w:val="center"/>
            <w:hideMark/>
          </w:tcPr>
          <w:p w14:paraId="150C8D58"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Other sports activities</w:t>
            </w:r>
          </w:p>
        </w:tc>
        <w:tc>
          <w:tcPr>
            <w:tcW w:w="993" w:type="dxa"/>
            <w:shd w:val="clear" w:color="auto" w:fill="auto"/>
            <w:noWrap/>
            <w:vAlign w:val="center"/>
            <w:hideMark/>
          </w:tcPr>
          <w:p w14:paraId="1D972211"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1</w:t>
            </w:r>
          </w:p>
        </w:tc>
      </w:tr>
      <w:tr w:rsidR="00E3489C" w:rsidRPr="006C0A42" w14:paraId="38969C87" w14:textId="77777777" w:rsidTr="00D262DC">
        <w:trPr>
          <w:trHeight w:val="300"/>
        </w:trPr>
        <w:tc>
          <w:tcPr>
            <w:tcW w:w="1101" w:type="dxa"/>
            <w:shd w:val="clear" w:color="auto" w:fill="auto"/>
            <w:noWrap/>
            <w:vAlign w:val="center"/>
            <w:hideMark/>
          </w:tcPr>
          <w:p w14:paraId="6329122E"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18110</w:t>
            </w:r>
          </w:p>
        </w:tc>
        <w:tc>
          <w:tcPr>
            <w:tcW w:w="7512" w:type="dxa"/>
            <w:shd w:val="clear" w:color="auto" w:fill="auto"/>
            <w:noWrap/>
            <w:vAlign w:val="center"/>
            <w:hideMark/>
          </w:tcPr>
          <w:p w14:paraId="39AB5909"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Printing of newspapers</w:t>
            </w:r>
          </w:p>
        </w:tc>
        <w:tc>
          <w:tcPr>
            <w:tcW w:w="993" w:type="dxa"/>
            <w:shd w:val="clear" w:color="auto" w:fill="auto"/>
            <w:noWrap/>
            <w:vAlign w:val="center"/>
            <w:hideMark/>
          </w:tcPr>
          <w:p w14:paraId="7D837E70"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4EE22033" w14:textId="77777777" w:rsidTr="00D262DC">
        <w:trPr>
          <w:trHeight w:val="300"/>
        </w:trPr>
        <w:tc>
          <w:tcPr>
            <w:tcW w:w="1101" w:type="dxa"/>
            <w:shd w:val="clear" w:color="auto" w:fill="auto"/>
            <w:noWrap/>
            <w:vAlign w:val="center"/>
            <w:hideMark/>
          </w:tcPr>
          <w:p w14:paraId="04FFBB0B"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18201</w:t>
            </w:r>
          </w:p>
        </w:tc>
        <w:tc>
          <w:tcPr>
            <w:tcW w:w="7512" w:type="dxa"/>
            <w:shd w:val="clear" w:color="auto" w:fill="auto"/>
            <w:noWrap/>
            <w:vAlign w:val="center"/>
            <w:hideMark/>
          </w:tcPr>
          <w:p w14:paraId="61B739DC"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Reproduction of sound recording</w:t>
            </w:r>
          </w:p>
        </w:tc>
        <w:tc>
          <w:tcPr>
            <w:tcW w:w="993" w:type="dxa"/>
            <w:shd w:val="clear" w:color="auto" w:fill="auto"/>
            <w:noWrap/>
            <w:vAlign w:val="center"/>
            <w:hideMark/>
          </w:tcPr>
          <w:p w14:paraId="4D3394D9"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73AA0DF1" w14:textId="77777777" w:rsidTr="00D262DC">
        <w:trPr>
          <w:trHeight w:val="300"/>
        </w:trPr>
        <w:tc>
          <w:tcPr>
            <w:tcW w:w="1101" w:type="dxa"/>
            <w:shd w:val="clear" w:color="auto" w:fill="auto"/>
            <w:noWrap/>
            <w:vAlign w:val="center"/>
            <w:hideMark/>
          </w:tcPr>
          <w:p w14:paraId="53FA166C"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18202</w:t>
            </w:r>
          </w:p>
        </w:tc>
        <w:tc>
          <w:tcPr>
            <w:tcW w:w="7512" w:type="dxa"/>
            <w:shd w:val="clear" w:color="auto" w:fill="auto"/>
            <w:noWrap/>
            <w:vAlign w:val="center"/>
            <w:hideMark/>
          </w:tcPr>
          <w:p w14:paraId="3C3B1B88"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Reproduction of video recording</w:t>
            </w:r>
          </w:p>
        </w:tc>
        <w:tc>
          <w:tcPr>
            <w:tcW w:w="993" w:type="dxa"/>
            <w:shd w:val="clear" w:color="auto" w:fill="auto"/>
            <w:noWrap/>
            <w:vAlign w:val="center"/>
            <w:hideMark/>
          </w:tcPr>
          <w:p w14:paraId="429BF245"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039C7D2A" w14:textId="77777777" w:rsidTr="00D262DC">
        <w:trPr>
          <w:trHeight w:val="300"/>
        </w:trPr>
        <w:tc>
          <w:tcPr>
            <w:tcW w:w="1101" w:type="dxa"/>
            <w:shd w:val="clear" w:color="auto" w:fill="auto"/>
            <w:noWrap/>
            <w:vAlign w:val="center"/>
            <w:hideMark/>
          </w:tcPr>
          <w:p w14:paraId="5DE5BE53"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18203</w:t>
            </w:r>
          </w:p>
        </w:tc>
        <w:tc>
          <w:tcPr>
            <w:tcW w:w="7512" w:type="dxa"/>
            <w:shd w:val="clear" w:color="auto" w:fill="auto"/>
            <w:noWrap/>
            <w:vAlign w:val="center"/>
            <w:hideMark/>
          </w:tcPr>
          <w:p w14:paraId="51C3660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Reproduction of computer media</w:t>
            </w:r>
          </w:p>
        </w:tc>
        <w:tc>
          <w:tcPr>
            <w:tcW w:w="993" w:type="dxa"/>
            <w:shd w:val="clear" w:color="auto" w:fill="auto"/>
            <w:noWrap/>
            <w:vAlign w:val="center"/>
            <w:hideMark/>
          </w:tcPr>
          <w:p w14:paraId="502DAEEC"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29AEE576" w14:textId="77777777" w:rsidTr="00D262DC">
        <w:trPr>
          <w:trHeight w:val="300"/>
        </w:trPr>
        <w:tc>
          <w:tcPr>
            <w:tcW w:w="1101" w:type="dxa"/>
            <w:shd w:val="clear" w:color="auto" w:fill="auto"/>
            <w:noWrap/>
            <w:vAlign w:val="center"/>
            <w:hideMark/>
          </w:tcPr>
          <w:p w14:paraId="257A572D"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23410</w:t>
            </w:r>
          </w:p>
        </w:tc>
        <w:tc>
          <w:tcPr>
            <w:tcW w:w="7512" w:type="dxa"/>
            <w:shd w:val="clear" w:color="auto" w:fill="auto"/>
            <w:noWrap/>
            <w:vAlign w:val="center"/>
            <w:hideMark/>
          </w:tcPr>
          <w:p w14:paraId="616F258C"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Manufacture of ceramic household and ornamental articles</w:t>
            </w:r>
          </w:p>
        </w:tc>
        <w:tc>
          <w:tcPr>
            <w:tcW w:w="993" w:type="dxa"/>
            <w:shd w:val="clear" w:color="auto" w:fill="auto"/>
            <w:noWrap/>
            <w:vAlign w:val="center"/>
            <w:hideMark/>
          </w:tcPr>
          <w:p w14:paraId="000061A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231187B5" w14:textId="77777777" w:rsidTr="00D262DC">
        <w:trPr>
          <w:trHeight w:val="300"/>
        </w:trPr>
        <w:tc>
          <w:tcPr>
            <w:tcW w:w="1101" w:type="dxa"/>
            <w:shd w:val="clear" w:color="auto" w:fill="auto"/>
            <w:noWrap/>
            <w:vAlign w:val="center"/>
            <w:hideMark/>
          </w:tcPr>
          <w:p w14:paraId="35A5B6A3"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31090</w:t>
            </w:r>
          </w:p>
        </w:tc>
        <w:tc>
          <w:tcPr>
            <w:tcW w:w="7512" w:type="dxa"/>
            <w:shd w:val="clear" w:color="auto" w:fill="auto"/>
            <w:noWrap/>
            <w:vAlign w:val="center"/>
            <w:hideMark/>
          </w:tcPr>
          <w:p w14:paraId="315C5984"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Manufacture of other furniture</w:t>
            </w:r>
          </w:p>
        </w:tc>
        <w:tc>
          <w:tcPr>
            <w:tcW w:w="993" w:type="dxa"/>
            <w:shd w:val="clear" w:color="auto" w:fill="auto"/>
            <w:noWrap/>
            <w:vAlign w:val="center"/>
            <w:hideMark/>
          </w:tcPr>
          <w:p w14:paraId="3EE2EFAD"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3</w:t>
            </w:r>
          </w:p>
        </w:tc>
      </w:tr>
      <w:tr w:rsidR="00E3489C" w:rsidRPr="006C0A42" w14:paraId="2DC18EB3" w14:textId="77777777" w:rsidTr="00D262DC">
        <w:trPr>
          <w:trHeight w:val="300"/>
        </w:trPr>
        <w:tc>
          <w:tcPr>
            <w:tcW w:w="1101" w:type="dxa"/>
            <w:shd w:val="clear" w:color="auto" w:fill="auto"/>
            <w:noWrap/>
            <w:vAlign w:val="center"/>
            <w:hideMark/>
          </w:tcPr>
          <w:p w14:paraId="728FE5A5"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32200</w:t>
            </w:r>
          </w:p>
        </w:tc>
        <w:tc>
          <w:tcPr>
            <w:tcW w:w="7512" w:type="dxa"/>
            <w:shd w:val="clear" w:color="auto" w:fill="auto"/>
            <w:noWrap/>
            <w:vAlign w:val="center"/>
            <w:hideMark/>
          </w:tcPr>
          <w:p w14:paraId="1569E24E"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Manufacture of musical instruments</w:t>
            </w:r>
          </w:p>
        </w:tc>
        <w:tc>
          <w:tcPr>
            <w:tcW w:w="993" w:type="dxa"/>
            <w:shd w:val="clear" w:color="auto" w:fill="auto"/>
            <w:noWrap/>
            <w:vAlign w:val="center"/>
            <w:hideMark/>
          </w:tcPr>
          <w:p w14:paraId="1A1B8B74"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054D7F49" w14:textId="77777777" w:rsidTr="00D262DC">
        <w:trPr>
          <w:trHeight w:val="300"/>
        </w:trPr>
        <w:tc>
          <w:tcPr>
            <w:tcW w:w="1101" w:type="dxa"/>
            <w:shd w:val="clear" w:color="auto" w:fill="auto"/>
            <w:noWrap/>
            <w:vAlign w:val="center"/>
            <w:hideMark/>
          </w:tcPr>
          <w:p w14:paraId="758C2D49"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46491</w:t>
            </w:r>
          </w:p>
        </w:tc>
        <w:tc>
          <w:tcPr>
            <w:tcW w:w="7512" w:type="dxa"/>
            <w:shd w:val="clear" w:color="auto" w:fill="auto"/>
            <w:noWrap/>
            <w:vAlign w:val="center"/>
            <w:hideMark/>
          </w:tcPr>
          <w:p w14:paraId="1DB23592"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Wholesale of musical instruments</w:t>
            </w:r>
          </w:p>
        </w:tc>
        <w:tc>
          <w:tcPr>
            <w:tcW w:w="993" w:type="dxa"/>
            <w:shd w:val="clear" w:color="auto" w:fill="auto"/>
            <w:noWrap/>
            <w:vAlign w:val="center"/>
            <w:hideMark/>
          </w:tcPr>
          <w:p w14:paraId="58BDD2D1"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633E2793" w14:textId="77777777" w:rsidTr="00D262DC">
        <w:trPr>
          <w:trHeight w:val="300"/>
        </w:trPr>
        <w:tc>
          <w:tcPr>
            <w:tcW w:w="1101" w:type="dxa"/>
            <w:shd w:val="clear" w:color="auto" w:fill="auto"/>
            <w:noWrap/>
            <w:vAlign w:val="center"/>
            <w:hideMark/>
          </w:tcPr>
          <w:p w14:paraId="0918C174"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47781</w:t>
            </w:r>
          </w:p>
        </w:tc>
        <w:tc>
          <w:tcPr>
            <w:tcW w:w="7512" w:type="dxa"/>
            <w:shd w:val="clear" w:color="auto" w:fill="auto"/>
            <w:noWrap/>
            <w:vAlign w:val="center"/>
            <w:hideMark/>
          </w:tcPr>
          <w:p w14:paraId="15C23FE2"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Retail sale in commercial art galleries</w:t>
            </w:r>
          </w:p>
        </w:tc>
        <w:tc>
          <w:tcPr>
            <w:tcW w:w="993" w:type="dxa"/>
            <w:shd w:val="clear" w:color="auto" w:fill="auto"/>
            <w:noWrap/>
            <w:vAlign w:val="center"/>
            <w:hideMark/>
          </w:tcPr>
          <w:p w14:paraId="5819722E"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3</w:t>
            </w:r>
          </w:p>
        </w:tc>
      </w:tr>
      <w:tr w:rsidR="00E3489C" w:rsidRPr="006C0A42" w14:paraId="62593503" w14:textId="77777777" w:rsidTr="00D262DC">
        <w:trPr>
          <w:trHeight w:val="300"/>
        </w:trPr>
        <w:tc>
          <w:tcPr>
            <w:tcW w:w="1101" w:type="dxa"/>
            <w:shd w:val="clear" w:color="auto" w:fill="auto"/>
            <w:noWrap/>
            <w:vAlign w:val="center"/>
            <w:hideMark/>
          </w:tcPr>
          <w:p w14:paraId="62811C93"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47791</w:t>
            </w:r>
          </w:p>
        </w:tc>
        <w:tc>
          <w:tcPr>
            <w:tcW w:w="7512" w:type="dxa"/>
            <w:shd w:val="clear" w:color="auto" w:fill="auto"/>
            <w:noWrap/>
            <w:vAlign w:val="center"/>
            <w:hideMark/>
          </w:tcPr>
          <w:p w14:paraId="0E321C01"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Retail sale of antiques including antique books in stores</w:t>
            </w:r>
          </w:p>
        </w:tc>
        <w:tc>
          <w:tcPr>
            <w:tcW w:w="993" w:type="dxa"/>
            <w:shd w:val="clear" w:color="auto" w:fill="auto"/>
            <w:noWrap/>
            <w:vAlign w:val="center"/>
            <w:hideMark/>
          </w:tcPr>
          <w:p w14:paraId="33691BB8"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3</w:t>
            </w:r>
          </w:p>
        </w:tc>
      </w:tr>
      <w:tr w:rsidR="00E3489C" w:rsidRPr="006C0A42" w14:paraId="39A691BB" w14:textId="77777777" w:rsidTr="00D262DC">
        <w:trPr>
          <w:trHeight w:val="300"/>
        </w:trPr>
        <w:tc>
          <w:tcPr>
            <w:tcW w:w="1101" w:type="dxa"/>
            <w:shd w:val="clear" w:color="auto" w:fill="auto"/>
            <w:noWrap/>
            <w:vAlign w:val="center"/>
            <w:hideMark/>
          </w:tcPr>
          <w:p w14:paraId="1353A5C2"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78101</w:t>
            </w:r>
          </w:p>
        </w:tc>
        <w:tc>
          <w:tcPr>
            <w:tcW w:w="7512" w:type="dxa"/>
            <w:shd w:val="clear" w:color="auto" w:fill="auto"/>
            <w:noWrap/>
            <w:vAlign w:val="center"/>
            <w:hideMark/>
          </w:tcPr>
          <w:p w14:paraId="0B0ACC03"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Motion picture, television and other theatrical casting activities</w:t>
            </w:r>
          </w:p>
        </w:tc>
        <w:tc>
          <w:tcPr>
            <w:tcW w:w="993" w:type="dxa"/>
            <w:shd w:val="clear" w:color="auto" w:fill="auto"/>
            <w:noWrap/>
            <w:vAlign w:val="center"/>
            <w:hideMark/>
          </w:tcPr>
          <w:p w14:paraId="38413BF9"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0B10118E" w14:textId="77777777" w:rsidTr="00D262DC">
        <w:trPr>
          <w:trHeight w:val="300"/>
        </w:trPr>
        <w:tc>
          <w:tcPr>
            <w:tcW w:w="1101" w:type="dxa"/>
            <w:shd w:val="clear" w:color="auto" w:fill="auto"/>
            <w:noWrap/>
            <w:vAlign w:val="center"/>
            <w:hideMark/>
          </w:tcPr>
          <w:p w14:paraId="46317758"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91030</w:t>
            </w:r>
          </w:p>
        </w:tc>
        <w:tc>
          <w:tcPr>
            <w:tcW w:w="7512" w:type="dxa"/>
            <w:shd w:val="clear" w:color="auto" w:fill="auto"/>
            <w:noWrap/>
            <w:vAlign w:val="center"/>
            <w:hideMark/>
          </w:tcPr>
          <w:p w14:paraId="72BC3E96"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Operation of historical sites and buildings and similar visitor attractions</w:t>
            </w:r>
          </w:p>
        </w:tc>
        <w:tc>
          <w:tcPr>
            <w:tcW w:w="993" w:type="dxa"/>
            <w:shd w:val="clear" w:color="auto" w:fill="auto"/>
            <w:noWrap/>
            <w:vAlign w:val="center"/>
            <w:hideMark/>
          </w:tcPr>
          <w:p w14:paraId="3AB9F59B"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2A8F9204" w14:textId="77777777" w:rsidTr="00D262DC">
        <w:trPr>
          <w:trHeight w:val="300"/>
        </w:trPr>
        <w:tc>
          <w:tcPr>
            <w:tcW w:w="1101" w:type="dxa"/>
            <w:shd w:val="clear" w:color="auto" w:fill="auto"/>
            <w:noWrap/>
            <w:vAlign w:val="center"/>
            <w:hideMark/>
          </w:tcPr>
          <w:p w14:paraId="027E2AB0"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91040</w:t>
            </w:r>
          </w:p>
        </w:tc>
        <w:tc>
          <w:tcPr>
            <w:tcW w:w="7512" w:type="dxa"/>
            <w:shd w:val="clear" w:color="auto" w:fill="auto"/>
            <w:noWrap/>
            <w:vAlign w:val="center"/>
            <w:hideMark/>
          </w:tcPr>
          <w:p w14:paraId="3D385AF5" w14:textId="77777777" w:rsidR="00E3489C" w:rsidRPr="006C0A42" w:rsidRDefault="00E3489C" w:rsidP="00C26CA6">
            <w:pPr>
              <w:spacing w:before="20" w:after="20"/>
              <w:ind w:left="33"/>
              <w:rPr>
                <w:rFonts w:cs="Arial"/>
                <w:sz w:val="18"/>
                <w:szCs w:val="18"/>
                <w:lang w:eastAsia="en-GB"/>
              </w:rPr>
            </w:pPr>
            <w:r w:rsidRPr="006C0A42">
              <w:rPr>
                <w:rFonts w:cs="Arial"/>
                <w:sz w:val="18"/>
                <w:szCs w:val="18"/>
                <w:lang w:eastAsia="en-GB"/>
              </w:rPr>
              <w:t>Botanical and zoological gardens and nature reserves activities</w:t>
            </w:r>
          </w:p>
        </w:tc>
        <w:tc>
          <w:tcPr>
            <w:tcW w:w="993" w:type="dxa"/>
            <w:shd w:val="clear" w:color="auto" w:fill="auto"/>
            <w:noWrap/>
            <w:vAlign w:val="center"/>
            <w:hideMark/>
          </w:tcPr>
          <w:p w14:paraId="36064B9D"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r w:rsidR="00E3489C" w:rsidRPr="006C0A42" w14:paraId="4AAD514F" w14:textId="77777777" w:rsidTr="00D262DC">
        <w:trPr>
          <w:trHeight w:val="300"/>
        </w:trPr>
        <w:tc>
          <w:tcPr>
            <w:tcW w:w="1101" w:type="dxa"/>
            <w:shd w:val="clear" w:color="auto" w:fill="auto"/>
            <w:noWrap/>
            <w:vAlign w:val="center"/>
            <w:hideMark/>
          </w:tcPr>
          <w:p w14:paraId="60E15DF8" w14:textId="77777777" w:rsidR="00E3489C" w:rsidRPr="006C0A42" w:rsidRDefault="00E3489C" w:rsidP="00FA72FB">
            <w:pPr>
              <w:spacing w:before="20" w:after="20"/>
              <w:ind w:hanging="1361"/>
              <w:jc w:val="center"/>
              <w:rPr>
                <w:rFonts w:cs="Arial"/>
                <w:sz w:val="18"/>
                <w:szCs w:val="18"/>
                <w:lang w:eastAsia="en-GB"/>
              </w:rPr>
            </w:pPr>
            <w:r w:rsidRPr="006C0A42">
              <w:rPr>
                <w:rFonts w:cs="Arial"/>
                <w:sz w:val="18"/>
                <w:szCs w:val="18"/>
                <w:lang w:eastAsia="en-GB"/>
              </w:rPr>
              <w:t>95240</w:t>
            </w:r>
          </w:p>
        </w:tc>
        <w:tc>
          <w:tcPr>
            <w:tcW w:w="7512" w:type="dxa"/>
            <w:shd w:val="clear" w:color="auto" w:fill="auto"/>
            <w:noWrap/>
            <w:vAlign w:val="center"/>
            <w:hideMark/>
          </w:tcPr>
          <w:p w14:paraId="40DEEDFA" w14:textId="77777777" w:rsidR="00E3489C" w:rsidRPr="006C0A42" w:rsidRDefault="00E3489C" w:rsidP="00E311F7">
            <w:pPr>
              <w:spacing w:before="20" w:after="20"/>
              <w:ind w:left="33"/>
              <w:rPr>
                <w:rFonts w:cs="Arial"/>
                <w:sz w:val="18"/>
                <w:szCs w:val="18"/>
                <w:lang w:eastAsia="en-GB"/>
              </w:rPr>
            </w:pPr>
            <w:r w:rsidRPr="006C0A42">
              <w:rPr>
                <w:rFonts w:cs="Arial"/>
                <w:sz w:val="18"/>
                <w:szCs w:val="18"/>
                <w:lang w:eastAsia="en-GB"/>
              </w:rPr>
              <w:t>Repair of furniture and home furnishings</w:t>
            </w:r>
          </w:p>
        </w:tc>
        <w:tc>
          <w:tcPr>
            <w:tcW w:w="993" w:type="dxa"/>
            <w:shd w:val="clear" w:color="auto" w:fill="auto"/>
            <w:noWrap/>
            <w:vAlign w:val="center"/>
            <w:hideMark/>
          </w:tcPr>
          <w:p w14:paraId="435C6577" w14:textId="77777777" w:rsidR="00E3489C" w:rsidRPr="006C0A42" w:rsidRDefault="00E3489C" w:rsidP="00FA72FB">
            <w:pPr>
              <w:spacing w:before="20" w:after="20"/>
              <w:ind w:hanging="1327"/>
              <w:jc w:val="center"/>
              <w:rPr>
                <w:rFonts w:cs="Arial"/>
                <w:sz w:val="18"/>
                <w:szCs w:val="18"/>
                <w:lang w:eastAsia="en-GB"/>
              </w:rPr>
            </w:pPr>
            <w:r w:rsidRPr="006C0A42">
              <w:rPr>
                <w:rFonts w:cs="Arial"/>
                <w:sz w:val="18"/>
                <w:szCs w:val="18"/>
                <w:lang w:eastAsia="en-GB"/>
              </w:rPr>
              <w:t>2</w:t>
            </w:r>
          </w:p>
        </w:tc>
      </w:tr>
    </w:tbl>
    <w:p w14:paraId="76151DAF" w14:textId="77777777" w:rsidR="00E3489C" w:rsidRPr="00514EFA" w:rsidRDefault="00E3489C" w:rsidP="00E3489C">
      <w:pPr>
        <w:widowControl w:val="0"/>
        <w:autoSpaceDE w:val="0"/>
        <w:autoSpaceDN w:val="0"/>
        <w:adjustRightInd w:val="0"/>
        <w:spacing w:before="0" w:after="120" w:line="276" w:lineRule="auto"/>
        <w:ind w:left="0"/>
        <w:contextualSpacing/>
        <w:rPr>
          <w:rFonts w:eastAsia="Calibri" w:cs="Arial"/>
          <w:szCs w:val="22"/>
        </w:rPr>
      </w:pPr>
    </w:p>
    <w:p w14:paraId="2320C88C" w14:textId="77777777" w:rsidR="00E3489C" w:rsidRPr="00514EFA" w:rsidRDefault="00E3489C" w:rsidP="00F0636B">
      <w:pPr>
        <w:pStyle w:val="Heading2Numbered"/>
        <w:rPr>
          <w:rFonts w:eastAsia="Calibri"/>
        </w:rPr>
      </w:pPr>
      <w:bookmarkStart w:id="147" w:name="_Toc464222960"/>
      <w:r>
        <w:rPr>
          <w:rFonts w:eastAsia="Calibri"/>
        </w:rPr>
        <w:t>Knowledge I</w:t>
      </w:r>
      <w:r w:rsidRPr="00514EFA">
        <w:rPr>
          <w:rFonts w:eastAsia="Calibri"/>
        </w:rPr>
        <w:t>ndustries</w:t>
      </w:r>
      <w:bookmarkEnd w:id="147"/>
    </w:p>
    <w:p w14:paraId="3BBA7402" w14:textId="77777777" w:rsidR="00E3489C" w:rsidRDefault="00E3489C" w:rsidP="00E3489C">
      <w:r>
        <w:t>Analysis is based on the OECD definition of the Knowledge Industries</w:t>
      </w:r>
      <w:r>
        <w:rPr>
          <w:rStyle w:val="FootnoteReference"/>
        </w:rPr>
        <w:footnoteReference w:id="41"/>
      </w:r>
      <w:r>
        <w:t>, updated from SIC 2003</w:t>
      </w:r>
      <w:r>
        <w:rPr>
          <w:rStyle w:val="FootnoteReference"/>
        </w:rPr>
        <w:footnoteReference w:id="42"/>
      </w:r>
      <w:r>
        <w:t xml:space="preserve"> to SIC 2007 using conversion tables from ONS</w:t>
      </w:r>
      <w:r>
        <w:rPr>
          <w:rStyle w:val="FootnoteReference"/>
        </w:rPr>
        <w:footnoteReference w:id="43"/>
      </w:r>
      <w:r>
        <w:t>.</w:t>
      </w:r>
    </w:p>
    <w:p w14:paraId="7B013FB3" w14:textId="77777777" w:rsidR="00E3489C" w:rsidRDefault="00E3489C" w:rsidP="00E3489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8473"/>
      </w:tblGrid>
      <w:tr w:rsidR="00E311F7" w:rsidRPr="00FA72FB" w14:paraId="415145E2" w14:textId="77777777" w:rsidTr="00FA72FB">
        <w:trPr>
          <w:trHeight w:val="300"/>
          <w:tblHeader/>
        </w:trPr>
        <w:tc>
          <w:tcPr>
            <w:tcW w:w="573" w:type="pct"/>
            <w:shd w:val="clear" w:color="auto" w:fill="auto"/>
            <w:noWrap/>
            <w:vAlign w:val="center"/>
            <w:hideMark/>
          </w:tcPr>
          <w:p w14:paraId="79F5A119" w14:textId="77777777" w:rsidR="00E311F7" w:rsidRPr="00FA72FB" w:rsidRDefault="00E311F7" w:rsidP="00FA72FB">
            <w:pPr>
              <w:spacing w:before="20" w:after="20"/>
              <w:ind w:left="0"/>
              <w:jc w:val="center"/>
              <w:rPr>
                <w:rFonts w:cs="Arial"/>
                <w:b/>
                <w:bCs/>
                <w:sz w:val="18"/>
                <w:szCs w:val="18"/>
                <w:lang w:eastAsia="en-GB"/>
              </w:rPr>
            </w:pPr>
            <w:r w:rsidRPr="00FA72FB">
              <w:rPr>
                <w:rFonts w:cs="Arial"/>
                <w:b/>
                <w:bCs/>
                <w:sz w:val="18"/>
                <w:szCs w:val="18"/>
                <w:lang w:eastAsia="en-GB"/>
              </w:rPr>
              <w:t>SIC03</w:t>
            </w:r>
          </w:p>
        </w:tc>
        <w:tc>
          <w:tcPr>
            <w:tcW w:w="4427" w:type="pct"/>
            <w:shd w:val="clear" w:color="auto" w:fill="auto"/>
            <w:noWrap/>
            <w:vAlign w:val="center"/>
            <w:hideMark/>
          </w:tcPr>
          <w:p w14:paraId="5F322BA6" w14:textId="104FFD9F" w:rsidR="00E311F7" w:rsidRPr="00FA72FB" w:rsidRDefault="00E311F7" w:rsidP="00FA72FB">
            <w:pPr>
              <w:spacing w:before="20" w:after="20"/>
              <w:ind w:left="0"/>
              <w:rPr>
                <w:rFonts w:cs="Arial"/>
                <w:b/>
                <w:bCs/>
                <w:sz w:val="18"/>
                <w:szCs w:val="18"/>
                <w:lang w:eastAsia="en-GB"/>
              </w:rPr>
            </w:pPr>
            <w:r w:rsidRPr="00FA72FB">
              <w:rPr>
                <w:rFonts w:cs="Arial"/>
                <w:b/>
                <w:bCs/>
                <w:sz w:val="18"/>
                <w:szCs w:val="18"/>
                <w:lang w:eastAsia="en-GB"/>
              </w:rPr>
              <w:t>Description</w:t>
            </w:r>
          </w:p>
        </w:tc>
      </w:tr>
      <w:tr w:rsidR="00E311F7" w:rsidRPr="00FA72FB" w14:paraId="598BDCA1" w14:textId="77777777" w:rsidTr="00FA72FB">
        <w:trPr>
          <w:trHeight w:val="300"/>
        </w:trPr>
        <w:tc>
          <w:tcPr>
            <w:tcW w:w="573" w:type="pct"/>
            <w:shd w:val="clear" w:color="auto" w:fill="auto"/>
            <w:noWrap/>
            <w:vAlign w:val="center"/>
            <w:hideMark/>
          </w:tcPr>
          <w:p w14:paraId="65F2C1D2"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2D02838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Legal, accounting, book-keeping and auditing activities; tax consultancy; market research and public opinion polling; business and management consultancy; holdings</w:t>
            </w:r>
          </w:p>
        </w:tc>
      </w:tr>
      <w:tr w:rsidR="00E311F7" w:rsidRPr="00FA72FB" w14:paraId="16BEB64E" w14:textId="77777777" w:rsidTr="00FA72FB">
        <w:trPr>
          <w:trHeight w:val="300"/>
        </w:trPr>
        <w:tc>
          <w:tcPr>
            <w:tcW w:w="573" w:type="pct"/>
            <w:shd w:val="clear" w:color="auto" w:fill="auto"/>
            <w:noWrap/>
            <w:vAlign w:val="center"/>
            <w:hideMark/>
          </w:tcPr>
          <w:p w14:paraId="659BF4F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221</w:t>
            </w:r>
          </w:p>
        </w:tc>
        <w:tc>
          <w:tcPr>
            <w:tcW w:w="4427" w:type="pct"/>
            <w:shd w:val="clear" w:color="auto" w:fill="auto"/>
            <w:noWrap/>
            <w:vAlign w:val="center"/>
            <w:hideMark/>
          </w:tcPr>
          <w:p w14:paraId="2B107CF8"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Publishing</w:t>
            </w:r>
          </w:p>
        </w:tc>
      </w:tr>
      <w:tr w:rsidR="00E311F7" w:rsidRPr="00FA72FB" w14:paraId="2ECB4A3E" w14:textId="77777777" w:rsidTr="00FA72FB">
        <w:trPr>
          <w:trHeight w:val="300"/>
        </w:trPr>
        <w:tc>
          <w:tcPr>
            <w:tcW w:w="573" w:type="pct"/>
            <w:shd w:val="clear" w:color="auto" w:fill="auto"/>
            <w:noWrap/>
            <w:vAlign w:val="center"/>
            <w:hideMark/>
          </w:tcPr>
          <w:p w14:paraId="2D6489D5"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724</w:t>
            </w:r>
          </w:p>
        </w:tc>
        <w:tc>
          <w:tcPr>
            <w:tcW w:w="4427" w:type="pct"/>
            <w:shd w:val="clear" w:color="auto" w:fill="auto"/>
            <w:noWrap/>
            <w:vAlign w:val="center"/>
            <w:hideMark/>
          </w:tcPr>
          <w:p w14:paraId="05086C67"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base activities</w:t>
            </w:r>
          </w:p>
        </w:tc>
      </w:tr>
      <w:tr w:rsidR="00E311F7" w:rsidRPr="00FA72FB" w14:paraId="089EA893" w14:textId="77777777" w:rsidTr="00FA72FB">
        <w:trPr>
          <w:trHeight w:val="300"/>
        </w:trPr>
        <w:tc>
          <w:tcPr>
            <w:tcW w:w="573" w:type="pct"/>
            <w:shd w:val="clear" w:color="auto" w:fill="auto"/>
            <w:noWrap/>
            <w:vAlign w:val="center"/>
            <w:hideMark/>
          </w:tcPr>
          <w:p w14:paraId="47EC001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722</w:t>
            </w:r>
          </w:p>
        </w:tc>
        <w:tc>
          <w:tcPr>
            <w:tcW w:w="4427" w:type="pct"/>
            <w:shd w:val="clear" w:color="auto" w:fill="auto"/>
            <w:noWrap/>
            <w:vAlign w:val="center"/>
            <w:hideMark/>
          </w:tcPr>
          <w:p w14:paraId="43CB7A5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Software consultancy and supply</w:t>
            </w:r>
          </w:p>
        </w:tc>
      </w:tr>
      <w:tr w:rsidR="00E311F7" w:rsidRPr="00FA72FB" w14:paraId="71D51051" w14:textId="77777777" w:rsidTr="00FA72FB">
        <w:trPr>
          <w:trHeight w:val="300"/>
        </w:trPr>
        <w:tc>
          <w:tcPr>
            <w:tcW w:w="573" w:type="pct"/>
            <w:shd w:val="clear" w:color="auto" w:fill="auto"/>
            <w:noWrap/>
            <w:vAlign w:val="center"/>
            <w:hideMark/>
          </w:tcPr>
          <w:p w14:paraId="49B5B5D7"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724</w:t>
            </w:r>
          </w:p>
        </w:tc>
        <w:tc>
          <w:tcPr>
            <w:tcW w:w="4427" w:type="pct"/>
            <w:shd w:val="clear" w:color="auto" w:fill="auto"/>
            <w:noWrap/>
            <w:vAlign w:val="center"/>
            <w:hideMark/>
          </w:tcPr>
          <w:p w14:paraId="5B0DD9E9"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base activities</w:t>
            </w:r>
          </w:p>
        </w:tc>
      </w:tr>
      <w:tr w:rsidR="00E311F7" w:rsidRPr="00FA72FB" w14:paraId="2D495A32" w14:textId="77777777" w:rsidTr="00FA72FB">
        <w:trPr>
          <w:trHeight w:val="300"/>
        </w:trPr>
        <w:tc>
          <w:tcPr>
            <w:tcW w:w="573" w:type="pct"/>
            <w:shd w:val="clear" w:color="auto" w:fill="auto"/>
            <w:noWrap/>
            <w:vAlign w:val="center"/>
            <w:hideMark/>
          </w:tcPr>
          <w:p w14:paraId="15DFDB0E"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921</w:t>
            </w:r>
          </w:p>
        </w:tc>
        <w:tc>
          <w:tcPr>
            <w:tcW w:w="4427" w:type="pct"/>
            <w:shd w:val="clear" w:color="auto" w:fill="auto"/>
            <w:noWrap/>
            <w:vAlign w:val="center"/>
            <w:hideMark/>
          </w:tcPr>
          <w:p w14:paraId="47E363A7"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Motion picture and video activities</w:t>
            </w:r>
          </w:p>
        </w:tc>
      </w:tr>
      <w:tr w:rsidR="00E311F7" w:rsidRPr="00FA72FB" w14:paraId="753A5C03" w14:textId="77777777" w:rsidTr="00FA72FB">
        <w:trPr>
          <w:trHeight w:val="300"/>
        </w:trPr>
        <w:tc>
          <w:tcPr>
            <w:tcW w:w="573" w:type="pct"/>
            <w:shd w:val="clear" w:color="auto" w:fill="auto"/>
            <w:noWrap/>
            <w:vAlign w:val="center"/>
            <w:hideMark/>
          </w:tcPr>
          <w:p w14:paraId="7215EB4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922</w:t>
            </w:r>
          </w:p>
        </w:tc>
        <w:tc>
          <w:tcPr>
            <w:tcW w:w="4427" w:type="pct"/>
            <w:shd w:val="clear" w:color="auto" w:fill="auto"/>
            <w:noWrap/>
            <w:vAlign w:val="center"/>
            <w:hideMark/>
          </w:tcPr>
          <w:p w14:paraId="4DF00F0F"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Radio and television activities</w:t>
            </w:r>
          </w:p>
        </w:tc>
      </w:tr>
      <w:tr w:rsidR="00E311F7" w:rsidRPr="00FA72FB" w14:paraId="0BB98B4E" w14:textId="77777777" w:rsidTr="00FA72FB">
        <w:trPr>
          <w:trHeight w:val="300"/>
        </w:trPr>
        <w:tc>
          <w:tcPr>
            <w:tcW w:w="573" w:type="pct"/>
            <w:shd w:val="clear" w:color="auto" w:fill="auto"/>
            <w:noWrap/>
            <w:vAlign w:val="center"/>
            <w:hideMark/>
          </w:tcPr>
          <w:p w14:paraId="5AE8DDF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221</w:t>
            </w:r>
          </w:p>
        </w:tc>
        <w:tc>
          <w:tcPr>
            <w:tcW w:w="4427" w:type="pct"/>
            <w:shd w:val="clear" w:color="auto" w:fill="auto"/>
            <w:noWrap/>
            <w:vAlign w:val="center"/>
            <w:hideMark/>
          </w:tcPr>
          <w:p w14:paraId="3297545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Publishing</w:t>
            </w:r>
          </w:p>
        </w:tc>
      </w:tr>
      <w:tr w:rsidR="00E311F7" w:rsidRPr="00FA72FB" w14:paraId="024C0874" w14:textId="77777777" w:rsidTr="00FA72FB">
        <w:trPr>
          <w:trHeight w:val="300"/>
        </w:trPr>
        <w:tc>
          <w:tcPr>
            <w:tcW w:w="573" w:type="pct"/>
            <w:shd w:val="clear" w:color="auto" w:fill="auto"/>
            <w:noWrap/>
            <w:vAlign w:val="center"/>
            <w:hideMark/>
          </w:tcPr>
          <w:p w14:paraId="6821D685"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724</w:t>
            </w:r>
          </w:p>
        </w:tc>
        <w:tc>
          <w:tcPr>
            <w:tcW w:w="4427" w:type="pct"/>
            <w:shd w:val="clear" w:color="auto" w:fill="auto"/>
            <w:noWrap/>
            <w:vAlign w:val="center"/>
            <w:hideMark/>
          </w:tcPr>
          <w:p w14:paraId="752FAC71"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base activities</w:t>
            </w:r>
          </w:p>
        </w:tc>
      </w:tr>
      <w:tr w:rsidR="00E311F7" w:rsidRPr="00FA72FB" w14:paraId="2080BEEC" w14:textId="77777777" w:rsidTr="00FA72FB">
        <w:trPr>
          <w:trHeight w:val="300"/>
        </w:trPr>
        <w:tc>
          <w:tcPr>
            <w:tcW w:w="573" w:type="pct"/>
            <w:shd w:val="clear" w:color="auto" w:fill="auto"/>
            <w:noWrap/>
            <w:vAlign w:val="center"/>
            <w:hideMark/>
          </w:tcPr>
          <w:p w14:paraId="39ECF54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528B566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2AFB0637" w14:textId="77777777" w:rsidTr="00FA72FB">
        <w:trPr>
          <w:trHeight w:val="300"/>
        </w:trPr>
        <w:tc>
          <w:tcPr>
            <w:tcW w:w="573" w:type="pct"/>
            <w:shd w:val="clear" w:color="auto" w:fill="auto"/>
            <w:noWrap/>
            <w:vAlign w:val="center"/>
            <w:hideMark/>
          </w:tcPr>
          <w:p w14:paraId="0629347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921</w:t>
            </w:r>
          </w:p>
        </w:tc>
        <w:tc>
          <w:tcPr>
            <w:tcW w:w="4427" w:type="pct"/>
            <w:shd w:val="clear" w:color="auto" w:fill="auto"/>
            <w:noWrap/>
            <w:vAlign w:val="center"/>
            <w:hideMark/>
          </w:tcPr>
          <w:p w14:paraId="75CD51D9"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Motion picture and video activities</w:t>
            </w:r>
          </w:p>
        </w:tc>
      </w:tr>
      <w:tr w:rsidR="00E311F7" w:rsidRPr="00FA72FB" w14:paraId="5C0B97EC" w14:textId="77777777" w:rsidTr="00FA72FB">
        <w:trPr>
          <w:trHeight w:val="300"/>
        </w:trPr>
        <w:tc>
          <w:tcPr>
            <w:tcW w:w="573" w:type="pct"/>
            <w:shd w:val="clear" w:color="auto" w:fill="auto"/>
            <w:noWrap/>
            <w:vAlign w:val="center"/>
            <w:hideMark/>
          </w:tcPr>
          <w:p w14:paraId="7B2A457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922</w:t>
            </w:r>
          </w:p>
        </w:tc>
        <w:tc>
          <w:tcPr>
            <w:tcW w:w="4427" w:type="pct"/>
            <w:shd w:val="clear" w:color="auto" w:fill="auto"/>
            <w:noWrap/>
            <w:vAlign w:val="center"/>
            <w:hideMark/>
          </w:tcPr>
          <w:p w14:paraId="1FB6FB9C"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Radio and television activities</w:t>
            </w:r>
          </w:p>
        </w:tc>
      </w:tr>
      <w:tr w:rsidR="00E311F7" w:rsidRPr="00FA72FB" w14:paraId="13C5CDC1" w14:textId="77777777" w:rsidTr="00FA72FB">
        <w:trPr>
          <w:trHeight w:val="300"/>
        </w:trPr>
        <w:tc>
          <w:tcPr>
            <w:tcW w:w="573" w:type="pct"/>
            <w:shd w:val="clear" w:color="auto" w:fill="auto"/>
            <w:noWrap/>
            <w:vAlign w:val="center"/>
            <w:hideMark/>
          </w:tcPr>
          <w:p w14:paraId="43D020A9"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2281CAC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5A409AD5" w14:textId="77777777" w:rsidTr="00FA72FB">
        <w:trPr>
          <w:trHeight w:val="300"/>
        </w:trPr>
        <w:tc>
          <w:tcPr>
            <w:tcW w:w="573" w:type="pct"/>
            <w:shd w:val="clear" w:color="auto" w:fill="auto"/>
            <w:noWrap/>
            <w:vAlign w:val="center"/>
            <w:hideMark/>
          </w:tcPr>
          <w:p w14:paraId="267310A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922</w:t>
            </w:r>
          </w:p>
        </w:tc>
        <w:tc>
          <w:tcPr>
            <w:tcW w:w="4427" w:type="pct"/>
            <w:shd w:val="clear" w:color="auto" w:fill="auto"/>
            <w:noWrap/>
            <w:vAlign w:val="center"/>
            <w:hideMark/>
          </w:tcPr>
          <w:p w14:paraId="2752783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Radio and television activities</w:t>
            </w:r>
          </w:p>
        </w:tc>
      </w:tr>
      <w:tr w:rsidR="00E311F7" w:rsidRPr="00FA72FB" w14:paraId="63471045" w14:textId="77777777" w:rsidTr="00FA72FB">
        <w:trPr>
          <w:trHeight w:val="300"/>
        </w:trPr>
        <w:tc>
          <w:tcPr>
            <w:tcW w:w="573" w:type="pct"/>
            <w:shd w:val="clear" w:color="auto" w:fill="auto"/>
            <w:noWrap/>
            <w:vAlign w:val="center"/>
            <w:hideMark/>
          </w:tcPr>
          <w:p w14:paraId="7B80CD05"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17462B6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65598D5C" w14:textId="77777777" w:rsidTr="00FA72FB">
        <w:trPr>
          <w:trHeight w:val="300"/>
        </w:trPr>
        <w:tc>
          <w:tcPr>
            <w:tcW w:w="573" w:type="pct"/>
            <w:shd w:val="clear" w:color="auto" w:fill="auto"/>
            <w:noWrap/>
            <w:vAlign w:val="center"/>
            <w:hideMark/>
          </w:tcPr>
          <w:p w14:paraId="384809BF"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922</w:t>
            </w:r>
          </w:p>
        </w:tc>
        <w:tc>
          <w:tcPr>
            <w:tcW w:w="4427" w:type="pct"/>
            <w:shd w:val="clear" w:color="auto" w:fill="auto"/>
            <w:noWrap/>
            <w:vAlign w:val="center"/>
            <w:hideMark/>
          </w:tcPr>
          <w:p w14:paraId="3EAAC6B1"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Radio and television activities</w:t>
            </w:r>
          </w:p>
        </w:tc>
      </w:tr>
      <w:tr w:rsidR="00E311F7" w:rsidRPr="00FA72FB" w14:paraId="02856AB0" w14:textId="77777777" w:rsidTr="00FA72FB">
        <w:trPr>
          <w:trHeight w:val="300"/>
        </w:trPr>
        <w:tc>
          <w:tcPr>
            <w:tcW w:w="573" w:type="pct"/>
            <w:shd w:val="clear" w:color="auto" w:fill="auto"/>
            <w:noWrap/>
            <w:vAlign w:val="center"/>
            <w:hideMark/>
          </w:tcPr>
          <w:p w14:paraId="3791027A"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5118C60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739D3546" w14:textId="77777777" w:rsidTr="00FA72FB">
        <w:trPr>
          <w:trHeight w:val="300"/>
        </w:trPr>
        <w:tc>
          <w:tcPr>
            <w:tcW w:w="573" w:type="pct"/>
            <w:shd w:val="clear" w:color="auto" w:fill="auto"/>
            <w:noWrap/>
            <w:vAlign w:val="center"/>
            <w:hideMark/>
          </w:tcPr>
          <w:p w14:paraId="535A9F7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56A403DA"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7C6026AD" w14:textId="77777777" w:rsidTr="00FA72FB">
        <w:trPr>
          <w:trHeight w:val="300"/>
        </w:trPr>
        <w:tc>
          <w:tcPr>
            <w:tcW w:w="573" w:type="pct"/>
            <w:shd w:val="clear" w:color="auto" w:fill="auto"/>
            <w:noWrap/>
            <w:vAlign w:val="center"/>
            <w:hideMark/>
          </w:tcPr>
          <w:p w14:paraId="7111BBC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505DE38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60FF7B48" w14:textId="77777777" w:rsidTr="00FA72FB">
        <w:trPr>
          <w:trHeight w:val="300"/>
        </w:trPr>
        <w:tc>
          <w:tcPr>
            <w:tcW w:w="573" w:type="pct"/>
            <w:shd w:val="clear" w:color="auto" w:fill="auto"/>
            <w:noWrap/>
            <w:vAlign w:val="center"/>
            <w:hideMark/>
          </w:tcPr>
          <w:p w14:paraId="0FB8A912"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642</w:t>
            </w:r>
          </w:p>
        </w:tc>
        <w:tc>
          <w:tcPr>
            <w:tcW w:w="4427" w:type="pct"/>
            <w:shd w:val="clear" w:color="auto" w:fill="auto"/>
            <w:noWrap/>
            <w:vAlign w:val="center"/>
            <w:hideMark/>
          </w:tcPr>
          <w:p w14:paraId="3A3AD28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Telecommunications</w:t>
            </w:r>
          </w:p>
        </w:tc>
      </w:tr>
      <w:tr w:rsidR="00E311F7" w:rsidRPr="00FA72FB" w14:paraId="4DBFF107" w14:textId="77777777" w:rsidTr="00FA72FB">
        <w:trPr>
          <w:trHeight w:val="300"/>
        </w:trPr>
        <w:tc>
          <w:tcPr>
            <w:tcW w:w="573" w:type="pct"/>
            <w:shd w:val="clear" w:color="auto" w:fill="auto"/>
            <w:noWrap/>
            <w:vAlign w:val="center"/>
            <w:hideMark/>
          </w:tcPr>
          <w:p w14:paraId="4429746A"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721</w:t>
            </w:r>
          </w:p>
        </w:tc>
        <w:tc>
          <w:tcPr>
            <w:tcW w:w="4427" w:type="pct"/>
            <w:shd w:val="clear" w:color="auto" w:fill="auto"/>
            <w:noWrap/>
            <w:vAlign w:val="center"/>
            <w:hideMark/>
          </w:tcPr>
          <w:p w14:paraId="0563D8A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Hardware consultancy</w:t>
            </w:r>
          </w:p>
        </w:tc>
      </w:tr>
      <w:tr w:rsidR="00E311F7" w:rsidRPr="00FA72FB" w14:paraId="55CA94F4" w14:textId="77777777" w:rsidTr="00FA72FB">
        <w:trPr>
          <w:trHeight w:val="300"/>
        </w:trPr>
        <w:tc>
          <w:tcPr>
            <w:tcW w:w="573" w:type="pct"/>
            <w:shd w:val="clear" w:color="auto" w:fill="auto"/>
            <w:noWrap/>
            <w:vAlign w:val="center"/>
            <w:hideMark/>
          </w:tcPr>
          <w:p w14:paraId="578E78A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722</w:t>
            </w:r>
          </w:p>
        </w:tc>
        <w:tc>
          <w:tcPr>
            <w:tcW w:w="4427" w:type="pct"/>
            <w:shd w:val="clear" w:color="auto" w:fill="auto"/>
            <w:noWrap/>
            <w:vAlign w:val="center"/>
            <w:hideMark/>
          </w:tcPr>
          <w:p w14:paraId="0FB67F39"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Software consultancy and supply</w:t>
            </w:r>
          </w:p>
        </w:tc>
      </w:tr>
      <w:tr w:rsidR="00E311F7" w:rsidRPr="00FA72FB" w14:paraId="456C60BD" w14:textId="77777777" w:rsidTr="00FA72FB">
        <w:trPr>
          <w:trHeight w:val="300"/>
        </w:trPr>
        <w:tc>
          <w:tcPr>
            <w:tcW w:w="573" w:type="pct"/>
            <w:shd w:val="clear" w:color="auto" w:fill="auto"/>
            <w:noWrap/>
            <w:vAlign w:val="center"/>
            <w:hideMark/>
          </w:tcPr>
          <w:p w14:paraId="57C12B1B"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723</w:t>
            </w:r>
          </w:p>
        </w:tc>
        <w:tc>
          <w:tcPr>
            <w:tcW w:w="4427" w:type="pct"/>
            <w:shd w:val="clear" w:color="auto" w:fill="auto"/>
            <w:noWrap/>
            <w:vAlign w:val="center"/>
            <w:hideMark/>
          </w:tcPr>
          <w:p w14:paraId="289F9C2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processing</w:t>
            </w:r>
          </w:p>
        </w:tc>
      </w:tr>
      <w:tr w:rsidR="00E311F7" w:rsidRPr="00FA72FB" w14:paraId="75F8EE90" w14:textId="77777777" w:rsidTr="00FA72FB">
        <w:trPr>
          <w:trHeight w:val="300"/>
        </w:trPr>
        <w:tc>
          <w:tcPr>
            <w:tcW w:w="573" w:type="pct"/>
            <w:shd w:val="clear" w:color="auto" w:fill="auto"/>
            <w:noWrap/>
            <w:vAlign w:val="center"/>
            <w:hideMark/>
          </w:tcPr>
          <w:p w14:paraId="69C8034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724</w:t>
            </w:r>
          </w:p>
        </w:tc>
        <w:tc>
          <w:tcPr>
            <w:tcW w:w="4427" w:type="pct"/>
            <w:shd w:val="clear" w:color="auto" w:fill="auto"/>
            <w:noWrap/>
            <w:vAlign w:val="center"/>
            <w:hideMark/>
          </w:tcPr>
          <w:p w14:paraId="3932CC14"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base activities</w:t>
            </w:r>
          </w:p>
        </w:tc>
      </w:tr>
      <w:tr w:rsidR="00E311F7" w:rsidRPr="00FA72FB" w14:paraId="23663B67" w14:textId="77777777" w:rsidTr="00FA72FB">
        <w:trPr>
          <w:trHeight w:val="300"/>
        </w:trPr>
        <w:tc>
          <w:tcPr>
            <w:tcW w:w="573" w:type="pct"/>
            <w:shd w:val="clear" w:color="auto" w:fill="auto"/>
            <w:noWrap/>
            <w:vAlign w:val="center"/>
            <w:hideMark/>
          </w:tcPr>
          <w:p w14:paraId="69E50F2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726</w:t>
            </w:r>
          </w:p>
        </w:tc>
        <w:tc>
          <w:tcPr>
            <w:tcW w:w="4427" w:type="pct"/>
            <w:shd w:val="clear" w:color="auto" w:fill="auto"/>
            <w:noWrap/>
            <w:vAlign w:val="center"/>
            <w:hideMark/>
          </w:tcPr>
          <w:p w14:paraId="138373AF"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computer related activities</w:t>
            </w:r>
          </w:p>
        </w:tc>
      </w:tr>
      <w:tr w:rsidR="00E311F7" w:rsidRPr="00FA72FB" w14:paraId="584280F5" w14:textId="77777777" w:rsidTr="00FA72FB">
        <w:trPr>
          <w:trHeight w:val="300"/>
        </w:trPr>
        <w:tc>
          <w:tcPr>
            <w:tcW w:w="573" w:type="pct"/>
            <w:shd w:val="clear" w:color="auto" w:fill="auto"/>
            <w:noWrap/>
            <w:vAlign w:val="center"/>
            <w:hideMark/>
          </w:tcPr>
          <w:p w14:paraId="2401B63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723</w:t>
            </w:r>
          </w:p>
        </w:tc>
        <w:tc>
          <w:tcPr>
            <w:tcW w:w="4427" w:type="pct"/>
            <w:shd w:val="clear" w:color="auto" w:fill="auto"/>
            <w:noWrap/>
            <w:vAlign w:val="center"/>
            <w:hideMark/>
          </w:tcPr>
          <w:p w14:paraId="70B8F12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processing</w:t>
            </w:r>
          </w:p>
        </w:tc>
      </w:tr>
      <w:tr w:rsidR="00E311F7" w:rsidRPr="00FA72FB" w14:paraId="710E65E5" w14:textId="77777777" w:rsidTr="00FA72FB">
        <w:trPr>
          <w:trHeight w:val="300"/>
        </w:trPr>
        <w:tc>
          <w:tcPr>
            <w:tcW w:w="573" w:type="pct"/>
            <w:shd w:val="clear" w:color="auto" w:fill="auto"/>
            <w:noWrap/>
            <w:vAlign w:val="center"/>
            <w:hideMark/>
          </w:tcPr>
          <w:p w14:paraId="0A5A1DB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724</w:t>
            </w:r>
          </w:p>
        </w:tc>
        <w:tc>
          <w:tcPr>
            <w:tcW w:w="4427" w:type="pct"/>
            <w:shd w:val="clear" w:color="auto" w:fill="auto"/>
            <w:noWrap/>
            <w:vAlign w:val="center"/>
            <w:hideMark/>
          </w:tcPr>
          <w:p w14:paraId="3E3369E6"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Data base activities</w:t>
            </w:r>
          </w:p>
        </w:tc>
      </w:tr>
      <w:tr w:rsidR="00E311F7" w:rsidRPr="00FA72FB" w14:paraId="610E2FC4" w14:textId="77777777" w:rsidTr="00FA72FB">
        <w:trPr>
          <w:trHeight w:val="300"/>
        </w:trPr>
        <w:tc>
          <w:tcPr>
            <w:tcW w:w="573" w:type="pct"/>
            <w:shd w:val="clear" w:color="auto" w:fill="auto"/>
            <w:noWrap/>
            <w:vAlign w:val="center"/>
            <w:hideMark/>
          </w:tcPr>
          <w:p w14:paraId="5068017E"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410E2FF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5F0ADCDF" w14:textId="77777777" w:rsidTr="00FA72FB">
        <w:trPr>
          <w:trHeight w:val="300"/>
        </w:trPr>
        <w:tc>
          <w:tcPr>
            <w:tcW w:w="573" w:type="pct"/>
            <w:shd w:val="clear" w:color="auto" w:fill="auto"/>
            <w:noWrap/>
            <w:vAlign w:val="center"/>
            <w:hideMark/>
          </w:tcPr>
          <w:p w14:paraId="784B654A"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924</w:t>
            </w:r>
          </w:p>
        </w:tc>
        <w:tc>
          <w:tcPr>
            <w:tcW w:w="4427" w:type="pct"/>
            <w:shd w:val="clear" w:color="auto" w:fill="auto"/>
            <w:noWrap/>
            <w:vAlign w:val="center"/>
            <w:hideMark/>
          </w:tcPr>
          <w:p w14:paraId="7F79C815"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News agency activities</w:t>
            </w:r>
          </w:p>
        </w:tc>
      </w:tr>
      <w:tr w:rsidR="00E311F7" w:rsidRPr="00FA72FB" w14:paraId="5740BA37" w14:textId="77777777" w:rsidTr="00FA72FB">
        <w:trPr>
          <w:trHeight w:val="300"/>
        </w:trPr>
        <w:tc>
          <w:tcPr>
            <w:tcW w:w="573" w:type="pct"/>
            <w:shd w:val="clear" w:color="auto" w:fill="auto"/>
            <w:noWrap/>
            <w:vAlign w:val="center"/>
            <w:hideMark/>
          </w:tcPr>
          <w:p w14:paraId="3EC83BA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651</w:t>
            </w:r>
          </w:p>
        </w:tc>
        <w:tc>
          <w:tcPr>
            <w:tcW w:w="4427" w:type="pct"/>
            <w:shd w:val="clear" w:color="auto" w:fill="auto"/>
            <w:noWrap/>
            <w:vAlign w:val="center"/>
            <w:hideMark/>
          </w:tcPr>
          <w:p w14:paraId="22A4DA3F"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Monetary intermediation</w:t>
            </w:r>
          </w:p>
        </w:tc>
      </w:tr>
      <w:tr w:rsidR="00E311F7" w:rsidRPr="00FA72FB" w14:paraId="0253C4C3" w14:textId="77777777" w:rsidTr="00FA72FB">
        <w:trPr>
          <w:trHeight w:val="300"/>
        </w:trPr>
        <w:tc>
          <w:tcPr>
            <w:tcW w:w="573" w:type="pct"/>
            <w:shd w:val="clear" w:color="auto" w:fill="auto"/>
            <w:noWrap/>
            <w:vAlign w:val="center"/>
            <w:hideMark/>
          </w:tcPr>
          <w:p w14:paraId="6934B069"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652</w:t>
            </w:r>
          </w:p>
        </w:tc>
        <w:tc>
          <w:tcPr>
            <w:tcW w:w="4427" w:type="pct"/>
            <w:shd w:val="clear" w:color="auto" w:fill="auto"/>
            <w:noWrap/>
            <w:vAlign w:val="center"/>
            <w:hideMark/>
          </w:tcPr>
          <w:p w14:paraId="2560A395"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financial intermediation</w:t>
            </w:r>
          </w:p>
        </w:tc>
      </w:tr>
      <w:tr w:rsidR="00E311F7" w:rsidRPr="00FA72FB" w14:paraId="785E6AED" w14:textId="77777777" w:rsidTr="00FA72FB">
        <w:trPr>
          <w:trHeight w:val="300"/>
        </w:trPr>
        <w:tc>
          <w:tcPr>
            <w:tcW w:w="573" w:type="pct"/>
            <w:shd w:val="clear" w:color="auto" w:fill="auto"/>
            <w:noWrap/>
            <w:vAlign w:val="center"/>
            <w:hideMark/>
          </w:tcPr>
          <w:p w14:paraId="62B00FE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175F116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Legal, accounting, book-keeping and auditing activities; tax consultancy; market research and public opinion polling; business and managesment consultancy; holdings</w:t>
            </w:r>
          </w:p>
        </w:tc>
      </w:tr>
      <w:tr w:rsidR="00E311F7" w:rsidRPr="00FA72FB" w14:paraId="6A94B5FA" w14:textId="77777777" w:rsidTr="00FA72FB">
        <w:trPr>
          <w:trHeight w:val="300"/>
        </w:trPr>
        <w:tc>
          <w:tcPr>
            <w:tcW w:w="573" w:type="pct"/>
            <w:shd w:val="clear" w:color="auto" w:fill="auto"/>
            <w:noWrap/>
            <w:vAlign w:val="center"/>
            <w:hideMark/>
          </w:tcPr>
          <w:p w14:paraId="59390327"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652</w:t>
            </w:r>
          </w:p>
        </w:tc>
        <w:tc>
          <w:tcPr>
            <w:tcW w:w="4427" w:type="pct"/>
            <w:shd w:val="clear" w:color="auto" w:fill="auto"/>
            <w:noWrap/>
            <w:vAlign w:val="center"/>
            <w:hideMark/>
          </w:tcPr>
          <w:p w14:paraId="7B3ACF26"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financial intermediation</w:t>
            </w:r>
          </w:p>
        </w:tc>
      </w:tr>
      <w:tr w:rsidR="00E311F7" w:rsidRPr="00FA72FB" w14:paraId="0D002607" w14:textId="77777777" w:rsidTr="00FA72FB">
        <w:trPr>
          <w:trHeight w:val="300"/>
        </w:trPr>
        <w:tc>
          <w:tcPr>
            <w:tcW w:w="573" w:type="pct"/>
            <w:shd w:val="clear" w:color="auto" w:fill="auto"/>
            <w:noWrap/>
            <w:vAlign w:val="center"/>
            <w:hideMark/>
          </w:tcPr>
          <w:p w14:paraId="66161627"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652</w:t>
            </w:r>
          </w:p>
        </w:tc>
        <w:tc>
          <w:tcPr>
            <w:tcW w:w="4427" w:type="pct"/>
            <w:shd w:val="clear" w:color="auto" w:fill="auto"/>
            <w:noWrap/>
            <w:vAlign w:val="center"/>
            <w:hideMark/>
          </w:tcPr>
          <w:p w14:paraId="785CCA4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financial intermediation</w:t>
            </w:r>
          </w:p>
        </w:tc>
      </w:tr>
      <w:tr w:rsidR="00E311F7" w:rsidRPr="00FA72FB" w14:paraId="36786D39" w14:textId="77777777" w:rsidTr="00FA72FB">
        <w:trPr>
          <w:trHeight w:val="300"/>
        </w:trPr>
        <w:tc>
          <w:tcPr>
            <w:tcW w:w="573" w:type="pct"/>
            <w:shd w:val="clear" w:color="auto" w:fill="auto"/>
            <w:noWrap/>
            <w:vAlign w:val="center"/>
            <w:hideMark/>
          </w:tcPr>
          <w:p w14:paraId="59BF967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660</w:t>
            </w:r>
          </w:p>
        </w:tc>
        <w:tc>
          <w:tcPr>
            <w:tcW w:w="4427" w:type="pct"/>
            <w:shd w:val="clear" w:color="auto" w:fill="auto"/>
            <w:noWrap/>
            <w:vAlign w:val="center"/>
            <w:hideMark/>
          </w:tcPr>
          <w:p w14:paraId="25FCF8E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Insurance and pension funding, except compulsory social security</w:t>
            </w:r>
          </w:p>
        </w:tc>
      </w:tr>
      <w:tr w:rsidR="00E311F7" w:rsidRPr="00FA72FB" w14:paraId="5516DB02" w14:textId="77777777" w:rsidTr="00FA72FB">
        <w:trPr>
          <w:trHeight w:val="300"/>
        </w:trPr>
        <w:tc>
          <w:tcPr>
            <w:tcW w:w="573" w:type="pct"/>
            <w:shd w:val="clear" w:color="auto" w:fill="auto"/>
            <w:noWrap/>
            <w:vAlign w:val="center"/>
            <w:hideMark/>
          </w:tcPr>
          <w:p w14:paraId="4502E44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660</w:t>
            </w:r>
          </w:p>
        </w:tc>
        <w:tc>
          <w:tcPr>
            <w:tcW w:w="4427" w:type="pct"/>
            <w:shd w:val="clear" w:color="auto" w:fill="auto"/>
            <w:noWrap/>
            <w:vAlign w:val="center"/>
            <w:hideMark/>
          </w:tcPr>
          <w:p w14:paraId="1AFD011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Insurance and pension funding, except compulsory social security</w:t>
            </w:r>
          </w:p>
        </w:tc>
      </w:tr>
      <w:tr w:rsidR="00E311F7" w:rsidRPr="00FA72FB" w14:paraId="6A0A2596" w14:textId="77777777" w:rsidTr="00FA72FB">
        <w:trPr>
          <w:trHeight w:val="300"/>
        </w:trPr>
        <w:tc>
          <w:tcPr>
            <w:tcW w:w="573" w:type="pct"/>
            <w:shd w:val="clear" w:color="auto" w:fill="auto"/>
            <w:noWrap/>
            <w:vAlign w:val="center"/>
            <w:hideMark/>
          </w:tcPr>
          <w:p w14:paraId="68DCAEF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660</w:t>
            </w:r>
          </w:p>
        </w:tc>
        <w:tc>
          <w:tcPr>
            <w:tcW w:w="4427" w:type="pct"/>
            <w:shd w:val="clear" w:color="auto" w:fill="auto"/>
            <w:noWrap/>
            <w:vAlign w:val="center"/>
            <w:hideMark/>
          </w:tcPr>
          <w:p w14:paraId="753158BA"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Insurance and pension funding, except compulsory social security</w:t>
            </w:r>
          </w:p>
        </w:tc>
      </w:tr>
      <w:tr w:rsidR="00E311F7" w:rsidRPr="00FA72FB" w14:paraId="7D9D6CD7" w14:textId="77777777" w:rsidTr="00FA72FB">
        <w:trPr>
          <w:trHeight w:val="300"/>
        </w:trPr>
        <w:tc>
          <w:tcPr>
            <w:tcW w:w="573" w:type="pct"/>
            <w:shd w:val="clear" w:color="auto" w:fill="auto"/>
            <w:noWrap/>
            <w:vAlign w:val="center"/>
            <w:hideMark/>
          </w:tcPr>
          <w:p w14:paraId="2250DD63"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671</w:t>
            </w:r>
          </w:p>
        </w:tc>
        <w:tc>
          <w:tcPr>
            <w:tcW w:w="4427" w:type="pct"/>
            <w:shd w:val="clear" w:color="auto" w:fill="auto"/>
            <w:noWrap/>
            <w:vAlign w:val="center"/>
            <w:hideMark/>
          </w:tcPr>
          <w:p w14:paraId="1349D60A"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Activities auxiliary to financial intermediation, except insurance and pension funding</w:t>
            </w:r>
          </w:p>
        </w:tc>
      </w:tr>
      <w:tr w:rsidR="00E311F7" w:rsidRPr="00FA72FB" w14:paraId="33E086F8" w14:textId="77777777" w:rsidTr="00FA72FB">
        <w:trPr>
          <w:trHeight w:val="300"/>
        </w:trPr>
        <w:tc>
          <w:tcPr>
            <w:tcW w:w="573" w:type="pct"/>
            <w:shd w:val="clear" w:color="auto" w:fill="auto"/>
            <w:noWrap/>
            <w:vAlign w:val="center"/>
            <w:hideMark/>
          </w:tcPr>
          <w:p w14:paraId="1B657BBA"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672</w:t>
            </w:r>
          </w:p>
        </w:tc>
        <w:tc>
          <w:tcPr>
            <w:tcW w:w="4427" w:type="pct"/>
            <w:shd w:val="clear" w:color="auto" w:fill="auto"/>
            <w:noWrap/>
            <w:vAlign w:val="center"/>
            <w:hideMark/>
          </w:tcPr>
          <w:p w14:paraId="1F485FB8"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Activities auxiliary to insurance and pension funding</w:t>
            </w:r>
          </w:p>
        </w:tc>
      </w:tr>
      <w:tr w:rsidR="00E311F7" w:rsidRPr="00FA72FB" w14:paraId="305918DC" w14:textId="77777777" w:rsidTr="00FA72FB">
        <w:trPr>
          <w:trHeight w:val="300"/>
        </w:trPr>
        <w:tc>
          <w:tcPr>
            <w:tcW w:w="573" w:type="pct"/>
            <w:shd w:val="clear" w:color="auto" w:fill="auto"/>
            <w:noWrap/>
            <w:vAlign w:val="center"/>
            <w:hideMark/>
          </w:tcPr>
          <w:p w14:paraId="47A6B11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671</w:t>
            </w:r>
          </w:p>
        </w:tc>
        <w:tc>
          <w:tcPr>
            <w:tcW w:w="4427" w:type="pct"/>
            <w:shd w:val="clear" w:color="auto" w:fill="auto"/>
            <w:noWrap/>
            <w:vAlign w:val="center"/>
            <w:hideMark/>
          </w:tcPr>
          <w:p w14:paraId="60E550E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Activities auxiliary to financial intermediation, except insurance and pension funding</w:t>
            </w:r>
          </w:p>
        </w:tc>
      </w:tr>
      <w:tr w:rsidR="00E311F7" w:rsidRPr="00FA72FB" w14:paraId="6E6416C7" w14:textId="77777777" w:rsidTr="00FA72FB">
        <w:trPr>
          <w:trHeight w:val="300"/>
        </w:trPr>
        <w:tc>
          <w:tcPr>
            <w:tcW w:w="573" w:type="pct"/>
            <w:shd w:val="clear" w:color="auto" w:fill="auto"/>
            <w:noWrap/>
            <w:vAlign w:val="center"/>
            <w:hideMark/>
          </w:tcPr>
          <w:p w14:paraId="651B73F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693C5525"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Legal, accounting, book-keeping and auditing activities; tax consultancy; market research and public opinion polling; business and managesment consultancy; holdings</w:t>
            </w:r>
          </w:p>
        </w:tc>
      </w:tr>
      <w:tr w:rsidR="00E311F7" w:rsidRPr="00FA72FB" w14:paraId="51451F20" w14:textId="77777777" w:rsidTr="00FA72FB">
        <w:trPr>
          <w:trHeight w:val="300"/>
        </w:trPr>
        <w:tc>
          <w:tcPr>
            <w:tcW w:w="573" w:type="pct"/>
            <w:shd w:val="clear" w:color="auto" w:fill="auto"/>
            <w:noWrap/>
            <w:vAlign w:val="center"/>
            <w:hideMark/>
          </w:tcPr>
          <w:p w14:paraId="10CAB8F9"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4C26D27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Legal, accounting, book-keeping and auditing activities; tax consultancy; market research and public opinion polling; business and managesment consultancy; holdings</w:t>
            </w:r>
          </w:p>
        </w:tc>
      </w:tr>
      <w:tr w:rsidR="00E311F7" w:rsidRPr="00FA72FB" w14:paraId="470B57E8" w14:textId="77777777" w:rsidTr="00FA72FB">
        <w:trPr>
          <w:trHeight w:val="300"/>
        </w:trPr>
        <w:tc>
          <w:tcPr>
            <w:tcW w:w="573" w:type="pct"/>
            <w:shd w:val="clear" w:color="auto" w:fill="auto"/>
            <w:noWrap/>
            <w:vAlign w:val="center"/>
            <w:hideMark/>
          </w:tcPr>
          <w:p w14:paraId="63C7DCC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056D8315"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Legal, accounting, book-keeping and auditing activities; tax consultancy; market research and public opinion polling; business and managesment consultancy; holdings</w:t>
            </w:r>
          </w:p>
        </w:tc>
      </w:tr>
      <w:tr w:rsidR="00E311F7" w:rsidRPr="00FA72FB" w14:paraId="7FF17C73" w14:textId="77777777" w:rsidTr="00FA72FB">
        <w:trPr>
          <w:trHeight w:val="300"/>
        </w:trPr>
        <w:tc>
          <w:tcPr>
            <w:tcW w:w="573" w:type="pct"/>
            <w:shd w:val="clear" w:color="auto" w:fill="auto"/>
            <w:noWrap/>
            <w:vAlign w:val="center"/>
            <w:hideMark/>
          </w:tcPr>
          <w:p w14:paraId="19382AB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1ACC44C4"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Legal, accounting, book-keeping and auditing activities; tax consultancy; market research and public opinion polling; business and managesment consultancy; holdings</w:t>
            </w:r>
          </w:p>
        </w:tc>
      </w:tr>
      <w:tr w:rsidR="00E311F7" w:rsidRPr="00FA72FB" w14:paraId="56DB52F4" w14:textId="77777777" w:rsidTr="00FA72FB">
        <w:trPr>
          <w:trHeight w:val="300"/>
        </w:trPr>
        <w:tc>
          <w:tcPr>
            <w:tcW w:w="573" w:type="pct"/>
            <w:shd w:val="clear" w:color="auto" w:fill="auto"/>
            <w:noWrap/>
            <w:vAlign w:val="center"/>
            <w:hideMark/>
          </w:tcPr>
          <w:p w14:paraId="6E40538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742</w:t>
            </w:r>
          </w:p>
        </w:tc>
        <w:tc>
          <w:tcPr>
            <w:tcW w:w="4427" w:type="pct"/>
            <w:shd w:val="clear" w:color="auto" w:fill="auto"/>
            <w:noWrap/>
            <w:vAlign w:val="center"/>
            <w:hideMark/>
          </w:tcPr>
          <w:p w14:paraId="34D0E604"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Architectural and engineering activities and related technical consultancy</w:t>
            </w:r>
          </w:p>
        </w:tc>
      </w:tr>
      <w:tr w:rsidR="00E311F7" w:rsidRPr="00FA72FB" w14:paraId="448B5303" w14:textId="77777777" w:rsidTr="00FA72FB">
        <w:trPr>
          <w:trHeight w:val="300"/>
        </w:trPr>
        <w:tc>
          <w:tcPr>
            <w:tcW w:w="573" w:type="pct"/>
            <w:shd w:val="clear" w:color="auto" w:fill="auto"/>
            <w:noWrap/>
            <w:vAlign w:val="center"/>
            <w:hideMark/>
          </w:tcPr>
          <w:p w14:paraId="370A4F2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743</w:t>
            </w:r>
          </w:p>
        </w:tc>
        <w:tc>
          <w:tcPr>
            <w:tcW w:w="4427" w:type="pct"/>
            <w:shd w:val="clear" w:color="auto" w:fill="auto"/>
            <w:noWrap/>
            <w:vAlign w:val="center"/>
            <w:hideMark/>
          </w:tcPr>
          <w:p w14:paraId="218B7651"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Technical testing and analysis</w:t>
            </w:r>
          </w:p>
        </w:tc>
      </w:tr>
      <w:tr w:rsidR="00E311F7" w:rsidRPr="00FA72FB" w14:paraId="74FF7C2B" w14:textId="77777777" w:rsidTr="00FA72FB">
        <w:trPr>
          <w:trHeight w:val="300"/>
        </w:trPr>
        <w:tc>
          <w:tcPr>
            <w:tcW w:w="573" w:type="pct"/>
            <w:shd w:val="clear" w:color="auto" w:fill="auto"/>
            <w:noWrap/>
            <w:vAlign w:val="center"/>
            <w:hideMark/>
          </w:tcPr>
          <w:p w14:paraId="2FFC6E03"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731</w:t>
            </w:r>
          </w:p>
        </w:tc>
        <w:tc>
          <w:tcPr>
            <w:tcW w:w="4427" w:type="pct"/>
            <w:shd w:val="clear" w:color="auto" w:fill="auto"/>
            <w:noWrap/>
            <w:vAlign w:val="center"/>
            <w:hideMark/>
          </w:tcPr>
          <w:p w14:paraId="02152D5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Research and experimental development on natural sciences and engineering</w:t>
            </w:r>
          </w:p>
        </w:tc>
      </w:tr>
      <w:tr w:rsidR="00E311F7" w:rsidRPr="00FA72FB" w14:paraId="41D05204" w14:textId="77777777" w:rsidTr="00FA72FB">
        <w:trPr>
          <w:trHeight w:val="300"/>
        </w:trPr>
        <w:tc>
          <w:tcPr>
            <w:tcW w:w="573" w:type="pct"/>
            <w:shd w:val="clear" w:color="auto" w:fill="auto"/>
            <w:noWrap/>
            <w:vAlign w:val="center"/>
            <w:hideMark/>
          </w:tcPr>
          <w:p w14:paraId="084B65B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731</w:t>
            </w:r>
          </w:p>
        </w:tc>
        <w:tc>
          <w:tcPr>
            <w:tcW w:w="4427" w:type="pct"/>
            <w:shd w:val="clear" w:color="auto" w:fill="auto"/>
            <w:noWrap/>
            <w:vAlign w:val="center"/>
            <w:hideMark/>
          </w:tcPr>
          <w:p w14:paraId="4F8AB2F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Research and experimental development on natural sciences and engineering</w:t>
            </w:r>
          </w:p>
        </w:tc>
      </w:tr>
      <w:tr w:rsidR="00E311F7" w:rsidRPr="00FA72FB" w14:paraId="7210FAAF" w14:textId="77777777" w:rsidTr="00FA72FB">
        <w:trPr>
          <w:trHeight w:val="300"/>
        </w:trPr>
        <w:tc>
          <w:tcPr>
            <w:tcW w:w="573" w:type="pct"/>
            <w:shd w:val="clear" w:color="auto" w:fill="auto"/>
            <w:noWrap/>
            <w:vAlign w:val="center"/>
            <w:hideMark/>
          </w:tcPr>
          <w:p w14:paraId="6FE72C95"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732</w:t>
            </w:r>
          </w:p>
        </w:tc>
        <w:tc>
          <w:tcPr>
            <w:tcW w:w="4427" w:type="pct"/>
            <w:shd w:val="clear" w:color="auto" w:fill="auto"/>
            <w:noWrap/>
            <w:vAlign w:val="center"/>
            <w:hideMark/>
          </w:tcPr>
          <w:p w14:paraId="12A634C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Research and experimental development on social sciences and humanities</w:t>
            </w:r>
          </w:p>
        </w:tc>
      </w:tr>
      <w:tr w:rsidR="00E311F7" w:rsidRPr="00FA72FB" w14:paraId="1633611E" w14:textId="77777777" w:rsidTr="00FA72FB">
        <w:trPr>
          <w:trHeight w:val="300"/>
        </w:trPr>
        <w:tc>
          <w:tcPr>
            <w:tcW w:w="573" w:type="pct"/>
            <w:shd w:val="clear" w:color="auto" w:fill="auto"/>
            <w:noWrap/>
            <w:vAlign w:val="center"/>
            <w:hideMark/>
          </w:tcPr>
          <w:p w14:paraId="106E0BB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744</w:t>
            </w:r>
          </w:p>
        </w:tc>
        <w:tc>
          <w:tcPr>
            <w:tcW w:w="4427" w:type="pct"/>
            <w:shd w:val="clear" w:color="auto" w:fill="auto"/>
            <w:noWrap/>
            <w:vAlign w:val="center"/>
            <w:hideMark/>
          </w:tcPr>
          <w:p w14:paraId="68C3C33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Advertising</w:t>
            </w:r>
          </w:p>
        </w:tc>
      </w:tr>
      <w:tr w:rsidR="00E311F7" w:rsidRPr="00FA72FB" w14:paraId="14BF404B" w14:textId="77777777" w:rsidTr="00FA72FB">
        <w:trPr>
          <w:trHeight w:val="300"/>
        </w:trPr>
        <w:tc>
          <w:tcPr>
            <w:tcW w:w="573" w:type="pct"/>
            <w:shd w:val="clear" w:color="auto" w:fill="auto"/>
            <w:noWrap/>
            <w:vAlign w:val="center"/>
            <w:hideMark/>
          </w:tcPr>
          <w:p w14:paraId="4C2188B3"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3D861BD6"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Legal, accounting, book-keeping and auditing activities; tax consultancy; market research and public opinion polling; business and managesment consultancy; holdings</w:t>
            </w:r>
          </w:p>
        </w:tc>
      </w:tr>
      <w:tr w:rsidR="00E311F7" w:rsidRPr="00FA72FB" w14:paraId="017A0EAA" w14:textId="77777777" w:rsidTr="00FA72FB">
        <w:trPr>
          <w:trHeight w:val="300"/>
        </w:trPr>
        <w:tc>
          <w:tcPr>
            <w:tcW w:w="573" w:type="pct"/>
            <w:shd w:val="clear" w:color="auto" w:fill="auto"/>
            <w:noWrap/>
            <w:vAlign w:val="center"/>
            <w:hideMark/>
          </w:tcPr>
          <w:p w14:paraId="0812377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3DE6AF3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5EB87B7B" w14:textId="77777777" w:rsidTr="00FA72FB">
        <w:trPr>
          <w:trHeight w:val="300"/>
        </w:trPr>
        <w:tc>
          <w:tcPr>
            <w:tcW w:w="573" w:type="pct"/>
            <w:shd w:val="clear" w:color="auto" w:fill="auto"/>
            <w:noWrap/>
            <w:vAlign w:val="center"/>
            <w:hideMark/>
          </w:tcPr>
          <w:p w14:paraId="42914A9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5AE6D9C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2B7A6913" w14:textId="77777777" w:rsidTr="00FA72FB">
        <w:trPr>
          <w:trHeight w:val="300"/>
        </w:trPr>
        <w:tc>
          <w:tcPr>
            <w:tcW w:w="573" w:type="pct"/>
            <w:shd w:val="clear" w:color="auto" w:fill="auto"/>
            <w:noWrap/>
            <w:vAlign w:val="center"/>
            <w:hideMark/>
          </w:tcPr>
          <w:p w14:paraId="6665F54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924</w:t>
            </w:r>
          </w:p>
        </w:tc>
        <w:tc>
          <w:tcPr>
            <w:tcW w:w="4427" w:type="pct"/>
            <w:shd w:val="clear" w:color="auto" w:fill="auto"/>
            <w:noWrap/>
            <w:vAlign w:val="center"/>
            <w:hideMark/>
          </w:tcPr>
          <w:p w14:paraId="707F653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News agency activities</w:t>
            </w:r>
          </w:p>
        </w:tc>
      </w:tr>
      <w:tr w:rsidR="00E311F7" w:rsidRPr="00FA72FB" w14:paraId="1E837D12" w14:textId="77777777" w:rsidTr="00FA72FB">
        <w:trPr>
          <w:trHeight w:val="300"/>
        </w:trPr>
        <w:tc>
          <w:tcPr>
            <w:tcW w:w="573" w:type="pct"/>
            <w:shd w:val="clear" w:color="auto" w:fill="auto"/>
            <w:noWrap/>
            <w:vAlign w:val="center"/>
            <w:hideMark/>
          </w:tcPr>
          <w:p w14:paraId="121DD4BF"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1D776ADF"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79AA382B" w14:textId="77777777" w:rsidTr="00FA72FB">
        <w:trPr>
          <w:trHeight w:val="300"/>
        </w:trPr>
        <w:tc>
          <w:tcPr>
            <w:tcW w:w="573" w:type="pct"/>
            <w:shd w:val="clear" w:color="auto" w:fill="auto"/>
            <w:noWrap/>
            <w:vAlign w:val="center"/>
            <w:hideMark/>
          </w:tcPr>
          <w:p w14:paraId="3561DB0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061B897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Legal, accounting, book-keeping and auditing activities; tax consultancy; market research and public opinion polling; business and managesment consultancy; holdings</w:t>
            </w:r>
          </w:p>
        </w:tc>
      </w:tr>
      <w:tr w:rsidR="00E311F7" w:rsidRPr="00FA72FB" w14:paraId="0CBF456D" w14:textId="77777777" w:rsidTr="00FA72FB">
        <w:trPr>
          <w:trHeight w:val="300"/>
        </w:trPr>
        <w:tc>
          <w:tcPr>
            <w:tcW w:w="573" w:type="pct"/>
            <w:shd w:val="clear" w:color="auto" w:fill="auto"/>
            <w:noWrap/>
            <w:vAlign w:val="center"/>
            <w:hideMark/>
          </w:tcPr>
          <w:p w14:paraId="1239C96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742</w:t>
            </w:r>
          </w:p>
        </w:tc>
        <w:tc>
          <w:tcPr>
            <w:tcW w:w="4427" w:type="pct"/>
            <w:shd w:val="clear" w:color="auto" w:fill="auto"/>
            <w:noWrap/>
            <w:vAlign w:val="center"/>
            <w:hideMark/>
          </w:tcPr>
          <w:p w14:paraId="4DEF362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Architectural and engineering activities and related technical consultancy</w:t>
            </w:r>
          </w:p>
        </w:tc>
      </w:tr>
      <w:tr w:rsidR="00E311F7" w:rsidRPr="00FA72FB" w14:paraId="6872C742" w14:textId="77777777" w:rsidTr="00FA72FB">
        <w:trPr>
          <w:trHeight w:val="300"/>
        </w:trPr>
        <w:tc>
          <w:tcPr>
            <w:tcW w:w="573" w:type="pct"/>
            <w:shd w:val="clear" w:color="auto" w:fill="auto"/>
            <w:noWrap/>
            <w:vAlign w:val="center"/>
            <w:hideMark/>
          </w:tcPr>
          <w:p w14:paraId="20D72BD5"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79B95DEC"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6E4C5C52" w14:textId="77777777" w:rsidTr="00FA72FB">
        <w:trPr>
          <w:trHeight w:val="300"/>
        </w:trPr>
        <w:tc>
          <w:tcPr>
            <w:tcW w:w="573" w:type="pct"/>
            <w:shd w:val="clear" w:color="auto" w:fill="auto"/>
            <w:noWrap/>
            <w:vAlign w:val="center"/>
            <w:hideMark/>
          </w:tcPr>
          <w:p w14:paraId="165316AE"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852</w:t>
            </w:r>
          </w:p>
        </w:tc>
        <w:tc>
          <w:tcPr>
            <w:tcW w:w="4427" w:type="pct"/>
            <w:shd w:val="clear" w:color="auto" w:fill="auto"/>
            <w:noWrap/>
            <w:vAlign w:val="center"/>
            <w:hideMark/>
          </w:tcPr>
          <w:p w14:paraId="0C99D3A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Veterinary activities</w:t>
            </w:r>
          </w:p>
        </w:tc>
      </w:tr>
      <w:tr w:rsidR="00E311F7" w:rsidRPr="00FA72FB" w14:paraId="75660E0F" w14:textId="77777777" w:rsidTr="00FA72FB">
        <w:trPr>
          <w:trHeight w:val="300"/>
        </w:trPr>
        <w:tc>
          <w:tcPr>
            <w:tcW w:w="573" w:type="pct"/>
            <w:shd w:val="clear" w:color="auto" w:fill="auto"/>
            <w:noWrap/>
            <w:vAlign w:val="center"/>
            <w:hideMark/>
          </w:tcPr>
          <w:p w14:paraId="027EB87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52777EA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196D6790" w14:textId="77777777" w:rsidTr="00FA72FB">
        <w:trPr>
          <w:trHeight w:val="300"/>
        </w:trPr>
        <w:tc>
          <w:tcPr>
            <w:tcW w:w="573" w:type="pct"/>
            <w:shd w:val="clear" w:color="auto" w:fill="auto"/>
            <w:noWrap/>
            <w:vAlign w:val="center"/>
            <w:hideMark/>
          </w:tcPr>
          <w:p w14:paraId="673644A4"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745</w:t>
            </w:r>
          </w:p>
        </w:tc>
        <w:tc>
          <w:tcPr>
            <w:tcW w:w="4427" w:type="pct"/>
            <w:shd w:val="clear" w:color="auto" w:fill="auto"/>
            <w:noWrap/>
            <w:vAlign w:val="center"/>
            <w:hideMark/>
          </w:tcPr>
          <w:p w14:paraId="27F436B3"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Labour recruitment and provision of personnel</w:t>
            </w:r>
          </w:p>
        </w:tc>
      </w:tr>
      <w:tr w:rsidR="00E311F7" w:rsidRPr="00FA72FB" w14:paraId="09987B0F" w14:textId="77777777" w:rsidTr="00FA72FB">
        <w:trPr>
          <w:trHeight w:val="300"/>
        </w:trPr>
        <w:tc>
          <w:tcPr>
            <w:tcW w:w="573" w:type="pct"/>
            <w:shd w:val="clear" w:color="auto" w:fill="auto"/>
            <w:noWrap/>
            <w:vAlign w:val="center"/>
            <w:hideMark/>
          </w:tcPr>
          <w:p w14:paraId="152AC659"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745</w:t>
            </w:r>
          </w:p>
        </w:tc>
        <w:tc>
          <w:tcPr>
            <w:tcW w:w="4427" w:type="pct"/>
            <w:shd w:val="clear" w:color="auto" w:fill="auto"/>
            <w:noWrap/>
            <w:vAlign w:val="center"/>
            <w:hideMark/>
          </w:tcPr>
          <w:p w14:paraId="2507FF4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Labour recruitment and provision of personnel</w:t>
            </w:r>
          </w:p>
        </w:tc>
      </w:tr>
      <w:tr w:rsidR="00E311F7" w:rsidRPr="00FA72FB" w14:paraId="05886702" w14:textId="77777777" w:rsidTr="00FA72FB">
        <w:trPr>
          <w:trHeight w:val="300"/>
        </w:trPr>
        <w:tc>
          <w:tcPr>
            <w:tcW w:w="573" w:type="pct"/>
            <w:shd w:val="clear" w:color="auto" w:fill="auto"/>
            <w:noWrap/>
            <w:vAlign w:val="center"/>
            <w:hideMark/>
          </w:tcPr>
          <w:p w14:paraId="39B5AE7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745</w:t>
            </w:r>
          </w:p>
        </w:tc>
        <w:tc>
          <w:tcPr>
            <w:tcW w:w="4427" w:type="pct"/>
            <w:shd w:val="clear" w:color="auto" w:fill="auto"/>
            <w:noWrap/>
            <w:vAlign w:val="center"/>
            <w:hideMark/>
          </w:tcPr>
          <w:p w14:paraId="09F1DD2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Labour recruitment and provision of personnel</w:t>
            </w:r>
          </w:p>
        </w:tc>
      </w:tr>
      <w:tr w:rsidR="00E311F7" w:rsidRPr="00FA72FB" w14:paraId="156ED7C2" w14:textId="77777777" w:rsidTr="00FA72FB">
        <w:trPr>
          <w:trHeight w:val="300"/>
        </w:trPr>
        <w:tc>
          <w:tcPr>
            <w:tcW w:w="573" w:type="pct"/>
            <w:shd w:val="clear" w:color="auto" w:fill="auto"/>
            <w:noWrap/>
            <w:vAlign w:val="center"/>
            <w:hideMark/>
          </w:tcPr>
          <w:p w14:paraId="5CE47AB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923</w:t>
            </w:r>
          </w:p>
        </w:tc>
        <w:tc>
          <w:tcPr>
            <w:tcW w:w="4427" w:type="pct"/>
            <w:shd w:val="clear" w:color="auto" w:fill="auto"/>
            <w:noWrap/>
            <w:vAlign w:val="center"/>
            <w:hideMark/>
          </w:tcPr>
          <w:p w14:paraId="444480C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entertainment activities</w:t>
            </w:r>
          </w:p>
        </w:tc>
      </w:tr>
      <w:tr w:rsidR="00E311F7" w:rsidRPr="00FA72FB" w14:paraId="5B59EFED" w14:textId="77777777" w:rsidTr="00FA72FB">
        <w:trPr>
          <w:trHeight w:val="300"/>
        </w:trPr>
        <w:tc>
          <w:tcPr>
            <w:tcW w:w="573" w:type="pct"/>
            <w:shd w:val="clear" w:color="auto" w:fill="auto"/>
            <w:noWrap/>
            <w:vAlign w:val="center"/>
            <w:hideMark/>
          </w:tcPr>
          <w:p w14:paraId="5857E05A"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3E46C359"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1AE58F0F" w14:textId="77777777" w:rsidTr="00FA72FB">
        <w:trPr>
          <w:trHeight w:val="300"/>
        </w:trPr>
        <w:tc>
          <w:tcPr>
            <w:tcW w:w="573" w:type="pct"/>
            <w:shd w:val="clear" w:color="auto" w:fill="auto"/>
            <w:noWrap/>
            <w:vAlign w:val="center"/>
            <w:hideMark/>
          </w:tcPr>
          <w:p w14:paraId="24563FB3"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751</w:t>
            </w:r>
          </w:p>
        </w:tc>
        <w:tc>
          <w:tcPr>
            <w:tcW w:w="4427" w:type="pct"/>
            <w:shd w:val="clear" w:color="auto" w:fill="auto"/>
            <w:noWrap/>
            <w:vAlign w:val="center"/>
            <w:hideMark/>
          </w:tcPr>
          <w:p w14:paraId="1BD67F6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Administration of the State and the economic and social policy of the community</w:t>
            </w:r>
          </w:p>
        </w:tc>
      </w:tr>
      <w:tr w:rsidR="00E311F7" w:rsidRPr="00FA72FB" w14:paraId="382AB3E1" w14:textId="77777777" w:rsidTr="00FA72FB">
        <w:trPr>
          <w:trHeight w:val="300"/>
        </w:trPr>
        <w:tc>
          <w:tcPr>
            <w:tcW w:w="573" w:type="pct"/>
            <w:shd w:val="clear" w:color="auto" w:fill="auto"/>
            <w:noWrap/>
            <w:vAlign w:val="center"/>
            <w:hideMark/>
          </w:tcPr>
          <w:p w14:paraId="73ADEFD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72D5F5B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1CB92AAC" w14:textId="77777777" w:rsidTr="00FA72FB">
        <w:trPr>
          <w:trHeight w:val="300"/>
        </w:trPr>
        <w:tc>
          <w:tcPr>
            <w:tcW w:w="573" w:type="pct"/>
            <w:shd w:val="clear" w:color="auto" w:fill="auto"/>
            <w:noWrap/>
            <w:vAlign w:val="center"/>
            <w:hideMark/>
          </w:tcPr>
          <w:p w14:paraId="5943970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1104DA28"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1950A022" w14:textId="77777777" w:rsidTr="00FA72FB">
        <w:trPr>
          <w:trHeight w:val="300"/>
        </w:trPr>
        <w:tc>
          <w:tcPr>
            <w:tcW w:w="573" w:type="pct"/>
            <w:shd w:val="clear" w:color="auto" w:fill="auto"/>
            <w:noWrap/>
            <w:vAlign w:val="center"/>
            <w:hideMark/>
          </w:tcPr>
          <w:p w14:paraId="06A6CDF2"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48377F0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74453BA5" w14:textId="77777777" w:rsidTr="00FA72FB">
        <w:trPr>
          <w:trHeight w:val="300"/>
        </w:trPr>
        <w:tc>
          <w:tcPr>
            <w:tcW w:w="573" w:type="pct"/>
            <w:shd w:val="clear" w:color="auto" w:fill="auto"/>
            <w:noWrap/>
            <w:vAlign w:val="center"/>
            <w:hideMark/>
          </w:tcPr>
          <w:p w14:paraId="451BF99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748</w:t>
            </w:r>
          </w:p>
        </w:tc>
        <w:tc>
          <w:tcPr>
            <w:tcW w:w="4427" w:type="pct"/>
            <w:shd w:val="clear" w:color="auto" w:fill="auto"/>
            <w:noWrap/>
            <w:vAlign w:val="center"/>
            <w:hideMark/>
          </w:tcPr>
          <w:p w14:paraId="5D43DDE4"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Miscellaneous business activities not elsewhere classified</w:t>
            </w:r>
          </w:p>
        </w:tc>
      </w:tr>
      <w:tr w:rsidR="00E311F7" w:rsidRPr="00FA72FB" w14:paraId="443C80F3" w14:textId="77777777" w:rsidTr="00FA72FB">
        <w:trPr>
          <w:trHeight w:val="300"/>
        </w:trPr>
        <w:tc>
          <w:tcPr>
            <w:tcW w:w="573" w:type="pct"/>
            <w:shd w:val="clear" w:color="auto" w:fill="auto"/>
            <w:noWrap/>
            <w:vAlign w:val="center"/>
            <w:hideMark/>
          </w:tcPr>
          <w:p w14:paraId="1F0E2B0F"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751</w:t>
            </w:r>
          </w:p>
        </w:tc>
        <w:tc>
          <w:tcPr>
            <w:tcW w:w="4427" w:type="pct"/>
            <w:shd w:val="clear" w:color="auto" w:fill="auto"/>
            <w:noWrap/>
            <w:vAlign w:val="center"/>
            <w:hideMark/>
          </w:tcPr>
          <w:p w14:paraId="7D968EE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Administration of the State and the economic and social policy of the community</w:t>
            </w:r>
          </w:p>
        </w:tc>
      </w:tr>
      <w:tr w:rsidR="00E311F7" w:rsidRPr="00FA72FB" w14:paraId="763102E1" w14:textId="77777777" w:rsidTr="00FA72FB">
        <w:trPr>
          <w:trHeight w:val="300"/>
        </w:trPr>
        <w:tc>
          <w:tcPr>
            <w:tcW w:w="573" w:type="pct"/>
            <w:shd w:val="clear" w:color="auto" w:fill="auto"/>
            <w:noWrap/>
            <w:vAlign w:val="center"/>
            <w:hideMark/>
          </w:tcPr>
          <w:p w14:paraId="602BC9B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752</w:t>
            </w:r>
          </w:p>
        </w:tc>
        <w:tc>
          <w:tcPr>
            <w:tcW w:w="4427" w:type="pct"/>
            <w:shd w:val="clear" w:color="auto" w:fill="auto"/>
            <w:noWrap/>
            <w:vAlign w:val="center"/>
            <w:hideMark/>
          </w:tcPr>
          <w:p w14:paraId="0AE71AE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Provision of services to the community as a whole</w:t>
            </w:r>
          </w:p>
        </w:tc>
      </w:tr>
      <w:tr w:rsidR="00E311F7" w:rsidRPr="00FA72FB" w14:paraId="46D35F2B" w14:textId="77777777" w:rsidTr="00FA72FB">
        <w:trPr>
          <w:trHeight w:val="300"/>
        </w:trPr>
        <w:tc>
          <w:tcPr>
            <w:tcW w:w="573" w:type="pct"/>
            <w:shd w:val="clear" w:color="auto" w:fill="auto"/>
            <w:noWrap/>
            <w:vAlign w:val="center"/>
            <w:hideMark/>
          </w:tcPr>
          <w:p w14:paraId="51485E9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801</w:t>
            </w:r>
          </w:p>
        </w:tc>
        <w:tc>
          <w:tcPr>
            <w:tcW w:w="4427" w:type="pct"/>
            <w:shd w:val="clear" w:color="auto" w:fill="auto"/>
            <w:noWrap/>
            <w:vAlign w:val="center"/>
            <w:hideMark/>
          </w:tcPr>
          <w:p w14:paraId="60625DA9"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Primary education</w:t>
            </w:r>
          </w:p>
        </w:tc>
      </w:tr>
      <w:tr w:rsidR="00E311F7" w:rsidRPr="00FA72FB" w14:paraId="3DB95121" w14:textId="77777777" w:rsidTr="00FA72FB">
        <w:trPr>
          <w:trHeight w:val="300"/>
        </w:trPr>
        <w:tc>
          <w:tcPr>
            <w:tcW w:w="573" w:type="pct"/>
            <w:shd w:val="clear" w:color="auto" w:fill="auto"/>
            <w:noWrap/>
            <w:vAlign w:val="center"/>
            <w:hideMark/>
          </w:tcPr>
          <w:p w14:paraId="35F6DA2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801</w:t>
            </w:r>
          </w:p>
        </w:tc>
        <w:tc>
          <w:tcPr>
            <w:tcW w:w="4427" w:type="pct"/>
            <w:shd w:val="clear" w:color="auto" w:fill="auto"/>
            <w:noWrap/>
            <w:vAlign w:val="center"/>
            <w:hideMark/>
          </w:tcPr>
          <w:p w14:paraId="5A1BC25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Primary education</w:t>
            </w:r>
          </w:p>
        </w:tc>
      </w:tr>
      <w:tr w:rsidR="00E311F7" w:rsidRPr="00FA72FB" w14:paraId="102B5D44" w14:textId="77777777" w:rsidTr="00FA72FB">
        <w:trPr>
          <w:trHeight w:val="300"/>
        </w:trPr>
        <w:tc>
          <w:tcPr>
            <w:tcW w:w="573" w:type="pct"/>
            <w:shd w:val="clear" w:color="auto" w:fill="auto"/>
            <w:noWrap/>
            <w:vAlign w:val="center"/>
            <w:hideMark/>
          </w:tcPr>
          <w:p w14:paraId="096A450B"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802</w:t>
            </w:r>
          </w:p>
        </w:tc>
        <w:tc>
          <w:tcPr>
            <w:tcW w:w="4427" w:type="pct"/>
            <w:shd w:val="clear" w:color="auto" w:fill="auto"/>
            <w:noWrap/>
            <w:vAlign w:val="center"/>
            <w:hideMark/>
          </w:tcPr>
          <w:p w14:paraId="4CE7799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Secondary Education</w:t>
            </w:r>
          </w:p>
        </w:tc>
      </w:tr>
      <w:tr w:rsidR="00E311F7" w:rsidRPr="00FA72FB" w14:paraId="2C903D6A" w14:textId="77777777" w:rsidTr="00FA72FB">
        <w:trPr>
          <w:trHeight w:val="300"/>
        </w:trPr>
        <w:tc>
          <w:tcPr>
            <w:tcW w:w="573" w:type="pct"/>
            <w:shd w:val="clear" w:color="auto" w:fill="auto"/>
            <w:noWrap/>
            <w:vAlign w:val="center"/>
            <w:hideMark/>
          </w:tcPr>
          <w:p w14:paraId="6AA5B2CC"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804</w:t>
            </w:r>
          </w:p>
        </w:tc>
        <w:tc>
          <w:tcPr>
            <w:tcW w:w="4427" w:type="pct"/>
            <w:shd w:val="clear" w:color="auto" w:fill="auto"/>
            <w:noWrap/>
            <w:vAlign w:val="center"/>
            <w:hideMark/>
          </w:tcPr>
          <w:p w14:paraId="71C925A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Adult and other education</w:t>
            </w:r>
          </w:p>
        </w:tc>
      </w:tr>
      <w:tr w:rsidR="00E311F7" w:rsidRPr="00FA72FB" w14:paraId="6EA0C064" w14:textId="77777777" w:rsidTr="00FA72FB">
        <w:trPr>
          <w:trHeight w:val="300"/>
        </w:trPr>
        <w:tc>
          <w:tcPr>
            <w:tcW w:w="573" w:type="pct"/>
            <w:shd w:val="clear" w:color="auto" w:fill="auto"/>
            <w:noWrap/>
            <w:vAlign w:val="center"/>
            <w:hideMark/>
          </w:tcPr>
          <w:p w14:paraId="3490D131"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803</w:t>
            </w:r>
          </w:p>
        </w:tc>
        <w:tc>
          <w:tcPr>
            <w:tcW w:w="4427" w:type="pct"/>
            <w:shd w:val="clear" w:color="auto" w:fill="auto"/>
            <w:noWrap/>
            <w:vAlign w:val="center"/>
            <w:hideMark/>
          </w:tcPr>
          <w:p w14:paraId="32B61BC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Higher education</w:t>
            </w:r>
          </w:p>
        </w:tc>
      </w:tr>
      <w:tr w:rsidR="00E311F7" w:rsidRPr="00FA72FB" w14:paraId="0247C39E" w14:textId="77777777" w:rsidTr="00FA72FB">
        <w:trPr>
          <w:trHeight w:val="300"/>
        </w:trPr>
        <w:tc>
          <w:tcPr>
            <w:tcW w:w="573" w:type="pct"/>
            <w:shd w:val="clear" w:color="auto" w:fill="auto"/>
            <w:noWrap/>
            <w:vAlign w:val="center"/>
            <w:hideMark/>
          </w:tcPr>
          <w:p w14:paraId="2801A1C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804</w:t>
            </w:r>
          </w:p>
        </w:tc>
        <w:tc>
          <w:tcPr>
            <w:tcW w:w="4427" w:type="pct"/>
            <w:shd w:val="clear" w:color="auto" w:fill="auto"/>
            <w:noWrap/>
            <w:vAlign w:val="center"/>
            <w:hideMark/>
          </w:tcPr>
          <w:p w14:paraId="61A84D65"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Adult and other education</w:t>
            </w:r>
          </w:p>
        </w:tc>
      </w:tr>
      <w:tr w:rsidR="00E311F7" w:rsidRPr="00FA72FB" w14:paraId="7F27035B" w14:textId="77777777" w:rsidTr="00FA72FB">
        <w:trPr>
          <w:trHeight w:val="300"/>
        </w:trPr>
        <w:tc>
          <w:tcPr>
            <w:tcW w:w="573" w:type="pct"/>
            <w:shd w:val="clear" w:color="auto" w:fill="auto"/>
            <w:noWrap/>
            <w:vAlign w:val="center"/>
            <w:hideMark/>
          </w:tcPr>
          <w:p w14:paraId="1628231F"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923</w:t>
            </w:r>
          </w:p>
        </w:tc>
        <w:tc>
          <w:tcPr>
            <w:tcW w:w="4427" w:type="pct"/>
            <w:shd w:val="clear" w:color="auto" w:fill="auto"/>
            <w:noWrap/>
            <w:vAlign w:val="center"/>
            <w:hideMark/>
          </w:tcPr>
          <w:p w14:paraId="1CD821E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entertainment activities</w:t>
            </w:r>
          </w:p>
        </w:tc>
      </w:tr>
      <w:tr w:rsidR="00E311F7" w:rsidRPr="00FA72FB" w14:paraId="232BE0D3" w14:textId="77777777" w:rsidTr="00FA72FB">
        <w:trPr>
          <w:trHeight w:val="300"/>
        </w:trPr>
        <w:tc>
          <w:tcPr>
            <w:tcW w:w="573" w:type="pct"/>
            <w:shd w:val="clear" w:color="auto" w:fill="auto"/>
            <w:noWrap/>
            <w:vAlign w:val="center"/>
            <w:hideMark/>
          </w:tcPr>
          <w:p w14:paraId="16B8B1B9"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741</w:t>
            </w:r>
          </w:p>
        </w:tc>
        <w:tc>
          <w:tcPr>
            <w:tcW w:w="4427" w:type="pct"/>
            <w:shd w:val="clear" w:color="auto" w:fill="auto"/>
            <w:noWrap/>
            <w:vAlign w:val="center"/>
            <w:hideMark/>
          </w:tcPr>
          <w:p w14:paraId="4686BCD4"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Legal, accounting, book-keeping and auditing activities; tax consultancy; market research and public opinion polling; business and managesment consultancy; holdings</w:t>
            </w:r>
          </w:p>
        </w:tc>
      </w:tr>
      <w:tr w:rsidR="00E311F7" w:rsidRPr="00FA72FB" w14:paraId="26DEC4E7" w14:textId="77777777" w:rsidTr="00FA72FB">
        <w:trPr>
          <w:trHeight w:val="300"/>
        </w:trPr>
        <w:tc>
          <w:tcPr>
            <w:tcW w:w="573" w:type="pct"/>
            <w:shd w:val="clear" w:color="auto" w:fill="auto"/>
            <w:noWrap/>
            <w:vAlign w:val="center"/>
            <w:hideMark/>
          </w:tcPr>
          <w:p w14:paraId="655CC888"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3385E6FE"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412E2AEF" w14:textId="77777777" w:rsidTr="00FA72FB">
        <w:trPr>
          <w:trHeight w:val="300"/>
        </w:trPr>
        <w:tc>
          <w:tcPr>
            <w:tcW w:w="573" w:type="pct"/>
            <w:shd w:val="clear" w:color="auto" w:fill="auto"/>
            <w:noWrap/>
            <w:vAlign w:val="center"/>
            <w:hideMark/>
          </w:tcPr>
          <w:p w14:paraId="4B34A93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3E4C478C"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1C4FF396" w14:textId="77777777" w:rsidTr="00FA72FB">
        <w:trPr>
          <w:trHeight w:val="300"/>
        </w:trPr>
        <w:tc>
          <w:tcPr>
            <w:tcW w:w="573" w:type="pct"/>
            <w:shd w:val="clear" w:color="auto" w:fill="auto"/>
            <w:noWrap/>
            <w:vAlign w:val="center"/>
            <w:hideMark/>
          </w:tcPr>
          <w:p w14:paraId="2331F44F"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4E763A3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3B79AAA3" w14:textId="77777777" w:rsidTr="00FA72FB">
        <w:trPr>
          <w:trHeight w:val="300"/>
        </w:trPr>
        <w:tc>
          <w:tcPr>
            <w:tcW w:w="573" w:type="pct"/>
            <w:shd w:val="clear" w:color="auto" w:fill="auto"/>
            <w:noWrap/>
            <w:vAlign w:val="center"/>
            <w:hideMark/>
          </w:tcPr>
          <w:p w14:paraId="42407A96"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3EABB611"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760BE795" w14:textId="77777777" w:rsidTr="00FA72FB">
        <w:trPr>
          <w:trHeight w:val="300"/>
        </w:trPr>
        <w:tc>
          <w:tcPr>
            <w:tcW w:w="573" w:type="pct"/>
            <w:shd w:val="clear" w:color="auto" w:fill="auto"/>
            <w:noWrap/>
            <w:vAlign w:val="center"/>
            <w:hideMark/>
          </w:tcPr>
          <w:p w14:paraId="4593F1A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57AB581B"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79C077C2" w14:textId="77777777" w:rsidTr="00FA72FB">
        <w:trPr>
          <w:trHeight w:val="300"/>
        </w:trPr>
        <w:tc>
          <w:tcPr>
            <w:tcW w:w="573" w:type="pct"/>
            <w:shd w:val="clear" w:color="auto" w:fill="auto"/>
            <w:noWrap/>
            <w:vAlign w:val="center"/>
            <w:hideMark/>
          </w:tcPr>
          <w:p w14:paraId="41C0454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851</w:t>
            </w:r>
          </w:p>
        </w:tc>
        <w:tc>
          <w:tcPr>
            <w:tcW w:w="4427" w:type="pct"/>
            <w:shd w:val="clear" w:color="auto" w:fill="auto"/>
            <w:noWrap/>
            <w:vAlign w:val="center"/>
            <w:hideMark/>
          </w:tcPr>
          <w:p w14:paraId="082D877D"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Human health activities</w:t>
            </w:r>
          </w:p>
        </w:tc>
      </w:tr>
      <w:tr w:rsidR="00E311F7" w:rsidRPr="00FA72FB" w14:paraId="0F5123EA" w14:textId="77777777" w:rsidTr="00FA72FB">
        <w:trPr>
          <w:trHeight w:val="300"/>
        </w:trPr>
        <w:tc>
          <w:tcPr>
            <w:tcW w:w="573" w:type="pct"/>
            <w:shd w:val="clear" w:color="auto" w:fill="auto"/>
            <w:noWrap/>
            <w:vAlign w:val="center"/>
            <w:hideMark/>
          </w:tcPr>
          <w:p w14:paraId="67BF5492"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923</w:t>
            </w:r>
          </w:p>
        </w:tc>
        <w:tc>
          <w:tcPr>
            <w:tcW w:w="4427" w:type="pct"/>
            <w:shd w:val="clear" w:color="auto" w:fill="auto"/>
            <w:noWrap/>
            <w:vAlign w:val="center"/>
            <w:hideMark/>
          </w:tcPr>
          <w:p w14:paraId="321C5210"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entertainment activities</w:t>
            </w:r>
          </w:p>
        </w:tc>
      </w:tr>
      <w:tr w:rsidR="00E311F7" w:rsidRPr="00FA72FB" w14:paraId="576A546B" w14:textId="77777777" w:rsidTr="00FA72FB">
        <w:trPr>
          <w:trHeight w:val="300"/>
        </w:trPr>
        <w:tc>
          <w:tcPr>
            <w:tcW w:w="573" w:type="pct"/>
            <w:shd w:val="clear" w:color="auto" w:fill="auto"/>
            <w:noWrap/>
            <w:vAlign w:val="center"/>
            <w:hideMark/>
          </w:tcPr>
          <w:p w14:paraId="36DB70EB"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924</w:t>
            </w:r>
          </w:p>
        </w:tc>
        <w:tc>
          <w:tcPr>
            <w:tcW w:w="4427" w:type="pct"/>
            <w:shd w:val="clear" w:color="auto" w:fill="auto"/>
            <w:noWrap/>
            <w:vAlign w:val="center"/>
            <w:hideMark/>
          </w:tcPr>
          <w:p w14:paraId="1B87C7F5"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News agency activities</w:t>
            </w:r>
          </w:p>
        </w:tc>
      </w:tr>
      <w:tr w:rsidR="00E311F7" w:rsidRPr="00FA72FB" w14:paraId="5D57ED93" w14:textId="77777777" w:rsidTr="00FA72FB">
        <w:trPr>
          <w:trHeight w:val="300"/>
        </w:trPr>
        <w:tc>
          <w:tcPr>
            <w:tcW w:w="573" w:type="pct"/>
            <w:shd w:val="clear" w:color="auto" w:fill="auto"/>
            <w:noWrap/>
            <w:vAlign w:val="center"/>
            <w:hideMark/>
          </w:tcPr>
          <w:p w14:paraId="25357BEB"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751</w:t>
            </w:r>
          </w:p>
        </w:tc>
        <w:tc>
          <w:tcPr>
            <w:tcW w:w="4427" w:type="pct"/>
            <w:shd w:val="clear" w:color="auto" w:fill="auto"/>
            <w:noWrap/>
            <w:vAlign w:val="center"/>
            <w:hideMark/>
          </w:tcPr>
          <w:p w14:paraId="0FDFA131"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Administration of the State and the economic and social policy of the community</w:t>
            </w:r>
          </w:p>
        </w:tc>
      </w:tr>
      <w:tr w:rsidR="00E311F7" w:rsidRPr="00FA72FB" w14:paraId="4AD6A22F" w14:textId="77777777" w:rsidTr="00FA72FB">
        <w:trPr>
          <w:trHeight w:val="300"/>
        </w:trPr>
        <w:tc>
          <w:tcPr>
            <w:tcW w:w="573" w:type="pct"/>
            <w:shd w:val="clear" w:color="auto" w:fill="auto"/>
            <w:noWrap/>
            <w:vAlign w:val="center"/>
            <w:hideMark/>
          </w:tcPr>
          <w:p w14:paraId="1141F5AD"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925</w:t>
            </w:r>
          </w:p>
        </w:tc>
        <w:tc>
          <w:tcPr>
            <w:tcW w:w="4427" w:type="pct"/>
            <w:shd w:val="clear" w:color="auto" w:fill="auto"/>
            <w:noWrap/>
            <w:vAlign w:val="center"/>
            <w:hideMark/>
          </w:tcPr>
          <w:p w14:paraId="2A7A9616"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Library, archives, museums and other cultural activities</w:t>
            </w:r>
          </w:p>
        </w:tc>
      </w:tr>
      <w:tr w:rsidR="00E311F7" w:rsidRPr="00FA72FB" w14:paraId="70C2670E" w14:textId="77777777" w:rsidTr="00FA72FB">
        <w:trPr>
          <w:trHeight w:val="300"/>
        </w:trPr>
        <w:tc>
          <w:tcPr>
            <w:tcW w:w="573" w:type="pct"/>
            <w:shd w:val="clear" w:color="auto" w:fill="auto"/>
            <w:noWrap/>
            <w:vAlign w:val="center"/>
            <w:hideMark/>
          </w:tcPr>
          <w:p w14:paraId="2718B3C0" w14:textId="77777777" w:rsidR="00E311F7" w:rsidRPr="00FA72FB" w:rsidRDefault="00E311F7" w:rsidP="00FA72FB">
            <w:pPr>
              <w:spacing w:before="20" w:after="20"/>
              <w:ind w:left="0"/>
              <w:jc w:val="center"/>
              <w:rPr>
                <w:rFonts w:cs="Arial"/>
                <w:sz w:val="18"/>
                <w:szCs w:val="18"/>
                <w:lang w:eastAsia="en-GB"/>
              </w:rPr>
            </w:pPr>
            <w:r w:rsidRPr="00FA72FB">
              <w:rPr>
                <w:rFonts w:cs="Arial"/>
                <w:sz w:val="18"/>
                <w:szCs w:val="18"/>
                <w:lang w:eastAsia="en-GB"/>
              </w:rPr>
              <w:t>923</w:t>
            </w:r>
          </w:p>
        </w:tc>
        <w:tc>
          <w:tcPr>
            <w:tcW w:w="4427" w:type="pct"/>
            <w:shd w:val="clear" w:color="auto" w:fill="auto"/>
            <w:noWrap/>
            <w:vAlign w:val="center"/>
            <w:hideMark/>
          </w:tcPr>
          <w:p w14:paraId="79B49BF2" w14:textId="77777777" w:rsidR="00E311F7" w:rsidRPr="00FA72FB" w:rsidRDefault="00E311F7" w:rsidP="00FA72FB">
            <w:pPr>
              <w:spacing w:before="20" w:after="20"/>
              <w:ind w:left="0"/>
              <w:rPr>
                <w:rFonts w:cs="Arial"/>
                <w:sz w:val="18"/>
                <w:szCs w:val="18"/>
                <w:lang w:eastAsia="en-GB"/>
              </w:rPr>
            </w:pPr>
            <w:r w:rsidRPr="00FA72FB">
              <w:rPr>
                <w:rFonts w:cs="Arial"/>
                <w:sz w:val="18"/>
                <w:szCs w:val="18"/>
                <w:lang w:eastAsia="en-GB"/>
              </w:rPr>
              <w:t>Other entertainment activities</w:t>
            </w:r>
          </w:p>
        </w:tc>
      </w:tr>
    </w:tbl>
    <w:p w14:paraId="6CF885B6" w14:textId="77777777" w:rsidR="00E3489C" w:rsidRPr="009E3760" w:rsidRDefault="00E3489C" w:rsidP="00E3489C"/>
    <w:p w14:paraId="6E7DAEF5" w14:textId="77777777" w:rsidR="00E3489C" w:rsidRDefault="00E3489C" w:rsidP="00E3489C">
      <w:pPr>
        <w:pStyle w:val="Heading3Numbered"/>
        <w:rPr>
          <w:rFonts w:eastAsia="Calibri"/>
        </w:rPr>
      </w:pPr>
      <w:r>
        <w:rPr>
          <w:rFonts w:eastAsia="Calibri"/>
        </w:rPr>
        <w:br w:type="page"/>
      </w:r>
    </w:p>
    <w:p w14:paraId="152E7A40" w14:textId="6D97AABB" w:rsidR="00E3489C" w:rsidRPr="00514EFA" w:rsidRDefault="00E3489C" w:rsidP="00F0636B">
      <w:pPr>
        <w:pStyle w:val="Heading2Numbered"/>
        <w:rPr>
          <w:rFonts w:eastAsia="Calibri"/>
        </w:rPr>
      </w:pPr>
      <w:bookmarkStart w:id="148" w:name="_Toc464222961"/>
      <w:r w:rsidRPr="00514EFA">
        <w:rPr>
          <w:rFonts w:eastAsia="Calibri"/>
        </w:rPr>
        <w:t>Tourism</w:t>
      </w:r>
      <w:bookmarkEnd w:id="148"/>
    </w:p>
    <w:p w14:paraId="3314A8B7" w14:textId="77777777" w:rsidR="00E3489C" w:rsidRDefault="00E3489C" w:rsidP="00E3489C">
      <w:r>
        <w:t>Analysis uses the UN World Tourism Organisation definition, as set out by the ONS Tourism Intelligence Unit</w:t>
      </w:r>
      <w:r>
        <w:rPr>
          <w:rStyle w:val="FootnoteReference"/>
        </w:rPr>
        <w:footnoteReference w:id="44"/>
      </w:r>
      <w:r>
        <w:t>.</w:t>
      </w:r>
    </w:p>
    <w:p w14:paraId="3A99488D" w14:textId="77777777" w:rsidR="00E3489C" w:rsidRPr="009E3760" w:rsidRDefault="00E3489C" w:rsidP="00E3489C"/>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222"/>
      </w:tblGrid>
      <w:tr w:rsidR="00E3489C" w:rsidRPr="00FA72FB" w14:paraId="27FDB397" w14:textId="77777777" w:rsidTr="00FA72FB">
        <w:trPr>
          <w:trHeight w:val="300"/>
          <w:tblHeader/>
        </w:trPr>
        <w:tc>
          <w:tcPr>
            <w:tcW w:w="1149" w:type="dxa"/>
            <w:shd w:val="clear" w:color="auto" w:fill="auto"/>
            <w:noWrap/>
            <w:vAlign w:val="center"/>
            <w:hideMark/>
          </w:tcPr>
          <w:p w14:paraId="25811B6C" w14:textId="77777777" w:rsidR="00E3489C" w:rsidRPr="00FA72FB" w:rsidRDefault="00E3489C" w:rsidP="00FA72FB">
            <w:pPr>
              <w:spacing w:before="20" w:after="20"/>
              <w:ind w:left="0"/>
              <w:jc w:val="center"/>
              <w:rPr>
                <w:rFonts w:cs="Arial"/>
                <w:b/>
                <w:bCs/>
                <w:color w:val="000000"/>
                <w:sz w:val="18"/>
                <w:szCs w:val="18"/>
                <w:lang w:eastAsia="en-GB"/>
              </w:rPr>
            </w:pPr>
            <w:r w:rsidRPr="00FA72FB">
              <w:rPr>
                <w:rFonts w:cs="Arial"/>
                <w:b/>
                <w:bCs/>
                <w:color w:val="000000"/>
                <w:sz w:val="18"/>
                <w:szCs w:val="18"/>
                <w:lang w:eastAsia="en-GB"/>
              </w:rPr>
              <w:t>SIC07</w:t>
            </w:r>
          </w:p>
        </w:tc>
        <w:tc>
          <w:tcPr>
            <w:tcW w:w="8222" w:type="dxa"/>
            <w:shd w:val="clear" w:color="auto" w:fill="auto"/>
            <w:noWrap/>
            <w:vAlign w:val="center"/>
            <w:hideMark/>
          </w:tcPr>
          <w:p w14:paraId="6505BBAC" w14:textId="67C16AD7" w:rsidR="00E3489C" w:rsidRPr="00FA72FB" w:rsidRDefault="00E311F7" w:rsidP="00FA72FB">
            <w:pPr>
              <w:spacing w:before="20" w:after="20"/>
              <w:ind w:left="0"/>
              <w:rPr>
                <w:rFonts w:cs="Arial"/>
                <w:b/>
                <w:bCs/>
                <w:color w:val="000000"/>
                <w:sz w:val="18"/>
                <w:szCs w:val="18"/>
                <w:lang w:eastAsia="en-GB"/>
              </w:rPr>
            </w:pPr>
            <w:r>
              <w:rPr>
                <w:rFonts w:cs="Arial"/>
                <w:b/>
                <w:bCs/>
                <w:color w:val="000000"/>
                <w:sz w:val="18"/>
                <w:szCs w:val="18"/>
                <w:lang w:eastAsia="en-GB"/>
              </w:rPr>
              <w:t>D</w:t>
            </w:r>
            <w:r w:rsidR="00E3489C" w:rsidRPr="00FA72FB">
              <w:rPr>
                <w:rFonts w:cs="Arial"/>
                <w:b/>
                <w:bCs/>
                <w:color w:val="000000"/>
                <w:sz w:val="18"/>
                <w:szCs w:val="18"/>
                <w:lang w:eastAsia="en-GB"/>
              </w:rPr>
              <w:t>escription</w:t>
            </w:r>
          </w:p>
        </w:tc>
      </w:tr>
      <w:tr w:rsidR="00E3489C" w:rsidRPr="00FA72FB" w14:paraId="77CA825B" w14:textId="77777777" w:rsidTr="00FA72FB">
        <w:trPr>
          <w:trHeight w:val="300"/>
        </w:trPr>
        <w:tc>
          <w:tcPr>
            <w:tcW w:w="1149" w:type="dxa"/>
            <w:shd w:val="clear" w:color="auto" w:fill="auto"/>
            <w:noWrap/>
            <w:vAlign w:val="center"/>
            <w:hideMark/>
          </w:tcPr>
          <w:p w14:paraId="4ADF763B"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55100</w:t>
            </w:r>
          </w:p>
        </w:tc>
        <w:tc>
          <w:tcPr>
            <w:tcW w:w="8222" w:type="dxa"/>
            <w:shd w:val="clear" w:color="auto" w:fill="auto"/>
            <w:noWrap/>
            <w:vAlign w:val="center"/>
            <w:hideMark/>
          </w:tcPr>
          <w:p w14:paraId="79C78F1F"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Hotels and similar accommodation</w:t>
            </w:r>
          </w:p>
        </w:tc>
      </w:tr>
      <w:tr w:rsidR="00E3489C" w:rsidRPr="00FA72FB" w14:paraId="6566A1FA" w14:textId="77777777" w:rsidTr="00FA72FB">
        <w:trPr>
          <w:trHeight w:val="300"/>
        </w:trPr>
        <w:tc>
          <w:tcPr>
            <w:tcW w:w="1149" w:type="dxa"/>
            <w:shd w:val="clear" w:color="auto" w:fill="auto"/>
            <w:noWrap/>
            <w:vAlign w:val="center"/>
            <w:hideMark/>
          </w:tcPr>
          <w:p w14:paraId="2EF7E50E"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55202</w:t>
            </w:r>
          </w:p>
        </w:tc>
        <w:tc>
          <w:tcPr>
            <w:tcW w:w="8222" w:type="dxa"/>
            <w:shd w:val="clear" w:color="auto" w:fill="auto"/>
            <w:noWrap/>
            <w:vAlign w:val="center"/>
            <w:hideMark/>
          </w:tcPr>
          <w:p w14:paraId="771B17A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Youth hostels</w:t>
            </w:r>
          </w:p>
        </w:tc>
      </w:tr>
      <w:tr w:rsidR="00E3489C" w:rsidRPr="00FA72FB" w14:paraId="1293D975" w14:textId="77777777" w:rsidTr="00FA72FB">
        <w:trPr>
          <w:trHeight w:val="300"/>
        </w:trPr>
        <w:tc>
          <w:tcPr>
            <w:tcW w:w="1149" w:type="dxa"/>
            <w:shd w:val="clear" w:color="auto" w:fill="auto"/>
            <w:noWrap/>
            <w:vAlign w:val="center"/>
            <w:hideMark/>
          </w:tcPr>
          <w:p w14:paraId="2D60E50A"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55300</w:t>
            </w:r>
          </w:p>
        </w:tc>
        <w:tc>
          <w:tcPr>
            <w:tcW w:w="8222" w:type="dxa"/>
            <w:shd w:val="clear" w:color="auto" w:fill="auto"/>
            <w:noWrap/>
            <w:vAlign w:val="center"/>
            <w:hideMark/>
          </w:tcPr>
          <w:p w14:paraId="793F75B7"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Recreational vehicle parks, trailer parks and camping grounds</w:t>
            </w:r>
          </w:p>
        </w:tc>
      </w:tr>
      <w:tr w:rsidR="00E3489C" w:rsidRPr="00FA72FB" w14:paraId="53C86B29" w14:textId="77777777" w:rsidTr="00FA72FB">
        <w:trPr>
          <w:trHeight w:val="300"/>
        </w:trPr>
        <w:tc>
          <w:tcPr>
            <w:tcW w:w="1149" w:type="dxa"/>
            <w:shd w:val="clear" w:color="auto" w:fill="auto"/>
            <w:noWrap/>
            <w:vAlign w:val="center"/>
            <w:hideMark/>
          </w:tcPr>
          <w:p w14:paraId="4D0A073D"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55201</w:t>
            </w:r>
          </w:p>
        </w:tc>
        <w:tc>
          <w:tcPr>
            <w:tcW w:w="8222" w:type="dxa"/>
            <w:shd w:val="clear" w:color="auto" w:fill="auto"/>
            <w:noWrap/>
            <w:vAlign w:val="center"/>
            <w:hideMark/>
          </w:tcPr>
          <w:p w14:paraId="14C48FAC"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Holiday centres and villages</w:t>
            </w:r>
          </w:p>
        </w:tc>
      </w:tr>
      <w:tr w:rsidR="00E3489C" w:rsidRPr="00FA72FB" w14:paraId="15D2078B" w14:textId="77777777" w:rsidTr="00FA72FB">
        <w:trPr>
          <w:trHeight w:val="300"/>
        </w:trPr>
        <w:tc>
          <w:tcPr>
            <w:tcW w:w="1149" w:type="dxa"/>
            <w:shd w:val="clear" w:color="auto" w:fill="auto"/>
            <w:noWrap/>
            <w:vAlign w:val="center"/>
            <w:hideMark/>
          </w:tcPr>
          <w:p w14:paraId="4AC3EE24"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55209</w:t>
            </w:r>
          </w:p>
        </w:tc>
        <w:tc>
          <w:tcPr>
            <w:tcW w:w="8222" w:type="dxa"/>
            <w:shd w:val="clear" w:color="auto" w:fill="auto"/>
            <w:noWrap/>
            <w:vAlign w:val="center"/>
            <w:hideMark/>
          </w:tcPr>
          <w:p w14:paraId="5993CAA5"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holiday and other collective accommodation</w:t>
            </w:r>
          </w:p>
        </w:tc>
      </w:tr>
      <w:tr w:rsidR="00E3489C" w:rsidRPr="00FA72FB" w14:paraId="4CC98890" w14:textId="77777777" w:rsidTr="00FA72FB">
        <w:trPr>
          <w:trHeight w:val="300"/>
        </w:trPr>
        <w:tc>
          <w:tcPr>
            <w:tcW w:w="1149" w:type="dxa"/>
            <w:shd w:val="clear" w:color="auto" w:fill="auto"/>
            <w:noWrap/>
            <w:vAlign w:val="center"/>
            <w:hideMark/>
          </w:tcPr>
          <w:p w14:paraId="35780CAE"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55900</w:t>
            </w:r>
          </w:p>
        </w:tc>
        <w:tc>
          <w:tcPr>
            <w:tcW w:w="8222" w:type="dxa"/>
            <w:shd w:val="clear" w:color="auto" w:fill="auto"/>
            <w:noWrap/>
            <w:vAlign w:val="center"/>
            <w:hideMark/>
          </w:tcPr>
          <w:p w14:paraId="598B36FE"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accommodation</w:t>
            </w:r>
          </w:p>
        </w:tc>
      </w:tr>
      <w:tr w:rsidR="00E3489C" w:rsidRPr="00FA72FB" w14:paraId="68246D62" w14:textId="77777777" w:rsidTr="00FA72FB">
        <w:trPr>
          <w:trHeight w:val="300"/>
        </w:trPr>
        <w:tc>
          <w:tcPr>
            <w:tcW w:w="1149" w:type="dxa"/>
            <w:shd w:val="clear" w:color="auto" w:fill="auto"/>
            <w:noWrap/>
            <w:vAlign w:val="center"/>
            <w:hideMark/>
          </w:tcPr>
          <w:p w14:paraId="6A88D16E"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56101</w:t>
            </w:r>
          </w:p>
        </w:tc>
        <w:tc>
          <w:tcPr>
            <w:tcW w:w="8222" w:type="dxa"/>
            <w:shd w:val="clear" w:color="auto" w:fill="auto"/>
            <w:noWrap/>
            <w:vAlign w:val="center"/>
            <w:hideMark/>
          </w:tcPr>
          <w:p w14:paraId="1DD74FFD"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Licensed restaurants</w:t>
            </w:r>
          </w:p>
        </w:tc>
      </w:tr>
      <w:tr w:rsidR="00E3489C" w:rsidRPr="00FA72FB" w14:paraId="1FA66402" w14:textId="77777777" w:rsidTr="00FA72FB">
        <w:trPr>
          <w:trHeight w:val="300"/>
        </w:trPr>
        <w:tc>
          <w:tcPr>
            <w:tcW w:w="1149" w:type="dxa"/>
            <w:shd w:val="clear" w:color="auto" w:fill="auto"/>
            <w:noWrap/>
            <w:vAlign w:val="center"/>
            <w:hideMark/>
          </w:tcPr>
          <w:p w14:paraId="58852596"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56102</w:t>
            </w:r>
          </w:p>
        </w:tc>
        <w:tc>
          <w:tcPr>
            <w:tcW w:w="8222" w:type="dxa"/>
            <w:shd w:val="clear" w:color="auto" w:fill="auto"/>
            <w:noWrap/>
            <w:vAlign w:val="center"/>
            <w:hideMark/>
          </w:tcPr>
          <w:p w14:paraId="06FFD54B"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Unlicensed restaurants and cafes</w:t>
            </w:r>
          </w:p>
        </w:tc>
      </w:tr>
      <w:tr w:rsidR="00E3489C" w:rsidRPr="00FA72FB" w14:paraId="107CCDB1" w14:textId="77777777" w:rsidTr="00FA72FB">
        <w:trPr>
          <w:trHeight w:val="300"/>
        </w:trPr>
        <w:tc>
          <w:tcPr>
            <w:tcW w:w="1149" w:type="dxa"/>
            <w:shd w:val="clear" w:color="auto" w:fill="auto"/>
            <w:noWrap/>
            <w:vAlign w:val="center"/>
            <w:hideMark/>
          </w:tcPr>
          <w:p w14:paraId="4D575853"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56103</w:t>
            </w:r>
          </w:p>
        </w:tc>
        <w:tc>
          <w:tcPr>
            <w:tcW w:w="8222" w:type="dxa"/>
            <w:shd w:val="clear" w:color="auto" w:fill="auto"/>
            <w:noWrap/>
            <w:vAlign w:val="center"/>
            <w:hideMark/>
          </w:tcPr>
          <w:p w14:paraId="2AE43973"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Take-away food shops and mobile food stands</w:t>
            </w:r>
          </w:p>
        </w:tc>
      </w:tr>
      <w:tr w:rsidR="00E3489C" w:rsidRPr="00FA72FB" w14:paraId="165B7901" w14:textId="77777777" w:rsidTr="00FA72FB">
        <w:trPr>
          <w:trHeight w:val="300"/>
        </w:trPr>
        <w:tc>
          <w:tcPr>
            <w:tcW w:w="1149" w:type="dxa"/>
            <w:shd w:val="clear" w:color="auto" w:fill="auto"/>
            <w:noWrap/>
            <w:vAlign w:val="center"/>
            <w:hideMark/>
          </w:tcPr>
          <w:p w14:paraId="1EEBBBC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56290</w:t>
            </w:r>
          </w:p>
        </w:tc>
        <w:tc>
          <w:tcPr>
            <w:tcW w:w="8222" w:type="dxa"/>
            <w:shd w:val="clear" w:color="auto" w:fill="auto"/>
            <w:noWrap/>
            <w:vAlign w:val="center"/>
            <w:hideMark/>
          </w:tcPr>
          <w:p w14:paraId="548F3E7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food services</w:t>
            </w:r>
          </w:p>
        </w:tc>
      </w:tr>
      <w:tr w:rsidR="00E3489C" w:rsidRPr="00FA72FB" w14:paraId="0F0BF803" w14:textId="77777777" w:rsidTr="00FA72FB">
        <w:trPr>
          <w:trHeight w:val="300"/>
        </w:trPr>
        <w:tc>
          <w:tcPr>
            <w:tcW w:w="1149" w:type="dxa"/>
            <w:shd w:val="clear" w:color="auto" w:fill="auto"/>
            <w:noWrap/>
            <w:vAlign w:val="center"/>
            <w:hideMark/>
          </w:tcPr>
          <w:p w14:paraId="4E3DC9D1"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56210</w:t>
            </w:r>
          </w:p>
        </w:tc>
        <w:tc>
          <w:tcPr>
            <w:tcW w:w="8222" w:type="dxa"/>
            <w:shd w:val="clear" w:color="auto" w:fill="auto"/>
            <w:noWrap/>
            <w:vAlign w:val="center"/>
            <w:hideMark/>
          </w:tcPr>
          <w:p w14:paraId="3374487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Event catering activities</w:t>
            </w:r>
          </w:p>
        </w:tc>
      </w:tr>
      <w:tr w:rsidR="00E3489C" w:rsidRPr="00FA72FB" w14:paraId="6AD8D350" w14:textId="77777777" w:rsidTr="00FA72FB">
        <w:trPr>
          <w:trHeight w:val="300"/>
        </w:trPr>
        <w:tc>
          <w:tcPr>
            <w:tcW w:w="1149" w:type="dxa"/>
            <w:shd w:val="clear" w:color="auto" w:fill="auto"/>
            <w:noWrap/>
            <w:vAlign w:val="center"/>
            <w:hideMark/>
          </w:tcPr>
          <w:p w14:paraId="59364036"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56301</w:t>
            </w:r>
          </w:p>
        </w:tc>
        <w:tc>
          <w:tcPr>
            <w:tcW w:w="8222" w:type="dxa"/>
            <w:shd w:val="clear" w:color="auto" w:fill="auto"/>
            <w:noWrap/>
            <w:vAlign w:val="center"/>
            <w:hideMark/>
          </w:tcPr>
          <w:p w14:paraId="114A4F8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Licenced clubs</w:t>
            </w:r>
          </w:p>
        </w:tc>
      </w:tr>
      <w:tr w:rsidR="00E3489C" w:rsidRPr="00FA72FB" w14:paraId="5AE3DCED" w14:textId="77777777" w:rsidTr="00FA72FB">
        <w:trPr>
          <w:trHeight w:val="300"/>
        </w:trPr>
        <w:tc>
          <w:tcPr>
            <w:tcW w:w="1149" w:type="dxa"/>
            <w:shd w:val="clear" w:color="auto" w:fill="auto"/>
            <w:noWrap/>
            <w:vAlign w:val="center"/>
            <w:hideMark/>
          </w:tcPr>
          <w:p w14:paraId="1B2FA0E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56302</w:t>
            </w:r>
          </w:p>
        </w:tc>
        <w:tc>
          <w:tcPr>
            <w:tcW w:w="8222" w:type="dxa"/>
            <w:shd w:val="clear" w:color="auto" w:fill="auto"/>
            <w:noWrap/>
            <w:vAlign w:val="center"/>
            <w:hideMark/>
          </w:tcPr>
          <w:p w14:paraId="0D3C3C59"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Public houses and bars</w:t>
            </w:r>
          </w:p>
        </w:tc>
      </w:tr>
      <w:tr w:rsidR="00E3489C" w:rsidRPr="00FA72FB" w14:paraId="4298E3E8" w14:textId="77777777" w:rsidTr="00FA72FB">
        <w:trPr>
          <w:trHeight w:val="300"/>
        </w:trPr>
        <w:tc>
          <w:tcPr>
            <w:tcW w:w="1149" w:type="dxa"/>
            <w:shd w:val="clear" w:color="auto" w:fill="auto"/>
            <w:noWrap/>
            <w:vAlign w:val="center"/>
            <w:hideMark/>
          </w:tcPr>
          <w:p w14:paraId="729F4B9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49100</w:t>
            </w:r>
          </w:p>
        </w:tc>
        <w:tc>
          <w:tcPr>
            <w:tcW w:w="8222" w:type="dxa"/>
            <w:shd w:val="clear" w:color="auto" w:fill="auto"/>
            <w:noWrap/>
            <w:vAlign w:val="center"/>
            <w:hideMark/>
          </w:tcPr>
          <w:p w14:paraId="64238B03"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Passenger rail transport, interurban</w:t>
            </w:r>
          </w:p>
        </w:tc>
      </w:tr>
      <w:tr w:rsidR="00E3489C" w:rsidRPr="00FA72FB" w14:paraId="5F096835" w14:textId="77777777" w:rsidTr="00FA72FB">
        <w:trPr>
          <w:trHeight w:val="300"/>
        </w:trPr>
        <w:tc>
          <w:tcPr>
            <w:tcW w:w="1149" w:type="dxa"/>
            <w:shd w:val="clear" w:color="auto" w:fill="auto"/>
            <w:noWrap/>
            <w:vAlign w:val="center"/>
            <w:hideMark/>
          </w:tcPr>
          <w:p w14:paraId="7E6C11BF"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49320</w:t>
            </w:r>
          </w:p>
        </w:tc>
        <w:tc>
          <w:tcPr>
            <w:tcW w:w="8222" w:type="dxa"/>
            <w:shd w:val="clear" w:color="auto" w:fill="auto"/>
            <w:noWrap/>
            <w:vAlign w:val="center"/>
            <w:hideMark/>
          </w:tcPr>
          <w:p w14:paraId="12F1BDC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Taxi operation</w:t>
            </w:r>
          </w:p>
        </w:tc>
      </w:tr>
      <w:tr w:rsidR="00E3489C" w:rsidRPr="00FA72FB" w14:paraId="4A52D41E" w14:textId="77777777" w:rsidTr="00FA72FB">
        <w:trPr>
          <w:trHeight w:val="300"/>
        </w:trPr>
        <w:tc>
          <w:tcPr>
            <w:tcW w:w="1149" w:type="dxa"/>
            <w:shd w:val="clear" w:color="auto" w:fill="auto"/>
            <w:noWrap/>
            <w:vAlign w:val="center"/>
            <w:hideMark/>
          </w:tcPr>
          <w:p w14:paraId="06EFA3F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49390</w:t>
            </w:r>
          </w:p>
        </w:tc>
        <w:tc>
          <w:tcPr>
            <w:tcW w:w="8222" w:type="dxa"/>
            <w:shd w:val="clear" w:color="auto" w:fill="auto"/>
            <w:noWrap/>
            <w:vAlign w:val="center"/>
            <w:hideMark/>
          </w:tcPr>
          <w:p w14:paraId="3271944B"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passenger land transport</w:t>
            </w:r>
          </w:p>
        </w:tc>
      </w:tr>
      <w:tr w:rsidR="00E3489C" w:rsidRPr="00FA72FB" w14:paraId="6D5D902C" w14:textId="77777777" w:rsidTr="00FA72FB">
        <w:trPr>
          <w:trHeight w:val="300"/>
        </w:trPr>
        <w:tc>
          <w:tcPr>
            <w:tcW w:w="1149" w:type="dxa"/>
            <w:shd w:val="clear" w:color="auto" w:fill="auto"/>
            <w:noWrap/>
            <w:vAlign w:val="center"/>
            <w:hideMark/>
          </w:tcPr>
          <w:p w14:paraId="66A058B0"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50100</w:t>
            </w:r>
          </w:p>
        </w:tc>
        <w:tc>
          <w:tcPr>
            <w:tcW w:w="8222" w:type="dxa"/>
            <w:shd w:val="clear" w:color="auto" w:fill="auto"/>
            <w:noWrap/>
            <w:vAlign w:val="center"/>
            <w:hideMark/>
          </w:tcPr>
          <w:p w14:paraId="3077575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Sea and coastal passenger water transport</w:t>
            </w:r>
          </w:p>
        </w:tc>
      </w:tr>
      <w:tr w:rsidR="00E3489C" w:rsidRPr="00FA72FB" w14:paraId="63D63EC5" w14:textId="77777777" w:rsidTr="00FA72FB">
        <w:trPr>
          <w:trHeight w:val="300"/>
        </w:trPr>
        <w:tc>
          <w:tcPr>
            <w:tcW w:w="1149" w:type="dxa"/>
            <w:shd w:val="clear" w:color="auto" w:fill="auto"/>
            <w:noWrap/>
            <w:vAlign w:val="center"/>
            <w:hideMark/>
          </w:tcPr>
          <w:p w14:paraId="3970C858"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50300</w:t>
            </w:r>
          </w:p>
        </w:tc>
        <w:tc>
          <w:tcPr>
            <w:tcW w:w="8222" w:type="dxa"/>
            <w:shd w:val="clear" w:color="auto" w:fill="auto"/>
            <w:noWrap/>
            <w:vAlign w:val="center"/>
            <w:hideMark/>
          </w:tcPr>
          <w:p w14:paraId="36C2A239"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Inland passenger water transport</w:t>
            </w:r>
          </w:p>
        </w:tc>
      </w:tr>
      <w:tr w:rsidR="00E3489C" w:rsidRPr="00FA72FB" w14:paraId="5182C4F1" w14:textId="77777777" w:rsidTr="00FA72FB">
        <w:trPr>
          <w:trHeight w:val="300"/>
        </w:trPr>
        <w:tc>
          <w:tcPr>
            <w:tcW w:w="1149" w:type="dxa"/>
            <w:shd w:val="clear" w:color="auto" w:fill="auto"/>
            <w:noWrap/>
            <w:vAlign w:val="center"/>
            <w:hideMark/>
          </w:tcPr>
          <w:p w14:paraId="2D32F22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51101</w:t>
            </w:r>
          </w:p>
        </w:tc>
        <w:tc>
          <w:tcPr>
            <w:tcW w:w="8222" w:type="dxa"/>
            <w:shd w:val="clear" w:color="auto" w:fill="auto"/>
            <w:noWrap/>
            <w:vAlign w:val="center"/>
            <w:hideMark/>
          </w:tcPr>
          <w:p w14:paraId="16804278"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Scheduled passenger air transport</w:t>
            </w:r>
          </w:p>
        </w:tc>
      </w:tr>
      <w:tr w:rsidR="00E3489C" w:rsidRPr="00FA72FB" w14:paraId="7E8B2461" w14:textId="77777777" w:rsidTr="00FA72FB">
        <w:trPr>
          <w:trHeight w:val="300"/>
        </w:trPr>
        <w:tc>
          <w:tcPr>
            <w:tcW w:w="1149" w:type="dxa"/>
            <w:shd w:val="clear" w:color="auto" w:fill="auto"/>
            <w:noWrap/>
            <w:vAlign w:val="center"/>
            <w:hideMark/>
          </w:tcPr>
          <w:p w14:paraId="20CA391B"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51102</w:t>
            </w:r>
          </w:p>
        </w:tc>
        <w:tc>
          <w:tcPr>
            <w:tcW w:w="8222" w:type="dxa"/>
            <w:shd w:val="clear" w:color="auto" w:fill="auto"/>
            <w:noWrap/>
            <w:vAlign w:val="center"/>
            <w:hideMark/>
          </w:tcPr>
          <w:p w14:paraId="08FD7556"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Non-scheduled passenger air transport</w:t>
            </w:r>
          </w:p>
        </w:tc>
      </w:tr>
      <w:tr w:rsidR="00E3489C" w:rsidRPr="00FA72FB" w14:paraId="53784455" w14:textId="77777777" w:rsidTr="00FA72FB">
        <w:trPr>
          <w:trHeight w:val="300"/>
        </w:trPr>
        <w:tc>
          <w:tcPr>
            <w:tcW w:w="1149" w:type="dxa"/>
            <w:shd w:val="clear" w:color="auto" w:fill="auto"/>
            <w:noWrap/>
            <w:vAlign w:val="center"/>
            <w:hideMark/>
          </w:tcPr>
          <w:p w14:paraId="3AFF89A9"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77110</w:t>
            </w:r>
          </w:p>
        </w:tc>
        <w:tc>
          <w:tcPr>
            <w:tcW w:w="8222" w:type="dxa"/>
            <w:shd w:val="clear" w:color="auto" w:fill="auto"/>
            <w:noWrap/>
            <w:vAlign w:val="center"/>
            <w:hideMark/>
          </w:tcPr>
          <w:p w14:paraId="7850EBF0"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Renting and leasing of cars and light motor vehicles</w:t>
            </w:r>
          </w:p>
        </w:tc>
      </w:tr>
      <w:tr w:rsidR="00E3489C" w:rsidRPr="00FA72FB" w14:paraId="21265E78" w14:textId="77777777" w:rsidTr="00FA72FB">
        <w:trPr>
          <w:trHeight w:val="300"/>
        </w:trPr>
        <w:tc>
          <w:tcPr>
            <w:tcW w:w="1149" w:type="dxa"/>
            <w:shd w:val="clear" w:color="auto" w:fill="auto"/>
            <w:noWrap/>
            <w:vAlign w:val="center"/>
            <w:hideMark/>
          </w:tcPr>
          <w:p w14:paraId="47E24B51"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77341</w:t>
            </w:r>
          </w:p>
        </w:tc>
        <w:tc>
          <w:tcPr>
            <w:tcW w:w="8222" w:type="dxa"/>
            <w:shd w:val="clear" w:color="auto" w:fill="auto"/>
            <w:noWrap/>
            <w:vAlign w:val="center"/>
            <w:hideMark/>
          </w:tcPr>
          <w:p w14:paraId="4F70457B"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Renting and leasing of passenger water transport equipment</w:t>
            </w:r>
          </w:p>
        </w:tc>
      </w:tr>
      <w:tr w:rsidR="00E3489C" w:rsidRPr="00FA72FB" w14:paraId="5CFC5899" w14:textId="77777777" w:rsidTr="00FA72FB">
        <w:trPr>
          <w:trHeight w:val="300"/>
        </w:trPr>
        <w:tc>
          <w:tcPr>
            <w:tcW w:w="1149" w:type="dxa"/>
            <w:shd w:val="clear" w:color="auto" w:fill="auto"/>
            <w:noWrap/>
            <w:vAlign w:val="center"/>
            <w:hideMark/>
          </w:tcPr>
          <w:p w14:paraId="5802F2D1"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77351</w:t>
            </w:r>
          </w:p>
        </w:tc>
        <w:tc>
          <w:tcPr>
            <w:tcW w:w="8222" w:type="dxa"/>
            <w:shd w:val="clear" w:color="auto" w:fill="auto"/>
            <w:noWrap/>
            <w:vAlign w:val="center"/>
            <w:hideMark/>
          </w:tcPr>
          <w:p w14:paraId="042A11DF"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Renting and leasing of passenger air transport equipment</w:t>
            </w:r>
          </w:p>
        </w:tc>
      </w:tr>
      <w:tr w:rsidR="00E3489C" w:rsidRPr="00FA72FB" w14:paraId="17463087" w14:textId="77777777" w:rsidTr="00FA72FB">
        <w:trPr>
          <w:trHeight w:val="300"/>
        </w:trPr>
        <w:tc>
          <w:tcPr>
            <w:tcW w:w="1149" w:type="dxa"/>
            <w:shd w:val="clear" w:color="auto" w:fill="auto"/>
            <w:noWrap/>
            <w:vAlign w:val="center"/>
            <w:hideMark/>
          </w:tcPr>
          <w:p w14:paraId="57DFD573"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79110</w:t>
            </w:r>
          </w:p>
        </w:tc>
        <w:tc>
          <w:tcPr>
            <w:tcW w:w="8222" w:type="dxa"/>
            <w:shd w:val="clear" w:color="auto" w:fill="auto"/>
            <w:noWrap/>
            <w:vAlign w:val="center"/>
            <w:hideMark/>
          </w:tcPr>
          <w:p w14:paraId="410C7DE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Travel agency activities</w:t>
            </w:r>
          </w:p>
        </w:tc>
      </w:tr>
      <w:tr w:rsidR="00E3489C" w:rsidRPr="00FA72FB" w14:paraId="34EC528F" w14:textId="77777777" w:rsidTr="00FA72FB">
        <w:trPr>
          <w:trHeight w:val="300"/>
        </w:trPr>
        <w:tc>
          <w:tcPr>
            <w:tcW w:w="1149" w:type="dxa"/>
            <w:shd w:val="clear" w:color="auto" w:fill="auto"/>
            <w:noWrap/>
            <w:vAlign w:val="center"/>
            <w:hideMark/>
          </w:tcPr>
          <w:p w14:paraId="7AC07452"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79120</w:t>
            </w:r>
          </w:p>
        </w:tc>
        <w:tc>
          <w:tcPr>
            <w:tcW w:w="8222" w:type="dxa"/>
            <w:shd w:val="clear" w:color="auto" w:fill="auto"/>
            <w:noWrap/>
            <w:vAlign w:val="center"/>
            <w:hideMark/>
          </w:tcPr>
          <w:p w14:paraId="443B605B"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Tour operator activities</w:t>
            </w:r>
          </w:p>
        </w:tc>
      </w:tr>
      <w:tr w:rsidR="00E3489C" w:rsidRPr="00FA72FB" w14:paraId="19CD801D" w14:textId="77777777" w:rsidTr="00FA72FB">
        <w:trPr>
          <w:trHeight w:val="300"/>
        </w:trPr>
        <w:tc>
          <w:tcPr>
            <w:tcW w:w="1149" w:type="dxa"/>
            <w:shd w:val="clear" w:color="auto" w:fill="auto"/>
            <w:noWrap/>
            <w:vAlign w:val="center"/>
            <w:hideMark/>
          </w:tcPr>
          <w:p w14:paraId="69280712"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79901</w:t>
            </w:r>
          </w:p>
        </w:tc>
        <w:tc>
          <w:tcPr>
            <w:tcW w:w="8222" w:type="dxa"/>
            <w:shd w:val="clear" w:color="auto" w:fill="auto"/>
            <w:noWrap/>
            <w:vAlign w:val="center"/>
            <w:hideMark/>
          </w:tcPr>
          <w:p w14:paraId="3FA4368C"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Activities of tourist guides</w:t>
            </w:r>
          </w:p>
        </w:tc>
      </w:tr>
      <w:tr w:rsidR="00E3489C" w:rsidRPr="00FA72FB" w14:paraId="14B16565" w14:textId="77777777" w:rsidTr="00FA72FB">
        <w:trPr>
          <w:trHeight w:val="300"/>
        </w:trPr>
        <w:tc>
          <w:tcPr>
            <w:tcW w:w="1149" w:type="dxa"/>
            <w:shd w:val="clear" w:color="auto" w:fill="auto"/>
            <w:noWrap/>
            <w:vAlign w:val="center"/>
            <w:hideMark/>
          </w:tcPr>
          <w:p w14:paraId="7BB8978C"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79909</w:t>
            </w:r>
          </w:p>
        </w:tc>
        <w:tc>
          <w:tcPr>
            <w:tcW w:w="8222" w:type="dxa"/>
            <w:shd w:val="clear" w:color="auto" w:fill="auto"/>
            <w:noWrap/>
            <w:vAlign w:val="center"/>
            <w:hideMark/>
          </w:tcPr>
          <w:p w14:paraId="739ACCD8"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reservation service activities n.e.c.</w:t>
            </w:r>
          </w:p>
        </w:tc>
      </w:tr>
      <w:tr w:rsidR="00E3489C" w:rsidRPr="00FA72FB" w14:paraId="56DC716A" w14:textId="77777777" w:rsidTr="00FA72FB">
        <w:trPr>
          <w:trHeight w:val="300"/>
        </w:trPr>
        <w:tc>
          <w:tcPr>
            <w:tcW w:w="1149" w:type="dxa"/>
            <w:shd w:val="clear" w:color="auto" w:fill="auto"/>
            <w:noWrap/>
            <w:vAlign w:val="center"/>
            <w:hideMark/>
          </w:tcPr>
          <w:p w14:paraId="748B8EF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90010</w:t>
            </w:r>
          </w:p>
        </w:tc>
        <w:tc>
          <w:tcPr>
            <w:tcW w:w="8222" w:type="dxa"/>
            <w:shd w:val="clear" w:color="auto" w:fill="auto"/>
            <w:noWrap/>
            <w:vAlign w:val="center"/>
            <w:hideMark/>
          </w:tcPr>
          <w:p w14:paraId="28F840D8"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Performing arts</w:t>
            </w:r>
          </w:p>
        </w:tc>
      </w:tr>
      <w:tr w:rsidR="00E3489C" w:rsidRPr="00FA72FB" w14:paraId="74297A7C" w14:textId="77777777" w:rsidTr="00FA72FB">
        <w:trPr>
          <w:trHeight w:val="300"/>
        </w:trPr>
        <w:tc>
          <w:tcPr>
            <w:tcW w:w="1149" w:type="dxa"/>
            <w:shd w:val="clear" w:color="auto" w:fill="auto"/>
            <w:noWrap/>
            <w:vAlign w:val="center"/>
            <w:hideMark/>
          </w:tcPr>
          <w:p w14:paraId="61F7CC44"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90020</w:t>
            </w:r>
          </w:p>
        </w:tc>
        <w:tc>
          <w:tcPr>
            <w:tcW w:w="8222" w:type="dxa"/>
            <w:shd w:val="clear" w:color="auto" w:fill="auto"/>
            <w:noWrap/>
            <w:vAlign w:val="center"/>
            <w:hideMark/>
          </w:tcPr>
          <w:p w14:paraId="7A6447F5"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Support activities to performing arts</w:t>
            </w:r>
          </w:p>
        </w:tc>
      </w:tr>
      <w:tr w:rsidR="00E3489C" w:rsidRPr="00FA72FB" w14:paraId="02B3C9B3" w14:textId="77777777" w:rsidTr="00FA72FB">
        <w:trPr>
          <w:trHeight w:val="300"/>
        </w:trPr>
        <w:tc>
          <w:tcPr>
            <w:tcW w:w="1149" w:type="dxa"/>
            <w:shd w:val="clear" w:color="auto" w:fill="auto"/>
            <w:noWrap/>
            <w:vAlign w:val="center"/>
            <w:hideMark/>
          </w:tcPr>
          <w:p w14:paraId="764CEA3E"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90030</w:t>
            </w:r>
          </w:p>
        </w:tc>
        <w:tc>
          <w:tcPr>
            <w:tcW w:w="8222" w:type="dxa"/>
            <w:shd w:val="clear" w:color="auto" w:fill="auto"/>
            <w:noWrap/>
            <w:vAlign w:val="center"/>
            <w:hideMark/>
          </w:tcPr>
          <w:p w14:paraId="7FC34ED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Artistic creation</w:t>
            </w:r>
          </w:p>
        </w:tc>
      </w:tr>
      <w:tr w:rsidR="00E3489C" w:rsidRPr="00FA72FB" w14:paraId="120F27FB" w14:textId="77777777" w:rsidTr="00FA72FB">
        <w:trPr>
          <w:trHeight w:val="300"/>
        </w:trPr>
        <w:tc>
          <w:tcPr>
            <w:tcW w:w="1149" w:type="dxa"/>
            <w:shd w:val="clear" w:color="auto" w:fill="auto"/>
            <w:noWrap/>
            <w:vAlign w:val="center"/>
            <w:hideMark/>
          </w:tcPr>
          <w:p w14:paraId="464D91CC"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90040</w:t>
            </w:r>
          </w:p>
        </w:tc>
        <w:tc>
          <w:tcPr>
            <w:tcW w:w="8222" w:type="dxa"/>
            <w:shd w:val="clear" w:color="auto" w:fill="auto"/>
            <w:noWrap/>
            <w:vAlign w:val="center"/>
            <w:hideMark/>
          </w:tcPr>
          <w:p w14:paraId="28DF1AAD"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Operation of arts facilities</w:t>
            </w:r>
          </w:p>
        </w:tc>
      </w:tr>
      <w:tr w:rsidR="00E3489C" w:rsidRPr="00FA72FB" w14:paraId="2E58F9D2" w14:textId="77777777" w:rsidTr="00FA72FB">
        <w:trPr>
          <w:trHeight w:val="300"/>
        </w:trPr>
        <w:tc>
          <w:tcPr>
            <w:tcW w:w="1149" w:type="dxa"/>
            <w:shd w:val="clear" w:color="auto" w:fill="auto"/>
            <w:noWrap/>
            <w:vAlign w:val="center"/>
            <w:hideMark/>
          </w:tcPr>
          <w:p w14:paraId="6A7D8672"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91020</w:t>
            </w:r>
          </w:p>
        </w:tc>
        <w:tc>
          <w:tcPr>
            <w:tcW w:w="8222" w:type="dxa"/>
            <w:shd w:val="clear" w:color="auto" w:fill="auto"/>
            <w:noWrap/>
            <w:vAlign w:val="center"/>
            <w:hideMark/>
          </w:tcPr>
          <w:p w14:paraId="6C9BC17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Museums activities</w:t>
            </w:r>
          </w:p>
        </w:tc>
      </w:tr>
      <w:tr w:rsidR="00E3489C" w:rsidRPr="00FA72FB" w14:paraId="380198E1" w14:textId="77777777" w:rsidTr="00FA72FB">
        <w:trPr>
          <w:trHeight w:val="300"/>
        </w:trPr>
        <w:tc>
          <w:tcPr>
            <w:tcW w:w="1149" w:type="dxa"/>
            <w:shd w:val="clear" w:color="auto" w:fill="auto"/>
            <w:noWrap/>
            <w:vAlign w:val="center"/>
            <w:hideMark/>
          </w:tcPr>
          <w:p w14:paraId="2674CB2D"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91030</w:t>
            </w:r>
          </w:p>
        </w:tc>
        <w:tc>
          <w:tcPr>
            <w:tcW w:w="8222" w:type="dxa"/>
            <w:shd w:val="clear" w:color="auto" w:fill="auto"/>
            <w:noWrap/>
            <w:vAlign w:val="center"/>
            <w:hideMark/>
          </w:tcPr>
          <w:p w14:paraId="69A347AD"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Operation of historical sites and buildings and similar visitor attractions</w:t>
            </w:r>
          </w:p>
        </w:tc>
      </w:tr>
      <w:tr w:rsidR="00E3489C" w:rsidRPr="00FA72FB" w14:paraId="38B4A781" w14:textId="77777777" w:rsidTr="00FA72FB">
        <w:trPr>
          <w:trHeight w:val="300"/>
        </w:trPr>
        <w:tc>
          <w:tcPr>
            <w:tcW w:w="1149" w:type="dxa"/>
            <w:shd w:val="clear" w:color="auto" w:fill="auto"/>
            <w:noWrap/>
            <w:vAlign w:val="center"/>
            <w:hideMark/>
          </w:tcPr>
          <w:p w14:paraId="3052D232"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91040</w:t>
            </w:r>
          </w:p>
        </w:tc>
        <w:tc>
          <w:tcPr>
            <w:tcW w:w="8222" w:type="dxa"/>
            <w:shd w:val="clear" w:color="auto" w:fill="auto"/>
            <w:noWrap/>
            <w:vAlign w:val="center"/>
            <w:hideMark/>
          </w:tcPr>
          <w:p w14:paraId="74569590"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Botanical and zoological gardens and nature reserves activities</w:t>
            </w:r>
          </w:p>
        </w:tc>
      </w:tr>
      <w:tr w:rsidR="00E3489C" w:rsidRPr="00FA72FB" w14:paraId="02915144" w14:textId="77777777" w:rsidTr="00FA72FB">
        <w:trPr>
          <w:trHeight w:val="300"/>
        </w:trPr>
        <w:tc>
          <w:tcPr>
            <w:tcW w:w="1149" w:type="dxa"/>
            <w:shd w:val="clear" w:color="auto" w:fill="auto"/>
            <w:noWrap/>
            <w:vAlign w:val="center"/>
            <w:hideMark/>
          </w:tcPr>
          <w:p w14:paraId="058AD2D0"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92000</w:t>
            </w:r>
          </w:p>
        </w:tc>
        <w:tc>
          <w:tcPr>
            <w:tcW w:w="8222" w:type="dxa"/>
            <w:shd w:val="clear" w:color="auto" w:fill="auto"/>
            <w:noWrap/>
            <w:vAlign w:val="center"/>
            <w:hideMark/>
          </w:tcPr>
          <w:p w14:paraId="39C62BF6"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Gambling and betting activities</w:t>
            </w:r>
          </w:p>
        </w:tc>
      </w:tr>
      <w:tr w:rsidR="00E3489C" w:rsidRPr="00FA72FB" w14:paraId="1E5FBC42" w14:textId="77777777" w:rsidTr="00FA72FB">
        <w:trPr>
          <w:trHeight w:val="300"/>
        </w:trPr>
        <w:tc>
          <w:tcPr>
            <w:tcW w:w="1149" w:type="dxa"/>
            <w:shd w:val="clear" w:color="auto" w:fill="auto"/>
            <w:noWrap/>
            <w:vAlign w:val="center"/>
            <w:hideMark/>
          </w:tcPr>
          <w:p w14:paraId="1BE74977"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93110</w:t>
            </w:r>
          </w:p>
        </w:tc>
        <w:tc>
          <w:tcPr>
            <w:tcW w:w="8222" w:type="dxa"/>
            <w:shd w:val="clear" w:color="auto" w:fill="auto"/>
            <w:noWrap/>
            <w:vAlign w:val="center"/>
            <w:hideMark/>
          </w:tcPr>
          <w:p w14:paraId="12FA10B5"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Operation of sports facilities</w:t>
            </w:r>
          </w:p>
        </w:tc>
      </w:tr>
      <w:tr w:rsidR="00E3489C" w:rsidRPr="00FA72FB" w14:paraId="40C3277A" w14:textId="77777777" w:rsidTr="00FA72FB">
        <w:trPr>
          <w:trHeight w:val="300"/>
        </w:trPr>
        <w:tc>
          <w:tcPr>
            <w:tcW w:w="1149" w:type="dxa"/>
            <w:shd w:val="clear" w:color="auto" w:fill="auto"/>
            <w:noWrap/>
            <w:vAlign w:val="center"/>
            <w:hideMark/>
          </w:tcPr>
          <w:p w14:paraId="59C5F4E9"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93199</w:t>
            </w:r>
          </w:p>
        </w:tc>
        <w:tc>
          <w:tcPr>
            <w:tcW w:w="8222" w:type="dxa"/>
            <w:shd w:val="clear" w:color="auto" w:fill="auto"/>
            <w:noWrap/>
            <w:vAlign w:val="center"/>
            <w:hideMark/>
          </w:tcPr>
          <w:p w14:paraId="1A516CAF"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sports activities</w:t>
            </w:r>
          </w:p>
        </w:tc>
      </w:tr>
      <w:tr w:rsidR="00E3489C" w:rsidRPr="00FA72FB" w14:paraId="3E839C99" w14:textId="77777777" w:rsidTr="00FA72FB">
        <w:trPr>
          <w:trHeight w:val="300"/>
        </w:trPr>
        <w:tc>
          <w:tcPr>
            <w:tcW w:w="1149" w:type="dxa"/>
            <w:shd w:val="clear" w:color="auto" w:fill="auto"/>
            <w:noWrap/>
            <w:vAlign w:val="center"/>
            <w:hideMark/>
          </w:tcPr>
          <w:p w14:paraId="19CE4C1D"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93210</w:t>
            </w:r>
          </w:p>
        </w:tc>
        <w:tc>
          <w:tcPr>
            <w:tcW w:w="8222" w:type="dxa"/>
            <w:shd w:val="clear" w:color="auto" w:fill="auto"/>
            <w:noWrap/>
            <w:vAlign w:val="center"/>
            <w:hideMark/>
          </w:tcPr>
          <w:p w14:paraId="1A4AB16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Activities of amusement parks and theme parks</w:t>
            </w:r>
          </w:p>
        </w:tc>
      </w:tr>
      <w:tr w:rsidR="00E3489C" w:rsidRPr="00FA72FB" w14:paraId="2749D746" w14:textId="77777777" w:rsidTr="00FA72FB">
        <w:trPr>
          <w:trHeight w:val="300"/>
        </w:trPr>
        <w:tc>
          <w:tcPr>
            <w:tcW w:w="1149" w:type="dxa"/>
            <w:shd w:val="clear" w:color="auto" w:fill="auto"/>
            <w:noWrap/>
            <w:vAlign w:val="center"/>
            <w:hideMark/>
          </w:tcPr>
          <w:p w14:paraId="5A1B6290"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93290</w:t>
            </w:r>
          </w:p>
        </w:tc>
        <w:tc>
          <w:tcPr>
            <w:tcW w:w="8222" w:type="dxa"/>
            <w:shd w:val="clear" w:color="auto" w:fill="auto"/>
            <w:noWrap/>
            <w:vAlign w:val="center"/>
            <w:hideMark/>
          </w:tcPr>
          <w:p w14:paraId="67A1050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amusement and recreation activities n.e.c.</w:t>
            </w:r>
          </w:p>
        </w:tc>
      </w:tr>
      <w:tr w:rsidR="00E3489C" w:rsidRPr="00FA72FB" w14:paraId="2F10520B" w14:textId="77777777" w:rsidTr="00FA72FB">
        <w:trPr>
          <w:trHeight w:val="300"/>
        </w:trPr>
        <w:tc>
          <w:tcPr>
            <w:tcW w:w="1149" w:type="dxa"/>
            <w:shd w:val="clear" w:color="auto" w:fill="auto"/>
            <w:noWrap/>
            <w:vAlign w:val="center"/>
            <w:hideMark/>
          </w:tcPr>
          <w:p w14:paraId="56D45F16"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77210</w:t>
            </w:r>
          </w:p>
        </w:tc>
        <w:tc>
          <w:tcPr>
            <w:tcW w:w="8222" w:type="dxa"/>
            <w:shd w:val="clear" w:color="auto" w:fill="auto"/>
            <w:noWrap/>
            <w:vAlign w:val="center"/>
            <w:hideMark/>
          </w:tcPr>
          <w:p w14:paraId="2C50B3D9"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Renting and leasing of recreational and sports goods</w:t>
            </w:r>
          </w:p>
        </w:tc>
      </w:tr>
      <w:tr w:rsidR="00E3489C" w:rsidRPr="00FA72FB" w14:paraId="0D9782D7" w14:textId="77777777" w:rsidTr="00FA72FB">
        <w:trPr>
          <w:trHeight w:val="300"/>
        </w:trPr>
        <w:tc>
          <w:tcPr>
            <w:tcW w:w="1149" w:type="dxa"/>
            <w:shd w:val="clear" w:color="auto" w:fill="auto"/>
            <w:noWrap/>
            <w:vAlign w:val="center"/>
            <w:hideMark/>
          </w:tcPr>
          <w:p w14:paraId="20282B0B"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82301</w:t>
            </w:r>
          </w:p>
        </w:tc>
        <w:tc>
          <w:tcPr>
            <w:tcW w:w="8222" w:type="dxa"/>
            <w:shd w:val="clear" w:color="auto" w:fill="auto"/>
            <w:noWrap/>
            <w:vAlign w:val="center"/>
            <w:hideMark/>
          </w:tcPr>
          <w:p w14:paraId="4007FD9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Activities of exhibition and fair organisers</w:t>
            </w:r>
          </w:p>
        </w:tc>
      </w:tr>
      <w:tr w:rsidR="00E3489C" w:rsidRPr="00FA72FB" w14:paraId="02280D94" w14:textId="77777777" w:rsidTr="00FA72FB">
        <w:trPr>
          <w:trHeight w:val="300"/>
        </w:trPr>
        <w:tc>
          <w:tcPr>
            <w:tcW w:w="1149" w:type="dxa"/>
            <w:shd w:val="clear" w:color="auto" w:fill="auto"/>
            <w:noWrap/>
            <w:vAlign w:val="center"/>
            <w:hideMark/>
          </w:tcPr>
          <w:p w14:paraId="08831972"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82302</w:t>
            </w:r>
          </w:p>
        </w:tc>
        <w:tc>
          <w:tcPr>
            <w:tcW w:w="8222" w:type="dxa"/>
            <w:shd w:val="clear" w:color="auto" w:fill="auto"/>
            <w:noWrap/>
            <w:vAlign w:val="center"/>
            <w:hideMark/>
          </w:tcPr>
          <w:p w14:paraId="2873EBC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Activities of conference organisers</w:t>
            </w:r>
          </w:p>
        </w:tc>
      </w:tr>
      <w:tr w:rsidR="00E3489C" w:rsidRPr="00FA72FB" w14:paraId="1DEEEC1C" w14:textId="77777777" w:rsidTr="00FA72FB">
        <w:trPr>
          <w:trHeight w:val="300"/>
        </w:trPr>
        <w:tc>
          <w:tcPr>
            <w:tcW w:w="1149" w:type="dxa"/>
            <w:shd w:val="clear" w:color="auto" w:fill="auto"/>
            <w:noWrap/>
            <w:vAlign w:val="center"/>
            <w:hideMark/>
          </w:tcPr>
          <w:p w14:paraId="559D9EA9"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68202</w:t>
            </w:r>
          </w:p>
        </w:tc>
        <w:tc>
          <w:tcPr>
            <w:tcW w:w="8222" w:type="dxa"/>
            <w:shd w:val="clear" w:color="auto" w:fill="auto"/>
            <w:noWrap/>
            <w:vAlign w:val="center"/>
            <w:hideMark/>
          </w:tcPr>
          <w:p w14:paraId="1ADCA692"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Letting and operating of conference and exhibition centres</w:t>
            </w:r>
          </w:p>
        </w:tc>
      </w:tr>
    </w:tbl>
    <w:p w14:paraId="71E4A312" w14:textId="77777777" w:rsidR="00E3489C" w:rsidRPr="009E3760" w:rsidRDefault="00E3489C" w:rsidP="00E3489C"/>
    <w:p w14:paraId="75F681EA" w14:textId="77777777" w:rsidR="00E3489C" w:rsidRDefault="00E3489C" w:rsidP="00E3489C">
      <w:pPr>
        <w:pStyle w:val="Heading3Numbered"/>
        <w:rPr>
          <w:rFonts w:eastAsia="Calibri"/>
        </w:rPr>
      </w:pPr>
      <w:r>
        <w:rPr>
          <w:rFonts w:eastAsia="Calibri"/>
        </w:rPr>
        <w:br w:type="page"/>
      </w:r>
    </w:p>
    <w:p w14:paraId="6B50CC84" w14:textId="380D6C0A" w:rsidR="00E3489C" w:rsidRPr="00514EFA" w:rsidRDefault="00E3489C" w:rsidP="00E3489C">
      <w:pPr>
        <w:pStyle w:val="Heading3Numbered"/>
        <w:rPr>
          <w:rFonts w:eastAsia="Calibri"/>
        </w:rPr>
      </w:pPr>
      <w:bookmarkStart w:id="149" w:name="_Toc464222962"/>
      <w:r w:rsidRPr="00514EFA">
        <w:rPr>
          <w:rFonts w:eastAsia="Calibri"/>
        </w:rPr>
        <w:t>Professional Services</w:t>
      </w:r>
      <w:bookmarkEnd w:id="149"/>
    </w:p>
    <w:p w14:paraId="15C2E236" w14:textId="77777777" w:rsidR="00E3489C" w:rsidRDefault="00E3489C" w:rsidP="00E3489C">
      <w:r>
        <w:t>Analysis uses the Department for Business, Innovation &amp; Skills definition</w:t>
      </w:r>
      <w:r>
        <w:rPr>
          <w:rStyle w:val="FootnoteReference"/>
        </w:rPr>
        <w:footnoteReference w:id="45"/>
      </w:r>
      <w:r>
        <w:t>.</w:t>
      </w:r>
    </w:p>
    <w:p w14:paraId="706CE7A3" w14:textId="77777777" w:rsidR="00E3489C" w:rsidRDefault="00E3489C" w:rsidP="00E3489C"/>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222"/>
      </w:tblGrid>
      <w:tr w:rsidR="00E3489C" w:rsidRPr="00FA72FB" w14:paraId="7E331BF6" w14:textId="77777777" w:rsidTr="00FA72FB">
        <w:trPr>
          <w:trHeight w:val="300"/>
        </w:trPr>
        <w:tc>
          <w:tcPr>
            <w:tcW w:w="1149" w:type="dxa"/>
            <w:shd w:val="clear" w:color="auto" w:fill="auto"/>
            <w:noWrap/>
            <w:vAlign w:val="center"/>
            <w:hideMark/>
          </w:tcPr>
          <w:p w14:paraId="1CFF56FF" w14:textId="77777777" w:rsidR="00E3489C" w:rsidRPr="00FA72FB" w:rsidRDefault="00E3489C" w:rsidP="00FA72FB">
            <w:pPr>
              <w:spacing w:before="20" w:after="20"/>
              <w:ind w:left="0"/>
              <w:jc w:val="center"/>
              <w:rPr>
                <w:rFonts w:cs="Arial"/>
                <w:b/>
                <w:color w:val="000000"/>
                <w:sz w:val="18"/>
                <w:szCs w:val="18"/>
                <w:lang w:eastAsia="en-GB"/>
              </w:rPr>
            </w:pPr>
            <w:r w:rsidRPr="00FA72FB">
              <w:rPr>
                <w:rFonts w:cs="Arial"/>
                <w:b/>
                <w:color w:val="000000"/>
                <w:sz w:val="18"/>
                <w:szCs w:val="18"/>
                <w:lang w:eastAsia="en-GB"/>
              </w:rPr>
              <w:t>SIC</w:t>
            </w:r>
          </w:p>
        </w:tc>
        <w:tc>
          <w:tcPr>
            <w:tcW w:w="8222" w:type="dxa"/>
            <w:shd w:val="clear" w:color="auto" w:fill="auto"/>
            <w:noWrap/>
            <w:vAlign w:val="center"/>
            <w:hideMark/>
          </w:tcPr>
          <w:p w14:paraId="0AB93501" w14:textId="77777777" w:rsidR="00E3489C" w:rsidRPr="00FA72FB" w:rsidRDefault="00E3489C" w:rsidP="00FA72FB">
            <w:pPr>
              <w:spacing w:before="20" w:after="20"/>
              <w:ind w:left="0"/>
              <w:rPr>
                <w:rFonts w:cs="Arial"/>
                <w:b/>
                <w:color w:val="000000"/>
                <w:sz w:val="18"/>
                <w:szCs w:val="18"/>
                <w:lang w:eastAsia="en-GB"/>
              </w:rPr>
            </w:pPr>
            <w:r w:rsidRPr="00FA72FB">
              <w:rPr>
                <w:rFonts w:cs="Arial"/>
                <w:b/>
                <w:color w:val="000000"/>
                <w:sz w:val="18"/>
                <w:szCs w:val="18"/>
                <w:lang w:eastAsia="en-GB"/>
              </w:rPr>
              <w:t>Description</w:t>
            </w:r>
          </w:p>
        </w:tc>
      </w:tr>
      <w:tr w:rsidR="00E3489C" w:rsidRPr="00FA72FB" w14:paraId="1ED54CB7" w14:textId="77777777" w:rsidTr="00FA72FB">
        <w:trPr>
          <w:trHeight w:val="300"/>
        </w:trPr>
        <w:tc>
          <w:tcPr>
            <w:tcW w:w="1149" w:type="dxa"/>
            <w:shd w:val="clear" w:color="auto" w:fill="auto"/>
            <w:noWrap/>
            <w:vAlign w:val="center"/>
            <w:hideMark/>
          </w:tcPr>
          <w:p w14:paraId="09C499D7"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69</w:t>
            </w:r>
          </w:p>
        </w:tc>
        <w:tc>
          <w:tcPr>
            <w:tcW w:w="8222" w:type="dxa"/>
            <w:shd w:val="clear" w:color="auto" w:fill="auto"/>
            <w:noWrap/>
            <w:vAlign w:val="center"/>
            <w:hideMark/>
          </w:tcPr>
          <w:p w14:paraId="564E8F1E"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Legal and accounting activities</w:t>
            </w:r>
          </w:p>
        </w:tc>
      </w:tr>
      <w:tr w:rsidR="00E3489C" w:rsidRPr="00FA72FB" w14:paraId="072A7115" w14:textId="77777777" w:rsidTr="00FA72FB">
        <w:trPr>
          <w:trHeight w:val="300"/>
        </w:trPr>
        <w:tc>
          <w:tcPr>
            <w:tcW w:w="1149" w:type="dxa"/>
            <w:shd w:val="clear" w:color="auto" w:fill="auto"/>
            <w:noWrap/>
            <w:vAlign w:val="center"/>
            <w:hideMark/>
          </w:tcPr>
          <w:p w14:paraId="77ECC1A6"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70</w:t>
            </w:r>
          </w:p>
        </w:tc>
        <w:tc>
          <w:tcPr>
            <w:tcW w:w="8222" w:type="dxa"/>
            <w:shd w:val="clear" w:color="auto" w:fill="auto"/>
            <w:noWrap/>
            <w:vAlign w:val="center"/>
            <w:hideMark/>
          </w:tcPr>
          <w:p w14:paraId="50CDEDD9"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Activities of head offices; management consultancy activities</w:t>
            </w:r>
          </w:p>
        </w:tc>
      </w:tr>
      <w:tr w:rsidR="00E3489C" w:rsidRPr="00FA72FB" w14:paraId="3808601F" w14:textId="77777777" w:rsidTr="00FA72FB">
        <w:trPr>
          <w:trHeight w:val="300"/>
        </w:trPr>
        <w:tc>
          <w:tcPr>
            <w:tcW w:w="1149" w:type="dxa"/>
            <w:shd w:val="clear" w:color="auto" w:fill="auto"/>
            <w:noWrap/>
            <w:vAlign w:val="center"/>
            <w:hideMark/>
          </w:tcPr>
          <w:p w14:paraId="0240DE8A"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71</w:t>
            </w:r>
          </w:p>
        </w:tc>
        <w:tc>
          <w:tcPr>
            <w:tcW w:w="8222" w:type="dxa"/>
            <w:shd w:val="clear" w:color="auto" w:fill="auto"/>
            <w:noWrap/>
            <w:vAlign w:val="center"/>
            <w:hideMark/>
          </w:tcPr>
          <w:p w14:paraId="0DA6188C"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Architectural and engineering activities; technical testing and analysis</w:t>
            </w:r>
          </w:p>
        </w:tc>
      </w:tr>
      <w:tr w:rsidR="00E3489C" w:rsidRPr="00FA72FB" w14:paraId="0BDF66E3" w14:textId="77777777" w:rsidTr="00FA72FB">
        <w:trPr>
          <w:trHeight w:val="300"/>
        </w:trPr>
        <w:tc>
          <w:tcPr>
            <w:tcW w:w="1149" w:type="dxa"/>
            <w:shd w:val="clear" w:color="auto" w:fill="auto"/>
            <w:noWrap/>
            <w:vAlign w:val="center"/>
            <w:hideMark/>
          </w:tcPr>
          <w:p w14:paraId="345C44A7"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72</w:t>
            </w:r>
          </w:p>
        </w:tc>
        <w:tc>
          <w:tcPr>
            <w:tcW w:w="8222" w:type="dxa"/>
            <w:shd w:val="clear" w:color="auto" w:fill="auto"/>
            <w:noWrap/>
            <w:vAlign w:val="center"/>
            <w:hideMark/>
          </w:tcPr>
          <w:p w14:paraId="52C287C5"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Scientific research and development</w:t>
            </w:r>
          </w:p>
        </w:tc>
      </w:tr>
      <w:tr w:rsidR="00E3489C" w:rsidRPr="00FA72FB" w14:paraId="1560D61B" w14:textId="77777777" w:rsidTr="00FA72FB">
        <w:trPr>
          <w:trHeight w:val="300"/>
        </w:trPr>
        <w:tc>
          <w:tcPr>
            <w:tcW w:w="1149" w:type="dxa"/>
            <w:shd w:val="clear" w:color="auto" w:fill="auto"/>
            <w:noWrap/>
            <w:vAlign w:val="center"/>
            <w:hideMark/>
          </w:tcPr>
          <w:p w14:paraId="147ACF89"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73</w:t>
            </w:r>
          </w:p>
        </w:tc>
        <w:tc>
          <w:tcPr>
            <w:tcW w:w="8222" w:type="dxa"/>
            <w:shd w:val="clear" w:color="auto" w:fill="auto"/>
            <w:noWrap/>
            <w:vAlign w:val="center"/>
            <w:hideMark/>
          </w:tcPr>
          <w:p w14:paraId="46786FAB"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Advertising and market research</w:t>
            </w:r>
          </w:p>
        </w:tc>
      </w:tr>
      <w:tr w:rsidR="00E3489C" w:rsidRPr="00FA72FB" w14:paraId="6A51A524" w14:textId="77777777" w:rsidTr="00FA72FB">
        <w:trPr>
          <w:trHeight w:val="300"/>
        </w:trPr>
        <w:tc>
          <w:tcPr>
            <w:tcW w:w="1149" w:type="dxa"/>
            <w:shd w:val="clear" w:color="auto" w:fill="auto"/>
            <w:noWrap/>
            <w:vAlign w:val="center"/>
            <w:hideMark/>
          </w:tcPr>
          <w:p w14:paraId="3F027B43"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74</w:t>
            </w:r>
          </w:p>
        </w:tc>
        <w:tc>
          <w:tcPr>
            <w:tcW w:w="8222" w:type="dxa"/>
            <w:shd w:val="clear" w:color="auto" w:fill="auto"/>
            <w:noWrap/>
            <w:vAlign w:val="center"/>
            <w:hideMark/>
          </w:tcPr>
          <w:p w14:paraId="5D3F8EAF"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Other professional, scientific and technical activities</w:t>
            </w:r>
          </w:p>
        </w:tc>
      </w:tr>
      <w:tr w:rsidR="00E3489C" w:rsidRPr="00FA72FB" w14:paraId="14807F1E" w14:textId="77777777" w:rsidTr="00FA72FB">
        <w:trPr>
          <w:trHeight w:val="300"/>
        </w:trPr>
        <w:tc>
          <w:tcPr>
            <w:tcW w:w="1149" w:type="dxa"/>
            <w:shd w:val="clear" w:color="auto" w:fill="auto"/>
            <w:noWrap/>
            <w:vAlign w:val="center"/>
            <w:hideMark/>
          </w:tcPr>
          <w:p w14:paraId="5939408D"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77</w:t>
            </w:r>
          </w:p>
        </w:tc>
        <w:tc>
          <w:tcPr>
            <w:tcW w:w="8222" w:type="dxa"/>
            <w:shd w:val="clear" w:color="auto" w:fill="auto"/>
            <w:noWrap/>
            <w:vAlign w:val="center"/>
            <w:hideMark/>
          </w:tcPr>
          <w:p w14:paraId="046E3F56"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Rental and leasing activities</w:t>
            </w:r>
          </w:p>
        </w:tc>
      </w:tr>
      <w:tr w:rsidR="00E3489C" w:rsidRPr="00FA72FB" w14:paraId="7BE5EACA" w14:textId="77777777" w:rsidTr="00FA72FB">
        <w:trPr>
          <w:trHeight w:val="300"/>
        </w:trPr>
        <w:tc>
          <w:tcPr>
            <w:tcW w:w="1149" w:type="dxa"/>
            <w:shd w:val="clear" w:color="auto" w:fill="auto"/>
            <w:noWrap/>
            <w:vAlign w:val="center"/>
            <w:hideMark/>
          </w:tcPr>
          <w:p w14:paraId="20995035"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78</w:t>
            </w:r>
          </w:p>
        </w:tc>
        <w:tc>
          <w:tcPr>
            <w:tcW w:w="8222" w:type="dxa"/>
            <w:shd w:val="clear" w:color="auto" w:fill="auto"/>
            <w:noWrap/>
            <w:vAlign w:val="center"/>
            <w:hideMark/>
          </w:tcPr>
          <w:p w14:paraId="34A6BE79"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Employment activities</w:t>
            </w:r>
          </w:p>
        </w:tc>
      </w:tr>
      <w:tr w:rsidR="00E3489C" w:rsidRPr="00FA72FB" w14:paraId="09B55636" w14:textId="77777777" w:rsidTr="00FA72FB">
        <w:trPr>
          <w:trHeight w:val="300"/>
        </w:trPr>
        <w:tc>
          <w:tcPr>
            <w:tcW w:w="1149" w:type="dxa"/>
            <w:shd w:val="clear" w:color="auto" w:fill="auto"/>
            <w:noWrap/>
            <w:vAlign w:val="center"/>
            <w:hideMark/>
          </w:tcPr>
          <w:p w14:paraId="3E6D487C" w14:textId="77777777" w:rsidR="00E3489C" w:rsidRPr="00FA72FB" w:rsidRDefault="00E3489C" w:rsidP="00FA72FB">
            <w:pPr>
              <w:spacing w:before="20" w:after="20"/>
              <w:ind w:left="0"/>
              <w:jc w:val="center"/>
              <w:rPr>
                <w:rFonts w:cs="Arial"/>
                <w:color w:val="000000"/>
                <w:sz w:val="18"/>
                <w:szCs w:val="18"/>
                <w:lang w:eastAsia="en-GB"/>
              </w:rPr>
            </w:pPr>
            <w:r w:rsidRPr="00FA72FB">
              <w:rPr>
                <w:rFonts w:cs="Arial"/>
                <w:color w:val="000000"/>
                <w:sz w:val="18"/>
                <w:szCs w:val="18"/>
                <w:lang w:eastAsia="en-GB"/>
              </w:rPr>
              <w:t>82</w:t>
            </w:r>
          </w:p>
        </w:tc>
        <w:tc>
          <w:tcPr>
            <w:tcW w:w="8222" w:type="dxa"/>
            <w:shd w:val="clear" w:color="auto" w:fill="auto"/>
            <w:noWrap/>
            <w:vAlign w:val="center"/>
            <w:hideMark/>
          </w:tcPr>
          <w:p w14:paraId="018295B1" w14:textId="77777777" w:rsidR="00E3489C" w:rsidRPr="00FA72FB" w:rsidRDefault="00E3489C" w:rsidP="00FA72FB">
            <w:pPr>
              <w:spacing w:before="20" w:after="20"/>
              <w:ind w:left="0"/>
              <w:rPr>
                <w:rFonts w:cs="Arial"/>
                <w:color w:val="000000"/>
                <w:sz w:val="18"/>
                <w:szCs w:val="18"/>
                <w:lang w:eastAsia="en-GB"/>
              </w:rPr>
            </w:pPr>
            <w:r w:rsidRPr="00FA72FB">
              <w:rPr>
                <w:rFonts w:cs="Arial"/>
                <w:color w:val="000000"/>
                <w:sz w:val="18"/>
                <w:szCs w:val="18"/>
                <w:lang w:eastAsia="en-GB"/>
              </w:rPr>
              <w:t>Office administrative, office support and other business support activities</w:t>
            </w:r>
          </w:p>
        </w:tc>
      </w:tr>
    </w:tbl>
    <w:p w14:paraId="0CB8FDDC" w14:textId="53BE5AC5" w:rsidR="00682CD3" w:rsidRDefault="00682CD3" w:rsidP="00E3489C"/>
    <w:p w14:paraId="48621EEA" w14:textId="3EB71CE0" w:rsidR="00E3489C" w:rsidRDefault="00682CD3" w:rsidP="00F0636B">
      <w:pPr>
        <w:pStyle w:val="Heading1Numbered"/>
      </w:pPr>
      <w:bookmarkStart w:id="150" w:name="_Ref460261622"/>
      <w:bookmarkStart w:id="151" w:name="_Toc464222963"/>
      <w:r>
        <w:t>Appendix VI – Data sources and details of variables</w:t>
      </w:r>
      <w:bookmarkEnd w:id="150"/>
      <w:bookmarkEnd w:id="151"/>
    </w:p>
    <w:p w14:paraId="17429741" w14:textId="77777777" w:rsidR="00682CD3" w:rsidRDefault="00682CD3"/>
    <w:tbl>
      <w:tblPr>
        <w:tblStyle w:val="TableGridLight1"/>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8"/>
        <w:gridCol w:w="5386"/>
      </w:tblGrid>
      <w:tr w:rsidR="00682CD3" w:rsidRPr="001D6533" w14:paraId="22053CFE" w14:textId="77777777" w:rsidTr="00511EC8">
        <w:trPr>
          <w:trHeight w:val="270"/>
        </w:trPr>
        <w:tc>
          <w:tcPr>
            <w:tcW w:w="3578" w:type="dxa"/>
            <w:tcBorders>
              <w:top w:val="single" w:sz="4" w:space="0" w:color="auto"/>
              <w:left w:val="nil"/>
              <w:bottom w:val="single" w:sz="4" w:space="0" w:color="auto"/>
              <w:right w:val="nil"/>
            </w:tcBorders>
          </w:tcPr>
          <w:p w14:paraId="5BB2AC2F" w14:textId="77777777" w:rsidR="00682CD3" w:rsidRPr="001D6533" w:rsidRDefault="00682CD3" w:rsidP="00955D2E">
            <w:pPr>
              <w:ind w:left="34"/>
              <w:rPr>
                <w:rFonts w:cs="Arial"/>
                <w:b/>
                <w:bCs/>
                <w:szCs w:val="22"/>
              </w:rPr>
            </w:pPr>
            <w:r w:rsidRPr="001D6533">
              <w:rPr>
                <w:rFonts w:cs="Arial"/>
                <w:b/>
                <w:bCs/>
                <w:szCs w:val="22"/>
              </w:rPr>
              <w:t>Variable</w:t>
            </w:r>
          </w:p>
        </w:tc>
        <w:tc>
          <w:tcPr>
            <w:tcW w:w="5386" w:type="dxa"/>
            <w:tcBorders>
              <w:top w:val="single" w:sz="4" w:space="0" w:color="auto"/>
              <w:left w:val="nil"/>
              <w:bottom w:val="single" w:sz="4" w:space="0" w:color="auto"/>
              <w:right w:val="nil"/>
            </w:tcBorders>
          </w:tcPr>
          <w:p w14:paraId="70846435" w14:textId="77777777" w:rsidR="00682CD3" w:rsidRPr="001D6533" w:rsidRDefault="00682CD3" w:rsidP="00955D2E">
            <w:pPr>
              <w:ind w:left="271"/>
              <w:rPr>
                <w:rFonts w:cs="Arial"/>
                <w:b/>
                <w:bCs/>
                <w:szCs w:val="22"/>
              </w:rPr>
            </w:pPr>
            <w:r w:rsidRPr="001D6533">
              <w:rPr>
                <w:rFonts w:cs="Arial"/>
                <w:b/>
                <w:bCs/>
                <w:szCs w:val="22"/>
              </w:rPr>
              <w:t>Definition and source</w:t>
            </w:r>
          </w:p>
        </w:tc>
      </w:tr>
      <w:tr w:rsidR="00682CD3" w:rsidRPr="001D6533" w14:paraId="41D76BC1" w14:textId="77777777" w:rsidTr="00511EC8">
        <w:trPr>
          <w:trHeight w:val="270"/>
        </w:trPr>
        <w:tc>
          <w:tcPr>
            <w:tcW w:w="3578" w:type="dxa"/>
            <w:tcBorders>
              <w:top w:val="single" w:sz="4" w:space="0" w:color="auto"/>
              <w:left w:val="nil"/>
              <w:bottom w:val="nil"/>
              <w:right w:val="nil"/>
            </w:tcBorders>
          </w:tcPr>
          <w:p w14:paraId="060D785A" w14:textId="77777777" w:rsidR="00511EC8" w:rsidRDefault="00511EC8" w:rsidP="00955D2E">
            <w:pPr>
              <w:ind w:left="34"/>
              <w:rPr>
                <w:rFonts w:cs="Arial"/>
                <w:b/>
                <w:bCs/>
                <w:szCs w:val="22"/>
                <w:u w:val="single"/>
              </w:rPr>
            </w:pPr>
          </w:p>
          <w:p w14:paraId="3E0199F1" w14:textId="77777777" w:rsidR="00682CD3" w:rsidRPr="001D6533" w:rsidRDefault="00682CD3" w:rsidP="00955D2E">
            <w:pPr>
              <w:ind w:left="34"/>
              <w:rPr>
                <w:rFonts w:cs="Arial"/>
                <w:b/>
                <w:bCs/>
                <w:szCs w:val="22"/>
                <w:u w:val="single"/>
              </w:rPr>
            </w:pPr>
            <w:r w:rsidRPr="001D6533">
              <w:rPr>
                <w:rFonts w:cs="Arial"/>
                <w:b/>
                <w:bCs/>
                <w:szCs w:val="22"/>
                <w:u w:val="single"/>
              </w:rPr>
              <w:t>Dependent variables</w:t>
            </w:r>
          </w:p>
        </w:tc>
        <w:tc>
          <w:tcPr>
            <w:tcW w:w="5386" w:type="dxa"/>
            <w:tcBorders>
              <w:top w:val="single" w:sz="4" w:space="0" w:color="auto"/>
              <w:left w:val="nil"/>
              <w:bottom w:val="nil"/>
              <w:right w:val="nil"/>
            </w:tcBorders>
          </w:tcPr>
          <w:p w14:paraId="5E7B78D5" w14:textId="77777777" w:rsidR="00682CD3" w:rsidRPr="001D6533" w:rsidRDefault="00682CD3" w:rsidP="00955D2E">
            <w:pPr>
              <w:ind w:left="271"/>
              <w:rPr>
                <w:rFonts w:cs="Arial"/>
                <w:b/>
                <w:bCs/>
                <w:szCs w:val="22"/>
              </w:rPr>
            </w:pPr>
          </w:p>
        </w:tc>
      </w:tr>
      <w:tr w:rsidR="00682CD3" w:rsidRPr="001D6533" w14:paraId="55329508" w14:textId="77777777" w:rsidTr="00511EC8">
        <w:trPr>
          <w:trHeight w:val="270"/>
        </w:trPr>
        <w:tc>
          <w:tcPr>
            <w:tcW w:w="3578" w:type="dxa"/>
            <w:tcBorders>
              <w:top w:val="nil"/>
              <w:left w:val="nil"/>
              <w:bottom w:val="nil"/>
              <w:right w:val="nil"/>
            </w:tcBorders>
          </w:tcPr>
          <w:p w14:paraId="004DA5EE" w14:textId="77777777" w:rsidR="00682CD3" w:rsidRPr="001D6533" w:rsidRDefault="00682CD3" w:rsidP="00955D2E">
            <w:pPr>
              <w:ind w:left="34"/>
              <w:rPr>
                <w:rFonts w:cs="Arial"/>
                <w:bCs/>
                <w:szCs w:val="22"/>
              </w:rPr>
            </w:pPr>
            <w:r w:rsidRPr="001D6533">
              <w:rPr>
                <w:rFonts w:cs="Arial"/>
                <w:bCs/>
                <w:szCs w:val="22"/>
              </w:rPr>
              <w:t>Firm density</w:t>
            </w:r>
          </w:p>
        </w:tc>
        <w:tc>
          <w:tcPr>
            <w:tcW w:w="5386" w:type="dxa"/>
            <w:tcBorders>
              <w:top w:val="nil"/>
              <w:left w:val="nil"/>
              <w:bottom w:val="nil"/>
              <w:right w:val="nil"/>
            </w:tcBorders>
          </w:tcPr>
          <w:p w14:paraId="3DE354A2" w14:textId="77777777" w:rsidR="00682CD3" w:rsidRPr="001D6533" w:rsidRDefault="00682CD3" w:rsidP="00955D2E">
            <w:pPr>
              <w:ind w:left="0"/>
              <w:rPr>
                <w:rFonts w:cs="Arial"/>
                <w:bCs/>
                <w:szCs w:val="22"/>
              </w:rPr>
            </w:pPr>
            <w:r w:rsidRPr="001D6533">
              <w:rPr>
                <w:rFonts w:cs="Arial"/>
                <w:bCs/>
                <w:szCs w:val="22"/>
              </w:rPr>
              <w:t xml:space="preserve">Number of </w:t>
            </w:r>
            <w:r>
              <w:rPr>
                <w:rFonts w:cs="Arial"/>
                <w:bCs/>
                <w:szCs w:val="22"/>
              </w:rPr>
              <w:t xml:space="preserve">live </w:t>
            </w:r>
            <w:r w:rsidRPr="001D6533">
              <w:rPr>
                <w:rFonts w:cs="Arial"/>
                <w:bCs/>
                <w:szCs w:val="22"/>
              </w:rPr>
              <w:t>firms per capita in e</w:t>
            </w:r>
            <w:r>
              <w:rPr>
                <w:rFonts w:cs="Arial"/>
                <w:bCs/>
                <w:szCs w:val="22"/>
              </w:rPr>
              <w:t>ach local authority. Data from TBR’s Trends Central Resource.</w:t>
            </w:r>
          </w:p>
        </w:tc>
      </w:tr>
      <w:tr w:rsidR="00682CD3" w:rsidRPr="001D6533" w14:paraId="1E39ABB0" w14:textId="77777777" w:rsidTr="00511EC8">
        <w:trPr>
          <w:trHeight w:val="270"/>
        </w:trPr>
        <w:tc>
          <w:tcPr>
            <w:tcW w:w="3578" w:type="dxa"/>
            <w:tcBorders>
              <w:top w:val="nil"/>
              <w:left w:val="nil"/>
              <w:bottom w:val="nil"/>
              <w:right w:val="nil"/>
            </w:tcBorders>
          </w:tcPr>
          <w:p w14:paraId="108C3564" w14:textId="77777777" w:rsidR="00682CD3" w:rsidRPr="001D6533" w:rsidRDefault="00682CD3" w:rsidP="00955D2E">
            <w:pPr>
              <w:ind w:left="34"/>
              <w:rPr>
                <w:rFonts w:cs="Arial"/>
                <w:bCs/>
                <w:szCs w:val="22"/>
              </w:rPr>
            </w:pPr>
            <w:r w:rsidRPr="001D6533">
              <w:rPr>
                <w:rFonts w:cs="Arial"/>
                <w:bCs/>
                <w:szCs w:val="22"/>
              </w:rPr>
              <w:t>Turnover per capita</w:t>
            </w:r>
          </w:p>
        </w:tc>
        <w:tc>
          <w:tcPr>
            <w:tcW w:w="5386" w:type="dxa"/>
            <w:tcBorders>
              <w:top w:val="nil"/>
              <w:left w:val="nil"/>
              <w:bottom w:val="nil"/>
              <w:right w:val="nil"/>
            </w:tcBorders>
          </w:tcPr>
          <w:p w14:paraId="6DE8FCDD" w14:textId="77777777" w:rsidR="00682CD3" w:rsidRPr="001D6533" w:rsidRDefault="00682CD3" w:rsidP="00955D2E">
            <w:pPr>
              <w:ind w:left="0"/>
              <w:rPr>
                <w:rFonts w:cs="Arial"/>
                <w:bCs/>
                <w:szCs w:val="22"/>
              </w:rPr>
            </w:pPr>
            <w:r w:rsidRPr="001D6533">
              <w:rPr>
                <w:rFonts w:cs="Arial"/>
                <w:bCs/>
                <w:szCs w:val="22"/>
              </w:rPr>
              <w:t>Turnover in all live firms per capita in each local authority. Data from TBR’s Trends Central Resource.</w:t>
            </w:r>
          </w:p>
        </w:tc>
      </w:tr>
      <w:tr w:rsidR="00682CD3" w:rsidRPr="001D6533" w14:paraId="7E91A52C" w14:textId="77777777" w:rsidTr="00511EC8">
        <w:trPr>
          <w:trHeight w:val="270"/>
        </w:trPr>
        <w:tc>
          <w:tcPr>
            <w:tcW w:w="3578" w:type="dxa"/>
            <w:tcBorders>
              <w:top w:val="nil"/>
              <w:left w:val="nil"/>
              <w:bottom w:val="nil"/>
              <w:right w:val="nil"/>
            </w:tcBorders>
          </w:tcPr>
          <w:p w14:paraId="257C4D17" w14:textId="505EBA96" w:rsidR="00682CD3" w:rsidRPr="001D6533" w:rsidRDefault="00682CD3" w:rsidP="00410E03">
            <w:pPr>
              <w:ind w:left="34"/>
              <w:rPr>
                <w:rFonts w:cs="Arial"/>
                <w:bCs/>
                <w:szCs w:val="22"/>
              </w:rPr>
            </w:pPr>
            <w:r w:rsidRPr="001D6533">
              <w:rPr>
                <w:rFonts w:cs="Arial"/>
                <w:bCs/>
                <w:szCs w:val="22"/>
              </w:rPr>
              <w:t xml:space="preserve">Net </w:t>
            </w:r>
            <w:r w:rsidR="00410E03">
              <w:rPr>
                <w:rFonts w:cs="Arial"/>
                <w:bCs/>
                <w:szCs w:val="22"/>
              </w:rPr>
              <w:t>firm gain</w:t>
            </w:r>
            <w:r w:rsidRPr="001D6533">
              <w:rPr>
                <w:rFonts w:cs="Arial"/>
                <w:bCs/>
                <w:szCs w:val="22"/>
              </w:rPr>
              <w:t xml:space="preserve"> per capita</w:t>
            </w:r>
          </w:p>
        </w:tc>
        <w:tc>
          <w:tcPr>
            <w:tcW w:w="5386" w:type="dxa"/>
            <w:tcBorders>
              <w:top w:val="nil"/>
              <w:left w:val="nil"/>
              <w:bottom w:val="nil"/>
              <w:right w:val="nil"/>
            </w:tcBorders>
          </w:tcPr>
          <w:p w14:paraId="2CA63024" w14:textId="77777777" w:rsidR="00682CD3" w:rsidRPr="001D6533" w:rsidRDefault="00682CD3" w:rsidP="00955D2E">
            <w:pPr>
              <w:ind w:left="0"/>
              <w:rPr>
                <w:rFonts w:cs="Arial"/>
                <w:bCs/>
                <w:szCs w:val="22"/>
              </w:rPr>
            </w:pPr>
            <w:r w:rsidRPr="001D6533">
              <w:rPr>
                <w:rFonts w:cs="Arial"/>
                <w:bCs/>
                <w:szCs w:val="22"/>
              </w:rPr>
              <w:t>Total number of firm births and firms migrating inward less the number of firm deaths and firms migrating outward per capita per year in each local authority. Data from TBR’s Trends Central Resource.</w:t>
            </w:r>
          </w:p>
        </w:tc>
      </w:tr>
      <w:tr w:rsidR="00682CD3" w:rsidRPr="001D6533" w14:paraId="229D83D5" w14:textId="77777777" w:rsidTr="00511EC8">
        <w:trPr>
          <w:trHeight w:val="270"/>
        </w:trPr>
        <w:tc>
          <w:tcPr>
            <w:tcW w:w="3578" w:type="dxa"/>
            <w:tcBorders>
              <w:top w:val="nil"/>
              <w:left w:val="nil"/>
              <w:bottom w:val="nil"/>
              <w:right w:val="nil"/>
            </w:tcBorders>
          </w:tcPr>
          <w:p w14:paraId="347A8FDB" w14:textId="572555DB" w:rsidR="00682CD3" w:rsidRPr="001D6533" w:rsidRDefault="00682CD3" w:rsidP="00955D2E">
            <w:pPr>
              <w:ind w:left="34"/>
              <w:rPr>
                <w:rFonts w:cs="Arial"/>
                <w:bCs/>
                <w:szCs w:val="22"/>
              </w:rPr>
            </w:pPr>
            <w:r w:rsidRPr="001D6533">
              <w:rPr>
                <w:rFonts w:cs="Arial"/>
                <w:bCs/>
                <w:szCs w:val="22"/>
              </w:rPr>
              <w:t xml:space="preserve">Location quotient of creative </w:t>
            </w:r>
            <w:r w:rsidR="00E17DB0">
              <w:rPr>
                <w:rFonts w:cs="Arial"/>
                <w:bCs/>
                <w:szCs w:val="22"/>
              </w:rPr>
              <w:br/>
            </w:r>
            <w:r w:rsidRPr="001D6533">
              <w:rPr>
                <w:rFonts w:cs="Arial"/>
                <w:bCs/>
                <w:szCs w:val="22"/>
              </w:rPr>
              <w:t>firms</w:t>
            </w:r>
          </w:p>
        </w:tc>
        <w:tc>
          <w:tcPr>
            <w:tcW w:w="5386" w:type="dxa"/>
            <w:tcBorders>
              <w:top w:val="nil"/>
              <w:left w:val="nil"/>
              <w:bottom w:val="nil"/>
              <w:right w:val="nil"/>
            </w:tcBorders>
          </w:tcPr>
          <w:p w14:paraId="5CED9C99" w14:textId="0AFA218A" w:rsidR="00682CD3" w:rsidRPr="00F8510E" w:rsidRDefault="00682CD3" w:rsidP="00955D2E">
            <w:pPr>
              <w:ind w:left="0"/>
              <w:rPr>
                <w:rFonts w:cs="Arial"/>
                <w:bCs/>
                <w:szCs w:val="22"/>
              </w:rPr>
            </w:pPr>
            <w:r w:rsidRPr="00F8510E">
              <w:rPr>
                <w:rFonts w:cs="Arial"/>
                <w:bCs/>
                <w:szCs w:val="22"/>
              </w:rPr>
              <w:t>Th</w:t>
            </w:r>
            <w:r>
              <w:rPr>
                <w:rFonts w:cs="Arial"/>
                <w:bCs/>
                <w:szCs w:val="22"/>
              </w:rPr>
              <w:t>e location quotient is an in</w:t>
            </w:r>
            <w:r w:rsidRPr="00F8510E">
              <w:rPr>
                <w:rFonts w:cs="Arial"/>
                <w:bCs/>
                <w:szCs w:val="22"/>
              </w:rPr>
              <w:t>d</w:t>
            </w:r>
            <w:r>
              <w:rPr>
                <w:rFonts w:cs="Arial"/>
                <w:bCs/>
                <w:szCs w:val="22"/>
              </w:rPr>
              <w:t>ic</w:t>
            </w:r>
            <w:r w:rsidRPr="00F8510E">
              <w:rPr>
                <w:rFonts w:cs="Arial"/>
                <w:bCs/>
                <w:szCs w:val="22"/>
              </w:rPr>
              <w:t>ator of the special</w:t>
            </w:r>
            <w:r w:rsidR="00410E03">
              <w:rPr>
                <w:rFonts w:cs="Arial"/>
                <w:bCs/>
                <w:szCs w:val="22"/>
              </w:rPr>
              <w:t>ised</w:t>
            </w:r>
            <w:r w:rsidRPr="00F8510E">
              <w:rPr>
                <w:rFonts w:cs="Arial"/>
                <w:bCs/>
                <w:szCs w:val="22"/>
              </w:rPr>
              <w:t xml:space="preserve"> clustering of an industry. The location quotient of creative firms in a local authority is </w:t>
            </w:r>
            <w:r>
              <w:rPr>
                <w:rFonts w:cs="Arial"/>
                <w:bCs/>
                <w:szCs w:val="22"/>
              </w:rPr>
              <w:t xml:space="preserve">the ratio of the number creative firms in the local authority to nationally, </w:t>
            </w:r>
            <w:proofErr w:type="gramStart"/>
            <w:r>
              <w:rPr>
                <w:rFonts w:cs="Arial"/>
                <w:bCs/>
                <w:szCs w:val="22"/>
              </w:rPr>
              <w:t>divided</w:t>
            </w:r>
            <w:proofErr w:type="gramEnd"/>
            <w:r>
              <w:rPr>
                <w:rFonts w:cs="Arial"/>
                <w:bCs/>
                <w:szCs w:val="22"/>
              </w:rPr>
              <w:t xml:space="preserve"> by the ratio of total firms in the local authority compared to nationally. Data from TBR’s Trends Central Resource.</w:t>
            </w:r>
          </w:p>
        </w:tc>
      </w:tr>
      <w:tr w:rsidR="00682CD3" w:rsidRPr="001D6533" w14:paraId="09B9791E" w14:textId="77777777" w:rsidTr="00511EC8">
        <w:trPr>
          <w:trHeight w:val="270"/>
        </w:trPr>
        <w:tc>
          <w:tcPr>
            <w:tcW w:w="3578" w:type="dxa"/>
            <w:tcBorders>
              <w:top w:val="nil"/>
              <w:left w:val="nil"/>
              <w:bottom w:val="nil"/>
              <w:right w:val="nil"/>
            </w:tcBorders>
            <w:hideMark/>
          </w:tcPr>
          <w:p w14:paraId="21180C2D" w14:textId="77777777" w:rsidR="00FA72FB" w:rsidRDefault="00FA72FB" w:rsidP="00955D2E">
            <w:pPr>
              <w:ind w:left="34"/>
              <w:rPr>
                <w:rFonts w:cs="Arial"/>
                <w:b/>
                <w:bCs/>
                <w:szCs w:val="22"/>
                <w:u w:val="single"/>
              </w:rPr>
            </w:pPr>
          </w:p>
          <w:p w14:paraId="0FD74B96" w14:textId="77777777" w:rsidR="00682CD3" w:rsidRPr="001D6533" w:rsidRDefault="00682CD3" w:rsidP="00955D2E">
            <w:pPr>
              <w:ind w:left="34"/>
              <w:rPr>
                <w:rFonts w:cs="Arial"/>
                <w:b/>
                <w:szCs w:val="22"/>
                <w:u w:val="single"/>
              </w:rPr>
            </w:pPr>
            <w:r w:rsidRPr="001D6533">
              <w:rPr>
                <w:rFonts w:cs="Arial"/>
                <w:b/>
                <w:bCs/>
                <w:szCs w:val="22"/>
                <w:u w:val="single"/>
              </w:rPr>
              <w:t>Assets</w:t>
            </w:r>
          </w:p>
        </w:tc>
        <w:tc>
          <w:tcPr>
            <w:tcW w:w="5386" w:type="dxa"/>
            <w:tcBorders>
              <w:top w:val="nil"/>
              <w:left w:val="nil"/>
              <w:bottom w:val="nil"/>
              <w:right w:val="nil"/>
            </w:tcBorders>
          </w:tcPr>
          <w:p w14:paraId="517B7EBA" w14:textId="77777777" w:rsidR="00682CD3" w:rsidRPr="001D6533" w:rsidRDefault="00682CD3" w:rsidP="00955D2E">
            <w:pPr>
              <w:ind w:left="112"/>
              <w:jc w:val="center"/>
              <w:rPr>
                <w:rFonts w:cs="Arial"/>
                <w:szCs w:val="22"/>
              </w:rPr>
            </w:pPr>
          </w:p>
        </w:tc>
      </w:tr>
      <w:tr w:rsidR="00682CD3" w:rsidRPr="001D6533" w14:paraId="4CD76F9E" w14:textId="77777777" w:rsidTr="00511EC8">
        <w:trPr>
          <w:trHeight w:val="270"/>
        </w:trPr>
        <w:tc>
          <w:tcPr>
            <w:tcW w:w="3578" w:type="dxa"/>
            <w:tcBorders>
              <w:top w:val="nil"/>
              <w:left w:val="nil"/>
              <w:bottom w:val="nil"/>
              <w:right w:val="nil"/>
            </w:tcBorders>
            <w:hideMark/>
          </w:tcPr>
          <w:p w14:paraId="2B683BAE" w14:textId="77777777" w:rsidR="00682CD3" w:rsidRPr="001D6533" w:rsidRDefault="00682CD3" w:rsidP="00955D2E">
            <w:pPr>
              <w:ind w:left="34"/>
              <w:rPr>
                <w:rFonts w:cs="Arial"/>
                <w:szCs w:val="22"/>
              </w:rPr>
            </w:pPr>
            <w:r w:rsidRPr="001D6533">
              <w:rPr>
                <w:rFonts w:eastAsia="Calibri" w:cs="Arial"/>
                <w:szCs w:val="22"/>
              </w:rPr>
              <w:t xml:space="preserve">Heritage assets </w:t>
            </w:r>
          </w:p>
        </w:tc>
        <w:tc>
          <w:tcPr>
            <w:tcW w:w="5386" w:type="dxa"/>
            <w:tcBorders>
              <w:top w:val="nil"/>
              <w:left w:val="nil"/>
              <w:bottom w:val="nil"/>
              <w:right w:val="nil"/>
            </w:tcBorders>
          </w:tcPr>
          <w:p w14:paraId="58C65C80" w14:textId="5D28E43B" w:rsidR="00682CD3" w:rsidRPr="001D6533" w:rsidRDefault="00682CD3" w:rsidP="003B7E0C">
            <w:pPr>
              <w:ind w:left="0"/>
              <w:rPr>
                <w:rFonts w:cs="Arial"/>
                <w:szCs w:val="22"/>
              </w:rPr>
            </w:pPr>
            <w:r>
              <w:rPr>
                <w:rFonts w:cs="Arial"/>
                <w:szCs w:val="22"/>
              </w:rPr>
              <w:t>Heritage assets is a compound measure of the number of scheduled monuments and listed buildings of grades I and II</w:t>
            </w:r>
            <w:r w:rsidR="003B7E0C">
              <w:rPr>
                <w:rFonts w:cs="Arial"/>
                <w:szCs w:val="22"/>
              </w:rPr>
              <w:t>,</w:t>
            </w:r>
            <w:r w:rsidR="003B7E0C" w:rsidRPr="003B7E0C">
              <w:rPr>
                <w:rFonts w:cs="Arial"/>
                <w:szCs w:val="22"/>
              </w:rPr>
              <w:t xml:space="preserve"> protected wrecks and registered parks, gardens and battlefields</w:t>
            </w:r>
            <w:r>
              <w:rPr>
                <w:rFonts w:cs="Arial"/>
                <w:szCs w:val="22"/>
              </w:rPr>
              <w:t xml:space="preserve"> in a local authority. Data from Natural Heritage List for England. This data was not available as time series.</w:t>
            </w:r>
          </w:p>
        </w:tc>
      </w:tr>
      <w:tr w:rsidR="00682CD3" w:rsidRPr="001D6533" w14:paraId="5133BCAD" w14:textId="77777777" w:rsidTr="00511EC8">
        <w:trPr>
          <w:trHeight w:val="270"/>
        </w:trPr>
        <w:tc>
          <w:tcPr>
            <w:tcW w:w="3578" w:type="dxa"/>
            <w:tcBorders>
              <w:top w:val="nil"/>
              <w:left w:val="nil"/>
              <w:bottom w:val="nil"/>
              <w:right w:val="nil"/>
            </w:tcBorders>
            <w:hideMark/>
          </w:tcPr>
          <w:p w14:paraId="7FE1E76C" w14:textId="77777777" w:rsidR="00682CD3" w:rsidRPr="001D6533" w:rsidRDefault="00682CD3" w:rsidP="00955D2E">
            <w:pPr>
              <w:ind w:left="34"/>
              <w:rPr>
                <w:rFonts w:cs="Arial"/>
                <w:szCs w:val="22"/>
              </w:rPr>
            </w:pPr>
            <w:r w:rsidRPr="001D6533">
              <w:rPr>
                <w:rFonts w:eastAsia="Calibri" w:cs="Arial"/>
                <w:szCs w:val="22"/>
              </w:rPr>
              <w:t xml:space="preserve">Sports assets </w:t>
            </w:r>
          </w:p>
        </w:tc>
        <w:tc>
          <w:tcPr>
            <w:tcW w:w="5386" w:type="dxa"/>
            <w:tcBorders>
              <w:top w:val="nil"/>
              <w:left w:val="nil"/>
              <w:bottom w:val="nil"/>
              <w:right w:val="nil"/>
            </w:tcBorders>
          </w:tcPr>
          <w:p w14:paraId="18781113" w14:textId="56ECFEC2" w:rsidR="00682CD3" w:rsidRPr="001D6533" w:rsidRDefault="00682CD3" w:rsidP="002F11F1">
            <w:pPr>
              <w:ind w:left="0"/>
              <w:rPr>
                <w:rFonts w:cs="Arial"/>
                <w:szCs w:val="22"/>
              </w:rPr>
            </w:pPr>
            <w:proofErr w:type="gramStart"/>
            <w:r>
              <w:rPr>
                <w:rFonts w:cs="Arial"/>
                <w:szCs w:val="22"/>
              </w:rPr>
              <w:t>Sports assets measures</w:t>
            </w:r>
            <w:proofErr w:type="gramEnd"/>
            <w:r>
              <w:rPr>
                <w:rFonts w:cs="Arial"/>
                <w:szCs w:val="22"/>
              </w:rPr>
              <w:t xml:space="preserve"> the availability of community sport in an area. It is the number of active places listed on the </w:t>
            </w:r>
            <w:r w:rsidR="00410E03">
              <w:rPr>
                <w:rFonts w:cs="Arial"/>
                <w:szCs w:val="22"/>
              </w:rPr>
              <w:t>A</w:t>
            </w:r>
            <w:r>
              <w:rPr>
                <w:rFonts w:cs="Arial"/>
                <w:szCs w:val="22"/>
              </w:rPr>
              <w:t xml:space="preserve">ctive </w:t>
            </w:r>
            <w:r w:rsidR="00410E03">
              <w:rPr>
                <w:rFonts w:cs="Arial"/>
                <w:szCs w:val="22"/>
              </w:rPr>
              <w:t>P</w:t>
            </w:r>
            <w:r>
              <w:rPr>
                <w:rFonts w:cs="Arial"/>
                <w:szCs w:val="22"/>
              </w:rPr>
              <w:t xml:space="preserve">laces </w:t>
            </w:r>
            <w:r w:rsidR="00410E03">
              <w:rPr>
                <w:rFonts w:cs="Arial"/>
                <w:szCs w:val="22"/>
              </w:rPr>
              <w:t>P</w:t>
            </w:r>
            <w:r>
              <w:rPr>
                <w:rFonts w:cs="Arial"/>
                <w:szCs w:val="22"/>
              </w:rPr>
              <w:t>ower website (</w:t>
            </w:r>
            <w:hyperlink r:id="rId40" w:history="1">
              <w:r w:rsidRPr="000620E5">
                <w:rPr>
                  <w:rStyle w:val="Hyperlink"/>
                  <w:rFonts w:cs="Arial"/>
                  <w:szCs w:val="22"/>
                </w:rPr>
                <w:t>https://www.activeplacespower.com/</w:t>
              </w:r>
            </w:hyperlink>
            <w:r>
              <w:rPr>
                <w:rFonts w:cs="Arial"/>
                <w:szCs w:val="22"/>
              </w:rPr>
              <w:t xml:space="preserve">) in each local authority. </w:t>
            </w:r>
            <w:r w:rsidR="002F11F1">
              <w:rPr>
                <w:rFonts w:cs="Arial"/>
                <w:szCs w:val="22"/>
              </w:rPr>
              <w:t>D</w:t>
            </w:r>
            <w:r>
              <w:rPr>
                <w:rFonts w:cs="Arial"/>
                <w:szCs w:val="22"/>
              </w:rPr>
              <w:t>ata was available from 2009 to 2015.</w:t>
            </w:r>
          </w:p>
        </w:tc>
      </w:tr>
      <w:tr w:rsidR="00682CD3" w:rsidRPr="001D6533" w14:paraId="3D146B6B" w14:textId="77777777" w:rsidTr="00511EC8">
        <w:trPr>
          <w:trHeight w:val="270"/>
        </w:trPr>
        <w:tc>
          <w:tcPr>
            <w:tcW w:w="3578" w:type="dxa"/>
            <w:tcBorders>
              <w:top w:val="nil"/>
              <w:left w:val="nil"/>
              <w:bottom w:val="nil"/>
              <w:right w:val="nil"/>
            </w:tcBorders>
          </w:tcPr>
          <w:p w14:paraId="48DA0A38" w14:textId="77777777" w:rsidR="00682CD3" w:rsidRPr="001D6533" w:rsidRDefault="00682CD3" w:rsidP="00955D2E">
            <w:pPr>
              <w:ind w:left="34"/>
              <w:rPr>
                <w:rFonts w:cs="Arial"/>
                <w:bCs/>
                <w:szCs w:val="22"/>
              </w:rPr>
            </w:pPr>
            <w:r>
              <w:rPr>
                <w:rFonts w:eastAsia="Calibri" w:cs="Arial"/>
                <w:szCs w:val="22"/>
              </w:rPr>
              <w:t>Cultural events</w:t>
            </w:r>
          </w:p>
        </w:tc>
        <w:tc>
          <w:tcPr>
            <w:tcW w:w="5386" w:type="dxa"/>
            <w:tcBorders>
              <w:top w:val="nil"/>
              <w:left w:val="nil"/>
              <w:bottom w:val="nil"/>
              <w:right w:val="nil"/>
            </w:tcBorders>
          </w:tcPr>
          <w:p w14:paraId="6FC6EA38" w14:textId="6FDA9238" w:rsidR="00682CD3" w:rsidRPr="001D6533" w:rsidRDefault="00682CD3" w:rsidP="003B7E0C">
            <w:pPr>
              <w:ind w:left="0"/>
              <w:rPr>
                <w:rFonts w:cs="Arial"/>
                <w:szCs w:val="22"/>
              </w:rPr>
            </w:pPr>
            <w:r>
              <w:rPr>
                <w:rFonts w:cs="Arial"/>
                <w:szCs w:val="22"/>
              </w:rPr>
              <w:t>Cultural events are measured by cultural listings on the Culture24 website, a government funded website (</w:t>
            </w:r>
            <w:hyperlink r:id="rId41" w:history="1">
              <w:r w:rsidRPr="000620E5">
                <w:rPr>
                  <w:rStyle w:val="Hyperlink"/>
                  <w:rFonts w:cs="Arial"/>
                  <w:szCs w:val="22"/>
                </w:rPr>
                <w:t>http://www.culture24.org.uk/home</w:t>
              </w:r>
            </w:hyperlink>
            <w:r>
              <w:rPr>
                <w:rFonts w:cs="Arial"/>
                <w:szCs w:val="22"/>
              </w:rPr>
              <w:t>) which provides event listings from UK museums</w:t>
            </w:r>
            <w:r w:rsidR="003B7E0C">
              <w:rPr>
                <w:rFonts w:cs="Arial"/>
                <w:szCs w:val="22"/>
              </w:rPr>
              <w:t>,</w:t>
            </w:r>
            <w:r>
              <w:rPr>
                <w:rFonts w:cs="Arial"/>
                <w:szCs w:val="22"/>
              </w:rPr>
              <w:t xml:space="preserve"> art galleries</w:t>
            </w:r>
            <w:r w:rsidR="003B7E0C">
              <w:rPr>
                <w:rFonts w:cs="Arial"/>
                <w:szCs w:val="22"/>
              </w:rPr>
              <w:t xml:space="preserve"> and heritage sites</w:t>
            </w:r>
            <w:r>
              <w:rPr>
                <w:rFonts w:cs="Arial"/>
                <w:szCs w:val="22"/>
              </w:rPr>
              <w:t xml:space="preserve">. </w:t>
            </w:r>
            <w:r w:rsidR="002F11F1">
              <w:rPr>
                <w:rFonts w:cs="Arial"/>
                <w:szCs w:val="22"/>
              </w:rPr>
              <w:t>D</w:t>
            </w:r>
            <w:r>
              <w:rPr>
                <w:rFonts w:cs="Arial"/>
                <w:szCs w:val="22"/>
              </w:rPr>
              <w:t>ata was not available as a time series.</w:t>
            </w:r>
          </w:p>
        </w:tc>
      </w:tr>
      <w:tr w:rsidR="00682CD3" w:rsidRPr="001D6533" w14:paraId="6374F983" w14:textId="77777777" w:rsidTr="00511EC8">
        <w:trPr>
          <w:trHeight w:val="270"/>
        </w:trPr>
        <w:tc>
          <w:tcPr>
            <w:tcW w:w="3578" w:type="dxa"/>
            <w:tcBorders>
              <w:top w:val="nil"/>
              <w:left w:val="nil"/>
              <w:bottom w:val="nil"/>
              <w:right w:val="nil"/>
            </w:tcBorders>
            <w:hideMark/>
          </w:tcPr>
          <w:p w14:paraId="5369B220" w14:textId="77777777" w:rsidR="00682CD3" w:rsidRPr="001D6533" w:rsidRDefault="00682CD3" w:rsidP="00955D2E">
            <w:pPr>
              <w:ind w:left="34"/>
              <w:rPr>
                <w:rFonts w:cs="Arial"/>
                <w:szCs w:val="22"/>
              </w:rPr>
            </w:pPr>
            <w:r>
              <w:rPr>
                <w:rFonts w:eastAsia="Calibri" w:cs="Arial"/>
                <w:szCs w:val="22"/>
              </w:rPr>
              <w:t>Libraries</w:t>
            </w:r>
          </w:p>
        </w:tc>
        <w:tc>
          <w:tcPr>
            <w:tcW w:w="5386" w:type="dxa"/>
            <w:tcBorders>
              <w:top w:val="nil"/>
              <w:left w:val="nil"/>
              <w:bottom w:val="nil"/>
              <w:right w:val="nil"/>
            </w:tcBorders>
          </w:tcPr>
          <w:p w14:paraId="18E34FB1" w14:textId="77777777" w:rsidR="00682CD3" w:rsidRPr="001D6533" w:rsidRDefault="00682CD3" w:rsidP="00955D2E">
            <w:pPr>
              <w:ind w:left="0"/>
              <w:rPr>
                <w:rFonts w:cs="Arial"/>
                <w:szCs w:val="22"/>
              </w:rPr>
            </w:pPr>
            <w:r>
              <w:rPr>
                <w:rFonts w:cs="Arial"/>
                <w:szCs w:val="22"/>
              </w:rPr>
              <w:t>The number of libraries per local authority, taken from the UK Public Libraries Contacts database.</w:t>
            </w:r>
          </w:p>
        </w:tc>
      </w:tr>
      <w:tr w:rsidR="00511EC8" w:rsidRPr="001D6533" w14:paraId="4B283106"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1424FF49" w14:textId="77777777" w:rsidR="00511EC8" w:rsidRDefault="00511EC8" w:rsidP="00AC62D7">
            <w:pPr>
              <w:ind w:left="34"/>
              <w:rPr>
                <w:rFonts w:cs="Arial"/>
                <w:b/>
                <w:bCs/>
                <w:szCs w:val="22"/>
                <w:u w:val="single"/>
              </w:rPr>
            </w:pPr>
          </w:p>
          <w:p w14:paraId="6A623F80" w14:textId="77777777" w:rsidR="00511EC8" w:rsidRPr="001D6533" w:rsidRDefault="00511EC8" w:rsidP="00AC62D7">
            <w:pPr>
              <w:ind w:left="34"/>
              <w:rPr>
                <w:rFonts w:cs="Arial"/>
                <w:b/>
                <w:i/>
                <w:szCs w:val="22"/>
              </w:rPr>
            </w:pPr>
            <w:r w:rsidRPr="001D6533">
              <w:rPr>
                <w:rFonts w:cs="Arial"/>
                <w:b/>
                <w:bCs/>
                <w:szCs w:val="22"/>
                <w:u w:val="single"/>
              </w:rPr>
              <w:t>Investment</w:t>
            </w:r>
            <w:r w:rsidRPr="001D6533">
              <w:rPr>
                <w:rFonts w:cs="Arial"/>
                <w:b/>
                <w:bCs/>
                <w:i/>
                <w:szCs w:val="22"/>
              </w:rPr>
              <w:t> </w:t>
            </w:r>
          </w:p>
        </w:tc>
        <w:tc>
          <w:tcPr>
            <w:tcW w:w="5386" w:type="dxa"/>
          </w:tcPr>
          <w:p w14:paraId="562B033D" w14:textId="77777777" w:rsidR="00511EC8" w:rsidRPr="001D6533" w:rsidRDefault="00511EC8" w:rsidP="00AC62D7">
            <w:pPr>
              <w:ind w:left="112"/>
              <w:rPr>
                <w:rFonts w:cs="Arial"/>
                <w:szCs w:val="22"/>
              </w:rPr>
            </w:pPr>
          </w:p>
        </w:tc>
      </w:tr>
      <w:tr w:rsidR="00511EC8" w:rsidRPr="001D6533" w14:paraId="3EDAD06F"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5FED824D" w14:textId="77777777" w:rsidR="00511EC8" w:rsidRPr="001D6533" w:rsidRDefault="00511EC8" w:rsidP="00AC62D7">
            <w:pPr>
              <w:ind w:left="34"/>
              <w:rPr>
                <w:rFonts w:cs="Arial"/>
                <w:szCs w:val="22"/>
              </w:rPr>
            </w:pPr>
            <w:r w:rsidRPr="001D6533">
              <w:rPr>
                <w:rFonts w:cs="Arial"/>
                <w:bCs/>
                <w:szCs w:val="22"/>
              </w:rPr>
              <w:t>Local authority investment in culture, sports and heritage</w:t>
            </w:r>
          </w:p>
        </w:tc>
        <w:tc>
          <w:tcPr>
            <w:tcW w:w="5386" w:type="dxa"/>
          </w:tcPr>
          <w:p w14:paraId="35ACBCFC" w14:textId="77777777" w:rsidR="00511EC8" w:rsidRPr="001D6533" w:rsidRDefault="00511EC8" w:rsidP="00AC62D7">
            <w:pPr>
              <w:ind w:left="0"/>
              <w:rPr>
                <w:rFonts w:cs="Arial"/>
                <w:szCs w:val="22"/>
              </w:rPr>
            </w:pPr>
            <w:r>
              <w:rPr>
                <w:rFonts w:cs="Arial"/>
                <w:szCs w:val="22"/>
              </w:rPr>
              <w:t>The sum of various types of local authority expenditure in a local authority in a year. Spending categories included: archives, heritage, museums and galleries, arts development and support, theatres and public entertainment, community centres, foreshore, sports development and community recreation, sports and recreation facilities including golf course, open spaces, tourism, and library services. Data from DCLG local authority revenue expenditure and financing, and all figures take the net total expenditure, i.e. the sum of net current and capital (net of fees and income), including expenditure on fixed assets.</w:t>
            </w:r>
          </w:p>
        </w:tc>
      </w:tr>
      <w:tr w:rsidR="00511EC8" w:rsidRPr="001D6533" w14:paraId="4D1DCF03"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6B7B17B3" w14:textId="77777777" w:rsidR="00511EC8" w:rsidRPr="001D6533" w:rsidRDefault="00511EC8" w:rsidP="00AC62D7">
            <w:pPr>
              <w:ind w:left="34"/>
              <w:rPr>
                <w:rFonts w:cs="Arial"/>
                <w:szCs w:val="22"/>
              </w:rPr>
            </w:pPr>
            <w:r w:rsidRPr="001D6533">
              <w:rPr>
                <w:rFonts w:cs="Arial"/>
                <w:bCs/>
                <w:szCs w:val="22"/>
              </w:rPr>
              <w:t>Lottery investment in arts, sports and heritage</w:t>
            </w:r>
          </w:p>
        </w:tc>
        <w:tc>
          <w:tcPr>
            <w:tcW w:w="5386" w:type="dxa"/>
          </w:tcPr>
          <w:p w14:paraId="6C492503" w14:textId="77777777" w:rsidR="00511EC8" w:rsidRPr="001D6533" w:rsidRDefault="00511EC8" w:rsidP="00AC62D7">
            <w:pPr>
              <w:ind w:left="0"/>
              <w:rPr>
                <w:rFonts w:cs="Arial"/>
                <w:szCs w:val="22"/>
              </w:rPr>
            </w:pPr>
            <w:r>
              <w:rPr>
                <w:rFonts w:cs="Arial"/>
                <w:szCs w:val="22"/>
              </w:rPr>
              <w:t>The sum of lottery investment in arts, sports and heritage in the local authority. Data is from the Heritage Lottery Fund, Arts Council England and Sport England.</w:t>
            </w:r>
          </w:p>
        </w:tc>
      </w:tr>
      <w:tr w:rsidR="00511EC8" w:rsidRPr="001D6533" w14:paraId="49F09096" w14:textId="77777777" w:rsidTr="00AC62D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8964" w:type="dxa"/>
            <w:gridSpan w:val="2"/>
          </w:tcPr>
          <w:p w14:paraId="2DF92DFA" w14:textId="77777777" w:rsidR="00511EC8" w:rsidRDefault="00511EC8" w:rsidP="00AC62D7">
            <w:pPr>
              <w:ind w:left="34"/>
              <w:rPr>
                <w:rFonts w:cs="Arial"/>
                <w:b/>
                <w:bCs/>
                <w:szCs w:val="22"/>
                <w:u w:val="single"/>
              </w:rPr>
            </w:pPr>
          </w:p>
          <w:p w14:paraId="07E07B8D" w14:textId="4B659401" w:rsidR="00511EC8" w:rsidRDefault="00511EC8" w:rsidP="00AC62D7">
            <w:pPr>
              <w:ind w:left="0"/>
              <w:rPr>
                <w:rFonts w:cs="Arial"/>
                <w:szCs w:val="22"/>
              </w:rPr>
            </w:pPr>
            <w:r w:rsidRPr="001D6533">
              <w:rPr>
                <w:rFonts w:cs="Arial"/>
                <w:b/>
                <w:bCs/>
                <w:szCs w:val="22"/>
                <w:u w:val="single"/>
              </w:rPr>
              <w:t>Additional push/pull factors or control variables</w:t>
            </w:r>
          </w:p>
        </w:tc>
      </w:tr>
      <w:tr w:rsidR="00511EC8" w:rsidRPr="001D6533" w14:paraId="19935AB0"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7C534055" w14:textId="77777777" w:rsidR="00511EC8" w:rsidRPr="001D6533" w:rsidRDefault="00511EC8" w:rsidP="00AC62D7">
            <w:pPr>
              <w:ind w:left="34"/>
              <w:rPr>
                <w:rFonts w:cs="Arial"/>
                <w:szCs w:val="22"/>
              </w:rPr>
            </w:pPr>
            <w:r w:rsidRPr="001D6533">
              <w:rPr>
                <w:rFonts w:cs="Arial"/>
                <w:bCs/>
                <w:szCs w:val="22"/>
              </w:rPr>
              <w:t>Employment rate</w:t>
            </w:r>
          </w:p>
        </w:tc>
        <w:tc>
          <w:tcPr>
            <w:tcW w:w="5386" w:type="dxa"/>
          </w:tcPr>
          <w:p w14:paraId="20D80061" w14:textId="77777777" w:rsidR="00511EC8" w:rsidRPr="001D6533" w:rsidRDefault="00511EC8" w:rsidP="00AC62D7">
            <w:pPr>
              <w:ind w:left="0"/>
              <w:rPr>
                <w:rFonts w:cs="Arial"/>
                <w:szCs w:val="22"/>
              </w:rPr>
            </w:pPr>
            <w:r>
              <w:rPr>
                <w:rFonts w:cs="Arial"/>
                <w:szCs w:val="22"/>
              </w:rPr>
              <w:t>The estimated proportion of employed individuals, taken from the Annual Population Survey.</w:t>
            </w:r>
          </w:p>
        </w:tc>
      </w:tr>
      <w:tr w:rsidR="00511EC8" w:rsidRPr="001D6533" w14:paraId="238EB448"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450AD66C" w14:textId="77777777" w:rsidR="00511EC8" w:rsidRPr="001D6533" w:rsidRDefault="00511EC8" w:rsidP="00AC62D7">
            <w:pPr>
              <w:ind w:left="34"/>
              <w:rPr>
                <w:rFonts w:cs="Arial"/>
                <w:szCs w:val="22"/>
              </w:rPr>
            </w:pPr>
            <w:r w:rsidRPr="001D6533">
              <w:rPr>
                <w:rFonts w:cs="Arial"/>
                <w:bCs/>
                <w:szCs w:val="22"/>
              </w:rPr>
              <w:t>Skilled labour proportion</w:t>
            </w:r>
          </w:p>
        </w:tc>
        <w:tc>
          <w:tcPr>
            <w:tcW w:w="5386" w:type="dxa"/>
          </w:tcPr>
          <w:p w14:paraId="4BD0C7D3" w14:textId="77777777" w:rsidR="00511EC8" w:rsidRPr="001D6533" w:rsidRDefault="00511EC8" w:rsidP="00AC62D7">
            <w:pPr>
              <w:ind w:left="0"/>
              <w:rPr>
                <w:rFonts w:cs="Arial"/>
                <w:szCs w:val="22"/>
              </w:rPr>
            </w:pPr>
            <w:r>
              <w:rPr>
                <w:rFonts w:cs="Arial"/>
                <w:szCs w:val="22"/>
              </w:rPr>
              <w:t>The proportion of employed workers at high skill level – skill level 4 (SOC 11, 21, 22, 23, 24) – in the Annual Population Survey.</w:t>
            </w:r>
          </w:p>
        </w:tc>
      </w:tr>
      <w:tr w:rsidR="00511EC8" w:rsidRPr="001D6533" w14:paraId="7C07E3E5"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34A704B3" w14:textId="77777777" w:rsidR="00511EC8" w:rsidRPr="001D6533" w:rsidRDefault="00511EC8" w:rsidP="00AC62D7">
            <w:pPr>
              <w:ind w:left="34"/>
              <w:rPr>
                <w:rFonts w:cs="Arial"/>
                <w:szCs w:val="22"/>
              </w:rPr>
            </w:pPr>
            <w:r w:rsidRPr="001D6533">
              <w:rPr>
                <w:rFonts w:cs="Arial"/>
                <w:bCs/>
                <w:szCs w:val="22"/>
              </w:rPr>
              <w:t>Housing density</w:t>
            </w:r>
          </w:p>
        </w:tc>
        <w:tc>
          <w:tcPr>
            <w:tcW w:w="5386" w:type="dxa"/>
          </w:tcPr>
          <w:p w14:paraId="066C1901" w14:textId="77777777" w:rsidR="00511EC8" w:rsidRPr="001D6533" w:rsidRDefault="00511EC8" w:rsidP="00AC62D7">
            <w:pPr>
              <w:ind w:left="0"/>
              <w:rPr>
                <w:rFonts w:cs="Arial"/>
                <w:szCs w:val="22"/>
              </w:rPr>
            </w:pPr>
            <w:r>
              <w:rPr>
                <w:rFonts w:cs="Arial"/>
                <w:szCs w:val="22"/>
              </w:rPr>
              <w:t>Housing density was calculated by determining the number of households per hectare in a local authority. Data is based on Census estimates (available for 2001 and 2011).</w:t>
            </w:r>
          </w:p>
        </w:tc>
      </w:tr>
      <w:tr w:rsidR="00511EC8" w:rsidRPr="001D6533" w14:paraId="029C2033"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55BED2A8" w14:textId="77777777" w:rsidR="00511EC8" w:rsidRPr="001D6533" w:rsidRDefault="00511EC8" w:rsidP="00AC62D7">
            <w:pPr>
              <w:ind w:left="34"/>
              <w:rPr>
                <w:rFonts w:cs="Arial"/>
                <w:szCs w:val="22"/>
              </w:rPr>
            </w:pPr>
            <w:r w:rsidRPr="001D6533">
              <w:rPr>
                <w:rFonts w:cs="Arial"/>
                <w:bCs/>
                <w:szCs w:val="22"/>
              </w:rPr>
              <w:t>Network infrastructure</w:t>
            </w:r>
          </w:p>
        </w:tc>
        <w:tc>
          <w:tcPr>
            <w:tcW w:w="5386" w:type="dxa"/>
          </w:tcPr>
          <w:p w14:paraId="14A46AA6" w14:textId="77777777" w:rsidR="00511EC8" w:rsidRPr="001D6533" w:rsidRDefault="00511EC8" w:rsidP="00AC62D7">
            <w:pPr>
              <w:ind w:left="0"/>
              <w:rPr>
                <w:rFonts w:cs="Arial"/>
                <w:szCs w:val="22"/>
              </w:rPr>
            </w:pPr>
            <w:r>
              <w:rPr>
                <w:rFonts w:cs="Arial"/>
                <w:szCs w:val="22"/>
              </w:rPr>
              <w:t>Network infrastructure is the percentage availability of Super Fast Broadband (SFBB) in premises in each local authority. Data from OFCOM networks data, and is not available in time series.</w:t>
            </w:r>
          </w:p>
        </w:tc>
      </w:tr>
      <w:tr w:rsidR="00511EC8" w:rsidRPr="001D6533" w14:paraId="72858BB1"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3A8BF95A" w14:textId="77777777" w:rsidR="00511EC8" w:rsidRPr="001D6533" w:rsidRDefault="00511EC8" w:rsidP="00AC62D7">
            <w:pPr>
              <w:ind w:left="34"/>
              <w:rPr>
                <w:rFonts w:cs="Arial"/>
                <w:szCs w:val="22"/>
              </w:rPr>
            </w:pPr>
            <w:r w:rsidRPr="001D6533">
              <w:rPr>
                <w:rFonts w:cs="Arial"/>
                <w:bCs/>
                <w:szCs w:val="22"/>
              </w:rPr>
              <w:t>Transport infrastructure</w:t>
            </w:r>
          </w:p>
        </w:tc>
        <w:tc>
          <w:tcPr>
            <w:tcW w:w="5386" w:type="dxa"/>
          </w:tcPr>
          <w:p w14:paraId="26E9CDB6" w14:textId="77777777" w:rsidR="00511EC8" w:rsidRPr="001D6533" w:rsidRDefault="00511EC8" w:rsidP="00AC62D7">
            <w:pPr>
              <w:ind w:left="0"/>
              <w:rPr>
                <w:rFonts w:cs="Arial"/>
                <w:szCs w:val="22"/>
              </w:rPr>
            </w:pPr>
            <w:proofErr w:type="gramStart"/>
            <w:r>
              <w:rPr>
                <w:rFonts w:cs="Arial"/>
                <w:szCs w:val="22"/>
              </w:rPr>
              <w:t>Transport infrastructure is measured by the number of rail station stops in each local authority</w:t>
            </w:r>
            <w:proofErr w:type="gramEnd"/>
            <w:r>
              <w:rPr>
                <w:rFonts w:cs="Arial"/>
                <w:szCs w:val="22"/>
              </w:rPr>
              <w:t>. Data from the National Public Transport Access Nodes dataset.</w:t>
            </w:r>
          </w:p>
        </w:tc>
      </w:tr>
      <w:tr w:rsidR="00511EC8" w:rsidRPr="001D6533" w14:paraId="38770C5E"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hideMark/>
          </w:tcPr>
          <w:p w14:paraId="084CF792" w14:textId="77777777" w:rsidR="00511EC8" w:rsidRPr="001D6533" w:rsidRDefault="00511EC8" w:rsidP="00AC62D7">
            <w:pPr>
              <w:ind w:left="34"/>
              <w:rPr>
                <w:rFonts w:cs="Arial"/>
                <w:szCs w:val="22"/>
              </w:rPr>
            </w:pPr>
            <w:r w:rsidRPr="001D6533">
              <w:rPr>
                <w:rFonts w:cs="Arial"/>
                <w:bCs/>
                <w:szCs w:val="22"/>
              </w:rPr>
              <w:t>Life satisfaction</w:t>
            </w:r>
          </w:p>
        </w:tc>
        <w:tc>
          <w:tcPr>
            <w:tcW w:w="5386" w:type="dxa"/>
          </w:tcPr>
          <w:p w14:paraId="0BC24FAB" w14:textId="77777777" w:rsidR="00511EC8" w:rsidRPr="001D6533" w:rsidRDefault="00511EC8" w:rsidP="00AC62D7">
            <w:pPr>
              <w:ind w:left="0"/>
              <w:rPr>
                <w:rFonts w:cs="Arial"/>
                <w:szCs w:val="22"/>
              </w:rPr>
            </w:pPr>
            <w:r w:rsidRPr="009548FC">
              <w:rPr>
                <w:rFonts w:cs="Arial"/>
              </w:rPr>
              <w:t>Two well-being proxy indicators w</w:t>
            </w:r>
            <w:r w:rsidRPr="009A43FB">
              <w:rPr>
                <w:rFonts w:cs="Arial"/>
              </w:rPr>
              <w:t xml:space="preserve">ere selected, on the basis of availability and quality. The first </w:t>
            </w:r>
            <w:r>
              <w:rPr>
                <w:rFonts w:cs="Arial"/>
              </w:rPr>
              <w:t>wa</w:t>
            </w:r>
            <w:r w:rsidRPr="009A43FB">
              <w:rPr>
                <w:rFonts w:cs="Arial"/>
              </w:rPr>
              <w:t xml:space="preserve">s the Life Satisfaction Index, collected by ONS, which is however not available for the entire period 2003-2013. It was thus possible to use it for cross-sectional regressions, but not </w:t>
            </w:r>
            <w:r w:rsidRPr="00873DB7">
              <w:rPr>
                <w:rFonts w:cs="Arial"/>
              </w:rPr>
              <w:t xml:space="preserve">for the panel analysis (longitudinal analysis). The best proxy indicator we found for the panel data analysis </w:t>
            </w:r>
            <w:r w:rsidRPr="009548FC">
              <w:rPr>
                <w:rFonts w:cs="Arial"/>
              </w:rPr>
              <w:t>was the average hours of physical activity undertaken weekly, and the percentage of the population being ac</w:t>
            </w:r>
            <w:r>
              <w:rPr>
                <w:rFonts w:cs="Arial"/>
              </w:rPr>
              <w:t>tive on at least a weekly basis, taken from the Active People Survey.</w:t>
            </w:r>
          </w:p>
        </w:tc>
      </w:tr>
      <w:tr w:rsidR="00511EC8" w:rsidRPr="001D6533" w14:paraId="07B70435"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tcPr>
          <w:p w14:paraId="4A22434C" w14:textId="77777777" w:rsidR="00511EC8" w:rsidRPr="001D6533" w:rsidRDefault="00511EC8" w:rsidP="00AC62D7">
            <w:pPr>
              <w:ind w:left="34"/>
              <w:rPr>
                <w:rFonts w:cs="Arial"/>
                <w:bCs/>
                <w:szCs w:val="22"/>
              </w:rPr>
            </w:pPr>
            <w:r w:rsidRPr="001D6533">
              <w:rPr>
                <w:rFonts w:cs="Arial"/>
                <w:bCs/>
                <w:szCs w:val="22"/>
              </w:rPr>
              <w:t>Size of the market (population)</w:t>
            </w:r>
          </w:p>
        </w:tc>
        <w:tc>
          <w:tcPr>
            <w:tcW w:w="5386" w:type="dxa"/>
          </w:tcPr>
          <w:p w14:paraId="1F7C8996" w14:textId="0293B94C" w:rsidR="00511EC8" w:rsidRPr="009548FC" w:rsidRDefault="00952DC8" w:rsidP="00952DC8">
            <w:pPr>
              <w:ind w:left="0"/>
              <w:rPr>
                <w:rFonts w:cs="Arial"/>
              </w:rPr>
            </w:pPr>
            <w:r>
              <w:rPr>
                <w:rFonts w:cs="Arial"/>
                <w:szCs w:val="22"/>
              </w:rPr>
              <w:t>P</w:t>
            </w:r>
            <w:r w:rsidR="00511EC8">
              <w:rPr>
                <w:rFonts w:cs="Arial"/>
                <w:szCs w:val="22"/>
              </w:rPr>
              <w:t xml:space="preserve">opulation size in the local authority </w:t>
            </w:r>
            <w:r>
              <w:rPr>
                <w:rFonts w:cs="Arial"/>
                <w:szCs w:val="22"/>
              </w:rPr>
              <w:t>each</w:t>
            </w:r>
            <w:r w:rsidR="00511EC8">
              <w:rPr>
                <w:rFonts w:cs="Arial"/>
                <w:szCs w:val="22"/>
              </w:rPr>
              <w:t xml:space="preserve"> year </w:t>
            </w:r>
            <w:r>
              <w:rPr>
                <w:rFonts w:cs="Arial"/>
                <w:szCs w:val="22"/>
              </w:rPr>
              <w:t xml:space="preserve">is used </w:t>
            </w:r>
            <w:r w:rsidR="00511EC8">
              <w:rPr>
                <w:rFonts w:cs="Arial"/>
                <w:szCs w:val="22"/>
              </w:rPr>
              <w:t>as a control variable. Data from the Annual Population Survey.</w:t>
            </w:r>
          </w:p>
        </w:tc>
      </w:tr>
      <w:tr w:rsidR="00511EC8" w:rsidRPr="001D6533" w14:paraId="4389C915"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tcPr>
          <w:p w14:paraId="13290806" w14:textId="77777777" w:rsidR="00511EC8" w:rsidRPr="001D6533" w:rsidRDefault="00511EC8" w:rsidP="00AC62D7">
            <w:pPr>
              <w:ind w:left="34"/>
              <w:rPr>
                <w:rFonts w:cs="Arial"/>
                <w:bCs/>
                <w:szCs w:val="22"/>
              </w:rPr>
            </w:pPr>
            <w:r>
              <w:rPr>
                <w:rFonts w:cs="Arial"/>
                <w:bCs/>
                <w:szCs w:val="22"/>
              </w:rPr>
              <w:t>GVA</w:t>
            </w:r>
          </w:p>
        </w:tc>
        <w:tc>
          <w:tcPr>
            <w:tcW w:w="5386" w:type="dxa"/>
          </w:tcPr>
          <w:p w14:paraId="28258C72" w14:textId="77777777" w:rsidR="00511EC8" w:rsidRPr="009548FC" w:rsidRDefault="00511EC8" w:rsidP="00AC62D7">
            <w:pPr>
              <w:ind w:left="0"/>
              <w:rPr>
                <w:rFonts w:cs="Arial"/>
              </w:rPr>
            </w:pPr>
            <w:r>
              <w:rPr>
                <w:rFonts w:cs="Arial"/>
                <w:szCs w:val="22"/>
              </w:rPr>
              <w:t>Data on GVA is not easily available at a local level. Therefore as a proxy for GVA, we used total compensation of employees from the Annual Survey of Hours and Earnings.</w:t>
            </w:r>
          </w:p>
        </w:tc>
      </w:tr>
      <w:tr w:rsidR="00511EC8" w:rsidRPr="001D6533" w14:paraId="3453D3A1"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tcPr>
          <w:p w14:paraId="17F3F20A" w14:textId="77777777" w:rsidR="00511EC8" w:rsidRDefault="00511EC8" w:rsidP="00AC62D7">
            <w:pPr>
              <w:ind w:left="34"/>
              <w:rPr>
                <w:rFonts w:cs="Arial"/>
                <w:bCs/>
                <w:szCs w:val="22"/>
              </w:rPr>
            </w:pPr>
            <w:r>
              <w:rPr>
                <w:rFonts w:cs="Arial"/>
                <w:bCs/>
                <w:szCs w:val="22"/>
              </w:rPr>
              <w:t>Competitiveness</w:t>
            </w:r>
          </w:p>
        </w:tc>
        <w:tc>
          <w:tcPr>
            <w:tcW w:w="5386" w:type="dxa"/>
          </w:tcPr>
          <w:p w14:paraId="04992115" w14:textId="77777777" w:rsidR="00511EC8" w:rsidRDefault="00511EC8" w:rsidP="00AC62D7">
            <w:pPr>
              <w:ind w:left="0"/>
              <w:rPr>
                <w:rFonts w:cs="Arial"/>
                <w:szCs w:val="22"/>
              </w:rPr>
            </w:pPr>
            <w:r>
              <w:rPr>
                <w:rFonts w:cs="Arial"/>
                <w:szCs w:val="22"/>
              </w:rPr>
              <w:t xml:space="preserve">Competitiveness is a measure of the ability of a local authority to create value. It is a concept that encompasses multiple indicators. The analysis uses the </w:t>
            </w:r>
            <w:r w:rsidRPr="00DC2628">
              <w:rPr>
                <w:rFonts w:cs="Arial"/>
                <w:szCs w:val="22"/>
              </w:rPr>
              <w:t>Centre for International Competitiveness’s</w:t>
            </w:r>
            <w:r>
              <w:rPr>
                <w:rFonts w:cs="Arial"/>
                <w:i/>
                <w:szCs w:val="22"/>
              </w:rPr>
              <w:t xml:space="preserve"> </w:t>
            </w:r>
            <w:r w:rsidRPr="00DC2628">
              <w:rPr>
                <w:rFonts w:cs="Arial"/>
                <w:i/>
                <w:szCs w:val="22"/>
              </w:rPr>
              <w:t>UK Competitiveness Index</w:t>
            </w:r>
            <w:r>
              <w:rPr>
                <w:rStyle w:val="FootnoteReference"/>
                <w:rFonts w:cs="Arial"/>
                <w:szCs w:val="22"/>
              </w:rPr>
              <w:footnoteReference w:id="46"/>
            </w:r>
            <w:r>
              <w:rPr>
                <w:rFonts w:cs="Arial"/>
                <w:szCs w:val="22"/>
              </w:rPr>
              <w:t xml:space="preserve">, an integrated measure of competitiveness that includes: </w:t>
            </w:r>
          </w:p>
          <w:p w14:paraId="0196E5FE" w14:textId="77777777" w:rsidR="00511EC8" w:rsidRPr="00546C1D" w:rsidRDefault="00511EC8" w:rsidP="00AC62D7">
            <w:pPr>
              <w:pStyle w:val="ListParagraph"/>
              <w:numPr>
                <w:ilvl w:val="0"/>
                <w:numId w:val="60"/>
              </w:numPr>
              <w:contextualSpacing w:val="0"/>
              <w:rPr>
                <w:rFonts w:ascii="Arial" w:hAnsi="Arial" w:cs="Arial"/>
                <w:color w:val="000000"/>
                <w:sz w:val="22"/>
                <w:szCs w:val="22"/>
                <w:lang w:eastAsia="en-US"/>
              </w:rPr>
            </w:pPr>
            <w:r w:rsidRPr="004D3FD8">
              <w:rPr>
                <w:rFonts w:ascii="Arial" w:hAnsi="Arial" w:cs="Arial"/>
                <w:color w:val="000000"/>
                <w:sz w:val="22"/>
                <w:szCs w:val="22"/>
              </w:rPr>
              <w:t>Business start-up rates per 1000 inhabitants</w:t>
            </w:r>
          </w:p>
          <w:p w14:paraId="15020011"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Number of businesses per 1000 inhabitants</w:t>
            </w:r>
          </w:p>
          <w:p w14:paraId="08C947E6"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Proportion of knowledge-based businesses</w:t>
            </w:r>
          </w:p>
          <w:p w14:paraId="2CD7F89E"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Proportion of population with NVQ level 4+</w:t>
            </w:r>
          </w:p>
          <w:p w14:paraId="74698E1D"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GVA per head</w:t>
            </w:r>
          </w:p>
          <w:p w14:paraId="107DE663"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Productivity (output per hour worked)</w:t>
            </w:r>
          </w:p>
          <w:p w14:paraId="48FC18CA" w14:textId="77777777" w:rsidR="00511EC8" w:rsidRPr="004D3FD8" w:rsidRDefault="00511EC8" w:rsidP="00AC62D7">
            <w:pPr>
              <w:pStyle w:val="ListParagraph"/>
              <w:numPr>
                <w:ilvl w:val="0"/>
                <w:numId w:val="60"/>
              </w:numPr>
              <w:contextualSpacing w:val="0"/>
              <w:rPr>
                <w:rFonts w:ascii="Arial" w:hAnsi="Arial" w:cs="Arial"/>
                <w:color w:val="000000"/>
                <w:sz w:val="22"/>
                <w:szCs w:val="22"/>
              </w:rPr>
            </w:pPr>
            <w:r w:rsidRPr="004D3FD8">
              <w:rPr>
                <w:rFonts w:ascii="Arial" w:hAnsi="Arial" w:cs="Arial"/>
                <w:color w:val="000000"/>
                <w:sz w:val="22"/>
                <w:szCs w:val="22"/>
              </w:rPr>
              <w:t>Employment rate</w:t>
            </w:r>
          </w:p>
          <w:p w14:paraId="0A4FD966" w14:textId="77777777" w:rsidR="00511EC8" w:rsidRDefault="00511EC8" w:rsidP="00AC62D7">
            <w:pPr>
              <w:ind w:left="0"/>
              <w:rPr>
                <w:rFonts w:cs="Arial"/>
                <w:szCs w:val="22"/>
              </w:rPr>
            </w:pPr>
            <w:r>
              <w:rPr>
                <w:rFonts w:cs="Arial"/>
                <w:szCs w:val="22"/>
              </w:rPr>
              <w:t xml:space="preserve">As such, it overlaps with other variables used in the analysis. Therefore where it is used in the analysis, we do not variables represented in the index as separate controls. This was considered preferable </w:t>
            </w:r>
            <w:proofErr w:type="gramStart"/>
            <w:r>
              <w:rPr>
                <w:rFonts w:cs="Arial"/>
                <w:szCs w:val="22"/>
              </w:rPr>
              <w:t>as some of the variables within the Index (such as productivity) are not easily available at a local authority level</w:t>
            </w:r>
            <w:proofErr w:type="gramEnd"/>
            <w:r>
              <w:rPr>
                <w:rFonts w:cs="Arial"/>
                <w:szCs w:val="22"/>
              </w:rPr>
              <w:t>. The Index is published every two years; where data was not available we interpolated results to estimate index values for the intervening years.</w:t>
            </w:r>
          </w:p>
        </w:tc>
      </w:tr>
      <w:tr w:rsidR="00511EC8" w:rsidRPr="001D6533" w14:paraId="00A7A511" w14:textId="77777777" w:rsidTr="00511EC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70"/>
        </w:trPr>
        <w:tc>
          <w:tcPr>
            <w:tcW w:w="3578" w:type="dxa"/>
          </w:tcPr>
          <w:p w14:paraId="0EEA9C76" w14:textId="77777777" w:rsidR="00511EC8" w:rsidRDefault="00511EC8" w:rsidP="00AC62D7">
            <w:pPr>
              <w:ind w:left="34"/>
              <w:rPr>
                <w:rFonts w:cs="Arial"/>
                <w:bCs/>
                <w:szCs w:val="22"/>
              </w:rPr>
            </w:pPr>
            <w:r>
              <w:rPr>
                <w:rFonts w:cs="Arial"/>
                <w:bCs/>
                <w:szCs w:val="22"/>
              </w:rPr>
              <w:t>Major urban centre</w:t>
            </w:r>
          </w:p>
        </w:tc>
        <w:tc>
          <w:tcPr>
            <w:tcW w:w="5386" w:type="dxa"/>
          </w:tcPr>
          <w:p w14:paraId="59810D98" w14:textId="77777777" w:rsidR="00511EC8" w:rsidRDefault="00511EC8" w:rsidP="00AC62D7">
            <w:pPr>
              <w:ind w:left="0"/>
              <w:rPr>
                <w:rFonts w:cs="Arial"/>
                <w:szCs w:val="22"/>
              </w:rPr>
            </w:pPr>
            <w:r>
              <w:rPr>
                <w:rFonts w:cs="Arial"/>
                <w:szCs w:val="22"/>
              </w:rPr>
              <w:t>An area is considered a major urban centre if it contains a population in a major conurbation according to the ONS (e.g. London, Birmingham, Greater Manchester).</w:t>
            </w:r>
          </w:p>
          <w:p w14:paraId="46F358EF" w14:textId="77777777" w:rsidR="00511EC8" w:rsidRDefault="00511EC8" w:rsidP="00AC62D7">
            <w:pPr>
              <w:ind w:left="0"/>
              <w:rPr>
                <w:rFonts w:cs="Arial"/>
                <w:szCs w:val="22"/>
              </w:rPr>
            </w:pPr>
            <w:r>
              <w:rPr>
                <w:rFonts w:cs="Arial"/>
                <w:szCs w:val="22"/>
              </w:rPr>
              <w:t>This variable is binary, and equal to 1 if the Local Authority contains a major urban centre</w:t>
            </w:r>
            <w:proofErr w:type="gramStart"/>
            <w:r>
              <w:rPr>
                <w:rFonts w:cs="Arial"/>
                <w:szCs w:val="22"/>
              </w:rPr>
              <w:t>;</w:t>
            </w:r>
            <w:proofErr w:type="gramEnd"/>
            <w:r>
              <w:rPr>
                <w:rFonts w:cs="Arial"/>
                <w:szCs w:val="22"/>
              </w:rPr>
              <w:t xml:space="preserve"> 0 otherwise.</w:t>
            </w:r>
          </w:p>
        </w:tc>
      </w:tr>
    </w:tbl>
    <w:p w14:paraId="2A53C926" w14:textId="3367BD2C" w:rsidR="00E17DB0" w:rsidRDefault="00E17DB0" w:rsidP="00F0636B">
      <w:pPr>
        <w:ind w:left="0"/>
      </w:pPr>
    </w:p>
    <w:p w14:paraId="70B1450B" w14:textId="77777777" w:rsidR="00682CD3" w:rsidRDefault="00682CD3" w:rsidP="00520273">
      <w:pPr>
        <w:ind w:left="0"/>
      </w:pPr>
    </w:p>
    <w:p w14:paraId="40347B6D" w14:textId="727A990E" w:rsidR="00BE1F0F" w:rsidRPr="00682CD3" w:rsidRDefault="00BE1F0F" w:rsidP="00520273">
      <w:pPr>
        <w:ind w:left="0"/>
      </w:pPr>
      <w:r>
        <w:t xml:space="preserve">The gathered dataset also includes further variables not used in the final analysis (for example </w:t>
      </w:r>
      <w:r w:rsidR="002F11F1">
        <w:t>the I</w:t>
      </w:r>
      <w:r>
        <w:t xml:space="preserve">ndex of </w:t>
      </w:r>
      <w:r w:rsidR="002F11F1">
        <w:t>M</w:t>
      </w:r>
      <w:r>
        <w:t xml:space="preserve">ultiple </w:t>
      </w:r>
      <w:r w:rsidR="002F11F1">
        <w:t>D</w:t>
      </w:r>
      <w:r>
        <w:t>eprivation) as well as detailed breakdowns of variables (such as local authority investment disaggregated), which will aid in future analysis.</w:t>
      </w:r>
    </w:p>
    <w:sectPr w:rsidR="00BE1F0F" w:rsidRPr="00682CD3" w:rsidSect="007770D4">
      <w:pgSz w:w="11906" w:h="16838" w:code="9"/>
      <w:pgMar w:top="1560" w:right="1134" w:bottom="1418" w:left="1418" w:header="709" w:footer="4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6D7CF" w14:textId="77777777" w:rsidR="00395234" w:rsidRDefault="00395234" w:rsidP="00FD27B8">
      <w:pPr>
        <w:pStyle w:val="Header"/>
      </w:pPr>
      <w:r>
        <w:separator/>
      </w:r>
    </w:p>
    <w:p w14:paraId="06321F22" w14:textId="77777777" w:rsidR="00395234" w:rsidRDefault="00395234"/>
  </w:endnote>
  <w:endnote w:type="continuationSeparator" w:id="0">
    <w:p w14:paraId="124DC059" w14:textId="77777777" w:rsidR="00395234" w:rsidRDefault="00395234" w:rsidP="00FD27B8">
      <w:pPr>
        <w:pStyle w:val="Header"/>
      </w:pPr>
      <w:r>
        <w:continuationSeparator/>
      </w:r>
    </w:p>
    <w:p w14:paraId="4BD8D5F2" w14:textId="77777777" w:rsidR="00395234" w:rsidRDefault="00395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Lucida Sans">
    <w:panose1 w:val="020B0602030504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Bliss 2 Light">
    <w:altName w:val="Bliss 2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entury Gothic">
    <w:panose1 w:val="020B0502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5D46B" w14:textId="77777777" w:rsidR="00395234" w:rsidRDefault="00395234" w:rsidP="00FD27B8">
      <w:pPr>
        <w:pStyle w:val="Header"/>
      </w:pPr>
    </w:p>
    <w:p w14:paraId="769311B7" w14:textId="77777777" w:rsidR="00395234" w:rsidRDefault="00395234"/>
  </w:footnote>
  <w:footnote w:type="continuationSeparator" w:id="0">
    <w:p w14:paraId="552E5CF5" w14:textId="77777777" w:rsidR="00395234" w:rsidRDefault="00395234" w:rsidP="00FD27B8">
      <w:pPr>
        <w:pStyle w:val="Header"/>
      </w:pPr>
      <w:r>
        <w:continuationSeparator/>
      </w:r>
    </w:p>
    <w:p w14:paraId="6EB10B4E" w14:textId="77777777" w:rsidR="00395234" w:rsidRDefault="00395234"/>
  </w:footnote>
  <w:footnote w:id="1">
    <w:p w14:paraId="7E8D89BC" w14:textId="05E92AA6" w:rsidR="00395234" w:rsidRDefault="00395234">
      <w:pPr>
        <w:pStyle w:val="FootnoteText"/>
      </w:pPr>
      <w:r>
        <w:rPr>
          <w:rStyle w:val="FootnoteReference"/>
        </w:rPr>
        <w:footnoteRef/>
      </w:r>
      <w:r>
        <w:t xml:space="preserve"> </w:t>
      </w:r>
      <w:r w:rsidRPr="009640D5">
        <w:rPr>
          <w:sz w:val="16"/>
          <w:szCs w:val="16"/>
        </w:rPr>
        <w:t>TBR &amp; Cities Institute (2011), The Art of the Possible - using secondary data to detect social and ecnomic impacts from investment in culture and sport: a feasibility study</w:t>
      </w:r>
    </w:p>
  </w:footnote>
  <w:footnote w:id="2">
    <w:p w14:paraId="441E4CBD" w14:textId="474896B9" w:rsidR="00395234" w:rsidRPr="00E52581" w:rsidRDefault="00395234">
      <w:pPr>
        <w:pStyle w:val="FootnoteText"/>
        <w:rPr>
          <w:sz w:val="16"/>
        </w:rPr>
      </w:pPr>
      <w:r w:rsidRPr="00E52581">
        <w:rPr>
          <w:rStyle w:val="FootnoteReference"/>
          <w:sz w:val="16"/>
        </w:rPr>
        <w:footnoteRef/>
      </w:r>
      <w:r w:rsidRPr="00E52581">
        <w:rPr>
          <w:sz w:val="16"/>
        </w:rPr>
        <w:t xml:space="preserve"> Arzauro-Carod et al (2009), </w:t>
      </w:r>
      <w:r w:rsidRPr="00E52581">
        <w:rPr>
          <w:i/>
          <w:sz w:val="16"/>
        </w:rPr>
        <w:t xml:space="preserve">Empirical studies in industrial location: an assessment of their methods and results, </w:t>
      </w:r>
      <w:r w:rsidRPr="00E52581">
        <w:rPr>
          <w:sz w:val="16"/>
        </w:rPr>
        <w:t>Journal of Regional Science, April 2009</w:t>
      </w:r>
    </w:p>
  </w:footnote>
  <w:footnote w:id="3">
    <w:p w14:paraId="64BF8331" w14:textId="7B927230" w:rsidR="00395234" w:rsidRPr="00E52581" w:rsidRDefault="00395234" w:rsidP="00AC2448">
      <w:pPr>
        <w:pStyle w:val="FootnoteText"/>
        <w:rPr>
          <w:sz w:val="16"/>
        </w:rPr>
      </w:pPr>
      <w:r w:rsidRPr="00E52581">
        <w:rPr>
          <w:rStyle w:val="FootnoteReference"/>
          <w:sz w:val="16"/>
        </w:rPr>
        <w:footnoteRef/>
      </w:r>
      <w:r w:rsidRPr="00E52581">
        <w:rPr>
          <w:sz w:val="16"/>
        </w:rPr>
        <w:t xml:space="preserve"> Lazzeretti et al (2009), </w:t>
      </w:r>
      <w:r w:rsidRPr="00E52581">
        <w:rPr>
          <w:i/>
          <w:sz w:val="16"/>
        </w:rPr>
        <w:t>Why do creative industries cluster? An analysis of the determinants of clustering of creative industries,</w:t>
      </w:r>
      <w:r w:rsidRPr="00E52581">
        <w:rPr>
          <w:sz w:val="16"/>
        </w:rPr>
        <w:t xml:space="preserve"> IERMB Working Paper in Economics, nº 09.02, April 2009</w:t>
      </w:r>
    </w:p>
  </w:footnote>
  <w:footnote w:id="4">
    <w:p w14:paraId="518687AE" w14:textId="576518D0" w:rsidR="00395234" w:rsidRDefault="00395234">
      <w:pPr>
        <w:pStyle w:val="FootnoteText"/>
      </w:pPr>
      <w:r w:rsidRPr="00444592">
        <w:rPr>
          <w:rStyle w:val="FootnoteReference"/>
          <w:sz w:val="16"/>
        </w:rPr>
        <w:footnoteRef/>
      </w:r>
      <w:r w:rsidRPr="00444592">
        <w:rPr>
          <w:sz w:val="16"/>
        </w:rPr>
        <w:t xml:space="preserve"> CASE Programme (2011), </w:t>
      </w:r>
      <w:r w:rsidRPr="00444592">
        <w:rPr>
          <w:i/>
          <w:sz w:val="16"/>
        </w:rPr>
        <w:t>The Art of the Possible – using secondary data to detect social and economic impacts from investments in culture and sport, a feasibility study</w:t>
      </w:r>
    </w:p>
  </w:footnote>
  <w:footnote w:id="5">
    <w:p w14:paraId="26C15076" w14:textId="77777777" w:rsidR="00395234" w:rsidRDefault="00395234" w:rsidP="00A36D8D">
      <w:pPr>
        <w:pStyle w:val="FootnoteText"/>
      </w:pPr>
      <w:r>
        <w:rPr>
          <w:rStyle w:val="FootnoteReference"/>
        </w:rPr>
        <w:footnoteRef/>
      </w:r>
      <w:r>
        <w:t xml:space="preserve"> </w:t>
      </w:r>
      <w:proofErr w:type="gramStart"/>
      <w:r w:rsidRPr="00D526A1">
        <w:rPr>
          <w:sz w:val="16"/>
          <w:szCs w:val="16"/>
        </w:rPr>
        <w:t>DCMS (2016) The Culture White Paper.</w:t>
      </w:r>
      <w:proofErr w:type="gramEnd"/>
      <w:r w:rsidRPr="00D526A1">
        <w:rPr>
          <w:sz w:val="16"/>
          <w:szCs w:val="16"/>
        </w:rPr>
        <w:t xml:space="preserve"> </w:t>
      </w:r>
      <w:r>
        <w:rPr>
          <w:sz w:val="16"/>
          <w:szCs w:val="16"/>
        </w:rPr>
        <w:t>London</w:t>
      </w:r>
    </w:p>
  </w:footnote>
  <w:footnote w:id="6">
    <w:p w14:paraId="776B4F14" w14:textId="53F75F45" w:rsidR="00395234" w:rsidRDefault="00395234" w:rsidP="003A45A9">
      <w:pPr>
        <w:pStyle w:val="FootnoteText"/>
      </w:pPr>
      <w:r w:rsidRPr="003A45A9">
        <w:rPr>
          <w:rStyle w:val="FootnoteReference"/>
          <w:sz w:val="16"/>
        </w:rPr>
        <w:footnoteRef/>
      </w:r>
      <w:r w:rsidRPr="003A45A9">
        <w:rPr>
          <w:rStyle w:val="FootnoteReference"/>
          <w:sz w:val="16"/>
        </w:rPr>
        <w:t xml:space="preserve"> </w:t>
      </w:r>
      <w:r w:rsidRPr="003A45A9">
        <w:rPr>
          <w:rStyle w:val="FootnoteReference"/>
          <w:sz w:val="16"/>
          <w:vertAlign w:val="baseline"/>
        </w:rPr>
        <w:t>Lyons, M (2007) Place-shaping: a shared ambition for the future of local government. Norwich, The Stationery Office.</w:t>
      </w:r>
    </w:p>
  </w:footnote>
  <w:footnote w:id="7">
    <w:p w14:paraId="0A15C847" w14:textId="01852A46" w:rsidR="00395234" w:rsidRPr="00332310" w:rsidRDefault="00395234" w:rsidP="00332310">
      <w:pPr>
        <w:pStyle w:val="Default"/>
        <w:ind w:left="1418"/>
        <w:rPr>
          <w:sz w:val="16"/>
          <w:szCs w:val="16"/>
        </w:rPr>
      </w:pPr>
      <w:r w:rsidRPr="00332310">
        <w:rPr>
          <w:rStyle w:val="FootnoteReference"/>
          <w:sz w:val="16"/>
          <w:szCs w:val="16"/>
        </w:rPr>
        <w:footnoteRef/>
      </w:r>
      <w:r w:rsidRPr="00332310">
        <w:rPr>
          <w:sz w:val="16"/>
          <w:szCs w:val="16"/>
        </w:rPr>
        <w:t xml:space="preserve"> AHRC (2016) Understand</w:t>
      </w:r>
      <w:r w:rsidRPr="00874506">
        <w:rPr>
          <w:sz w:val="16"/>
          <w:szCs w:val="16"/>
        </w:rPr>
        <w:t xml:space="preserve">ing the value of arts &amp; culture: </w:t>
      </w:r>
      <w:r w:rsidRPr="00332310">
        <w:rPr>
          <w:bCs/>
          <w:sz w:val="16"/>
          <w:szCs w:val="16"/>
        </w:rPr>
        <w:t xml:space="preserve">The AHRC Cultural Value </w:t>
      </w:r>
      <w:proofErr w:type="gramStart"/>
      <w:r w:rsidRPr="00332310">
        <w:rPr>
          <w:bCs/>
          <w:sz w:val="16"/>
          <w:szCs w:val="16"/>
        </w:rPr>
        <w:t xml:space="preserve">Project </w:t>
      </w:r>
      <w:r w:rsidRPr="00874506">
        <w:rPr>
          <w:bCs/>
          <w:sz w:val="16"/>
          <w:szCs w:val="16"/>
        </w:rPr>
        <w:t>.</w:t>
      </w:r>
      <w:proofErr w:type="gramEnd"/>
      <w:r w:rsidRPr="00874506">
        <w:rPr>
          <w:bCs/>
          <w:sz w:val="16"/>
          <w:szCs w:val="16"/>
        </w:rPr>
        <w:t xml:space="preserve"> </w:t>
      </w:r>
      <w:proofErr w:type="gramStart"/>
      <w:r w:rsidRPr="00332310">
        <w:rPr>
          <w:sz w:val="16"/>
          <w:szCs w:val="16"/>
        </w:rPr>
        <w:t>Geoffrey Crossick &amp; Patrycja Kaszynska</w:t>
      </w:r>
      <w:r>
        <w:rPr>
          <w:sz w:val="16"/>
          <w:szCs w:val="16"/>
        </w:rPr>
        <w:t>.</w:t>
      </w:r>
      <w:proofErr w:type="gramEnd"/>
    </w:p>
  </w:footnote>
  <w:footnote w:id="8">
    <w:p w14:paraId="6AC59FF5" w14:textId="38BAC77B" w:rsidR="00395234" w:rsidRPr="003A45A9" w:rsidRDefault="00395234" w:rsidP="003A45A9">
      <w:pPr>
        <w:pStyle w:val="FootnoteText"/>
        <w:rPr>
          <w:rStyle w:val="FootnoteReference"/>
          <w:sz w:val="16"/>
        </w:rPr>
      </w:pPr>
      <w:r w:rsidRPr="003A45A9">
        <w:rPr>
          <w:rStyle w:val="FootnoteReference"/>
          <w:sz w:val="16"/>
        </w:rPr>
        <w:footnoteRef/>
      </w:r>
      <w:r w:rsidRPr="003A45A9">
        <w:rPr>
          <w:rStyle w:val="FootnoteReference"/>
          <w:sz w:val="16"/>
        </w:rPr>
        <w:t xml:space="preserve"> </w:t>
      </w:r>
      <w:r w:rsidRPr="003A45A9">
        <w:rPr>
          <w:rStyle w:val="FootnoteReference"/>
          <w:sz w:val="16"/>
          <w:vertAlign w:val="baseline"/>
        </w:rPr>
        <w:t>Lyons, M (2007) Place-shaping: a shared ambition for the future of local government. Norwich, The Stationery Office.</w:t>
      </w:r>
    </w:p>
  </w:footnote>
  <w:footnote w:id="9">
    <w:p w14:paraId="3A967736" w14:textId="2A77E8C0" w:rsidR="00395234" w:rsidRPr="003A45A9" w:rsidRDefault="00395234" w:rsidP="003A45A9">
      <w:pPr>
        <w:pStyle w:val="FootnoteText"/>
        <w:rPr>
          <w:rStyle w:val="FootnoteReference"/>
          <w:sz w:val="16"/>
        </w:rPr>
      </w:pPr>
      <w:r w:rsidRPr="003A45A9">
        <w:rPr>
          <w:rStyle w:val="FootnoteReference"/>
          <w:sz w:val="16"/>
        </w:rPr>
        <w:footnoteRef/>
      </w:r>
      <w:r w:rsidRPr="003A45A9">
        <w:rPr>
          <w:rStyle w:val="FootnoteReference"/>
          <w:sz w:val="16"/>
        </w:rPr>
        <w:t xml:space="preserve"> </w:t>
      </w:r>
      <w:r w:rsidRPr="003A45A9">
        <w:rPr>
          <w:rStyle w:val="FootnoteReference"/>
          <w:sz w:val="16"/>
          <w:vertAlign w:val="baseline"/>
        </w:rPr>
        <w:t>Note that we are aware of other definitions which have been derived for specific purposes, such as the definition of a Heritage Asset in the National Planning Policy Framework.</w:t>
      </w:r>
      <w:r w:rsidRPr="003A45A9">
        <w:rPr>
          <w:rStyle w:val="FootnoteReference"/>
          <w:sz w:val="16"/>
        </w:rPr>
        <w:t xml:space="preserve"> </w:t>
      </w:r>
    </w:p>
  </w:footnote>
  <w:footnote w:id="10">
    <w:p w14:paraId="69C0F5BB" w14:textId="52BBA18D" w:rsidR="00395234" w:rsidRPr="003A45A9" w:rsidRDefault="00395234" w:rsidP="003A45A9">
      <w:pPr>
        <w:pStyle w:val="FootnoteText"/>
        <w:rPr>
          <w:rStyle w:val="FootnoteReference"/>
          <w:sz w:val="16"/>
        </w:rPr>
      </w:pPr>
      <w:r w:rsidRPr="003A45A9">
        <w:rPr>
          <w:rStyle w:val="FootnoteReference"/>
          <w:sz w:val="16"/>
        </w:rPr>
        <w:footnoteRef/>
      </w:r>
      <w:r w:rsidRPr="003A45A9">
        <w:rPr>
          <w:rStyle w:val="FootnoteReference"/>
          <w:sz w:val="16"/>
        </w:rPr>
        <w:t xml:space="preserve"> </w:t>
      </w:r>
      <w:r w:rsidRPr="003A45A9">
        <w:rPr>
          <w:rStyle w:val="FootnoteReference"/>
          <w:sz w:val="16"/>
          <w:vertAlign w:val="baseline"/>
        </w:rPr>
        <w:t xml:space="preserve">CASE (2011) </w:t>
      </w:r>
      <w:r w:rsidRPr="003C27FD">
        <w:rPr>
          <w:rStyle w:val="FootnoteReference"/>
          <w:i/>
          <w:sz w:val="16"/>
          <w:vertAlign w:val="baseline"/>
        </w:rPr>
        <w:t>The Art of the Possible: Using secondary data to detect social and economic impacts from investments in culture and sport: a feasibility study</w:t>
      </w:r>
      <w:r w:rsidRPr="003A45A9">
        <w:rPr>
          <w:rStyle w:val="FootnoteReference"/>
          <w:sz w:val="16"/>
          <w:vertAlign w:val="baseline"/>
        </w:rPr>
        <w:t>. London, DCMS.</w:t>
      </w:r>
    </w:p>
  </w:footnote>
  <w:footnote w:id="11">
    <w:p w14:paraId="2A9FE86B" w14:textId="120486FF" w:rsidR="00395234" w:rsidRPr="003A45A9" w:rsidRDefault="00395234" w:rsidP="003A45A9">
      <w:pPr>
        <w:pStyle w:val="FootnoteText"/>
        <w:rPr>
          <w:rStyle w:val="FootnoteReference"/>
          <w:sz w:val="16"/>
        </w:rPr>
      </w:pPr>
      <w:r w:rsidRPr="003A45A9">
        <w:rPr>
          <w:rStyle w:val="FootnoteReference"/>
          <w:sz w:val="16"/>
        </w:rPr>
        <w:footnoteRef/>
      </w:r>
      <w:r w:rsidRPr="003A45A9">
        <w:rPr>
          <w:rStyle w:val="FootnoteReference"/>
          <w:sz w:val="16"/>
        </w:rPr>
        <w:t xml:space="preserve"> </w:t>
      </w:r>
      <w:r w:rsidRPr="003A45A9">
        <w:rPr>
          <w:rStyle w:val="FootnoteReference"/>
          <w:sz w:val="16"/>
          <w:vertAlign w:val="baseline"/>
        </w:rPr>
        <w:t xml:space="preserve">What Works Centre for Local Economic Growth (2014) </w:t>
      </w:r>
      <w:r w:rsidRPr="003C27FD">
        <w:rPr>
          <w:rStyle w:val="FootnoteReference"/>
          <w:i/>
          <w:sz w:val="16"/>
          <w:vertAlign w:val="baseline"/>
        </w:rPr>
        <w:t>Evidence Review: Sport and Culture</w:t>
      </w:r>
      <w:r w:rsidRPr="003A45A9">
        <w:rPr>
          <w:rStyle w:val="FootnoteReference"/>
          <w:sz w:val="16"/>
          <w:vertAlign w:val="baseline"/>
        </w:rPr>
        <w:t>. London, DCMS.</w:t>
      </w:r>
    </w:p>
  </w:footnote>
  <w:footnote w:id="12">
    <w:p w14:paraId="53A41069" w14:textId="474A8CB3" w:rsidR="00395234" w:rsidRPr="003A45A9" w:rsidRDefault="00395234" w:rsidP="003A45A9">
      <w:pPr>
        <w:pStyle w:val="FootnoteText"/>
        <w:rPr>
          <w:rStyle w:val="FootnoteReference"/>
          <w:sz w:val="16"/>
        </w:rPr>
      </w:pPr>
      <w:r w:rsidRPr="003A45A9">
        <w:rPr>
          <w:rStyle w:val="FootnoteReference"/>
          <w:sz w:val="16"/>
        </w:rPr>
        <w:footnoteRef/>
      </w:r>
      <w:r w:rsidRPr="003A45A9">
        <w:rPr>
          <w:rStyle w:val="FootnoteReference"/>
          <w:sz w:val="16"/>
        </w:rPr>
        <w:t xml:space="preserve"> </w:t>
      </w:r>
      <w:r w:rsidRPr="003A45A9">
        <w:rPr>
          <w:rStyle w:val="FootnoteReference"/>
          <w:sz w:val="16"/>
          <w:vertAlign w:val="baseline"/>
        </w:rPr>
        <w:t xml:space="preserve">Fujiwara, D, Kudrna, L &amp; Dolan, P (2014) </w:t>
      </w:r>
      <w:r w:rsidRPr="003C27FD">
        <w:rPr>
          <w:rStyle w:val="FootnoteReference"/>
          <w:i/>
          <w:sz w:val="16"/>
          <w:vertAlign w:val="baseline"/>
        </w:rPr>
        <w:t>Quantifying the Social Impacts of Culture and Sport</w:t>
      </w:r>
      <w:r w:rsidRPr="003A45A9">
        <w:rPr>
          <w:rStyle w:val="FootnoteReference"/>
          <w:sz w:val="16"/>
          <w:vertAlign w:val="baseline"/>
        </w:rPr>
        <w:t>. London, DCMS.</w:t>
      </w:r>
    </w:p>
  </w:footnote>
  <w:footnote w:id="13">
    <w:p w14:paraId="5816672E" w14:textId="2B9326F7" w:rsidR="00395234" w:rsidRPr="003A45A9" w:rsidRDefault="00395234" w:rsidP="003A45A9">
      <w:pPr>
        <w:pStyle w:val="FootnoteText"/>
        <w:rPr>
          <w:rStyle w:val="FootnoteReference"/>
          <w:sz w:val="16"/>
        </w:rPr>
      </w:pPr>
      <w:r w:rsidRPr="003A45A9">
        <w:rPr>
          <w:rStyle w:val="FootnoteReference"/>
          <w:sz w:val="16"/>
        </w:rPr>
        <w:footnoteRef/>
      </w:r>
      <w:r w:rsidRPr="003A45A9">
        <w:rPr>
          <w:rStyle w:val="FootnoteReference"/>
          <w:sz w:val="16"/>
        </w:rPr>
        <w:t xml:space="preserve"> </w:t>
      </w:r>
      <w:r w:rsidRPr="003A45A9">
        <w:rPr>
          <w:rStyle w:val="FootnoteReference"/>
          <w:sz w:val="16"/>
          <w:vertAlign w:val="baseline"/>
        </w:rPr>
        <w:t xml:space="preserve">For example, Reeves, M (2002) </w:t>
      </w:r>
      <w:r w:rsidRPr="003C27FD">
        <w:rPr>
          <w:rStyle w:val="FootnoteReference"/>
          <w:i/>
          <w:sz w:val="16"/>
          <w:vertAlign w:val="baseline"/>
        </w:rPr>
        <w:t>Measuring the economic and social impact of the arts: a review</w:t>
      </w:r>
      <w:r w:rsidRPr="003A45A9">
        <w:rPr>
          <w:rStyle w:val="FootnoteReference"/>
          <w:sz w:val="16"/>
          <w:vertAlign w:val="baseline"/>
        </w:rPr>
        <w:t>. London, Arts Council England.</w:t>
      </w:r>
    </w:p>
  </w:footnote>
  <w:footnote w:id="14">
    <w:p w14:paraId="6E814426" w14:textId="4B9844C5" w:rsidR="00395234" w:rsidRDefault="00395234" w:rsidP="003A45A9">
      <w:pPr>
        <w:pStyle w:val="FootnoteText"/>
      </w:pPr>
      <w:r w:rsidRPr="003A45A9">
        <w:rPr>
          <w:rStyle w:val="FootnoteReference"/>
          <w:sz w:val="16"/>
        </w:rPr>
        <w:footnoteRef/>
      </w:r>
      <w:r w:rsidRPr="003A45A9">
        <w:rPr>
          <w:rStyle w:val="FootnoteReference"/>
          <w:sz w:val="16"/>
        </w:rPr>
        <w:t xml:space="preserve"> </w:t>
      </w:r>
      <w:r w:rsidRPr="003A45A9">
        <w:rPr>
          <w:rStyle w:val="FootnoteReference"/>
          <w:sz w:val="16"/>
          <w:vertAlign w:val="baseline"/>
        </w:rPr>
        <w:t xml:space="preserve">Evans, G &amp; Shaw, P (2004) </w:t>
      </w:r>
      <w:r w:rsidRPr="003C27FD">
        <w:rPr>
          <w:rStyle w:val="FootnoteReference"/>
          <w:i/>
          <w:sz w:val="16"/>
          <w:vertAlign w:val="baseline"/>
        </w:rPr>
        <w:t>The Contribution of Culture to Regeneration in the UK: A Review of Evidence:</w:t>
      </w:r>
      <w:r w:rsidRPr="003A45A9">
        <w:rPr>
          <w:rStyle w:val="FootnoteReference"/>
          <w:sz w:val="16"/>
          <w:vertAlign w:val="baseline"/>
        </w:rPr>
        <w:t xml:space="preserve"> A report to the Department for Culture Media and Sport. London, DCMS.</w:t>
      </w:r>
    </w:p>
  </w:footnote>
  <w:footnote w:id="15">
    <w:p w14:paraId="4C6B164F" w14:textId="68881413" w:rsidR="00395234" w:rsidRPr="00C138AC" w:rsidRDefault="00395234">
      <w:pPr>
        <w:pStyle w:val="FootnoteText"/>
        <w:rPr>
          <w:sz w:val="16"/>
          <w:szCs w:val="16"/>
        </w:rPr>
      </w:pPr>
      <w:r w:rsidRPr="00C138AC">
        <w:rPr>
          <w:rStyle w:val="FootnoteReference"/>
          <w:sz w:val="16"/>
          <w:szCs w:val="16"/>
        </w:rPr>
        <w:footnoteRef/>
      </w:r>
      <w:r w:rsidRPr="00C138AC">
        <w:rPr>
          <w:sz w:val="16"/>
          <w:szCs w:val="16"/>
        </w:rPr>
        <w:t xml:space="preserve"> The Warwick Commission (2015), Enriching Britain; Culture, Creativity and Growth</w:t>
      </w:r>
    </w:p>
  </w:footnote>
  <w:footnote w:id="16">
    <w:p w14:paraId="64D0B27B" w14:textId="5059585E" w:rsidR="00395234" w:rsidRPr="00C138AC" w:rsidRDefault="00395234">
      <w:pPr>
        <w:pStyle w:val="FootnoteText"/>
        <w:rPr>
          <w:sz w:val="16"/>
          <w:szCs w:val="16"/>
        </w:rPr>
      </w:pPr>
      <w:r w:rsidRPr="00C138AC">
        <w:rPr>
          <w:rStyle w:val="FootnoteReference"/>
          <w:sz w:val="16"/>
          <w:szCs w:val="16"/>
        </w:rPr>
        <w:footnoteRef/>
      </w:r>
      <w:r w:rsidRPr="00C138AC">
        <w:rPr>
          <w:sz w:val="16"/>
          <w:szCs w:val="16"/>
        </w:rPr>
        <w:t xml:space="preserve"> Holden J. (2015), The ecology of culture, AHRC</w:t>
      </w:r>
    </w:p>
  </w:footnote>
  <w:footnote w:id="17">
    <w:p w14:paraId="480CE107" w14:textId="545F385C" w:rsidR="00395234" w:rsidRPr="00C138AC" w:rsidRDefault="00395234">
      <w:pPr>
        <w:pStyle w:val="FootnoteText"/>
        <w:rPr>
          <w:sz w:val="16"/>
        </w:rPr>
      </w:pPr>
      <w:r w:rsidRPr="00C138AC">
        <w:rPr>
          <w:rStyle w:val="FootnoteReference"/>
          <w:sz w:val="16"/>
        </w:rPr>
        <w:footnoteRef/>
      </w:r>
      <w:r w:rsidRPr="00C138AC">
        <w:rPr>
          <w:sz w:val="16"/>
        </w:rPr>
        <w:t xml:space="preserve"> Crossick G. &amp; Kaszynska P. (2016), Understanding the value of arts and culture, ARHC</w:t>
      </w:r>
    </w:p>
  </w:footnote>
  <w:footnote w:id="18">
    <w:p w14:paraId="4F393E78" w14:textId="25FB6088" w:rsidR="00395234" w:rsidRPr="00C138AC" w:rsidRDefault="00395234">
      <w:pPr>
        <w:pStyle w:val="FootnoteText"/>
        <w:rPr>
          <w:sz w:val="16"/>
        </w:rPr>
      </w:pPr>
      <w:r w:rsidRPr="00C138AC">
        <w:rPr>
          <w:rStyle w:val="FootnoteReference"/>
          <w:sz w:val="16"/>
        </w:rPr>
        <w:footnoteRef/>
      </w:r>
      <w:r w:rsidRPr="00C138AC">
        <w:rPr>
          <w:sz w:val="16"/>
        </w:rPr>
        <w:t xml:space="preserve"> </w:t>
      </w:r>
      <w:proofErr w:type="gramStart"/>
      <w:r w:rsidRPr="00C138AC">
        <w:rPr>
          <w:sz w:val="16"/>
        </w:rPr>
        <w:t>Bakhshi, H. et al (2014) Capital of culture?</w:t>
      </w:r>
      <w:proofErr w:type="gramEnd"/>
      <w:r w:rsidRPr="00C138AC">
        <w:rPr>
          <w:sz w:val="16"/>
        </w:rPr>
        <w:t xml:space="preserve"> An econometric analysis of the relationship between arts and cultural clusters, wages and the creative economy in English cities, Nesta Working Paper No.14/06</w:t>
      </w:r>
    </w:p>
  </w:footnote>
  <w:footnote w:id="19">
    <w:p w14:paraId="6C1B0F9D" w14:textId="2DC229CD" w:rsidR="00395234" w:rsidRPr="00C138AC" w:rsidRDefault="00395234">
      <w:pPr>
        <w:pStyle w:val="FootnoteText"/>
        <w:rPr>
          <w:sz w:val="16"/>
        </w:rPr>
      </w:pPr>
      <w:r w:rsidRPr="00C138AC">
        <w:rPr>
          <w:rStyle w:val="FootnoteReference"/>
          <w:sz w:val="16"/>
        </w:rPr>
        <w:footnoteRef/>
      </w:r>
      <w:r w:rsidRPr="00C138AC">
        <w:rPr>
          <w:sz w:val="16"/>
        </w:rPr>
        <w:t xml:space="preserve"> Tom Fleming Creative Consultancy (2015), Cultural and creative spillovers in Europe</w:t>
      </w:r>
    </w:p>
  </w:footnote>
  <w:footnote w:id="20">
    <w:p w14:paraId="14416B63" w14:textId="4A1B6632" w:rsidR="00395234" w:rsidRPr="00E52581" w:rsidRDefault="00395234">
      <w:pPr>
        <w:pStyle w:val="FootnoteText"/>
        <w:rPr>
          <w:sz w:val="16"/>
          <w:szCs w:val="16"/>
        </w:rPr>
      </w:pPr>
      <w:r w:rsidRPr="00E52581">
        <w:rPr>
          <w:rStyle w:val="FootnoteReference"/>
          <w:sz w:val="16"/>
          <w:szCs w:val="16"/>
        </w:rPr>
        <w:footnoteRef/>
      </w:r>
      <w:r w:rsidRPr="00E52581">
        <w:rPr>
          <w:sz w:val="16"/>
          <w:szCs w:val="16"/>
        </w:rPr>
        <w:t xml:space="preserve"> Arzauro-Carod et al (2009), </w:t>
      </w:r>
      <w:r w:rsidRPr="00E52581">
        <w:rPr>
          <w:i/>
          <w:sz w:val="16"/>
          <w:szCs w:val="16"/>
        </w:rPr>
        <w:t xml:space="preserve">Empirical studies in industrial location: an assessment of their methods and results, </w:t>
      </w:r>
      <w:r w:rsidRPr="00E52581">
        <w:rPr>
          <w:sz w:val="16"/>
          <w:szCs w:val="16"/>
        </w:rPr>
        <w:t>Journal of Regional Science, April 2009</w:t>
      </w:r>
    </w:p>
  </w:footnote>
  <w:footnote w:id="21">
    <w:p w14:paraId="7D665E8E" w14:textId="62A3A792" w:rsidR="00395234" w:rsidRDefault="00395234" w:rsidP="00DA47D0">
      <w:pPr>
        <w:pStyle w:val="Footnote"/>
        <w:tabs>
          <w:tab w:val="clear" w:pos="397"/>
        </w:tabs>
        <w:ind w:left="1701"/>
      </w:pPr>
      <w:r w:rsidRPr="00DA47D0">
        <w:rPr>
          <w:rStyle w:val="FootnoteReference"/>
          <w:sz w:val="16"/>
          <w:szCs w:val="16"/>
        </w:rPr>
        <w:footnoteRef/>
      </w:r>
      <w:r w:rsidRPr="00FE5530">
        <w:t xml:space="preserve"> Falck et al (2011) </w:t>
      </w:r>
      <w:r w:rsidRPr="00DA47D0">
        <w:t>The phantom of the opera: Cultural amenities, human capital, and regional economic growth, Labour Economics, December 2011</w:t>
      </w:r>
    </w:p>
  </w:footnote>
  <w:footnote w:id="22">
    <w:p w14:paraId="7FC0AC0A" w14:textId="6A97F290" w:rsidR="00395234" w:rsidRPr="00520273" w:rsidRDefault="00395234">
      <w:pPr>
        <w:pStyle w:val="FootnoteText"/>
        <w:rPr>
          <w:sz w:val="18"/>
        </w:rPr>
      </w:pPr>
      <w:r w:rsidRPr="00520273">
        <w:rPr>
          <w:rStyle w:val="FootnoteReference"/>
          <w:sz w:val="18"/>
        </w:rPr>
        <w:footnoteRef/>
      </w:r>
      <w:r w:rsidRPr="00520273">
        <w:rPr>
          <w:sz w:val="18"/>
        </w:rPr>
        <w:t xml:space="preserve"> Ahlfeldt, Gabriel M. and Kavetsos, Georgios (2014) Form or function</w:t>
      </w:r>
      <w:proofErr w:type="gramStart"/>
      <w:r w:rsidRPr="00520273">
        <w:rPr>
          <w:sz w:val="18"/>
        </w:rPr>
        <w:t>?:</w:t>
      </w:r>
      <w:proofErr w:type="gramEnd"/>
      <w:r w:rsidRPr="00520273">
        <w:rPr>
          <w:sz w:val="18"/>
        </w:rPr>
        <w:t xml:space="preserve"> the effect of new sports stadia on property prices in London. Journal of the Royal Statistical Society: Series A (Statistics in Society), 177 (1). pp. 169-190. ISSN 0964-1998</w:t>
      </w:r>
    </w:p>
  </w:footnote>
  <w:footnote w:id="23">
    <w:p w14:paraId="785B85DE" w14:textId="27ED1463" w:rsidR="00395234" w:rsidRPr="00520273" w:rsidRDefault="00395234" w:rsidP="00520273">
      <w:pPr>
        <w:pStyle w:val="FootnoteText"/>
        <w:pBdr>
          <w:top w:val="single" w:sz="4" w:space="5" w:color="auto"/>
        </w:pBdr>
        <w:rPr>
          <w:i/>
          <w:sz w:val="16"/>
          <w:szCs w:val="16"/>
        </w:rPr>
      </w:pPr>
      <w:r w:rsidRPr="00E52581">
        <w:rPr>
          <w:rStyle w:val="FootnoteReference"/>
          <w:sz w:val="16"/>
          <w:szCs w:val="16"/>
        </w:rPr>
        <w:footnoteRef/>
      </w:r>
      <w:r w:rsidRPr="00E52581">
        <w:rPr>
          <w:sz w:val="16"/>
          <w:szCs w:val="16"/>
        </w:rPr>
        <w:t xml:space="preserve"> Op cit</w:t>
      </w:r>
    </w:p>
  </w:footnote>
  <w:footnote w:id="24">
    <w:p w14:paraId="747901CF" w14:textId="77777777" w:rsidR="00395234" w:rsidRPr="00E52581" w:rsidRDefault="00395234" w:rsidP="00520273">
      <w:pPr>
        <w:pStyle w:val="FootnoteText"/>
        <w:pBdr>
          <w:top w:val="single" w:sz="4" w:space="5" w:color="auto"/>
        </w:pBdr>
        <w:rPr>
          <w:sz w:val="16"/>
          <w:szCs w:val="16"/>
        </w:rPr>
      </w:pPr>
      <w:r w:rsidRPr="00E52581">
        <w:rPr>
          <w:rStyle w:val="FootnoteReference"/>
          <w:sz w:val="16"/>
          <w:szCs w:val="16"/>
        </w:rPr>
        <w:footnoteRef/>
      </w:r>
      <w:r w:rsidRPr="00E52581">
        <w:rPr>
          <w:sz w:val="16"/>
          <w:szCs w:val="16"/>
        </w:rPr>
        <w:t xml:space="preserve"> Lazzeretti et al (2009), </w:t>
      </w:r>
      <w:r w:rsidRPr="00E52581">
        <w:rPr>
          <w:i/>
          <w:sz w:val="16"/>
          <w:szCs w:val="16"/>
        </w:rPr>
        <w:t>Why do creative industries cluster? An analysis of the determinants of clustering of creative industries,</w:t>
      </w:r>
      <w:r w:rsidRPr="00E52581">
        <w:rPr>
          <w:sz w:val="16"/>
          <w:szCs w:val="16"/>
        </w:rPr>
        <w:t xml:space="preserve"> IERMB Working Paper in Economics, nº 09.02, April 2009 </w:t>
      </w:r>
    </w:p>
    <w:p w14:paraId="59BBBE6F" w14:textId="28B9A198" w:rsidR="00395234" w:rsidRDefault="00395234">
      <w:pPr>
        <w:pStyle w:val="FootnoteText"/>
      </w:pPr>
    </w:p>
  </w:footnote>
  <w:footnote w:id="25">
    <w:p w14:paraId="5F967E63" w14:textId="77777777" w:rsidR="00395234" w:rsidRDefault="00395234" w:rsidP="00E760C2"/>
  </w:footnote>
  <w:footnote w:id="26">
    <w:p w14:paraId="434DAE71" w14:textId="05BE3886" w:rsidR="00395234" w:rsidRDefault="00395234">
      <w:pPr>
        <w:pStyle w:val="FootnoteText"/>
      </w:pPr>
      <w:r w:rsidRPr="009640D5">
        <w:rPr>
          <w:rStyle w:val="FootnoteReference"/>
          <w:sz w:val="16"/>
        </w:rPr>
        <w:footnoteRef/>
      </w:r>
      <w:r w:rsidRPr="009640D5">
        <w:rPr>
          <w:sz w:val="16"/>
        </w:rPr>
        <w:t xml:space="preserve"> Centre for International Competitiveness</w:t>
      </w:r>
    </w:p>
  </w:footnote>
  <w:footnote w:id="27">
    <w:p w14:paraId="177B097E" w14:textId="77777777" w:rsidR="00395234" w:rsidRDefault="00395234" w:rsidP="00E760C2">
      <w:pPr>
        <w:pStyle w:val="FootnoteText"/>
      </w:pPr>
      <w:r w:rsidRPr="006D04E4">
        <w:rPr>
          <w:rStyle w:val="FootnoteReference"/>
          <w:sz w:val="16"/>
        </w:rPr>
        <w:footnoteRef/>
      </w:r>
      <w:r w:rsidRPr="006D04E4">
        <w:rPr>
          <w:sz w:val="16"/>
        </w:rPr>
        <w:t xml:space="preserve"> Pedroni, P., Sheppard, S. and Wilson, N. (2012) “Culture shocks and consequences: the connection between the arts and urban economic growth”, Department of Economics Working Papers 2012-04, Department of Economics, Williams College.</w:t>
      </w:r>
    </w:p>
  </w:footnote>
  <w:footnote w:id="28">
    <w:p w14:paraId="5069D577" w14:textId="77777777" w:rsidR="00395234" w:rsidRPr="008E5DE1" w:rsidRDefault="00395234" w:rsidP="00410E03">
      <w:pPr>
        <w:pStyle w:val="FootnoteText"/>
        <w:rPr>
          <w:sz w:val="16"/>
          <w:szCs w:val="16"/>
        </w:rPr>
      </w:pPr>
      <w:r w:rsidRPr="008E5DE1">
        <w:rPr>
          <w:rStyle w:val="FootnoteReference"/>
          <w:sz w:val="16"/>
          <w:szCs w:val="16"/>
        </w:rPr>
        <w:footnoteRef/>
      </w:r>
      <w:r w:rsidRPr="008E5DE1">
        <w:rPr>
          <w:sz w:val="16"/>
          <w:szCs w:val="16"/>
        </w:rPr>
        <w:t xml:space="preserve"> For example, the </w:t>
      </w:r>
      <w:r w:rsidRPr="008E5DE1">
        <w:rPr>
          <w:rFonts w:ascii="Tahoma" w:eastAsiaTheme="minorHAnsi" w:hAnsi="Tahoma" w:cs="Tahoma"/>
          <w:i/>
          <w:sz w:val="16"/>
          <w:szCs w:val="16"/>
        </w:rPr>
        <w:t>Evidence Review: Sport and Culture</w:t>
      </w:r>
      <w:r>
        <w:rPr>
          <w:rFonts w:ascii="Tahoma" w:eastAsiaTheme="minorHAnsi" w:hAnsi="Tahoma" w:cs="Tahoma"/>
          <w:sz w:val="16"/>
          <w:szCs w:val="16"/>
        </w:rPr>
        <w:t xml:space="preserve"> (2013) analysed only 37 publications of which over 90% were Sports based and predominantly from the USA; </w:t>
      </w:r>
      <w:r w:rsidRPr="00AB7A39">
        <w:rPr>
          <w:rFonts w:ascii="Tahoma" w:eastAsiaTheme="minorHAnsi" w:hAnsi="Tahoma" w:cs="Tahoma"/>
          <w:i/>
          <w:sz w:val="16"/>
          <w:szCs w:val="16"/>
        </w:rPr>
        <w:t>Loc</w:t>
      </w:r>
      <w:r>
        <w:rPr>
          <w:rFonts w:ascii="Tahoma" w:eastAsiaTheme="minorHAnsi" w:hAnsi="Tahoma" w:cs="Tahoma"/>
          <w:i/>
          <w:sz w:val="16"/>
          <w:szCs w:val="16"/>
        </w:rPr>
        <w:t>al economic impacts from cultural investments</w:t>
      </w:r>
      <w:r>
        <w:rPr>
          <w:rFonts w:ascii="Tahoma" w:eastAsiaTheme="minorHAnsi" w:hAnsi="Tahoma" w:cs="Tahoma"/>
          <w:sz w:val="16"/>
          <w:szCs w:val="16"/>
        </w:rPr>
        <w:t xml:space="preserve"> (ECORYS, 2014) analysed 40 studies only four of which were non-UK/Ireland based.</w:t>
      </w:r>
    </w:p>
  </w:footnote>
  <w:footnote w:id="29">
    <w:p w14:paraId="27F57DEB" w14:textId="60CE85E7" w:rsidR="00395234" w:rsidRDefault="00395234">
      <w:pPr>
        <w:pStyle w:val="FootnoteText"/>
      </w:pPr>
      <w:r>
        <w:rPr>
          <w:rStyle w:val="FootnoteReference"/>
        </w:rPr>
        <w:footnoteRef/>
      </w:r>
      <w:r>
        <w:t xml:space="preserve"> </w:t>
      </w:r>
      <w:r w:rsidRPr="00444592">
        <w:rPr>
          <w:sz w:val="16"/>
        </w:rPr>
        <w:t xml:space="preserve">CASE Programme (2011), </w:t>
      </w:r>
      <w:r w:rsidRPr="00444592">
        <w:rPr>
          <w:i/>
          <w:sz w:val="16"/>
        </w:rPr>
        <w:t>The Art of the Possible – using secondary data to detect social and economic impacts from investments in culture and sport, a feasibility study</w:t>
      </w:r>
    </w:p>
  </w:footnote>
  <w:footnote w:id="30">
    <w:p w14:paraId="072F23DB" w14:textId="77777777" w:rsidR="00395234" w:rsidRPr="00230F6C" w:rsidRDefault="00395234" w:rsidP="00410E03">
      <w:pPr>
        <w:pStyle w:val="FootnoteText"/>
        <w:rPr>
          <w:rFonts w:ascii="Tahoma" w:hAnsi="Tahoma" w:cs="Tahoma"/>
          <w:sz w:val="16"/>
          <w:szCs w:val="16"/>
        </w:rPr>
      </w:pPr>
      <w:r w:rsidRPr="00230F6C">
        <w:rPr>
          <w:rStyle w:val="FootnoteReference"/>
          <w:rFonts w:ascii="Tahoma" w:hAnsi="Tahoma" w:cs="Tahoma"/>
          <w:sz w:val="16"/>
          <w:szCs w:val="16"/>
        </w:rPr>
        <w:footnoteRef/>
      </w:r>
      <w:r w:rsidRPr="00230F6C">
        <w:rPr>
          <w:rFonts w:ascii="Tahoma" w:hAnsi="Tahoma" w:cs="Tahoma"/>
          <w:sz w:val="16"/>
          <w:szCs w:val="16"/>
        </w:rPr>
        <w:t xml:space="preserve"> </w:t>
      </w:r>
      <w:hyperlink r:id="rId1" w:history="1">
        <w:r w:rsidRPr="00230F6C">
          <w:rPr>
            <w:rStyle w:val="Hyperlink"/>
            <w:rFonts w:ascii="Tahoma" w:hAnsi="Tahoma" w:cs="Tahoma"/>
            <w:bCs/>
            <w:sz w:val="16"/>
            <w:szCs w:val="16"/>
          </w:rPr>
          <w:t>www.gov.uk/government/uploads/system/uploads/attachment_data/file/71127/DCMS_Mapping_Toolkit.pdf</w:t>
        </w:r>
      </w:hyperlink>
    </w:p>
  </w:footnote>
  <w:footnote w:id="31">
    <w:p w14:paraId="48B0A824" w14:textId="77777777" w:rsidR="00395234" w:rsidRDefault="00395234" w:rsidP="00410E03">
      <w:pPr>
        <w:pStyle w:val="FootnoteText"/>
      </w:pPr>
      <w:r>
        <w:rPr>
          <w:rStyle w:val="FootnoteReference"/>
        </w:rPr>
        <w:footnoteRef/>
      </w:r>
      <w:r>
        <w:t xml:space="preserve"> </w:t>
      </w:r>
      <w:proofErr w:type="gramStart"/>
      <w:r w:rsidRPr="00F63AD8">
        <w:t>www.artscouncil.org.uk</w:t>
      </w:r>
      <w:proofErr w:type="gramEnd"/>
      <w:r w:rsidRPr="00F63AD8">
        <w:t>/what-we-do/research-and-data/arts-audiences/active-people-survey/</w:t>
      </w:r>
    </w:p>
  </w:footnote>
  <w:footnote w:id="32">
    <w:p w14:paraId="1733813C" w14:textId="77777777" w:rsidR="00395234" w:rsidRDefault="00395234" w:rsidP="00DC2628">
      <w:pPr>
        <w:pStyle w:val="FootnoteText"/>
      </w:pPr>
      <w:r w:rsidRPr="007F4A85">
        <w:rPr>
          <w:rStyle w:val="FootnoteReference"/>
          <w:sz w:val="16"/>
        </w:rPr>
        <w:footnoteRef/>
      </w:r>
      <w:r w:rsidRPr="007F4A85">
        <w:rPr>
          <w:sz w:val="16"/>
        </w:rPr>
        <w:t xml:space="preserve"> Chapain et al (2010), Creative clusters and innovation – putting creativity on the map, Nesta</w:t>
      </w:r>
    </w:p>
  </w:footnote>
  <w:footnote w:id="33">
    <w:p w14:paraId="5904F54F" w14:textId="77777777" w:rsidR="00395234" w:rsidRPr="006853AE" w:rsidRDefault="00395234" w:rsidP="00E2185B">
      <w:pPr>
        <w:pStyle w:val="FootnoteText"/>
        <w:rPr>
          <w:rStyle w:val="FootnoteReference"/>
          <w:vertAlign w:val="baseline"/>
        </w:rPr>
      </w:pPr>
      <w:r w:rsidRPr="006D04E4">
        <w:rPr>
          <w:rStyle w:val="FootnoteReference"/>
          <w:sz w:val="16"/>
        </w:rPr>
        <w:footnoteRef/>
      </w:r>
      <w:r w:rsidRPr="006D04E4">
        <w:rPr>
          <w:rStyle w:val="FootnoteReference"/>
          <w:sz w:val="16"/>
        </w:rPr>
        <w:t xml:space="preserve"> </w:t>
      </w:r>
      <w:r w:rsidRPr="006D04E4">
        <w:rPr>
          <w:rStyle w:val="FootnoteReference"/>
          <w:sz w:val="16"/>
          <w:vertAlign w:val="baseline"/>
        </w:rPr>
        <w:t>Florida, Richard (2002). Bohemia and Economic Geography, Journal of Economic Geography issue 2, pp 55 - 71</w:t>
      </w:r>
    </w:p>
  </w:footnote>
  <w:footnote w:id="34">
    <w:p w14:paraId="2E43AB2C" w14:textId="77777777" w:rsidR="00395234" w:rsidRPr="00E52581" w:rsidRDefault="00395234" w:rsidP="00E2185B">
      <w:pPr>
        <w:pStyle w:val="FootnoteText"/>
      </w:pPr>
      <w:r w:rsidRPr="003D35E0">
        <w:rPr>
          <w:rStyle w:val="FootnoteReference"/>
          <w:sz w:val="16"/>
        </w:rPr>
        <w:footnoteRef/>
      </w:r>
      <w:r w:rsidRPr="003D35E0">
        <w:rPr>
          <w:sz w:val="16"/>
        </w:rPr>
        <w:t xml:space="preserve"> </w:t>
      </w:r>
      <w:r w:rsidRPr="00E52581">
        <w:rPr>
          <w:sz w:val="16"/>
        </w:rPr>
        <w:t xml:space="preserve">Lazzeretti et al (2009), </w:t>
      </w:r>
      <w:r w:rsidRPr="00E52581">
        <w:rPr>
          <w:i/>
          <w:sz w:val="16"/>
        </w:rPr>
        <w:t>Why do creative industries cluster? An analysis of the determinants of clustering of creative industries,</w:t>
      </w:r>
      <w:r w:rsidRPr="00E52581">
        <w:rPr>
          <w:sz w:val="16"/>
        </w:rPr>
        <w:t xml:space="preserve"> IERMB Working Paper in Economics, nº 09.02, April 2009 </w:t>
      </w:r>
    </w:p>
  </w:footnote>
  <w:footnote w:id="35">
    <w:p w14:paraId="750A77CB" w14:textId="77777777" w:rsidR="00395234" w:rsidRDefault="00395234" w:rsidP="00E2185B">
      <w:pPr>
        <w:pStyle w:val="FootnoteText"/>
      </w:pPr>
      <w:r w:rsidRPr="007F4A85">
        <w:rPr>
          <w:rStyle w:val="FootnoteReference"/>
          <w:sz w:val="16"/>
        </w:rPr>
        <w:footnoteRef/>
      </w:r>
      <w:r w:rsidRPr="007F4A85">
        <w:rPr>
          <w:sz w:val="16"/>
        </w:rPr>
        <w:t xml:space="preserve"> Cruz, S. and Teixeira, A.A.C. (2014), The Determinants of Spatial Location of Creative Industries Start-Ups: Evidence from Portugal using a Discrete Choice Model Approach. FEP Working Papers no. 546 October 2014</w:t>
      </w:r>
    </w:p>
  </w:footnote>
  <w:footnote w:id="36">
    <w:p w14:paraId="5DEB1ECC" w14:textId="77777777" w:rsidR="00395234" w:rsidRPr="006D04E4" w:rsidRDefault="00395234" w:rsidP="004120F9">
      <w:pPr>
        <w:pStyle w:val="FootnoteText"/>
        <w:rPr>
          <w:rStyle w:val="FootnoteReference"/>
          <w:sz w:val="16"/>
        </w:rPr>
      </w:pPr>
      <w:r w:rsidRPr="006D04E4">
        <w:rPr>
          <w:rStyle w:val="FootnoteReference"/>
          <w:sz w:val="16"/>
        </w:rPr>
        <w:footnoteRef/>
      </w:r>
      <w:r w:rsidRPr="006D04E4">
        <w:rPr>
          <w:rStyle w:val="FootnoteReference"/>
          <w:sz w:val="16"/>
        </w:rPr>
        <w:t xml:space="preserve"> </w:t>
      </w:r>
      <w:r w:rsidRPr="006D04E4">
        <w:rPr>
          <w:rStyle w:val="FootnoteReference"/>
          <w:sz w:val="16"/>
          <w:vertAlign w:val="baseline"/>
        </w:rPr>
        <w:t>Fujiwara, D (2013) Museums and Happiness: The value of participating in museums and the arts. Stowmarket, The Happy Museum Project.</w:t>
      </w:r>
    </w:p>
  </w:footnote>
  <w:footnote w:id="37">
    <w:p w14:paraId="20096CC6" w14:textId="77777777" w:rsidR="00395234" w:rsidRPr="006853AE" w:rsidRDefault="00395234" w:rsidP="004120F9">
      <w:pPr>
        <w:pStyle w:val="FootnoteText"/>
        <w:rPr>
          <w:rStyle w:val="FootnoteReference"/>
        </w:rPr>
      </w:pPr>
      <w:r w:rsidRPr="006D04E4">
        <w:rPr>
          <w:rStyle w:val="FootnoteReference"/>
          <w:sz w:val="16"/>
        </w:rPr>
        <w:footnoteRef/>
      </w:r>
      <w:r w:rsidRPr="006D04E4">
        <w:rPr>
          <w:rStyle w:val="FootnoteReference"/>
          <w:sz w:val="16"/>
        </w:rPr>
        <w:t xml:space="preserve"> </w:t>
      </w:r>
      <w:r w:rsidRPr="006D04E4">
        <w:rPr>
          <w:rStyle w:val="FootnoteReference"/>
          <w:sz w:val="16"/>
          <w:vertAlign w:val="baseline"/>
        </w:rPr>
        <w:t>Fujiwara, D, Lawton, R &amp; Mourato, S (2015) The health and wellbeing benefits of public libraries. London, Arts Council England.</w:t>
      </w:r>
    </w:p>
  </w:footnote>
  <w:footnote w:id="38">
    <w:p w14:paraId="249EBAA7" w14:textId="77777777" w:rsidR="00395234" w:rsidRPr="006D04E4" w:rsidRDefault="00395234" w:rsidP="004120F9">
      <w:pPr>
        <w:pStyle w:val="FootnoteText"/>
        <w:rPr>
          <w:sz w:val="16"/>
        </w:rPr>
      </w:pPr>
      <w:r w:rsidRPr="006D04E4">
        <w:rPr>
          <w:rStyle w:val="FootnoteReference"/>
          <w:sz w:val="16"/>
        </w:rPr>
        <w:footnoteRef/>
      </w:r>
      <w:r w:rsidRPr="006D04E4">
        <w:rPr>
          <w:sz w:val="16"/>
        </w:rPr>
        <w:t xml:space="preserve"> Fujiwara et al (2013, </w:t>
      </w:r>
      <w:r w:rsidRPr="006D04E4">
        <w:rPr>
          <w:i/>
          <w:sz w:val="16"/>
        </w:rPr>
        <w:t>op cit</w:t>
      </w:r>
    </w:p>
  </w:footnote>
  <w:footnote w:id="39">
    <w:p w14:paraId="786B6085" w14:textId="77777777" w:rsidR="00395234" w:rsidRPr="007F4A85" w:rsidRDefault="00395234" w:rsidP="004120F9">
      <w:pPr>
        <w:pStyle w:val="FootnoteText"/>
        <w:rPr>
          <w:sz w:val="16"/>
        </w:rPr>
      </w:pPr>
      <w:r w:rsidRPr="007F4A85">
        <w:rPr>
          <w:rStyle w:val="FootnoteReference"/>
          <w:sz w:val="16"/>
        </w:rPr>
        <w:footnoteRef/>
      </w:r>
      <w:r w:rsidRPr="007F4A85">
        <w:rPr>
          <w:sz w:val="16"/>
        </w:rPr>
        <w:t xml:space="preserve"> Fujiwara et al (2015), </w:t>
      </w:r>
      <w:r w:rsidRPr="007F4A85">
        <w:rPr>
          <w:i/>
          <w:sz w:val="16"/>
        </w:rPr>
        <w:t>op cit</w:t>
      </w:r>
    </w:p>
  </w:footnote>
  <w:footnote w:id="40">
    <w:p w14:paraId="2FEF8E4B" w14:textId="77777777" w:rsidR="00395234" w:rsidRPr="00E3489C" w:rsidRDefault="00395234" w:rsidP="00E3489C">
      <w:pPr>
        <w:pStyle w:val="FootnoteText"/>
        <w:rPr>
          <w:sz w:val="16"/>
          <w:szCs w:val="16"/>
        </w:rPr>
      </w:pPr>
      <w:r w:rsidRPr="00E3489C">
        <w:rPr>
          <w:rStyle w:val="FootnoteReference"/>
          <w:sz w:val="16"/>
          <w:szCs w:val="16"/>
        </w:rPr>
        <w:footnoteRef/>
      </w:r>
      <w:r w:rsidRPr="00E3489C">
        <w:rPr>
          <w:sz w:val="16"/>
          <w:szCs w:val="16"/>
        </w:rPr>
        <w:t xml:space="preserve"> </w:t>
      </w:r>
      <w:hyperlink r:id="rId2" w:history="1">
        <w:r w:rsidRPr="00E3489C">
          <w:rPr>
            <w:rStyle w:val="Hyperlink"/>
            <w:sz w:val="16"/>
            <w:szCs w:val="16"/>
          </w:rPr>
          <w:t>https://www.gov.uk/government/statistics/creative-industries-economic-estimates-january-2015</w:t>
        </w:r>
      </w:hyperlink>
      <w:r w:rsidRPr="00E3489C">
        <w:rPr>
          <w:sz w:val="16"/>
          <w:szCs w:val="16"/>
        </w:rPr>
        <w:t xml:space="preserve"> </w:t>
      </w:r>
    </w:p>
  </w:footnote>
  <w:footnote w:id="41">
    <w:p w14:paraId="14329945" w14:textId="77777777" w:rsidR="00395234" w:rsidRPr="00E3489C" w:rsidRDefault="00395234" w:rsidP="00E3489C">
      <w:pPr>
        <w:pStyle w:val="FootnoteText"/>
        <w:rPr>
          <w:sz w:val="16"/>
          <w:szCs w:val="16"/>
        </w:rPr>
      </w:pPr>
      <w:r w:rsidRPr="00E3489C">
        <w:rPr>
          <w:rStyle w:val="FootnoteReference"/>
          <w:sz w:val="16"/>
          <w:szCs w:val="16"/>
        </w:rPr>
        <w:footnoteRef/>
      </w:r>
      <w:r w:rsidRPr="00E3489C">
        <w:rPr>
          <w:sz w:val="16"/>
          <w:szCs w:val="16"/>
        </w:rPr>
        <w:t xml:space="preserve"> </w:t>
      </w:r>
      <w:hyperlink r:id="rId3" w:history="1">
        <w:r w:rsidRPr="00E3489C">
          <w:rPr>
            <w:rStyle w:val="Hyperlink"/>
            <w:sz w:val="16"/>
            <w:szCs w:val="16"/>
          </w:rPr>
          <w:t>http://www.oecd.org/science/sci-tech/2087188.pdf</w:t>
        </w:r>
      </w:hyperlink>
      <w:r w:rsidRPr="00E3489C">
        <w:rPr>
          <w:sz w:val="16"/>
          <w:szCs w:val="16"/>
        </w:rPr>
        <w:t xml:space="preserve"> </w:t>
      </w:r>
    </w:p>
  </w:footnote>
  <w:footnote w:id="42">
    <w:p w14:paraId="742EA8DE" w14:textId="77777777" w:rsidR="00395234" w:rsidRPr="00E3489C" w:rsidRDefault="00395234" w:rsidP="00E3489C">
      <w:pPr>
        <w:pStyle w:val="FootnoteText"/>
        <w:rPr>
          <w:sz w:val="16"/>
          <w:szCs w:val="16"/>
        </w:rPr>
      </w:pPr>
      <w:r w:rsidRPr="00E3489C">
        <w:rPr>
          <w:rStyle w:val="FootnoteReference"/>
          <w:sz w:val="16"/>
          <w:szCs w:val="16"/>
        </w:rPr>
        <w:footnoteRef/>
      </w:r>
      <w:r w:rsidRPr="00E3489C">
        <w:rPr>
          <w:sz w:val="16"/>
          <w:szCs w:val="16"/>
        </w:rPr>
        <w:t xml:space="preserve"> </w:t>
      </w:r>
      <w:hyperlink r:id="rId4" w:history="1">
        <w:r w:rsidRPr="00E3489C">
          <w:rPr>
            <w:rStyle w:val="Hyperlink"/>
            <w:sz w:val="16"/>
            <w:szCs w:val="16"/>
          </w:rPr>
          <w:t>http://www.futureoflondon.org.uk/futureoflondon/wp-content/uploads/downloads/2011/10/Future-of-London-Knowledge-Economy.pdf</w:t>
        </w:r>
      </w:hyperlink>
      <w:r w:rsidRPr="00E3489C">
        <w:rPr>
          <w:sz w:val="16"/>
          <w:szCs w:val="16"/>
        </w:rPr>
        <w:t xml:space="preserve"> </w:t>
      </w:r>
    </w:p>
  </w:footnote>
  <w:footnote w:id="43">
    <w:p w14:paraId="3D114911" w14:textId="77777777" w:rsidR="00395234" w:rsidRDefault="00395234" w:rsidP="00E3489C">
      <w:pPr>
        <w:pStyle w:val="FootnoteText"/>
      </w:pPr>
      <w:r w:rsidRPr="00E3489C">
        <w:rPr>
          <w:rStyle w:val="FootnoteReference"/>
          <w:sz w:val="16"/>
          <w:szCs w:val="16"/>
        </w:rPr>
        <w:footnoteRef/>
      </w:r>
      <w:r w:rsidRPr="00E3489C">
        <w:rPr>
          <w:sz w:val="16"/>
          <w:szCs w:val="16"/>
        </w:rPr>
        <w:t xml:space="preserve"> </w:t>
      </w:r>
      <w:hyperlink r:id="rId5" w:history="1">
        <w:r w:rsidRPr="00E3489C">
          <w:rPr>
            <w:rStyle w:val="Hyperlink"/>
            <w:sz w:val="16"/>
            <w:szCs w:val="16"/>
          </w:rPr>
          <w:t>https://www.ons.gov.uk/methodology/classificationsandstandards/ukstandardindustrialclassificationofeconomicactivities/uksic2007</w:t>
        </w:r>
      </w:hyperlink>
      <w:r>
        <w:t xml:space="preserve"> </w:t>
      </w:r>
    </w:p>
  </w:footnote>
  <w:footnote w:id="44">
    <w:p w14:paraId="5B2CEF82" w14:textId="77777777" w:rsidR="00395234" w:rsidRPr="00501098" w:rsidRDefault="00395234" w:rsidP="00E3489C">
      <w:pPr>
        <w:pStyle w:val="FootnoteText"/>
        <w:rPr>
          <w:sz w:val="16"/>
          <w:szCs w:val="16"/>
        </w:rPr>
      </w:pPr>
      <w:r w:rsidRPr="00501098">
        <w:rPr>
          <w:rStyle w:val="FootnoteReference"/>
          <w:sz w:val="16"/>
          <w:szCs w:val="16"/>
        </w:rPr>
        <w:footnoteRef/>
      </w:r>
      <w:r w:rsidRPr="00501098">
        <w:rPr>
          <w:sz w:val="16"/>
          <w:szCs w:val="16"/>
        </w:rPr>
        <w:t xml:space="preserve"> </w:t>
      </w:r>
      <w:hyperlink r:id="rId6" w:history="1">
        <w:r w:rsidRPr="00501098">
          <w:rPr>
            <w:rStyle w:val="Hyperlink"/>
            <w:sz w:val="16"/>
            <w:szCs w:val="16"/>
          </w:rPr>
          <w:t>http://www.ons.gov.uk/ons/guide-method/method-quality/specific/economy/economic-value-of-tourism/measuring-tourism-locally/2012/note-1/measuring-tourism-locally-v2-2012-guidance-note-1--definitions-of-tourism-.pdf</w:t>
        </w:r>
      </w:hyperlink>
      <w:r w:rsidRPr="00501098">
        <w:rPr>
          <w:sz w:val="16"/>
          <w:szCs w:val="16"/>
        </w:rPr>
        <w:t xml:space="preserve"> </w:t>
      </w:r>
    </w:p>
  </w:footnote>
  <w:footnote w:id="45">
    <w:p w14:paraId="65ED425D" w14:textId="77777777" w:rsidR="00395234" w:rsidRDefault="00395234" w:rsidP="00E3489C">
      <w:pPr>
        <w:pStyle w:val="FootnoteText"/>
      </w:pPr>
      <w:r w:rsidRPr="00E3489C">
        <w:rPr>
          <w:rStyle w:val="FootnoteReference"/>
          <w:sz w:val="16"/>
        </w:rPr>
        <w:footnoteRef/>
      </w:r>
      <w:r w:rsidRPr="00E3489C">
        <w:rPr>
          <w:sz w:val="16"/>
        </w:rPr>
        <w:t xml:space="preserve"> </w:t>
      </w:r>
      <w:hyperlink r:id="rId7" w:history="1">
        <w:r w:rsidRPr="00E3489C">
          <w:rPr>
            <w:rStyle w:val="Hyperlink"/>
            <w:sz w:val="18"/>
          </w:rPr>
          <w:t>https://www.gov.uk/government/publications/growth-is-our-business-professional-and-business-services-strategy</w:t>
        </w:r>
      </w:hyperlink>
      <w:r w:rsidRPr="00E3489C">
        <w:rPr>
          <w:sz w:val="16"/>
        </w:rPr>
        <w:t xml:space="preserve"> </w:t>
      </w:r>
    </w:p>
  </w:footnote>
  <w:footnote w:id="46">
    <w:p w14:paraId="3A74214B" w14:textId="77777777" w:rsidR="00395234" w:rsidRDefault="00395234" w:rsidP="00511EC8">
      <w:pPr>
        <w:pStyle w:val="FootnoteText"/>
      </w:pPr>
      <w:r>
        <w:rPr>
          <w:rStyle w:val="FootnoteReference"/>
        </w:rPr>
        <w:footnoteRef/>
      </w:r>
      <w:r>
        <w:t xml:space="preserve"> </w:t>
      </w:r>
      <w:r w:rsidRPr="00546C1D">
        <w:t>http://www.cforic.org/pages/ukci2016.php</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0080"/>
    </w:tblGrid>
    <w:tr w:rsidR="00395234" w14:paraId="74928E46" w14:textId="77777777" w:rsidTr="00AF1584">
      <w:tc>
        <w:tcPr>
          <w:tcW w:w="10080" w:type="dxa"/>
        </w:tcPr>
        <w:p w14:paraId="74928E45" w14:textId="77777777" w:rsidR="00395234" w:rsidRDefault="00395234">
          <w:pPr>
            <w:pStyle w:val="Header"/>
          </w:pPr>
          <w:r>
            <w:t>Department for Culture, Media and Sport</w:t>
          </w:r>
        </w:p>
      </w:tc>
    </w:tr>
    <w:tr w:rsidR="00395234" w14:paraId="74928E48" w14:textId="77777777" w:rsidTr="00AF1584">
      <w:tc>
        <w:tcPr>
          <w:tcW w:w="10080" w:type="dxa"/>
        </w:tcPr>
        <w:p w14:paraId="74928E47" w14:textId="77777777" w:rsidR="00395234" w:rsidRDefault="00395234" w:rsidP="00F51926">
          <w:pPr>
            <w:pStyle w:val="HeaderBold"/>
          </w:pPr>
          <w:r>
            <w:t>DocumentTitle</w:t>
          </w:r>
        </w:p>
      </w:tc>
    </w:tr>
  </w:tbl>
  <w:p w14:paraId="74928E49" w14:textId="77777777" w:rsidR="00395234" w:rsidRDefault="00395234" w:rsidP="00A35E9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0080"/>
    </w:tblGrid>
    <w:tr w:rsidR="00395234" w14:paraId="74928E4B" w14:textId="77777777" w:rsidTr="00AF1584">
      <w:tc>
        <w:tcPr>
          <w:tcW w:w="10080" w:type="dxa"/>
        </w:tcPr>
        <w:p w14:paraId="74928E4A" w14:textId="77777777" w:rsidR="00395234" w:rsidRDefault="00395234">
          <w:pPr>
            <w:pStyle w:val="Header"/>
          </w:pPr>
        </w:p>
      </w:tc>
    </w:tr>
    <w:tr w:rsidR="00395234" w14:paraId="74928E4D" w14:textId="77777777" w:rsidTr="00AF1584">
      <w:tc>
        <w:tcPr>
          <w:tcW w:w="10080" w:type="dxa"/>
        </w:tcPr>
        <w:p w14:paraId="74928E4C" w14:textId="5BA0ED76" w:rsidR="00395234" w:rsidRPr="00652145" w:rsidRDefault="00395234" w:rsidP="00CB52D8">
          <w:pPr>
            <w:pStyle w:val="HeaderBold"/>
            <w:rPr>
              <w:szCs w:val="18"/>
            </w:rPr>
          </w:pPr>
          <w:bookmarkStart w:id="1" w:name="DocumentTitleSec2Even"/>
          <w:r>
            <w:rPr>
              <w:rFonts w:cs="Arial"/>
              <w:b w:val="0"/>
              <w:color w:val="673561"/>
              <w:szCs w:val="18"/>
            </w:rPr>
            <w:t>The role of culture, heritage and sport in place shaping</w:t>
          </w:r>
          <w:r w:rsidRPr="00652145">
            <w:rPr>
              <w:szCs w:val="18"/>
            </w:rPr>
            <w:t xml:space="preserve"> </w:t>
          </w:r>
          <w:bookmarkEnd w:id="1"/>
        </w:p>
      </w:tc>
    </w:tr>
  </w:tbl>
  <w:p w14:paraId="74928E4E" w14:textId="77777777" w:rsidR="00395234" w:rsidRDefault="00395234" w:rsidP="0065214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0080"/>
    </w:tblGrid>
    <w:tr w:rsidR="00395234" w14:paraId="79152D89" w14:textId="77777777" w:rsidTr="00E223F8">
      <w:tc>
        <w:tcPr>
          <w:tcW w:w="10080" w:type="dxa"/>
        </w:tcPr>
        <w:p w14:paraId="5CE28500" w14:textId="248F289F" w:rsidR="00395234" w:rsidRDefault="00395234" w:rsidP="00E223F8">
          <w:pPr>
            <w:pStyle w:val="Header"/>
          </w:pPr>
        </w:p>
      </w:tc>
    </w:tr>
    <w:tr w:rsidR="00395234" w14:paraId="3363CEE6" w14:textId="77777777" w:rsidTr="00E223F8">
      <w:tc>
        <w:tcPr>
          <w:tcW w:w="10080" w:type="dxa"/>
        </w:tcPr>
        <w:p w14:paraId="3C80C71F" w14:textId="2AB503E9" w:rsidR="00395234" w:rsidRPr="00652145" w:rsidRDefault="00395234" w:rsidP="00E223F8">
          <w:pPr>
            <w:pStyle w:val="HeaderBold"/>
            <w:rPr>
              <w:szCs w:val="18"/>
            </w:rPr>
          </w:pPr>
          <w:r>
            <w:rPr>
              <w:rFonts w:cs="Arial"/>
              <w:b w:val="0"/>
              <w:color w:val="673561"/>
              <w:szCs w:val="18"/>
            </w:rPr>
            <w:t xml:space="preserve">The role of </w:t>
          </w:r>
          <w:r w:rsidRPr="00D44C4D">
            <w:rPr>
              <w:rFonts w:cs="Arial"/>
              <w:b w:val="0"/>
              <w:color w:val="673561"/>
              <w:szCs w:val="18"/>
            </w:rPr>
            <w:t xml:space="preserve">culture, sport and heritage </w:t>
          </w:r>
          <w:r>
            <w:rPr>
              <w:rFonts w:cs="Arial"/>
              <w:b w:val="0"/>
              <w:color w:val="673561"/>
              <w:szCs w:val="18"/>
            </w:rPr>
            <w:t>in place shaping</w:t>
          </w:r>
          <w:r w:rsidRPr="00652145">
            <w:rPr>
              <w:szCs w:val="18"/>
            </w:rPr>
            <w:t xml:space="preserve"> </w:t>
          </w:r>
        </w:p>
      </w:tc>
    </w:tr>
  </w:tbl>
  <w:p w14:paraId="170510D8" w14:textId="77777777" w:rsidR="00395234" w:rsidRDefault="0039523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9570"/>
    </w:tblGrid>
    <w:tr w:rsidR="00395234" w14:paraId="48566B4E" w14:textId="77777777" w:rsidTr="00E223F8">
      <w:tc>
        <w:tcPr>
          <w:tcW w:w="10080" w:type="dxa"/>
        </w:tcPr>
        <w:p w14:paraId="1481884B" w14:textId="3540CC5E" w:rsidR="00395234" w:rsidRDefault="00395234" w:rsidP="00E223F8">
          <w:pPr>
            <w:pStyle w:val="Header"/>
          </w:pPr>
        </w:p>
      </w:tc>
    </w:tr>
    <w:tr w:rsidR="00395234" w14:paraId="045E6004" w14:textId="77777777" w:rsidTr="00E223F8">
      <w:tc>
        <w:tcPr>
          <w:tcW w:w="10080" w:type="dxa"/>
        </w:tcPr>
        <w:p w14:paraId="365F62CF" w14:textId="2CF802DD" w:rsidR="00395234" w:rsidRPr="00652145" w:rsidRDefault="00395234" w:rsidP="00E223F8">
          <w:pPr>
            <w:pStyle w:val="HeaderBold"/>
            <w:rPr>
              <w:szCs w:val="18"/>
            </w:rPr>
          </w:pPr>
          <w:r>
            <w:rPr>
              <w:rFonts w:cs="Arial"/>
              <w:b w:val="0"/>
              <w:color w:val="673561"/>
              <w:szCs w:val="18"/>
            </w:rPr>
            <w:t xml:space="preserve">The role of </w:t>
          </w:r>
          <w:r w:rsidRPr="00D44C4D">
            <w:rPr>
              <w:rFonts w:cs="Arial"/>
              <w:b w:val="0"/>
              <w:color w:val="673561"/>
              <w:szCs w:val="18"/>
            </w:rPr>
            <w:t xml:space="preserve">culture, sport and heritage </w:t>
          </w:r>
          <w:r>
            <w:rPr>
              <w:rFonts w:cs="Arial"/>
              <w:b w:val="0"/>
              <w:color w:val="673561"/>
              <w:szCs w:val="18"/>
            </w:rPr>
            <w:t>in place shaping</w:t>
          </w:r>
          <w:r w:rsidRPr="00652145">
            <w:rPr>
              <w:szCs w:val="18"/>
            </w:rPr>
            <w:t xml:space="preserve"> </w:t>
          </w:r>
        </w:p>
      </w:tc>
    </w:tr>
  </w:tbl>
  <w:p w14:paraId="33963180" w14:textId="77777777" w:rsidR="00395234" w:rsidRDefault="00395234">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9570"/>
    </w:tblGrid>
    <w:tr w:rsidR="00395234" w14:paraId="23010042" w14:textId="77777777" w:rsidTr="00E223F8">
      <w:tc>
        <w:tcPr>
          <w:tcW w:w="10080" w:type="dxa"/>
        </w:tcPr>
        <w:p w14:paraId="7FBA23EC" w14:textId="77777777" w:rsidR="00395234" w:rsidRDefault="00395234" w:rsidP="00E223F8">
          <w:pPr>
            <w:pStyle w:val="Header"/>
          </w:pPr>
          <w:r>
            <w:rPr>
              <w:noProof/>
              <w:lang w:val="en-US"/>
            </w:rPr>
            <mc:AlternateContent>
              <mc:Choice Requires="wps">
                <w:drawing>
                  <wp:anchor distT="0" distB="0" distL="114300" distR="114300" simplePos="0" relativeHeight="251666432" behindDoc="0" locked="0" layoutInCell="1" allowOverlap="1" wp14:anchorId="178CD4BD" wp14:editId="10CA202B">
                    <wp:simplePos x="0" y="0"/>
                    <wp:positionH relativeFrom="column">
                      <wp:posOffset>5994400</wp:posOffset>
                    </wp:positionH>
                    <wp:positionV relativeFrom="paragraph">
                      <wp:posOffset>-22225</wp:posOffset>
                    </wp:positionV>
                    <wp:extent cx="288290" cy="288290"/>
                    <wp:effectExtent l="0" t="0" r="16510" b="165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14:paraId="2F416956" w14:textId="77777777" w:rsidR="00395234" w:rsidRPr="00796D8C" w:rsidRDefault="00395234" w:rsidP="00796D8C">
                                <w:pPr>
                                  <w:pStyle w:val="HeaderBold"/>
                                  <w:spacing w:before="40"/>
                                  <w:jc w:val="center"/>
                                  <w:rPr>
                                    <w:b w:val="0"/>
                                  </w:rPr>
                                </w:pPr>
                                <w:r w:rsidRPr="00796D8C">
                                  <w:rPr>
                                    <w:b w:val="0"/>
                                  </w:rPr>
                                  <w:fldChar w:fldCharType="begin"/>
                                </w:r>
                                <w:r w:rsidRPr="00796D8C">
                                  <w:rPr>
                                    <w:b w:val="0"/>
                                  </w:rPr>
                                  <w:instrText xml:space="preserve"> PAGE  \* Arabic  \* MERGEFORMAT </w:instrText>
                                </w:r>
                                <w:r w:rsidRPr="00796D8C">
                                  <w:rPr>
                                    <w:b w:val="0"/>
                                  </w:rPr>
                                  <w:fldChar w:fldCharType="separate"/>
                                </w:r>
                                <w:r>
                                  <w:rPr>
                                    <w:b w:val="0"/>
                                    <w:noProof/>
                                  </w:rPr>
                                  <w:t>4</w:t>
                                </w:r>
                                <w:r w:rsidRPr="00796D8C">
                                  <w:rPr>
                                    <w:b w:val="0"/>
                                  </w:rP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8CD4BD" id="_x0000_t202" coordsize="21600,21600" o:spt="202" path="m,l,21600r21600,l21600,xe">
                    <v:stroke joinstyle="miter"/>
                    <v:path gradientshapeok="t" o:connecttype="rect"/>
                  </v:shapetype>
                  <v:shape id="Text Box 8" o:spid="_x0000_s1027" type="#_x0000_t202" style="position:absolute;margin-left:472pt;margin-top:-1.75pt;width:22.7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" strokeweight=".5pt">
                    <v:textbox inset="1mm,.5mm,1mm">
                      <w:txbxContent>
                        <w:p w14:paraId="2F416956" w14:textId="77777777" w:rsidR="0017656A" w:rsidRPr="00796D8C" w:rsidRDefault="0017656A" w:rsidP="00796D8C">
                          <w:pPr>
                            <w:pStyle w:val="HeaderBold"/>
                            <w:spacing w:before="40"/>
                            <w:jc w:val="center"/>
                            <w:rPr>
                              <w:b w:val="0"/>
                            </w:rPr>
                          </w:pPr>
                          <w:r w:rsidRPr="00796D8C">
                            <w:rPr>
                              <w:b w:val="0"/>
                            </w:rPr>
                            <w:fldChar w:fldCharType="begin"/>
                          </w:r>
                          <w:r w:rsidRPr="00796D8C">
                            <w:rPr>
                              <w:b w:val="0"/>
                            </w:rPr>
                            <w:instrText xml:space="preserve"> PAGE  \* Arabic  \* MERGEFORMAT </w:instrText>
                          </w:r>
                          <w:r w:rsidRPr="00796D8C">
                            <w:rPr>
                              <w:b w:val="0"/>
                            </w:rPr>
                            <w:fldChar w:fldCharType="separate"/>
                          </w:r>
                          <w:r w:rsidR="00BB729A">
                            <w:rPr>
                              <w:b w:val="0"/>
                              <w:noProof/>
                            </w:rPr>
                            <w:t>2</w:t>
                          </w:r>
                          <w:r w:rsidRPr="00796D8C">
                            <w:rPr>
                              <w:b w:val="0"/>
                            </w:rPr>
                            <w:fldChar w:fldCharType="end"/>
                          </w:r>
                        </w:p>
                      </w:txbxContent>
                    </v:textbox>
                  </v:shape>
                </w:pict>
              </mc:Fallback>
            </mc:AlternateContent>
          </w:r>
        </w:p>
      </w:tc>
    </w:tr>
    <w:tr w:rsidR="00395234" w14:paraId="094BE35D" w14:textId="77777777" w:rsidTr="00E223F8">
      <w:tc>
        <w:tcPr>
          <w:tcW w:w="10080" w:type="dxa"/>
        </w:tcPr>
        <w:p w14:paraId="7873B0A0" w14:textId="21917CA3" w:rsidR="00395234" w:rsidRPr="00652145" w:rsidRDefault="00395234" w:rsidP="00E223F8">
          <w:pPr>
            <w:pStyle w:val="HeaderBold"/>
            <w:rPr>
              <w:szCs w:val="18"/>
            </w:rPr>
          </w:pPr>
          <w:r>
            <w:rPr>
              <w:rFonts w:cs="Arial"/>
              <w:b w:val="0"/>
              <w:color w:val="673561"/>
              <w:szCs w:val="18"/>
            </w:rPr>
            <w:t xml:space="preserve">The role of </w:t>
          </w:r>
          <w:r w:rsidRPr="00D44C4D">
            <w:rPr>
              <w:rFonts w:cs="Arial"/>
              <w:b w:val="0"/>
              <w:color w:val="673561"/>
              <w:szCs w:val="18"/>
            </w:rPr>
            <w:t xml:space="preserve">culture, sport and heritage </w:t>
          </w:r>
          <w:r>
            <w:rPr>
              <w:rFonts w:cs="Arial"/>
              <w:b w:val="0"/>
              <w:color w:val="673561"/>
              <w:szCs w:val="18"/>
            </w:rPr>
            <w:t>in place shaping</w:t>
          </w:r>
          <w:r w:rsidRPr="00652145">
            <w:rPr>
              <w:szCs w:val="18"/>
            </w:rPr>
            <w:t xml:space="preserve"> </w:t>
          </w:r>
        </w:p>
      </w:tc>
    </w:tr>
  </w:tbl>
  <w:p w14:paraId="3F5E165D" w14:textId="77777777" w:rsidR="00395234" w:rsidRDefault="00395234">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9570"/>
    </w:tblGrid>
    <w:tr w:rsidR="00395234" w14:paraId="1AF3BAB4" w14:textId="77777777" w:rsidTr="00E223F8">
      <w:tc>
        <w:tcPr>
          <w:tcW w:w="10080" w:type="dxa"/>
        </w:tcPr>
        <w:p w14:paraId="795DB4F3" w14:textId="77777777" w:rsidR="00395234" w:rsidRDefault="00395234" w:rsidP="00E223F8">
          <w:pPr>
            <w:pStyle w:val="Header"/>
          </w:pPr>
          <w:r>
            <w:rPr>
              <w:noProof/>
              <w:lang w:val="en-US"/>
            </w:rPr>
            <mc:AlternateContent>
              <mc:Choice Requires="wps">
                <w:drawing>
                  <wp:anchor distT="0" distB="0" distL="114300" distR="114300" simplePos="0" relativeHeight="251672576" behindDoc="0" locked="0" layoutInCell="1" allowOverlap="1" wp14:anchorId="4C7A48F2" wp14:editId="0A4D3C77">
                    <wp:simplePos x="0" y="0"/>
                    <wp:positionH relativeFrom="column">
                      <wp:posOffset>5994400</wp:posOffset>
                    </wp:positionH>
                    <wp:positionV relativeFrom="paragraph">
                      <wp:posOffset>-22225</wp:posOffset>
                    </wp:positionV>
                    <wp:extent cx="288290" cy="288290"/>
                    <wp:effectExtent l="0" t="0" r="16510" b="165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88290"/>
                            </a:xfrm>
                            <a:prstGeom prst="rect">
                              <a:avLst/>
                            </a:prstGeom>
                            <a:solidFill>
                              <a:srgbClr val="FFFFFF"/>
                            </a:solidFill>
                            <a:ln w="6350">
                              <a:solidFill>
                                <a:srgbClr val="000000"/>
                              </a:solidFill>
                              <a:miter lim="800000"/>
                              <a:headEnd/>
                              <a:tailEnd/>
                            </a:ln>
                          </wps:spPr>
                          <wps:txbx>
                            <w:txbxContent>
                              <w:p w14:paraId="47A40B30" w14:textId="77777777" w:rsidR="00395234" w:rsidRPr="00796D8C" w:rsidRDefault="00395234" w:rsidP="00796D8C">
                                <w:pPr>
                                  <w:pStyle w:val="HeaderBold"/>
                                  <w:spacing w:before="40"/>
                                  <w:jc w:val="center"/>
                                  <w:rPr>
                                    <w:b w:val="0"/>
                                  </w:rPr>
                                </w:pPr>
                                <w:r w:rsidRPr="00796D8C">
                                  <w:rPr>
                                    <w:b w:val="0"/>
                                  </w:rPr>
                                  <w:fldChar w:fldCharType="begin"/>
                                </w:r>
                                <w:r w:rsidRPr="00796D8C">
                                  <w:rPr>
                                    <w:b w:val="0"/>
                                  </w:rPr>
                                  <w:instrText xml:space="preserve"> PAGE  \* Arabic  \* MERGEFORMAT </w:instrText>
                                </w:r>
                                <w:r w:rsidRPr="00796D8C">
                                  <w:rPr>
                                    <w:b w:val="0"/>
                                  </w:rPr>
                                  <w:fldChar w:fldCharType="separate"/>
                                </w:r>
                                <w:r>
                                  <w:rPr>
                                    <w:b w:val="0"/>
                                    <w:noProof/>
                                  </w:rPr>
                                  <w:t>104</w:t>
                                </w:r>
                                <w:r w:rsidRPr="00796D8C">
                                  <w:rPr>
                                    <w:b w:val="0"/>
                                  </w:rPr>
                                  <w:fldChar w:fldCharType="end"/>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7A48F2" id="_x0000_t202" coordsize="21600,21600" o:spt="202" path="m,l,21600r21600,l21600,xe">
                    <v:stroke joinstyle="miter"/>
                    <v:path gradientshapeok="t" o:connecttype="rect"/>
                  </v:shapetype>
                  <v:shape id="Text Box 12" o:spid="_x0000_s1028" type="#_x0000_t202" style="position:absolute;margin-left:472pt;margin-top:-1.75pt;width:22.7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" strokeweight=".5pt">
                    <v:textbox inset="1mm,.5mm,1mm">
                      <w:txbxContent>
                        <w:p w14:paraId="47A40B30" w14:textId="77777777" w:rsidR="0017656A" w:rsidRPr="00796D8C" w:rsidRDefault="0017656A" w:rsidP="00796D8C">
                          <w:pPr>
                            <w:pStyle w:val="HeaderBold"/>
                            <w:spacing w:before="40"/>
                            <w:jc w:val="center"/>
                            <w:rPr>
                              <w:b w:val="0"/>
                            </w:rPr>
                          </w:pPr>
                          <w:r w:rsidRPr="00796D8C">
                            <w:rPr>
                              <w:b w:val="0"/>
                            </w:rPr>
                            <w:fldChar w:fldCharType="begin"/>
                          </w:r>
                          <w:r w:rsidRPr="00796D8C">
                            <w:rPr>
                              <w:b w:val="0"/>
                            </w:rPr>
                            <w:instrText xml:space="preserve"> PAGE  \* Arabic  \* MERGEFORMAT </w:instrText>
                          </w:r>
                          <w:r w:rsidRPr="00796D8C">
                            <w:rPr>
                              <w:b w:val="0"/>
                            </w:rPr>
                            <w:fldChar w:fldCharType="separate"/>
                          </w:r>
                          <w:r w:rsidR="00BB729A">
                            <w:rPr>
                              <w:b w:val="0"/>
                              <w:noProof/>
                            </w:rPr>
                            <w:t>15</w:t>
                          </w:r>
                          <w:r w:rsidRPr="00796D8C">
                            <w:rPr>
                              <w:b w:val="0"/>
                            </w:rPr>
                            <w:fldChar w:fldCharType="end"/>
                          </w:r>
                        </w:p>
                      </w:txbxContent>
                    </v:textbox>
                  </v:shape>
                </w:pict>
              </mc:Fallback>
            </mc:AlternateContent>
          </w:r>
        </w:p>
      </w:tc>
    </w:tr>
    <w:tr w:rsidR="00395234" w14:paraId="3ADD272F" w14:textId="77777777" w:rsidTr="00E223F8">
      <w:tc>
        <w:tcPr>
          <w:tcW w:w="10080" w:type="dxa"/>
        </w:tcPr>
        <w:p w14:paraId="134E3893" w14:textId="77777777" w:rsidR="00395234" w:rsidRPr="00652145" w:rsidRDefault="00395234" w:rsidP="00E223F8">
          <w:pPr>
            <w:pStyle w:val="HeaderBold"/>
            <w:rPr>
              <w:szCs w:val="18"/>
            </w:rPr>
          </w:pPr>
          <w:r>
            <w:rPr>
              <w:rFonts w:cs="Arial"/>
              <w:b w:val="0"/>
              <w:color w:val="673561"/>
              <w:szCs w:val="18"/>
            </w:rPr>
            <w:t xml:space="preserve">The role of </w:t>
          </w:r>
          <w:r w:rsidRPr="00D44C4D">
            <w:rPr>
              <w:rFonts w:cs="Arial"/>
              <w:b w:val="0"/>
              <w:color w:val="673561"/>
              <w:szCs w:val="18"/>
            </w:rPr>
            <w:t xml:space="preserve">culture, sport and heritage </w:t>
          </w:r>
          <w:r>
            <w:rPr>
              <w:rFonts w:cs="Arial"/>
              <w:b w:val="0"/>
              <w:color w:val="673561"/>
              <w:szCs w:val="18"/>
            </w:rPr>
            <w:t>in place shaping</w:t>
          </w:r>
          <w:r w:rsidRPr="00652145">
            <w:rPr>
              <w:szCs w:val="18"/>
            </w:rPr>
            <w:t xml:space="preserve"> </w:t>
          </w:r>
        </w:p>
      </w:tc>
    </w:tr>
  </w:tbl>
  <w:p w14:paraId="5135105D" w14:textId="77777777" w:rsidR="00395234" w:rsidRDefault="0039523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DB877AE"/>
    <w:lvl w:ilvl="0">
      <w:start w:val="1"/>
      <w:numFmt w:val="bullet"/>
      <w:pStyle w:val="ListBullet"/>
      <w:lvlText w:val=""/>
      <w:lvlJc w:val="left"/>
      <w:pPr>
        <w:tabs>
          <w:tab w:val="num" w:pos="2381"/>
        </w:tabs>
        <w:ind w:left="2381" w:hanging="453"/>
      </w:pPr>
      <w:rPr>
        <w:rFonts w:ascii="Symbol" w:hAnsi="Symbol" w:hint="default"/>
      </w:rPr>
    </w:lvl>
  </w:abstractNum>
  <w:abstractNum w:abstractNumId="1">
    <w:nsid w:val="00741EC9"/>
    <w:multiLevelType w:val="hybridMultilevel"/>
    <w:tmpl w:val="9BDCE5B8"/>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
    <w:nsid w:val="015B2E88"/>
    <w:multiLevelType w:val="hybridMultilevel"/>
    <w:tmpl w:val="ECC0001E"/>
    <w:lvl w:ilvl="0" w:tplc="C7360B8A">
      <w:start w:val="1"/>
      <w:numFmt w:val="decimal"/>
      <w:lvlText w:val="(%1)"/>
      <w:lvlJc w:val="left"/>
      <w:pPr>
        <w:ind w:left="720" w:hanging="360"/>
      </w:pPr>
      <w:rPr>
        <w:rFonts w:ascii="Tahoma" w:eastAsia="Times New Roman"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06073C"/>
    <w:multiLevelType w:val="hybridMultilevel"/>
    <w:tmpl w:val="69D0E53E"/>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4">
    <w:nsid w:val="05466EE7"/>
    <w:multiLevelType w:val="multilevel"/>
    <w:tmpl w:val="A2A2AE18"/>
    <w:styleLink w:val="List0"/>
    <w:lvl w:ilvl="0">
      <w:numFmt w:val="bullet"/>
      <w:lvlText w:val="•"/>
      <w:lvlJc w:val="left"/>
      <w:rPr>
        <w:i/>
        <w:iCs/>
        <w:position w:val="-2"/>
      </w:rPr>
    </w:lvl>
    <w:lvl w:ilvl="1">
      <w:start w:val="1"/>
      <w:numFmt w:val="bullet"/>
      <w:lvlText w:val="•"/>
      <w:lvlJc w:val="left"/>
      <w:rPr>
        <w:i/>
        <w:iCs/>
        <w:position w:val="-2"/>
      </w:rPr>
    </w:lvl>
    <w:lvl w:ilvl="2">
      <w:start w:val="1"/>
      <w:numFmt w:val="bullet"/>
      <w:lvlText w:val="•"/>
      <w:lvlJc w:val="left"/>
      <w:rPr>
        <w:i/>
        <w:iCs/>
        <w:position w:val="-2"/>
      </w:rPr>
    </w:lvl>
    <w:lvl w:ilvl="3">
      <w:start w:val="1"/>
      <w:numFmt w:val="bullet"/>
      <w:lvlText w:val="•"/>
      <w:lvlJc w:val="left"/>
      <w:rPr>
        <w:i/>
        <w:iCs/>
        <w:position w:val="-2"/>
      </w:rPr>
    </w:lvl>
    <w:lvl w:ilvl="4">
      <w:start w:val="1"/>
      <w:numFmt w:val="bullet"/>
      <w:lvlText w:val="•"/>
      <w:lvlJc w:val="left"/>
      <w:rPr>
        <w:i/>
        <w:iCs/>
        <w:position w:val="-2"/>
      </w:rPr>
    </w:lvl>
    <w:lvl w:ilvl="5">
      <w:start w:val="1"/>
      <w:numFmt w:val="bullet"/>
      <w:lvlText w:val="•"/>
      <w:lvlJc w:val="left"/>
      <w:rPr>
        <w:i/>
        <w:iCs/>
        <w:position w:val="-2"/>
      </w:rPr>
    </w:lvl>
    <w:lvl w:ilvl="6">
      <w:start w:val="1"/>
      <w:numFmt w:val="bullet"/>
      <w:lvlText w:val="•"/>
      <w:lvlJc w:val="left"/>
      <w:rPr>
        <w:i/>
        <w:iCs/>
        <w:position w:val="-2"/>
      </w:rPr>
    </w:lvl>
    <w:lvl w:ilvl="7">
      <w:start w:val="1"/>
      <w:numFmt w:val="bullet"/>
      <w:lvlText w:val="•"/>
      <w:lvlJc w:val="left"/>
      <w:rPr>
        <w:i/>
        <w:iCs/>
        <w:position w:val="-2"/>
      </w:rPr>
    </w:lvl>
    <w:lvl w:ilvl="8">
      <w:start w:val="1"/>
      <w:numFmt w:val="bullet"/>
      <w:lvlText w:val="•"/>
      <w:lvlJc w:val="left"/>
      <w:rPr>
        <w:i/>
        <w:iCs/>
        <w:position w:val="-2"/>
      </w:rPr>
    </w:lvl>
  </w:abstractNum>
  <w:abstractNum w:abstractNumId="5">
    <w:nsid w:val="08A41A53"/>
    <w:multiLevelType w:val="hybridMultilevel"/>
    <w:tmpl w:val="15FE304E"/>
    <w:lvl w:ilvl="0" w:tplc="80D633E6">
      <w:start w:val="1"/>
      <w:numFmt w:val="decimal"/>
      <w:lvlText w:val="%1."/>
      <w:lvlJc w:val="left"/>
      <w:pPr>
        <w:ind w:left="2081" w:hanging="360"/>
      </w:pPr>
      <w:rPr>
        <w:rFonts w:hint="default"/>
        <w:color w:val="095AA6"/>
      </w:rPr>
    </w:lvl>
    <w:lvl w:ilvl="1" w:tplc="08090019" w:tentative="1">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6">
    <w:nsid w:val="0AE92DF6"/>
    <w:multiLevelType w:val="hybridMultilevel"/>
    <w:tmpl w:val="04B83FF8"/>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7">
    <w:nsid w:val="0E144EBE"/>
    <w:multiLevelType w:val="hybridMultilevel"/>
    <w:tmpl w:val="05283DDA"/>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8">
    <w:nsid w:val="12615832"/>
    <w:multiLevelType w:val="hybridMultilevel"/>
    <w:tmpl w:val="6BC6E63E"/>
    <w:lvl w:ilvl="0" w:tplc="80D633E6">
      <w:start w:val="1"/>
      <w:numFmt w:val="decimal"/>
      <w:lvlText w:val="%1."/>
      <w:lvlJc w:val="left"/>
      <w:pPr>
        <w:tabs>
          <w:tab w:val="num" w:pos="2441"/>
        </w:tabs>
        <w:ind w:left="2441" w:hanging="360"/>
      </w:pPr>
      <w:rPr>
        <w:rFonts w:hint="default"/>
        <w:color w:val="095AA6"/>
      </w:rPr>
    </w:lvl>
    <w:lvl w:ilvl="1" w:tplc="08090003" w:tentative="1">
      <w:start w:val="1"/>
      <w:numFmt w:val="bullet"/>
      <w:lvlText w:val="o"/>
      <w:lvlJc w:val="left"/>
      <w:pPr>
        <w:ind w:left="3161" w:hanging="360"/>
      </w:pPr>
      <w:rPr>
        <w:rFonts w:ascii="Courier New" w:hAnsi="Courier New" w:cs="Courier New" w:hint="default"/>
      </w:rPr>
    </w:lvl>
    <w:lvl w:ilvl="2" w:tplc="08090005" w:tentative="1">
      <w:start w:val="1"/>
      <w:numFmt w:val="bullet"/>
      <w:lvlText w:val=""/>
      <w:lvlJc w:val="left"/>
      <w:pPr>
        <w:ind w:left="3881" w:hanging="360"/>
      </w:pPr>
      <w:rPr>
        <w:rFonts w:ascii="Wingdings" w:hAnsi="Wingdings" w:hint="default"/>
      </w:rPr>
    </w:lvl>
    <w:lvl w:ilvl="3" w:tplc="08090001" w:tentative="1">
      <w:start w:val="1"/>
      <w:numFmt w:val="bullet"/>
      <w:lvlText w:val=""/>
      <w:lvlJc w:val="left"/>
      <w:pPr>
        <w:ind w:left="4601" w:hanging="360"/>
      </w:pPr>
      <w:rPr>
        <w:rFonts w:ascii="Symbol" w:hAnsi="Symbol" w:hint="default"/>
      </w:rPr>
    </w:lvl>
    <w:lvl w:ilvl="4" w:tplc="08090003" w:tentative="1">
      <w:start w:val="1"/>
      <w:numFmt w:val="bullet"/>
      <w:lvlText w:val="o"/>
      <w:lvlJc w:val="left"/>
      <w:pPr>
        <w:ind w:left="5321" w:hanging="360"/>
      </w:pPr>
      <w:rPr>
        <w:rFonts w:ascii="Courier New" w:hAnsi="Courier New" w:cs="Courier New" w:hint="default"/>
      </w:rPr>
    </w:lvl>
    <w:lvl w:ilvl="5" w:tplc="08090005" w:tentative="1">
      <w:start w:val="1"/>
      <w:numFmt w:val="bullet"/>
      <w:lvlText w:val=""/>
      <w:lvlJc w:val="left"/>
      <w:pPr>
        <w:ind w:left="6041" w:hanging="360"/>
      </w:pPr>
      <w:rPr>
        <w:rFonts w:ascii="Wingdings" w:hAnsi="Wingdings" w:hint="default"/>
      </w:rPr>
    </w:lvl>
    <w:lvl w:ilvl="6" w:tplc="08090001" w:tentative="1">
      <w:start w:val="1"/>
      <w:numFmt w:val="bullet"/>
      <w:lvlText w:val=""/>
      <w:lvlJc w:val="left"/>
      <w:pPr>
        <w:ind w:left="6761" w:hanging="360"/>
      </w:pPr>
      <w:rPr>
        <w:rFonts w:ascii="Symbol" w:hAnsi="Symbol" w:hint="default"/>
      </w:rPr>
    </w:lvl>
    <w:lvl w:ilvl="7" w:tplc="08090003" w:tentative="1">
      <w:start w:val="1"/>
      <w:numFmt w:val="bullet"/>
      <w:lvlText w:val="o"/>
      <w:lvlJc w:val="left"/>
      <w:pPr>
        <w:ind w:left="7481" w:hanging="360"/>
      </w:pPr>
      <w:rPr>
        <w:rFonts w:ascii="Courier New" w:hAnsi="Courier New" w:cs="Courier New" w:hint="default"/>
      </w:rPr>
    </w:lvl>
    <w:lvl w:ilvl="8" w:tplc="08090005" w:tentative="1">
      <w:start w:val="1"/>
      <w:numFmt w:val="bullet"/>
      <w:lvlText w:val=""/>
      <w:lvlJc w:val="left"/>
      <w:pPr>
        <w:ind w:left="8201" w:hanging="360"/>
      </w:pPr>
      <w:rPr>
        <w:rFonts w:ascii="Wingdings" w:hAnsi="Wingdings" w:hint="default"/>
      </w:rPr>
    </w:lvl>
  </w:abstractNum>
  <w:abstractNum w:abstractNumId="9">
    <w:nsid w:val="1529739F"/>
    <w:multiLevelType w:val="hybridMultilevel"/>
    <w:tmpl w:val="5394C8F4"/>
    <w:lvl w:ilvl="0" w:tplc="E52432F2">
      <w:start w:val="1"/>
      <w:numFmt w:val="bullet"/>
      <w:pStyle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0">
    <w:nsid w:val="15A464DF"/>
    <w:multiLevelType w:val="hybridMultilevel"/>
    <w:tmpl w:val="63DE9052"/>
    <w:lvl w:ilvl="0" w:tplc="6718A346">
      <w:start w:val="1"/>
      <w:numFmt w:val="decimal"/>
      <w:pStyle w:val="Tablecaption"/>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DF0E9E"/>
    <w:multiLevelType w:val="hybridMultilevel"/>
    <w:tmpl w:val="8BDE652A"/>
    <w:lvl w:ilvl="0" w:tplc="A9F6DDE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7931B51"/>
    <w:multiLevelType w:val="hybridMultilevel"/>
    <w:tmpl w:val="AEA6A246"/>
    <w:lvl w:ilvl="0" w:tplc="5B5A203A">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A4E5D32"/>
    <w:multiLevelType w:val="hybridMultilevel"/>
    <w:tmpl w:val="3500BE1C"/>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4">
    <w:nsid w:val="1C29749F"/>
    <w:multiLevelType w:val="hybridMultilevel"/>
    <w:tmpl w:val="7DB4C448"/>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5">
    <w:nsid w:val="1E8E6B4E"/>
    <w:multiLevelType w:val="hybridMultilevel"/>
    <w:tmpl w:val="A7DE885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6">
    <w:nsid w:val="21003202"/>
    <w:multiLevelType w:val="hybridMultilevel"/>
    <w:tmpl w:val="897619B4"/>
    <w:lvl w:ilvl="0" w:tplc="1EE48F92">
      <w:start w:val="1"/>
      <w:numFmt w:val="decimal"/>
      <w:lvlText w:val="%1."/>
      <w:lvlJc w:val="left"/>
      <w:pPr>
        <w:tabs>
          <w:tab w:val="num" w:pos="2441"/>
        </w:tabs>
        <w:ind w:left="2441" w:hanging="360"/>
      </w:pPr>
      <w:rPr>
        <w:rFonts w:hint="default"/>
        <w:color w:val="095AA6"/>
      </w:rPr>
    </w:lvl>
    <w:lvl w:ilvl="1" w:tplc="08090003">
      <w:start w:val="1"/>
      <w:numFmt w:val="bullet"/>
      <w:lvlText w:val="o"/>
      <w:lvlJc w:val="left"/>
      <w:pPr>
        <w:ind w:left="3161" w:hanging="360"/>
      </w:pPr>
      <w:rPr>
        <w:rFonts w:ascii="Courier New" w:hAnsi="Courier New" w:cs="Courier New" w:hint="default"/>
      </w:rPr>
    </w:lvl>
    <w:lvl w:ilvl="2" w:tplc="08090005" w:tentative="1">
      <w:start w:val="1"/>
      <w:numFmt w:val="bullet"/>
      <w:lvlText w:val=""/>
      <w:lvlJc w:val="left"/>
      <w:pPr>
        <w:ind w:left="3881" w:hanging="360"/>
      </w:pPr>
      <w:rPr>
        <w:rFonts w:ascii="Wingdings" w:hAnsi="Wingdings" w:hint="default"/>
      </w:rPr>
    </w:lvl>
    <w:lvl w:ilvl="3" w:tplc="08090001" w:tentative="1">
      <w:start w:val="1"/>
      <w:numFmt w:val="bullet"/>
      <w:lvlText w:val=""/>
      <w:lvlJc w:val="left"/>
      <w:pPr>
        <w:ind w:left="4601" w:hanging="360"/>
      </w:pPr>
      <w:rPr>
        <w:rFonts w:ascii="Symbol" w:hAnsi="Symbol" w:hint="default"/>
      </w:rPr>
    </w:lvl>
    <w:lvl w:ilvl="4" w:tplc="08090003" w:tentative="1">
      <w:start w:val="1"/>
      <w:numFmt w:val="bullet"/>
      <w:lvlText w:val="o"/>
      <w:lvlJc w:val="left"/>
      <w:pPr>
        <w:ind w:left="5321" w:hanging="360"/>
      </w:pPr>
      <w:rPr>
        <w:rFonts w:ascii="Courier New" w:hAnsi="Courier New" w:cs="Courier New" w:hint="default"/>
      </w:rPr>
    </w:lvl>
    <w:lvl w:ilvl="5" w:tplc="08090005" w:tentative="1">
      <w:start w:val="1"/>
      <w:numFmt w:val="bullet"/>
      <w:lvlText w:val=""/>
      <w:lvlJc w:val="left"/>
      <w:pPr>
        <w:ind w:left="6041" w:hanging="360"/>
      </w:pPr>
      <w:rPr>
        <w:rFonts w:ascii="Wingdings" w:hAnsi="Wingdings" w:hint="default"/>
      </w:rPr>
    </w:lvl>
    <w:lvl w:ilvl="6" w:tplc="08090001" w:tentative="1">
      <w:start w:val="1"/>
      <w:numFmt w:val="bullet"/>
      <w:lvlText w:val=""/>
      <w:lvlJc w:val="left"/>
      <w:pPr>
        <w:ind w:left="6761" w:hanging="360"/>
      </w:pPr>
      <w:rPr>
        <w:rFonts w:ascii="Symbol" w:hAnsi="Symbol" w:hint="default"/>
      </w:rPr>
    </w:lvl>
    <w:lvl w:ilvl="7" w:tplc="08090003" w:tentative="1">
      <w:start w:val="1"/>
      <w:numFmt w:val="bullet"/>
      <w:lvlText w:val="o"/>
      <w:lvlJc w:val="left"/>
      <w:pPr>
        <w:ind w:left="7481" w:hanging="360"/>
      </w:pPr>
      <w:rPr>
        <w:rFonts w:ascii="Courier New" w:hAnsi="Courier New" w:cs="Courier New" w:hint="default"/>
      </w:rPr>
    </w:lvl>
    <w:lvl w:ilvl="8" w:tplc="08090005" w:tentative="1">
      <w:start w:val="1"/>
      <w:numFmt w:val="bullet"/>
      <w:lvlText w:val=""/>
      <w:lvlJc w:val="left"/>
      <w:pPr>
        <w:ind w:left="8201" w:hanging="360"/>
      </w:pPr>
      <w:rPr>
        <w:rFonts w:ascii="Wingdings" w:hAnsi="Wingdings" w:hint="default"/>
      </w:rPr>
    </w:lvl>
  </w:abstractNum>
  <w:abstractNum w:abstractNumId="17">
    <w:nsid w:val="21D76FF0"/>
    <w:multiLevelType w:val="hybridMultilevel"/>
    <w:tmpl w:val="27567A1E"/>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8">
    <w:nsid w:val="268F644F"/>
    <w:multiLevelType w:val="hybridMultilevel"/>
    <w:tmpl w:val="E536E87A"/>
    <w:lvl w:ilvl="0" w:tplc="80D633E6">
      <w:start w:val="1"/>
      <w:numFmt w:val="decimal"/>
      <w:lvlText w:val="%1."/>
      <w:lvlJc w:val="left"/>
      <w:pPr>
        <w:ind w:left="2081" w:hanging="360"/>
      </w:pPr>
      <w:rPr>
        <w:rFonts w:hint="default"/>
        <w:color w:val="095AA6"/>
      </w:rPr>
    </w:lvl>
    <w:lvl w:ilvl="1" w:tplc="08090019" w:tentative="1">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19">
    <w:nsid w:val="28494130"/>
    <w:multiLevelType w:val="hybridMultilevel"/>
    <w:tmpl w:val="25F2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770867"/>
    <w:multiLevelType w:val="hybridMultilevel"/>
    <w:tmpl w:val="9F805AA6"/>
    <w:lvl w:ilvl="0" w:tplc="0576EC82">
      <w:start w:val="1"/>
      <w:numFmt w:val="decimal"/>
      <w:pStyle w:val="NumberedList"/>
      <w:lvlText w:val="%1."/>
      <w:lvlJc w:val="left"/>
      <w:pPr>
        <w:ind w:left="2081" w:hanging="360"/>
      </w:pPr>
      <w:rPr>
        <w:rFonts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1">
    <w:nsid w:val="2F7253FD"/>
    <w:multiLevelType w:val="hybridMultilevel"/>
    <w:tmpl w:val="D2B6274C"/>
    <w:lvl w:ilvl="0" w:tplc="08090001">
      <w:start w:val="1"/>
      <w:numFmt w:val="bullet"/>
      <w:lvlText w:val=""/>
      <w:lvlJc w:val="left"/>
      <w:pPr>
        <w:tabs>
          <w:tab w:val="num" w:pos="2081"/>
        </w:tabs>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2">
    <w:nsid w:val="2FF80626"/>
    <w:multiLevelType w:val="hybridMultilevel"/>
    <w:tmpl w:val="3FEA488C"/>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3">
    <w:nsid w:val="30376681"/>
    <w:multiLevelType w:val="hybridMultilevel"/>
    <w:tmpl w:val="64442494"/>
    <w:lvl w:ilvl="0" w:tplc="2C9A6C84">
      <w:start w:val="1"/>
      <w:numFmt w:val="bullet"/>
      <w:lvlText w:val=""/>
      <w:lvlJc w:val="left"/>
      <w:pPr>
        <w:ind w:left="720" w:hanging="360"/>
      </w:pPr>
      <w:rPr>
        <w:rFonts w:ascii="Symbol" w:hAnsi="Symbol" w:hint="default"/>
        <w:color w:val="095A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03C1A17"/>
    <w:multiLevelType w:val="multilevel"/>
    <w:tmpl w:val="90DA6AA0"/>
    <w:lvl w:ilvl="0">
      <w:start w:val="1"/>
      <w:numFmt w:val="decimal"/>
      <w:pStyle w:val="Heading1Numbered"/>
      <w:suff w:val="space"/>
      <w:lvlText w:val="%1:"/>
      <w:lvlJc w:val="left"/>
      <w:pPr>
        <w:ind w:left="426" w:firstLine="0"/>
      </w:pPr>
      <w:rPr>
        <w:rFonts w:hint="default"/>
        <w:color w:val="673561"/>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1080"/>
        </w:tabs>
        <w:ind w:left="851" w:hanging="851"/>
      </w:pPr>
      <w:rPr>
        <w:rFonts w:hint="default"/>
      </w:rPr>
    </w:lvl>
    <w:lvl w:ilvl="3">
      <w:start w:val="1"/>
      <w:numFmt w:val="decimal"/>
      <w:pStyle w:val="Heading4Numbered"/>
      <w:lvlText w:val="%1.%2.%3.%4"/>
      <w:lvlJc w:val="left"/>
      <w:pPr>
        <w:tabs>
          <w:tab w:val="num" w:pos="1440"/>
        </w:tabs>
        <w:ind w:left="1440" w:hanging="1440"/>
      </w:pPr>
      <w:rPr>
        <w:rFonts w:hint="default"/>
      </w:rPr>
    </w:lvl>
    <w:lvl w:ilvl="4">
      <w:start w:val="1"/>
      <w:numFmt w:val="decimal"/>
      <w:pStyle w:val="Heading5Numbered"/>
      <w:lvlText w:val="%1.%2.%3.%4.%5"/>
      <w:lvlJc w:val="left"/>
      <w:pPr>
        <w:tabs>
          <w:tab w:val="num" w:pos="1800"/>
        </w:tabs>
        <w:ind w:left="1800" w:hanging="1800"/>
      </w:pPr>
      <w:rPr>
        <w:rFonts w:hint="default"/>
      </w:rPr>
    </w:lvl>
    <w:lvl w:ilvl="5">
      <w:start w:val="1"/>
      <w:numFmt w:val="decimal"/>
      <w:pStyle w:val="Heading6Numbered"/>
      <w:lvlText w:val="%1.%2.%3.%4.%5.%6"/>
      <w:lvlJc w:val="left"/>
      <w:pPr>
        <w:tabs>
          <w:tab w:val="num" w:pos="2160"/>
        </w:tabs>
        <w:ind w:left="2160" w:hanging="2160"/>
      </w:pPr>
      <w:rPr>
        <w:rFonts w:hint="default"/>
      </w:rPr>
    </w:lvl>
    <w:lvl w:ilvl="6">
      <w:start w:val="1"/>
      <w:numFmt w:val="decimal"/>
      <w:pStyle w:val="Heading7Numbered"/>
      <w:lvlText w:val="%1.%2.%3.%4.%5.%6.%7"/>
      <w:lvlJc w:val="left"/>
      <w:pPr>
        <w:tabs>
          <w:tab w:val="num" w:pos="2520"/>
        </w:tabs>
        <w:ind w:left="2520" w:hanging="2520"/>
      </w:pPr>
      <w:rPr>
        <w:rFonts w:hint="default"/>
      </w:rPr>
    </w:lvl>
    <w:lvl w:ilvl="7">
      <w:start w:val="1"/>
      <w:numFmt w:val="decimal"/>
      <w:pStyle w:val="Heading8Numbered"/>
      <w:lvlText w:val="%1.%2.%3.%4.%5.%6.%7.%8"/>
      <w:lvlJc w:val="left"/>
      <w:pPr>
        <w:tabs>
          <w:tab w:val="num" w:pos="2880"/>
        </w:tabs>
        <w:ind w:left="2880" w:hanging="2880"/>
      </w:pPr>
      <w:rPr>
        <w:rFonts w:hint="default"/>
      </w:rPr>
    </w:lvl>
    <w:lvl w:ilvl="8">
      <w:start w:val="1"/>
      <w:numFmt w:val="decimal"/>
      <w:pStyle w:val="Heading9Numbered"/>
      <w:lvlText w:val="%1.%2.%3.%4.%5.%6.%7.%8.%9"/>
      <w:lvlJc w:val="left"/>
      <w:pPr>
        <w:tabs>
          <w:tab w:val="num" w:pos="3240"/>
        </w:tabs>
        <w:ind w:left="3240" w:hanging="3240"/>
      </w:pPr>
      <w:rPr>
        <w:rFonts w:hint="default"/>
      </w:rPr>
    </w:lvl>
  </w:abstractNum>
  <w:abstractNum w:abstractNumId="25">
    <w:nsid w:val="30BE1D6C"/>
    <w:multiLevelType w:val="hybridMultilevel"/>
    <w:tmpl w:val="EE72225C"/>
    <w:lvl w:ilvl="0" w:tplc="80D633E6">
      <w:start w:val="1"/>
      <w:numFmt w:val="decimal"/>
      <w:lvlText w:val="%1."/>
      <w:lvlJc w:val="left"/>
      <w:pPr>
        <w:ind w:left="2081" w:hanging="360"/>
      </w:pPr>
      <w:rPr>
        <w:rFonts w:hint="default"/>
        <w:color w:val="095AA6"/>
      </w:rPr>
    </w:lvl>
    <w:lvl w:ilvl="1" w:tplc="08090019" w:tentative="1">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26">
    <w:nsid w:val="326A4D02"/>
    <w:multiLevelType w:val="hybridMultilevel"/>
    <w:tmpl w:val="02B4FEFA"/>
    <w:lvl w:ilvl="0" w:tplc="80D633E6">
      <w:start w:val="1"/>
      <w:numFmt w:val="decimal"/>
      <w:lvlText w:val="%1."/>
      <w:lvlJc w:val="left"/>
      <w:pPr>
        <w:ind w:left="2081" w:hanging="360"/>
      </w:pPr>
      <w:rPr>
        <w:rFonts w:hint="default"/>
        <w:color w:val="095AA6"/>
      </w:rPr>
    </w:lvl>
    <w:lvl w:ilvl="1" w:tplc="08090019" w:tentative="1">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27">
    <w:nsid w:val="33A92A36"/>
    <w:multiLevelType w:val="hybridMultilevel"/>
    <w:tmpl w:val="2AFA2022"/>
    <w:lvl w:ilvl="0" w:tplc="1A0A54D4">
      <w:start w:val="1"/>
      <w:numFmt w:val="bullet"/>
      <w:lvlText w:val="•"/>
      <w:lvlJc w:val="left"/>
      <w:pPr>
        <w:tabs>
          <w:tab w:val="num" w:pos="720"/>
        </w:tabs>
        <w:ind w:left="720" w:hanging="360"/>
      </w:pPr>
      <w:rPr>
        <w:rFonts w:ascii="Arial" w:hAnsi="Arial" w:hint="default"/>
      </w:rPr>
    </w:lvl>
    <w:lvl w:ilvl="1" w:tplc="C3D0A1F4">
      <w:numFmt w:val="bullet"/>
      <w:lvlText w:val="–"/>
      <w:lvlJc w:val="left"/>
      <w:pPr>
        <w:tabs>
          <w:tab w:val="num" w:pos="1440"/>
        </w:tabs>
        <w:ind w:left="1440" w:hanging="360"/>
      </w:pPr>
      <w:rPr>
        <w:rFonts w:ascii="Arial" w:hAnsi="Arial" w:hint="default"/>
      </w:rPr>
    </w:lvl>
    <w:lvl w:ilvl="2" w:tplc="8C0AF170" w:tentative="1">
      <w:start w:val="1"/>
      <w:numFmt w:val="bullet"/>
      <w:lvlText w:val="•"/>
      <w:lvlJc w:val="left"/>
      <w:pPr>
        <w:tabs>
          <w:tab w:val="num" w:pos="2160"/>
        </w:tabs>
        <w:ind w:left="2160" w:hanging="360"/>
      </w:pPr>
      <w:rPr>
        <w:rFonts w:ascii="Arial" w:hAnsi="Arial" w:hint="default"/>
      </w:rPr>
    </w:lvl>
    <w:lvl w:ilvl="3" w:tplc="E9B438CC" w:tentative="1">
      <w:start w:val="1"/>
      <w:numFmt w:val="bullet"/>
      <w:lvlText w:val="•"/>
      <w:lvlJc w:val="left"/>
      <w:pPr>
        <w:tabs>
          <w:tab w:val="num" w:pos="2880"/>
        </w:tabs>
        <w:ind w:left="2880" w:hanging="360"/>
      </w:pPr>
      <w:rPr>
        <w:rFonts w:ascii="Arial" w:hAnsi="Arial" w:hint="default"/>
      </w:rPr>
    </w:lvl>
    <w:lvl w:ilvl="4" w:tplc="7020EC24" w:tentative="1">
      <w:start w:val="1"/>
      <w:numFmt w:val="bullet"/>
      <w:lvlText w:val="•"/>
      <w:lvlJc w:val="left"/>
      <w:pPr>
        <w:tabs>
          <w:tab w:val="num" w:pos="3600"/>
        </w:tabs>
        <w:ind w:left="3600" w:hanging="360"/>
      </w:pPr>
      <w:rPr>
        <w:rFonts w:ascii="Arial" w:hAnsi="Arial" w:hint="default"/>
      </w:rPr>
    </w:lvl>
    <w:lvl w:ilvl="5" w:tplc="D15A23F0" w:tentative="1">
      <w:start w:val="1"/>
      <w:numFmt w:val="bullet"/>
      <w:lvlText w:val="•"/>
      <w:lvlJc w:val="left"/>
      <w:pPr>
        <w:tabs>
          <w:tab w:val="num" w:pos="4320"/>
        </w:tabs>
        <w:ind w:left="4320" w:hanging="360"/>
      </w:pPr>
      <w:rPr>
        <w:rFonts w:ascii="Arial" w:hAnsi="Arial" w:hint="default"/>
      </w:rPr>
    </w:lvl>
    <w:lvl w:ilvl="6" w:tplc="1FCE814C" w:tentative="1">
      <w:start w:val="1"/>
      <w:numFmt w:val="bullet"/>
      <w:lvlText w:val="•"/>
      <w:lvlJc w:val="left"/>
      <w:pPr>
        <w:tabs>
          <w:tab w:val="num" w:pos="5040"/>
        </w:tabs>
        <w:ind w:left="5040" w:hanging="360"/>
      </w:pPr>
      <w:rPr>
        <w:rFonts w:ascii="Arial" w:hAnsi="Arial" w:hint="default"/>
      </w:rPr>
    </w:lvl>
    <w:lvl w:ilvl="7" w:tplc="E4089BB4" w:tentative="1">
      <w:start w:val="1"/>
      <w:numFmt w:val="bullet"/>
      <w:lvlText w:val="•"/>
      <w:lvlJc w:val="left"/>
      <w:pPr>
        <w:tabs>
          <w:tab w:val="num" w:pos="5760"/>
        </w:tabs>
        <w:ind w:left="5760" w:hanging="360"/>
      </w:pPr>
      <w:rPr>
        <w:rFonts w:ascii="Arial" w:hAnsi="Arial" w:hint="default"/>
      </w:rPr>
    </w:lvl>
    <w:lvl w:ilvl="8" w:tplc="B86C7876" w:tentative="1">
      <w:start w:val="1"/>
      <w:numFmt w:val="bullet"/>
      <w:lvlText w:val="•"/>
      <w:lvlJc w:val="left"/>
      <w:pPr>
        <w:tabs>
          <w:tab w:val="num" w:pos="6480"/>
        </w:tabs>
        <w:ind w:left="6480" w:hanging="360"/>
      </w:pPr>
      <w:rPr>
        <w:rFonts w:ascii="Arial" w:hAnsi="Arial" w:hint="default"/>
      </w:rPr>
    </w:lvl>
  </w:abstractNum>
  <w:abstractNum w:abstractNumId="28">
    <w:nsid w:val="3B04515C"/>
    <w:multiLevelType w:val="hybridMultilevel"/>
    <w:tmpl w:val="1180C4C0"/>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9">
    <w:nsid w:val="406A56BE"/>
    <w:multiLevelType w:val="hybridMultilevel"/>
    <w:tmpl w:val="F302578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0">
    <w:nsid w:val="412D2185"/>
    <w:multiLevelType w:val="multilevel"/>
    <w:tmpl w:val="7D9C340A"/>
    <w:lvl w:ilvl="0">
      <w:start w:val="1"/>
      <w:numFmt w:val="decimal"/>
      <w:lvlText w:val="%1."/>
      <w:lvlJc w:val="left"/>
      <w:pPr>
        <w:ind w:left="2081" w:hanging="360"/>
      </w:pPr>
      <w:rPr>
        <w:rFonts w:hint="default"/>
        <w:color w:val="095AA6"/>
      </w:rPr>
    </w:lvl>
    <w:lvl w:ilvl="1">
      <w:start w:val="1"/>
      <w:numFmt w:val="decimal"/>
      <w:isLgl/>
      <w:lvlText w:val="%1.%2"/>
      <w:lvlJc w:val="left"/>
      <w:pPr>
        <w:ind w:left="2081" w:hanging="360"/>
      </w:pPr>
      <w:rPr>
        <w:rFonts w:hint="default"/>
        <w:b/>
      </w:rPr>
    </w:lvl>
    <w:lvl w:ilvl="2">
      <w:start w:val="1"/>
      <w:numFmt w:val="decimal"/>
      <w:isLgl/>
      <w:lvlText w:val="%1.%2.%3"/>
      <w:lvlJc w:val="left"/>
      <w:pPr>
        <w:ind w:left="2441" w:hanging="720"/>
      </w:pPr>
      <w:rPr>
        <w:rFonts w:hint="default"/>
        <w:b/>
      </w:rPr>
    </w:lvl>
    <w:lvl w:ilvl="3">
      <w:start w:val="1"/>
      <w:numFmt w:val="decimal"/>
      <w:isLgl/>
      <w:lvlText w:val="%1.%2.%3.%4"/>
      <w:lvlJc w:val="left"/>
      <w:pPr>
        <w:ind w:left="2441" w:hanging="720"/>
      </w:pPr>
      <w:rPr>
        <w:rFonts w:hint="default"/>
        <w:b/>
      </w:rPr>
    </w:lvl>
    <w:lvl w:ilvl="4">
      <w:start w:val="1"/>
      <w:numFmt w:val="decimal"/>
      <w:isLgl/>
      <w:lvlText w:val="%1.%2.%3.%4.%5"/>
      <w:lvlJc w:val="left"/>
      <w:pPr>
        <w:ind w:left="2801" w:hanging="1080"/>
      </w:pPr>
      <w:rPr>
        <w:rFonts w:hint="default"/>
        <w:b/>
      </w:rPr>
    </w:lvl>
    <w:lvl w:ilvl="5">
      <w:start w:val="1"/>
      <w:numFmt w:val="decimal"/>
      <w:isLgl/>
      <w:lvlText w:val="%1.%2.%3.%4.%5.%6"/>
      <w:lvlJc w:val="left"/>
      <w:pPr>
        <w:ind w:left="2801" w:hanging="1080"/>
      </w:pPr>
      <w:rPr>
        <w:rFonts w:hint="default"/>
        <w:b/>
      </w:rPr>
    </w:lvl>
    <w:lvl w:ilvl="6">
      <w:start w:val="1"/>
      <w:numFmt w:val="decimal"/>
      <w:isLgl/>
      <w:lvlText w:val="%1.%2.%3.%4.%5.%6.%7"/>
      <w:lvlJc w:val="left"/>
      <w:pPr>
        <w:ind w:left="3161" w:hanging="1440"/>
      </w:pPr>
      <w:rPr>
        <w:rFonts w:hint="default"/>
        <w:b/>
      </w:rPr>
    </w:lvl>
    <w:lvl w:ilvl="7">
      <w:start w:val="1"/>
      <w:numFmt w:val="decimal"/>
      <w:isLgl/>
      <w:lvlText w:val="%1.%2.%3.%4.%5.%6.%7.%8"/>
      <w:lvlJc w:val="left"/>
      <w:pPr>
        <w:ind w:left="3161" w:hanging="1440"/>
      </w:pPr>
      <w:rPr>
        <w:rFonts w:hint="default"/>
        <w:b/>
      </w:rPr>
    </w:lvl>
    <w:lvl w:ilvl="8">
      <w:start w:val="1"/>
      <w:numFmt w:val="decimal"/>
      <w:isLgl/>
      <w:lvlText w:val="%1.%2.%3.%4.%5.%6.%7.%8.%9"/>
      <w:lvlJc w:val="left"/>
      <w:pPr>
        <w:ind w:left="3521" w:hanging="1800"/>
      </w:pPr>
      <w:rPr>
        <w:rFonts w:hint="default"/>
        <w:b/>
      </w:rPr>
    </w:lvl>
  </w:abstractNum>
  <w:abstractNum w:abstractNumId="31">
    <w:nsid w:val="41ED6A39"/>
    <w:multiLevelType w:val="hybridMultilevel"/>
    <w:tmpl w:val="B614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56E58BC"/>
    <w:multiLevelType w:val="hybridMultilevel"/>
    <w:tmpl w:val="E148349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3">
    <w:nsid w:val="487E42DA"/>
    <w:multiLevelType w:val="hybridMultilevel"/>
    <w:tmpl w:val="C7B629C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4">
    <w:nsid w:val="49004D91"/>
    <w:multiLevelType w:val="multilevel"/>
    <w:tmpl w:val="97648698"/>
    <w:lvl w:ilvl="0">
      <w:start w:val="1"/>
      <w:numFmt w:val="decimal"/>
      <w:pStyle w:val="Siheading"/>
      <w:lvlText w:val="%1."/>
      <w:lvlJc w:val="left"/>
      <w:pPr>
        <w:tabs>
          <w:tab w:val="num" w:pos="0"/>
        </w:tabs>
        <w:ind w:left="0" w:hanging="902"/>
      </w:pPr>
      <w:rPr>
        <w:rFonts w:hint="default"/>
        <w:color w:val="026288"/>
      </w:rPr>
    </w:lvl>
    <w:lvl w:ilvl="1">
      <w:start w:val="1"/>
      <w:numFmt w:val="none"/>
      <w:pStyle w:val="Sisubheading"/>
      <w:lvlText w:val=""/>
      <w:lvlJc w:val="left"/>
      <w:pPr>
        <w:tabs>
          <w:tab w:val="num" w:pos="0"/>
        </w:tabs>
        <w:ind w:left="0" w:hanging="902"/>
      </w:pPr>
      <w:rPr>
        <w:rFonts w:hint="default"/>
      </w:rPr>
    </w:lvl>
    <w:lvl w:ilvl="2">
      <w:start w:val="1"/>
      <w:numFmt w:val="none"/>
      <w:pStyle w:val="Sisubheading2"/>
      <w:lvlText w:val=""/>
      <w:lvlJc w:val="left"/>
      <w:pPr>
        <w:tabs>
          <w:tab w:val="num" w:pos="0"/>
        </w:tabs>
        <w:ind w:left="0" w:hanging="902"/>
      </w:pPr>
      <w:rPr>
        <w:rFonts w:ascii="Verdana" w:hAnsi="Verdana" w:hint="default"/>
        <w:sz w:val="22"/>
        <w:szCs w:val="22"/>
      </w:rPr>
    </w:lvl>
    <w:lvl w:ilvl="3">
      <w:start w:val="1"/>
      <w:numFmt w:val="decimal"/>
      <w:lvlRestart w:val="1"/>
      <w:pStyle w:val="Sibody"/>
      <w:lvlText w:val="%1.%4."/>
      <w:lvlJc w:val="left"/>
      <w:pPr>
        <w:tabs>
          <w:tab w:val="num" w:pos="902"/>
        </w:tabs>
        <w:ind w:left="902" w:hanging="902"/>
      </w:pPr>
      <w:rPr>
        <w:rFonts w:hint="default"/>
        <w:color w:val="80808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4AB958D3"/>
    <w:multiLevelType w:val="hybridMultilevel"/>
    <w:tmpl w:val="C9788BCA"/>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6">
    <w:nsid w:val="4C923B69"/>
    <w:multiLevelType w:val="hybridMultilevel"/>
    <w:tmpl w:val="DCB8003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7">
    <w:nsid w:val="4FED0356"/>
    <w:multiLevelType w:val="hybridMultilevel"/>
    <w:tmpl w:val="33522822"/>
    <w:lvl w:ilvl="0" w:tplc="08090001">
      <w:start w:val="1"/>
      <w:numFmt w:val="bullet"/>
      <w:lvlText w:val=""/>
      <w:lvlJc w:val="left"/>
      <w:pPr>
        <w:ind w:left="2081" w:hanging="360"/>
      </w:pPr>
      <w:rPr>
        <w:rFonts w:ascii="Symbol" w:hAnsi="Symbol" w:hint="default"/>
      </w:rPr>
    </w:lvl>
    <w:lvl w:ilvl="1" w:tplc="08090003">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8">
    <w:nsid w:val="52834561"/>
    <w:multiLevelType w:val="hybridMultilevel"/>
    <w:tmpl w:val="9F502D12"/>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9">
    <w:nsid w:val="5463319F"/>
    <w:multiLevelType w:val="hybridMultilevel"/>
    <w:tmpl w:val="DB62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69E4000"/>
    <w:multiLevelType w:val="hybridMultilevel"/>
    <w:tmpl w:val="1EFC2F64"/>
    <w:lvl w:ilvl="0" w:tplc="08090001">
      <w:start w:val="1"/>
      <w:numFmt w:val="bullet"/>
      <w:lvlText w:val=""/>
      <w:lvlJc w:val="left"/>
      <w:pPr>
        <w:tabs>
          <w:tab w:val="num" w:pos="2081"/>
        </w:tabs>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41">
    <w:nsid w:val="56F82E84"/>
    <w:multiLevelType w:val="hybridMultilevel"/>
    <w:tmpl w:val="6106B5A8"/>
    <w:lvl w:ilvl="0" w:tplc="80D633E6">
      <w:start w:val="1"/>
      <w:numFmt w:val="decimal"/>
      <w:lvlText w:val="%1."/>
      <w:lvlJc w:val="left"/>
      <w:pPr>
        <w:ind w:left="2081" w:hanging="360"/>
      </w:pPr>
      <w:rPr>
        <w:rFonts w:hint="default"/>
        <w:color w:val="095AA6"/>
      </w:rPr>
    </w:lvl>
    <w:lvl w:ilvl="1" w:tplc="08090019" w:tentative="1">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42">
    <w:nsid w:val="585C1A14"/>
    <w:multiLevelType w:val="hybridMultilevel"/>
    <w:tmpl w:val="61B2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B422B03"/>
    <w:multiLevelType w:val="hybridMultilevel"/>
    <w:tmpl w:val="8542B89E"/>
    <w:lvl w:ilvl="0" w:tplc="08090001">
      <w:start w:val="1"/>
      <w:numFmt w:val="bullet"/>
      <w:lvlText w:val=""/>
      <w:lvlJc w:val="left"/>
      <w:pPr>
        <w:ind w:left="1721" w:hanging="360"/>
      </w:pPr>
      <w:rPr>
        <w:rFonts w:ascii="Symbol" w:hAnsi="Symbol" w:hint="default"/>
      </w:rPr>
    </w:lvl>
    <w:lvl w:ilvl="1" w:tplc="08090003" w:tentative="1">
      <w:start w:val="1"/>
      <w:numFmt w:val="bullet"/>
      <w:lvlText w:val="o"/>
      <w:lvlJc w:val="left"/>
      <w:pPr>
        <w:ind w:left="2441" w:hanging="360"/>
      </w:pPr>
      <w:rPr>
        <w:rFonts w:ascii="Courier New" w:hAnsi="Courier New" w:cs="Courier New" w:hint="default"/>
      </w:rPr>
    </w:lvl>
    <w:lvl w:ilvl="2" w:tplc="08090005" w:tentative="1">
      <w:start w:val="1"/>
      <w:numFmt w:val="bullet"/>
      <w:lvlText w:val=""/>
      <w:lvlJc w:val="left"/>
      <w:pPr>
        <w:ind w:left="3161" w:hanging="360"/>
      </w:pPr>
      <w:rPr>
        <w:rFonts w:ascii="Wingdings" w:hAnsi="Wingdings" w:hint="default"/>
      </w:rPr>
    </w:lvl>
    <w:lvl w:ilvl="3" w:tplc="08090001" w:tentative="1">
      <w:start w:val="1"/>
      <w:numFmt w:val="bullet"/>
      <w:lvlText w:val=""/>
      <w:lvlJc w:val="left"/>
      <w:pPr>
        <w:ind w:left="3881" w:hanging="360"/>
      </w:pPr>
      <w:rPr>
        <w:rFonts w:ascii="Symbol" w:hAnsi="Symbol" w:hint="default"/>
      </w:rPr>
    </w:lvl>
    <w:lvl w:ilvl="4" w:tplc="08090003" w:tentative="1">
      <w:start w:val="1"/>
      <w:numFmt w:val="bullet"/>
      <w:lvlText w:val="o"/>
      <w:lvlJc w:val="left"/>
      <w:pPr>
        <w:ind w:left="4601" w:hanging="360"/>
      </w:pPr>
      <w:rPr>
        <w:rFonts w:ascii="Courier New" w:hAnsi="Courier New" w:cs="Courier New" w:hint="default"/>
      </w:rPr>
    </w:lvl>
    <w:lvl w:ilvl="5" w:tplc="08090005" w:tentative="1">
      <w:start w:val="1"/>
      <w:numFmt w:val="bullet"/>
      <w:lvlText w:val=""/>
      <w:lvlJc w:val="left"/>
      <w:pPr>
        <w:ind w:left="5321" w:hanging="360"/>
      </w:pPr>
      <w:rPr>
        <w:rFonts w:ascii="Wingdings" w:hAnsi="Wingdings" w:hint="default"/>
      </w:rPr>
    </w:lvl>
    <w:lvl w:ilvl="6" w:tplc="08090001" w:tentative="1">
      <w:start w:val="1"/>
      <w:numFmt w:val="bullet"/>
      <w:lvlText w:val=""/>
      <w:lvlJc w:val="left"/>
      <w:pPr>
        <w:ind w:left="6041" w:hanging="360"/>
      </w:pPr>
      <w:rPr>
        <w:rFonts w:ascii="Symbol" w:hAnsi="Symbol" w:hint="default"/>
      </w:rPr>
    </w:lvl>
    <w:lvl w:ilvl="7" w:tplc="08090003" w:tentative="1">
      <w:start w:val="1"/>
      <w:numFmt w:val="bullet"/>
      <w:lvlText w:val="o"/>
      <w:lvlJc w:val="left"/>
      <w:pPr>
        <w:ind w:left="6761" w:hanging="360"/>
      </w:pPr>
      <w:rPr>
        <w:rFonts w:ascii="Courier New" w:hAnsi="Courier New" w:cs="Courier New" w:hint="default"/>
      </w:rPr>
    </w:lvl>
    <w:lvl w:ilvl="8" w:tplc="08090005" w:tentative="1">
      <w:start w:val="1"/>
      <w:numFmt w:val="bullet"/>
      <w:lvlText w:val=""/>
      <w:lvlJc w:val="left"/>
      <w:pPr>
        <w:ind w:left="7481" w:hanging="360"/>
      </w:pPr>
      <w:rPr>
        <w:rFonts w:ascii="Wingdings" w:hAnsi="Wingdings" w:hint="default"/>
      </w:rPr>
    </w:lvl>
  </w:abstractNum>
  <w:abstractNum w:abstractNumId="44">
    <w:nsid w:val="5B905C9F"/>
    <w:multiLevelType w:val="hybridMultilevel"/>
    <w:tmpl w:val="3642110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45">
    <w:nsid w:val="5F807110"/>
    <w:multiLevelType w:val="multilevel"/>
    <w:tmpl w:val="82D6F4B0"/>
    <w:styleLink w:val="Style1"/>
    <w:lvl w:ilvl="0">
      <w:start w:val="1"/>
      <w:numFmt w:val="decimal"/>
      <w:suff w:val="space"/>
      <w:lvlText w:val="%1:"/>
      <w:lvlJc w:val="left"/>
      <w:pPr>
        <w:ind w:left="0" w:firstLine="0"/>
      </w:pPr>
      <w:rPr>
        <w:rFonts w:hint="default"/>
        <w:color w:val="auto"/>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080"/>
        </w:tabs>
        <w:ind w:left="851" w:hanging="851"/>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46">
    <w:nsid w:val="625D53E4"/>
    <w:multiLevelType w:val="hybridMultilevel"/>
    <w:tmpl w:val="DDBE7332"/>
    <w:lvl w:ilvl="0" w:tplc="08090001">
      <w:start w:val="1"/>
      <w:numFmt w:val="bullet"/>
      <w:lvlText w:val=""/>
      <w:lvlJc w:val="left"/>
      <w:pPr>
        <w:ind w:left="2081" w:hanging="360"/>
      </w:pPr>
      <w:rPr>
        <w:rFonts w:ascii="Symbol" w:hAnsi="Symbol" w:hint="default"/>
      </w:rPr>
    </w:lvl>
    <w:lvl w:ilvl="1" w:tplc="08090003">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47">
    <w:nsid w:val="645F6890"/>
    <w:multiLevelType w:val="hybridMultilevel"/>
    <w:tmpl w:val="6770CA0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48">
    <w:nsid w:val="64B836B8"/>
    <w:multiLevelType w:val="multilevel"/>
    <w:tmpl w:val="C672BA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655C521E"/>
    <w:multiLevelType w:val="hybridMultilevel"/>
    <w:tmpl w:val="248EDAA6"/>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50">
    <w:nsid w:val="6A4D698E"/>
    <w:multiLevelType w:val="multilevel"/>
    <w:tmpl w:val="B01A4A42"/>
    <w:name w:val="Numbered Headings"/>
    <w:lvl w:ilvl="0">
      <w:start w:val="1"/>
      <w:numFmt w:val="upperLetter"/>
      <w:pStyle w:val="Heading1Appendix"/>
      <w:suff w:val="space"/>
      <w:lvlText w:val="Appendix %1:"/>
      <w:lvlJc w:val="left"/>
      <w:pPr>
        <w:ind w:left="0" w:firstLine="0"/>
      </w:pPr>
      <w:rPr>
        <w:rFonts w:hint="default"/>
      </w:rPr>
    </w:lvl>
    <w:lvl w:ilvl="1">
      <w:start w:val="1"/>
      <w:numFmt w:val="decimal"/>
      <w:pStyle w:val="Heading2Appendix"/>
      <w:lvlText w:val="%1.%2"/>
      <w:lvlJc w:val="left"/>
      <w:pPr>
        <w:tabs>
          <w:tab w:val="num" w:pos="851"/>
        </w:tabs>
        <w:ind w:left="851" w:hanging="851"/>
      </w:pPr>
      <w:rPr>
        <w:rFonts w:hint="default"/>
      </w:rPr>
    </w:lvl>
    <w:lvl w:ilvl="2">
      <w:start w:val="1"/>
      <w:numFmt w:val="decimal"/>
      <w:pStyle w:val="Heading3Appendix"/>
      <w:lvlText w:val="%1.%2.%3"/>
      <w:lvlJc w:val="left"/>
      <w:pPr>
        <w:tabs>
          <w:tab w:val="num" w:pos="1080"/>
        </w:tabs>
        <w:ind w:left="851" w:hanging="851"/>
      </w:pPr>
      <w:rPr>
        <w:rFonts w:hint="default"/>
      </w:rPr>
    </w:lvl>
    <w:lvl w:ilvl="3">
      <w:start w:val="1"/>
      <w:numFmt w:val="decimal"/>
      <w:pStyle w:val="Heading4Appendix"/>
      <w:lvlText w:val="%1.%2.%3.%4"/>
      <w:lvlJc w:val="left"/>
      <w:pPr>
        <w:tabs>
          <w:tab w:val="num" w:pos="2291"/>
        </w:tabs>
        <w:ind w:left="1440" w:hanging="1440"/>
      </w:pPr>
      <w:rPr>
        <w:rFonts w:hint="default"/>
      </w:rPr>
    </w:lvl>
    <w:lvl w:ilvl="4">
      <w:start w:val="1"/>
      <w:numFmt w:val="decimal"/>
      <w:pStyle w:val="Heading5Appendix"/>
      <w:lvlText w:val="%1.%2.%3.%4.%5"/>
      <w:lvlJc w:val="left"/>
      <w:pPr>
        <w:tabs>
          <w:tab w:val="num" w:pos="2651"/>
        </w:tabs>
        <w:ind w:left="1800" w:hanging="1800"/>
      </w:pPr>
      <w:rPr>
        <w:rFonts w:hint="default"/>
      </w:rPr>
    </w:lvl>
    <w:lvl w:ilvl="5">
      <w:start w:val="1"/>
      <w:numFmt w:val="decimal"/>
      <w:pStyle w:val="Heading6Appendix"/>
      <w:lvlText w:val="%1.%2.%3.%4.%5.%6"/>
      <w:lvlJc w:val="left"/>
      <w:pPr>
        <w:tabs>
          <w:tab w:val="num" w:pos="3011"/>
        </w:tabs>
        <w:ind w:left="2160" w:hanging="2160"/>
      </w:pPr>
      <w:rPr>
        <w:rFonts w:hint="default"/>
      </w:rPr>
    </w:lvl>
    <w:lvl w:ilvl="6">
      <w:start w:val="1"/>
      <w:numFmt w:val="decimal"/>
      <w:pStyle w:val="Heading7Appendix"/>
      <w:lvlText w:val="%1.%2.%3.%4.%5.%6.%7"/>
      <w:lvlJc w:val="left"/>
      <w:pPr>
        <w:tabs>
          <w:tab w:val="num" w:pos="3371"/>
        </w:tabs>
        <w:ind w:left="2520" w:hanging="2520"/>
      </w:pPr>
      <w:rPr>
        <w:rFonts w:hint="default"/>
      </w:rPr>
    </w:lvl>
    <w:lvl w:ilvl="7">
      <w:start w:val="1"/>
      <w:numFmt w:val="decimal"/>
      <w:pStyle w:val="Heading8Appendix"/>
      <w:lvlText w:val="%1.%2.%3.%4.%5.%6.%7.%8"/>
      <w:lvlJc w:val="left"/>
      <w:pPr>
        <w:tabs>
          <w:tab w:val="num" w:pos="3731"/>
        </w:tabs>
        <w:ind w:left="2880" w:hanging="2880"/>
      </w:pPr>
      <w:rPr>
        <w:rFonts w:hint="default"/>
      </w:rPr>
    </w:lvl>
    <w:lvl w:ilvl="8">
      <w:start w:val="1"/>
      <w:numFmt w:val="decimal"/>
      <w:pStyle w:val="Heading9Appendix"/>
      <w:lvlText w:val="%1.%2.%3.%4.%5.%6.%7.%8.%9"/>
      <w:lvlJc w:val="left"/>
      <w:pPr>
        <w:tabs>
          <w:tab w:val="num" w:pos="4091"/>
        </w:tabs>
        <w:ind w:left="3240" w:hanging="3240"/>
      </w:pPr>
      <w:rPr>
        <w:rFonts w:hint="default"/>
      </w:rPr>
    </w:lvl>
  </w:abstractNum>
  <w:abstractNum w:abstractNumId="51">
    <w:nsid w:val="6C64197F"/>
    <w:multiLevelType w:val="hybridMultilevel"/>
    <w:tmpl w:val="BA20E732"/>
    <w:lvl w:ilvl="0" w:tplc="2C9A6C84">
      <w:start w:val="1"/>
      <w:numFmt w:val="bullet"/>
      <w:lvlText w:val=""/>
      <w:lvlJc w:val="left"/>
      <w:pPr>
        <w:ind w:left="720" w:hanging="360"/>
      </w:pPr>
      <w:rPr>
        <w:rFonts w:ascii="Symbol" w:hAnsi="Symbol" w:hint="default"/>
        <w:color w:val="095A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F491530"/>
    <w:multiLevelType w:val="hybridMultilevel"/>
    <w:tmpl w:val="8362E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429237F"/>
    <w:multiLevelType w:val="hybridMultilevel"/>
    <w:tmpl w:val="089A3BB4"/>
    <w:lvl w:ilvl="0" w:tplc="0809000F">
      <w:start w:val="1"/>
      <w:numFmt w:val="decimal"/>
      <w:lvlText w:val="%1."/>
      <w:lvlJc w:val="left"/>
      <w:pPr>
        <w:ind w:left="2081" w:hanging="360"/>
      </w:pPr>
    </w:lvl>
    <w:lvl w:ilvl="1" w:tplc="08090019">
      <w:start w:val="1"/>
      <w:numFmt w:val="lowerLetter"/>
      <w:lvlText w:val="%2."/>
      <w:lvlJc w:val="left"/>
      <w:pPr>
        <w:ind w:left="2801" w:hanging="360"/>
      </w:pPr>
    </w:lvl>
    <w:lvl w:ilvl="2" w:tplc="0809001B" w:tentative="1">
      <w:start w:val="1"/>
      <w:numFmt w:val="lowerRoman"/>
      <w:lvlText w:val="%3."/>
      <w:lvlJc w:val="right"/>
      <w:pPr>
        <w:ind w:left="3521" w:hanging="180"/>
      </w:pPr>
    </w:lvl>
    <w:lvl w:ilvl="3" w:tplc="0809000F" w:tentative="1">
      <w:start w:val="1"/>
      <w:numFmt w:val="decimal"/>
      <w:lvlText w:val="%4."/>
      <w:lvlJc w:val="left"/>
      <w:pPr>
        <w:ind w:left="4241" w:hanging="360"/>
      </w:pPr>
    </w:lvl>
    <w:lvl w:ilvl="4" w:tplc="08090019" w:tentative="1">
      <w:start w:val="1"/>
      <w:numFmt w:val="lowerLetter"/>
      <w:lvlText w:val="%5."/>
      <w:lvlJc w:val="left"/>
      <w:pPr>
        <w:ind w:left="4961" w:hanging="360"/>
      </w:pPr>
    </w:lvl>
    <w:lvl w:ilvl="5" w:tplc="0809001B" w:tentative="1">
      <w:start w:val="1"/>
      <w:numFmt w:val="lowerRoman"/>
      <w:lvlText w:val="%6."/>
      <w:lvlJc w:val="right"/>
      <w:pPr>
        <w:ind w:left="5681" w:hanging="180"/>
      </w:pPr>
    </w:lvl>
    <w:lvl w:ilvl="6" w:tplc="0809000F" w:tentative="1">
      <w:start w:val="1"/>
      <w:numFmt w:val="decimal"/>
      <w:lvlText w:val="%7."/>
      <w:lvlJc w:val="left"/>
      <w:pPr>
        <w:ind w:left="6401" w:hanging="360"/>
      </w:pPr>
    </w:lvl>
    <w:lvl w:ilvl="7" w:tplc="08090019" w:tentative="1">
      <w:start w:val="1"/>
      <w:numFmt w:val="lowerLetter"/>
      <w:lvlText w:val="%8."/>
      <w:lvlJc w:val="left"/>
      <w:pPr>
        <w:ind w:left="7121" w:hanging="360"/>
      </w:pPr>
    </w:lvl>
    <w:lvl w:ilvl="8" w:tplc="0809001B" w:tentative="1">
      <w:start w:val="1"/>
      <w:numFmt w:val="lowerRoman"/>
      <w:lvlText w:val="%9."/>
      <w:lvlJc w:val="right"/>
      <w:pPr>
        <w:ind w:left="7841" w:hanging="180"/>
      </w:pPr>
    </w:lvl>
  </w:abstractNum>
  <w:abstractNum w:abstractNumId="54">
    <w:nsid w:val="767A073E"/>
    <w:multiLevelType w:val="hybridMultilevel"/>
    <w:tmpl w:val="19ECCBF2"/>
    <w:lvl w:ilvl="0" w:tplc="08090001">
      <w:start w:val="1"/>
      <w:numFmt w:val="bullet"/>
      <w:lvlText w:val=""/>
      <w:lvlJc w:val="left"/>
      <w:pPr>
        <w:tabs>
          <w:tab w:val="num" w:pos="2081"/>
        </w:tabs>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num w:numId="1">
    <w:abstractNumId w:val="24"/>
  </w:num>
  <w:num w:numId="2">
    <w:abstractNumId w:val="50"/>
  </w:num>
  <w:num w:numId="3">
    <w:abstractNumId w:val="0"/>
  </w:num>
  <w:num w:numId="4">
    <w:abstractNumId w:val="45"/>
  </w:num>
  <w:num w:numId="5">
    <w:abstractNumId w:val="4"/>
  </w:num>
  <w:num w:numId="6">
    <w:abstractNumId w:val="7"/>
  </w:num>
  <w:num w:numId="7">
    <w:abstractNumId w:val="37"/>
  </w:num>
  <w:num w:numId="8">
    <w:abstractNumId w:val="30"/>
  </w:num>
  <w:num w:numId="9">
    <w:abstractNumId w:val="44"/>
  </w:num>
  <w:num w:numId="10">
    <w:abstractNumId w:val="29"/>
  </w:num>
  <w:num w:numId="11">
    <w:abstractNumId w:val="1"/>
  </w:num>
  <w:num w:numId="12">
    <w:abstractNumId w:val="28"/>
  </w:num>
  <w:num w:numId="13">
    <w:abstractNumId w:val="38"/>
  </w:num>
  <w:num w:numId="14">
    <w:abstractNumId w:val="33"/>
  </w:num>
  <w:num w:numId="15">
    <w:abstractNumId w:val="3"/>
  </w:num>
  <w:num w:numId="16">
    <w:abstractNumId w:val="35"/>
  </w:num>
  <w:num w:numId="17">
    <w:abstractNumId w:val="41"/>
  </w:num>
  <w:num w:numId="18">
    <w:abstractNumId w:val="34"/>
  </w:num>
  <w:num w:numId="19">
    <w:abstractNumId w:val="15"/>
  </w:num>
  <w:num w:numId="20">
    <w:abstractNumId w:val="10"/>
  </w:num>
  <w:num w:numId="21">
    <w:abstractNumId w:val="6"/>
  </w:num>
  <w:num w:numId="22">
    <w:abstractNumId w:val="8"/>
  </w:num>
  <w:num w:numId="23">
    <w:abstractNumId w:val="16"/>
  </w:num>
  <w:num w:numId="24">
    <w:abstractNumId w:val="23"/>
  </w:num>
  <w:num w:numId="25">
    <w:abstractNumId w:val="51"/>
  </w:num>
  <w:num w:numId="26">
    <w:abstractNumId w:val="22"/>
  </w:num>
  <w:num w:numId="27">
    <w:abstractNumId w:val="54"/>
  </w:num>
  <w:num w:numId="28">
    <w:abstractNumId w:val="40"/>
  </w:num>
  <w:num w:numId="29">
    <w:abstractNumId w:val="21"/>
  </w:num>
  <w:num w:numId="30">
    <w:abstractNumId w:val="46"/>
  </w:num>
  <w:num w:numId="31">
    <w:abstractNumId w:val="9"/>
  </w:num>
  <w:num w:numId="32">
    <w:abstractNumId w:val="5"/>
  </w:num>
  <w:num w:numId="33">
    <w:abstractNumId w:val="17"/>
  </w:num>
  <w:num w:numId="34">
    <w:abstractNumId w:val="26"/>
  </w:num>
  <w:num w:numId="35">
    <w:abstractNumId w:val="2"/>
  </w:num>
  <w:num w:numId="36">
    <w:abstractNumId w:val="52"/>
  </w:num>
  <w:num w:numId="37">
    <w:abstractNumId w:val="53"/>
  </w:num>
  <w:num w:numId="38">
    <w:abstractNumId w:val="27"/>
  </w:num>
  <w:num w:numId="39">
    <w:abstractNumId w:val="36"/>
  </w:num>
  <w:num w:numId="40">
    <w:abstractNumId w:val="25"/>
  </w:num>
  <w:num w:numId="41">
    <w:abstractNumId w:val="18"/>
  </w:num>
  <w:num w:numId="42">
    <w:abstractNumId w:val="14"/>
  </w:num>
  <w:num w:numId="43">
    <w:abstractNumId w:val="13"/>
  </w:num>
  <w:num w:numId="44">
    <w:abstractNumId w:val="47"/>
  </w:num>
  <w:num w:numId="45">
    <w:abstractNumId w:val="43"/>
  </w:num>
  <w:num w:numId="46">
    <w:abstractNumId w:val="48"/>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32"/>
  </w:num>
  <w:num w:numId="59">
    <w:abstractNumId w:val="49"/>
  </w:num>
  <w:num w:numId="60">
    <w:abstractNumId w:val="12"/>
  </w:num>
  <w:num w:numId="61">
    <w:abstractNumId w:val="11"/>
  </w:num>
  <w:num w:numId="62">
    <w:abstractNumId w:val="39"/>
  </w:num>
  <w:num w:numId="63">
    <w:abstractNumId w:val="31"/>
  </w:num>
  <w:num w:numId="64">
    <w:abstractNumId w:val="42"/>
  </w:num>
  <w:num w:numId="65">
    <w:abstractNumId w:val="24"/>
  </w:num>
  <w:num w:numId="66">
    <w:abstractNumId w:val="24"/>
  </w:num>
  <w:num w:numId="67">
    <w:abstractNumId w:val="2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_tradnl"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9E3"/>
    <w:rsid w:val="0000397C"/>
    <w:rsid w:val="00004AAE"/>
    <w:rsid w:val="00004B39"/>
    <w:rsid w:val="00005D2A"/>
    <w:rsid w:val="00006771"/>
    <w:rsid w:val="00007ECB"/>
    <w:rsid w:val="000149BC"/>
    <w:rsid w:val="00015B61"/>
    <w:rsid w:val="00015ED5"/>
    <w:rsid w:val="00016BB7"/>
    <w:rsid w:val="00020F89"/>
    <w:rsid w:val="000251CB"/>
    <w:rsid w:val="000272A7"/>
    <w:rsid w:val="00030948"/>
    <w:rsid w:val="00031246"/>
    <w:rsid w:val="00031ADD"/>
    <w:rsid w:val="00033544"/>
    <w:rsid w:val="00034DCF"/>
    <w:rsid w:val="00034F01"/>
    <w:rsid w:val="0003582C"/>
    <w:rsid w:val="00037349"/>
    <w:rsid w:val="00037F7B"/>
    <w:rsid w:val="00041739"/>
    <w:rsid w:val="000427E3"/>
    <w:rsid w:val="00042868"/>
    <w:rsid w:val="0004306B"/>
    <w:rsid w:val="000451BF"/>
    <w:rsid w:val="0004585C"/>
    <w:rsid w:val="00045F6B"/>
    <w:rsid w:val="00047841"/>
    <w:rsid w:val="00047919"/>
    <w:rsid w:val="000511A0"/>
    <w:rsid w:val="00051219"/>
    <w:rsid w:val="000526D8"/>
    <w:rsid w:val="00052A3E"/>
    <w:rsid w:val="00052F76"/>
    <w:rsid w:val="00053139"/>
    <w:rsid w:val="000542AD"/>
    <w:rsid w:val="00054710"/>
    <w:rsid w:val="0005654A"/>
    <w:rsid w:val="0005686B"/>
    <w:rsid w:val="0005774D"/>
    <w:rsid w:val="00060D5C"/>
    <w:rsid w:val="00061257"/>
    <w:rsid w:val="000612F5"/>
    <w:rsid w:val="00061436"/>
    <w:rsid w:val="0006321D"/>
    <w:rsid w:val="00063238"/>
    <w:rsid w:val="00063591"/>
    <w:rsid w:val="00064316"/>
    <w:rsid w:val="00065F13"/>
    <w:rsid w:val="00070A1E"/>
    <w:rsid w:val="00070FC7"/>
    <w:rsid w:val="0007147C"/>
    <w:rsid w:val="000718D4"/>
    <w:rsid w:val="0007598B"/>
    <w:rsid w:val="00076A41"/>
    <w:rsid w:val="00076E90"/>
    <w:rsid w:val="00080CAB"/>
    <w:rsid w:val="00081D09"/>
    <w:rsid w:val="00082A8E"/>
    <w:rsid w:val="000850A7"/>
    <w:rsid w:val="00086188"/>
    <w:rsid w:val="000873E4"/>
    <w:rsid w:val="00090727"/>
    <w:rsid w:val="00090A2A"/>
    <w:rsid w:val="00090CA0"/>
    <w:rsid w:val="000912E0"/>
    <w:rsid w:val="000942B9"/>
    <w:rsid w:val="00095F02"/>
    <w:rsid w:val="000961EA"/>
    <w:rsid w:val="00096D3E"/>
    <w:rsid w:val="000A0E5D"/>
    <w:rsid w:val="000A21A3"/>
    <w:rsid w:val="000A2867"/>
    <w:rsid w:val="000A2868"/>
    <w:rsid w:val="000A3024"/>
    <w:rsid w:val="000A46E0"/>
    <w:rsid w:val="000A5773"/>
    <w:rsid w:val="000A799D"/>
    <w:rsid w:val="000A7BCF"/>
    <w:rsid w:val="000B0FFA"/>
    <w:rsid w:val="000B13F1"/>
    <w:rsid w:val="000B24F7"/>
    <w:rsid w:val="000B26CE"/>
    <w:rsid w:val="000B53BE"/>
    <w:rsid w:val="000B6D23"/>
    <w:rsid w:val="000B6FE2"/>
    <w:rsid w:val="000C2631"/>
    <w:rsid w:val="000C2922"/>
    <w:rsid w:val="000C7ABF"/>
    <w:rsid w:val="000D2242"/>
    <w:rsid w:val="000D4209"/>
    <w:rsid w:val="000D463B"/>
    <w:rsid w:val="000D4E3A"/>
    <w:rsid w:val="000D590D"/>
    <w:rsid w:val="000D7444"/>
    <w:rsid w:val="000D7853"/>
    <w:rsid w:val="000E1BB8"/>
    <w:rsid w:val="000E5470"/>
    <w:rsid w:val="000E54CC"/>
    <w:rsid w:val="000F0E38"/>
    <w:rsid w:val="000F1138"/>
    <w:rsid w:val="000F1CDA"/>
    <w:rsid w:val="000F203F"/>
    <w:rsid w:val="000F4969"/>
    <w:rsid w:val="000F5013"/>
    <w:rsid w:val="000F66E4"/>
    <w:rsid w:val="000F6B69"/>
    <w:rsid w:val="000F72BE"/>
    <w:rsid w:val="001005D8"/>
    <w:rsid w:val="00100930"/>
    <w:rsid w:val="00101F25"/>
    <w:rsid w:val="001062B9"/>
    <w:rsid w:val="00107B1F"/>
    <w:rsid w:val="001115E6"/>
    <w:rsid w:val="00111B1F"/>
    <w:rsid w:val="00113ACE"/>
    <w:rsid w:val="00113CCE"/>
    <w:rsid w:val="001145D3"/>
    <w:rsid w:val="00115214"/>
    <w:rsid w:val="0011763A"/>
    <w:rsid w:val="00117F49"/>
    <w:rsid w:val="001206A5"/>
    <w:rsid w:val="0012149D"/>
    <w:rsid w:val="00121553"/>
    <w:rsid w:val="0012418B"/>
    <w:rsid w:val="00125909"/>
    <w:rsid w:val="00131F29"/>
    <w:rsid w:val="00132025"/>
    <w:rsid w:val="00135142"/>
    <w:rsid w:val="00135AE3"/>
    <w:rsid w:val="001369EA"/>
    <w:rsid w:val="00141634"/>
    <w:rsid w:val="00144C25"/>
    <w:rsid w:val="00145D38"/>
    <w:rsid w:val="00150389"/>
    <w:rsid w:val="00152447"/>
    <w:rsid w:val="0015465C"/>
    <w:rsid w:val="00154A2D"/>
    <w:rsid w:val="00155080"/>
    <w:rsid w:val="001556CE"/>
    <w:rsid w:val="0015653B"/>
    <w:rsid w:val="00157A69"/>
    <w:rsid w:val="00157C15"/>
    <w:rsid w:val="00161200"/>
    <w:rsid w:val="001644A5"/>
    <w:rsid w:val="00165F43"/>
    <w:rsid w:val="001663B0"/>
    <w:rsid w:val="00166AF4"/>
    <w:rsid w:val="0016776E"/>
    <w:rsid w:val="00167C5C"/>
    <w:rsid w:val="00170D6D"/>
    <w:rsid w:val="00170ED0"/>
    <w:rsid w:val="001712A7"/>
    <w:rsid w:val="00171BDF"/>
    <w:rsid w:val="00171CF3"/>
    <w:rsid w:val="0017329E"/>
    <w:rsid w:val="00173FB1"/>
    <w:rsid w:val="0017499A"/>
    <w:rsid w:val="00174C49"/>
    <w:rsid w:val="0017534C"/>
    <w:rsid w:val="00175A58"/>
    <w:rsid w:val="00175F77"/>
    <w:rsid w:val="0017656A"/>
    <w:rsid w:val="00176CC9"/>
    <w:rsid w:val="0017785B"/>
    <w:rsid w:val="00181985"/>
    <w:rsid w:val="00181986"/>
    <w:rsid w:val="00181C38"/>
    <w:rsid w:val="001835FC"/>
    <w:rsid w:val="00184665"/>
    <w:rsid w:val="00185997"/>
    <w:rsid w:val="00187A1F"/>
    <w:rsid w:val="00187DF4"/>
    <w:rsid w:val="00190631"/>
    <w:rsid w:val="0019173C"/>
    <w:rsid w:val="001918D1"/>
    <w:rsid w:val="00192387"/>
    <w:rsid w:val="001937AE"/>
    <w:rsid w:val="00194A2A"/>
    <w:rsid w:val="00194E7F"/>
    <w:rsid w:val="00195CF4"/>
    <w:rsid w:val="00195FA3"/>
    <w:rsid w:val="00197DFA"/>
    <w:rsid w:val="001A0260"/>
    <w:rsid w:val="001A0BD1"/>
    <w:rsid w:val="001A215D"/>
    <w:rsid w:val="001A2CFC"/>
    <w:rsid w:val="001A6170"/>
    <w:rsid w:val="001A6213"/>
    <w:rsid w:val="001B0A17"/>
    <w:rsid w:val="001B39A3"/>
    <w:rsid w:val="001B3E85"/>
    <w:rsid w:val="001B67DB"/>
    <w:rsid w:val="001C03A1"/>
    <w:rsid w:val="001C277B"/>
    <w:rsid w:val="001C5729"/>
    <w:rsid w:val="001C69D0"/>
    <w:rsid w:val="001C6D9A"/>
    <w:rsid w:val="001C7777"/>
    <w:rsid w:val="001C7D42"/>
    <w:rsid w:val="001D035E"/>
    <w:rsid w:val="001D187C"/>
    <w:rsid w:val="001D20A2"/>
    <w:rsid w:val="001D35D6"/>
    <w:rsid w:val="001D58D6"/>
    <w:rsid w:val="001E0E34"/>
    <w:rsid w:val="001E1826"/>
    <w:rsid w:val="001E1B5B"/>
    <w:rsid w:val="001E2003"/>
    <w:rsid w:val="001E2C26"/>
    <w:rsid w:val="001E3382"/>
    <w:rsid w:val="001E3DF9"/>
    <w:rsid w:val="001E4EE9"/>
    <w:rsid w:val="001E4F75"/>
    <w:rsid w:val="001E6A94"/>
    <w:rsid w:val="001E75BB"/>
    <w:rsid w:val="001F025B"/>
    <w:rsid w:val="001F0947"/>
    <w:rsid w:val="001F0A37"/>
    <w:rsid w:val="001F43E0"/>
    <w:rsid w:val="001F43E6"/>
    <w:rsid w:val="001F4ACA"/>
    <w:rsid w:val="001F5405"/>
    <w:rsid w:val="001F578A"/>
    <w:rsid w:val="001F6BC2"/>
    <w:rsid w:val="00201474"/>
    <w:rsid w:val="0020322F"/>
    <w:rsid w:val="00203FEC"/>
    <w:rsid w:val="0020613C"/>
    <w:rsid w:val="002062BD"/>
    <w:rsid w:val="00207EC0"/>
    <w:rsid w:val="0021034E"/>
    <w:rsid w:val="00213E34"/>
    <w:rsid w:val="002174F9"/>
    <w:rsid w:val="00217EAB"/>
    <w:rsid w:val="00220892"/>
    <w:rsid w:val="00220C26"/>
    <w:rsid w:val="00223DCF"/>
    <w:rsid w:val="00223F10"/>
    <w:rsid w:val="00224A2D"/>
    <w:rsid w:val="00225605"/>
    <w:rsid w:val="0022790C"/>
    <w:rsid w:val="0023155C"/>
    <w:rsid w:val="00231FBC"/>
    <w:rsid w:val="0023294B"/>
    <w:rsid w:val="00234E92"/>
    <w:rsid w:val="00236F8E"/>
    <w:rsid w:val="00237117"/>
    <w:rsid w:val="002374BE"/>
    <w:rsid w:val="0024027B"/>
    <w:rsid w:val="002402ED"/>
    <w:rsid w:val="0024041C"/>
    <w:rsid w:val="002405C0"/>
    <w:rsid w:val="002405C4"/>
    <w:rsid w:val="0024104E"/>
    <w:rsid w:val="00241BE2"/>
    <w:rsid w:val="00241E91"/>
    <w:rsid w:val="00241EDF"/>
    <w:rsid w:val="002423CC"/>
    <w:rsid w:val="002436C4"/>
    <w:rsid w:val="00244A7A"/>
    <w:rsid w:val="00244D2C"/>
    <w:rsid w:val="00245631"/>
    <w:rsid w:val="00245AA5"/>
    <w:rsid w:val="00246FC5"/>
    <w:rsid w:val="00247145"/>
    <w:rsid w:val="0025067D"/>
    <w:rsid w:val="0025138B"/>
    <w:rsid w:val="002526E1"/>
    <w:rsid w:val="00253104"/>
    <w:rsid w:val="00254E89"/>
    <w:rsid w:val="00255C4F"/>
    <w:rsid w:val="002607C1"/>
    <w:rsid w:val="00262A76"/>
    <w:rsid w:val="00262B2C"/>
    <w:rsid w:val="002642E9"/>
    <w:rsid w:val="00265698"/>
    <w:rsid w:val="0026715A"/>
    <w:rsid w:val="0026757B"/>
    <w:rsid w:val="00267D9A"/>
    <w:rsid w:val="00270B26"/>
    <w:rsid w:val="00270DB7"/>
    <w:rsid w:val="00271BE0"/>
    <w:rsid w:val="00275064"/>
    <w:rsid w:val="0027639A"/>
    <w:rsid w:val="00276551"/>
    <w:rsid w:val="002803C8"/>
    <w:rsid w:val="002807E8"/>
    <w:rsid w:val="00280F84"/>
    <w:rsid w:val="00282FC3"/>
    <w:rsid w:val="00283206"/>
    <w:rsid w:val="0028691B"/>
    <w:rsid w:val="00290C1B"/>
    <w:rsid w:val="00290D5A"/>
    <w:rsid w:val="0029154E"/>
    <w:rsid w:val="002929BB"/>
    <w:rsid w:val="002941A0"/>
    <w:rsid w:val="00294DE6"/>
    <w:rsid w:val="00295A22"/>
    <w:rsid w:val="00295A8B"/>
    <w:rsid w:val="00295F61"/>
    <w:rsid w:val="00296998"/>
    <w:rsid w:val="002976B4"/>
    <w:rsid w:val="00297E8D"/>
    <w:rsid w:val="002A2D0A"/>
    <w:rsid w:val="002A3F20"/>
    <w:rsid w:val="002A5A29"/>
    <w:rsid w:val="002A635D"/>
    <w:rsid w:val="002B09A9"/>
    <w:rsid w:val="002B09F0"/>
    <w:rsid w:val="002B0A03"/>
    <w:rsid w:val="002B19A2"/>
    <w:rsid w:val="002B1B33"/>
    <w:rsid w:val="002B2029"/>
    <w:rsid w:val="002B222A"/>
    <w:rsid w:val="002B2253"/>
    <w:rsid w:val="002B2284"/>
    <w:rsid w:val="002B2A76"/>
    <w:rsid w:val="002B2D81"/>
    <w:rsid w:val="002B5ABB"/>
    <w:rsid w:val="002B5C17"/>
    <w:rsid w:val="002B60CD"/>
    <w:rsid w:val="002B6876"/>
    <w:rsid w:val="002B69E3"/>
    <w:rsid w:val="002C1B99"/>
    <w:rsid w:val="002C2D51"/>
    <w:rsid w:val="002C4317"/>
    <w:rsid w:val="002C5DF6"/>
    <w:rsid w:val="002C6CBA"/>
    <w:rsid w:val="002D2364"/>
    <w:rsid w:val="002D2621"/>
    <w:rsid w:val="002D2A86"/>
    <w:rsid w:val="002D3E77"/>
    <w:rsid w:val="002D625F"/>
    <w:rsid w:val="002D772A"/>
    <w:rsid w:val="002D78F4"/>
    <w:rsid w:val="002E2021"/>
    <w:rsid w:val="002E2379"/>
    <w:rsid w:val="002E37BF"/>
    <w:rsid w:val="002E384B"/>
    <w:rsid w:val="002E391C"/>
    <w:rsid w:val="002E512C"/>
    <w:rsid w:val="002E53EB"/>
    <w:rsid w:val="002E5787"/>
    <w:rsid w:val="002E646F"/>
    <w:rsid w:val="002E649F"/>
    <w:rsid w:val="002F11F1"/>
    <w:rsid w:val="002F2EBC"/>
    <w:rsid w:val="002F6382"/>
    <w:rsid w:val="002F69CC"/>
    <w:rsid w:val="002F7021"/>
    <w:rsid w:val="003001BA"/>
    <w:rsid w:val="00301464"/>
    <w:rsid w:val="0030150C"/>
    <w:rsid w:val="003026EA"/>
    <w:rsid w:val="00303AEF"/>
    <w:rsid w:val="003048F6"/>
    <w:rsid w:val="00305DBD"/>
    <w:rsid w:val="0030601E"/>
    <w:rsid w:val="0030622E"/>
    <w:rsid w:val="00307677"/>
    <w:rsid w:val="00307A3C"/>
    <w:rsid w:val="00312441"/>
    <w:rsid w:val="003124BC"/>
    <w:rsid w:val="00312A2A"/>
    <w:rsid w:val="003155D4"/>
    <w:rsid w:val="00316A84"/>
    <w:rsid w:val="003170CE"/>
    <w:rsid w:val="00320F1B"/>
    <w:rsid w:val="003211C9"/>
    <w:rsid w:val="00321778"/>
    <w:rsid w:val="00321A3C"/>
    <w:rsid w:val="003245E1"/>
    <w:rsid w:val="003251F5"/>
    <w:rsid w:val="00325A17"/>
    <w:rsid w:val="003311DF"/>
    <w:rsid w:val="003318C7"/>
    <w:rsid w:val="00332310"/>
    <w:rsid w:val="00334093"/>
    <w:rsid w:val="00334A4E"/>
    <w:rsid w:val="00336532"/>
    <w:rsid w:val="003365E1"/>
    <w:rsid w:val="00336C29"/>
    <w:rsid w:val="00337166"/>
    <w:rsid w:val="00340BC1"/>
    <w:rsid w:val="00341D66"/>
    <w:rsid w:val="00342A35"/>
    <w:rsid w:val="00345A53"/>
    <w:rsid w:val="003467E0"/>
    <w:rsid w:val="00350218"/>
    <w:rsid w:val="00350A2B"/>
    <w:rsid w:val="00350CA9"/>
    <w:rsid w:val="00351721"/>
    <w:rsid w:val="00356F59"/>
    <w:rsid w:val="00356F81"/>
    <w:rsid w:val="00363EFE"/>
    <w:rsid w:val="00364550"/>
    <w:rsid w:val="003649F9"/>
    <w:rsid w:val="00364A7A"/>
    <w:rsid w:val="00372102"/>
    <w:rsid w:val="003746E4"/>
    <w:rsid w:val="00375465"/>
    <w:rsid w:val="003774A1"/>
    <w:rsid w:val="003774BA"/>
    <w:rsid w:val="00380437"/>
    <w:rsid w:val="0038056E"/>
    <w:rsid w:val="00380D3A"/>
    <w:rsid w:val="00381F4E"/>
    <w:rsid w:val="00384247"/>
    <w:rsid w:val="0038426C"/>
    <w:rsid w:val="00385548"/>
    <w:rsid w:val="00385D8B"/>
    <w:rsid w:val="003868A5"/>
    <w:rsid w:val="003901BE"/>
    <w:rsid w:val="003914F9"/>
    <w:rsid w:val="0039184C"/>
    <w:rsid w:val="0039246B"/>
    <w:rsid w:val="0039308E"/>
    <w:rsid w:val="00395234"/>
    <w:rsid w:val="00397533"/>
    <w:rsid w:val="003A014D"/>
    <w:rsid w:val="003A078E"/>
    <w:rsid w:val="003A0BBD"/>
    <w:rsid w:val="003A11CC"/>
    <w:rsid w:val="003A14F1"/>
    <w:rsid w:val="003A22D1"/>
    <w:rsid w:val="003A2873"/>
    <w:rsid w:val="003A2B2C"/>
    <w:rsid w:val="003A4472"/>
    <w:rsid w:val="003A45A9"/>
    <w:rsid w:val="003A45F6"/>
    <w:rsid w:val="003A494C"/>
    <w:rsid w:val="003A79A6"/>
    <w:rsid w:val="003B1778"/>
    <w:rsid w:val="003B57A8"/>
    <w:rsid w:val="003B662A"/>
    <w:rsid w:val="003B7B9B"/>
    <w:rsid w:val="003B7E0C"/>
    <w:rsid w:val="003B7F39"/>
    <w:rsid w:val="003C0D4B"/>
    <w:rsid w:val="003C19F7"/>
    <w:rsid w:val="003C24CC"/>
    <w:rsid w:val="003C27FD"/>
    <w:rsid w:val="003C3D73"/>
    <w:rsid w:val="003C4082"/>
    <w:rsid w:val="003C41AD"/>
    <w:rsid w:val="003C5304"/>
    <w:rsid w:val="003C5965"/>
    <w:rsid w:val="003C5C92"/>
    <w:rsid w:val="003C6545"/>
    <w:rsid w:val="003C6A3F"/>
    <w:rsid w:val="003C72B4"/>
    <w:rsid w:val="003C7338"/>
    <w:rsid w:val="003C780B"/>
    <w:rsid w:val="003D2853"/>
    <w:rsid w:val="003D29BB"/>
    <w:rsid w:val="003D2B38"/>
    <w:rsid w:val="003D35E0"/>
    <w:rsid w:val="003D6860"/>
    <w:rsid w:val="003D7B62"/>
    <w:rsid w:val="003E10A1"/>
    <w:rsid w:val="003E137C"/>
    <w:rsid w:val="003E164E"/>
    <w:rsid w:val="003E2C43"/>
    <w:rsid w:val="003E3532"/>
    <w:rsid w:val="003E52BF"/>
    <w:rsid w:val="003E5929"/>
    <w:rsid w:val="003E6608"/>
    <w:rsid w:val="003E7996"/>
    <w:rsid w:val="003F0099"/>
    <w:rsid w:val="003F088A"/>
    <w:rsid w:val="003F0EF7"/>
    <w:rsid w:val="003F2156"/>
    <w:rsid w:val="003F373C"/>
    <w:rsid w:val="003F3881"/>
    <w:rsid w:val="003F5C2D"/>
    <w:rsid w:val="003F720D"/>
    <w:rsid w:val="0040029A"/>
    <w:rsid w:val="00401173"/>
    <w:rsid w:val="00401C56"/>
    <w:rsid w:val="00403A29"/>
    <w:rsid w:val="00403E7F"/>
    <w:rsid w:val="00404E0B"/>
    <w:rsid w:val="00404FEF"/>
    <w:rsid w:val="00405082"/>
    <w:rsid w:val="004075A3"/>
    <w:rsid w:val="00407ADA"/>
    <w:rsid w:val="0041032B"/>
    <w:rsid w:val="004109D8"/>
    <w:rsid w:val="00410E03"/>
    <w:rsid w:val="00411186"/>
    <w:rsid w:val="00411360"/>
    <w:rsid w:val="00411AD7"/>
    <w:rsid w:val="004120F9"/>
    <w:rsid w:val="0042145E"/>
    <w:rsid w:val="0042238C"/>
    <w:rsid w:val="00422BD0"/>
    <w:rsid w:val="004247E4"/>
    <w:rsid w:val="00427EE1"/>
    <w:rsid w:val="00435158"/>
    <w:rsid w:val="004358A7"/>
    <w:rsid w:val="00436D02"/>
    <w:rsid w:val="0043732F"/>
    <w:rsid w:val="00440113"/>
    <w:rsid w:val="0044105E"/>
    <w:rsid w:val="00441899"/>
    <w:rsid w:val="00442A13"/>
    <w:rsid w:val="00444592"/>
    <w:rsid w:val="00445175"/>
    <w:rsid w:val="0044662F"/>
    <w:rsid w:val="00447143"/>
    <w:rsid w:val="00447452"/>
    <w:rsid w:val="004476AC"/>
    <w:rsid w:val="004532CD"/>
    <w:rsid w:val="0045345B"/>
    <w:rsid w:val="0045389B"/>
    <w:rsid w:val="00455211"/>
    <w:rsid w:val="004563B9"/>
    <w:rsid w:val="004568E1"/>
    <w:rsid w:val="004572B9"/>
    <w:rsid w:val="004626CC"/>
    <w:rsid w:val="00462A16"/>
    <w:rsid w:val="00463ABA"/>
    <w:rsid w:val="00463FD3"/>
    <w:rsid w:val="00465E1C"/>
    <w:rsid w:val="00466F2E"/>
    <w:rsid w:val="00470173"/>
    <w:rsid w:val="00472222"/>
    <w:rsid w:val="004723A7"/>
    <w:rsid w:val="00473F57"/>
    <w:rsid w:val="0047498A"/>
    <w:rsid w:val="00475686"/>
    <w:rsid w:val="00475F04"/>
    <w:rsid w:val="0047730C"/>
    <w:rsid w:val="00477478"/>
    <w:rsid w:val="00481335"/>
    <w:rsid w:val="0048395D"/>
    <w:rsid w:val="00484553"/>
    <w:rsid w:val="00484D12"/>
    <w:rsid w:val="00487BA9"/>
    <w:rsid w:val="00492820"/>
    <w:rsid w:val="00493B5C"/>
    <w:rsid w:val="004940F1"/>
    <w:rsid w:val="00494FE2"/>
    <w:rsid w:val="00495FC2"/>
    <w:rsid w:val="00496254"/>
    <w:rsid w:val="0049684A"/>
    <w:rsid w:val="00497E55"/>
    <w:rsid w:val="004A286E"/>
    <w:rsid w:val="004A4136"/>
    <w:rsid w:val="004A4EFC"/>
    <w:rsid w:val="004A56F9"/>
    <w:rsid w:val="004A627C"/>
    <w:rsid w:val="004B24D1"/>
    <w:rsid w:val="004B36E0"/>
    <w:rsid w:val="004B498D"/>
    <w:rsid w:val="004B4A03"/>
    <w:rsid w:val="004B7C16"/>
    <w:rsid w:val="004B7EBD"/>
    <w:rsid w:val="004C051E"/>
    <w:rsid w:val="004C20FB"/>
    <w:rsid w:val="004C2265"/>
    <w:rsid w:val="004C45F9"/>
    <w:rsid w:val="004C6EEA"/>
    <w:rsid w:val="004C7D71"/>
    <w:rsid w:val="004D0A0B"/>
    <w:rsid w:val="004D0B7E"/>
    <w:rsid w:val="004D2D91"/>
    <w:rsid w:val="004D38A7"/>
    <w:rsid w:val="004D6E11"/>
    <w:rsid w:val="004D7001"/>
    <w:rsid w:val="004E0B02"/>
    <w:rsid w:val="004E0FEF"/>
    <w:rsid w:val="004E2A85"/>
    <w:rsid w:val="004E34F8"/>
    <w:rsid w:val="004E40C5"/>
    <w:rsid w:val="004E4628"/>
    <w:rsid w:val="004E56AD"/>
    <w:rsid w:val="004E584F"/>
    <w:rsid w:val="004E5986"/>
    <w:rsid w:val="004E5EF9"/>
    <w:rsid w:val="004E7C04"/>
    <w:rsid w:val="004F12CF"/>
    <w:rsid w:val="004F1615"/>
    <w:rsid w:val="004F3CA7"/>
    <w:rsid w:val="004F5021"/>
    <w:rsid w:val="004F518D"/>
    <w:rsid w:val="004F56FD"/>
    <w:rsid w:val="004F5865"/>
    <w:rsid w:val="004F660C"/>
    <w:rsid w:val="004F66EB"/>
    <w:rsid w:val="004F70EA"/>
    <w:rsid w:val="004F72CD"/>
    <w:rsid w:val="004F7F56"/>
    <w:rsid w:val="00501098"/>
    <w:rsid w:val="005011A4"/>
    <w:rsid w:val="0050160D"/>
    <w:rsid w:val="005034DE"/>
    <w:rsid w:val="00510217"/>
    <w:rsid w:val="0051143B"/>
    <w:rsid w:val="00511794"/>
    <w:rsid w:val="00511EC8"/>
    <w:rsid w:val="00514EFA"/>
    <w:rsid w:val="005154B8"/>
    <w:rsid w:val="00515A64"/>
    <w:rsid w:val="00515AE6"/>
    <w:rsid w:val="00516868"/>
    <w:rsid w:val="00520273"/>
    <w:rsid w:val="00520633"/>
    <w:rsid w:val="005211F2"/>
    <w:rsid w:val="00521901"/>
    <w:rsid w:val="00522071"/>
    <w:rsid w:val="005230C9"/>
    <w:rsid w:val="005233F9"/>
    <w:rsid w:val="00525AEA"/>
    <w:rsid w:val="00525BB3"/>
    <w:rsid w:val="00525E47"/>
    <w:rsid w:val="005269E3"/>
    <w:rsid w:val="00527A8E"/>
    <w:rsid w:val="00530AC8"/>
    <w:rsid w:val="005331EE"/>
    <w:rsid w:val="00533235"/>
    <w:rsid w:val="005349F1"/>
    <w:rsid w:val="00536155"/>
    <w:rsid w:val="005367A7"/>
    <w:rsid w:val="0053799E"/>
    <w:rsid w:val="005410B7"/>
    <w:rsid w:val="00541CE0"/>
    <w:rsid w:val="00542840"/>
    <w:rsid w:val="005465DF"/>
    <w:rsid w:val="005466B1"/>
    <w:rsid w:val="00547348"/>
    <w:rsid w:val="005506F9"/>
    <w:rsid w:val="00550F5A"/>
    <w:rsid w:val="005540ED"/>
    <w:rsid w:val="00554413"/>
    <w:rsid w:val="00555C01"/>
    <w:rsid w:val="005567B2"/>
    <w:rsid w:val="00556EDF"/>
    <w:rsid w:val="005613AD"/>
    <w:rsid w:val="00562A9F"/>
    <w:rsid w:val="005660EA"/>
    <w:rsid w:val="00570D27"/>
    <w:rsid w:val="005712DD"/>
    <w:rsid w:val="00571809"/>
    <w:rsid w:val="00572686"/>
    <w:rsid w:val="0057286B"/>
    <w:rsid w:val="00574088"/>
    <w:rsid w:val="00574940"/>
    <w:rsid w:val="00574A92"/>
    <w:rsid w:val="00577B52"/>
    <w:rsid w:val="0058166D"/>
    <w:rsid w:val="00582A5D"/>
    <w:rsid w:val="00582DE0"/>
    <w:rsid w:val="00583A38"/>
    <w:rsid w:val="00583C1E"/>
    <w:rsid w:val="0058531B"/>
    <w:rsid w:val="0058540A"/>
    <w:rsid w:val="00594B92"/>
    <w:rsid w:val="00595A32"/>
    <w:rsid w:val="005969AD"/>
    <w:rsid w:val="00597444"/>
    <w:rsid w:val="005A026E"/>
    <w:rsid w:val="005A136B"/>
    <w:rsid w:val="005A51C7"/>
    <w:rsid w:val="005A5D21"/>
    <w:rsid w:val="005A6250"/>
    <w:rsid w:val="005A7082"/>
    <w:rsid w:val="005A76B6"/>
    <w:rsid w:val="005B04B7"/>
    <w:rsid w:val="005B2716"/>
    <w:rsid w:val="005B39EB"/>
    <w:rsid w:val="005B3AFA"/>
    <w:rsid w:val="005B58EE"/>
    <w:rsid w:val="005B5C56"/>
    <w:rsid w:val="005B5EB0"/>
    <w:rsid w:val="005C0743"/>
    <w:rsid w:val="005C1555"/>
    <w:rsid w:val="005C1C85"/>
    <w:rsid w:val="005C2126"/>
    <w:rsid w:val="005C22FC"/>
    <w:rsid w:val="005C27B2"/>
    <w:rsid w:val="005C2AF7"/>
    <w:rsid w:val="005C30D9"/>
    <w:rsid w:val="005C36EA"/>
    <w:rsid w:val="005C4984"/>
    <w:rsid w:val="005C7909"/>
    <w:rsid w:val="005D1207"/>
    <w:rsid w:val="005D3712"/>
    <w:rsid w:val="005D3906"/>
    <w:rsid w:val="005D5C5A"/>
    <w:rsid w:val="005E09C7"/>
    <w:rsid w:val="005E0DBE"/>
    <w:rsid w:val="005E180F"/>
    <w:rsid w:val="005E2EFA"/>
    <w:rsid w:val="005E3173"/>
    <w:rsid w:val="005E332B"/>
    <w:rsid w:val="005E53E3"/>
    <w:rsid w:val="005F1347"/>
    <w:rsid w:val="005F1CDF"/>
    <w:rsid w:val="005F2154"/>
    <w:rsid w:val="005F2AED"/>
    <w:rsid w:val="0060036A"/>
    <w:rsid w:val="006047FF"/>
    <w:rsid w:val="0060495C"/>
    <w:rsid w:val="00605FAD"/>
    <w:rsid w:val="00606109"/>
    <w:rsid w:val="00606B95"/>
    <w:rsid w:val="00607C88"/>
    <w:rsid w:val="00607D6B"/>
    <w:rsid w:val="0061177D"/>
    <w:rsid w:val="006122D3"/>
    <w:rsid w:val="00613552"/>
    <w:rsid w:val="00613BE8"/>
    <w:rsid w:val="00614EFF"/>
    <w:rsid w:val="006169F7"/>
    <w:rsid w:val="0061777F"/>
    <w:rsid w:val="006237BD"/>
    <w:rsid w:val="00627D9C"/>
    <w:rsid w:val="0063163D"/>
    <w:rsid w:val="00631751"/>
    <w:rsid w:val="00632D37"/>
    <w:rsid w:val="006337EF"/>
    <w:rsid w:val="00634025"/>
    <w:rsid w:val="006351E3"/>
    <w:rsid w:val="006355A9"/>
    <w:rsid w:val="006358E1"/>
    <w:rsid w:val="0064102E"/>
    <w:rsid w:val="006427B6"/>
    <w:rsid w:val="00642D1B"/>
    <w:rsid w:val="0064321C"/>
    <w:rsid w:val="006437E5"/>
    <w:rsid w:val="00645DC4"/>
    <w:rsid w:val="00646F88"/>
    <w:rsid w:val="00650B64"/>
    <w:rsid w:val="00652145"/>
    <w:rsid w:val="00652B8C"/>
    <w:rsid w:val="00652BD3"/>
    <w:rsid w:val="0065467A"/>
    <w:rsid w:val="00655725"/>
    <w:rsid w:val="0065661D"/>
    <w:rsid w:val="00656AD6"/>
    <w:rsid w:val="00660AF1"/>
    <w:rsid w:val="00662E29"/>
    <w:rsid w:val="00664303"/>
    <w:rsid w:val="006658AF"/>
    <w:rsid w:val="00666699"/>
    <w:rsid w:val="006702A6"/>
    <w:rsid w:val="00671E89"/>
    <w:rsid w:val="006736B6"/>
    <w:rsid w:val="00673CA3"/>
    <w:rsid w:val="006751CE"/>
    <w:rsid w:val="00676EE4"/>
    <w:rsid w:val="0067739A"/>
    <w:rsid w:val="00680DD5"/>
    <w:rsid w:val="0068195C"/>
    <w:rsid w:val="006819AE"/>
    <w:rsid w:val="0068294F"/>
    <w:rsid w:val="00682CD3"/>
    <w:rsid w:val="00682D0A"/>
    <w:rsid w:val="006844A6"/>
    <w:rsid w:val="006853AE"/>
    <w:rsid w:val="006868F6"/>
    <w:rsid w:val="00687BE8"/>
    <w:rsid w:val="0069013D"/>
    <w:rsid w:val="00691F11"/>
    <w:rsid w:val="00692AE1"/>
    <w:rsid w:val="006936E5"/>
    <w:rsid w:val="0069713A"/>
    <w:rsid w:val="006A0424"/>
    <w:rsid w:val="006A115F"/>
    <w:rsid w:val="006A1929"/>
    <w:rsid w:val="006A1FF6"/>
    <w:rsid w:val="006A231B"/>
    <w:rsid w:val="006A2430"/>
    <w:rsid w:val="006A44CE"/>
    <w:rsid w:val="006A4B57"/>
    <w:rsid w:val="006A5B4E"/>
    <w:rsid w:val="006A5E7F"/>
    <w:rsid w:val="006A73F1"/>
    <w:rsid w:val="006B0FAF"/>
    <w:rsid w:val="006B33B8"/>
    <w:rsid w:val="006B37D0"/>
    <w:rsid w:val="006B3C12"/>
    <w:rsid w:val="006B5D4B"/>
    <w:rsid w:val="006C01D9"/>
    <w:rsid w:val="006C05D5"/>
    <w:rsid w:val="006C0656"/>
    <w:rsid w:val="006C1D0C"/>
    <w:rsid w:val="006C2647"/>
    <w:rsid w:val="006C33E3"/>
    <w:rsid w:val="006C6D68"/>
    <w:rsid w:val="006C7B81"/>
    <w:rsid w:val="006D04E4"/>
    <w:rsid w:val="006D34EB"/>
    <w:rsid w:val="006D376C"/>
    <w:rsid w:val="006D3CE1"/>
    <w:rsid w:val="006D4A97"/>
    <w:rsid w:val="006D76E4"/>
    <w:rsid w:val="006D770C"/>
    <w:rsid w:val="006E084B"/>
    <w:rsid w:val="006E1257"/>
    <w:rsid w:val="006E1271"/>
    <w:rsid w:val="006E235A"/>
    <w:rsid w:val="006E256F"/>
    <w:rsid w:val="006E3810"/>
    <w:rsid w:val="006E3A25"/>
    <w:rsid w:val="006E4E65"/>
    <w:rsid w:val="006E740F"/>
    <w:rsid w:val="006E750F"/>
    <w:rsid w:val="006E78D7"/>
    <w:rsid w:val="006F08BF"/>
    <w:rsid w:val="006F0B56"/>
    <w:rsid w:val="006F2CEC"/>
    <w:rsid w:val="006F3B98"/>
    <w:rsid w:val="006F48B6"/>
    <w:rsid w:val="006F4AA8"/>
    <w:rsid w:val="006F4BE6"/>
    <w:rsid w:val="006F533D"/>
    <w:rsid w:val="006F7838"/>
    <w:rsid w:val="006F7861"/>
    <w:rsid w:val="007002B5"/>
    <w:rsid w:val="00700FA0"/>
    <w:rsid w:val="00701BB5"/>
    <w:rsid w:val="00701F3D"/>
    <w:rsid w:val="00702421"/>
    <w:rsid w:val="00704E83"/>
    <w:rsid w:val="00704E95"/>
    <w:rsid w:val="007065AC"/>
    <w:rsid w:val="007106DA"/>
    <w:rsid w:val="00710B0E"/>
    <w:rsid w:val="0071205D"/>
    <w:rsid w:val="007132FA"/>
    <w:rsid w:val="007161D5"/>
    <w:rsid w:val="007162B5"/>
    <w:rsid w:val="007163D5"/>
    <w:rsid w:val="00717BA9"/>
    <w:rsid w:val="00720000"/>
    <w:rsid w:val="00720ECD"/>
    <w:rsid w:val="0072196C"/>
    <w:rsid w:val="00722604"/>
    <w:rsid w:val="00724E7C"/>
    <w:rsid w:val="0072568C"/>
    <w:rsid w:val="00726EC3"/>
    <w:rsid w:val="007270B3"/>
    <w:rsid w:val="007276A0"/>
    <w:rsid w:val="00727BB7"/>
    <w:rsid w:val="007318D6"/>
    <w:rsid w:val="00731A16"/>
    <w:rsid w:val="00732154"/>
    <w:rsid w:val="00734F45"/>
    <w:rsid w:val="00737A11"/>
    <w:rsid w:val="00740CA4"/>
    <w:rsid w:val="00740FD7"/>
    <w:rsid w:val="007435B8"/>
    <w:rsid w:val="007455C3"/>
    <w:rsid w:val="0074574F"/>
    <w:rsid w:val="007461FF"/>
    <w:rsid w:val="00747D2C"/>
    <w:rsid w:val="00747EB9"/>
    <w:rsid w:val="007519A6"/>
    <w:rsid w:val="00751A59"/>
    <w:rsid w:val="00751B32"/>
    <w:rsid w:val="00751D8F"/>
    <w:rsid w:val="00752E72"/>
    <w:rsid w:val="00753A00"/>
    <w:rsid w:val="007544D8"/>
    <w:rsid w:val="007551F9"/>
    <w:rsid w:val="00760628"/>
    <w:rsid w:val="00761B01"/>
    <w:rsid w:val="00761E7D"/>
    <w:rsid w:val="00761E9A"/>
    <w:rsid w:val="00764AE1"/>
    <w:rsid w:val="00765593"/>
    <w:rsid w:val="00765839"/>
    <w:rsid w:val="00766148"/>
    <w:rsid w:val="0076736C"/>
    <w:rsid w:val="00767F75"/>
    <w:rsid w:val="007724B0"/>
    <w:rsid w:val="00772558"/>
    <w:rsid w:val="00774DBC"/>
    <w:rsid w:val="00775105"/>
    <w:rsid w:val="007770D4"/>
    <w:rsid w:val="0077723C"/>
    <w:rsid w:val="007773FA"/>
    <w:rsid w:val="00782CED"/>
    <w:rsid w:val="007835DE"/>
    <w:rsid w:val="00783758"/>
    <w:rsid w:val="007859D4"/>
    <w:rsid w:val="0078711E"/>
    <w:rsid w:val="00790039"/>
    <w:rsid w:val="007905BF"/>
    <w:rsid w:val="00791373"/>
    <w:rsid w:val="0079210C"/>
    <w:rsid w:val="00792EF7"/>
    <w:rsid w:val="007934EA"/>
    <w:rsid w:val="0079411C"/>
    <w:rsid w:val="00795975"/>
    <w:rsid w:val="007964E8"/>
    <w:rsid w:val="00796D8C"/>
    <w:rsid w:val="007A182D"/>
    <w:rsid w:val="007A1D2F"/>
    <w:rsid w:val="007A2913"/>
    <w:rsid w:val="007A3AE1"/>
    <w:rsid w:val="007A400D"/>
    <w:rsid w:val="007A4A49"/>
    <w:rsid w:val="007A5274"/>
    <w:rsid w:val="007B1027"/>
    <w:rsid w:val="007B534B"/>
    <w:rsid w:val="007B6A17"/>
    <w:rsid w:val="007C12E9"/>
    <w:rsid w:val="007C23A4"/>
    <w:rsid w:val="007C34C2"/>
    <w:rsid w:val="007C39F7"/>
    <w:rsid w:val="007C44FC"/>
    <w:rsid w:val="007D12BA"/>
    <w:rsid w:val="007D12CE"/>
    <w:rsid w:val="007D35B7"/>
    <w:rsid w:val="007D38A0"/>
    <w:rsid w:val="007D3A2E"/>
    <w:rsid w:val="007D3E0E"/>
    <w:rsid w:val="007D6264"/>
    <w:rsid w:val="007D67A2"/>
    <w:rsid w:val="007E0BE8"/>
    <w:rsid w:val="007E3910"/>
    <w:rsid w:val="007E7513"/>
    <w:rsid w:val="007F4812"/>
    <w:rsid w:val="007F4A85"/>
    <w:rsid w:val="007F5F75"/>
    <w:rsid w:val="007F6F3B"/>
    <w:rsid w:val="007F75E6"/>
    <w:rsid w:val="007F7B7B"/>
    <w:rsid w:val="008005AB"/>
    <w:rsid w:val="00802155"/>
    <w:rsid w:val="00803799"/>
    <w:rsid w:val="00803819"/>
    <w:rsid w:val="00803D39"/>
    <w:rsid w:val="00804037"/>
    <w:rsid w:val="008059B4"/>
    <w:rsid w:val="008126D3"/>
    <w:rsid w:val="00812DA1"/>
    <w:rsid w:val="008152B7"/>
    <w:rsid w:val="00816209"/>
    <w:rsid w:val="00822DA8"/>
    <w:rsid w:val="008277CB"/>
    <w:rsid w:val="008278A0"/>
    <w:rsid w:val="00830213"/>
    <w:rsid w:val="00831AF7"/>
    <w:rsid w:val="00832BAE"/>
    <w:rsid w:val="008377F6"/>
    <w:rsid w:val="0084105C"/>
    <w:rsid w:val="008418BA"/>
    <w:rsid w:val="00841BC2"/>
    <w:rsid w:val="008422D0"/>
    <w:rsid w:val="00843003"/>
    <w:rsid w:val="00843C41"/>
    <w:rsid w:val="00843D97"/>
    <w:rsid w:val="00844FB6"/>
    <w:rsid w:val="008465B2"/>
    <w:rsid w:val="0084684D"/>
    <w:rsid w:val="00846D73"/>
    <w:rsid w:val="00846DC1"/>
    <w:rsid w:val="008500BD"/>
    <w:rsid w:val="0085408D"/>
    <w:rsid w:val="00855C0C"/>
    <w:rsid w:val="00856B17"/>
    <w:rsid w:val="00857391"/>
    <w:rsid w:val="00861A6B"/>
    <w:rsid w:val="00862427"/>
    <w:rsid w:val="00864B69"/>
    <w:rsid w:val="0086521C"/>
    <w:rsid w:val="00866F42"/>
    <w:rsid w:val="00867B32"/>
    <w:rsid w:val="00870449"/>
    <w:rsid w:val="008705B4"/>
    <w:rsid w:val="00874506"/>
    <w:rsid w:val="0087580D"/>
    <w:rsid w:val="008762AD"/>
    <w:rsid w:val="00876B18"/>
    <w:rsid w:val="00876F7B"/>
    <w:rsid w:val="008822F3"/>
    <w:rsid w:val="00883259"/>
    <w:rsid w:val="00884C15"/>
    <w:rsid w:val="008854AB"/>
    <w:rsid w:val="00890A24"/>
    <w:rsid w:val="00892175"/>
    <w:rsid w:val="00892612"/>
    <w:rsid w:val="00892B19"/>
    <w:rsid w:val="008936F5"/>
    <w:rsid w:val="00896394"/>
    <w:rsid w:val="008A1FFE"/>
    <w:rsid w:val="008A4F4F"/>
    <w:rsid w:val="008A6898"/>
    <w:rsid w:val="008A6DAD"/>
    <w:rsid w:val="008A73DD"/>
    <w:rsid w:val="008B533C"/>
    <w:rsid w:val="008B5CA1"/>
    <w:rsid w:val="008B5CD0"/>
    <w:rsid w:val="008C1CD1"/>
    <w:rsid w:val="008C258D"/>
    <w:rsid w:val="008C3A19"/>
    <w:rsid w:val="008C44BE"/>
    <w:rsid w:val="008C7539"/>
    <w:rsid w:val="008C75FF"/>
    <w:rsid w:val="008D1852"/>
    <w:rsid w:val="008D2DBE"/>
    <w:rsid w:val="008D3B91"/>
    <w:rsid w:val="008D5892"/>
    <w:rsid w:val="008D64CC"/>
    <w:rsid w:val="008D773D"/>
    <w:rsid w:val="008D7B48"/>
    <w:rsid w:val="008E0206"/>
    <w:rsid w:val="008E2810"/>
    <w:rsid w:val="008E5314"/>
    <w:rsid w:val="008E5D32"/>
    <w:rsid w:val="008E62C0"/>
    <w:rsid w:val="008E651F"/>
    <w:rsid w:val="008E736B"/>
    <w:rsid w:val="008F0C14"/>
    <w:rsid w:val="008F0E7C"/>
    <w:rsid w:val="008F1176"/>
    <w:rsid w:val="008F1AB4"/>
    <w:rsid w:val="008F3611"/>
    <w:rsid w:val="008F4125"/>
    <w:rsid w:val="008F5A81"/>
    <w:rsid w:val="008F60D2"/>
    <w:rsid w:val="00901785"/>
    <w:rsid w:val="009033CB"/>
    <w:rsid w:val="00905908"/>
    <w:rsid w:val="00906EA2"/>
    <w:rsid w:val="00912DF1"/>
    <w:rsid w:val="009141DA"/>
    <w:rsid w:val="009173FE"/>
    <w:rsid w:val="0091774D"/>
    <w:rsid w:val="00920DC0"/>
    <w:rsid w:val="00920E87"/>
    <w:rsid w:val="00920EAC"/>
    <w:rsid w:val="0092196E"/>
    <w:rsid w:val="00921C23"/>
    <w:rsid w:val="00921C84"/>
    <w:rsid w:val="00921ECE"/>
    <w:rsid w:val="00923B4E"/>
    <w:rsid w:val="009253DB"/>
    <w:rsid w:val="00926172"/>
    <w:rsid w:val="00930183"/>
    <w:rsid w:val="00931814"/>
    <w:rsid w:val="00931A3D"/>
    <w:rsid w:val="00932C9D"/>
    <w:rsid w:val="00933613"/>
    <w:rsid w:val="00935B79"/>
    <w:rsid w:val="00935C47"/>
    <w:rsid w:val="00936C00"/>
    <w:rsid w:val="00940B49"/>
    <w:rsid w:val="00942EA8"/>
    <w:rsid w:val="009456CE"/>
    <w:rsid w:val="00945747"/>
    <w:rsid w:val="009457A6"/>
    <w:rsid w:val="00950AEB"/>
    <w:rsid w:val="009516DF"/>
    <w:rsid w:val="00952D69"/>
    <w:rsid w:val="00952DC8"/>
    <w:rsid w:val="009543F0"/>
    <w:rsid w:val="00954F92"/>
    <w:rsid w:val="00955D2E"/>
    <w:rsid w:val="00962D11"/>
    <w:rsid w:val="009635A3"/>
    <w:rsid w:val="009638B2"/>
    <w:rsid w:val="009640D5"/>
    <w:rsid w:val="00964113"/>
    <w:rsid w:val="0096626C"/>
    <w:rsid w:val="00967B0F"/>
    <w:rsid w:val="0097012B"/>
    <w:rsid w:val="00970BBE"/>
    <w:rsid w:val="00972152"/>
    <w:rsid w:val="00974B11"/>
    <w:rsid w:val="0097556C"/>
    <w:rsid w:val="009755AC"/>
    <w:rsid w:val="00980CF7"/>
    <w:rsid w:val="009810BE"/>
    <w:rsid w:val="00981D52"/>
    <w:rsid w:val="009833F3"/>
    <w:rsid w:val="009837B5"/>
    <w:rsid w:val="00983898"/>
    <w:rsid w:val="00984816"/>
    <w:rsid w:val="00984BED"/>
    <w:rsid w:val="0098561B"/>
    <w:rsid w:val="009856D3"/>
    <w:rsid w:val="00987BD5"/>
    <w:rsid w:val="00994F94"/>
    <w:rsid w:val="00996262"/>
    <w:rsid w:val="009A1A2A"/>
    <w:rsid w:val="009A230B"/>
    <w:rsid w:val="009A23A7"/>
    <w:rsid w:val="009A3027"/>
    <w:rsid w:val="009B069B"/>
    <w:rsid w:val="009B3A93"/>
    <w:rsid w:val="009B3D14"/>
    <w:rsid w:val="009B5668"/>
    <w:rsid w:val="009B7C5B"/>
    <w:rsid w:val="009C1B73"/>
    <w:rsid w:val="009C2339"/>
    <w:rsid w:val="009C2FA6"/>
    <w:rsid w:val="009C4331"/>
    <w:rsid w:val="009C4967"/>
    <w:rsid w:val="009C4DEC"/>
    <w:rsid w:val="009C50A7"/>
    <w:rsid w:val="009C56E0"/>
    <w:rsid w:val="009C5BB0"/>
    <w:rsid w:val="009C5EF2"/>
    <w:rsid w:val="009D10EB"/>
    <w:rsid w:val="009D4771"/>
    <w:rsid w:val="009D538F"/>
    <w:rsid w:val="009D7122"/>
    <w:rsid w:val="009E30BC"/>
    <w:rsid w:val="009E3679"/>
    <w:rsid w:val="009E3712"/>
    <w:rsid w:val="009E43D9"/>
    <w:rsid w:val="009E49B1"/>
    <w:rsid w:val="009E5B84"/>
    <w:rsid w:val="009E707A"/>
    <w:rsid w:val="009E7088"/>
    <w:rsid w:val="009E78C9"/>
    <w:rsid w:val="009E7BB3"/>
    <w:rsid w:val="009F018D"/>
    <w:rsid w:val="009F03C5"/>
    <w:rsid w:val="009F124C"/>
    <w:rsid w:val="009F1FF6"/>
    <w:rsid w:val="009F3B97"/>
    <w:rsid w:val="00A02536"/>
    <w:rsid w:val="00A02758"/>
    <w:rsid w:val="00A033C6"/>
    <w:rsid w:val="00A03CAF"/>
    <w:rsid w:val="00A04ED0"/>
    <w:rsid w:val="00A04FD9"/>
    <w:rsid w:val="00A07B56"/>
    <w:rsid w:val="00A11E70"/>
    <w:rsid w:val="00A15D1C"/>
    <w:rsid w:val="00A17362"/>
    <w:rsid w:val="00A20CCA"/>
    <w:rsid w:val="00A20FE0"/>
    <w:rsid w:val="00A21025"/>
    <w:rsid w:val="00A24478"/>
    <w:rsid w:val="00A24707"/>
    <w:rsid w:val="00A24F35"/>
    <w:rsid w:val="00A25AFD"/>
    <w:rsid w:val="00A26505"/>
    <w:rsid w:val="00A27E5E"/>
    <w:rsid w:val="00A3007C"/>
    <w:rsid w:val="00A306C1"/>
    <w:rsid w:val="00A312CA"/>
    <w:rsid w:val="00A314AF"/>
    <w:rsid w:val="00A3266F"/>
    <w:rsid w:val="00A33408"/>
    <w:rsid w:val="00A33B50"/>
    <w:rsid w:val="00A35E9E"/>
    <w:rsid w:val="00A36D8D"/>
    <w:rsid w:val="00A37293"/>
    <w:rsid w:val="00A376E4"/>
    <w:rsid w:val="00A43B85"/>
    <w:rsid w:val="00A44297"/>
    <w:rsid w:val="00A447BA"/>
    <w:rsid w:val="00A463AF"/>
    <w:rsid w:val="00A4673B"/>
    <w:rsid w:val="00A46795"/>
    <w:rsid w:val="00A468CF"/>
    <w:rsid w:val="00A57256"/>
    <w:rsid w:val="00A61255"/>
    <w:rsid w:val="00A61336"/>
    <w:rsid w:val="00A6140A"/>
    <w:rsid w:val="00A6150D"/>
    <w:rsid w:val="00A6279F"/>
    <w:rsid w:val="00A62A2D"/>
    <w:rsid w:val="00A634BB"/>
    <w:rsid w:val="00A645D0"/>
    <w:rsid w:val="00A65355"/>
    <w:rsid w:val="00A65C64"/>
    <w:rsid w:val="00A677F3"/>
    <w:rsid w:val="00A67A06"/>
    <w:rsid w:val="00A73AAB"/>
    <w:rsid w:val="00A747ED"/>
    <w:rsid w:val="00A7762D"/>
    <w:rsid w:val="00A8083C"/>
    <w:rsid w:val="00A83DDF"/>
    <w:rsid w:val="00A84877"/>
    <w:rsid w:val="00A85600"/>
    <w:rsid w:val="00A86EF9"/>
    <w:rsid w:val="00A87AB6"/>
    <w:rsid w:val="00A91390"/>
    <w:rsid w:val="00A91636"/>
    <w:rsid w:val="00A922B7"/>
    <w:rsid w:val="00A9257A"/>
    <w:rsid w:val="00A92C41"/>
    <w:rsid w:val="00A9619B"/>
    <w:rsid w:val="00AA0178"/>
    <w:rsid w:val="00AA07E9"/>
    <w:rsid w:val="00AA2997"/>
    <w:rsid w:val="00AA5B82"/>
    <w:rsid w:val="00AA6CBE"/>
    <w:rsid w:val="00AA71C5"/>
    <w:rsid w:val="00AA74A6"/>
    <w:rsid w:val="00AA7908"/>
    <w:rsid w:val="00AB0AEC"/>
    <w:rsid w:val="00AB100F"/>
    <w:rsid w:val="00AB118F"/>
    <w:rsid w:val="00AB17B6"/>
    <w:rsid w:val="00AB17E4"/>
    <w:rsid w:val="00AB1810"/>
    <w:rsid w:val="00AB2AB1"/>
    <w:rsid w:val="00AB2C96"/>
    <w:rsid w:val="00AB36E4"/>
    <w:rsid w:val="00AB58FA"/>
    <w:rsid w:val="00AC0B29"/>
    <w:rsid w:val="00AC15A7"/>
    <w:rsid w:val="00AC227E"/>
    <w:rsid w:val="00AC2448"/>
    <w:rsid w:val="00AC49CE"/>
    <w:rsid w:val="00AC62D7"/>
    <w:rsid w:val="00AD0C23"/>
    <w:rsid w:val="00AD286C"/>
    <w:rsid w:val="00AD3139"/>
    <w:rsid w:val="00AD6400"/>
    <w:rsid w:val="00AD6B47"/>
    <w:rsid w:val="00AE0905"/>
    <w:rsid w:val="00AE11C8"/>
    <w:rsid w:val="00AE1446"/>
    <w:rsid w:val="00AE2A0A"/>
    <w:rsid w:val="00AE3351"/>
    <w:rsid w:val="00AE3641"/>
    <w:rsid w:val="00AE37A3"/>
    <w:rsid w:val="00AE47E7"/>
    <w:rsid w:val="00AE4998"/>
    <w:rsid w:val="00AE7933"/>
    <w:rsid w:val="00AF0218"/>
    <w:rsid w:val="00AF02E6"/>
    <w:rsid w:val="00AF150D"/>
    <w:rsid w:val="00AF1584"/>
    <w:rsid w:val="00AF1CCC"/>
    <w:rsid w:val="00AF1E6B"/>
    <w:rsid w:val="00AF38A8"/>
    <w:rsid w:val="00AF3E2E"/>
    <w:rsid w:val="00AF57DE"/>
    <w:rsid w:val="00AF617B"/>
    <w:rsid w:val="00AF775C"/>
    <w:rsid w:val="00B003F9"/>
    <w:rsid w:val="00B01897"/>
    <w:rsid w:val="00B01A47"/>
    <w:rsid w:val="00B03030"/>
    <w:rsid w:val="00B04E58"/>
    <w:rsid w:val="00B059CA"/>
    <w:rsid w:val="00B05DFC"/>
    <w:rsid w:val="00B11880"/>
    <w:rsid w:val="00B11B4E"/>
    <w:rsid w:val="00B12EC8"/>
    <w:rsid w:val="00B16196"/>
    <w:rsid w:val="00B168ED"/>
    <w:rsid w:val="00B1764E"/>
    <w:rsid w:val="00B17EFB"/>
    <w:rsid w:val="00B20182"/>
    <w:rsid w:val="00B21D36"/>
    <w:rsid w:val="00B231E6"/>
    <w:rsid w:val="00B2334C"/>
    <w:rsid w:val="00B23457"/>
    <w:rsid w:val="00B24D9C"/>
    <w:rsid w:val="00B2512A"/>
    <w:rsid w:val="00B2621F"/>
    <w:rsid w:val="00B273F9"/>
    <w:rsid w:val="00B2741E"/>
    <w:rsid w:val="00B304B5"/>
    <w:rsid w:val="00B30917"/>
    <w:rsid w:val="00B34CAA"/>
    <w:rsid w:val="00B35A40"/>
    <w:rsid w:val="00B36397"/>
    <w:rsid w:val="00B36998"/>
    <w:rsid w:val="00B421DB"/>
    <w:rsid w:val="00B4331B"/>
    <w:rsid w:val="00B44237"/>
    <w:rsid w:val="00B44FB9"/>
    <w:rsid w:val="00B457DE"/>
    <w:rsid w:val="00B46A7E"/>
    <w:rsid w:val="00B52CB1"/>
    <w:rsid w:val="00B5482B"/>
    <w:rsid w:val="00B549FE"/>
    <w:rsid w:val="00B54FE1"/>
    <w:rsid w:val="00B557EA"/>
    <w:rsid w:val="00B567C5"/>
    <w:rsid w:val="00B60FBC"/>
    <w:rsid w:val="00B61C27"/>
    <w:rsid w:val="00B61CC1"/>
    <w:rsid w:val="00B6576B"/>
    <w:rsid w:val="00B6704F"/>
    <w:rsid w:val="00B67346"/>
    <w:rsid w:val="00B72CF8"/>
    <w:rsid w:val="00B74FE3"/>
    <w:rsid w:val="00B7623A"/>
    <w:rsid w:val="00B76410"/>
    <w:rsid w:val="00B81075"/>
    <w:rsid w:val="00B82C92"/>
    <w:rsid w:val="00B85136"/>
    <w:rsid w:val="00B85C3C"/>
    <w:rsid w:val="00B878C6"/>
    <w:rsid w:val="00B90FB4"/>
    <w:rsid w:val="00B91E98"/>
    <w:rsid w:val="00B928E4"/>
    <w:rsid w:val="00B9466D"/>
    <w:rsid w:val="00B96CD0"/>
    <w:rsid w:val="00BA0312"/>
    <w:rsid w:val="00BA26AE"/>
    <w:rsid w:val="00BA52C8"/>
    <w:rsid w:val="00BA68F4"/>
    <w:rsid w:val="00BA715A"/>
    <w:rsid w:val="00BB0A2F"/>
    <w:rsid w:val="00BB2F46"/>
    <w:rsid w:val="00BB3B96"/>
    <w:rsid w:val="00BB41A6"/>
    <w:rsid w:val="00BB42FC"/>
    <w:rsid w:val="00BB4903"/>
    <w:rsid w:val="00BB505D"/>
    <w:rsid w:val="00BB7156"/>
    <w:rsid w:val="00BB729A"/>
    <w:rsid w:val="00BB746E"/>
    <w:rsid w:val="00BB77AA"/>
    <w:rsid w:val="00BC21C5"/>
    <w:rsid w:val="00BC22B1"/>
    <w:rsid w:val="00BC2BAC"/>
    <w:rsid w:val="00BC412C"/>
    <w:rsid w:val="00BC4FA7"/>
    <w:rsid w:val="00BC549F"/>
    <w:rsid w:val="00BC5823"/>
    <w:rsid w:val="00BC6087"/>
    <w:rsid w:val="00BC65D9"/>
    <w:rsid w:val="00BC770A"/>
    <w:rsid w:val="00BD0AD5"/>
    <w:rsid w:val="00BD1AAF"/>
    <w:rsid w:val="00BD315B"/>
    <w:rsid w:val="00BD3489"/>
    <w:rsid w:val="00BD3C7C"/>
    <w:rsid w:val="00BD3D34"/>
    <w:rsid w:val="00BD460C"/>
    <w:rsid w:val="00BD5855"/>
    <w:rsid w:val="00BD6278"/>
    <w:rsid w:val="00BD69F9"/>
    <w:rsid w:val="00BE1015"/>
    <w:rsid w:val="00BE1D93"/>
    <w:rsid w:val="00BE1F0F"/>
    <w:rsid w:val="00BE1FD9"/>
    <w:rsid w:val="00BE2EC2"/>
    <w:rsid w:val="00BE44E1"/>
    <w:rsid w:val="00BE486A"/>
    <w:rsid w:val="00BE4A27"/>
    <w:rsid w:val="00BE615D"/>
    <w:rsid w:val="00BE7379"/>
    <w:rsid w:val="00BE7839"/>
    <w:rsid w:val="00BF06FA"/>
    <w:rsid w:val="00BF1028"/>
    <w:rsid w:val="00BF286A"/>
    <w:rsid w:val="00BF322A"/>
    <w:rsid w:val="00BF46DA"/>
    <w:rsid w:val="00BF5395"/>
    <w:rsid w:val="00BF7595"/>
    <w:rsid w:val="00BF7FAA"/>
    <w:rsid w:val="00C00AB5"/>
    <w:rsid w:val="00C00F35"/>
    <w:rsid w:val="00C01B0C"/>
    <w:rsid w:val="00C01BDF"/>
    <w:rsid w:val="00C0397C"/>
    <w:rsid w:val="00C047EF"/>
    <w:rsid w:val="00C04AEC"/>
    <w:rsid w:val="00C0646A"/>
    <w:rsid w:val="00C0649D"/>
    <w:rsid w:val="00C06FFE"/>
    <w:rsid w:val="00C0723D"/>
    <w:rsid w:val="00C07DC1"/>
    <w:rsid w:val="00C10893"/>
    <w:rsid w:val="00C10E9F"/>
    <w:rsid w:val="00C138AC"/>
    <w:rsid w:val="00C143A2"/>
    <w:rsid w:val="00C15E58"/>
    <w:rsid w:val="00C16037"/>
    <w:rsid w:val="00C16C4C"/>
    <w:rsid w:val="00C17628"/>
    <w:rsid w:val="00C17844"/>
    <w:rsid w:val="00C17BF2"/>
    <w:rsid w:val="00C20D5D"/>
    <w:rsid w:val="00C22878"/>
    <w:rsid w:val="00C23275"/>
    <w:rsid w:val="00C23AED"/>
    <w:rsid w:val="00C26CA6"/>
    <w:rsid w:val="00C2716F"/>
    <w:rsid w:val="00C32A77"/>
    <w:rsid w:val="00C32FA4"/>
    <w:rsid w:val="00C339F6"/>
    <w:rsid w:val="00C3483E"/>
    <w:rsid w:val="00C360E6"/>
    <w:rsid w:val="00C36D76"/>
    <w:rsid w:val="00C37A89"/>
    <w:rsid w:val="00C41C54"/>
    <w:rsid w:val="00C458C6"/>
    <w:rsid w:val="00C50B54"/>
    <w:rsid w:val="00C52E8C"/>
    <w:rsid w:val="00C5303D"/>
    <w:rsid w:val="00C53E66"/>
    <w:rsid w:val="00C56512"/>
    <w:rsid w:val="00C62386"/>
    <w:rsid w:val="00C62983"/>
    <w:rsid w:val="00C62C6D"/>
    <w:rsid w:val="00C63793"/>
    <w:rsid w:val="00C6497E"/>
    <w:rsid w:val="00C64AC7"/>
    <w:rsid w:val="00C64C00"/>
    <w:rsid w:val="00C65E4A"/>
    <w:rsid w:val="00C6710A"/>
    <w:rsid w:val="00C674F5"/>
    <w:rsid w:val="00C70B57"/>
    <w:rsid w:val="00C713C3"/>
    <w:rsid w:val="00C748D0"/>
    <w:rsid w:val="00C74CCF"/>
    <w:rsid w:val="00C75786"/>
    <w:rsid w:val="00C767AD"/>
    <w:rsid w:val="00C80488"/>
    <w:rsid w:val="00C81E21"/>
    <w:rsid w:val="00C82ABC"/>
    <w:rsid w:val="00C85A6B"/>
    <w:rsid w:val="00C90551"/>
    <w:rsid w:val="00C914FB"/>
    <w:rsid w:val="00C9195E"/>
    <w:rsid w:val="00C91C08"/>
    <w:rsid w:val="00C92012"/>
    <w:rsid w:val="00C9351C"/>
    <w:rsid w:val="00C9497E"/>
    <w:rsid w:val="00C95C8D"/>
    <w:rsid w:val="00C966AD"/>
    <w:rsid w:val="00C9697F"/>
    <w:rsid w:val="00C969AD"/>
    <w:rsid w:val="00CA0035"/>
    <w:rsid w:val="00CA2A9D"/>
    <w:rsid w:val="00CA2F40"/>
    <w:rsid w:val="00CA3DA7"/>
    <w:rsid w:val="00CA3DAC"/>
    <w:rsid w:val="00CA4A48"/>
    <w:rsid w:val="00CA7DDE"/>
    <w:rsid w:val="00CB0CD7"/>
    <w:rsid w:val="00CB1B94"/>
    <w:rsid w:val="00CB1FD8"/>
    <w:rsid w:val="00CB2126"/>
    <w:rsid w:val="00CB38CC"/>
    <w:rsid w:val="00CB498C"/>
    <w:rsid w:val="00CB4F1B"/>
    <w:rsid w:val="00CB52D8"/>
    <w:rsid w:val="00CB59A0"/>
    <w:rsid w:val="00CB5F2F"/>
    <w:rsid w:val="00CC02EF"/>
    <w:rsid w:val="00CC1B2D"/>
    <w:rsid w:val="00CC35A7"/>
    <w:rsid w:val="00CC3DF3"/>
    <w:rsid w:val="00CC5E33"/>
    <w:rsid w:val="00CC6315"/>
    <w:rsid w:val="00CD3413"/>
    <w:rsid w:val="00CD3BA9"/>
    <w:rsid w:val="00CD72DD"/>
    <w:rsid w:val="00CE0392"/>
    <w:rsid w:val="00CE063C"/>
    <w:rsid w:val="00CE0A8D"/>
    <w:rsid w:val="00CE311B"/>
    <w:rsid w:val="00CE38C5"/>
    <w:rsid w:val="00CE51DC"/>
    <w:rsid w:val="00CE598F"/>
    <w:rsid w:val="00CE5AA4"/>
    <w:rsid w:val="00CE5B52"/>
    <w:rsid w:val="00CE62B4"/>
    <w:rsid w:val="00CE645E"/>
    <w:rsid w:val="00CE739F"/>
    <w:rsid w:val="00CF0597"/>
    <w:rsid w:val="00CF096A"/>
    <w:rsid w:val="00CF25D1"/>
    <w:rsid w:val="00CF2CA7"/>
    <w:rsid w:val="00CF737F"/>
    <w:rsid w:val="00CF7CE6"/>
    <w:rsid w:val="00D00224"/>
    <w:rsid w:val="00D01819"/>
    <w:rsid w:val="00D03D99"/>
    <w:rsid w:val="00D054D4"/>
    <w:rsid w:val="00D05EA3"/>
    <w:rsid w:val="00D05FBF"/>
    <w:rsid w:val="00D0600E"/>
    <w:rsid w:val="00D063EB"/>
    <w:rsid w:val="00D06FB8"/>
    <w:rsid w:val="00D10749"/>
    <w:rsid w:val="00D1194B"/>
    <w:rsid w:val="00D134B1"/>
    <w:rsid w:val="00D1371F"/>
    <w:rsid w:val="00D1380C"/>
    <w:rsid w:val="00D2078C"/>
    <w:rsid w:val="00D207DA"/>
    <w:rsid w:val="00D20D71"/>
    <w:rsid w:val="00D210E0"/>
    <w:rsid w:val="00D2172E"/>
    <w:rsid w:val="00D22ABB"/>
    <w:rsid w:val="00D23BC5"/>
    <w:rsid w:val="00D25250"/>
    <w:rsid w:val="00D255EF"/>
    <w:rsid w:val="00D262DC"/>
    <w:rsid w:val="00D26632"/>
    <w:rsid w:val="00D27308"/>
    <w:rsid w:val="00D2732F"/>
    <w:rsid w:val="00D27C1E"/>
    <w:rsid w:val="00D30415"/>
    <w:rsid w:val="00D30AC6"/>
    <w:rsid w:val="00D315E2"/>
    <w:rsid w:val="00D31763"/>
    <w:rsid w:val="00D324A2"/>
    <w:rsid w:val="00D3399F"/>
    <w:rsid w:val="00D3609C"/>
    <w:rsid w:val="00D36FBC"/>
    <w:rsid w:val="00D3786B"/>
    <w:rsid w:val="00D37928"/>
    <w:rsid w:val="00D37A9C"/>
    <w:rsid w:val="00D416A1"/>
    <w:rsid w:val="00D4258B"/>
    <w:rsid w:val="00D44C4D"/>
    <w:rsid w:val="00D45FBE"/>
    <w:rsid w:val="00D46CDE"/>
    <w:rsid w:val="00D477CB"/>
    <w:rsid w:val="00D47B2E"/>
    <w:rsid w:val="00D518C1"/>
    <w:rsid w:val="00D520E4"/>
    <w:rsid w:val="00D53209"/>
    <w:rsid w:val="00D570CC"/>
    <w:rsid w:val="00D6166F"/>
    <w:rsid w:val="00D61CD6"/>
    <w:rsid w:val="00D6339E"/>
    <w:rsid w:val="00D6431E"/>
    <w:rsid w:val="00D64443"/>
    <w:rsid w:val="00D65C9E"/>
    <w:rsid w:val="00D66ED0"/>
    <w:rsid w:val="00D711F2"/>
    <w:rsid w:val="00D7170F"/>
    <w:rsid w:val="00D71D03"/>
    <w:rsid w:val="00D721C8"/>
    <w:rsid w:val="00D73CC1"/>
    <w:rsid w:val="00D776A0"/>
    <w:rsid w:val="00D804E9"/>
    <w:rsid w:val="00D81362"/>
    <w:rsid w:val="00D8429A"/>
    <w:rsid w:val="00D847C4"/>
    <w:rsid w:val="00D8513B"/>
    <w:rsid w:val="00D864FD"/>
    <w:rsid w:val="00D87432"/>
    <w:rsid w:val="00D90A16"/>
    <w:rsid w:val="00D90B78"/>
    <w:rsid w:val="00D91B68"/>
    <w:rsid w:val="00D91EC2"/>
    <w:rsid w:val="00D93347"/>
    <w:rsid w:val="00D93FEA"/>
    <w:rsid w:val="00D940B8"/>
    <w:rsid w:val="00D9489F"/>
    <w:rsid w:val="00D948F2"/>
    <w:rsid w:val="00D95AED"/>
    <w:rsid w:val="00DA11B7"/>
    <w:rsid w:val="00DA248B"/>
    <w:rsid w:val="00DA47D0"/>
    <w:rsid w:val="00DA5400"/>
    <w:rsid w:val="00DA6F14"/>
    <w:rsid w:val="00DA72D1"/>
    <w:rsid w:val="00DA7337"/>
    <w:rsid w:val="00DA7AFA"/>
    <w:rsid w:val="00DA7BB4"/>
    <w:rsid w:val="00DB04CB"/>
    <w:rsid w:val="00DB39EA"/>
    <w:rsid w:val="00DB53E4"/>
    <w:rsid w:val="00DB57B0"/>
    <w:rsid w:val="00DB6173"/>
    <w:rsid w:val="00DB69E8"/>
    <w:rsid w:val="00DB6A53"/>
    <w:rsid w:val="00DC121E"/>
    <w:rsid w:val="00DC1396"/>
    <w:rsid w:val="00DC22C6"/>
    <w:rsid w:val="00DC2628"/>
    <w:rsid w:val="00DC4FA6"/>
    <w:rsid w:val="00DC5A69"/>
    <w:rsid w:val="00DC7067"/>
    <w:rsid w:val="00DD05CD"/>
    <w:rsid w:val="00DD13A4"/>
    <w:rsid w:val="00DD45BA"/>
    <w:rsid w:val="00DD4B6B"/>
    <w:rsid w:val="00DD4C8D"/>
    <w:rsid w:val="00DD4DB1"/>
    <w:rsid w:val="00DD4F55"/>
    <w:rsid w:val="00DD4FFB"/>
    <w:rsid w:val="00DD685F"/>
    <w:rsid w:val="00DE0B98"/>
    <w:rsid w:val="00DE0DCC"/>
    <w:rsid w:val="00DE110A"/>
    <w:rsid w:val="00DE1304"/>
    <w:rsid w:val="00DE203C"/>
    <w:rsid w:val="00DE255F"/>
    <w:rsid w:val="00DE2C42"/>
    <w:rsid w:val="00DE2E98"/>
    <w:rsid w:val="00DE377A"/>
    <w:rsid w:val="00DE42D2"/>
    <w:rsid w:val="00DE4BD9"/>
    <w:rsid w:val="00DE5CAA"/>
    <w:rsid w:val="00DE6812"/>
    <w:rsid w:val="00DF0C64"/>
    <w:rsid w:val="00DF289F"/>
    <w:rsid w:val="00DF3414"/>
    <w:rsid w:val="00DF4551"/>
    <w:rsid w:val="00DF4F09"/>
    <w:rsid w:val="00E0016E"/>
    <w:rsid w:val="00E0049F"/>
    <w:rsid w:val="00E004EE"/>
    <w:rsid w:val="00E0154C"/>
    <w:rsid w:val="00E0254C"/>
    <w:rsid w:val="00E02FB0"/>
    <w:rsid w:val="00E0314D"/>
    <w:rsid w:val="00E03378"/>
    <w:rsid w:val="00E033EA"/>
    <w:rsid w:val="00E06BD7"/>
    <w:rsid w:val="00E072E1"/>
    <w:rsid w:val="00E0737D"/>
    <w:rsid w:val="00E0768A"/>
    <w:rsid w:val="00E076DF"/>
    <w:rsid w:val="00E1082D"/>
    <w:rsid w:val="00E10960"/>
    <w:rsid w:val="00E11220"/>
    <w:rsid w:val="00E11FF1"/>
    <w:rsid w:val="00E1277B"/>
    <w:rsid w:val="00E1407D"/>
    <w:rsid w:val="00E1432E"/>
    <w:rsid w:val="00E1480A"/>
    <w:rsid w:val="00E15968"/>
    <w:rsid w:val="00E1749A"/>
    <w:rsid w:val="00E177A5"/>
    <w:rsid w:val="00E17D77"/>
    <w:rsid w:val="00E17DB0"/>
    <w:rsid w:val="00E2185B"/>
    <w:rsid w:val="00E223F8"/>
    <w:rsid w:val="00E249FD"/>
    <w:rsid w:val="00E2638C"/>
    <w:rsid w:val="00E27C51"/>
    <w:rsid w:val="00E30546"/>
    <w:rsid w:val="00E311F7"/>
    <w:rsid w:val="00E31A8A"/>
    <w:rsid w:val="00E3244A"/>
    <w:rsid w:val="00E334AB"/>
    <w:rsid w:val="00E33E7B"/>
    <w:rsid w:val="00E3489C"/>
    <w:rsid w:val="00E35ED2"/>
    <w:rsid w:val="00E410A6"/>
    <w:rsid w:val="00E41EE6"/>
    <w:rsid w:val="00E43C75"/>
    <w:rsid w:val="00E45263"/>
    <w:rsid w:val="00E466BC"/>
    <w:rsid w:val="00E47A73"/>
    <w:rsid w:val="00E513C4"/>
    <w:rsid w:val="00E51A46"/>
    <w:rsid w:val="00E52581"/>
    <w:rsid w:val="00E52900"/>
    <w:rsid w:val="00E55F5B"/>
    <w:rsid w:val="00E56070"/>
    <w:rsid w:val="00E6125A"/>
    <w:rsid w:val="00E6190B"/>
    <w:rsid w:val="00E62E9B"/>
    <w:rsid w:val="00E653E9"/>
    <w:rsid w:val="00E6643D"/>
    <w:rsid w:val="00E7005E"/>
    <w:rsid w:val="00E717CE"/>
    <w:rsid w:val="00E71EF3"/>
    <w:rsid w:val="00E73C2F"/>
    <w:rsid w:val="00E74966"/>
    <w:rsid w:val="00E74AE3"/>
    <w:rsid w:val="00E7503E"/>
    <w:rsid w:val="00E760C2"/>
    <w:rsid w:val="00E76B47"/>
    <w:rsid w:val="00E7796B"/>
    <w:rsid w:val="00E77EBE"/>
    <w:rsid w:val="00E80600"/>
    <w:rsid w:val="00E80F94"/>
    <w:rsid w:val="00E825B5"/>
    <w:rsid w:val="00E86911"/>
    <w:rsid w:val="00E86DFC"/>
    <w:rsid w:val="00E8744D"/>
    <w:rsid w:val="00E90746"/>
    <w:rsid w:val="00E916EB"/>
    <w:rsid w:val="00E92CC8"/>
    <w:rsid w:val="00E9463B"/>
    <w:rsid w:val="00E94D71"/>
    <w:rsid w:val="00EA0CEB"/>
    <w:rsid w:val="00EA26A2"/>
    <w:rsid w:val="00EA2E86"/>
    <w:rsid w:val="00EA637A"/>
    <w:rsid w:val="00EA6F4F"/>
    <w:rsid w:val="00EB35BA"/>
    <w:rsid w:val="00EB47B1"/>
    <w:rsid w:val="00EB50AD"/>
    <w:rsid w:val="00EB6A33"/>
    <w:rsid w:val="00EB6B21"/>
    <w:rsid w:val="00EC07C9"/>
    <w:rsid w:val="00EC17C4"/>
    <w:rsid w:val="00EC2F68"/>
    <w:rsid w:val="00EC6521"/>
    <w:rsid w:val="00EC6821"/>
    <w:rsid w:val="00EC7DD4"/>
    <w:rsid w:val="00ED0431"/>
    <w:rsid w:val="00ED1F3B"/>
    <w:rsid w:val="00ED2507"/>
    <w:rsid w:val="00ED2AAB"/>
    <w:rsid w:val="00ED2B2F"/>
    <w:rsid w:val="00ED51BF"/>
    <w:rsid w:val="00ED6993"/>
    <w:rsid w:val="00ED7AF0"/>
    <w:rsid w:val="00EE227B"/>
    <w:rsid w:val="00EE41B4"/>
    <w:rsid w:val="00EE4605"/>
    <w:rsid w:val="00EE5B30"/>
    <w:rsid w:val="00EE69DE"/>
    <w:rsid w:val="00EF144C"/>
    <w:rsid w:val="00EF23DD"/>
    <w:rsid w:val="00EF4095"/>
    <w:rsid w:val="00EF55CC"/>
    <w:rsid w:val="00EF60CD"/>
    <w:rsid w:val="00EF7B42"/>
    <w:rsid w:val="00F006D8"/>
    <w:rsid w:val="00F02588"/>
    <w:rsid w:val="00F02A22"/>
    <w:rsid w:val="00F02E4D"/>
    <w:rsid w:val="00F038C4"/>
    <w:rsid w:val="00F058AD"/>
    <w:rsid w:val="00F05B3D"/>
    <w:rsid w:val="00F05BD5"/>
    <w:rsid w:val="00F0636B"/>
    <w:rsid w:val="00F066E3"/>
    <w:rsid w:val="00F1248D"/>
    <w:rsid w:val="00F12667"/>
    <w:rsid w:val="00F15EDA"/>
    <w:rsid w:val="00F201C7"/>
    <w:rsid w:val="00F21970"/>
    <w:rsid w:val="00F21E39"/>
    <w:rsid w:val="00F22548"/>
    <w:rsid w:val="00F23430"/>
    <w:rsid w:val="00F234B1"/>
    <w:rsid w:val="00F23D3C"/>
    <w:rsid w:val="00F30F78"/>
    <w:rsid w:val="00F341CE"/>
    <w:rsid w:val="00F34580"/>
    <w:rsid w:val="00F42E0D"/>
    <w:rsid w:val="00F43948"/>
    <w:rsid w:val="00F447A6"/>
    <w:rsid w:val="00F46D53"/>
    <w:rsid w:val="00F470ED"/>
    <w:rsid w:val="00F50F61"/>
    <w:rsid w:val="00F51926"/>
    <w:rsid w:val="00F523C1"/>
    <w:rsid w:val="00F545C4"/>
    <w:rsid w:val="00F545CF"/>
    <w:rsid w:val="00F5495B"/>
    <w:rsid w:val="00F5509B"/>
    <w:rsid w:val="00F57067"/>
    <w:rsid w:val="00F5790A"/>
    <w:rsid w:val="00F57CC5"/>
    <w:rsid w:val="00F60EF8"/>
    <w:rsid w:val="00F61A05"/>
    <w:rsid w:val="00F63349"/>
    <w:rsid w:val="00F640F8"/>
    <w:rsid w:val="00F65463"/>
    <w:rsid w:val="00F666D9"/>
    <w:rsid w:val="00F66F4E"/>
    <w:rsid w:val="00F67A68"/>
    <w:rsid w:val="00F7164A"/>
    <w:rsid w:val="00F735BA"/>
    <w:rsid w:val="00F768EF"/>
    <w:rsid w:val="00F77A85"/>
    <w:rsid w:val="00F80452"/>
    <w:rsid w:val="00F80B65"/>
    <w:rsid w:val="00F811CB"/>
    <w:rsid w:val="00F82527"/>
    <w:rsid w:val="00F84906"/>
    <w:rsid w:val="00F84C7F"/>
    <w:rsid w:val="00F861BF"/>
    <w:rsid w:val="00F86D1E"/>
    <w:rsid w:val="00F878CE"/>
    <w:rsid w:val="00F87951"/>
    <w:rsid w:val="00F922D0"/>
    <w:rsid w:val="00F9372E"/>
    <w:rsid w:val="00F9791D"/>
    <w:rsid w:val="00FA21CC"/>
    <w:rsid w:val="00FA2F81"/>
    <w:rsid w:val="00FA396B"/>
    <w:rsid w:val="00FA3B45"/>
    <w:rsid w:val="00FA3EB4"/>
    <w:rsid w:val="00FA526F"/>
    <w:rsid w:val="00FA57BC"/>
    <w:rsid w:val="00FA5A08"/>
    <w:rsid w:val="00FA5A81"/>
    <w:rsid w:val="00FA5AA2"/>
    <w:rsid w:val="00FA72FB"/>
    <w:rsid w:val="00FA78D5"/>
    <w:rsid w:val="00FB4543"/>
    <w:rsid w:val="00FB5445"/>
    <w:rsid w:val="00FB74E7"/>
    <w:rsid w:val="00FC1D8B"/>
    <w:rsid w:val="00FC1F56"/>
    <w:rsid w:val="00FC5028"/>
    <w:rsid w:val="00FC5C17"/>
    <w:rsid w:val="00FC61F2"/>
    <w:rsid w:val="00FC6C4B"/>
    <w:rsid w:val="00FC7368"/>
    <w:rsid w:val="00FC7EA8"/>
    <w:rsid w:val="00FD0E59"/>
    <w:rsid w:val="00FD125B"/>
    <w:rsid w:val="00FD27B8"/>
    <w:rsid w:val="00FD50E3"/>
    <w:rsid w:val="00FD5B25"/>
    <w:rsid w:val="00FD5E74"/>
    <w:rsid w:val="00FD63D7"/>
    <w:rsid w:val="00FD7232"/>
    <w:rsid w:val="00FE10BB"/>
    <w:rsid w:val="00FE1D21"/>
    <w:rsid w:val="00FE2D01"/>
    <w:rsid w:val="00FE5530"/>
    <w:rsid w:val="00FE5D2B"/>
    <w:rsid w:val="00FE6192"/>
    <w:rsid w:val="00FE6E85"/>
    <w:rsid w:val="00FE7E94"/>
    <w:rsid w:val="00FF2B98"/>
    <w:rsid w:val="00FF2C01"/>
    <w:rsid w:val="00FF3336"/>
    <w:rsid w:val="00FF63A4"/>
    <w:rsid w:val="00FF6AE0"/>
    <w:rsid w:val="00FF7E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4928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FA"/>
    <w:pPr>
      <w:spacing w:before="120"/>
      <w:ind w:left="1361"/>
    </w:pPr>
    <w:rPr>
      <w:rFonts w:ascii="Arial" w:hAnsi="Arial"/>
      <w:sz w:val="22"/>
      <w:szCs w:val="24"/>
      <w:lang w:eastAsia="en-US"/>
    </w:rPr>
  </w:style>
  <w:style w:type="paragraph" w:styleId="Heading1">
    <w:name w:val="heading 1"/>
    <w:aliases w:val="Section Heading,Section,chapter heading,(Section),Chapter heading"/>
    <w:next w:val="Normal"/>
    <w:link w:val="Heading1Char"/>
    <w:qFormat/>
    <w:rsid w:val="00FA3EB4"/>
    <w:pPr>
      <w:keepNext/>
      <w:pageBreakBefore/>
      <w:pBdr>
        <w:bottom w:val="single" w:sz="4" w:space="6" w:color="auto"/>
      </w:pBdr>
      <w:spacing w:before="1200" w:after="480"/>
      <w:outlineLvl w:val="0"/>
    </w:pPr>
    <w:rPr>
      <w:rFonts w:ascii="Arial" w:hAnsi="Arial"/>
      <w:sz w:val="56"/>
      <w:szCs w:val="24"/>
      <w:lang w:eastAsia="en-US"/>
    </w:rPr>
  </w:style>
  <w:style w:type="paragraph" w:styleId="Heading2">
    <w:name w:val="heading 2"/>
    <w:aliases w:val="A heading"/>
    <w:basedOn w:val="Normal"/>
    <w:next w:val="Normal"/>
    <w:link w:val="Heading2Char"/>
    <w:qFormat/>
    <w:rsid w:val="00D73CC1"/>
    <w:pPr>
      <w:keepNext/>
      <w:spacing w:before="420" w:after="120"/>
      <w:outlineLvl w:val="1"/>
    </w:pPr>
    <w:rPr>
      <w:rFonts w:cs="Arial"/>
      <w:b/>
      <w:bCs/>
      <w:iCs/>
      <w:sz w:val="28"/>
      <w:szCs w:val="28"/>
    </w:rPr>
  </w:style>
  <w:style w:type="paragraph" w:styleId="Heading3">
    <w:name w:val="heading 3"/>
    <w:aliases w:val="B heading"/>
    <w:basedOn w:val="Heading2"/>
    <w:next w:val="Normal"/>
    <w:link w:val="Heading3Char"/>
    <w:qFormat/>
    <w:rsid w:val="00D73CC1"/>
    <w:pPr>
      <w:outlineLvl w:val="2"/>
    </w:pPr>
    <w:rPr>
      <w:bCs w:val="0"/>
      <w:sz w:val="22"/>
      <w:szCs w:val="26"/>
    </w:rPr>
  </w:style>
  <w:style w:type="paragraph" w:styleId="Heading4">
    <w:name w:val="heading 4"/>
    <w:aliases w:val="Table heading"/>
    <w:basedOn w:val="Heading3"/>
    <w:next w:val="Normal"/>
    <w:link w:val="Heading4Char"/>
    <w:qFormat/>
    <w:pPr>
      <w:outlineLvl w:val="3"/>
    </w:pPr>
    <w:rPr>
      <w:bCs/>
      <w:szCs w:val="28"/>
    </w:rPr>
  </w:style>
  <w:style w:type="paragraph" w:styleId="Heading5">
    <w:name w:val="heading 5"/>
    <w:aliases w:val="Pull-out text"/>
    <w:basedOn w:val="Heading4"/>
    <w:next w:val="Normal"/>
    <w:link w:val="Heading5Char"/>
    <w:qFormat/>
    <w:pPr>
      <w:outlineLvl w:val="4"/>
    </w:pPr>
    <w:rPr>
      <w:bCs w:val="0"/>
      <w:iCs w:val="0"/>
      <w:szCs w:val="26"/>
    </w:rPr>
  </w:style>
  <w:style w:type="paragraph" w:styleId="Heading6">
    <w:name w:val="heading 6"/>
    <w:basedOn w:val="Heading5"/>
    <w:next w:val="Normal"/>
    <w:link w:val="Heading6Char"/>
    <w:qFormat/>
    <w:pPr>
      <w:outlineLvl w:val="5"/>
    </w:pPr>
    <w:rPr>
      <w:bCs/>
      <w:szCs w:val="22"/>
    </w:rPr>
  </w:style>
  <w:style w:type="paragraph" w:styleId="Heading7">
    <w:name w:val="heading 7"/>
    <w:basedOn w:val="Heading6"/>
    <w:next w:val="Normal"/>
    <w:link w:val="Heading7Char"/>
    <w:qFormat/>
    <w:pPr>
      <w:outlineLvl w:val="6"/>
    </w:pPr>
  </w:style>
  <w:style w:type="paragraph" w:styleId="Heading8">
    <w:name w:val="heading 8"/>
    <w:basedOn w:val="Heading7"/>
    <w:next w:val="Normal"/>
    <w:link w:val="Heading8Char"/>
    <w:qFormat/>
    <w:pPr>
      <w:outlineLvl w:val="7"/>
    </w:pPr>
    <w:rPr>
      <w:iCs/>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Arial"/>
    <w:basedOn w:val="Normal"/>
    <w:link w:val="FootnoteTextChar"/>
    <w:uiPriority w:val="99"/>
    <w:rsid w:val="001D187C"/>
    <w:pPr>
      <w:pBdr>
        <w:top w:val="single" w:sz="4" w:space="6" w:color="auto"/>
      </w:pBdr>
    </w:pPr>
    <w:rPr>
      <w:sz w:val="20"/>
      <w:szCs w:val="20"/>
    </w:rPr>
  </w:style>
  <w:style w:type="character" w:styleId="FootnoteReference">
    <w:name w:val="footnote reference"/>
    <w:aliases w:val="*UKCES Footnote Reference,Footnote Reference Superscript"/>
    <w:basedOn w:val="DefaultParagraphFont"/>
    <w:uiPriority w:val="99"/>
    <w:rsid w:val="001D187C"/>
    <w:rPr>
      <w:vertAlign w:val="superscript"/>
    </w:rPr>
  </w:style>
  <w:style w:type="paragraph" w:styleId="TOAHeading">
    <w:name w:val="toa heading"/>
    <w:basedOn w:val="Normal"/>
    <w:next w:val="Normal"/>
    <w:semiHidden/>
    <w:rPr>
      <w:rFonts w:cs="Arial"/>
      <w:b/>
      <w:bCs/>
    </w:rPr>
  </w:style>
  <w:style w:type="paragraph" w:customStyle="1" w:styleId="CoverDocumentTitle">
    <w:name w:val="Cover Document Title"/>
    <w:basedOn w:val="Normal"/>
    <w:rsid w:val="00EF55CC"/>
    <w:pPr>
      <w:spacing w:before="0" w:after="360"/>
      <w:ind w:left="0"/>
    </w:pPr>
    <w:rPr>
      <w:sz w:val="56"/>
    </w:rPr>
  </w:style>
  <w:style w:type="paragraph" w:customStyle="1" w:styleId="CoverSubTitle">
    <w:name w:val="Cover Sub Title"/>
    <w:basedOn w:val="Normal"/>
    <w:rsid w:val="00EF55CC"/>
    <w:pPr>
      <w:spacing w:before="0" w:after="360"/>
      <w:ind w:left="0"/>
    </w:pPr>
    <w:rPr>
      <w:sz w:val="36"/>
    </w:rPr>
  </w:style>
  <w:style w:type="paragraph" w:styleId="Header">
    <w:name w:val="header"/>
    <w:basedOn w:val="Normal"/>
    <w:link w:val="HeaderChar"/>
    <w:rsid w:val="00A35E9E"/>
    <w:pPr>
      <w:tabs>
        <w:tab w:val="right" w:pos="10206"/>
      </w:tabs>
      <w:spacing w:before="0"/>
      <w:ind w:left="0"/>
    </w:pPr>
    <w:rPr>
      <w:sz w:val="18"/>
    </w:rPr>
  </w:style>
  <w:style w:type="paragraph" w:styleId="Footer">
    <w:name w:val="footer"/>
    <w:basedOn w:val="Normal"/>
    <w:link w:val="FooterChar"/>
    <w:uiPriority w:val="99"/>
    <w:pPr>
      <w:tabs>
        <w:tab w:val="center" w:pos="4153"/>
        <w:tab w:val="right" w:pos="8306"/>
      </w:tabs>
      <w:ind w:left="0"/>
    </w:pPr>
  </w:style>
  <w:style w:type="paragraph" w:customStyle="1" w:styleId="Address">
    <w:name w:val="Address"/>
    <w:basedOn w:val="Normal"/>
    <w:rsid w:val="00125909"/>
    <w:pPr>
      <w:spacing w:before="0" w:after="60"/>
      <w:ind w:left="0"/>
    </w:pPr>
  </w:style>
  <w:style w:type="paragraph" w:styleId="TOC4">
    <w:name w:val="toc 4"/>
    <w:basedOn w:val="Normal"/>
    <w:next w:val="Normal"/>
    <w:uiPriority w:val="39"/>
    <w:pPr>
      <w:ind w:left="0"/>
    </w:pPr>
  </w:style>
  <w:style w:type="paragraph" w:customStyle="1" w:styleId="WebAddress">
    <w:name w:val="Web Address"/>
    <w:basedOn w:val="Address"/>
    <w:rsid w:val="00B928E4"/>
    <w:rPr>
      <w:b/>
    </w:rPr>
  </w:style>
  <w:style w:type="paragraph" w:customStyle="1" w:styleId="Heading1Numbered">
    <w:name w:val="Heading 1 Numbered"/>
    <w:basedOn w:val="Heading1"/>
    <w:next w:val="Normal"/>
    <w:qFormat/>
    <w:rsid w:val="005A5D21"/>
    <w:pPr>
      <w:numPr>
        <w:numId w:val="1"/>
      </w:numPr>
      <w:ind w:left="0"/>
    </w:pPr>
  </w:style>
  <w:style w:type="paragraph" w:customStyle="1" w:styleId="Heading2Numbered">
    <w:name w:val="Heading 2 Numbered"/>
    <w:basedOn w:val="Heading2"/>
    <w:next w:val="Normal"/>
    <w:qFormat/>
    <w:rsid w:val="00DC1396"/>
    <w:pPr>
      <w:numPr>
        <w:ilvl w:val="1"/>
        <w:numId w:val="1"/>
      </w:numPr>
      <w:tabs>
        <w:tab w:val="clear" w:pos="851"/>
        <w:tab w:val="num" w:pos="1361"/>
      </w:tabs>
      <w:ind w:left="1361" w:hanging="1361"/>
    </w:pPr>
  </w:style>
  <w:style w:type="paragraph" w:customStyle="1" w:styleId="StyleTOCHeadingBottomSinglesolidlineAuto05ptLine">
    <w:name w:val="Style TOC Heading + Bottom: (Single solid line Auto  0.5 pt Line ..."/>
    <w:basedOn w:val="TOCHeading"/>
    <w:rsid w:val="001E4EE9"/>
    <w:rPr>
      <w:szCs w:val="20"/>
    </w:rPr>
  </w:style>
  <w:style w:type="paragraph" w:customStyle="1" w:styleId="Heading3Numbered">
    <w:name w:val="Heading 3 Numbered"/>
    <w:basedOn w:val="Heading3"/>
    <w:next w:val="Normal"/>
    <w:qFormat/>
    <w:rsid w:val="00DC1396"/>
    <w:pPr>
      <w:numPr>
        <w:ilvl w:val="2"/>
        <w:numId w:val="1"/>
      </w:numPr>
      <w:tabs>
        <w:tab w:val="clear" w:pos="1080"/>
      </w:tabs>
      <w:ind w:left="1361" w:hanging="1361"/>
    </w:pPr>
  </w:style>
  <w:style w:type="paragraph" w:styleId="TOC1">
    <w:name w:val="toc 1"/>
    <w:basedOn w:val="Normal"/>
    <w:next w:val="Normal"/>
    <w:uiPriority w:val="39"/>
    <w:qFormat/>
    <w:rsid w:val="00436D02"/>
    <w:pPr>
      <w:spacing w:after="120"/>
      <w:ind w:left="0"/>
    </w:pPr>
    <w:rPr>
      <w:b/>
    </w:rPr>
  </w:style>
  <w:style w:type="paragraph" w:styleId="TOC2">
    <w:name w:val="toc 2"/>
    <w:basedOn w:val="TOC1"/>
    <w:next w:val="Normal"/>
    <w:uiPriority w:val="39"/>
    <w:qFormat/>
    <w:rsid w:val="00436D02"/>
    <w:pPr>
      <w:ind w:left="720"/>
    </w:pPr>
    <w:rPr>
      <w:b w:val="0"/>
    </w:rPr>
  </w:style>
  <w:style w:type="paragraph" w:styleId="TOC3">
    <w:name w:val="toc 3"/>
    <w:basedOn w:val="Normal"/>
    <w:next w:val="Normal"/>
    <w:uiPriority w:val="39"/>
    <w:qFormat/>
    <w:rsid w:val="00436D02"/>
    <w:pPr>
      <w:ind w:left="1440"/>
    </w:pPr>
  </w:style>
  <w:style w:type="paragraph" w:styleId="TOC5">
    <w:name w:val="toc 5"/>
    <w:basedOn w:val="Normal"/>
    <w:next w:val="Normal"/>
    <w:uiPriority w:val="39"/>
    <w:pPr>
      <w:ind w:left="0"/>
    </w:pPr>
  </w:style>
  <w:style w:type="paragraph" w:styleId="TOC6">
    <w:name w:val="toc 6"/>
    <w:basedOn w:val="Normal"/>
    <w:next w:val="Normal"/>
    <w:uiPriority w:val="39"/>
    <w:pPr>
      <w:ind w:left="0"/>
    </w:pPr>
  </w:style>
  <w:style w:type="paragraph" w:styleId="TOC7">
    <w:name w:val="toc 7"/>
    <w:basedOn w:val="Normal"/>
    <w:next w:val="Normal"/>
    <w:uiPriority w:val="39"/>
    <w:pPr>
      <w:ind w:left="0"/>
    </w:pPr>
  </w:style>
  <w:style w:type="paragraph" w:styleId="TOC8">
    <w:name w:val="toc 8"/>
    <w:basedOn w:val="Normal"/>
    <w:next w:val="Normal"/>
    <w:uiPriority w:val="39"/>
    <w:pPr>
      <w:ind w:left="0"/>
    </w:pPr>
  </w:style>
  <w:style w:type="paragraph" w:styleId="TOC9">
    <w:name w:val="toc 9"/>
    <w:basedOn w:val="Normal"/>
    <w:next w:val="Normal"/>
    <w:uiPriority w:val="39"/>
    <w:pPr>
      <w:tabs>
        <w:tab w:val="left" w:pos="1418"/>
        <w:tab w:val="right" w:leader="dot" w:pos="10206"/>
      </w:tabs>
      <w:ind w:left="1418" w:hanging="1418"/>
    </w:pPr>
  </w:style>
  <w:style w:type="character" w:styleId="Hyperlink">
    <w:name w:val="Hyperlink"/>
    <w:basedOn w:val="DefaultParagraphFont"/>
    <w:uiPriority w:val="99"/>
    <w:rsid w:val="00542840"/>
    <w:rPr>
      <w:rFonts w:ascii="Arial" w:hAnsi="Arial"/>
      <w:color w:val="0000FF"/>
      <w:sz w:val="22"/>
      <w:u w:val="single"/>
    </w:rPr>
  </w:style>
  <w:style w:type="paragraph" w:customStyle="1" w:styleId="Heading4Numbered">
    <w:name w:val="Heading 4 Numbered"/>
    <w:basedOn w:val="Heading4"/>
    <w:next w:val="Normal"/>
    <w:rsid w:val="004563B9"/>
    <w:pPr>
      <w:numPr>
        <w:ilvl w:val="3"/>
        <w:numId w:val="1"/>
      </w:numPr>
      <w:tabs>
        <w:tab w:val="left" w:pos="851"/>
      </w:tabs>
    </w:pPr>
  </w:style>
  <w:style w:type="paragraph" w:styleId="BodyText">
    <w:name w:val="Body Text"/>
    <w:basedOn w:val="Normal"/>
    <w:link w:val="BodyTextChar"/>
    <w:rsid w:val="005C0743"/>
    <w:pPr>
      <w:spacing w:before="0"/>
    </w:pPr>
  </w:style>
  <w:style w:type="paragraph" w:customStyle="1" w:styleId="Heading5Numbered">
    <w:name w:val="Heading 5 Numbered"/>
    <w:basedOn w:val="Heading5"/>
    <w:next w:val="Normal"/>
    <w:rsid w:val="005C0743"/>
    <w:pPr>
      <w:numPr>
        <w:ilvl w:val="4"/>
        <w:numId w:val="1"/>
      </w:numPr>
      <w:tabs>
        <w:tab w:val="left" w:pos="1134"/>
      </w:tabs>
    </w:pPr>
  </w:style>
  <w:style w:type="paragraph" w:customStyle="1" w:styleId="Heading6Numbered">
    <w:name w:val="Heading 6 Numbered"/>
    <w:basedOn w:val="Heading6"/>
    <w:next w:val="Normal"/>
    <w:rsid w:val="005C0743"/>
    <w:pPr>
      <w:numPr>
        <w:ilvl w:val="5"/>
        <w:numId w:val="1"/>
      </w:numPr>
      <w:tabs>
        <w:tab w:val="left" w:pos="1134"/>
      </w:tabs>
    </w:pPr>
  </w:style>
  <w:style w:type="paragraph" w:customStyle="1" w:styleId="Heading7Numbered">
    <w:name w:val="Heading 7 Numbered"/>
    <w:basedOn w:val="Heading7"/>
    <w:next w:val="Normal"/>
    <w:rsid w:val="005C0743"/>
    <w:pPr>
      <w:numPr>
        <w:ilvl w:val="6"/>
        <w:numId w:val="1"/>
      </w:numPr>
      <w:tabs>
        <w:tab w:val="left" w:pos="1418"/>
      </w:tabs>
    </w:pPr>
  </w:style>
  <w:style w:type="paragraph" w:customStyle="1" w:styleId="Heading8Numbered">
    <w:name w:val="Heading 8 Numbered"/>
    <w:basedOn w:val="Heading8"/>
    <w:next w:val="Normal"/>
    <w:rsid w:val="005C0743"/>
    <w:pPr>
      <w:numPr>
        <w:ilvl w:val="7"/>
        <w:numId w:val="1"/>
      </w:numPr>
      <w:tabs>
        <w:tab w:val="left" w:pos="1701"/>
      </w:tabs>
    </w:pPr>
  </w:style>
  <w:style w:type="paragraph" w:customStyle="1" w:styleId="Heading9Numbered">
    <w:name w:val="Heading 9 Numbered"/>
    <w:basedOn w:val="Heading9"/>
    <w:next w:val="Normal"/>
    <w:rsid w:val="005C0743"/>
    <w:pPr>
      <w:numPr>
        <w:ilvl w:val="8"/>
        <w:numId w:val="1"/>
      </w:numPr>
      <w:tabs>
        <w:tab w:val="left" w:pos="1985"/>
      </w:tabs>
    </w:pPr>
  </w:style>
  <w:style w:type="paragraph" w:styleId="TOCHeading">
    <w:name w:val="TOC Heading"/>
    <w:basedOn w:val="Heading1"/>
    <w:uiPriority w:val="39"/>
    <w:qFormat/>
    <w:pPr>
      <w:outlineLvl w:val="9"/>
    </w:pPr>
  </w:style>
  <w:style w:type="character" w:styleId="HTMLAcronym">
    <w:name w:val="HTML Acronym"/>
    <w:basedOn w:val="DefaultParagraphFont"/>
    <w:rsid w:val="00542840"/>
    <w:rPr>
      <w:rFonts w:ascii="Arial" w:hAnsi="Arial"/>
      <w:sz w:val="22"/>
    </w:rPr>
  </w:style>
  <w:style w:type="paragraph" w:styleId="ListBullet">
    <w:name w:val="List Bullet"/>
    <w:basedOn w:val="Normal"/>
    <w:uiPriority w:val="99"/>
    <w:rsid w:val="00B52CB1"/>
    <w:pPr>
      <w:numPr>
        <w:numId w:val="3"/>
      </w:numPr>
      <w:tabs>
        <w:tab w:val="left" w:pos="1134"/>
      </w:tabs>
      <w:spacing w:after="120"/>
    </w:pPr>
  </w:style>
  <w:style w:type="paragraph" w:styleId="TableofFigures">
    <w:name w:val="table of figures"/>
    <w:basedOn w:val="Normal"/>
    <w:next w:val="Normal"/>
    <w:uiPriority w:val="99"/>
    <w:pPr>
      <w:ind w:left="480" w:hanging="480"/>
    </w:pPr>
  </w:style>
  <w:style w:type="paragraph" w:styleId="Index1">
    <w:name w:val="index 1"/>
    <w:basedOn w:val="Normal"/>
    <w:next w:val="Normal"/>
    <w:autoRedefine/>
    <w:semiHidden/>
    <w:pPr>
      <w:ind w:left="240" w:hanging="240"/>
    </w:pPr>
  </w:style>
  <w:style w:type="paragraph" w:customStyle="1" w:styleId="TableHeading">
    <w:name w:val="Table Heading"/>
    <w:basedOn w:val="Normal"/>
    <w:rsid w:val="00542840"/>
    <w:pPr>
      <w:spacing w:before="60" w:after="60"/>
      <w:ind w:left="0"/>
    </w:pPr>
    <w:rPr>
      <w:b/>
      <w:bCs/>
    </w:rPr>
  </w:style>
  <w:style w:type="paragraph" w:customStyle="1" w:styleId="Heading1Appendix">
    <w:name w:val="Heading 1 Appendix"/>
    <w:basedOn w:val="Heading1Numbered"/>
    <w:next w:val="Normal"/>
    <w:rsid w:val="001E4EE9"/>
    <w:pPr>
      <w:numPr>
        <w:numId w:val="2"/>
      </w:numPr>
    </w:pPr>
  </w:style>
  <w:style w:type="paragraph" w:customStyle="1" w:styleId="Heading2Appendix">
    <w:name w:val="Heading 2 Appendix"/>
    <w:basedOn w:val="Heading2Numbered"/>
    <w:next w:val="Normal"/>
    <w:rsid w:val="004563B9"/>
    <w:pPr>
      <w:numPr>
        <w:numId w:val="2"/>
      </w:numPr>
      <w:ind w:left="2779"/>
    </w:pPr>
  </w:style>
  <w:style w:type="paragraph" w:customStyle="1" w:styleId="Heading3Appendix">
    <w:name w:val="Heading 3 Appendix"/>
    <w:basedOn w:val="Heading3Numbered"/>
    <w:next w:val="Normal"/>
    <w:rsid w:val="004563B9"/>
    <w:pPr>
      <w:numPr>
        <w:numId w:val="2"/>
      </w:numPr>
      <w:tabs>
        <w:tab w:val="clear" w:pos="1080"/>
      </w:tabs>
      <w:ind w:left="2779"/>
    </w:pPr>
  </w:style>
  <w:style w:type="paragraph" w:customStyle="1" w:styleId="Heading4Appendix">
    <w:name w:val="Heading 4 Appendix"/>
    <w:basedOn w:val="Heading4Numbered"/>
    <w:next w:val="Normal"/>
    <w:rsid w:val="004563B9"/>
    <w:pPr>
      <w:numPr>
        <w:numId w:val="2"/>
      </w:numPr>
      <w:tabs>
        <w:tab w:val="clear" w:pos="2291"/>
      </w:tabs>
      <w:ind w:left="2779" w:hanging="851"/>
    </w:pPr>
  </w:style>
  <w:style w:type="paragraph" w:customStyle="1" w:styleId="Heading5Appendix">
    <w:name w:val="Heading 5 Appendix"/>
    <w:basedOn w:val="Heading5Numbered"/>
    <w:next w:val="Normal"/>
    <w:rsid w:val="005C0743"/>
    <w:pPr>
      <w:numPr>
        <w:numId w:val="2"/>
      </w:numPr>
      <w:tabs>
        <w:tab w:val="clear" w:pos="2651"/>
      </w:tabs>
      <w:ind w:left="3062" w:hanging="1134"/>
    </w:pPr>
  </w:style>
  <w:style w:type="paragraph" w:customStyle="1" w:styleId="Heading6Appendix">
    <w:name w:val="Heading 6 Appendix"/>
    <w:basedOn w:val="Heading6Numbered"/>
    <w:next w:val="Normal"/>
    <w:rsid w:val="005C0743"/>
    <w:pPr>
      <w:numPr>
        <w:numId w:val="2"/>
      </w:numPr>
      <w:tabs>
        <w:tab w:val="clear" w:pos="3011"/>
      </w:tabs>
      <w:ind w:left="3062" w:hanging="1134"/>
    </w:pPr>
  </w:style>
  <w:style w:type="paragraph" w:customStyle="1" w:styleId="Heading7Appendix">
    <w:name w:val="Heading 7 Appendix"/>
    <w:basedOn w:val="Heading7Numbered"/>
    <w:next w:val="Normal"/>
    <w:rsid w:val="005C0743"/>
    <w:pPr>
      <w:numPr>
        <w:numId w:val="2"/>
      </w:numPr>
      <w:tabs>
        <w:tab w:val="clear" w:pos="3371"/>
      </w:tabs>
      <w:ind w:left="3346" w:hanging="1418"/>
    </w:pPr>
  </w:style>
  <w:style w:type="paragraph" w:customStyle="1" w:styleId="Heading8Appendix">
    <w:name w:val="Heading 8 Appendix"/>
    <w:basedOn w:val="Heading8Numbered"/>
    <w:next w:val="Normal"/>
    <w:rsid w:val="005C0743"/>
    <w:pPr>
      <w:numPr>
        <w:numId w:val="2"/>
      </w:numPr>
      <w:tabs>
        <w:tab w:val="clear" w:pos="3731"/>
      </w:tabs>
      <w:ind w:left="3629" w:hanging="1701"/>
    </w:pPr>
  </w:style>
  <w:style w:type="paragraph" w:customStyle="1" w:styleId="Heading9Appendix">
    <w:name w:val="Heading 9 Appendix"/>
    <w:basedOn w:val="Heading9Numbered"/>
    <w:next w:val="Normal"/>
    <w:rsid w:val="005C0743"/>
    <w:pPr>
      <w:numPr>
        <w:numId w:val="2"/>
      </w:numPr>
      <w:tabs>
        <w:tab w:val="clear" w:pos="4091"/>
      </w:tabs>
      <w:ind w:left="3913" w:hanging="1985"/>
    </w:pPr>
  </w:style>
  <w:style w:type="paragraph" w:customStyle="1" w:styleId="TableBody">
    <w:name w:val="Table Body"/>
    <w:basedOn w:val="Normal"/>
    <w:pPr>
      <w:spacing w:before="60" w:after="60"/>
      <w:ind w:left="0"/>
    </w:pPr>
  </w:style>
  <w:style w:type="paragraph" w:customStyle="1" w:styleId="CoverDate">
    <w:name w:val="Cover Date"/>
    <w:basedOn w:val="Normal"/>
    <w:rsid w:val="00492820"/>
    <w:pPr>
      <w:ind w:left="0"/>
    </w:pPr>
    <w:rPr>
      <w:sz w:val="24"/>
    </w:rPr>
  </w:style>
  <w:style w:type="paragraph" w:customStyle="1" w:styleId="MissionStatement">
    <w:name w:val="Mission Statement"/>
    <w:basedOn w:val="Normal"/>
    <w:rsid w:val="00401173"/>
    <w:pPr>
      <w:ind w:left="0"/>
    </w:pPr>
    <w:rPr>
      <w:sz w:val="40"/>
    </w:rPr>
  </w:style>
  <w:style w:type="table" w:styleId="TableGrid">
    <w:name w:val="Table Grid"/>
    <w:basedOn w:val="TableNormal"/>
    <w:uiPriority w:val="59"/>
    <w:rsid w:val="00542840"/>
    <w:pPr>
      <w:spacing w:before="120"/>
      <w:ind w:left="851"/>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Bold">
    <w:name w:val="Header Bold"/>
    <w:basedOn w:val="Header"/>
    <w:rsid w:val="00F51926"/>
    <w:rPr>
      <w:b/>
    </w:rPr>
  </w:style>
  <w:style w:type="paragraph" w:customStyle="1" w:styleId="Default">
    <w:name w:val="Default"/>
    <w:rsid w:val="0065214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rsid w:val="008C3A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C3A19"/>
    <w:rPr>
      <w:rFonts w:ascii="Tahoma" w:hAnsi="Tahoma" w:cs="Tahoma"/>
      <w:sz w:val="16"/>
      <w:szCs w:val="16"/>
      <w:lang w:eastAsia="en-US"/>
    </w:rPr>
  </w:style>
  <w:style w:type="numbering" w:customStyle="1" w:styleId="NoList1">
    <w:name w:val="No List1"/>
    <w:next w:val="NoList"/>
    <w:uiPriority w:val="99"/>
    <w:semiHidden/>
    <w:unhideWhenUsed/>
    <w:rsid w:val="00D36FBC"/>
  </w:style>
  <w:style w:type="character" w:customStyle="1" w:styleId="Heading1Char">
    <w:name w:val="Heading 1 Char"/>
    <w:aliases w:val="Section Heading Char,Section Char,chapter heading Char,(Section) Char,Chapter heading Char"/>
    <w:link w:val="Heading1"/>
    <w:locked/>
    <w:rsid w:val="00FA3EB4"/>
    <w:rPr>
      <w:rFonts w:ascii="Arial" w:hAnsi="Arial"/>
      <w:sz w:val="56"/>
      <w:szCs w:val="24"/>
      <w:lang w:eastAsia="en-US"/>
    </w:rPr>
  </w:style>
  <w:style w:type="character" w:customStyle="1" w:styleId="Heading2Char">
    <w:name w:val="Heading 2 Char"/>
    <w:aliases w:val="A heading Char"/>
    <w:link w:val="Heading2"/>
    <w:locked/>
    <w:rsid w:val="00D36FBC"/>
    <w:rPr>
      <w:rFonts w:ascii="Arial" w:hAnsi="Arial" w:cs="Arial"/>
      <w:b/>
      <w:bCs/>
      <w:iCs/>
      <w:sz w:val="28"/>
      <w:szCs w:val="28"/>
      <w:lang w:eastAsia="en-US"/>
    </w:rPr>
  </w:style>
  <w:style w:type="character" w:customStyle="1" w:styleId="Heading3Char">
    <w:name w:val="Heading 3 Char"/>
    <w:aliases w:val="B heading Char"/>
    <w:link w:val="Heading3"/>
    <w:locked/>
    <w:rsid w:val="00D36FBC"/>
    <w:rPr>
      <w:rFonts w:ascii="Arial" w:hAnsi="Arial" w:cs="Arial"/>
      <w:b/>
      <w:iCs/>
      <w:sz w:val="22"/>
      <w:szCs w:val="26"/>
      <w:lang w:eastAsia="en-US"/>
    </w:rPr>
  </w:style>
  <w:style w:type="character" w:customStyle="1" w:styleId="Heading4Char">
    <w:name w:val="Heading 4 Char"/>
    <w:aliases w:val="Table heading Char"/>
    <w:link w:val="Heading4"/>
    <w:locked/>
    <w:rsid w:val="00D36FBC"/>
    <w:rPr>
      <w:rFonts w:ascii="Arial" w:hAnsi="Arial" w:cs="Arial"/>
      <w:b/>
      <w:bCs/>
      <w:iCs/>
      <w:sz w:val="22"/>
      <w:szCs w:val="28"/>
      <w:lang w:eastAsia="en-US"/>
    </w:rPr>
  </w:style>
  <w:style w:type="paragraph" w:styleId="ListParagraph">
    <w:name w:val="List Paragraph"/>
    <w:basedOn w:val="Normal"/>
    <w:link w:val="ListParagraphChar"/>
    <w:uiPriority w:val="34"/>
    <w:qFormat/>
    <w:rsid w:val="00D36FBC"/>
    <w:pPr>
      <w:spacing w:before="0"/>
      <w:ind w:left="720"/>
      <w:contextualSpacing/>
    </w:pPr>
    <w:rPr>
      <w:rFonts w:ascii="Times New Roman" w:eastAsia="SimSun" w:hAnsi="Times New Roman"/>
      <w:sz w:val="24"/>
      <w:lang w:eastAsia="en-GB"/>
    </w:rPr>
  </w:style>
  <w:style w:type="table" w:customStyle="1" w:styleId="TableGrid1">
    <w:name w:val="Table Grid1"/>
    <w:basedOn w:val="TableNormal"/>
    <w:next w:val="TableGrid"/>
    <w:uiPriority w:val="59"/>
    <w:rsid w:val="00D36FBC"/>
    <w:rPr>
      <w:rFonts w:ascii="Arial" w:eastAsia="SimSun" w:hAnsi="Arial" w:cs="Arial"/>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D36FBC"/>
    <w:rPr>
      <w:rFonts w:cs="Times New Roman"/>
      <w:sz w:val="16"/>
      <w:szCs w:val="16"/>
    </w:rPr>
  </w:style>
  <w:style w:type="paragraph" w:styleId="CommentText">
    <w:name w:val="annotation text"/>
    <w:basedOn w:val="Normal"/>
    <w:link w:val="CommentTextChar"/>
    <w:uiPriority w:val="99"/>
    <w:rsid w:val="00D36FBC"/>
    <w:pPr>
      <w:spacing w:before="0"/>
      <w:ind w:left="0"/>
    </w:pPr>
    <w:rPr>
      <w:rFonts w:ascii="Times New Roman" w:eastAsia="SimSun" w:hAnsi="Times New Roman"/>
      <w:sz w:val="20"/>
      <w:szCs w:val="20"/>
      <w:lang w:eastAsia="en-GB"/>
    </w:rPr>
  </w:style>
  <w:style w:type="character" w:customStyle="1" w:styleId="CommentTextChar">
    <w:name w:val="Comment Text Char"/>
    <w:basedOn w:val="DefaultParagraphFont"/>
    <w:link w:val="CommentText"/>
    <w:uiPriority w:val="99"/>
    <w:rsid w:val="00D36FBC"/>
    <w:rPr>
      <w:rFonts w:eastAsia="SimSun"/>
    </w:rPr>
  </w:style>
  <w:style w:type="paragraph" w:customStyle="1" w:styleId="BodytextSubhead">
    <w:name w:val="~Bodytext Subhead"/>
    <w:basedOn w:val="Normal"/>
    <w:uiPriority w:val="99"/>
    <w:rsid w:val="00D36FBC"/>
    <w:pPr>
      <w:tabs>
        <w:tab w:val="left" w:pos="1634"/>
      </w:tabs>
      <w:spacing w:before="0" w:after="560" w:line="320" w:lineRule="exact"/>
      <w:ind w:left="0"/>
    </w:pPr>
    <w:rPr>
      <w:rFonts w:eastAsia="SimSun" w:cs="Arial"/>
      <w:color w:val="626262"/>
      <w:spacing w:val="2"/>
      <w:kern w:val="28"/>
      <w:sz w:val="30"/>
      <w:szCs w:val="30"/>
      <w:lang w:eastAsia="zh-CN"/>
    </w:rPr>
  </w:style>
  <w:style w:type="character" w:customStyle="1" w:styleId="HeaderChar">
    <w:name w:val="Header Char"/>
    <w:link w:val="Header"/>
    <w:locked/>
    <w:rsid w:val="00D36FBC"/>
    <w:rPr>
      <w:rFonts w:ascii="Arial" w:hAnsi="Arial"/>
      <w:sz w:val="18"/>
      <w:szCs w:val="24"/>
      <w:lang w:eastAsia="en-US"/>
    </w:rPr>
  </w:style>
  <w:style w:type="character" w:customStyle="1" w:styleId="FooterChar">
    <w:name w:val="Footer Char"/>
    <w:link w:val="Footer"/>
    <w:uiPriority w:val="99"/>
    <w:locked/>
    <w:rsid w:val="00D36FBC"/>
    <w:rPr>
      <w:rFonts w:ascii="Arial" w:hAnsi="Arial"/>
      <w:sz w:val="22"/>
      <w:szCs w:val="24"/>
      <w:lang w:eastAsia="en-US"/>
    </w:rPr>
  </w:style>
  <w:style w:type="character" w:styleId="Strong">
    <w:name w:val="Strong"/>
    <w:uiPriority w:val="99"/>
    <w:qFormat/>
    <w:rsid w:val="00D36FBC"/>
    <w:rPr>
      <w:rFonts w:cs="Times New Roman"/>
      <w:b/>
      <w:bCs/>
    </w:rPr>
  </w:style>
  <w:style w:type="paragraph" w:styleId="CommentSubject">
    <w:name w:val="annotation subject"/>
    <w:basedOn w:val="CommentText"/>
    <w:next w:val="CommentText"/>
    <w:link w:val="CommentSubjectChar"/>
    <w:uiPriority w:val="99"/>
    <w:rsid w:val="00D36FBC"/>
    <w:pPr>
      <w:ind w:left="851" w:right="833"/>
    </w:pPr>
    <w:rPr>
      <w:rFonts w:ascii="Arial" w:hAnsi="Arial"/>
      <w:b/>
      <w:bCs/>
    </w:rPr>
  </w:style>
  <w:style w:type="character" w:customStyle="1" w:styleId="CommentSubjectChar">
    <w:name w:val="Comment Subject Char"/>
    <w:basedOn w:val="CommentTextChar"/>
    <w:link w:val="CommentSubject"/>
    <w:uiPriority w:val="99"/>
    <w:rsid w:val="00D36FBC"/>
    <w:rPr>
      <w:rFonts w:ascii="Arial" w:eastAsia="SimSun" w:hAnsi="Arial"/>
      <w:b/>
      <w:bCs/>
    </w:rPr>
  </w:style>
  <w:style w:type="paragraph" w:styleId="Revision">
    <w:name w:val="Revision"/>
    <w:hidden/>
    <w:uiPriority w:val="99"/>
    <w:semiHidden/>
    <w:rsid w:val="00D36FBC"/>
    <w:rPr>
      <w:rFonts w:ascii="Arial" w:eastAsia="SimSun" w:hAnsi="Arial" w:cs="Arial"/>
      <w:sz w:val="24"/>
      <w:szCs w:val="24"/>
      <w:lang w:eastAsia="zh-CN"/>
    </w:rPr>
  </w:style>
  <w:style w:type="paragraph" w:styleId="PlainText">
    <w:name w:val="Plain Text"/>
    <w:basedOn w:val="Normal"/>
    <w:link w:val="PlainTextChar"/>
    <w:uiPriority w:val="99"/>
    <w:rsid w:val="00D36FBC"/>
    <w:pPr>
      <w:spacing w:before="0"/>
      <w:ind w:left="0"/>
    </w:pPr>
    <w:rPr>
      <w:rFonts w:eastAsia="SimSun"/>
      <w:sz w:val="20"/>
      <w:szCs w:val="20"/>
      <w:lang w:eastAsia="zh-CN"/>
    </w:rPr>
  </w:style>
  <w:style w:type="character" w:customStyle="1" w:styleId="PlainTextChar">
    <w:name w:val="Plain Text Char"/>
    <w:basedOn w:val="DefaultParagraphFont"/>
    <w:link w:val="PlainText"/>
    <w:uiPriority w:val="99"/>
    <w:rsid w:val="00D36FBC"/>
    <w:rPr>
      <w:rFonts w:ascii="Arial" w:eastAsia="SimSun" w:hAnsi="Arial"/>
      <w:lang w:eastAsia="zh-CN"/>
    </w:rPr>
  </w:style>
  <w:style w:type="paragraph" w:styleId="NormalWeb">
    <w:name w:val="Normal (Web)"/>
    <w:basedOn w:val="Normal"/>
    <w:uiPriority w:val="99"/>
    <w:rsid w:val="00D36FBC"/>
    <w:pPr>
      <w:spacing w:before="100" w:beforeAutospacing="1" w:after="100" w:afterAutospacing="1"/>
      <w:ind w:left="0"/>
    </w:pPr>
    <w:rPr>
      <w:rFonts w:ascii="Times New Roman" w:eastAsia="SimSun" w:hAnsi="Times New Roman"/>
      <w:sz w:val="24"/>
      <w:lang w:eastAsia="zh-CN"/>
    </w:rPr>
  </w:style>
  <w:style w:type="character" w:customStyle="1" w:styleId="FootnoteTextChar">
    <w:name w:val="Footnote Text Char"/>
    <w:aliases w:val="Footnote Text Char Char Char,Footnote Text Arial Char"/>
    <w:link w:val="FootnoteText"/>
    <w:uiPriority w:val="99"/>
    <w:locked/>
    <w:rsid w:val="00D36FBC"/>
    <w:rPr>
      <w:rFonts w:ascii="Arial" w:hAnsi="Arial"/>
      <w:lang w:eastAsia="en-US"/>
    </w:rPr>
  </w:style>
  <w:style w:type="character" w:customStyle="1" w:styleId="a">
    <w:name w:val="a"/>
    <w:uiPriority w:val="99"/>
    <w:rsid w:val="00D36FBC"/>
    <w:rPr>
      <w:rFonts w:cs="Times New Roman"/>
    </w:rPr>
  </w:style>
  <w:style w:type="paragraph" w:customStyle="1" w:styleId="ptdocpara">
    <w:name w:val="ptdocpara"/>
    <w:basedOn w:val="Normal"/>
    <w:uiPriority w:val="99"/>
    <w:rsid w:val="00D36FBC"/>
    <w:pPr>
      <w:spacing w:before="0" w:after="100" w:afterAutospacing="1"/>
      <w:ind w:left="0"/>
    </w:pPr>
    <w:rPr>
      <w:rFonts w:eastAsia="SimSun" w:cs="Arial"/>
      <w:color w:val="666666"/>
      <w:sz w:val="15"/>
      <w:szCs w:val="15"/>
      <w:lang w:eastAsia="zh-CN"/>
    </w:rPr>
  </w:style>
  <w:style w:type="character" w:customStyle="1" w:styleId="ptdocpublication">
    <w:name w:val="ptdocpublication"/>
    <w:uiPriority w:val="99"/>
    <w:rsid w:val="00D36FBC"/>
    <w:rPr>
      <w:rFonts w:cs="Times New Roman"/>
    </w:rPr>
  </w:style>
  <w:style w:type="character" w:customStyle="1" w:styleId="ptdocissuevolume">
    <w:name w:val="ptdocissuevolume"/>
    <w:uiPriority w:val="99"/>
    <w:rsid w:val="00D36FBC"/>
    <w:rPr>
      <w:rFonts w:cs="Times New Roman"/>
    </w:rPr>
  </w:style>
  <w:style w:type="character" w:customStyle="1" w:styleId="ptdocissuedate">
    <w:name w:val="ptdocissuedate"/>
    <w:uiPriority w:val="99"/>
    <w:rsid w:val="00D36FBC"/>
    <w:rPr>
      <w:rFonts w:cs="Times New Roman"/>
    </w:rPr>
  </w:style>
  <w:style w:type="character" w:customStyle="1" w:styleId="ptdocissuepage">
    <w:name w:val="ptdocissuepage"/>
    <w:uiPriority w:val="99"/>
    <w:rsid w:val="00D36FBC"/>
    <w:rPr>
      <w:rFonts w:cs="Times New Roman"/>
    </w:rPr>
  </w:style>
  <w:style w:type="paragraph" w:customStyle="1" w:styleId="CM64">
    <w:name w:val="CM64"/>
    <w:basedOn w:val="Default"/>
    <w:next w:val="Default"/>
    <w:uiPriority w:val="99"/>
    <w:rsid w:val="00D36FBC"/>
    <w:rPr>
      <w:rFonts w:ascii="Frutiger 45 Light" w:eastAsia="SimSun" w:hAnsi="Frutiger 45 Light" w:cs="Times New Roman"/>
      <w:color w:val="auto"/>
      <w:lang w:eastAsia="en-US"/>
    </w:rPr>
  </w:style>
  <w:style w:type="character" w:customStyle="1" w:styleId="ej-bread-crumb-current">
    <w:name w:val="ej-bread-crumb-current"/>
    <w:uiPriority w:val="99"/>
    <w:rsid w:val="00D36FBC"/>
    <w:rPr>
      <w:rFonts w:cs="Times New Roman"/>
    </w:rPr>
  </w:style>
  <w:style w:type="character" w:customStyle="1" w:styleId="name">
    <w:name w:val="name"/>
    <w:uiPriority w:val="99"/>
    <w:rsid w:val="00D36FBC"/>
    <w:rPr>
      <w:rFonts w:cs="Times New Roman"/>
    </w:rPr>
  </w:style>
  <w:style w:type="character" w:customStyle="1" w:styleId="forenames">
    <w:name w:val="forenames"/>
    <w:uiPriority w:val="99"/>
    <w:rsid w:val="00D36FBC"/>
    <w:rPr>
      <w:rFonts w:cs="Times New Roman"/>
    </w:rPr>
  </w:style>
  <w:style w:type="character" w:customStyle="1" w:styleId="surname">
    <w:name w:val="surname"/>
    <w:uiPriority w:val="99"/>
    <w:rsid w:val="00D36FBC"/>
    <w:rPr>
      <w:rFonts w:cs="Times New Roman"/>
    </w:rPr>
  </w:style>
  <w:style w:type="character" w:styleId="Emphasis">
    <w:name w:val="Emphasis"/>
    <w:uiPriority w:val="20"/>
    <w:qFormat/>
    <w:rsid w:val="00D36FBC"/>
    <w:rPr>
      <w:rFonts w:cs="Times New Roman"/>
      <w:i/>
      <w:iCs/>
    </w:rPr>
  </w:style>
  <w:style w:type="paragraph" w:customStyle="1" w:styleId="inline">
    <w:name w:val="inline"/>
    <w:basedOn w:val="Normal"/>
    <w:uiPriority w:val="99"/>
    <w:rsid w:val="00D36FBC"/>
    <w:pPr>
      <w:spacing w:before="100" w:beforeAutospacing="1" w:after="100" w:afterAutospacing="1"/>
      <w:ind w:left="0"/>
    </w:pPr>
    <w:rPr>
      <w:rFonts w:ascii="Times New Roman" w:eastAsia="SimSun" w:hAnsi="Times New Roman"/>
      <w:sz w:val="24"/>
      <w:lang w:eastAsia="zh-CN"/>
    </w:rPr>
  </w:style>
  <w:style w:type="character" w:customStyle="1" w:styleId="miscellaneoustext">
    <w:name w:val="miscellaneoustext"/>
    <w:uiPriority w:val="99"/>
    <w:rsid w:val="00D36FBC"/>
    <w:rPr>
      <w:rFonts w:cs="Times New Roman"/>
    </w:rPr>
  </w:style>
  <w:style w:type="character" w:customStyle="1" w:styleId="gsa1">
    <w:name w:val="gs_a1"/>
    <w:uiPriority w:val="99"/>
    <w:rsid w:val="00D36FBC"/>
    <w:rPr>
      <w:rFonts w:cs="Times New Roman"/>
      <w:color w:val="008000"/>
    </w:rPr>
  </w:style>
  <w:style w:type="character" w:customStyle="1" w:styleId="bodytext0">
    <w:name w:val="bodytext"/>
    <w:uiPriority w:val="99"/>
    <w:rsid w:val="00D36FBC"/>
    <w:rPr>
      <w:rFonts w:cs="Times New Roman"/>
    </w:rPr>
  </w:style>
  <w:style w:type="character" w:customStyle="1" w:styleId="doi">
    <w:name w:val="doi"/>
    <w:uiPriority w:val="99"/>
    <w:rsid w:val="00D36FBC"/>
    <w:rPr>
      <w:rFonts w:cs="Times New Roman"/>
    </w:rPr>
  </w:style>
  <w:style w:type="character" w:customStyle="1" w:styleId="pagination">
    <w:name w:val="pagination"/>
    <w:uiPriority w:val="99"/>
    <w:rsid w:val="00D36FBC"/>
    <w:rPr>
      <w:rFonts w:cs="Times New Roman"/>
    </w:rPr>
  </w:style>
  <w:style w:type="character" w:styleId="FollowedHyperlink">
    <w:name w:val="FollowedHyperlink"/>
    <w:uiPriority w:val="99"/>
    <w:rsid w:val="00D36FBC"/>
    <w:rPr>
      <w:rFonts w:cs="Times New Roman"/>
      <w:color w:val="800080"/>
      <w:u w:val="single"/>
    </w:rPr>
  </w:style>
  <w:style w:type="table" w:customStyle="1" w:styleId="LightList-Accent11">
    <w:name w:val="Light List - Accent 11"/>
    <w:basedOn w:val="TableNormal"/>
    <w:uiPriority w:val="61"/>
    <w:rsid w:val="00D36FBC"/>
    <w:rPr>
      <w:rFonts w:ascii="Arial" w:eastAsia="SimSun" w:hAnsi="Arial" w:cs="Arial"/>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D36FBC"/>
    <w:rPr>
      <w:rFonts w:ascii="Arial" w:eastAsia="SimSun" w:hAnsi="Arial" w:cs="Arial"/>
      <w:color w:val="365F91"/>
      <w:lang w:eastAsia="zh-C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D36FBC"/>
    <w:rPr>
      <w:rFonts w:ascii="Arial" w:eastAsia="SimSun" w:hAnsi="Arial" w:cs="Arial"/>
      <w:color w:val="31849B"/>
      <w:lang w:eastAsia="zh-C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sid w:val="00D36FBC"/>
    <w:rPr>
      <w:rFonts w:ascii="Arial" w:eastAsia="SimSun" w:hAnsi="Arial" w:cs="Arial"/>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Caption">
    <w:name w:val="caption"/>
    <w:basedOn w:val="Normal"/>
    <w:next w:val="Normal"/>
    <w:uiPriority w:val="35"/>
    <w:unhideWhenUsed/>
    <w:qFormat/>
    <w:rsid w:val="007770D4"/>
    <w:pPr>
      <w:spacing w:before="0" w:line="276" w:lineRule="auto"/>
      <w:ind w:left="0"/>
    </w:pPr>
    <w:rPr>
      <w:rFonts w:eastAsia="SimSun" w:cs="Arial"/>
      <w:b/>
      <w:bCs/>
      <w:i/>
      <w:szCs w:val="20"/>
      <w:lang w:eastAsia="zh-CN"/>
    </w:rPr>
  </w:style>
  <w:style w:type="table" w:customStyle="1" w:styleId="TableGrid11">
    <w:name w:val="Table Grid11"/>
    <w:basedOn w:val="TableNormal"/>
    <w:next w:val="TableGrid"/>
    <w:uiPriority w:val="59"/>
    <w:rsid w:val="00D36FBC"/>
    <w:rPr>
      <w:rFonts w:ascii="Arial" w:eastAsia="SimSun" w:hAnsi="Arial" w:cs="Arial"/>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uiPriority w:val="99"/>
    <w:unhideWhenUsed/>
    <w:rsid w:val="00D36FBC"/>
    <w:pPr>
      <w:spacing w:before="0" w:after="200" w:line="276" w:lineRule="auto"/>
      <w:ind w:left="0"/>
    </w:pPr>
    <w:rPr>
      <w:rFonts w:eastAsia="SimSun" w:cs="Arial"/>
      <w:sz w:val="24"/>
      <w:lang w:eastAsia="zh-CN"/>
    </w:rPr>
  </w:style>
  <w:style w:type="character" w:customStyle="1" w:styleId="DateChar">
    <w:name w:val="Date Char"/>
    <w:basedOn w:val="DefaultParagraphFont"/>
    <w:link w:val="Date"/>
    <w:uiPriority w:val="99"/>
    <w:rsid w:val="00D36FBC"/>
    <w:rPr>
      <w:rFonts w:ascii="Arial" w:eastAsia="SimSun" w:hAnsi="Arial" w:cs="Arial"/>
      <w:sz w:val="24"/>
      <w:szCs w:val="24"/>
      <w:lang w:eastAsia="zh-CN"/>
    </w:rPr>
  </w:style>
  <w:style w:type="paragraph" w:styleId="DocumentMap">
    <w:name w:val="Document Map"/>
    <w:basedOn w:val="Normal"/>
    <w:link w:val="DocumentMapChar"/>
    <w:uiPriority w:val="99"/>
    <w:unhideWhenUsed/>
    <w:rsid w:val="00D36FBC"/>
    <w:pPr>
      <w:spacing w:before="0"/>
      <w:ind w:left="0"/>
    </w:pPr>
    <w:rPr>
      <w:rFonts w:ascii="Tahoma" w:eastAsia="SimSun" w:hAnsi="Tahoma" w:cs="Tahoma"/>
      <w:sz w:val="16"/>
      <w:szCs w:val="16"/>
      <w:lang w:eastAsia="zh-CN"/>
    </w:rPr>
  </w:style>
  <w:style w:type="character" w:customStyle="1" w:styleId="DocumentMapChar">
    <w:name w:val="Document Map Char"/>
    <w:basedOn w:val="DefaultParagraphFont"/>
    <w:link w:val="DocumentMap"/>
    <w:uiPriority w:val="99"/>
    <w:rsid w:val="00D36FBC"/>
    <w:rPr>
      <w:rFonts w:ascii="Tahoma" w:eastAsia="SimSun" w:hAnsi="Tahoma" w:cs="Tahoma"/>
      <w:sz w:val="16"/>
      <w:szCs w:val="16"/>
      <w:lang w:eastAsia="zh-CN"/>
    </w:rPr>
  </w:style>
  <w:style w:type="table" w:customStyle="1" w:styleId="TableGrid2">
    <w:name w:val="Table Grid2"/>
    <w:basedOn w:val="TableNormal"/>
    <w:next w:val="TableGrid"/>
    <w:uiPriority w:val="59"/>
    <w:rsid w:val="00D36FBC"/>
    <w:rPr>
      <w:rFonts w:ascii="Arial" w:eastAsia="SimSun" w:hAnsi="Arial" w:cs="Arial"/>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
    <w:name w:val="mark"/>
    <w:basedOn w:val="DefaultParagraphFont"/>
    <w:rsid w:val="00D36FBC"/>
  </w:style>
  <w:style w:type="table" w:styleId="LightShading-Accent2">
    <w:name w:val="Light Shading Accent 2"/>
    <w:basedOn w:val="TableNormal"/>
    <w:uiPriority w:val="60"/>
    <w:rsid w:val="00D36FBC"/>
    <w:rPr>
      <w:rFonts w:ascii="Arial" w:eastAsia="SimSun" w:hAnsi="Arial" w:cs="Arial"/>
      <w:color w:val="943634" w:themeColor="accent2" w:themeShade="BF"/>
      <w:lang w:eastAsia="zh-CN"/>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aliases w:val="Bullets"/>
    <w:link w:val="NoSpacingChar"/>
    <w:uiPriority w:val="1"/>
    <w:qFormat/>
    <w:rsid w:val="00D36FBC"/>
    <w:rPr>
      <w:rFonts w:asciiTheme="minorHAnsi" w:eastAsiaTheme="minorEastAsia" w:hAnsiTheme="minorHAnsi" w:cstheme="minorBidi"/>
      <w:sz w:val="22"/>
      <w:szCs w:val="22"/>
      <w:lang w:val="en-US" w:eastAsia="ja-JP"/>
    </w:rPr>
  </w:style>
  <w:style w:type="character" w:customStyle="1" w:styleId="NoSpacingChar">
    <w:name w:val="No Spacing Char"/>
    <w:aliases w:val="Bullets Char"/>
    <w:basedOn w:val="DefaultParagraphFont"/>
    <w:link w:val="NoSpacing"/>
    <w:uiPriority w:val="1"/>
    <w:rsid w:val="00D36FBC"/>
    <w:rPr>
      <w:rFonts w:asciiTheme="minorHAnsi" w:eastAsiaTheme="minorEastAsia" w:hAnsiTheme="minorHAnsi" w:cstheme="minorBidi"/>
      <w:sz w:val="22"/>
      <w:szCs w:val="22"/>
      <w:lang w:val="en-US" w:eastAsia="ja-JP"/>
    </w:rPr>
  </w:style>
  <w:style w:type="paragraph" w:styleId="Bibliography">
    <w:name w:val="Bibliography"/>
    <w:basedOn w:val="Normal"/>
    <w:next w:val="Normal"/>
    <w:uiPriority w:val="37"/>
    <w:unhideWhenUsed/>
    <w:rsid w:val="00D36FBC"/>
    <w:pPr>
      <w:autoSpaceDE w:val="0"/>
      <w:autoSpaceDN w:val="0"/>
      <w:adjustRightInd w:val="0"/>
      <w:spacing w:before="0" w:after="240"/>
      <w:ind w:left="0"/>
      <w:jc w:val="both"/>
    </w:pPr>
    <w:rPr>
      <w:rFonts w:ascii="Calibri" w:eastAsia="SimSun" w:hAnsi="Calibri" w:cs="Arial"/>
      <w:noProof/>
      <w:sz w:val="20"/>
      <w:szCs w:val="20"/>
      <w:lang w:eastAsia="zh-CN"/>
    </w:rPr>
  </w:style>
  <w:style w:type="character" w:styleId="PlaceholderText">
    <w:name w:val="Placeholder Text"/>
    <w:uiPriority w:val="99"/>
    <w:semiHidden/>
    <w:rsid w:val="00D36FBC"/>
    <w:rPr>
      <w:color w:val="808080"/>
    </w:rPr>
  </w:style>
  <w:style w:type="character" w:customStyle="1" w:styleId="apple-style-span">
    <w:name w:val="apple-style-span"/>
    <w:basedOn w:val="DefaultParagraphFont"/>
    <w:rsid w:val="00D36FBC"/>
  </w:style>
  <w:style w:type="numbering" w:customStyle="1" w:styleId="NoList11">
    <w:name w:val="No List11"/>
    <w:next w:val="NoList"/>
    <w:uiPriority w:val="99"/>
    <w:semiHidden/>
    <w:unhideWhenUsed/>
    <w:rsid w:val="00D36FBC"/>
  </w:style>
  <w:style w:type="character" w:styleId="SubtleEmphasis">
    <w:name w:val="Subtle Emphasis"/>
    <w:basedOn w:val="DefaultParagraphFont"/>
    <w:uiPriority w:val="19"/>
    <w:qFormat/>
    <w:rsid w:val="00D36FBC"/>
    <w:rPr>
      <w:i/>
      <w:iCs/>
      <w:color w:val="808080" w:themeColor="text1" w:themeTint="7F"/>
    </w:rPr>
  </w:style>
  <w:style w:type="character" w:styleId="IntenseEmphasis">
    <w:name w:val="Intense Emphasis"/>
    <w:basedOn w:val="DefaultParagraphFont"/>
    <w:uiPriority w:val="21"/>
    <w:qFormat/>
    <w:rsid w:val="00D36FBC"/>
    <w:rPr>
      <w:b/>
      <w:bCs/>
      <w:i/>
      <w:iCs/>
      <w:color w:val="4F81BD" w:themeColor="accent1"/>
    </w:rPr>
  </w:style>
  <w:style w:type="paragraph" w:styleId="Quote">
    <w:name w:val="Quote"/>
    <w:basedOn w:val="Normal"/>
    <w:next w:val="Normal"/>
    <w:link w:val="QuoteChar"/>
    <w:uiPriority w:val="29"/>
    <w:qFormat/>
    <w:rsid w:val="00D36FBC"/>
    <w:pPr>
      <w:spacing w:before="0" w:after="200" w:line="276" w:lineRule="auto"/>
      <w:ind w:left="0"/>
    </w:pPr>
    <w:rPr>
      <w:rFonts w:eastAsia="SimSun" w:cs="Arial"/>
      <w:i/>
      <w:iCs/>
      <w:color w:val="000000" w:themeColor="text1"/>
      <w:sz w:val="24"/>
      <w:lang w:eastAsia="zh-CN"/>
    </w:rPr>
  </w:style>
  <w:style w:type="character" w:customStyle="1" w:styleId="QuoteChar">
    <w:name w:val="Quote Char"/>
    <w:basedOn w:val="DefaultParagraphFont"/>
    <w:link w:val="Quote"/>
    <w:uiPriority w:val="29"/>
    <w:rsid w:val="00D36FBC"/>
    <w:rPr>
      <w:rFonts w:ascii="Arial" w:eastAsia="SimSun" w:hAnsi="Arial" w:cs="Arial"/>
      <w:i/>
      <w:iCs/>
      <w:color w:val="000000" w:themeColor="text1"/>
      <w:sz w:val="24"/>
      <w:szCs w:val="24"/>
      <w:lang w:eastAsia="zh-CN"/>
    </w:rPr>
  </w:style>
  <w:style w:type="character" w:styleId="IntenseReference">
    <w:name w:val="Intense Reference"/>
    <w:basedOn w:val="DefaultParagraphFont"/>
    <w:uiPriority w:val="32"/>
    <w:qFormat/>
    <w:rsid w:val="00D36FBC"/>
    <w:rPr>
      <w:b/>
      <w:bCs/>
      <w:smallCaps/>
      <w:color w:val="C0504D" w:themeColor="accent2"/>
      <w:spacing w:val="5"/>
      <w:u w:val="single"/>
    </w:rPr>
  </w:style>
  <w:style w:type="character" w:styleId="SubtleReference">
    <w:name w:val="Subtle Reference"/>
    <w:basedOn w:val="DefaultParagraphFont"/>
    <w:uiPriority w:val="31"/>
    <w:qFormat/>
    <w:rsid w:val="00D36FBC"/>
    <w:rPr>
      <w:smallCaps/>
      <w:color w:val="C0504D" w:themeColor="accent2"/>
      <w:sz w:val="22"/>
      <w:u w:val="single"/>
    </w:rPr>
  </w:style>
  <w:style w:type="table" w:customStyle="1" w:styleId="TableGrid3">
    <w:name w:val="Table Grid3"/>
    <w:basedOn w:val="TableNormal"/>
    <w:next w:val="TableGrid"/>
    <w:uiPriority w:val="59"/>
    <w:rsid w:val="00B23457"/>
    <w:rPr>
      <w:rFonts w:ascii="Arial" w:eastAsia="SimSun" w:hAnsi="Arial" w:cs="Arial"/>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1EDF"/>
  </w:style>
  <w:style w:type="table" w:customStyle="1" w:styleId="TableGrid4">
    <w:name w:val="Table Grid4"/>
    <w:basedOn w:val="TableNormal"/>
    <w:next w:val="TableGrid"/>
    <w:uiPriority w:val="59"/>
    <w:rsid w:val="00241EDF"/>
    <w:rPr>
      <w:rFonts w:ascii="Arial" w:eastAsia="SimSun"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241EDF"/>
    <w:rPr>
      <w:rFonts w:ascii="Arial" w:eastAsia="SimSun" w:hAnsi="Arial"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ntenudetableau">
    <w:name w:val="Contenu de tableau"/>
    <w:basedOn w:val="Normal"/>
    <w:rsid w:val="00241EDF"/>
    <w:pPr>
      <w:widowControl w:val="0"/>
      <w:suppressLineNumbers/>
      <w:suppressAutoHyphens/>
      <w:spacing w:before="0"/>
      <w:ind w:left="0"/>
    </w:pPr>
    <w:rPr>
      <w:rFonts w:ascii="Times New Roman" w:eastAsia="SimSun" w:hAnsi="Times New Roman" w:cs="Lucida Sans"/>
      <w:kern w:val="1"/>
      <w:sz w:val="24"/>
      <w:lang w:val="fr-FR" w:eastAsia="hi-IN" w:bidi="hi-IN"/>
    </w:rPr>
  </w:style>
  <w:style w:type="character" w:customStyle="1" w:styleId="BodyTextChar">
    <w:name w:val="Body Text Char"/>
    <w:basedOn w:val="DefaultParagraphFont"/>
    <w:link w:val="BodyText"/>
    <w:rsid w:val="00241EDF"/>
    <w:rPr>
      <w:rFonts w:ascii="Arial" w:hAnsi="Arial"/>
      <w:sz w:val="22"/>
      <w:szCs w:val="24"/>
      <w:lang w:eastAsia="en-US"/>
    </w:rPr>
  </w:style>
  <w:style w:type="table" w:customStyle="1" w:styleId="TableGrid5">
    <w:name w:val="Table Grid5"/>
    <w:basedOn w:val="TableNormal"/>
    <w:next w:val="TableGrid"/>
    <w:uiPriority w:val="59"/>
    <w:rsid w:val="00061436"/>
    <w:rPr>
      <w:rFonts w:ascii="Arial" w:eastAsia="SimSun" w:hAnsi="Arial" w:cs="Arial"/>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aliases w:val="Pull-out text Char"/>
    <w:basedOn w:val="DefaultParagraphFont"/>
    <w:link w:val="Heading5"/>
    <w:rsid w:val="002E2021"/>
    <w:rPr>
      <w:rFonts w:ascii="Arial" w:hAnsi="Arial" w:cs="Arial"/>
      <w:b/>
      <w:sz w:val="22"/>
      <w:szCs w:val="26"/>
      <w:lang w:eastAsia="en-US"/>
    </w:rPr>
  </w:style>
  <w:style w:type="character" w:customStyle="1" w:styleId="Heading6Char">
    <w:name w:val="Heading 6 Char"/>
    <w:basedOn w:val="DefaultParagraphFont"/>
    <w:link w:val="Heading6"/>
    <w:rsid w:val="002E2021"/>
    <w:rPr>
      <w:rFonts w:ascii="Arial" w:hAnsi="Arial" w:cs="Arial"/>
      <w:b/>
      <w:bCs/>
      <w:sz w:val="22"/>
      <w:szCs w:val="22"/>
      <w:lang w:eastAsia="en-US"/>
    </w:rPr>
  </w:style>
  <w:style w:type="character" w:customStyle="1" w:styleId="Heading7Char">
    <w:name w:val="Heading 7 Char"/>
    <w:basedOn w:val="DefaultParagraphFont"/>
    <w:link w:val="Heading7"/>
    <w:rsid w:val="002E2021"/>
    <w:rPr>
      <w:rFonts w:ascii="Arial" w:hAnsi="Arial" w:cs="Arial"/>
      <w:b/>
      <w:bCs/>
      <w:sz w:val="22"/>
      <w:szCs w:val="22"/>
      <w:lang w:eastAsia="en-US"/>
    </w:rPr>
  </w:style>
  <w:style w:type="character" w:customStyle="1" w:styleId="Heading8Char">
    <w:name w:val="Heading 8 Char"/>
    <w:basedOn w:val="DefaultParagraphFont"/>
    <w:link w:val="Heading8"/>
    <w:rsid w:val="002E2021"/>
    <w:rPr>
      <w:rFonts w:ascii="Arial" w:hAnsi="Arial" w:cs="Arial"/>
      <w:b/>
      <w:bCs/>
      <w:iCs/>
      <w:sz w:val="22"/>
      <w:szCs w:val="22"/>
      <w:lang w:eastAsia="en-US"/>
    </w:rPr>
  </w:style>
  <w:style w:type="character" w:customStyle="1" w:styleId="Heading9Char">
    <w:name w:val="Heading 9 Char"/>
    <w:basedOn w:val="DefaultParagraphFont"/>
    <w:link w:val="Heading9"/>
    <w:rsid w:val="002E2021"/>
    <w:rPr>
      <w:rFonts w:ascii="Arial" w:hAnsi="Arial" w:cs="Arial"/>
      <w:b/>
      <w:bCs/>
      <w:iCs/>
      <w:sz w:val="22"/>
      <w:szCs w:val="22"/>
      <w:lang w:eastAsia="en-US"/>
    </w:rPr>
  </w:style>
  <w:style w:type="paragraph" w:styleId="Subtitle">
    <w:name w:val="Subtitle"/>
    <w:basedOn w:val="Normal"/>
    <w:next w:val="Normal"/>
    <w:link w:val="SubtitleChar"/>
    <w:qFormat/>
    <w:rsid w:val="006427B6"/>
    <w:pPr>
      <w:numPr>
        <w:ilvl w:val="1"/>
      </w:numPr>
      <w:ind w:left="1928"/>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6427B6"/>
    <w:rPr>
      <w:rFonts w:asciiTheme="majorHAnsi" w:eastAsiaTheme="majorEastAsia" w:hAnsiTheme="majorHAnsi" w:cstheme="majorBidi"/>
      <w:i/>
      <w:iCs/>
      <w:color w:val="4F81BD" w:themeColor="accent1"/>
      <w:spacing w:val="15"/>
      <w:sz w:val="24"/>
      <w:szCs w:val="24"/>
      <w:lang w:eastAsia="en-US"/>
    </w:rPr>
  </w:style>
  <w:style w:type="numbering" w:customStyle="1" w:styleId="NoList3">
    <w:name w:val="No List3"/>
    <w:next w:val="NoList"/>
    <w:uiPriority w:val="99"/>
    <w:semiHidden/>
    <w:unhideWhenUsed/>
    <w:rsid w:val="006E1257"/>
  </w:style>
  <w:style w:type="character" w:customStyle="1" w:styleId="publisher">
    <w:name w:val="publisher"/>
    <w:basedOn w:val="DefaultParagraphFont"/>
    <w:rsid w:val="006E1257"/>
  </w:style>
  <w:style w:type="character" w:customStyle="1" w:styleId="publishedyear">
    <w:name w:val="publishedyear"/>
    <w:basedOn w:val="DefaultParagraphFont"/>
    <w:rsid w:val="006E1257"/>
  </w:style>
  <w:style w:type="character" w:customStyle="1" w:styleId="BalloonTextChar1">
    <w:name w:val="Balloon Text Char1"/>
    <w:basedOn w:val="DefaultParagraphFont"/>
    <w:uiPriority w:val="99"/>
    <w:semiHidden/>
    <w:rsid w:val="006E1257"/>
    <w:rPr>
      <w:rFonts w:ascii="Tahoma" w:hAnsi="Tahoma" w:cs="Tahoma" w:hint="default"/>
      <w:sz w:val="16"/>
      <w:szCs w:val="16"/>
    </w:rPr>
  </w:style>
  <w:style w:type="character" w:customStyle="1" w:styleId="CommentTextChar1">
    <w:name w:val="Comment Text Char1"/>
    <w:basedOn w:val="DefaultParagraphFont"/>
    <w:uiPriority w:val="99"/>
    <w:semiHidden/>
    <w:rsid w:val="006E1257"/>
    <w:rPr>
      <w:sz w:val="20"/>
      <w:szCs w:val="20"/>
    </w:rPr>
  </w:style>
  <w:style w:type="character" w:customStyle="1" w:styleId="CommentSubjectChar1">
    <w:name w:val="Comment Subject Char1"/>
    <w:basedOn w:val="CommentTextChar1"/>
    <w:uiPriority w:val="99"/>
    <w:semiHidden/>
    <w:rsid w:val="006E1257"/>
    <w:rPr>
      <w:b/>
      <w:bCs/>
      <w:sz w:val="20"/>
      <w:szCs w:val="20"/>
    </w:rPr>
  </w:style>
  <w:style w:type="table" w:customStyle="1" w:styleId="TableGrid31">
    <w:name w:val="Table Grid31"/>
    <w:basedOn w:val="TableNormal"/>
    <w:next w:val="TableGrid"/>
    <w:uiPriority w:val="59"/>
    <w:rsid w:val="00F861BF"/>
    <w:rPr>
      <w:rFonts w:ascii="Arial" w:eastAsia="SimSun" w:hAnsi="Arial" w:cs="Arial"/>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063EB"/>
  </w:style>
  <w:style w:type="numbering" w:customStyle="1" w:styleId="Style1">
    <w:name w:val="Style1"/>
    <w:uiPriority w:val="99"/>
    <w:rsid w:val="00C0723D"/>
    <w:pPr>
      <w:numPr>
        <w:numId w:val="4"/>
      </w:numPr>
    </w:pPr>
  </w:style>
  <w:style w:type="numbering" w:customStyle="1" w:styleId="List0">
    <w:name w:val="List 0"/>
    <w:basedOn w:val="NoList"/>
    <w:rsid w:val="00BE7839"/>
    <w:pPr>
      <w:numPr>
        <w:numId w:val="5"/>
      </w:numPr>
    </w:pPr>
  </w:style>
  <w:style w:type="character" w:customStyle="1" w:styleId="ListParagraphChar">
    <w:name w:val="List Paragraph Char"/>
    <w:basedOn w:val="DefaultParagraphFont"/>
    <w:link w:val="ListParagraph"/>
    <w:uiPriority w:val="34"/>
    <w:locked/>
    <w:rsid w:val="00BE7839"/>
    <w:rPr>
      <w:rFonts w:eastAsia="SimSun"/>
      <w:sz w:val="24"/>
      <w:szCs w:val="24"/>
    </w:rPr>
  </w:style>
  <w:style w:type="paragraph" w:customStyle="1" w:styleId="Sisubheading2">
    <w:name w:val="Si subheading 2"/>
    <w:basedOn w:val="Sisubheading"/>
    <w:next w:val="Sibody"/>
    <w:rsid w:val="00E223F8"/>
    <w:pPr>
      <w:numPr>
        <w:ilvl w:val="2"/>
      </w:numPr>
      <w:spacing w:before="360"/>
    </w:pPr>
    <w:rPr>
      <w:i/>
      <w:sz w:val="24"/>
      <w:szCs w:val="24"/>
    </w:rPr>
  </w:style>
  <w:style w:type="paragraph" w:customStyle="1" w:styleId="Sisubheading">
    <w:name w:val="Si subheading"/>
    <w:rsid w:val="00E223F8"/>
    <w:pPr>
      <w:keepNext/>
      <w:numPr>
        <w:ilvl w:val="1"/>
        <w:numId w:val="18"/>
      </w:numPr>
      <w:spacing w:before="480" w:after="240"/>
    </w:pPr>
    <w:rPr>
      <w:rFonts w:ascii="Verdana" w:hAnsi="Verdana"/>
      <w:b/>
      <w:bCs/>
      <w:color w:val="026288"/>
      <w:sz w:val="28"/>
      <w:szCs w:val="28"/>
      <w:lang w:val="en-US" w:eastAsia="en-US"/>
    </w:rPr>
  </w:style>
  <w:style w:type="paragraph" w:customStyle="1" w:styleId="Sibody">
    <w:name w:val="Si body"/>
    <w:basedOn w:val="Normal"/>
    <w:uiPriority w:val="99"/>
    <w:rsid w:val="00E223F8"/>
    <w:pPr>
      <w:numPr>
        <w:ilvl w:val="3"/>
        <w:numId w:val="18"/>
      </w:numPr>
      <w:spacing w:before="0" w:after="240"/>
      <w:jc w:val="both"/>
      <w:outlineLvl w:val="2"/>
    </w:pPr>
    <w:rPr>
      <w:rFonts w:ascii="Verdana" w:hAnsi="Verdana"/>
      <w:sz w:val="20"/>
      <w:szCs w:val="20"/>
    </w:rPr>
  </w:style>
  <w:style w:type="paragraph" w:customStyle="1" w:styleId="Siheading">
    <w:name w:val="Si heading"/>
    <w:basedOn w:val="Normal"/>
    <w:rsid w:val="00E223F8"/>
    <w:pPr>
      <w:numPr>
        <w:numId w:val="18"/>
      </w:numPr>
      <w:tabs>
        <w:tab w:val="center" w:pos="4320"/>
        <w:tab w:val="right" w:pos="8640"/>
      </w:tabs>
      <w:spacing w:before="0" w:after="480"/>
      <w:jc w:val="both"/>
      <w:outlineLvl w:val="0"/>
    </w:pPr>
    <w:rPr>
      <w:rFonts w:ascii="Verdana" w:hAnsi="Verdana"/>
      <w:bCs/>
      <w:caps/>
      <w:color w:val="026288"/>
      <w:sz w:val="36"/>
      <w:szCs w:val="36"/>
    </w:rPr>
  </w:style>
  <w:style w:type="paragraph" w:customStyle="1" w:styleId="Footnote">
    <w:name w:val="Footnote"/>
    <w:qFormat/>
    <w:rsid w:val="00E223F8"/>
    <w:pPr>
      <w:pBdr>
        <w:top w:val="nil"/>
        <w:left w:val="nil"/>
        <w:bottom w:val="nil"/>
        <w:right w:val="nil"/>
        <w:between w:val="nil"/>
        <w:bar w:val="nil"/>
      </w:pBdr>
      <w:tabs>
        <w:tab w:val="left" w:pos="397"/>
      </w:tabs>
      <w:ind w:left="397" w:hanging="397"/>
    </w:pPr>
    <w:rPr>
      <w:rFonts w:ascii="Tahoma" w:eastAsia="Helvetica" w:hAnsi="Tahoma" w:cs="Helvetica"/>
      <w:color w:val="000000"/>
      <w:sz w:val="18"/>
      <w:szCs w:val="22"/>
      <w:bdr w:val="nil"/>
    </w:rPr>
  </w:style>
  <w:style w:type="paragraph" w:customStyle="1" w:styleId="Tablecaption">
    <w:name w:val="Table caption"/>
    <w:basedOn w:val="Caption"/>
    <w:qFormat/>
    <w:rsid w:val="00D3609C"/>
    <w:pPr>
      <w:numPr>
        <w:numId w:val="20"/>
      </w:numPr>
      <w:spacing w:before="120" w:after="120" w:line="240" w:lineRule="auto"/>
      <w:jc w:val="both"/>
    </w:pPr>
    <w:rPr>
      <w:rFonts w:ascii="Tahoma" w:eastAsia="Times New Roman" w:hAnsi="Tahoma" w:cs="Times New Roman"/>
      <w:bCs w:val="0"/>
      <w:i w:val="0"/>
      <w:color w:val="4D4D4D"/>
      <w:lang w:eastAsia="en-US"/>
    </w:rPr>
  </w:style>
  <w:style w:type="paragraph" w:customStyle="1" w:styleId="SpecSubHeader001">
    <w:name w:val="Spec SubHeader 001"/>
    <w:basedOn w:val="Normal"/>
    <w:link w:val="SpecSubHeader001Char"/>
    <w:qFormat/>
    <w:rsid w:val="00047841"/>
    <w:pPr>
      <w:spacing w:before="0" w:after="80"/>
      <w:ind w:left="0"/>
      <w:jc w:val="both"/>
    </w:pPr>
    <w:rPr>
      <w:rFonts w:eastAsia="Calibri"/>
      <w:b/>
      <w:szCs w:val="22"/>
    </w:rPr>
  </w:style>
  <w:style w:type="character" w:customStyle="1" w:styleId="SpecSubHeader001Char">
    <w:name w:val="Spec SubHeader 001 Char"/>
    <w:link w:val="SpecSubHeader001"/>
    <w:rsid w:val="00047841"/>
    <w:rPr>
      <w:rFonts w:ascii="Arial" w:eastAsia="Calibri" w:hAnsi="Arial"/>
      <w:b/>
      <w:sz w:val="22"/>
      <w:szCs w:val="22"/>
      <w:lang w:eastAsia="en-US"/>
    </w:rPr>
  </w:style>
  <w:style w:type="table" w:styleId="LightList-Accent4">
    <w:name w:val="Light List Accent 4"/>
    <w:basedOn w:val="TableNormal"/>
    <w:uiPriority w:val="61"/>
    <w:rsid w:val="00A65C6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1">
    <w:name w:val="Light List - Accent 41"/>
    <w:basedOn w:val="TableNormal"/>
    <w:next w:val="LightList-Accent4"/>
    <w:uiPriority w:val="61"/>
    <w:rsid w:val="00A65C64"/>
    <w:rPr>
      <w:rFonts w:ascii="Arial" w:eastAsia="Arial" w:hAnsi="Arial"/>
      <w:sz w:val="22"/>
      <w:szCs w:val="22"/>
      <w:lang w:eastAsia="en-US"/>
    </w:rPr>
    <w:tblPr>
      <w:tblStyleRowBandSize w:val="1"/>
      <w:tblStyleColBandSize w:val="1"/>
      <w:tblInd w:w="0" w:type="dxa"/>
      <w:tblBorders>
        <w:top w:val="single" w:sz="8" w:space="0" w:color="747678"/>
        <w:left w:val="single" w:sz="8" w:space="0" w:color="747678"/>
        <w:bottom w:val="single" w:sz="8" w:space="0" w:color="747678"/>
        <w:right w:val="single" w:sz="8" w:space="0" w:color="74767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47678"/>
      </w:tcPr>
    </w:tblStylePr>
    <w:tblStylePr w:type="lastRow">
      <w:pPr>
        <w:spacing w:before="0" w:after="0" w:line="240" w:lineRule="auto"/>
      </w:pPr>
      <w:rPr>
        <w:b/>
        <w:bCs/>
      </w:rPr>
      <w:tblPr/>
      <w:tcPr>
        <w:tcBorders>
          <w:top w:val="double" w:sz="6" w:space="0" w:color="747678"/>
          <w:left w:val="single" w:sz="8" w:space="0" w:color="747678"/>
          <w:bottom w:val="single" w:sz="8" w:space="0" w:color="747678"/>
          <w:right w:val="single" w:sz="8" w:space="0" w:color="747678"/>
        </w:tcBorders>
      </w:tcPr>
    </w:tblStylePr>
    <w:tblStylePr w:type="firstCol">
      <w:rPr>
        <w:b/>
        <w:bCs/>
      </w:rPr>
    </w:tblStylePr>
    <w:tblStylePr w:type="lastCol">
      <w:rPr>
        <w:b/>
        <w:bCs/>
      </w:rPr>
    </w:tblStylePr>
    <w:tblStylePr w:type="band1Vert">
      <w:tblPr/>
      <w:tcPr>
        <w:tcBorders>
          <w:top w:val="single" w:sz="8" w:space="0" w:color="747678"/>
          <w:left w:val="single" w:sz="8" w:space="0" w:color="747678"/>
          <w:bottom w:val="single" w:sz="8" w:space="0" w:color="747678"/>
          <w:right w:val="single" w:sz="8" w:space="0" w:color="747678"/>
        </w:tcBorders>
      </w:tcPr>
    </w:tblStylePr>
    <w:tblStylePr w:type="band1Horz">
      <w:tblPr/>
      <w:tcPr>
        <w:tcBorders>
          <w:top w:val="single" w:sz="8" w:space="0" w:color="747678"/>
          <w:left w:val="single" w:sz="8" w:space="0" w:color="747678"/>
          <w:bottom w:val="single" w:sz="8" w:space="0" w:color="747678"/>
          <w:right w:val="single" w:sz="8" w:space="0" w:color="747678"/>
        </w:tcBorders>
      </w:tcPr>
    </w:tblStylePr>
  </w:style>
  <w:style w:type="table" w:customStyle="1" w:styleId="LightList-Accent42">
    <w:name w:val="Light List - Accent 42"/>
    <w:basedOn w:val="TableNormal"/>
    <w:next w:val="LightList-Accent4"/>
    <w:uiPriority w:val="61"/>
    <w:rsid w:val="00ED0431"/>
    <w:rPr>
      <w:rFonts w:ascii="Arial" w:eastAsia="Arial" w:hAnsi="Arial"/>
      <w:sz w:val="22"/>
      <w:szCs w:val="22"/>
      <w:lang w:eastAsia="en-US"/>
    </w:rPr>
    <w:tblPr>
      <w:tblStyleRowBandSize w:val="1"/>
      <w:tblStyleColBandSize w:val="1"/>
      <w:tblInd w:w="0" w:type="dxa"/>
      <w:tblBorders>
        <w:top w:val="single" w:sz="8" w:space="0" w:color="747678"/>
        <w:left w:val="single" w:sz="8" w:space="0" w:color="747678"/>
        <w:bottom w:val="single" w:sz="8" w:space="0" w:color="747678"/>
        <w:right w:val="single" w:sz="8" w:space="0" w:color="74767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47678"/>
      </w:tcPr>
    </w:tblStylePr>
    <w:tblStylePr w:type="lastRow">
      <w:pPr>
        <w:spacing w:before="0" w:after="0" w:line="240" w:lineRule="auto"/>
      </w:pPr>
      <w:rPr>
        <w:b/>
        <w:bCs/>
      </w:rPr>
      <w:tblPr/>
      <w:tcPr>
        <w:tcBorders>
          <w:top w:val="double" w:sz="6" w:space="0" w:color="747678"/>
          <w:left w:val="single" w:sz="8" w:space="0" w:color="747678"/>
          <w:bottom w:val="single" w:sz="8" w:space="0" w:color="747678"/>
          <w:right w:val="single" w:sz="8" w:space="0" w:color="747678"/>
        </w:tcBorders>
      </w:tcPr>
    </w:tblStylePr>
    <w:tblStylePr w:type="firstCol">
      <w:rPr>
        <w:b/>
        <w:bCs/>
      </w:rPr>
    </w:tblStylePr>
    <w:tblStylePr w:type="lastCol">
      <w:rPr>
        <w:b/>
        <w:bCs/>
      </w:rPr>
    </w:tblStylePr>
    <w:tblStylePr w:type="band1Vert">
      <w:tblPr/>
      <w:tcPr>
        <w:tcBorders>
          <w:top w:val="single" w:sz="8" w:space="0" w:color="747678"/>
          <w:left w:val="single" w:sz="8" w:space="0" w:color="747678"/>
          <w:bottom w:val="single" w:sz="8" w:space="0" w:color="747678"/>
          <w:right w:val="single" w:sz="8" w:space="0" w:color="747678"/>
        </w:tcBorders>
      </w:tcPr>
    </w:tblStylePr>
    <w:tblStylePr w:type="band1Horz">
      <w:tblPr/>
      <w:tcPr>
        <w:tcBorders>
          <w:top w:val="single" w:sz="8" w:space="0" w:color="747678"/>
          <w:left w:val="single" w:sz="8" w:space="0" w:color="747678"/>
          <w:bottom w:val="single" w:sz="8" w:space="0" w:color="747678"/>
          <w:right w:val="single" w:sz="8" w:space="0" w:color="747678"/>
        </w:tcBorders>
      </w:tcPr>
    </w:tblStylePr>
  </w:style>
  <w:style w:type="table" w:customStyle="1" w:styleId="TableGridLight1">
    <w:name w:val="Table Grid Light1"/>
    <w:basedOn w:val="TableNormal"/>
    <w:uiPriority w:val="40"/>
    <w:rsid w:val="00CB38CC"/>
    <w:rPr>
      <w:rFonts w:ascii="Arial" w:eastAsiaTheme="minorHAnsi" w:hAnsi="Arial"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1">
    <w:name w:val="A1"/>
    <w:rsid w:val="000F203F"/>
    <w:rPr>
      <w:color w:val="000000"/>
      <w:sz w:val="20"/>
      <w:szCs w:val="20"/>
    </w:rPr>
  </w:style>
  <w:style w:type="character" w:customStyle="1" w:styleId="searchword">
    <w:name w:val="searchword"/>
    <w:rsid w:val="000F203F"/>
    <w:rPr>
      <w:rFonts w:ascii="Times New Roman" w:hAnsi="Times New Roman" w:cs="Times New Roman"/>
    </w:rPr>
  </w:style>
  <w:style w:type="paragraph" w:styleId="BodyText3">
    <w:name w:val="Body Text 3"/>
    <w:basedOn w:val="Normal"/>
    <w:link w:val="BodyText3Char"/>
    <w:uiPriority w:val="99"/>
    <w:unhideWhenUsed/>
    <w:rsid w:val="000F203F"/>
    <w:pPr>
      <w:spacing w:before="0" w:after="120" w:line="276" w:lineRule="auto"/>
      <w:ind w:left="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0F203F"/>
    <w:rPr>
      <w:rFonts w:asciiTheme="minorHAnsi" w:eastAsiaTheme="minorHAnsi" w:hAnsiTheme="minorHAnsi" w:cstheme="minorBidi"/>
      <w:sz w:val="16"/>
      <w:szCs w:val="16"/>
      <w:lang w:eastAsia="en-US"/>
    </w:rPr>
  </w:style>
  <w:style w:type="paragraph" w:customStyle="1" w:styleId="Pa4">
    <w:name w:val="Pa4"/>
    <w:basedOn w:val="Normal"/>
    <w:next w:val="Normal"/>
    <w:rsid w:val="000F203F"/>
    <w:pPr>
      <w:autoSpaceDE w:val="0"/>
      <w:autoSpaceDN w:val="0"/>
      <w:adjustRightInd w:val="0"/>
      <w:spacing w:before="0" w:line="241" w:lineRule="atLeast"/>
      <w:ind w:left="0"/>
    </w:pPr>
    <w:rPr>
      <w:rFonts w:ascii="Akzidenz Grotesk BE" w:hAnsi="Akzidenz Grotesk BE"/>
      <w:sz w:val="24"/>
      <w:lang w:val="en-US"/>
    </w:rPr>
  </w:style>
  <w:style w:type="character" w:customStyle="1" w:styleId="A9">
    <w:name w:val="A9"/>
    <w:rsid w:val="000F203F"/>
    <w:rPr>
      <w:color w:val="auto"/>
      <w:sz w:val="19"/>
    </w:rPr>
  </w:style>
  <w:style w:type="paragraph" w:styleId="BodyText2">
    <w:name w:val="Body Text 2"/>
    <w:basedOn w:val="Normal"/>
    <w:link w:val="BodyText2Char"/>
    <w:uiPriority w:val="99"/>
    <w:unhideWhenUsed/>
    <w:rsid w:val="000F203F"/>
    <w:pPr>
      <w:spacing w:before="0" w:after="120" w:line="480" w:lineRule="auto"/>
      <w:ind w:left="0"/>
      <w:jc w:val="both"/>
    </w:pPr>
    <w:rPr>
      <w:sz w:val="18"/>
      <w:szCs w:val="20"/>
    </w:rPr>
  </w:style>
  <w:style w:type="character" w:customStyle="1" w:styleId="BodyText2Char">
    <w:name w:val="Body Text 2 Char"/>
    <w:basedOn w:val="DefaultParagraphFont"/>
    <w:link w:val="BodyText2"/>
    <w:uiPriority w:val="99"/>
    <w:rsid w:val="000F203F"/>
    <w:rPr>
      <w:rFonts w:ascii="Arial" w:hAnsi="Arial"/>
      <w:sz w:val="18"/>
      <w:lang w:eastAsia="en-US"/>
    </w:rPr>
  </w:style>
  <w:style w:type="paragraph" w:customStyle="1" w:styleId="a0">
    <w:name w:val="_"/>
    <w:basedOn w:val="Normal"/>
    <w:rsid w:val="000F203F"/>
    <w:pPr>
      <w:widowControl w:val="0"/>
      <w:spacing w:before="0"/>
      <w:ind w:left="720" w:hanging="720"/>
    </w:pPr>
    <w:rPr>
      <w:rFonts w:ascii="Times New Roman" w:hAnsi="Times New Roman"/>
      <w:snapToGrid w:val="0"/>
      <w:sz w:val="24"/>
      <w:szCs w:val="20"/>
      <w:lang w:val="en-US"/>
    </w:rPr>
  </w:style>
  <w:style w:type="paragraph" w:customStyle="1" w:styleId="NormalJustified">
    <w:name w:val="Normal + Justified"/>
    <w:basedOn w:val="Normal"/>
    <w:rsid w:val="000F203F"/>
    <w:pPr>
      <w:spacing w:before="0"/>
      <w:ind w:left="0"/>
    </w:pPr>
    <w:rPr>
      <w:rFonts w:cs="Arial"/>
      <w:b/>
      <w:szCs w:val="22"/>
    </w:rPr>
  </w:style>
  <w:style w:type="table" w:customStyle="1" w:styleId="TableGridLight2">
    <w:name w:val="Table Grid Light2"/>
    <w:basedOn w:val="TableNormal"/>
    <w:uiPriority w:val="40"/>
    <w:rsid w:val="002F7021"/>
    <w:rPr>
      <w:rFonts w:ascii="Arial" w:eastAsiaTheme="minorHAnsi" w:hAnsi="Arial"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a0">
    <w:name w:val="Pa0"/>
    <w:basedOn w:val="Default"/>
    <w:next w:val="Default"/>
    <w:uiPriority w:val="99"/>
    <w:rsid w:val="00874506"/>
    <w:pPr>
      <w:spacing w:line="741" w:lineRule="atLeast"/>
    </w:pPr>
    <w:rPr>
      <w:rFonts w:ascii="Bliss 2 Light" w:hAnsi="Bliss 2 Light" w:cs="Times New Roman"/>
      <w:color w:val="auto"/>
    </w:rPr>
  </w:style>
  <w:style w:type="character" w:customStyle="1" w:styleId="A00">
    <w:name w:val="A0"/>
    <w:uiPriority w:val="99"/>
    <w:rsid w:val="00874506"/>
    <w:rPr>
      <w:rFonts w:cs="Bliss 2 Light"/>
      <w:color w:val="000000"/>
      <w:sz w:val="63"/>
      <w:szCs w:val="63"/>
    </w:rPr>
  </w:style>
  <w:style w:type="paragraph" w:styleId="EndnoteText">
    <w:name w:val="endnote text"/>
    <w:basedOn w:val="Normal"/>
    <w:link w:val="EndnoteTextChar"/>
    <w:semiHidden/>
    <w:unhideWhenUsed/>
    <w:rsid w:val="00FC61F2"/>
    <w:pPr>
      <w:spacing w:before="0"/>
    </w:pPr>
    <w:rPr>
      <w:sz w:val="20"/>
      <w:szCs w:val="20"/>
    </w:rPr>
  </w:style>
  <w:style w:type="character" w:customStyle="1" w:styleId="EndnoteTextChar">
    <w:name w:val="Endnote Text Char"/>
    <w:basedOn w:val="DefaultParagraphFont"/>
    <w:link w:val="EndnoteText"/>
    <w:semiHidden/>
    <w:rsid w:val="00FC61F2"/>
    <w:rPr>
      <w:rFonts w:ascii="Arial" w:hAnsi="Arial"/>
      <w:lang w:eastAsia="en-US"/>
    </w:rPr>
  </w:style>
  <w:style w:type="character" w:styleId="EndnoteReference">
    <w:name w:val="endnote reference"/>
    <w:basedOn w:val="DefaultParagraphFont"/>
    <w:semiHidden/>
    <w:unhideWhenUsed/>
    <w:rsid w:val="00FC61F2"/>
    <w:rPr>
      <w:vertAlign w:val="superscript"/>
    </w:rPr>
  </w:style>
  <w:style w:type="character" w:customStyle="1" w:styleId="xapple-converted-space">
    <w:name w:val="x_apple-converted-space"/>
    <w:basedOn w:val="DefaultParagraphFont"/>
    <w:rsid w:val="00410E03"/>
  </w:style>
  <w:style w:type="paragraph" w:customStyle="1" w:styleId="Bullet">
    <w:name w:val="Bullet"/>
    <w:basedOn w:val="Normal"/>
    <w:link w:val="BulletChar"/>
    <w:qFormat/>
    <w:rsid w:val="008418BA"/>
    <w:pPr>
      <w:numPr>
        <w:numId w:val="31"/>
      </w:numPr>
      <w:ind w:left="2041" w:hanging="340"/>
    </w:pPr>
    <w:rPr>
      <w:rFonts w:cs="Arial"/>
      <w:szCs w:val="22"/>
    </w:rPr>
  </w:style>
  <w:style w:type="paragraph" w:customStyle="1" w:styleId="NumberedList">
    <w:name w:val="NumberedList"/>
    <w:basedOn w:val="Bullet"/>
    <w:link w:val="NumberedListChar"/>
    <w:qFormat/>
    <w:rsid w:val="00DC1396"/>
    <w:pPr>
      <w:numPr>
        <w:numId w:val="67"/>
      </w:numPr>
      <w:ind w:left="2041" w:hanging="340"/>
    </w:pPr>
  </w:style>
  <w:style w:type="character" w:customStyle="1" w:styleId="BulletChar">
    <w:name w:val="Bullet Char"/>
    <w:basedOn w:val="DefaultParagraphFont"/>
    <w:link w:val="Bullet"/>
    <w:rsid w:val="008418BA"/>
    <w:rPr>
      <w:rFonts w:ascii="Arial" w:hAnsi="Arial" w:cs="Arial"/>
      <w:sz w:val="22"/>
      <w:szCs w:val="22"/>
      <w:lang w:eastAsia="en-US"/>
    </w:rPr>
  </w:style>
  <w:style w:type="paragraph" w:customStyle="1" w:styleId="NumberedList2">
    <w:name w:val="NumberedList2"/>
    <w:basedOn w:val="NumberedList"/>
    <w:link w:val="NumberedList2Char"/>
    <w:rsid w:val="00DC1396"/>
    <w:pPr>
      <w:ind w:left="2721"/>
    </w:pPr>
  </w:style>
  <w:style w:type="character" w:customStyle="1" w:styleId="NumberedListChar">
    <w:name w:val="NumberedList Char"/>
    <w:basedOn w:val="BulletChar"/>
    <w:link w:val="NumberedList"/>
    <w:rsid w:val="00DC1396"/>
    <w:rPr>
      <w:rFonts w:ascii="Arial" w:hAnsi="Arial" w:cs="Arial"/>
      <w:sz w:val="22"/>
      <w:szCs w:val="22"/>
      <w:lang w:eastAsia="en-US"/>
    </w:rPr>
  </w:style>
  <w:style w:type="paragraph" w:customStyle="1" w:styleId="Bullet2">
    <w:name w:val="Bullet2"/>
    <w:basedOn w:val="Bullet"/>
    <w:link w:val="Bullet2Char"/>
    <w:qFormat/>
    <w:rsid w:val="00DC1396"/>
    <w:pPr>
      <w:ind w:left="2721"/>
    </w:pPr>
  </w:style>
  <w:style w:type="character" w:customStyle="1" w:styleId="NumberedList2Char">
    <w:name w:val="NumberedList2 Char"/>
    <w:basedOn w:val="NumberedListChar"/>
    <w:link w:val="NumberedList2"/>
    <w:rsid w:val="00DC1396"/>
    <w:rPr>
      <w:rFonts w:ascii="Arial" w:hAnsi="Arial" w:cs="Arial"/>
      <w:sz w:val="22"/>
      <w:szCs w:val="22"/>
      <w:lang w:eastAsia="en-US"/>
    </w:rPr>
  </w:style>
  <w:style w:type="character" w:customStyle="1" w:styleId="Bullet2Char">
    <w:name w:val="Bullet2 Char"/>
    <w:basedOn w:val="BulletChar"/>
    <w:link w:val="Bullet2"/>
    <w:rsid w:val="00DC1396"/>
    <w:rPr>
      <w:rFonts w:ascii="Arial" w:hAnsi="Arial" w:cs="Arial"/>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FA"/>
    <w:pPr>
      <w:spacing w:before="120"/>
      <w:ind w:left="1361"/>
    </w:pPr>
    <w:rPr>
      <w:rFonts w:ascii="Arial" w:hAnsi="Arial"/>
      <w:sz w:val="22"/>
      <w:szCs w:val="24"/>
      <w:lang w:eastAsia="en-US"/>
    </w:rPr>
  </w:style>
  <w:style w:type="paragraph" w:styleId="Heading1">
    <w:name w:val="heading 1"/>
    <w:aliases w:val="Section Heading,Section,chapter heading,(Section),Chapter heading"/>
    <w:next w:val="Normal"/>
    <w:link w:val="Heading1Char"/>
    <w:qFormat/>
    <w:rsid w:val="00FA3EB4"/>
    <w:pPr>
      <w:keepNext/>
      <w:pageBreakBefore/>
      <w:pBdr>
        <w:bottom w:val="single" w:sz="4" w:space="6" w:color="auto"/>
      </w:pBdr>
      <w:spacing w:before="1200" w:after="480"/>
      <w:outlineLvl w:val="0"/>
    </w:pPr>
    <w:rPr>
      <w:rFonts w:ascii="Arial" w:hAnsi="Arial"/>
      <w:sz w:val="56"/>
      <w:szCs w:val="24"/>
      <w:lang w:eastAsia="en-US"/>
    </w:rPr>
  </w:style>
  <w:style w:type="paragraph" w:styleId="Heading2">
    <w:name w:val="heading 2"/>
    <w:aliases w:val="A heading"/>
    <w:basedOn w:val="Normal"/>
    <w:next w:val="Normal"/>
    <w:link w:val="Heading2Char"/>
    <w:qFormat/>
    <w:rsid w:val="00D73CC1"/>
    <w:pPr>
      <w:keepNext/>
      <w:spacing w:before="420" w:after="120"/>
      <w:outlineLvl w:val="1"/>
    </w:pPr>
    <w:rPr>
      <w:rFonts w:cs="Arial"/>
      <w:b/>
      <w:bCs/>
      <w:iCs/>
      <w:sz w:val="28"/>
      <w:szCs w:val="28"/>
    </w:rPr>
  </w:style>
  <w:style w:type="paragraph" w:styleId="Heading3">
    <w:name w:val="heading 3"/>
    <w:aliases w:val="B heading"/>
    <w:basedOn w:val="Heading2"/>
    <w:next w:val="Normal"/>
    <w:link w:val="Heading3Char"/>
    <w:qFormat/>
    <w:rsid w:val="00D73CC1"/>
    <w:pPr>
      <w:outlineLvl w:val="2"/>
    </w:pPr>
    <w:rPr>
      <w:bCs w:val="0"/>
      <w:sz w:val="22"/>
      <w:szCs w:val="26"/>
    </w:rPr>
  </w:style>
  <w:style w:type="paragraph" w:styleId="Heading4">
    <w:name w:val="heading 4"/>
    <w:aliases w:val="Table heading"/>
    <w:basedOn w:val="Heading3"/>
    <w:next w:val="Normal"/>
    <w:link w:val="Heading4Char"/>
    <w:qFormat/>
    <w:pPr>
      <w:outlineLvl w:val="3"/>
    </w:pPr>
    <w:rPr>
      <w:bCs/>
      <w:szCs w:val="28"/>
    </w:rPr>
  </w:style>
  <w:style w:type="paragraph" w:styleId="Heading5">
    <w:name w:val="heading 5"/>
    <w:aliases w:val="Pull-out text"/>
    <w:basedOn w:val="Heading4"/>
    <w:next w:val="Normal"/>
    <w:link w:val="Heading5Char"/>
    <w:qFormat/>
    <w:pPr>
      <w:outlineLvl w:val="4"/>
    </w:pPr>
    <w:rPr>
      <w:bCs w:val="0"/>
      <w:iCs w:val="0"/>
      <w:szCs w:val="26"/>
    </w:rPr>
  </w:style>
  <w:style w:type="paragraph" w:styleId="Heading6">
    <w:name w:val="heading 6"/>
    <w:basedOn w:val="Heading5"/>
    <w:next w:val="Normal"/>
    <w:link w:val="Heading6Char"/>
    <w:qFormat/>
    <w:pPr>
      <w:outlineLvl w:val="5"/>
    </w:pPr>
    <w:rPr>
      <w:bCs/>
      <w:szCs w:val="22"/>
    </w:rPr>
  </w:style>
  <w:style w:type="paragraph" w:styleId="Heading7">
    <w:name w:val="heading 7"/>
    <w:basedOn w:val="Heading6"/>
    <w:next w:val="Normal"/>
    <w:link w:val="Heading7Char"/>
    <w:qFormat/>
    <w:pPr>
      <w:outlineLvl w:val="6"/>
    </w:pPr>
  </w:style>
  <w:style w:type="paragraph" w:styleId="Heading8">
    <w:name w:val="heading 8"/>
    <w:basedOn w:val="Heading7"/>
    <w:next w:val="Normal"/>
    <w:link w:val="Heading8Char"/>
    <w:qFormat/>
    <w:pPr>
      <w:outlineLvl w:val="7"/>
    </w:pPr>
    <w:rPr>
      <w:iCs/>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Arial"/>
    <w:basedOn w:val="Normal"/>
    <w:link w:val="FootnoteTextChar"/>
    <w:uiPriority w:val="99"/>
    <w:rsid w:val="001D187C"/>
    <w:pPr>
      <w:pBdr>
        <w:top w:val="single" w:sz="4" w:space="6" w:color="auto"/>
      </w:pBdr>
    </w:pPr>
    <w:rPr>
      <w:sz w:val="20"/>
      <w:szCs w:val="20"/>
    </w:rPr>
  </w:style>
  <w:style w:type="character" w:styleId="FootnoteReference">
    <w:name w:val="footnote reference"/>
    <w:aliases w:val="*UKCES Footnote Reference,Footnote Reference Superscript"/>
    <w:basedOn w:val="DefaultParagraphFont"/>
    <w:uiPriority w:val="99"/>
    <w:rsid w:val="001D187C"/>
    <w:rPr>
      <w:vertAlign w:val="superscript"/>
    </w:rPr>
  </w:style>
  <w:style w:type="paragraph" w:styleId="TOAHeading">
    <w:name w:val="toa heading"/>
    <w:basedOn w:val="Normal"/>
    <w:next w:val="Normal"/>
    <w:semiHidden/>
    <w:rPr>
      <w:rFonts w:cs="Arial"/>
      <w:b/>
      <w:bCs/>
    </w:rPr>
  </w:style>
  <w:style w:type="paragraph" w:customStyle="1" w:styleId="CoverDocumentTitle">
    <w:name w:val="Cover Document Title"/>
    <w:basedOn w:val="Normal"/>
    <w:rsid w:val="00EF55CC"/>
    <w:pPr>
      <w:spacing w:before="0" w:after="360"/>
      <w:ind w:left="0"/>
    </w:pPr>
    <w:rPr>
      <w:sz w:val="56"/>
    </w:rPr>
  </w:style>
  <w:style w:type="paragraph" w:customStyle="1" w:styleId="CoverSubTitle">
    <w:name w:val="Cover Sub Title"/>
    <w:basedOn w:val="Normal"/>
    <w:rsid w:val="00EF55CC"/>
    <w:pPr>
      <w:spacing w:before="0" w:after="360"/>
      <w:ind w:left="0"/>
    </w:pPr>
    <w:rPr>
      <w:sz w:val="36"/>
    </w:rPr>
  </w:style>
  <w:style w:type="paragraph" w:styleId="Header">
    <w:name w:val="header"/>
    <w:basedOn w:val="Normal"/>
    <w:link w:val="HeaderChar"/>
    <w:rsid w:val="00A35E9E"/>
    <w:pPr>
      <w:tabs>
        <w:tab w:val="right" w:pos="10206"/>
      </w:tabs>
      <w:spacing w:before="0"/>
      <w:ind w:left="0"/>
    </w:pPr>
    <w:rPr>
      <w:sz w:val="18"/>
    </w:rPr>
  </w:style>
  <w:style w:type="paragraph" w:styleId="Footer">
    <w:name w:val="footer"/>
    <w:basedOn w:val="Normal"/>
    <w:link w:val="FooterChar"/>
    <w:uiPriority w:val="99"/>
    <w:pPr>
      <w:tabs>
        <w:tab w:val="center" w:pos="4153"/>
        <w:tab w:val="right" w:pos="8306"/>
      </w:tabs>
      <w:ind w:left="0"/>
    </w:pPr>
  </w:style>
  <w:style w:type="paragraph" w:customStyle="1" w:styleId="Address">
    <w:name w:val="Address"/>
    <w:basedOn w:val="Normal"/>
    <w:rsid w:val="00125909"/>
    <w:pPr>
      <w:spacing w:before="0" w:after="60"/>
      <w:ind w:left="0"/>
    </w:pPr>
  </w:style>
  <w:style w:type="paragraph" w:styleId="TOC4">
    <w:name w:val="toc 4"/>
    <w:basedOn w:val="Normal"/>
    <w:next w:val="Normal"/>
    <w:uiPriority w:val="39"/>
    <w:pPr>
      <w:ind w:left="0"/>
    </w:pPr>
  </w:style>
  <w:style w:type="paragraph" w:customStyle="1" w:styleId="WebAddress">
    <w:name w:val="Web Address"/>
    <w:basedOn w:val="Address"/>
    <w:rsid w:val="00B928E4"/>
    <w:rPr>
      <w:b/>
    </w:rPr>
  </w:style>
  <w:style w:type="paragraph" w:customStyle="1" w:styleId="Heading1Numbered">
    <w:name w:val="Heading 1 Numbered"/>
    <w:basedOn w:val="Heading1"/>
    <w:next w:val="Normal"/>
    <w:qFormat/>
    <w:rsid w:val="005A5D21"/>
    <w:pPr>
      <w:numPr>
        <w:numId w:val="1"/>
      </w:numPr>
      <w:ind w:left="0"/>
    </w:pPr>
  </w:style>
  <w:style w:type="paragraph" w:customStyle="1" w:styleId="Heading2Numbered">
    <w:name w:val="Heading 2 Numbered"/>
    <w:basedOn w:val="Heading2"/>
    <w:next w:val="Normal"/>
    <w:qFormat/>
    <w:rsid w:val="00DC1396"/>
    <w:pPr>
      <w:numPr>
        <w:ilvl w:val="1"/>
        <w:numId w:val="1"/>
      </w:numPr>
      <w:tabs>
        <w:tab w:val="clear" w:pos="851"/>
        <w:tab w:val="num" w:pos="1361"/>
      </w:tabs>
      <w:ind w:left="1361" w:hanging="1361"/>
    </w:pPr>
  </w:style>
  <w:style w:type="paragraph" w:customStyle="1" w:styleId="StyleTOCHeadingBottomSinglesolidlineAuto05ptLine">
    <w:name w:val="Style TOC Heading + Bottom: (Single solid line Auto  0.5 pt Line ..."/>
    <w:basedOn w:val="TOCHeading"/>
    <w:rsid w:val="001E4EE9"/>
    <w:rPr>
      <w:szCs w:val="20"/>
    </w:rPr>
  </w:style>
  <w:style w:type="paragraph" w:customStyle="1" w:styleId="Heading3Numbered">
    <w:name w:val="Heading 3 Numbered"/>
    <w:basedOn w:val="Heading3"/>
    <w:next w:val="Normal"/>
    <w:qFormat/>
    <w:rsid w:val="00DC1396"/>
    <w:pPr>
      <w:numPr>
        <w:ilvl w:val="2"/>
        <w:numId w:val="1"/>
      </w:numPr>
      <w:tabs>
        <w:tab w:val="clear" w:pos="1080"/>
      </w:tabs>
      <w:ind w:left="1361" w:hanging="1361"/>
    </w:pPr>
  </w:style>
  <w:style w:type="paragraph" w:styleId="TOC1">
    <w:name w:val="toc 1"/>
    <w:basedOn w:val="Normal"/>
    <w:next w:val="Normal"/>
    <w:uiPriority w:val="39"/>
    <w:qFormat/>
    <w:rsid w:val="00436D02"/>
    <w:pPr>
      <w:spacing w:after="120"/>
      <w:ind w:left="0"/>
    </w:pPr>
    <w:rPr>
      <w:b/>
    </w:rPr>
  </w:style>
  <w:style w:type="paragraph" w:styleId="TOC2">
    <w:name w:val="toc 2"/>
    <w:basedOn w:val="TOC1"/>
    <w:next w:val="Normal"/>
    <w:uiPriority w:val="39"/>
    <w:qFormat/>
    <w:rsid w:val="00436D02"/>
    <w:pPr>
      <w:ind w:left="720"/>
    </w:pPr>
    <w:rPr>
      <w:b w:val="0"/>
    </w:rPr>
  </w:style>
  <w:style w:type="paragraph" w:styleId="TOC3">
    <w:name w:val="toc 3"/>
    <w:basedOn w:val="Normal"/>
    <w:next w:val="Normal"/>
    <w:uiPriority w:val="39"/>
    <w:qFormat/>
    <w:rsid w:val="00436D02"/>
    <w:pPr>
      <w:ind w:left="1440"/>
    </w:pPr>
  </w:style>
  <w:style w:type="paragraph" w:styleId="TOC5">
    <w:name w:val="toc 5"/>
    <w:basedOn w:val="Normal"/>
    <w:next w:val="Normal"/>
    <w:uiPriority w:val="39"/>
    <w:pPr>
      <w:ind w:left="0"/>
    </w:pPr>
  </w:style>
  <w:style w:type="paragraph" w:styleId="TOC6">
    <w:name w:val="toc 6"/>
    <w:basedOn w:val="Normal"/>
    <w:next w:val="Normal"/>
    <w:uiPriority w:val="39"/>
    <w:pPr>
      <w:ind w:left="0"/>
    </w:pPr>
  </w:style>
  <w:style w:type="paragraph" w:styleId="TOC7">
    <w:name w:val="toc 7"/>
    <w:basedOn w:val="Normal"/>
    <w:next w:val="Normal"/>
    <w:uiPriority w:val="39"/>
    <w:pPr>
      <w:ind w:left="0"/>
    </w:pPr>
  </w:style>
  <w:style w:type="paragraph" w:styleId="TOC8">
    <w:name w:val="toc 8"/>
    <w:basedOn w:val="Normal"/>
    <w:next w:val="Normal"/>
    <w:uiPriority w:val="39"/>
    <w:pPr>
      <w:ind w:left="0"/>
    </w:pPr>
  </w:style>
  <w:style w:type="paragraph" w:styleId="TOC9">
    <w:name w:val="toc 9"/>
    <w:basedOn w:val="Normal"/>
    <w:next w:val="Normal"/>
    <w:uiPriority w:val="39"/>
    <w:pPr>
      <w:tabs>
        <w:tab w:val="left" w:pos="1418"/>
        <w:tab w:val="right" w:leader="dot" w:pos="10206"/>
      </w:tabs>
      <w:ind w:left="1418" w:hanging="1418"/>
    </w:pPr>
  </w:style>
  <w:style w:type="character" w:styleId="Hyperlink">
    <w:name w:val="Hyperlink"/>
    <w:basedOn w:val="DefaultParagraphFont"/>
    <w:uiPriority w:val="99"/>
    <w:rsid w:val="00542840"/>
    <w:rPr>
      <w:rFonts w:ascii="Arial" w:hAnsi="Arial"/>
      <w:color w:val="0000FF"/>
      <w:sz w:val="22"/>
      <w:u w:val="single"/>
    </w:rPr>
  </w:style>
  <w:style w:type="paragraph" w:customStyle="1" w:styleId="Heading4Numbered">
    <w:name w:val="Heading 4 Numbered"/>
    <w:basedOn w:val="Heading4"/>
    <w:next w:val="Normal"/>
    <w:rsid w:val="004563B9"/>
    <w:pPr>
      <w:numPr>
        <w:ilvl w:val="3"/>
        <w:numId w:val="1"/>
      </w:numPr>
      <w:tabs>
        <w:tab w:val="left" w:pos="851"/>
      </w:tabs>
    </w:pPr>
  </w:style>
  <w:style w:type="paragraph" w:styleId="BodyText">
    <w:name w:val="Body Text"/>
    <w:basedOn w:val="Normal"/>
    <w:link w:val="BodyTextChar"/>
    <w:rsid w:val="005C0743"/>
    <w:pPr>
      <w:spacing w:before="0"/>
    </w:pPr>
  </w:style>
  <w:style w:type="paragraph" w:customStyle="1" w:styleId="Heading5Numbered">
    <w:name w:val="Heading 5 Numbered"/>
    <w:basedOn w:val="Heading5"/>
    <w:next w:val="Normal"/>
    <w:rsid w:val="005C0743"/>
    <w:pPr>
      <w:numPr>
        <w:ilvl w:val="4"/>
        <w:numId w:val="1"/>
      </w:numPr>
      <w:tabs>
        <w:tab w:val="left" w:pos="1134"/>
      </w:tabs>
    </w:pPr>
  </w:style>
  <w:style w:type="paragraph" w:customStyle="1" w:styleId="Heading6Numbered">
    <w:name w:val="Heading 6 Numbered"/>
    <w:basedOn w:val="Heading6"/>
    <w:next w:val="Normal"/>
    <w:rsid w:val="005C0743"/>
    <w:pPr>
      <w:numPr>
        <w:ilvl w:val="5"/>
        <w:numId w:val="1"/>
      </w:numPr>
      <w:tabs>
        <w:tab w:val="left" w:pos="1134"/>
      </w:tabs>
    </w:pPr>
  </w:style>
  <w:style w:type="paragraph" w:customStyle="1" w:styleId="Heading7Numbered">
    <w:name w:val="Heading 7 Numbered"/>
    <w:basedOn w:val="Heading7"/>
    <w:next w:val="Normal"/>
    <w:rsid w:val="005C0743"/>
    <w:pPr>
      <w:numPr>
        <w:ilvl w:val="6"/>
        <w:numId w:val="1"/>
      </w:numPr>
      <w:tabs>
        <w:tab w:val="left" w:pos="1418"/>
      </w:tabs>
    </w:pPr>
  </w:style>
  <w:style w:type="paragraph" w:customStyle="1" w:styleId="Heading8Numbered">
    <w:name w:val="Heading 8 Numbered"/>
    <w:basedOn w:val="Heading8"/>
    <w:next w:val="Normal"/>
    <w:rsid w:val="005C0743"/>
    <w:pPr>
      <w:numPr>
        <w:ilvl w:val="7"/>
        <w:numId w:val="1"/>
      </w:numPr>
      <w:tabs>
        <w:tab w:val="left" w:pos="1701"/>
      </w:tabs>
    </w:pPr>
  </w:style>
  <w:style w:type="paragraph" w:customStyle="1" w:styleId="Heading9Numbered">
    <w:name w:val="Heading 9 Numbered"/>
    <w:basedOn w:val="Heading9"/>
    <w:next w:val="Normal"/>
    <w:rsid w:val="005C0743"/>
    <w:pPr>
      <w:numPr>
        <w:ilvl w:val="8"/>
        <w:numId w:val="1"/>
      </w:numPr>
      <w:tabs>
        <w:tab w:val="left" w:pos="1985"/>
      </w:tabs>
    </w:pPr>
  </w:style>
  <w:style w:type="paragraph" w:styleId="TOCHeading">
    <w:name w:val="TOC Heading"/>
    <w:basedOn w:val="Heading1"/>
    <w:uiPriority w:val="39"/>
    <w:qFormat/>
    <w:pPr>
      <w:outlineLvl w:val="9"/>
    </w:pPr>
  </w:style>
  <w:style w:type="character" w:styleId="HTMLAcronym">
    <w:name w:val="HTML Acronym"/>
    <w:basedOn w:val="DefaultParagraphFont"/>
    <w:rsid w:val="00542840"/>
    <w:rPr>
      <w:rFonts w:ascii="Arial" w:hAnsi="Arial"/>
      <w:sz w:val="22"/>
    </w:rPr>
  </w:style>
  <w:style w:type="paragraph" w:styleId="ListBullet">
    <w:name w:val="List Bullet"/>
    <w:basedOn w:val="Normal"/>
    <w:uiPriority w:val="99"/>
    <w:rsid w:val="00B52CB1"/>
    <w:pPr>
      <w:numPr>
        <w:numId w:val="3"/>
      </w:numPr>
      <w:tabs>
        <w:tab w:val="left" w:pos="1134"/>
      </w:tabs>
      <w:spacing w:after="120"/>
    </w:pPr>
  </w:style>
  <w:style w:type="paragraph" w:styleId="TableofFigures">
    <w:name w:val="table of figures"/>
    <w:basedOn w:val="Normal"/>
    <w:next w:val="Normal"/>
    <w:uiPriority w:val="99"/>
    <w:pPr>
      <w:ind w:left="480" w:hanging="480"/>
    </w:pPr>
  </w:style>
  <w:style w:type="paragraph" w:styleId="Index1">
    <w:name w:val="index 1"/>
    <w:basedOn w:val="Normal"/>
    <w:next w:val="Normal"/>
    <w:autoRedefine/>
    <w:semiHidden/>
    <w:pPr>
      <w:ind w:left="240" w:hanging="240"/>
    </w:pPr>
  </w:style>
  <w:style w:type="paragraph" w:customStyle="1" w:styleId="TableHeading">
    <w:name w:val="Table Heading"/>
    <w:basedOn w:val="Normal"/>
    <w:rsid w:val="00542840"/>
    <w:pPr>
      <w:spacing w:before="60" w:after="60"/>
      <w:ind w:left="0"/>
    </w:pPr>
    <w:rPr>
      <w:b/>
      <w:bCs/>
    </w:rPr>
  </w:style>
  <w:style w:type="paragraph" w:customStyle="1" w:styleId="Heading1Appendix">
    <w:name w:val="Heading 1 Appendix"/>
    <w:basedOn w:val="Heading1Numbered"/>
    <w:next w:val="Normal"/>
    <w:rsid w:val="001E4EE9"/>
    <w:pPr>
      <w:numPr>
        <w:numId w:val="2"/>
      </w:numPr>
    </w:pPr>
  </w:style>
  <w:style w:type="paragraph" w:customStyle="1" w:styleId="Heading2Appendix">
    <w:name w:val="Heading 2 Appendix"/>
    <w:basedOn w:val="Heading2Numbered"/>
    <w:next w:val="Normal"/>
    <w:rsid w:val="004563B9"/>
    <w:pPr>
      <w:numPr>
        <w:numId w:val="2"/>
      </w:numPr>
      <w:ind w:left="2779"/>
    </w:pPr>
  </w:style>
  <w:style w:type="paragraph" w:customStyle="1" w:styleId="Heading3Appendix">
    <w:name w:val="Heading 3 Appendix"/>
    <w:basedOn w:val="Heading3Numbered"/>
    <w:next w:val="Normal"/>
    <w:rsid w:val="004563B9"/>
    <w:pPr>
      <w:numPr>
        <w:numId w:val="2"/>
      </w:numPr>
      <w:tabs>
        <w:tab w:val="clear" w:pos="1080"/>
      </w:tabs>
      <w:ind w:left="2779"/>
    </w:pPr>
  </w:style>
  <w:style w:type="paragraph" w:customStyle="1" w:styleId="Heading4Appendix">
    <w:name w:val="Heading 4 Appendix"/>
    <w:basedOn w:val="Heading4Numbered"/>
    <w:next w:val="Normal"/>
    <w:rsid w:val="004563B9"/>
    <w:pPr>
      <w:numPr>
        <w:numId w:val="2"/>
      </w:numPr>
      <w:tabs>
        <w:tab w:val="clear" w:pos="2291"/>
      </w:tabs>
      <w:ind w:left="2779" w:hanging="851"/>
    </w:pPr>
  </w:style>
  <w:style w:type="paragraph" w:customStyle="1" w:styleId="Heading5Appendix">
    <w:name w:val="Heading 5 Appendix"/>
    <w:basedOn w:val="Heading5Numbered"/>
    <w:next w:val="Normal"/>
    <w:rsid w:val="005C0743"/>
    <w:pPr>
      <w:numPr>
        <w:numId w:val="2"/>
      </w:numPr>
      <w:tabs>
        <w:tab w:val="clear" w:pos="2651"/>
      </w:tabs>
      <w:ind w:left="3062" w:hanging="1134"/>
    </w:pPr>
  </w:style>
  <w:style w:type="paragraph" w:customStyle="1" w:styleId="Heading6Appendix">
    <w:name w:val="Heading 6 Appendix"/>
    <w:basedOn w:val="Heading6Numbered"/>
    <w:next w:val="Normal"/>
    <w:rsid w:val="005C0743"/>
    <w:pPr>
      <w:numPr>
        <w:numId w:val="2"/>
      </w:numPr>
      <w:tabs>
        <w:tab w:val="clear" w:pos="3011"/>
      </w:tabs>
      <w:ind w:left="3062" w:hanging="1134"/>
    </w:pPr>
  </w:style>
  <w:style w:type="paragraph" w:customStyle="1" w:styleId="Heading7Appendix">
    <w:name w:val="Heading 7 Appendix"/>
    <w:basedOn w:val="Heading7Numbered"/>
    <w:next w:val="Normal"/>
    <w:rsid w:val="005C0743"/>
    <w:pPr>
      <w:numPr>
        <w:numId w:val="2"/>
      </w:numPr>
      <w:tabs>
        <w:tab w:val="clear" w:pos="3371"/>
      </w:tabs>
      <w:ind w:left="3346" w:hanging="1418"/>
    </w:pPr>
  </w:style>
  <w:style w:type="paragraph" w:customStyle="1" w:styleId="Heading8Appendix">
    <w:name w:val="Heading 8 Appendix"/>
    <w:basedOn w:val="Heading8Numbered"/>
    <w:next w:val="Normal"/>
    <w:rsid w:val="005C0743"/>
    <w:pPr>
      <w:numPr>
        <w:numId w:val="2"/>
      </w:numPr>
      <w:tabs>
        <w:tab w:val="clear" w:pos="3731"/>
      </w:tabs>
      <w:ind w:left="3629" w:hanging="1701"/>
    </w:pPr>
  </w:style>
  <w:style w:type="paragraph" w:customStyle="1" w:styleId="Heading9Appendix">
    <w:name w:val="Heading 9 Appendix"/>
    <w:basedOn w:val="Heading9Numbered"/>
    <w:next w:val="Normal"/>
    <w:rsid w:val="005C0743"/>
    <w:pPr>
      <w:numPr>
        <w:numId w:val="2"/>
      </w:numPr>
      <w:tabs>
        <w:tab w:val="clear" w:pos="4091"/>
      </w:tabs>
      <w:ind w:left="3913" w:hanging="1985"/>
    </w:pPr>
  </w:style>
  <w:style w:type="paragraph" w:customStyle="1" w:styleId="TableBody">
    <w:name w:val="Table Body"/>
    <w:basedOn w:val="Normal"/>
    <w:pPr>
      <w:spacing w:before="60" w:after="60"/>
      <w:ind w:left="0"/>
    </w:pPr>
  </w:style>
  <w:style w:type="paragraph" w:customStyle="1" w:styleId="CoverDate">
    <w:name w:val="Cover Date"/>
    <w:basedOn w:val="Normal"/>
    <w:rsid w:val="00492820"/>
    <w:pPr>
      <w:ind w:left="0"/>
    </w:pPr>
    <w:rPr>
      <w:sz w:val="24"/>
    </w:rPr>
  </w:style>
  <w:style w:type="paragraph" w:customStyle="1" w:styleId="MissionStatement">
    <w:name w:val="Mission Statement"/>
    <w:basedOn w:val="Normal"/>
    <w:rsid w:val="00401173"/>
    <w:pPr>
      <w:ind w:left="0"/>
    </w:pPr>
    <w:rPr>
      <w:sz w:val="40"/>
    </w:rPr>
  </w:style>
  <w:style w:type="table" w:styleId="TableGrid">
    <w:name w:val="Table Grid"/>
    <w:basedOn w:val="TableNormal"/>
    <w:uiPriority w:val="59"/>
    <w:rsid w:val="00542840"/>
    <w:pPr>
      <w:spacing w:before="120"/>
      <w:ind w:left="851"/>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Bold">
    <w:name w:val="Header Bold"/>
    <w:basedOn w:val="Header"/>
    <w:rsid w:val="00F51926"/>
    <w:rPr>
      <w:b/>
    </w:rPr>
  </w:style>
  <w:style w:type="paragraph" w:customStyle="1" w:styleId="Default">
    <w:name w:val="Default"/>
    <w:rsid w:val="0065214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rsid w:val="008C3A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8C3A19"/>
    <w:rPr>
      <w:rFonts w:ascii="Tahoma" w:hAnsi="Tahoma" w:cs="Tahoma"/>
      <w:sz w:val="16"/>
      <w:szCs w:val="16"/>
      <w:lang w:eastAsia="en-US"/>
    </w:rPr>
  </w:style>
  <w:style w:type="numbering" w:customStyle="1" w:styleId="NoList1">
    <w:name w:val="No List1"/>
    <w:next w:val="NoList"/>
    <w:uiPriority w:val="99"/>
    <w:semiHidden/>
    <w:unhideWhenUsed/>
    <w:rsid w:val="00D36FBC"/>
  </w:style>
  <w:style w:type="character" w:customStyle="1" w:styleId="Heading1Char">
    <w:name w:val="Heading 1 Char"/>
    <w:aliases w:val="Section Heading Char,Section Char,chapter heading Char,(Section) Char,Chapter heading Char"/>
    <w:link w:val="Heading1"/>
    <w:locked/>
    <w:rsid w:val="00FA3EB4"/>
    <w:rPr>
      <w:rFonts w:ascii="Arial" w:hAnsi="Arial"/>
      <w:sz w:val="56"/>
      <w:szCs w:val="24"/>
      <w:lang w:eastAsia="en-US"/>
    </w:rPr>
  </w:style>
  <w:style w:type="character" w:customStyle="1" w:styleId="Heading2Char">
    <w:name w:val="Heading 2 Char"/>
    <w:aliases w:val="A heading Char"/>
    <w:link w:val="Heading2"/>
    <w:locked/>
    <w:rsid w:val="00D36FBC"/>
    <w:rPr>
      <w:rFonts w:ascii="Arial" w:hAnsi="Arial" w:cs="Arial"/>
      <w:b/>
      <w:bCs/>
      <w:iCs/>
      <w:sz w:val="28"/>
      <w:szCs w:val="28"/>
      <w:lang w:eastAsia="en-US"/>
    </w:rPr>
  </w:style>
  <w:style w:type="character" w:customStyle="1" w:styleId="Heading3Char">
    <w:name w:val="Heading 3 Char"/>
    <w:aliases w:val="B heading Char"/>
    <w:link w:val="Heading3"/>
    <w:locked/>
    <w:rsid w:val="00D36FBC"/>
    <w:rPr>
      <w:rFonts w:ascii="Arial" w:hAnsi="Arial" w:cs="Arial"/>
      <w:b/>
      <w:iCs/>
      <w:sz w:val="22"/>
      <w:szCs w:val="26"/>
      <w:lang w:eastAsia="en-US"/>
    </w:rPr>
  </w:style>
  <w:style w:type="character" w:customStyle="1" w:styleId="Heading4Char">
    <w:name w:val="Heading 4 Char"/>
    <w:aliases w:val="Table heading Char"/>
    <w:link w:val="Heading4"/>
    <w:locked/>
    <w:rsid w:val="00D36FBC"/>
    <w:rPr>
      <w:rFonts w:ascii="Arial" w:hAnsi="Arial" w:cs="Arial"/>
      <w:b/>
      <w:bCs/>
      <w:iCs/>
      <w:sz w:val="22"/>
      <w:szCs w:val="28"/>
      <w:lang w:eastAsia="en-US"/>
    </w:rPr>
  </w:style>
  <w:style w:type="paragraph" w:styleId="ListParagraph">
    <w:name w:val="List Paragraph"/>
    <w:basedOn w:val="Normal"/>
    <w:link w:val="ListParagraphChar"/>
    <w:uiPriority w:val="34"/>
    <w:qFormat/>
    <w:rsid w:val="00D36FBC"/>
    <w:pPr>
      <w:spacing w:before="0"/>
      <w:ind w:left="720"/>
      <w:contextualSpacing/>
    </w:pPr>
    <w:rPr>
      <w:rFonts w:ascii="Times New Roman" w:eastAsia="SimSun" w:hAnsi="Times New Roman"/>
      <w:sz w:val="24"/>
      <w:lang w:eastAsia="en-GB"/>
    </w:rPr>
  </w:style>
  <w:style w:type="table" w:customStyle="1" w:styleId="TableGrid1">
    <w:name w:val="Table Grid1"/>
    <w:basedOn w:val="TableNormal"/>
    <w:next w:val="TableGrid"/>
    <w:uiPriority w:val="59"/>
    <w:rsid w:val="00D36FBC"/>
    <w:rPr>
      <w:rFonts w:ascii="Arial" w:eastAsia="SimSun" w:hAnsi="Arial" w:cs="Arial"/>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D36FBC"/>
    <w:rPr>
      <w:rFonts w:cs="Times New Roman"/>
      <w:sz w:val="16"/>
      <w:szCs w:val="16"/>
    </w:rPr>
  </w:style>
  <w:style w:type="paragraph" w:styleId="CommentText">
    <w:name w:val="annotation text"/>
    <w:basedOn w:val="Normal"/>
    <w:link w:val="CommentTextChar"/>
    <w:uiPriority w:val="99"/>
    <w:rsid w:val="00D36FBC"/>
    <w:pPr>
      <w:spacing w:before="0"/>
      <w:ind w:left="0"/>
    </w:pPr>
    <w:rPr>
      <w:rFonts w:ascii="Times New Roman" w:eastAsia="SimSun" w:hAnsi="Times New Roman"/>
      <w:sz w:val="20"/>
      <w:szCs w:val="20"/>
      <w:lang w:eastAsia="en-GB"/>
    </w:rPr>
  </w:style>
  <w:style w:type="character" w:customStyle="1" w:styleId="CommentTextChar">
    <w:name w:val="Comment Text Char"/>
    <w:basedOn w:val="DefaultParagraphFont"/>
    <w:link w:val="CommentText"/>
    <w:uiPriority w:val="99"/>
    <w:rsid w:val="00D36FBC"/>
    <w:rPr>
      <w:rFonts w:eastAsia="SimSun"/>
    </w:rPr>
  </w:style>
  <w:style w:type="paragraph" w:customStyle="1" w:styleId="BodytextSubhead">
    <w:name w:val="~Bodytext Subhead"/>
    <w:basedOn w:val="Normal"/>
    <w:uiPriority w:val="99"/>
    <w:rsid w:val="00D36FBC"/>
    <w:pPr>
      <w:tabs>
        <w:tab w:val="left" w:pos="1634"/>
      </w:tabs>
      <w:spacing w:before="0" w:after="560" w:line="320" w:lineRule="exact"/>
      <w:ind w:left="0"/>
    </w:pPr>
    <w:rPr>
      <w:rFonts w:eastAsia="SimSun" w:cs="Arial"/>
      <w:color w:val="626262"/>
      <w:spacing w:val="2"/>
      <w:kern w:val="28"/>
      <w:sz w:val="30"/>
      <w:szCs w:val="30"/>
      <w:lang w:eastAsia="zh-CN"/>
    </w:rPr>
  </w:style>
  <w:style w:type="character" w:customStyle="1" w:styleId="HeaderChar">
    <w:name w:val="Header Char"/>
    <w:link w:val="Header"/>
    <w:locked/>
    <w:rsid w:val="00D36FBC"/>
    <w:rPr>
      <w:rFonts w:ascii="Arial" w:hAnsi="Arial"/>
      <w:sz w:val="18"/>
      <w:szCs w:val="24"/>
      <w:lang w:eastAsia="en-US"/>
    </w:rPr>
  </w:style>
  <w:style w:type="character" w:customStyle="1" w:styleId="FooterChar">
    <w:name w:val="Footer Char"/>
    <w:link w:val="Footer"/>
    <w:uiPriority w:val="99"/>
    <w:locked/>
    <w:rsid w:val="00D36FBC"/>
    <w:rPr>
      <w:rFonts w:ascii="Arial" w:hAnsi="Arial"/>
      <w:sz w:val="22"/>
      <w:szCs w:val="24"/>
      <w:lang w:eastAsia="en-US"/>
    </w:rPr>
  </w:style>
  <w:style w:type="character" w:styleId="Strong">
    <w:name w:val="Strong"/>
    <w:uiPriority w:val="99"/>
    <w:qFormat/>
    <w:rsid w:val="00D36FBC"/>
    <w:rPr>
      <w:rFonts w:cs="Times New Roman"/>
      <w:b/>
      <w:bCs/>
    </w:rPr>
  </w:style>
  <w:style w:type="paragraph" w:styleId="CommentSubject">
    <w:name w:val="annotation subject"/>
    <w:basedOn w:val="CommentText"/>
    <w:next w:val="CommentText"/>
    <w:link w:val="CommentSubjectChar"/>
    <w:uiPriority w:val="99"/>
    <w:rsid w:val="00D36FBC"/>
    <w:pPr>
      <w:ind w:left="851" w:right="833"/>
    </w:pPr>
    <w:rPr>
      <w:rFonts w:ascii="Arial" w:hAnsi="Arial"/>
      <w:b/>
      <w:bCs/>
    </w:rPr>
  </w:style>
  <w:style w:type="character" w:customStyle="1" w:styleId="CommentSubjectChar">
    <w:name w:val="Comment Subject Char"/>
    <w:basedOn w:val="CommentTextChar"/>
    <w:link w:val="CommentSubject"/>
    <w:uiPriority w:val="99"/>
    <w:rsid w:val="00D36FBC"/>
    <w:rPr>
      <w:rFonts w:ascii="Arial" w:eastAsia="SimSun" w:hAnsi="Arial"/>
      <w:b/>
      <w:bCs/>
    </w:rPr>
  </w:style>
  <w:style w:type="paragraph" w:styleId="Revision">
    <w:name w:val="Revision"/>
    <w:hidden/>
    <w:uiPriority w:val="99"/>
    <w:semiHidden/>
    <w:rsid w:val="00D36FBC"/>
    <w:rPr>
      <w:rFonts w:ascii="Arial" w:eastAsia="SimSun" w:hAnsi="Arial" w:cs="Arial"/>
      <w:sz w:val="24"/>
      <w:szCs w:val="24"/>
      <w:lang w:eastAsia="zh-CN"/>
    </w:rPr>
  </w:style>
  <w:style w:type="paragraph" w:styleId="PlainText">
    <w:name w:val="Plain Text"/>
    <w:basedOn w:val="Normal"/>
    <w:link w:val="PlainTextChar"/>
    <w:uiPriority w:val="99"/>
    <w:rsid w:val="00D36FBC"/>
    <w:pPr>
      <w:spacing w:before="0"/>
      <w:ind w:left="0"/>
    </w:pPr>
    <w:rPr>
      <w:rFonts w:eastAsia="SimSun"/>
      <w:sz w:val="20"/>
      <w:szCs w:val="20"/>
      <w:lang w:eastAsia="zh-CN"/>
    </w:rPr>
  </w:style>
  <w:style w:type="character" w:customStyle="1" w:styleId="PlainTextChar">
    <w:name w:val="Plain Text Char"/>
    <w:basedOn w:val="DefaultParagraphFont"/>
    <w:link w:val="PlainText"/>
    <w:uiPriority w:val="99"/>
    <w:rsid w:val="00D36FBC"/>
    <w:rPr>
      <w:rFonts w:ascii="Arial" w:eastAsia="SimSun" w:hAnsi="Arial"/>
      <w:lang w:eastAsia="zh-CN"/>
    </w:rPr>
  </w:style>
  <w:style w:type="paragraph" w:styleId="NormalWeb">
    <w:name w:val="Normal (Web)"/>
    <w:basedOn w:val="Normal"/>
    <w:uiPriority w:val="99"/>
    <w:rsid w:val="00D36FBC"/>
    <w:pPr>
      <w:spacing w:before="100" w:beforeAutospacing="1" w:after="100" w:afterAutospacing="1"/>
      <w:ind w:left="0"/>
    </w:pPr>
    <w:rPr>
      <w:rFonts w:ascii="Times New Roman" w:eastAsia="SimSun" w:hAnsi="Times New Roman"/>
      <w:sz w:val="24"/>
      <w:lang w:eastAsia="zh-CN"/>
    </w:rPr>
  </w:style>
  <w:style w:type="character" w:customStyle="1" w:styleId="FootnoteTextChar">
    <w:name w:val="Footnote Text Char"/>
    <w:aliases w:val="Footnote Text Char Char Char,Footnote Text Arial Char"/>
    <w:link w:val="FootnoteText"/>
    <w:uiPriority w:val="99"/>
    <w:locked/>
    <w:rsid w:val="00D36FBC"/>
    <w:rPr>
      <w:rFonts w:ascii="Arial" w:hAnsi="Arial"/>
      <w:lang w:eastAsia="en-US"/>
    </w:rPr>
  </w:style>
  <w:style w:type="character" w:customStyle="1" w:styleId="a">
    <w:name w:val="a"/>
    <w:uiPriority w:val="99"/>
    <w:rsid w:val="00D36FBC"/>
    <w:rPr>
      <w:rFonts w:cs="Times New Roman"/>
    </w:rPr>
  </w:style>
  <w:style w:type="paragraph" w:customStyle="1" w:styleId="ptdocpara">
    <w:name w:val="ptdocpara"/>
    <w:basedOn w:val="Normal"/>
    <w:uiPriority w:val="99"/>
    <w:rsid w:val="00D36FBC"/>
    <w:pPr>
      <w:spacing w:before="0" w:after="100" w:afterAutospacing="1"/>
      <w:ind w:left="0"/>
    </w:pPr>
    <w:rPr>
      <w:rFonts w:eastAsia="SimSun" w:cs="Arial"/>
      <w:color w:val="666666"/>
      <w:sz w:val="15"/>
      <w:szCs w:val="15"/>
      <w:lang w:eastAsia="zh-CN"/>
    </w:rPr>
  </w:style>
  <w:style w:type="character" w:customStyle="1" w:styleId="ptdocpublication">
    <w:name w:val="ptdocpublication"/>
    <w:uiPriority w:val="99"/>
    <w:rsid w:val="00D36FBC"/>
    <w:rPr>
      <w:rFonts w:cs="Times New Roman"/>
    </w:rPr>
  </w:style>
  <w:style w:type="character" w:customStyle="1" w:styleId="ptdocissuevolume">
    <w:name w:val="ptdocissuevolume"/>
    <w:uiPriority w:val="99"/>
    <w:rsid w:val="00D36FBC"/>
    <w:rPr>
      <w:rFonts w:cs="Times New Roman"/>
    </w:rPr>
  </w:style>
  <w:style w:type="character" w:customStyle="1" w:styleId="ptdocissuedate">
    <w:name w:val="ptdocissuedate"/>
    <w:uiPriority w:val="99"/>
    <w:rsid w:val="00D36FBC"/>
    <w:rPr>
      <w:rFonts w:cs="Times New Roman"/>
    </w:rPr>
  </w:style>
  <w:style w:type="character" w:customStyle="1" w:styleId="ptdocissuepage">
    <w:name w:val="ptdocissuepage"/>
    <w:uiPriority w:val="99"/>
    <w:rsid w:val="00D36FBC"/>
    <w:rPr>
      <w:rFonts w:cs="Times New Roman"/>
    </w:rPr>
  </w:style>
  <w:style w:type="paragraph" w:customStyle="1" w:styleId="CM64">
    <w:name w:val="CM64"/>
    <w:basedOn w:val="Default"/>
    <w:next w:val="Default"/>
    <w:uiPriority w:val="99"/>
    <w:rsid w:val="00D36FBC"/>
    <w:rPr>
      <w:rFonts w:ascii="Frutiger 45 Light" w:eastAsia="SimSun" w:hAnsi="Frutiger 45 Light" w:cs="Times New Roman"/>
      <w:color w:val="auto"/>
      <w:lang w:eastAsia="en-US"/>
    </w:rPr>
  </w:style>
  <w:style w:type="character" w:customStyle="1" w:styleId="ej-bread-crumb-current">
    <w:name w:val="ej-bread-crumb-current"/>
    <w:uiPriority w:val="99"/>
    <w:rsid w:val="00D36FBC"/>
    <w:rPr>
      <w:rFonts w:cs="Times New Roman"/>
    </w:rPr>
  </w:style>
  <w:style w:type="character" w:customStyle="1" w:styleId="name">
    <w:name w:val="name"/>
    <w:uiPriority w:val="99"/>
    <w:rsid w:val="00D36FBC"/>
    <w:rPr>
      <w:rFonts w:cs="Times New Roman"/>
    </w:rPr>
  </w:style>
  <w:style w:type="character" w:customStyle="1" w:styleId="forenames">
    <w:name w:val="forenames"/>
    <w:uiPriority w:val="99"/>
    <w:rsid w:val="00D36FBC"/>
    <w:rPr>
      <w:rFonts w:cs="Times New Roman"/>
    </w:rPr>
  </w:style>
  <w:style w:type="character" w:customStyle="1" w:styleId="surname">
    <w:name w:val="surname"/>
    <w:uiPriority w:val="99"/>
    <w:rsid w:val="00D36FBC"/>
    <w:rPr>
      <w:rFonts w:cs="Times New Roman"/>
    </w:rPr>
  </w:style>
  <w:style w:type="character" w:styleId="Emphasis">
    <w:name w:val="Emphasis"/>
    <w:uiPriority w:val="20"/>
    <w:qFormat/>
    <w:rsid w:val="00D36FBC"/>
    <w:rPr>
      <w:rFonts w:cs="Times New Roman"/>
      <w:i/>
      <w:iCs/>
    </w:rPr>
  </w:style>
  <w:style w:type="paragraph" w:customStyle="1" w:styleId="inline">
    <w:name w:val="inline"/>
    <w:basedOn w:val="Normal"/>
    <w:uiPriority w:val="99"/>
    <w:rsid w:val="00D36FBC"/>
    <w:pPr>
      <w:spacing w:before="100" w:beforeAutospacing="1" w:after="100" w:afterAutospacing="1"/>
      <w:ind w:left="0"/>
    </w:pPr>
    <w:rPr>
      <w:rFonts w:ascii="Times New Roman" w:eastAsia="SimSun" w:hAnsi="Times New Roman"/>
      <w:sz w:val="24"/>
      <w:lang w:eastAsia="zh-CN"/>
    </w:rPr>
  </w:style>
  <w:style w:type="character" w:customStyle="1" w:styleId="miscellaneoustext">
    <w:name w:val="miscellaneoustext"/>
    <w:uiPriority w:val="99"/>
    <w:rsid w:val="00D36FBC"/>
    <w:rPr>
      <w:rFonts w:cs="Times New Roman"/>
    </w:rPr>
  </w:style>
  <w:style w:type="character" w:customStyle="1" w:styleId="gsa1">
    <w:name w:val="gs_a1"/>
    <w:uiPriority w:val="99"/>
    <w:rsid w:val="00D36FBC"/>
    <w:rPr>
      <w:rFonts w:cs="Times New Roman"/>
      <w:color w:val="008000"/>
    </w:rPr>
  </w:style>
  <w:style w:type="character" w:customStyle="1" w:styleId="bodytext0">
    <w:name w:val="bodytext"/>
    <w:uiPriority w:val="99"/>
    <w:rsid w:val="00D36FBC"/>
    <w:rPr>
      <w:rFonts w:cs="Times New Roman"/>
    </w:rPr>
  </w:style>
  <w:style w:type="character" w:customStyle="1" w:styleId="doi">
    <w:name w:val="doi"/>
    <w:uiPriority w:val="99"/>
    <w:rsid w:val="00D36FBC"/>
    <w:rPr>
      <w:rFonts w:cs="Times New Roman"/>
    </w:rPr>
  </w:style>
  <w:style w:type="character" w:customStyle="1" w:styleId="pagination">
    <w:name w:val="pagination"/>
    <w:uiPriority w:val="99"/>
    <w:rsid w:val="00D36FBC"/>
    <w:rPr>
      <w:rFonts w:cs="Times New Roman"/>
    </w:rPr>
  </w:style>
  <w:style w:type="character" w:styleId="FollowedHyperlink">
    <w:name w:val="FollowedHyperlink"/>
    <w:uiPriority w:val="99"/>
    <w:rsid w:val="00D36FBC"/>
    <w:rPr>
      <w:rFonts w:cs="Times New Roman"/>
      <w:color w:val="800080"/>
      <w:u w:val="single"/>
    </w:rPr>
  </w:style>
  <w:style w:type="table" w:customStyle="1" w:styleId="LightList-Accent11">
    <w:name w:val="Light List - Accent 11"/>
    <w:basedOn w:val="TableNormal"/>
    <w:uiPriority w:val="61"/>
    <w:rsid w:val="00D36FBC"/>
    <w:rPr>
      <w:rFonts w:ascii="Arial" w:eastAsia="SimSun" w:hAnsi="Arial" w:cs="Arial"/>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D36FBC"/>
    <w:rPr>
      <w:rFonts w:ascii="Arial" w:eastAsia="SimSun" w:hAnsi="Arial" w:cs="Arial"/>
      <w:color w:val="365F91"/>
      <w:lang w:eastAsia="zh-C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D36FBC"/>
    <w:rPr>
      <w:rFonts w:ascii="Arial" w:eastAsia="SimSun" w:hAnsi="Arial" w:cs="Arial"/>
      <w:color w:val="31849B"/>
      <w:lang w:eastAsia="zh-CN"/>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sid w:val="00D36FBC"/>
    <w:rPr>
      <w:rFonts w:ascii="Arial" w:eastAsia="SimSun" w:hAnsi="Arial" w:cs="Arial"/>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Caption">
    <w:name w:val="caption"/>
    <w:basedOn w:val="Normal"/>
    <w:next w:val="Normal"/>
    <w:uiPriority w:val="35"/>
    <w:unhideWhenUsed/>
    <w:qFormat/>
    <w:rsid w:val="007770D4"/>
    <w:pPr>
      <w:spacing w:before="0" w:line="276" w:lineRule="auto"/>
      <w:ind w:left="0"/>
    </w:pPr>
    <w:rPr>
      <w:rFonts w:eastAsia="SimSun" w:cs="Arial"/>
      <w:b/>
      <w:bCs/>
      <w:i/>
      <w:szCs w:val="20"/>
      <w:lang w:eastAsia="zh-CN"/>
    </w:rPr>
  </w:style>
  <w:style w:type="table" w:customStyle="1" w:styleId="TableGrid11">
    <w:name w:val="Table Grid11"/>
    <w:basedOn w:val="TableNormal"/>
    <w:next w:val="TableGrid"/>
    <w:uiPriority w:val="59"/>
    <w:rsid w:val="00D36FBC"/>
    <w:rPr>
      <w:rFonts w:ascii="Arial" w:eastAsia="SimSun" w:hAnsi="Arial" w:cs="Arial"/>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uiPriority w:val="99"/>
    <w:unhideWhenUsed/>
    <w:rsid w:val="00D36FBC"/>
    <w:pPr>
      <w:spacing w:before="0" w:after="200" w:line="276" w:lineRule="auto"/>
      <w:ind w:left="0"/>
    </w:pPr>
    <w:rPr>
      <w:rFonts w:eastAsia="SimSun" w:cs="Arial"/>
      <w:sz w:val="24"/>
      <w:lang w:eastAsia="zh-CN"/>
    </w:rPr>
  </w:style>
  <w:style w:type="character" w:customStyle="1" w:styleId="DateChar">
    <w:name w:val="Date Char"/>
    <w:basedOn w:val="DefaultParagraphFont"/>
    <w:link w:val="Date"/>
    <w:uiPriority w:val="99"/>
    <w:rsid w:val="00D36FBC"/>
    <w:rPr>
      <w:rFonts w:ascii="Arial" w:eastAsia="SimSun" w:hAnsi="Arial" w:cs="Arial"/>
      <w:sz w:val="24"/>
      <w:szCs w:val="24"/>
      <w:lang w:eastAsia="zh-CN"/>
    </w:rPr>
  </w:style>
  <w:style w:type="paragraph" w:styleId="DocumentMap">
    <w:name w:val="Document Map"/>
    <w:basedOn w:val="Normal"/>
    <w:link w:val="DocumentMapChar"/>
    <w:uiPriority w:val="99"/>
    <w:unhideWhenUsed/>
    <w:rsid w:val="00D36FBC"/>
    <w:pPr>
      <w:spacing w:before="0"/>
      <w:ind w:left="0"/>
    </w:pPr>
    <w:rPr>
      <w:rFonts w:ascii="Tahoma" w:eastAsia="SimSun" w:hAnsi="Tahoma" w:cs="Tahoma"/>
      <w:sz w:val="16"/>
      <w:szCs w:val="16"/>
      <w:lang w:eastAsia="zh-CN"/>
    </w:rPr>
  </w:style>
  <w:style w:type="character" w:customStyle="1" w:styleId="DocumentMapChar">
    <w:name w:val="Document Map Char"/>
    <w:basedOn w:val="DefaultParagraphFont"/>
    <w:link w:val="DocumentMap"/>
    <w:uiPriority w:val="99"/>
    <w:rsid w:val="00D36FBC"/>
    <w:rPr>
      <w:rFonts w:ascii="Tahoma" w:eastAsia="SimSun" w:hAnsi="Tahoma" w:cs="Tahoma"/>
      <w:sz w:val="16"/>
      <w:szCs w:val="16"/>
      <w:lang w:eastAsia="zh-CN"/>
    </w:rPr>
  </w:style>
  <w:style w:type="table" w:customStyle="1" w:styleId="TableGrid2">
    <w:name w:val="Table Grid2"/>
    <w:basedOn w:val="TableNormal"/>
    <w:next w:val="TableGrid"/>
    <w:uiPriority w:val="59"/>
    <w:rsid w:val="00D36FBC"/>
    <w:rPr>
      <w:rFonts w:ascii="Arial" w:eastAsia="SimSun" w:hAnsi="Arial" w:cs="Arial"/>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
    <w:name w:val="mark"/>
    <w:basedOn w:val="DefaultParagraphFont"/>
    <w:rsid w:val="00D36FBC"/>
  </w:style>
  <w:style w:type="table" w:styleId="LightShading-Accent2">
    <w:name w:val="Light Shading Accent 2"/>
    <w:basedOn w:val="TableNormal"/>
    <w:uiPriority w:val="60"/>
    <w:rsid w:val="00D36FBC"/>
    <w:rPr>
      <w:rFonts w:ascii="Arial" w:eastAsia="SimSun" w:hAnsi="Arial" w:cs="Arial"/>
      <w:color w:val="943634" w:themeColor="accent2" w:themeShade="BF"/>
      <w:lang w:eastAsia="zh-CN"/>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aliases w:val="Bullets"/>
    <w:link w:val="NoSpacingChar"/>
    <w:uiPriority w:val="1"/>
    <w:qFormat/>
    <w:rsid w:val="00D36FBC"/>
    <w:rPr>
      <w:rFonts w:asciiTheme="minorHAnsi" w:eastAsiaTheme="minorEastAsia" w:hAnsiTheme="minorHAnsi" w:cstheme="minorBidi"/>
      <w:sz w:val="22"/>
      <w:szCs w:val="22"/>
      <w:lang w:val="en-US" w:eastAsia="ja-JP"/>
    </w:rPr>
  </w:style>
  <w:style w:type="character" w:customStyle="1" w:styleId="NoSpacingChar">
    <w:name w:val="No Spacing Char"/>
    <w:aliases w:val="Bullets Char"/>
    <w:basedOn w:val="DefaultParagraphFont"/>
    <w:link w:val="NoSpacing"/>
    <w:uiPriority w:val="1"/>
    <w:rsid w:val="00D36FBC"/>
    <w:rPr>
      <w:rFonts w:asciiTheme="minorHAnsi" w:eastAsiaTheme="minorEastAsia" w:hAnsiTheme="minorHAnsi" w:cstheme="minorBidi"/>
      <w:sz w:val="22"/>
      <w:szCs w:val="22"/>
      <w:lang w:val="en-US" w:eastAsia="ja-JP"/>
    </w:rPr>
  </w:style>
  <w:style w:type="paragraph" w:styleId="Bibliography">
    <w:name w:val="Bibliography"/>
    <w:basedOn w:val="Normal"/>
    <w:next w:val="Normal"/>
    <w:uiPriority w:val="37"/>
    <w:unhideWhenUsed/>
    <w:rsid w:val="00D36FBC"/>
    <w:pPr>
      <w:autoSpaceDE w:val="0"/>
      <w:autoSpaceDN w:val="0"/>
      <w:adjustRightInd w:val="0"/>
      <w:spacing w:before="0" w:after="240"/>
      <w:ind w:left="0"/>
      <w:jc w:val="both"/>
    </w:pPr>
    <w:rPr>
      <w:rFonts w:ascii="Calibri" w:eastAsia="SimSun" w:hAnsi="Calibri" w:cs="Arial"/>
      <w:noProof/>
      <w:sz w:val="20"/>
      <w:szCs w:val="20"/>
      <w:lang w:eastAsia="zh-CN"/>
    </w:rPr>
  </w:style>
  <w:style w:type="character" w:styleId="PlaceholderText">
    <w:name w:val="Placeholder Text"/>
    <w:uiPriority w:val="99"/>
    <w:semiHidden/>
    <w:rsid w:val="00D36FBC"/>
    <w:rPr>
      <w:color w:val="808080"/>
    </w:rPr>
  </w:style>
  <w:style w:type="character" w:customStyle="1" w:styleId="apple-style-span">
    <w:name w:val="apple-style-span"/>
    <w:basedOn w:val="DefaultParagraphFont"/>
    <w:rsid w:val="00D36FBC"/>
  </w:style>
  <w:style w:type="numbering" w:customStyle="1" w:styleId="NoList11">
    <w:name w:val="No List11"/>
    <w:next w:val="NoList"/>
    <w:uiPriority w:val="99"/>
    <w:semiHidden/>
    <w:unhideWhenUsed/>
    <w:rsid w:val="00D36FBC"/>
  </w:style>
  <w:style w:type="character" w:styleId="SubtleEmphasis">
    <w:name w:val="Subtle Emphasis"/>
    <w:basedOn w:val="DefaultParagraphFont"/>
    <w:uiPriority w:val="19"/>
    <w:qFormat/>
    <w:rsid w:val="00D36FBC"/>
    <w:rPr>
      <w:i/>
      <w:iCs/>
      <w:color w:val="808080" w:themeColor="text1" w:themeTint="7F"/>
    </w:rPr>
  </w:style>
  <w:style w:type="character" w:styleId="IntenseEmphasis">
    <w:name w:val="Intense Emphasis"/>
    <w:basedOn w:val="DefaultParagraphFont"/>
    <w:uiPriority w:val="21"/>
    <w:qFormat/>
    <w:rsid w:val="00D36FBC"/>
    <w:rPr>
      <w:b/>
      <w:bCs/>
      <w:i/>
      <w:iCs/>
      <w:color w:val="4F81BD" w:themeColor="accent1"/>
    </w:rPr>
  </w:style>
  <w:style w:type="paragraph" w:styleId="Quote">
    <w:name w:val="Quote"/>
    <w:basedOn w:val="Normal"/>
    <w:next w:val="Normal"/>
    <w:link w:val="QuoteChar"/>
    <w:uiPriority w:val="29"/>
    <w:qFormat/>
    <w:rsid w:val="00D36FBC"/>
    <w:pPr>
      <w:spacing w:before="0" w:after="200" w:line="276" w:lineRule="auto"/>
      <w:ind w:left="0"/>
    </w:pPr>
    <w:rPr>
      <w:rFonts w:eastAsia="SimSun" w:cs="Arial"/>
      <w:i/>
      <w:iCs/>
      <w:color w:val="000000" w:themeColor="text1"/>
      <w:sz w:val="24"/>
      <w:lang w:eastAsia="zh-CN"/>
    </w:rPr>
  </w:style>
  <w:style w:type="character" w:customStyle="1" w:styleId="QuoteChar">
    <w:name w:val="Quote Char"/>
    <w:basedOn w:val="DefaultParagraphFont"/>
    <w:link w:val="Quote"/>
    <w:uiPriority w:val="29"/>
    <w:rsid w:val="00D36FBC"/>
    <w:rPr>
      <w:rFonts w:ascii="Arial" w:eastAsia="SimSun" w:hAnsi="Arial" w:cs="Arial"/>
      <w:i/>
      <w:iCs/>
      <w:color w:val="000000" w:themeColor="text1"/>
      <w:sz w:val="24"/>
      <w:szCs w:val="24"/>
      <w:lang w:eastAsia="zh-CN"/>
    </w:rPr>
  </w:style>
  <w:style w:type="character" w:styleId="IntenseReference">
    <w:name w:val="Intense Reference"/>
    <w:basedOn w:val="DefaultParagraphFont"/>
    <w:uiPriority w:val="32"/>
    <w:qFormat/>
    <w:rsid w:val="00D36FBC"/>
    <w:rPr>
      <w:b/>
      <w:bCs/>
      <w:smallCaps/>
      <w:color w:val="C0504D" w:themeColor="accent2"/>
      <w:spacing w:val="5"/>
      <w:u w:val="single"/>
    </w:rPr>
  </w:style>
  <w:style w:type="character" w:styleId="SubtleReference">
    <w:name w:val="Subtle Reference"/>
    <w:basedOn w:val="DefaultParagraphFont"/>
    <w:uiPriority w:val="31"/>
    <w:qFormat/>
    <w:rsid w:val="00D36FBC"/>
    <w:rPr>
      <w:smallCaps/>
      <w:color w:val="C0504D" w:themeColor="accent2"/>
      <w:sz w:val="22"/>
      <w:u w:val="single"/>
    </w:rPr>
  </w:style>
  <w:style w:type="table" w:customStyle="1" w:styleId="TableGrid3">
    <w:name w:val="Table Grid3"/>
    <w:basedOn w:val="TableNormal"/>
    <w:next w:val="TableGrid"/>
    <w:uiPriority w:val="59"/>
    <w:rsid w:val="00B23457"/>
    <w:rPr>
      <w:rFonts w:ascii="Arial" w:eastAsia="SimSun" w:hAnsi="Arial" w:cs="Arial"/>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1EDF"/>
  </w:style>
  <w:style w:type="table" w:customStyle="1" w:styleId="TableGrid4">
    <w:name w:val="Table Grid4"/>
    <w:basedOn w:val="TableNormal"/>
    <w:next w:val="TableGrid"/>
    <w:uiPriority w:val="59"/>
    <w:rsid w:val="00241EDF"/>
    <w:rPr>
      <w:rFonts w:ascii="Arial" w:eastAsia="SimSun"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241EDF"/>
    <w:rPr>
      <w:rFonts w:ascii="Arial" w:eastAsia="SimSun" w:hAnsi="Arial"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ntenudetableau">
    <w:name w:val="Contenu de tableau"/>
    <w:basedOn w:val="Normal"/>
    <w:rsid w:val="00241EDF"/>
    <w:pPr>
      <w:widowControl w:val="0"/>
      <w:suppressLineNumbers/>
      <w:suppressAutoHyphens/>
      <w:spacing w:before="0"/>
      <w:ind w:left="0"/>
    </w:pPr>
    <w:rPr>
      <w:rFonts w:ascii="Times New Roman" w:eastAsia="SimSun" w:hAnsi="Times New Roman" w:cs="Lucida Sans"/>
      <w:kern w:val="1"/>
      <w:sz w:val="24"/>
      <w:lang w:val="fr-FR" w:eastAsia="hi-IN" w:bidi="hi-IN"/>
    </w:rPr>
  </w:style>
  <w:style w:type="character" w:customStyle="1" w:styleId="BodyTextChar">
    <w:name w:val="Body Text Char"/>
    <w:basedOn w:val="DefaultParagraphFont"/>
    <w:link w:val="BodyText"/>
    <w:rsid w:val="00241EDF"/>
    <w:rPr>
      <w:rFonts w:ascii="Arial" w:hAnsi="Arial"/>
      <w:sz w:val="22"/>
      <w:szCs w:val="24"/>
      <w:lang w:eastAsia="en-US"/>
    </w:rPr>
  </w:style>
  <w:style w:type="table" w:customStyle="1" w:styleId="TableGrid5">
    <w:name w:val="Table Grid5"/>
    <w:basedOn w:val="TableNormal"/>
    <w:next w:val="TableGrid"/>
    <w:uiPriority w:val="59"/>
    <w:rsid w:val="00061436"/>
    <w:rPr>
      <w:rFonts w:ascii="Arial" w:eastAsia="SimSun" w:hAnsi="Arial" w:cs="Arial"/>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aliases w:val="Pull-out text Char"/>
    <w:basedOn w:val="DefaultParagraphFont"/>
    <w:link w:val="Heading5"/>
    <w:rsid w:val="002E2021"/>
    <w:rPr>
      <w:rFonts w:ascii="Arial" w:hAnsi="Arial" w:cs="Arial"/>
      <w:b/>
      <w:sz w:val="22"/>
      <w:szCs w:val="26"/>
      <w:lang w:eastAsia="en-US"/>
    </w:rPr>
  </w:style>
  <w:style w:type="character" w:customStyle="1" w:styleId="Heading6Char">
    <w:name w:val="Heading 6 Char"/>
    <w:basedOn w:val="DefaultParagraphFont"/>
    <w:link w:val="Heading6"/>
    <w:rsid w:val="002E2021"/>
    <w:rPr>
      <w:rFonts w:ascii="Arial" w:hAnsi="Arial" w:cs="Arial"/>
      <w:b/>
      <w:bCs/>
      <w:sz w:val="22"/>
      <w:szCs w:val="22"/>
      <w:lang w:eastAsia="en-US"/>
    </w:rPr>
  </w:style>
  <w:style w:type="character" w:customStyle="1" w:styleId="Heading7Char">
    <w:name w:val="Heading 7 Char"/>
    <w:basedOn w:val="DefaultParagraphFont"/>
    <w:link w:val="Heading7"/>
    <w:rsid w:val="002E2021"/>
    <w:rPr>
      <w:rFonts w:ascii="Arial" w:hAnsi="Arial" w:cs="Arial"/>
      <w:b/>
      <w:bCs/>
      <w:sz w:val="22"/>
      <w:szCs w:val="22"/>
      <w:lang w:eastAsia="en-US"/>
    </w:rPr>
  </w:style>
  <w:style w:type="character" w:customStyle="1" w:styleId="Heading8Char">
    <w:name w:val="Heading 8 Char"/>
    <w:basedOn w:val="DefaultParagraphFont"/>
    <w:link w:val="Heading8"/>
    <w:rsid w:val="002E2021"/>
    <w:rPr>
      <w:rFonts w:ascii="Arial" w:hAnsi="Arial" w:cs="Arial"/>
      <w:b/>
      <w:bCs/>
      <w:iCs/>
      <w:sz w:val="22"/>
      <w:szCs w:val="22"/>
      <w:lang w:eastAsia="en-US"/>
    </w:rPr>
  </w:style>
  <w:style w:type="character" w:customStyle="1" w:styleId="Heading9Char">
    <w:name w:val="Heading 9 Char"/>
    <w:basedOn w:val="DefaultParagraphFont"/>
    <w:link w:val="Heading9"/>
    <w:rsid w:val="002E2021"/>
    <w:rPr>
      <w:rFonts w:ascii="Arial" w:hAnsi="Arial" w:cs="Arial"/>
      <w:b/>
      <w:bCs/>
      <w:iCs/>
      <w:sz w:val="22"/>
      <w:szCs w:val="22"/>
      <w:lang w:eastAsia="en-US"/>
    </w:rPr>
  </w:style>
  <w:style w:type="paragraph" w:styleId="Subtitle">
    <w:name w:val="Subtitle"/>
    <w:basedOn w:val="Normal"/>
    <w:next w:val="Normal"/>
    <w:link w:val="SubtitleChar"/>
    <w:qFormat/>
    <w:rsid w:val="006427B6"/>
    <w:pPr>
      <w:numPr>
        <w:ilvl w:val="1"/>
      </w:numPr>
      <w:ind w:left="1928"/>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6427B6"/>
    <w:rPr>
      <w:rFonts w:asciiTheme="majorHAnsi" w:eastAsiaTheme="majorEastAsia" w:hAnsiTheme="majorHAnsi" w:cstheme="majorBidi"/>
      <w:i/>
      <w:iCs/>
      <w:color w:val="4F81BD" w:themeColor="accent1"/>
      <w:spacing w:val="15"/>
      <w:sz w:val="24"/>
      <w:szCs w:val="24"/>
      <w:lang w:eastAsia="en-US"/>
    </w:rPr>
  </w:style>
  <w:style w:type="numbering" w:customStyle="1" w:styleId="NoList3">
    <w:name w:val="No List3"/>
    <w:next w:val="NoList"/>
    <w:uiPriority w:val="99"/>
    <w:semiHidden/>
    <w:unhideWhenUsed/>
    <w:rsid w:val="006E1257"/>
  </w:style>
  <w:style w:type="character" w:customStyle="1" w:styleId="publisher">
    <w:name w:val="publisher"/>
    <w:basedOn w:val="DefaultParagraphFont"/>
    <w:rsid w:val="006E1257"/>
  </w:style>
  <w:style w:type="character" w:customStyle="1" w:styleId="publishedyear">
    <w:name w:val="publishedyear"/>
    <w:basedOn w:val="DefaultParagraphFont"/>
    <w:rsid w:val="006E1257"/>
  </w:style>
  <w:style w:type="character" w:customStyle="1" w:styleId="BalloonTextChar1">
    <w:name w:val="Balloon Text Char1"/>
    <w:basedOn w:val="DefaultParagraphFont"/>
    <w:uiPriority w:val="99"/>
    <w:semiHidden/>
    <w:rsid w:val="006E1257"/>
    <w:rPr>
      <w:rFonts w:ascii="Tahoma" w:hAnsi="Tahoma" w:cs="Tahoma" w:hint="default"/>
      <w:sz w:val="16"/>
      <w:szCs w:val="16"/>
    </w:rPr>
  </w:style>
  <w:style w:type="character" w:customStyle="1" w:styleId="CommentTextChar1">
    <w:name w:val="Comment Text Char1"/>
    <w:basedOn w:val="DefaultParagraphFont"/>
    <w:uiPriority w:val="99"/>
    <w:semiHidden/>
    <w:rsid w:val="006E1257"/>
    <w:rPr>
      <w:sz w:val="20"/>
      <w:szCs w:val="20"/>
    </w:rPr>
  </w:style>
  <w:style w:type="character" w:customStyle="1" w:styleId="CommentSubjectChar1">
    <w:name w:val="Comment Subject Char1"/>
    <w:basedOn w:val="CommentTextChar1"/>
    <w:uiPriority w:val="99"/>
    <w:semiHidden/>
    <w:rsid w:val="006E1257"/>
    <w:rPr>
      <w:b/>
      <w:bCs/>
      <w:sz w:val="20"/>
      <w:szCs w:val="20"/>
    </w:rPr>
  </w:style>
  <w:style w:type="table" w:customStyle="1" w:styleId="TableGrid31">
    <w:name w:val="Table Grid31"/>
    <w:basedOn w:val="TableNormal"/>
    <w:next w:val="TableGrid"/>
    <w:uiPriority w:val="59"/>
    <w:rsid w:val="00F861BF"/>
    <w:rPr>
      <w:rFonts w:ascii="Arial" w:eastAsia="SimSun" w:hAnsi="Arial" w:cs="Arial"/>
      <w:sz w:val="24"/>
      <w:szCs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063EB"/>
  </w:style>
  <w:style w:type="numbering" w:customStyle="1" w:styleId="Style1">
    <w:name w:val="Style1"/>
    <w:uiPriority w:val="99"/>
    <w:rsid w:val="00C0723D"/>
    <w:pPr>
      <w:numPr>
        <w:numId w:val="4"/>
      </w:numPr>
    </w:pPr>
  </w:style>
  <w:style w:type="numbering" w:customStyle="1" w:styleId="List0">
    <w:name w:val="List 0"/>
    <w:basedOn w:val="NoList"/>
    <w:rsid w:val="00BE7839"/>
    <w:pPr>
      <w:numPr>
        <w:numId w:val="5"/>
      </w:numPr>
    </w:pPr>
  </w:style>
  <w:style w:type="character" w:customStyle="1" w:styleId="ListParagraphChar">
    <w:name w:val="List Paragraph Char"/>
    <w:basedOn w:val="DefaultParagraphFont"/>
    <w:link w:val="ListParagraph"/>
    <w:uiPriority w:val="34"/>
    <w:locked/>
    <w:rsid w:val="00BE7839"/>
    <w:rPr>
      <w:rFonts w:eastAsia="SimSun"/>
      <w:sz w:val="24"/>
      <w:szCs w:val="24"/>
    </w:rPr>
  </w:style>
  <w:style w:type="paragraph" w:customStyle="1" w:styleId="Sisubheading2">
    <w:name w:val="Si subheading 2"/>
    <w:basedOn w:val="Sisubheading"/>
    <w:next w:val="Sibody"/>
    <w:rsid w:val="00E223F8"/>
    <w:pPr>
      <w:numPr>
        <w:ilvl w:val="2"/>
      </w:numPr>
      <w:spacing w:before="360"/>
    </w:pPr>
    <w:rPr>
      <w:i/>
      <w:sz w:val="24"/>
      <w:szCs w:val="24"/>
    </w:rPr>
  </w:style>
  <w:style w:type="paragraph" w:customStyle="1" w:styleId="Sisubheading">
    <w:name w:val="Si subheading"/>
    <w:rsid w:val="00E223F8"/>
    <w:pPr>
      <w:keepNext/>
      <w:numPr>
        <w:ilvl w:val="1"/>
        <w:numId w:val="18"/>
      </w:numPr>
      <w:spacing w:before="480" w:after="240"/>
    </w:pPr>
    <w:rPr>
      <w:rFonts w:ascii="Verdana" w:hAnsi="Verdana"/>
      <w:b/>
      <w:bCs/>
      <w:color w:val="026288"/>
      <w:sz w:val="28"/>
      <w:szCs w:val="28"/>
      <w:lang w:val="en-US" w:eastAsia="en-US"/>
    </w:rPr>
  </w:style>
  <w:style w:type="paragraph" w:customStyle="1" w:styleId="Sibody">
    <w:name w:val="Si body"/>
    <w:basedOn w:val="Normal"/>
    <w:uiPriority w:val="99"/>
    <w:rsid w:val="00E223F8"/>
    <w:pPr>
      <w:numPr>
        <w:ilvl w:val="3"/>
        <w:numId w:val="18"/>
      </w:numPr>
      <w:spacing w:before="0" w:after="240"/>
      <w:jc w:val="both"/>
      <w:outlineLvl w:val="2"/>
    </w:pPr>
    <w:rPr>
      <w:rFonts w:ascii="Verdana" w:hAnsi="Verdana"/>
      <w:sz w:val="20"/>
      <w:szCs w:val="20"/>
    </w:rPr>
  </w:style>
  <w:style w:type="paragraph" w:customStyle="1" w:styleId="Siheading">
    <w:name w:val="Si heading"/>
    <w:basedOn w:val="Normal"/>
    <w:rsid w:val="00E223F8"/>
    <w:pPr>
      <w:numPr>
        <w:numId w:val="18"/>
      </w:numPr>
      <w:tabs>
        <w:tab w:val="center" w:pos="4320"/>
        <w:tab w:val="right" w:pos="8640"/>
      </w:tabs>
      <w:spacing w:before="0" w:after="480"/>
      <w:jc w:val="both"/>
      <w:outlineLvl w:val="0"/>
    </w:pPr>
    <w:rPr>
      <w:rFonts w:ascii="Verdana" w:hAnsi="Verdana"/>
      <w:bCs/>
      <w:caps/>
      <w:color w:val="026288"/>
      <w:sz w:val="36"/>
      <w:szCs w:val="36"/>
    </w:rPr>
  </w:style>
  <w:style w:type="paragraph" w:customStyle="1" w:styleId="Footnote">
    <w:name w:val="Footnote"/>
    <w:qFormat/>
    <w:rsid w:val="00E223F8"/>
    <w:pPr>
      <w:pBdr>
        <w:top w:val="nil"/>
        <w:left w:val="nil"/>
        <w:bottom w:val="nil"/>
        <w:right w:val="nil"/>
        <w:between w:val="nil"/>
        <w:bar w:val="nil"/>
      </w:pBdr>
      <w:tabs>
        <w:tab w:val="left" w:pos="397"/>
      </w:tabs>
      <w:ind w:left="397" w:hanging="397"/>
    </w:pPr>
    <w:rPr>
      <w:rFonts w:ascii="Tahoma" w:eastAsia="Helvetica" w:hAnsi="Tahoma" w:cs="Helvetica"/>
      <w:color w:val="000000"/>
      <w:sz w:val="18"/>
      <w:szCs w:val="22"/>
      <w:bdr w:val="nil"/>
    </w:rPr>
  </w:style>
  <w:style w:type="paragraph" w:customStyle="1" w:styleId="Tablecaption">
    <w:name w:val="Table caption"/>
    <w:basedOn w:val="Caption"/>
    <w:qFormat/>
    <w:rsid w:val="00D3609C"/>
    <w:pPr>
      <w:numPr>
        <w:numId w:val="20"/>
      </w:numPr>
      <w:spacing w:before="120" w:after="120" w:line="240" w:lineRule="auto"/>
      <w:jc w:val="both"/>
    </w:pPr>
    <w:rPr>
      <w:rFonts w:ascii="Tahoma" w:eastAsia="Times New Roman" w:hAnsi="Tahoma" w:cs="Times New Roman"/>
      <w:bCs w:val="0"/>
      <w:i w:val="0"/>
      <w:color w:val="4D4D4D"/>
      <w:lang w:eastAsia="en-US"/>
    </w:rPr>
  </w:style>
  <w:style w:type="paragraph" w:customStyle="1" w:styleId="SpecSubHeader001">
    <w:name w:val="Spec SubHeader 001"/>
    <w:basedOn w:val="Normal"/>
    <w:link w:val="SpecSubHeader001Char"/>
    <w:qFormat/>
    <w:rsid w:val="00047841"/>
    <w:pPr>
      <w:spacing w:before="0" w:after="80"/>
      <w:ind w:left="0"/>
      <w:jc w:val="both"/>
    </w:pPr>
    <w:rPr>
      <w:rFonts w:eastAsia="Calibri"/>
      <w:b/>
      <w:szCs w:val="22"/>
    </w:rPr>
  </w:style>
  <w:style w:type="character" w:customStyle="1" w:styleId="SpecSubHeader001Char">
    <w:name w:val="Spec SubHeader 001 Char"/>
    <w:link w:val="SpecSubHeader001"/>
    <w:rsid w:val="00047841"/>
    <w:rPr>
      <w:rFonts w:ascii="Arial" w:eastAsia="Calibri" w:hAnsi="Arial"/>
      <w:b/>
      <w:sz w:val="22"/>
      <w:szCs w:val="22"/>
      <w:lang w:eastAsia="en-US"/>
    </w:rPr>
  </w:style>
  <w:style w:type="table" w:styleId="LightList-Accent4">
    <w:name w:val="Light List Accent 4"/>
    <w:basedOn w:val="TableNormal"/>
    <w:uiPriority w:val="61"/>
    <w:rsid w:val="00A65C6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1">
    <w:name w:val="Light List - Accent 41"/>
    <w:basedOn w:val="TableNormal"/>
    <w:next w:val="LightList-Accent4"/>
    <w:uiPriority w:val="61"/>
    <w:rsid w:val="00A65C64"/>
    <w:rPr>
      <w:rFonts w:ascii="Arial" w:eastAsia="Arial" w:hAnsi="Arial"/>
      <w:sz w:val="22"/>
      <w:szCs w:val="22"/>
      <w:lang w:eastAsia="en-US"/>
    </w:rPr>
    <w:tblPr>
      <w:tblStyleRowBandSize w:val="1"/>
      <w:tblStyleColBandSize w:val="1"/>
      <w:tblInd w:w="0" w:type="dxa"/>
      <w:tblBorders>
        <w:top w:val="single" w:sz="8" w:space="0" w:color="747678"/>
        <w:left w:val="single" w:sz="8" w:space="0" w:color="747678"/>
        <w:bottom w:val="single" w:sz="8" w:space="0" w:color="747678"/>
        <w:right w:val="single" w:sz="8" w:space="0" w:color="74767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47678"/>
      </w:tcPr>
    </w:tblStylePr>
    <w:tblStylePr w:type="lastRow">
      <w:pPr>
        <w:spacing w:before="0" w:after="0" w:line="240" w:lineRule="auto"/>
      </w:pPr>
      <w:rPr>
        <w:b/>
        <w:bCs/>
      </w:rPr>
      <w:tblPr/>
      <w:tcPr>
        <w:tcBorders>
          <w:top w:val="double" w:sz="6" w:space="0" w:color="747678"/>
          <w:left w:val="single" w:sz="8" w:space="0" w:color="747678"/>
          <w:bottom w:val="single" w:sz="8" w:space="0" w:color="747678"/>
          <w:right w:val="single" w:sz="8" w:space="0" w:color="747678"/>
        </w:tcBorders>
      </w:tcPr>
    </w:tblStylePr>
    <w:tblStylePr w:type="firstCol">
      <w:rPr>
        <w:b/>
        <w:bCs/>
      </w:rPr>
    </w:tblStylePr>
    <w:tblStylePr w:type="lastCol">
      <w:rPr>
        <w:b/>
        <w:bCs/>
      </w:rPr>
    </w:tblStylePr>
    <w:tblStylePr w:type="band1Vert">
      <w:tblPr/>
      <w:tcPr>
        <w:tcBorders>
          <w:top w:val="single" w:sz="8" w:space="0" w:color="747678"/>
          <w:left w:val="single" w:sz="8" w:space="0" w:color="747678"/>
          <w:bottom w:val="single" w:sz="8" w:space="0" w:color="747678"/>
          <w:right w:val="single" w:sz="8" w:space="0" w:color="747678"/>
        </w:tcBorders>
      </w:tcPr>
    </w:tblStylePr>
    <w:tblStylePr w:type="band1Horz">
      <w:tblPr/>
      <w:tcPr>
        <w:tcBorders>
          <w:top w:val="single" w:sz="8" w:space="0" w:color="747678"/>
          <w:left w:val="single" w:sz="8" w:space="0" w:color="747678"/>
          <w:bottom w:val="single" w:sz="8" w:space="0" w:color="747678"/>
          <w:right w:val="single" w:sz="8" w:space="0" w:color="747678"/>
        </w:tcBorders>
      </w:tcPr>
    </w:tblStylePr>
  </w:style>
  <w:style w:type="table" w:customStyle="1" w:styleId="LightList-Accent42">
    <w:name w:val="Light List - Accent 42"/>
    <w:basedOn w:val="TableNormal"/>
    <w:next w:val="LightList-Accent4"/>
    <w:uiPriority w:val="61"/>
    <w:rsid w:val="00ED0431"/>
    <w:rPr>
      <w:rFonts w:ascii="Arial" w:eastAsia="Arial" w:hAnsi="Arial"/>
      <w:sz w:val="22"/>
      <w:szCs w:val="22"/>
      <w:lang w:eastAsia="en-US"/>
    </w:rPr>
    <w:tblPr>
      <w:tblStyleRowBandSize w:val="1"/>
      <w:tblStyleColBandSize w:val="1"/>
      <w:tblInd w:w="0" w:type="dxa"/>
      <w:tblBorders>
        <w:top w:val="single" w:sz="8" w:space="0" w:color="747678"/>
        <w:left w:val="single" w:sz="8" w:space="0" w:color="747678"/>
        <w:bottom w:val="single" w:sz="8" w:space="0" w:color="747678"/>
        <w:right w:val="single" w:sz="8" w:space="0" w:color="74767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47678"/>
      </w:tcPr>
    </w:tblStylePr>
    <w:tblStylePr w:type="lastRow">
      <w:pPr>
        <w:spacing w:before="0" w:after="0" w:line="240" w:lineRule="auto"/>
      </w:pPr>
      <w:rPr>
        <w:b/>
        <w:bCs/>
      </w:rPr>
      <w:tblPr/>
      <w:tcPr>
        <w:tcBorders>
          <w:top w:val="double" w:sz="6" w:space="0" w:color="747678"/>
          <w:left w:val="single" w:sz="8" w:space="0" w:color="747678"/>
          <w:bottom w:val="single" w:sz="8" w:space="0" w:color="747678"/>
          <w:right w:val="single" w:sz="8" w:space="0" w:color="747678"/>
        </w:tcBorders>
      </w:tcPr>
    </w:tblStylePr>
    <w:tblStylePr w:type="firstCol">
      <w:rPr>
        <w:b/>
        <w:bCs/>
      </w:rPr>
    </w:tblStylePr>
    <w:tblStylePr w:type="lastCol">
      <w:rPr>
        <w:b/>
        <w:bCs/>
      </w:rPr>
    </w:tblStylePr>
    <w:tblStylePr w:type="band1Vert">
      <w:tblPr/>
      <w:tcPr>
        <w:tcBorders>
          <w:top w:val="single" w:sz="8" w:space="0" w:color="747678"/>
          <w:left w:val="single" w:sz="8" w:space="0" w:color="747678"/>
          <w:bottom w:val="single" w:sz="8" w:space="0" w:color="747678"/>
          <w:right w:val="single" w:sz="8" w:space="0" w:color="747678"/>
        </w:tcBorders>
      </w:tcPr>
    </w:tblStylePr>
    <w:tblStylePr w:type="band1Horz">
      <w:tblPr/>
      <w:tcPr>
        <w:tcBorders>
          <w:top w:val="single" w:sz="8" w:space="0" w:color="747678"/>
          <w:left w:val="single" w:sz="8" w:space="0" w:color="747678"/>
          <w:bottom w:val="single" w:sz="8" w:space="0" w:color="747678"/>
          <w:right w:val="single" w:sz="8" w:space="0" w:color="747678"/>
        </w:tcBorders>
      </w:tcPr>
    </w:tblStylePr>
  </w:style>
  <w:style w:type="table" w:customStyle="1" w:styleId="TableGridLight1">
    <w:name w:val="Table Grid Light1"/>
    <w:basedOn w:val="TableNormal"/>
    <w:uiPriority w:val="40"/>
    <w:rsid w:val="00CB38CC"/>
    <w:rPr>
      <w:rFonts w:ascii="Arial" w:eastAsiaTheme="minorHAnsi" w:hAnsi="Arial"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1">
    <w:name w:val="A1"/>
    <w:rsid w:val="000F203F"/>
    <w:rPr>
      <w:color w:val="000000"/>
      <w:sz w:val="20"/>
      <w:szCs w:val="20"/>
    </w:rPr>
  </w:style>
  <w:style w:type="character" w:customStyle="1" w:styleId="searchword">
    <w:name w:val="searchword"/>
    <w:rsid w:val="000F203F"/>
    <w:rPr>
      <w:rFonts w:ascii="Times New Roman" w:hAnsi="Times New Roman" w:cs="Times New Roman"/>
    </w:rPr>
  </w:style>
  <w:style w:type="paragraph" w:styleId="BodyText3">
    <w:name w:val="Body Text 3"/>
    <w:basedOn w:val="Normal"/>
    <w:link w:val="BodyText3Char"/>
    <w:uiPriority w:val="99"/>
    <w:unhideWhenUsed/>
    <w:rsid w:val="000F203F"/>
    <w:pPr>
      <w:spacing w:before="0" w:after="120" w:line="276" w:lineRule="auto"/>
      <w:ind w:left="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0F203F"/>
    <w:rPr>
      <w:rFonts w:asciiTheme="minorHAnsi" w:eastAsiaTheme="minorHAnsi" w:hAnsiTheme="minorHAnsi" w:cstheme="minorBidi"/>
      <w:sz w:val="16"/>
      <w:szCs w:val="16"/>
      <w:lang w:eastAsia="en-US"/>
    </w:rPr>
  </w:style>
  <w:style w:type="paragraph" w:customStyle="1" w:styleId="Pa4">
    <w:name w:val="Pa4"/>
    <w:basedOn w:val="Normal"/>
    <w:next w:val="Normal"/>
    <w:rsid w:val="000F203F"/>
    <w:pPr>
      <w:autoSpaceDE w:val="0"/>
      <w:autoSpaceDN w:val="0"/>
      <w:adjustRightInd w:val="0"/>
      <w:spacing w:before="0" w:line="241" w:lineRule="atLeast"/>
      <w:ind w:left="0"/>
    </w:pPr>
    <w:rPr>
      <w:rFonts w:ascii="Akzidenz Grotesk BE" w:hAnsi="Akzidenz Grotesk BE"/>
      <w:sz w:val="24"/>
      <w:lang w:val="en-US"/>
    </w:rPr>
  </w:style>
  <w:style w:type="character" w:customStyle="1" w:styleId="A9">
    <w:name w:val="A9"/>
    <w:rsid w:val="000F203F"/>
    <w:rPr>
      <w:color w:val="auto"/>
      <w:sz w:val="19"/>
    </w:rPr>
  </w:style>
  <w:style w:type="paragraph" w:styleId="BodyText2">
    <w:name w:val="Body Text 2"/>
    <w:basedOn w:val="Normal"/>
    <w:link w:val="BodyText2Char"/>
    <w:uiPriority w:val="99"/>
    <w:unhideWhenUsed/>
    <w:rsid w:val="000F203F"/>
    <w:pPr>
      <w:spacing w:before="0" w:after="120" w:line="480" w:lineRule="auto"/>
      <w:ind w:left="0"/>
      <w:jc w:val="both"/>
    </w:pPr>
    <w:rPr>
      <w:sz w:val="18"/>
      <w:szCs w:val="20"/>
    </w:rPr>
  </w:style>
  <w:style w:type="character" w:customStyle="1" w:styleId="BodyText2Char">
    <w:name w:val="Body Text 2 Char"/>
    <w:basedOn w:val="DefaultParagraphFont"/>
    <w:link w:val="BodyText2"/>
    <w:uiPriority w:val="99"/>
    <w:rsid w:val="000F203F"/>
    <w:rPr>
      <w:rFonts w:ascii="Arial" w:hAnsi="Arial"/>
      <w:sz w:val="18"/>
      <w:lang w:eastAsia="en-US"/>
    </w:rPr>
  </w:style>
  <w:style w:type="paragraph" w:customStyle="1" w:styleId="a0">
    <w:name w:val="_"/>
    <w:basedOn w:val="Normal"/>
    <w:rsid w:val="000F203F"/>
    <w:pPr>
      <w:widowControl w:val="0"/>
      <w:spacing w:before="0"/>
      <w:ind w:left="720" w:hanging="720"/>
    </w:pPr>
    <w:rPr>
      <w:rFonts w:ascii="Times New Roman" w:hAnsi="Times New Roman"/>
      <w:snapToGrid w:val="0"/>
      <w:sz w:val="24"/>
      <w:szCs w:val="20"/>
      <w:lang w:val="en-US"/>
    </w:rPr>
  </w:style>
  <w:style w:type="paragraph" w:customStyle="1" w:styleId="NormalJustified">
    <w:name w:val="Normal + Justified"/>
    <w:basedOn w:val="Normal"/>
    <w:rsid w:val="000F203F"/>
    <w:pPr>
      <w:spacing w:before="0"/>
      <w:ind w:left="0"/>
    </w:pPr>
    <w:rPr>
      <w:rFonts w:cs="Arial"/>
      <w:b/>
      <w:szCs w:val="22"/>
    </w:rPr>
  </w:style>
  <w:style w:type="table" w:customStyle="1" w:styleId="TableGridLight2">
    <w:name w:val="Table Grid Light2"/>
    <w:basedOn w:val="TableNormal"/>
    <w:uiPriority w:val="40"/>
    <w:rsid w:val="002F7021"/>
    <w:rPr>
      <w:rFonts w:ascii="Arial" w:eastAsiaTheme="minorHAnsi" w:hAnsi="Arial"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a0">
    <w:name w:val="Pa0"/>
    <w:basedOn w:val="Default"/>
    <w:next w:val="Default"/>
    <w:uiPriority w:val="99"/>
    <w:rsid w:val="00874506"/>
    <w:pPr>
      <w:spacing w:line="741" w:lineRule="atLeast"/>
    </w:pPr>
    <w:rPr>
      <w:rFonts w:ascii="Bliss 2 Light" w:hAnsi="Bliss 2 Light" w:cs="Times New Roman"/>
      <w:color w:val="auto"/>
    </w:rPr>
  </w:style>
  <w:style w:type="character" w:customStyle="1" w:styleId="A00">
    <w:name w:val="A0"/>
    <w:uiPriority w:val="99"/>
    <w:rsid w:val="00874506"/>
    <w:rPr>
      <w:rFonts w:cs="Bliss 2 Light"/>
      <w:color w:val="000000"/>
      <w:sz w:val="63"/>
      <w:szCs w:val="63"/>
    </w:rPr>
  </w:style>
  <w:style w:type="paragraph" w:styleId="EndnoteText">
    <w:name w:val="endnote text"/>
    <w:basedOn w:val="Normal"/>
    <w:link w:val="EndnoteTextChar"/>
    <w:semiHidden/>
    <w:unhideWhenUsed/>
    <w:rsid w:val="00FC61F2"/>
    <w:pPr>
      <w:spacing w:before="0"/>
    </w:pPr>
    <w:rPr>
      <w:sz w:val="20"/>
      <w:szCs w:val="20"/>
    </w:rPr>
  </w:style>
  <w:style w:type="character" w:customStyle="1" w:styleId="EndnoteTextChar">
    <w:name w:val="Endnote Text Char"/>
    <w:basedOn w:val="DefaultParagraphFont"/>
    <w:link w:val="EndnoteText"/>
    <w:semiHidden/>
    <w:rsid w:val="00FC61F2"/>
    <w:rPr>
      <w:rFonts w:ascii="Arial" w:hAnsi="Arial"/>
      <w:lang w:eastAsia="en-US"/>
    </w:rPr>
  </w:style>
  <w:style w:type="character" w:styleId="EndnoteReference">
    <w:name w:val="endnote reference"/>
    <w:basedOn w:val="DefaultParagraphFont"/>
    <w:semiHidden/>
    <w:unhideWhenUsed/>
    <w:rsid w:val="00FC61F2"/>
    <w:rPr>
      <w:vertAlign w:val="superscript"/>
    </w:rPr>
  </w:style>
  <w:style w:type="character" w:customStyle="1" w:styleId="xapple-converted-space">
    <w:name w:val="x_apple-converted-space"/>
    <w:basedOn w:val="DefaultParagraphFont"/>
    <w:rsid w:val="00410E03"/>
  </w:style>
  <w:style w:type="paragraph" w:customStyle="1" w:styleId="Bullet">
    <w:name w:val="Bullet"/>
    <w:basedOn w:val="Normal"/>
    <w:link w:val="BulletChar"/>
    <w:qFormat/>
    <w:rsid w:val="008418BA"/>
    <w:pPr>
      <w:numPr>
        <w:numId w:val="31"/>
      </w:numPr>
      <w:ind w:left="2041" w:hanging="340"/>
    </w:pPr>
    <w:rPr>
      <w:rFonts w:cs="Arial"/>
      <w:szCs w:val="22"/>
    </w:rPr>
  </w:style>
  <w:style w:type="paragraph" w:customStyle="1" w:styleId="NumberedList">
    <w:name w:val="NumberedList"/>
    <w:basedOn w:val="Bullet"/>
    <w:link w:val="NumberedListChar"/>
    <w:qFormat/>
    <w:rsid w:val="00DC1396"/>
    <w:pPr>
      <w:numPr>
        <w:numId w:val="67"/>
      </w:numPr>
      <w:ind w:left="2041" w:hanging="340"/>
    </w:pPr>
  </w:style>
  <w:style w:type="character" w:customStyle="1" w:styleId="BulletChar">
    <w:name w:val="Bullet Char"/>
    <w:basedOn w:val="DefaultParagraphFont"/>
    <w:link w:val="Bullet"/>
    <w:rsid w:val="008418BA"/>
    <w:rPr>
      <w:rFonts w:ascii="Arial" w:hAnsi="Arial" w:cs="Arial"/>
      <w:sz w:val="22"/>
      <w:szCs w:val="22"/>
      <w:lang w:eastAsia="en-US"/>
    </w:rPr>
  </w:style>
  <w:style w:type="paragraph" w:customStyle="1" w:styleId="NumberedList2">
    <w:name w:val="NumberedList2"/>
    <w:basedOn w:val="NumberedList"/>
    <w:link w:val="NumberedList2Char"/>
    <w:rsid w:val="00DC1396"/>
    <w:pPr>
      <w:ind w:left="2721"/>
    </w:pPr>
  </w:style>
  <w:style w:type="character" w:customStyle="1" w:styleId="NumberedListChar">
    <w:name w:val="NumberedList Char"/>
    <w:basedOn w:val="BulletChar"/>
    <w:link w:val="NumberedList"/>
    <w:rsid w:val="00DC1396"/>
    <w:rPr>
      <w:rFonts w:ascii="Arial" w:hAnsi="Arial" w:cs="Arial"/>
      <w:sz w:val="22"/>
      <w:szCs w:val="22"/>
      <w:lang w:eastAsia="en-US"/>
    </w:rPr>
  </w:style>
  <w:style w:type="paragraph" w:customStyle="1" w:styleId="Bullet2">
    <w:name w:val="Bullet2"/>
    <w:basedOn w:val="Bullet"/>
    <w:link w:val="Bullet2Char"/>
    <w:qFormat/>
    <w:rsid w:val="00DC1396"/>
    <w:pPr>
      <w:ind w:left="2721"/>
    </w:pPr>
  </w:style>
  <w:style w:type="character" w:customStyle="1" w:styleId="NumberedList2Char">
    <w:name w:val="NumberedList2 Char"/>
    <w:basedOn w:val="NumberedListChar"/>
    <w:link w:val="NumberedList2"/>
    <w:rsid w:val="00DC1396"/>
    <w:rPr>
      <w:rFonts w:ascii="Arial" w:hAnsi="Arial" w:cs="Arial"/>
      <w:sz w:val="22"/>
      <w:szCs w:val="22"/>
      <w:lang w:eastAsia="en-US"/>
    </w:rPr>
  </w:style>
  <w:style w:type="character" w:customStyle="1" w:styleId="Bullet2Char">
    <w:name w:val="Bullet2 Char"/>
    <w:basedOn w:val="BulletChar"/>
    <w:link w:val="Bullet2"/>
    <w:rsid w:val="00DC1396"/>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31305">
      <w:bodyDiv w:val="1"/>
      <w:marLeft w:val="0"/>
      <w:marRight w:val="0"/>
      <w:marTop w:val="0"/>
      <w:marBottom w:val="0"/>
      <w:divBdr>
        <w:top w:val="none" w:sz="0" w:space="0" w:color="auto"/>
        <w:left w:val="none" w:sz="0" w:space="0" w:color="auto"/>
        <w:bottom w:val="none" w:sz="0" w:space="0" w:color="auto"/>
        <w:right w:val="none" w:sz="0" w:space="0" w:color="auto"/>
      </w:divBdr>
      <w:divsChild>
        <w:div w:id="565188824">
          <w:marLeft w:val="0"/>
          <w:marRight w:val="0"/>
          <w:marTop w:val="0"/>
          <w:marBottom w:val="0"/>
          <w:divBdr>
            <w:top w:val="none" w:sz="0" w:space="0" w:color="auto"/>
            <w:left w:val="none" w:sz="0" w:space="0" w:color="auto"/>
            <w:bottom w:val="none" w:sz="0" w:space="0" w:color="auto"/>
            <w:right w:val="none" w:sz="0" w:space="0" w:color="auto"/>
          </w:divBdr>
          <w:divsChild>
            <w:div w:id="430441880">
              <w:marLeft w:val="0"/>
              <w:marRight w:val="0"/>
              <w:marTop w:val="0"/>
              <w:marBottom w:val="0"/>
              <w:divBdr>
                <w:top w:val="none" w:sz="0" w:space="0" w:color="auto"/>
                <w:left w:val="none" w:sz="0" w:space="0" w:color="auto"/>
                <w:bottom w:val="none" w:sz="0" w:space="0" w:color="auto"/>
                <w:right w:val="none" w:sz="0" w:space="0" w:color="auto"/>
              </w:divBdr>
              <w:divsChild>
                <w:div w:id="2063629021">
                  <w:marLeft w:val="0"/>
                  <w:marRight w:val="0"/>
                  <w:marTop w:val="0"/>
                  <w:marBottom w:val="0"/>
                  <w:divBdr>
                    <w:top w:val="none" w:sz="0" w:space="0" w:color="auto"/>
                    <w:left w:val="none" w:sz="0" w:space="0" w:color="auto"/>
                    <w:bottom w:val="none" w:sz="0" w:space="0" w:color="auto"/>
                    <w:right w:val="none" w:sz="0" w:space="0" w:color="auto"/>
                  </w:divBdr>
                  <w:divsChild>
                    <w:div w:id="2067215774">
                      <w:marLeft w:val="0"/>
                      <w:marRight w:val="0"/>
                      <w:marTop w:val="0"/>
                      <w:marBottom w:val="0"/>
                      <w:divBdr>
                        <w:top w:val="none" w:sz="0" w:space="0" w:color="auto"/>
                        <w:left w:val="none" w:sz="0" w:space="0" w:color="auto"/>
                        <w:bottom w:val="none" w:sz="0" w:space="0" w:color="auto"/>
                        <w:right w:val="none" w:sz="0" w:space="0" w:color="auto"/>
                      </w:divBdr>
                      <w:divsChild>
                        <w:div w:id="1168591246">
                          <w:marLeft w:val="0"/>
                          <w:marRight w:val="0"/>
                          <w:marTop w:val="0"/>
                          <w:marBottom w:val="0"/>
                          <w:divBdr>
                            <w:top w:val="none" w:sz="0" w:space="0" w:color="auto"/>
                            <w:left w:val="none" w:sz="0" w:space="0" w:color="auto"/>
                            <w:bottom w:val="none" w:sz="0" w:space="0" w:color="auto"/>
                            <w:right w:val="none" w:sz="0" w:space="0" w:color="auto"/>
                          </w:divBdr>
                          <w:divsChild>
                            <w:div w:id="1989549603">
                              <w:marLeft w:val="0"/>
                              <w:marRight w:val="0"/>
                              <w:marTop w:val="0"/>
                              <w:marBottom w:val="0"/>
                              <w:divBdr>
                                <w:top w:val="none" w:sz="0" w:space="0" w:color="auto"/>
                                <w:left w:val="none" w:sz="0" w:space="0" w:color="auto"/>
                                <w:bottom w:val="none" w:sz="0" w:space="0" w:color="auto"/>
                                <w:right w:val="none" w:sz="0" w:space="0" w:color="auto"/>
                              </w:divBdr>
                              <w:divsChild>
                                <w:div w:id="148400959">
                                  <w:marLeft w:val="0"/>
                                  <w:marRight w:val="0"/>
                                  <w:marTop w:val="0"/>
                                  <w:marBottom w:val="0"/>
                                  <w:divBdr>
                                    <w:top w:val="none" w:sz="0" w:space="0" w:color="auto"/>
                                    <w:left w:val="none" w:sz="0" w:space="0" w:color="auto"/>
                                    <w:bottom w:val="none" w:sz="0" w:space="0" w:color="auto"/>
                                    <w:right w:val="none" w:sz="0" w:space="0" w:color="auto"/>
                                  </w:divBdr>
                                  <w:divsChild>
                                    <w:div w:id="1060792204">
                                      <w:marLeft w:val="0"/>
                                      <w:marRight w:val="0"/>
                                      <w:marTop w:val="0"/>
                                      <w:marBottom w:val="0"/>
                                      <w:divBdr>
                                        <w:top w:val="none" w:sz="0" w:space="0" w:color="auto"/>
                                        <w:left w:val="none" w:sz="0" w:space="0" w:color="auto"/>
                                        <w:bottom w:val="none" w:sz="0" w:space="0" w:color="auto"/>
                                        <w:right w:val="none" w:sz="0" w:space="0" w:color="auto"/>
                                      </w:divBdr>
                                      <w:divsChild>
                                        <w:div w:id="961761964">
                                          <w:marLeft w:val="0"/>
                                          <w:marRight w:val="0"/>
                                          <w:marTop w:val="0"/>
                                          <w:marBottom w:val="0"/>
                                          <w:divBdr>
                                            <w:top w:val="none" w:sz="0" w:space="0" w:color="auto"/>
                                            <w:left w:val="none" w:sz="0" w:space="0" w:color="auto"/>
                                            <w:bottom w:val="none" w:sz="0" w:space="0" w:color="auto"/>
                                            <w:right w:val="none" w:sz="0" w:space="0" w:color="auto"/>
                                          </w:divBdr>
                                          <w:divsChild>
                                            <w:div w:id="1293973330">
                                              <w:marLeft w:val="0"/>
                                              <w:marRight w:val="0"/>
                                              <w:marTop w:val="0"/>
                                              <w:marBottom w:val="0"/>
                                              <w:divBdr>
                                                <w:top w:val="none" w:sz="0" w:space="0" w:color="auto"/>
                                                <w:left w:val="none" w:sz="0" w:space="0" w:color="auto"/>
                                                <w:bottom w:val="none" w:sz="0" w:space="0" w:color="auto"/>
                                                <w:right w:val="none" w:sz="0" w:space="0" w:color="auto"/>
                                              </w:divBdr>
                                              <w:divsChild>
                                                <w:div w:id="2122449518">
                                                  <w:marLeft w:val="0"/>
                                                  <w:marRight w:val="90"/>
                                                  <w:marTop w:val="0"/>
                                                  <w:marBottom w:val="0"/>
                                                  <w:divBdr>
                                                    <w:top w:val="none" w:sz="0" w:space="0" w:color="auto"/>
                                                    <w:left w:val="none" w:sz="0" w:space="0" w:color="auto"/>
                                                    <w:bottom w:val="none" w:sz="0" w:space="0" w:color="auto"/>
                                                    <w:right w:val="none" w:sz="0" w:space="0" w:color="auto"/>
                                                  </w:divBdr>
                                                  <w:divsChild>
                                                    <w:div w:id="657538599">
                                                      <w:marLeft w:val="0"/>
                                                      <w:marRight w:val="0"/>
                                                      <w:marTop w:val="0"/>
                                                      <w:marBottom w:val="0"/>
                                                      <w:divBdr>
                                                        <w:top w:val="none" w:sz="0" w:space="0" w:color="auto"/>
                                                        <w:left w:val="none" w:sz="0" w:space="0" w:color="auto"/>
                                                        <w:bottom w:val="none" w:sz="0" w:space="0" w:color="auto"/>
                                                        <w:right w:val="none" w:sz="0" w:space="0" w:color="auto"/>
                                                      </w:divBdr>
                                                      <w:divsChild>
                                                        <w:div w:id="664557118">
                                                          <w:marLeft w:val="0"/>
                                                          <w:marRight w:val="0"/>
                                                          <w:marTop w:val="0"/>
                                                          <w:marBottom w:val="0"/>
                                                          <w:divBdr>
                                                            <w:top w:val="none" w:sz="0" w:space="0" w:color="auto"/>
                                                            <w:left w:val="none" w:sz="0" w:space="0" w:color="auto"/>
                                                            <w:bottom w:val="none" w:sz="0" w:space="0" w:color="auto"/>
                                                            <w:right w:val="none" w:sz="0" w:space="0" w:color="auto"/>
                                                          </w:divBdr>
                                                          <w:divsChild>
                                                            <w:div w:id="1257791823">
                                                              <w:marLeft w:val="0"/>
                                                              <w:marRight w:val="0"/>
                                                              <w:marTop w:val="0"/>
                                                              <w:marBottom w:val="0"/>
                                                              <w:divBdr>
                                                                <w:top w:val="none" w:sz="0" w:space="0" w:color="auto"/>
                                                                <w:left w:val="none" w:sz="0" w:space="0" w:color="auto"/>
                                                                <w:bottom w:val="none" w:sz="0" w:space="0" w:color="auto"/>
                                                                <w:right w:val="none" w:sz="0" w:space="0" w:color="auto"/>
                                                              </w:divBdr>
                                                              <w:divsChild>
                                                                <w:div w:id="1748576668">
                                                                  <w:marLeft w:val="0"/>
                                                                  <w:marRight w:val="0"/>
                                                                  <w:marTop w:val="0"/>
                                                                  <w:marBottom w:val="105"/>
                                                                  <w:divBdr>
                                                                    <w:top w:val="single" w:sz="6" w:space="0" w:color="EDEDED"/>
                                                                    <w:left w:val="single" w:sz="6" w:space="0" w:color="EDEDED"/>
                                                                    <w:bottom w:val="single" w:sz="6" w:space="0" w:color="EDEDED"/>
                                                                    <w:right w:val="single" w:sz="6" w:space="0" w:color="EDEDED"/>
                                                                  </w:divBdr>
                                                                  <w:divsChild>
                                                                    <w:div w:id="1853034199">
                                                                      <w:marLeft w:val="0"/>
                                                                      <w:marRight w:val="0"/>
                                                                      <w:marTop w:val="0"/>
                                                                      <w:marBottom w:val="0"/>
                                                                      <w:divBdr>
                                                                        <w:top w:val="none" w:sz="0" w:space="0" w:color="auto"/>
                                                                        <w:left w:val="none" w:sz="0" w:space="0" w:color="auto"/>
                                                                        <w:bottom w:val="none" w:sz="0" w:space="0" w:color="auto"/>
                                                                        <w:right w:val="none" w:sz="0" w:space="0" w:color="auto"/>
                                                                      </w:divBdr>
                                                                      <w:divsChild>
                                                                        <w:div w:id="55016556">
                                                                          <w:marLeft w:val="0"/>
                                                                          <w:marRight w:val="0"/>
                                                                          <w:marTop w:val="0"/>
                                                                          <w:marBottom w:val="0"/>
                                                                          <w:divBdr>
                                                                            <w:top w:val="none" w:sz="0" w:space="0" w:color="auto"/>
                                                                            <w:left w:val="none" w:sz="0" w:space="0" w:color="auto"/>
                                                                            <w:bottom w:val="none" w:sz="0" w:space="0" w:color="auto"/>
                                                                            <w:right w:val="none" w:sz="0" w:space="0" w:color="auto"/>
                                                                          </w:divBdr>
                                                                          <w:divsChild>
                                                                            <w:div w:id="629359063">
                                                                              <w:marLeft w:val="0"/>
                                                                              <w:marRight w:val="0"/>
                                                                              <w:marTop w:val="0"/>
                                                                              <w:marBottom w:val="0"/>
                                                                              <w:divBdr>
                                                                                <w:top w:val="none" w:sz="0" w:space="0" w:color="auto"/>
                                                                                <w:left w:val="none" w:sz="0" w:space="0" w:color="auto"/>
                                                                                <w:bottom w:val="none" w:sz="0" w:space="0" w:color="auto"/>
                                                                                <w:right w:val="none" w:sz="0" w:space="0" w:color="auto"/>
                                                                              </w:divBdr>
                                                                              <w:divsChild>
                                                                                <w:div w:id="1510754150">
                                                                                  <w:marLeft w:val="180"/>
                                                                                  <w:marRight w:val="180"/>
                                                                                  <w:marTop w:val="0"/>
                                                                                  <w:marBottom w:val="0"/>
                                                                                  <w:divBdr>
                                                                                    <w:top w:val="none" w:sz="0" w:space="0" w:color="auto"/>
                                                                                    <w:left w:val="none" w:sz="0" w:space="0" w:color="auto"/>
                                                                                    <w:bottom w:val="none" w:sz="0" w:space="0" w:color="auto"/>
                                                                                    <w:right w:val="none" w:sz="0" w:space="0" w:color="auto"/>
                                                                                  </w:divBdr>
                                                                                  <w:divsChild>
                                                                                    <w:div w:id="1042361219">
                                                                                      <w:marLeft w:val="0"/>
                                                                                      <w:marRight w:val="0"/>
                                                                                      <w:marTop w:val="0"/>
                                                                                      <w:marBottom w:val="0"/>
                                                                                      <w:divBdr>
                                                                                        <w:top w:val="none" w:sz="0" w:space="0" w:color="auto"/>
                                                                                        <w:left w:val="none" w:sz="0" w:space="0" w:color="auto"/>
                                                                                        <w:bottom w:val="none" w:sz="0" w:space="0" w:color="auto"/>
                                                                                        <w:right w:val="none" w:sz="0" w:space="0" w:color="auto"/>
                                                                                      </w:divBdr>
                                                                                      <w:divsChild>
                                                                                        <w:div w:id="1369137524">
                                                                                          <w:marLeft w:val="0"/>
                                                                                          <w:marRight w:val="0"/>
                                                                                          <w:marTop w:val="0"/>
                                                                                          <w:marBottom w:val="0"/>
                                                                                          <w:divBdr>
                                                                                            <w:top w:val="none" w:sz="0" w:space="0" w:color="auto"/>
                                                                                            <w:left w:val="none" w:sz="0" w:space="0" w:color="auto"/>
                                                                                            <w:bottom w:val="none" w:sz="0" w:space="0" w:color="auto"/>
                                                                                            <w:right w:val="none" w:sz="0" w:space="0" w:color="auto"/>
                                                                                          </w:divBdr>
                                                                                          <w:divsChild>
                                                                                            <w:div w:id="1953970953">
                                                                                              <w:marLeft w:val="0"/>
                                                                                              <w:marRight w:val="0"/>
                                                                                              <w:marTop w:val="0"/>
                                                                                              <w:marBottom w:val="0"/>
                                                                                              <w:divBdr>
                                                                                                <w:top w:val="none" w:sz="0" w:space="0" w:color="auto"/>
                                                                                                <w:left w:val="none" w:sz="0" w:space="0" w:color="auto"/>
                                                                                                <w:bottom w:val="none" w:sz="0" w:space="0" w:color="auto"/>
                                                                                                <w:right w:val="none" w:sz="0" w:space="0" w:color="auto"/>
                                                                                              </w:divBdr>
                                                                                              <w:divsChild>
                                                                                                <w:div w:id="1600530805">
                                                                                                  <w:marLeft w:val="0"/>
                                                                                                  <w:marRight w:val="0"/>
                                                                                                  <w:marTop w:val="0"/>
                                                                                                  <w:marBottom w:val="0"/>
                                                                                                  <w:divBdr>
                                                                                                    <w:top w:val="none" w:sz="0" w:space="0" w:color="auto"/>
                                                                                                    <w:left w:val="none" w:sz="0" w:space="0" w:color="auto"/>
                                                                                                    <w:bottom w:val="none" w:sz="0" w:space="0" w:color="auto"/>
                                                                                                    <w:right w:val="none" w:sz="0" w:space="0" w:color="auto"/>
                                                                                                  </w:divBdr>
                                                                                                  <w:divsChild>
                                                                                                    <w:div w:id="12337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612930">
      <w:bodyDiv w:val="1"/>
      <w:marLeft w:val="0"/>
      <w:marRight w:val="0"/>
      <w:marTop w:val="0"/>
      <w:marBottom w:val="0"/>
      <w:divBdr>
        <w:top w:val="none" w:sz="0" w:space="0" w:color="auto"/>
        <w:left w:val="none" w:sz="0" w:space="0" w:color="auto"/>
        <w:bottom w:val="none" w:sz="0" w:space="0" w:color="auto"/>
        <w:right w:val="none" w:sz="0" w:space="0" w:color="auto"/>
      </w:divBdr>
      <w:divsChild>
        <w:div w:id="1358698081">
          <w:marLeft w:val="446"/>
          <w:marRight w:val="0"/>
          <w:marTop w:val="134"/>
          <w:marBottom w:val="0"/>
          <w:divBdr>
            <w:top w:val="none" w:sz="0" w:space="0" w:color="auto"/>
            <w:left w:val="none" w:sz="0" w:space="0" w:color="auto"/>
            <w:bottom w:val="none" w:sz="0" w:space="0" w:color="auto"/>
            <w:right w:val="none" w:sz="0" w:space="0" w:color="auto"/>
          </w:divBdr>
        </w:div>
        <w:div w:id="2066289629">
          <w:marLeft w:val="446"/>
          <w:marRight w:val="0"/>
          <w:marTop w:val="134"/>
          <w:marBottom w:val="0"/>
          <w:divBdr>
            <w:top w:val="none" w:sz="0" w:space="0" w:color="auto"/>
            <w:left w:val="none" w:sz="0" w:space="0" w:color="auto"/>
            <w:bottom w:val="none" w:sz="0" w:space="0" w:color="auto"/>
            <w:right w:val="none" w:sz="0" w:space="0" w:color="auto"/>
          </w:divBdr>
        </w:div>
      </w:divsChild>
    </w:div>
    <w:div w:id="571280800">
      <w:bodyDiv w:val="1"/>
      <w:marLeft w:val="0"/>
      <w:marRight w:val="0"/>
      <w:marTop w:val="0"/>
      <w:marBottom w:val="0"/>
      <w:divBdr>
        <w:top w:val="none" w:sz="0" w:space="0" w:color="auto"/>
        <w:left w:val="none" w:sz="0" w:space="0" w:color="auto"/>
        <w:bottom w:val="none" w:sz="0" w:space="0" w:color="auto"/>
        <w:right w:val="none" w:sz="0" w:space="0" w:color="auto"/>
      </w:divBdr>
    </w:div>
    <w:div w:id="579220013">
      <w:bodyDiv w:val="1"/>
      <w:marLeft w:val="0"/>
      <w:marRight w:val="0"/>
      <w:marTop w:val="0"/>
      <w:marBottom w:val="0"/>
      <w:divBdr>
        <w:top w:val="none" w:sz="0" w:space="0" w:color="auto"/>
        <w:left w:val="none" w:sz="0" w:space="0" w:color="auto"/>
        <w:bottom w:val="none" w:sz="0" w:space="0" w:color="auto"/>
        <w:right w:val="none" w:sz="0" w:space="0" w:color="auto"/>
      </w:divBdr>
    </w:div>
    <w:div w:id="610481096">
      <w:bodyDiv w:val="1"/>
      <w:marLeft w:val="0"/>
      <w:marRight w:val="0"/>
      <w:marTop w:val="0"/>
      <w:marBottom w:val="0"/>
      <w:divBdr>
        <w:top w:val="none" w:sz="0" w:space="0" w:color="auto"/>
        <w:left w:val="none" w:sz="0" w:space="0" w:color="auto"/>
        <w:bottom w:val="none" w:sz="0" w:space="0" w:color="auto"/>
        <w:right w:val="none" w:sz="0" w:space="0" w:color="auto"/>
      </w:divBdr>
    </w:div>
    <w:div w:id="1035690976">
      <w:bodyDiv w:val="1"/>
      <w:marLeft w:val="0"/>
      <w:marRight w:val="0"/>
      <w:marTop w:val="0"/>
      <w:marBottom w:val="0"/>
      <w:divBdr>
        <w:top w:val="none" w:sz="0" w:space="0" w:color="auto"/>
        <w:left w:val="none" w:sz="0" w:space="0" w:color="auto"/>
        <w:bottom w:val="none" w:sz="0" w:space="0" w:color="auto"/>
        <w:right w:val="none" w:sz="0" w:space="0" w:color="auto"/>
      </w:divBdr>
    </w:div>
    <w:div w:id="1111586233">
      <w:bodyDiv w:val="1"/>
      <w:marLeft w:val="0"/>
      <w:marRight w:val="0"/>
      <w:marTop w:val="0"/>
      <w:marBottom w:val="0"/>
      <w:divBdr>
        <w:top w:val="none" w:sz="0" w:space="0" w:color="auto"/>
        <w:left w:val="none" w:sz="0" w:space="0" w:color="auto"/>
        <w:bottom w:val="none" w:sz="0" w:space="0" w:color="auto"/>
        <w:right w:val="none" w:sz="0" w:space="0" w:color="auto"/>
      </w:divBdr>
    </w:div>
    <w:div w:id="1169254353">
      <w:bodyDiv w:val="1"/>
      <w:marLeft w:val="0"/>
      <w:marRight w:val="0"/>
      <w:marTop w:val="0"/>
      <w:marBottom w:val="0"/>
      <w:divBdr>
        <w:top w:val="none" w:sz="0" w:space="0" w:color="auto"/>
        <w:left w:val="none" w:sz="0" w:space="0" w:color="auto"/>
        <w:bottom w:val="none" w:sz="0" w:space="0" w:color="auto"/>
        <w:right w:val="none" w:sz="0" w:space="0" w:color="auto"/>
      </w:divBdr>
    </w:div>
    <w:div w:id="1178957525">
      <w:bodyDiv w:val="1"/>
      <w:marLeft w:val="0"/>
      <w:marRight w:val="0"/>
      <w:marTop w:val="0"/>
      <w:marBottom w:val="0"/>
      <w:divBdr>
        <w:top w:val="none" w:sz="0" w:space="0" w:color="auto"/>
        <w:left w:val="none" w:sz="0" w:space="0" w:color="auto"/>
        <w:bottom w:val="none" w:sz="0" w:space="0" w:color="auto"/>
        <w:right w:val="none" w:sz="0" w:space="0" w:color="auto"/>
      </w:divBdr>
    </w:div>
    <w:div w:id="1261068102">
      <w:bodyDiv w:val="1"/>
      <w:marLeft w:val="0"/>
      <w:marRight w:val="0"/>
      <w:marTop w:val="0"/>
      <w:marBottom w:val="0"/>
      <w:divBdr>
        <w:top w:val="none" w:sz="0" w:space="0" w:color="auto"/>
        <w:left w:val="none" w:sz="0" w:space="0" w:color="auto"/>
        <w:bottom w:val="none" w:sz="0" w:space="0" w:color="auto"/>
        <w:right w:val="none" w:sz="0" w:space="0" w:color="auto"/>
      </w:divBdr>
      <w:divsChild>
        <w:div w:id="364990877">
          <w:marLeft w:val="1166"/>
          <w:marRight w:val="0"/>
          <w:marTop w:val="115"/>
          <w:marBottom w:val="0"/>
          <w:divBdr>
            <w:top w:val="none" w:sz="0" w:space="0" w:color="auto"/>
            <w:left w:val="none" w:sz="0" w:space="0" w:color="auto"/>
            <w:bottom w:val="none" w:sz="0" w:space="0" w:color="auto"/>
            <w:right w:val="none" w:sz="0" w:space="0" w:color="auto"/>
          </w:divBdr>
        </w:div>
        <w:div w:id="696588017">
          <w:marLeft w:val="446"/>
          <w:marRight w:val="0"/>
          <w:marTop w:val="115"/>
          <w:marBottom w:val="0"/>
          <w:divBdr>
            <w:top w:val="none" w:sz="0" w:space="0" w:color="auto"/>
            <w:left w:val="none" w:sz="0" w:space="0" w:color="auto"/>
            <w:bottom w:val="none" w:sz="0" w:space="0" w:color="auto"/>
            <w:right w:val="none" w:sz="0" w:space="0" w:color="auto"/>
          </w:divBdr>
        </w:div>
        <w:div w:id="840314345">
          <w:marLeft w:val="1166"/>
          <w:marRight w:val="0"/>
          <w:marTop w:val="115"/>
          <w:marBottom w:val="0"/>
          <w:divBdr>
            <w:top w:val="none" w:sz="0" w:space="0" w:color="auto"/>
            <w:left w:val="none" w:sz="0" w:space="0" w:color="auto"/>
            <w:bottom w:val="none" w:sz="0" w:space="0" w:color="auto"/>
            <w:right w:val="none" w:sz="0" w:space="0" w:color="auto"/>
          </w:divBdr>
        </w:div>
        <w:div w:id="1473984210">
          <w:marLeft w:val="446"/>
          <w:marRight w:val="0"/>
          <w:marTop w:val="115"/>
          <w:marBottom w:val="0"/>
          <w:divBdr>
            <w:top w:val="none" w:sz="0" w:space="0" w:color="auto"/>
            <w:left w:val="none" w:sz="0" w:space="0" w:color="auto"/>
            <w:bottom w:val="none" w:sz="0" w:space="0" w:color="auto"/>
            <w:right w:val="none" w:sz="0" w:space="0" w:color="auto"/>
          </w:divBdr>
        </w:div>
        <w:div w:id="1869754407">
          <w:marLeft w:val="446"/>
          <w:marRight w:val="0"/>
          <w:marTop w:val="115"/>
          <w:marBottom w:val="0"/>
          <w:divBdr>
            <w:top w:val="none" w:sz="0" w:space="0" w:color="auto"/>
            <w:left w:val="none" w:sz="0" w:space="0" w:color="auto"/>
            <w:bottom w:val="none" w:sz="0" w:space="0" w:color="auto"/>
            <w:right w:val="none" w:sz="0" w:space="0" w:color="auto"/>
          </w:divBdr>
        </w:div>
      </w:divsChild>
    </w:div>
    <w:div w:id="1295910370">
      <w:bodyDiv w:val="1"/>
      <w:marLeft w:val="0"/>
      <w:marRight w:val="0"/>
      <w:marTop w:val="0"/>
      <w:marBottom w:val="0"/>
      <w:divBdr>
        <w:top w:val="none" w:sz="0" w:space="0" w:color="auto"/>
        <w:left w:val="none" w:sz="0" w:space="0" w:color="auto"/>
        <w:bottom w:val="none" w:sz="0" w:space="0" w:color="auto"/>
        <w:right w:val="none" w:sz="0" w:space="0" w:color="auto"/>
      </w:divBdr>
      <w:divsChild>
        <w:div w:id="86657693">
          <w:marLeft w:val="1166"/>
          <w:marRight w:val="0"/>
          <w:marTop w:val="115"/>
          <w:marBottom w:val="0"/>
          <w:divBdr>
            <w:top w:val="none" w:sz="0" w:space="0" w:color="auto"/>
            <w:left w:val="none" w:sz="0" w:space="0" w:color="auto"/>
            <w:bottom w:val="none" w:sz="0" w:space="0" w:color="auto"/>
            <w:right w:val="none" w:sz="0" w:space="0" w:color="auto"/>
          </w:divBdr>
        </w:div>
        <w:div w:id="193885438">
          <w:marLeft w:val="1166"/>
          <w:marRight w:val="0"/>
          <w:marTop w:val="115"/>
          <w:marBottom w:val="0"/>
          <w:divBdr>
            <w:top w:val="none" w:sz="0" w:space="0" w:color="auto"/>
            <w:left w:val="none" w:sz="0" w:space="0" w:color="auto"/>
            <w:bottom w:val="none" w:sz="0" w:space="0" w:color="auto"/>
            <w:right w:val="none" w:sz="0" w:space="0" w:color="auto"/>
          </w:divBdr>
        </w:div>
        <w:div w:id="589504626">
          <w:marLeft w:val="446"/>
          <w:marRight w:val="0"/>
          <w:marTop w:val="115"/>
          <w:marBottom w:val="0"/>
          <w:divBdr>
            <w:top w:val="none" w:sz="0" w:space="0" w:color="auto"/>
            <w:left w:val="none" w:sz="0" w:space="0" w:color="auto"/>
            <w:bottom w:val="none" w:sz="0" w:space="0" w:color="auto"/>
            <w:right w:val="none" w:sz="0" w:space="0" w:color="auto"/>
          </w:divBdr>
        </w:div>
        <w:div w:id="1495802370">
          <w:marLeft w:val="446"/>
          <w:marRight w:val="0"/>
          <w:marTop w:val="115"/>
          <w:marBottom w:val="0"/>
          <w:divBdr>
            <w:top w:val="none" w:sz="0" w:space="0" w:color="auto"/>
            <w:left w:val="none" w:sz="0" w:space="0" w:color="auto"/>
            <w:bottom w:val="none" w:sz="0" w:space="0" w:color="auto"/>
            <w:right w:val="none" w:sz="0" w:space="0" w:color="auto"/>
          </w:divBdr>
        </w:div>
        <w:div w:id="1999579654">
          <w:marLeft w:val="446"/>
          <w:marRight w:val="0"/>
          <w:marTop w:val="115"/>
          <w:marBottom w:val="0"/>
          <w:divBdr>
            <w:top w:val="none" w:sz="0" w:space="0" w:color="auto"/>
            <w:left w:val="none" w:sz="0" w:space="0" w:color="auto"/>
            <w:bottom w:val="none" w:sz="0" w:space="0" w:color="auto"/>
            <w:right w:val="none" w:sz="0" w:space="0" w:color="auto"/>
          </w:divBdr>
        </w:div>
        <w:div w:id="2078703380">
          <w:marLeft w:val="446"/>
          <w:marRight w:val="0"/>
          <w:marTop w:val="115"/>
          <w:marBottom w:val="0"/>
          <w:divBdr>
            <w:top w:val="none" w:sz="0" w:space="0" w:color="auto"/>
            <w:left w:val="none" w:sz="0" w:space="0" w:color="auto"/>
            <w:bottom w:val="none" w:sz="0" w:space="0" w:color="auto"/>
            <w:right w:val="none" w:sz="0" w:space="0" w:color="auto"/>
          </w:divBdr>
        </w:div>
        <w:div w:id="2131389943">
          <w:marLeft w:val="1166"/>
          <w:marRight w:val="0"/>
          <w:marTop w:val="115"/>
          <w:marBottom w:val="0"/>
          <w:divBdr>
            <w:top w:val="none" w:sz="0" w:space="0" w:color="auto"/>
            <w:left w:val="none" w:sz="0" w:space="0" w:color="auto"/>
            <w:bottom w:val="none" w:sz="0" w:space="0" w:color="auto"/>
            <w:right w:val="none" w:sz="0" w:space="0" w:color="auto"/>
          </w:divBdr>
        </w:div>
      </w:divsChild>
    </w:div>
    <w:div w:id="1463108915">
      <w:bodyDiv w:val="1"/>
      <w:marLeft w:val="0"/>
      <w:marRight w:val="0"/>
      <w:marTop w:val="0"/>
      <w:marBottom w:val="0"/>
      <w:divBdr>
        <w:top w:val="none" w:sz="0" w:space="0" w:color="auto"/>
        <w:left w:val="none" w:sz="0" w:space="0" w:color="auto"/>
        <w:bottom w:val="none" w:sz="0" w:space="0" w:color="auto"/>
        <w:right w:val="none" w:sz="0" w:space="0" w:color="auto"/>
      </w:divBdr>
      <w:divsChild>
        <w:div w:id="1469392410">
          <w:marLeft w:val="446"/>
          <w:marRight w:val="0"/>
          <w:marTop w:val="125"/>
          <w:marBottom w:val="0"/>
          <w:divBdr>
            <w:top w:val="none" w:sz="0" w:space="0" w:color="auto"/>
            <w:left w:val="none" w:sz="0" w:space="0" w:color="auto"/>
            <w:bottom w:val="none" w:sz="0" w:space="0" w:color="auto"/>
            <w:right w:val="none" w:sz="0" w:space="0" w:color="auto"/>
          </w:divBdr>
        </w:div>
        <w:div w:id="1516730005">
          <w:marLeft w:val="446"/>
          <w:marRight w:val="0"/>
          <w:marTop w:val="125"/>
          <w:marBottom w:val="0"/>
          <w:divBdr>
            <w:top w:val="none" w:sz="0" w:space="0" w:color="auto"/>
            <w:left w:val="none" w:sz="0" w:space="0" w:color="auto"/>
            <w:bottom w:val="none" w:sz="0" w:space="0" w:color="auto"/>
            <w:right w:val="none" w:sz="0" w:space="0" w:color="auto"/>
          </w:divBdr>
        </w:div>
        <w:div w:id="1994601422">
          <w:marLeft w:val="446"/>
          <w:marRight w:val="0"/>
          <w:marTop w:val="125"/>
          <w:marBottom w:val="0"/>
          <w:divBdr>
            <w:top w:val="none" w:sz="0" w:space="0" w:color="auto"/>
            <w:left w:val="none" w:sz="0" w:space="0" w:color="auto"/>
            <w:bottom w:val="none" w:sz="0" w:space="0" w:color="auto"/>
            <w:right w:val="none" w:sz="0" w:space="0" w:color="auto"/>
          </w:divBdr>
        </w:div>
        <w:div w:id="2077169797">
          <w:marLeft w:val="1166"/>
          <w:marRight w:val="0"/>
          <w:marTop w:val="125"/>
          <w:marBottom w:val="0"/>
          <w:divBdr>
            <w:top w:val="none" w:sz="0" w:space="0" w:color="auto"/>
            <w:left w:val="none" w:sz="0" w:space="0" w:color="auto"/>
            <w:bottom w:val="none" w:sz="0" w:space="0" w:color="auto"/>
            <w:right w:val="none" w:sz="0" w:space="0" w:color="auto"/>
          </w:divBdr>
        </w:div>
        <w:div w:id="2085881896">
          <w:marLeft w:val="1166"/>
          <w:marRight w:val="0"/>
          <w:marTop w:val="125"/>
          <w:marBottom w:val="0"/>
          <w:divBdr>
            <w:top w:val="none" w:sz="0" w:space="0" w:color="auto"/>
            <w:left w:val="none" w:sz="0" w:space="0" w:color="auto"/>
            <w:bottom w:val="none" w:sz="0" w:space="0" w:color="auto"/>
            <w:right w:val="none" w:sz="0" w:space="0" w:color="auto"/>
          </w:divBdr>
        </w:div>
      </w:divsChild>
    </w:div>
    <w:div w:id="1564294754">
      <w:bodyDiv w:val="1"/>
      <w:marLeft w:val="0"/>
      <w:marRight w:val="0"/>
      <w:marTop w:val="0"/>
      <w:marBottom w:val="0"/>
      <w:divBdr>
        <w:top w:val="none" w:sz="0" w:space="0" w:color="auto"/>
        <w:left w:val="none" w:sz="0" w:space="0" w:color="auto"/>
        <w:bottom w:val="none" w:sz="0" w:space="0" w:color="auto"/>
        <w:right w:val="none" w:sz="0" w:space="0" w:color="auto"/>
      </w:divBdr>
    </w:div>
    <w:div w:id="1574465879">
      <w:bodyDiv w:val="1"/>
      <w:marLeft w:val="0"/>
      <w:marRight w:val="0"/>
      <w:marTop w:val="0"/>
      <w:marBottom w:val="0"/>
      <w:divBdr>
        <w:top w:val="none" w:sz="0" w:space="0" w:color="auto"/>
        <w:left w:val="none" w:sz="0" w:space="0" w:color="auto"/>
        <w:bottom w:val="none" w:sz="0" w:space="0" w:color="auto"/>
        <w:right w:val="none" w:sz="0" w:space="0" w:color="auto"/>
      </w:divBdr>
      <w:divsChild>
        <w:div w:id="1126305">
          <w:marLeft w:val="1166"/>
          <w:marRight w:val="0"/>
          <w:marTop w:val="125"/>
          <w:marBottom w:val="0"/>
          <w:divBdr>
            <w:top w:val="none" w:sz="0" w:space="0" w:color="auto"/>
            <w:left w:val="none" w:sz="0" w:space="0" w:color="auto"/>
            <w:bottom w:val="none" w:sz="0" w:space="0" w:color="auto"/>
            <w:right w:val="none" w:sz="0" w:space="0" w:color="auto"/>
          </w:divBdr>
        </w:div>
        <w:div w:id="41713335">
          <w:marLeft w:val="446"/>
          <w:marRight w:val="0"/>
          <w:marTop w:val="125"/>
          <w:marBottom w:val="0"/>
          <w:divBdr>
            <w:top w:val="none" w:sz="0" w:space="0" w:color="auto"/>
            <w:left w:val="none" w:sz="0" w:space="0" w:color="auto"/>
            <w:bottom w:val="none" w:sz="0" w:space="0" w:color="auto"/>
            <w:right w:val="none" w:sz="0" w:space="0" w:color="auto"/>
          </w:divBdr>
        </w:div>
        <w:div w:id="44380076">
          <w:marLeft w:val="446"/>
          <w:marRight w:val="0"/>
          <w:marTop w:val="125"/>
          <w:marBottom w:val="0"/>
          <w:divBdr>
            <w:top w:val="none" w:sz="0" w:space="0" w:color="auto"/>
            <w:left w:val="none" w:sz="0" w:space="0" w:color="auto"/>
            <w:bottom w:val="none" w:sz="0" w:space="0" w:color="auto"/>
            <w:right w:val="none" w:sz="0" w:space="0" w:color="auto"/>
          </w:divBdr>
        </w:div>
        <w:div w:id="68354706">
          <w:marLeft w:val="446"/>
          <w:marRight w:val="0"/>
          <w:marTop w:val="125"/>
          <w:marBottom w:val="0"/>
          <w:divBdr>
            <w:top w:val="none" w:sz="0" w:space="0" w:color="auto"/>
            <w:left w:val="none" w:sz="0" w:space="0" w:color="auto"/>
            <w:bottom w:val="none" w:sz="0" w:space="0" w:color="auto"/>
            <w:right w:val="none" w:sz="0" w:space="0" w:color="auto"/>
          </w:divBdr>
        </w:div>
        <w:div w:id="86387816">
          <w:marLeft w:val="1166"/>
          <w:marRight w:val="0"/>
          <w:marTop w:val="125"/>
          <w:marBottom w:val="0"/>
          <w:divBdr>
            <w:top w:val="none" w:sz="0" w:space="0" w:color="auto"/>
            <w:left w:val="none" w:sz="0" w:space="0" w:color="auto"/>
            <w:bottom w:val="none" w:sz="0" w:space="0" w:color="auto"/>
            <w:right w:val="none" w:sz="0" w:space="0" w:color="auto"/>
          </w:divBdr>
        </w:div>
        <w:div w:id="139154710">
          <w:marLeft w:val="446"/>
          <w:marRight w:val="0"/>
          <w:marTop w:val="125"/>
          <w:marBottom w:val="0"/>
          <w:divBdr>
            <w:top w:val="none" w:sz="0" w:space="0" w:color="auto"/>
            <w:left w:val="none" w:sz="0" w:space="0" w:color="auto"/>
            <w:bottom w:val="none" w:sz="0" w:space="0" w:color="auto"/>
            <w:right w:val="none" w:sz="0" w:space="0" w:color="auto"/>
          </w:divBdr>
        </w:div>
        <w:div w:id="193152767">
          <w:marLeft w:val="446"/>
          <w:marRight w:val="0"/>
          <w:marTop w:val="125"/>
          <w:marBottom w:val="0"/>
          <w:divBdr>
            <w:top w:val="none" w:sz="0" w:space="0" w:color="auto"/>
            <w:left w:val="none" w:sz="0" w:space="0" w:color="auto"/>
            <w:bottom w:val="none" w:sz="0" w:space="0" w:color="auto"/>
            <w:right w:val="none" w:sz="0" w:space="0" w:color="auto"/>
          </w:divBdr>
        </w:div>
        <w:div w:id="195584159">
          <w:marLeft w:val="446"/>
          <w:marRight w:val="0"/>
          <w:marTop w:val="125"/>
          <w:marBottom w:val="0"/>
          <w:divBdr>
            <w:top w:val="none" w:sz="0" w:space="0" w:color="auto"/>
            <w:left w:val="none" w:sz="0" w:space="0" w:color="auto"/>
            <w:bottom w:val="none" w:sz="0" w:space="0" w:color="auto"/>
            <w:right w:val="none" w:sz="0" w:space="0" w:color="auto"/>
          </w:divBdr>
        </w:div>
        <w:div w:id="198587544">
          <w:marLeft w:val="446"/>
          <w:marRight w:val="0"/>
          <w:marTop w:val="125"/>
          <w:marBottom w:val="0"/>
          <w:divBdr>
            <w:top w:val="none" w:sz="0" w:space="0" w:color="auto"/>
            <w:left w:val="none" w:sz="0" w:space="0" w:color="auto"/>
            <w:bottom w:val="none" w:sz="0" w:space="0" w:color="auto"/>
            <w:right w:val="none" w:sz="0" w:space="0" w:color="auto"/>
          </w:divBdr>
        </w:div>
        <w:div w:id="211505048">
          <w:marLeft w:val="446"/>
          <w:marRight w:val="0"/>
          <w:marTop w:val="125"/>
          <w:marBottom w:val="0"/>
          <w:divBdr>
            <w:top w:val="none" w:sz="0" w:space="0" w:color="auto"/>
            <w:left w:val="none" w:sz="0" w:space="0" w:color="auto"/>
            <w:bottom w:val="none" w:sz="0" w:space="0" w:color="auto"/>
            <w:right w:val="none" w:sz="0" w:space="0" w:color="auto"/>
          </w:divBdr>
        </w:div>
        <w:div w:id="219025026">
          <w:marLeft w:val="446"/>
          <w:marRight w:val="0"/>
          <w:marTop w:val="125"/>
          <w:marBottom w:val="0"/>
          <w:divBdr>
            <w:top w:val="none" w:sz="0" w:space="0" w:color="auto"/>
            <w:left w:val="none" w:sz="0" w:space="0" w:color="auto"/>
            <w:bottom w:val="none" w:sz="0" w:space="0" w:color="auto"/>
            <w:right w:val="none" w:sz="0" w:space="0" w:color="auto"/>
          </w:divBdr>
        </w:div>
        <w:div w:id="247813143">
          <w:marLeft w:val="446"/>
          <w:marRight w:val="0"/>
          <w:marTop w:val="125"/>
          <w:marBottom w:val="0"/>
          <w:divBdr>
            <w:top w:val="none" w:sz="0" w:space="0" w:color="auto"/>
            <w:left w:val="none" w:sz="0" w:space="0" w:color="auto"/>
            <w:bottom w:val="none" w:sz="0" w:space="0" w:color="auto"/>
            <w:right w:val="none" w:sz="0" w:space="0" w:color="auto"/>
          </w:divBdr>
        </w:div>
        <w:div w:id="248082530">
          <w:marLeft w:val="446"/>
          <w:marRight w:val="0"/>
          <w:marTop w:val="125"/>
          <w:marBottom w:val="0"/>
          <w:divBdr>
            <w:top w:val="none" w:sz="0" w:space="0" w:color="auto"/>
            <w:left w:val="none" w:sz="0" w:space="0" w:color="auto"/>
            <w:bottom w:val="none" w:sz="0" w:space="0" w:color="auto"/>
            <w:right w:val="none" w:sz="0" w:space="0" w:color="auto"/>
          </w:divBdr>
        </w:div>
        <w:div w:id="254050096">
          <w:marLeft w:val="446"/>
          <w:marRight w:val="0"/>
          <w:marTop w:val="125"/>
          <w:marBottom w:val="0"/>
          <w:divBdr>
            <w:top w:val="none" w:sz="0" w:space="0" w:color="auto"/>
            <w:left w:val="none" w:sz="0" w:space="0" w:color="auto"/>
            <w:bottom w:val="none" w:sz="0" w:space="0" w:color="auto"/>
            <w:right w:val="none" w:sz="0" w:space="0" w:color="auto"/>
          </w:divBdr>
        </w:div>
        <w:div w:id="283772299">
          <w:marLeft w:val="1166"/>
          <w:marRight w:val="0"/>
          <w:marTop w:val="125"/>
          <w:marBottom w:val="0"/>
          <w:divBdr>
            <w:top w:val="none" w:sz="0" w:space="0" w:color="auto"/>
            <w:left w:val="none" w:sz="0" w:space="0" w:color="auto"/>
            <w:bottom w:val="none" w:sz="0" w:space="0" w:color="auto"/>
            <w:right w:val="none" w:sz="0" w:space="0" w:color="auto"/>
          </w:divBdr>
        </w:div>
        <w:div w:id="320353411">
          <w:marLeft w:val="446"/>
          <w:marRight w:val="0"/>
          <w:marTop w:val="125"/>
          <w:marBottom w:val="0"/>
          <w:divBdr>
            <w:top w:val="none" w:sz="0" w:space="0" w:color="auto"/>
            <w:left w:val="none" w:sz="0" w:space="0" w:color="auto"/>
            <w:bottom w:val="none" w:sz="0" w:space="0" w:color="auto"/>
            <w:right w:val="none" w:sz="0" w:space="0" w:color="auto"/>
          </w:divBdr>
        </w:div>
        <w:div w:id="375200720">
          <w:marLeft w:val="1166"/>
          <w:marRight w:val="0"/>
          <w:marTop w:val="0"/>
          <w:marBottom w:val="0"/>
          <w:divBdr>
            <w:top w:val="none" w:sz="0" w:space="0" w:color="auto"/>
            <w:left w:val="none" w:sz="0" w:space="0" w:color="auto"/>
            <w:bottom w:val="none" w:sz="0" w:space="0" w:color="auto"/>
            <w:right w:val="none" w:sz="0" w:space="0" w:color="auto"/>
          </w:divBdr>
        </w:div>
        <w:div w:id="390034920">
          <w:marLeft w:val="1166"/>
          <w:marRight w:val="0"/>
          <w:marTop w:val="125"/>
          <w:marBottom w:val="0"/>
          <w:divBdr>
            <w:top w:val="none" w:sz="0" w:space="0" w:color="auto"/>
            <w:left w:val="none" w:sz="0" w:space="0" w:color="auto"/>
            <w:bottom w:val="none" w:sz="0" w:space="0" w:color="auto"/>
            <w:right w:val="none" w:sz="0" w:space="0" w:color="auto"/>
          </w:divBdr>
        </w:div>
        <w:div w:id="407576641">
          <w:marLeft w:val="446"/>
          <w:marRight w:val="0"/>
          <w:marTop w:val="125"/>
          <w:marBottom w:val="0"/>
          <w:divBdr>
            <w:top w:val="none" w:sz="0" w:space="0" w:color="auto"/>
            <w:left w:val="none" w:sz="0" w:space="0" w:color="auto"/>
            <w:bottom w:val="none" w:sz="0" w:space="0" w:color="auto"/>
            <w:right w:val="none" w:sz="0" w:space="0" w:color="auto"/>
          </w:divBdr>
        </w:div>
        <w:div w:id="459304755">
          <w:marLeft w:val="446"/>
          <w:marRight w:val="0"/>
          <w:marTop w:val="125"/>
          <w:marBottom w:val="0"/>
          <w:divBdr>
            <w:top w:val="none" w:sz="0" w:space="0" w:color="auto"/>
            <w:left w:val="none" w:sz="0" w:space="0" w:color="auto"/>
            <w:bottom w:val="none" w:sz="0" w:space="0" w:color="auto"/>
            <w:right w:val="none" w:sz="0" w:space="0" w:color="auto"/>
          </w:divBdr>
        </w:div>
        <w:div w:id="494954912">
          <w:marLeft w:val="446"/>
          <w:marRight w:val="0"/>
          <w:marTop w:val="125"/>
          <w:marBottom w:val="0"/>
          <w:divBdr>
            <w:top w:val="none" w:sz="0" w:space="0" w:color="auto"/>
            <w:left w:val="none" w:sz="0" w:space="0" w:color="auto"/>
            <w:bottom w:val="none" w:sz="0" w:space="0" w:color="auto"/>
            <w:right w:val="none" w:sz="0" w:space="0" w:color="auto"/>
          </w:divBdr>
        </w:div>
        <w:div w:id="496649739">
          <w:marLeft w:val="446"/>
          <w:marRight w:val="0"/>
          <w:marTop w:val="125"/>
          <w:marBottom w:val="0"/>
          <w:divBdr>
            <w:top w:val="none" w:sz="0" w:space="0" w:color="auto"/>
            <w:left w:val="none" w:sz="0" w:space="0" w:color="auto"/>
            <w:bottom w:val="none" w:sz="0" w:space="0" w:color="auto"/>
            <w:right w:val="none" w:sz="0" w:space="0" w:color="auto"/>
          </w:divBdr>
        </w:div>
        <w:div w:id="519394702">
          <w:marLeft w:val="446"/>
          <w:marRight w:val="0"/>
          <w:marTop w:val="125"/>
          <w:marBottom w:val="0"/>
          <w:divBdr>
            <w:top w:val="none" w:sz="0" w:space="0" w:color="auto"/>
            <w:left w:val="none" w:sz="0" w:space="0" w:color="auto"/>
            <w:bottom w:val="none" w:sz="0" w:space="0" w:color="auto"/>
            <w:right w:val="none" w:sz="0" w:space="0" w:color="auto"/>
          </w:divBdr>
        </w:div>
        <w:div w:id="526678677">
          <w:marLeft w:val="1166"/>
          <w:marRight w:val="0"/>
          <w:marTop w:val="0"/>
          <w:marBottom w:val="0"/>
          <w:divBdr>
            <w:top w:val="none" w:sz="0" w:space="0" w:color="auto"/>
            <w:left w:val="none" w:sz="0" w:space="0" w:color="auto"/>
            <w:bottom w:val="none" w:sz="0" w:space="0" w:color="auto"/>
            <w:right w:val="none" w:sz="0" w:space="0" w:color="auto"/>
          </w:divBdr>
        </w:div>
        <w:div w:id="530916391">
          <w:marLeft w:val="446"/>
          <w:marRight w:val="0"/>
          <w:marTop w:val="125"/>
          <w:marBottom w:val="0"/>
          <w:divBdr>
            <w:top w:val="none" w:sz="0" w:space="0" w:color="auto"/>
            <w:left w:val="none" w:sz="0" w:space="0" w:color="auto"/>
            <w:bottom w:val="none" w:sz="0" w:space="0" w:color="auto"/>
            <w:right w:val="none" w:sz="0" w:space="0" w:color="auto"/>
          </w:divBdr>
        </w:div>
        <w:div w:id="546993484">
          <w:marLeft w:val="1166"/>
          <w:marRight w:val="0"/>
          <w:marTop w:val="125"/>
          <w:marBottom w:val="0"/>
          <w:divBdr>
            <w:top w:val="none" w:sz="0" w:space="0" w:color="auto"/>
            <w:left w:val="none" w:sz="0" w:space="0" w:color="auto"/>
            <w:bottom w:val="none" w:sz="0" w:space="0" w:color="auto"/>
            <w:right w:val="none" w:sz="0" w:space="0" w:color="auto"/>
          </w:divBdr>
        </w:div>
        <w:div w:id="547955018">
          <w:marLeft w:val="1166"/>
          <w:marRight w:val="0"/>
          <w:marTop w:val="0"/>
          <w:marBottom w:val="0"/>
          <w:divBdr>
            <w:top w:val="none" w:sz="0" w:space="0" w:color="auto"/>
            <w:left w:val="none" w:sz="0" w:space="0" w:color="auto"/>
            <w:bottom w:val="none" w:sz="0" w:space="0" w:color="auto"/>
            <w:right w:val="none" w:sz="0" w:space="0" w:color="auto"/>
          </w:divBdr>
        </w:div>
        <w:div w:id="547956682">
          <w:marLeft w:val="446"/>
          <w:marRight w:val="0"/>
          <w:marTop w:val="125"/>
          <w:marBottom w:val="0"/>
          <w:divBdr>
            <w:top w:val="none" w:sz="0" w:space="0" w:color="auto"/>
            <w:left w:val="none" w:sz="0" w:space="0" w:color="auto"/>
            <w:bottom w:val="none" w:sz="0" w:space="0" w:color="auto"/>
            <w:right w:val="none" w:sz="0" w:space="0" w:color="auto"/>
          </w:divBdr>
        </w:div>
        <w:div w:id="570314996">
          <w:marLeft w:val="446"/>
          <w:marRight w:val="0"/>
          <w:marTop w:val="125"/>
          <w:marBottom w:val="0"/>
          <w:divBdr>
            <w:top w:val="none" w:sz="0" w:space="0" w:color="auto"/>
            <w:left w:val="none" w:sz="0" w:space="0" w:color="auto"/>
            <w:bottom w:val="none" w:sz="0" w:space="0" w:color="auto"/>
            <w:right w:val="none" w:sz="0" w:space="0" w:color="auto"/>
          </w:divBdr>
        </w:div>
        <w:div w:id="581062858">
          <w:marLeft w:val="446"/>
          <w:marRight w:val="0"/>
          <w:marTop w:val="125"/>
          <w:marBottom w:val="0"/>
          <w:divBdr>
            <w:top w:val="none" w:sz="0" w:space="0" w:color="auto"/>
            <w:left w:val="none" w:sz="0" w:space="0" w:color="auto"/>
            <w:bottom w:val="none" w:sz="0" w:space="0" w:color="auto"/>
            <w:right w:val="none" w:sz="0" w:space="0" w:color="auto"/>
          </w:divBdr>
        </w:div>
        <w:div w:id="585262643">
          <w:marLeft w:val="446"/>
          <w:marRight w:val="0"/>
          <w:marTop w:val="125"/>
          <w:marBottom w:val="0"/>
          <w:divBdr>
            <w:top w:val="none" w:sz="0" w:space="0" w:color="auto"/>
            <w:left w:val="none" w:sz="0" w:space="0" w:color="auto"/>
            <w:bottom w:val="none" w:sz="0" w:space="0" w:color="auto"/>
            <w:right w:val="none" w:sz="0" w:space="0" w:color="auto"/>
          </w:divBdr>
        </w:div>
        <w:div w:id="587814897">
          <w:marLeft w:val="446"/>
          <w:marRight w:val="0"/>
          <w:marTop w:val="125"/>
          <w:marBottom w:val="0"/>
          <w:divBdr>
            <w:top w:val="none" w:sz="0" w:space="0" w:color="auto"/>
            <w:left w:val="none" w:sz="0" w:space="0" w:color="auto"/>
            <w:bottom w:val="none" w:sz="0" w:space="0" w:color="auto"/>
            <w:right w:val="none" w:sz="0" w:space="0" w:color="auto"/>
          </w:divBdr>
        </w:div>
        <w:div w:id="617033611">
          <w:marLeft w:val="1166"/>
          <w:marRight w:val="0"/>
          <w:marTop w:val="0"/>
          <w:marBottom w:val="0"/>
          <w:divBdr>
            <w:top w:val="none" w:sz="0" w:space="0" w:color="auto"/>
            <w:left w:val="none" w:sz="0" w:space="0" w:color="auto"/>
            <w:bottom w:val="none" w:sz="0" w:space="0" w:color="auto"/>
            <w:right w:val="none" w:sz="0" w:space="0" w:color="auto"/>
          </w:divBdr>
        </w:div>
        <w:div w:id="649672007">
          <w:marLeft w:val="1166"/>
          <w:marRight w:val="0"/>
          <w:marTop w:val="125"/>
          <w:marBottom w:val="0"/>
          <w:divBdr>
            <w:top w:val="none" w:sz="0" w:space="0" w:color="auto"/>
            <w:left w:val="none" w:sz="0" w:space="0" w:color="auto"/>
            <w:bottom w:val="none" w:sz="0" w:space="0" w:color="auto"/>
            <w:right w:val="none" w:sz="0" w:space="0" w:color="auto"/>
          </w:divBdr>
        </w:div>
        <w:div w:id="660886057">
          <w:marLeft w:val="1166"/>
          <w:marRight w:val="0"/>
          <w:marTop w:val="125"/>
          <w:marBottom w:val="0"/>
          <w:divBdr>
            <w:top w:val="none" w:sz="0" w:space="0" w:color="auto"/>
            <w:left w:val="none" w:sz="0" w:space="0" w:color="auto"/>
            <w:bottom w:val="none" w:sz="0" w:space="0" w:color="auto"/>
            <w:right w:val="none" w:sz="0" w:space="0" w:color="auto"/>
          </w:divBdr>
        </w:div>
        <w:div w:id="666055803">
          <w:marLeft w:val="1166"/>
          <w:marRight w:val="0"/>
          <w:marTop w:val="125"/>
          <w:marBottom w:val="0"/>
          <w:divBdr>
            <w:top w:val="none" w:sz="0" w:space="0" w:color="auto"/>
            <w:left w:val="none" w:sz="0" w:space="0" w:color="auto"/>
            <w:bottom w:val="none" w:sz="0" w:space="0" w:color="auto"/>
            <w:right w:val="none" w:sz="0" w:space="0" w:color="auto"/>
          </w:divBdr>
        </w:div>
        <w:div w:id="671373196">
          <w:marLeft w:val="446"/>
          <w:marRight w:val="0"/>
          <w:marTop w:val="125"/>
          <w:marBottom w:val="0"/>
          <w:divBdr>
            <w:top w:val="none" w:sz="0" w:space="0" w:color="auto"/>
            <w:left w:val="none" w:sz="0" w:space="0" w:color="auto"/>
            <w:bottom w:val="none" w:sz="0" w:space="0" w:color="auto"/>
            <w:right w:val="none" w:sz="0" w:space="0" w:color="auto"/>
          </w:divBdr>
        </w:div>
        <w:div w:id="683478735">
          <w:marLeft w:val="446"/>
          <w:marRight w:val="0"/>
          <w:marTop w:val="125"/>
          <w:marBottom w:val="0"/>
          <w:divBdr>
            <w:top w:val="none" w:sz="0" w:space="0" w:color="auto"/>
            <w:left w:val="none" w:sz="0" w:space="0" w:color="auto"/>
            <w:bottom w:val="none" w:sz="0" w:space="0" w:color="auto"/>
            <w:right w:val="none" w:sz="0" w:space="0" w:color="auto"/>
          </w:divBdr>
        </w:div>
        <w:div w:id="715200300">
          <w:marLeft w:val="1166"/>
          <w:marRight w:val="0"/>
          <w:marTop w:val="125"/>
          <w:marBottom w:val="0"/>
          <w:divBdr>
            <w:top w:val="none" w:sz="0" w:space="0" w:color="auto"/>
            <w:left w:val="none" w:sz="0" w:space="0" w:color="auto"/>
            <w:bottom w:val="none" w:sz="0" w:space="0" w:color="auto"/>
            <w:right w:val="none" w:sz="0" w:space="0" w:color="auto"/>
          </w:divBdr>
        </w:div>
        <w:div w:id="742525859">
          <w:marLeft w:val="446"/>
          <w:marRight w:val="0"/>
          <w:marTop w:val="125"/>
          <w:marBottom w:val="0"/>
          <w:divBdr>
            <w:top w:val="none" w:sz="0" w:space="0" w:color="auto"/>
            <w:left w:val="none" w:sz="0" w:space="0" w:color="auto"/>
            <w:bottom w:val="none" w:sz="0" w:space="0" w:color="auto"/>
            <w:right w:val="none" w:sz="0" w:space="0" w:color="auto"/>
          </w:divBdr>
        </w:div>
        <w:div w:id="763840750">
          <w:marLeft w:val="446"/>
          <w:marRight w:val="0"/>
          <w:marTop w:val="125"/>
          <w:marBottom w:val="0"/>
          <w:divBdr>
            <w:top w:val="none" w:sz="0" w:space="0" w:color="auto"/>
            <w:left w:val="none" w:sz="0" w:space="0" w:color="auto"/>
            <w:bottom w:val="none" w:sz="0" w:space="0" w:color="auto"/>
            <w:right w:val="none" w:sz="0" w:space="0" w:color="auto"/>
          </w:divBdr>
        </w:div>
        <w:div w:id="774327645">
          <w:marLeft w:val="446"/>
          <w:marRight w:val="0"/>
          <w:marTop w:val="125"/>
          <w:marBottom w:val="0"/>
          <w:divBdr>
            <w:top w:val="none" w:sz="0" w:space="0" w:color="auto"/>
            <w:left w:val="none" w:sz="0" w:space="0" w:color="auto"/>
            <w:bottom w:val="none" w:sz="0" w:space="0" w:color="auto"/>
            <w:right w:val="none" w:sz="0" w:space="0" w:color="auto"/>
          </w:divBdr>
        </w:div>
        <w:div w:id="837189429">
          <w:marLeft w:val="446"/>
          <w:marRight w:val="0"/>
          <w:marTop w:val="125"/>
          <w:marBottom w:val="0"/>
          <w:divBdr>
            <w:top w:val="none" w:sz="0" w:space="0" w:color="auto"/>
            <w:left w:val="none" w:sz="0" w:space="0" w:color="auto"/>
            <w:bottom w:val="none" w:sz="0" w:space="0" w:color="auto"/>
            <w:right w:val="none" w:sz="0" w:space="0" w:color="auto"/>
          </w:divBdr>
        </w:div>
        <w:div w:id="838084997">
          <w:marLeft w:val="446"/>
          <w:marRight w:val="0"/>
          <w:marTop w:val="125"/>
          <w:marBottom w:val="0"/>
          <w:divBdr>
            <w:top w:val="none" w:sz="0" w:space="0" w:color="auto"/>
            <w:left w:val="none" w:sz="0" w:space="0" w:color="auto"/>
            <w:bottom w:val="none" w:sz="0" w:space="0" w:color="auto"/>
            <w:right w:val="none" w:sz="0" w:space="0" w:color="auto"/>
          </w:divBdr>
        </w:div>
        <w:div w:id="865404657">
          <w:marLeft w:val="446"/>
          <w:marRight w:val="0"/>
          <w:marTop w:val="125"/>
          <w:marBottom w:val="0"/>
          <w:divBdr>
            <w:top w:val="none" w:sz="0" w:space="0" w:color="auto"/>
            <w:left w:val="none" w:sz="0" w:space="0" w:color="auto"/>
            <w:bottom w:val="none" w:sz="0" w:space="0" w:color="auto"/>
            <w:right w:val="none" w:sz="0" w:space="0" w:color="auto"/>
          </w:divBdr>
        </w:div>
        <w:div w:id="902443528">
          <w:marLeft w:val="446"/>
          <w:marRight w:val="0"/>
          <w:marTop w:val="125"/>
          <w:marBottom w:val="0"/>
          <w:divBdr>
            <w:top w:val="none" w:sz="0" w:space="0" w:color="auto"/>
            <w:left w:val="none" w:sz="0" w:space="0" w:color="auto"/>
            <w:bottom w:val="none" w:sz="0" w:space="0" w:color="auto"/>
            <w:right w:val="none" w:sz="0" w:space="0" w:color="auto"/>
          </w:divBdr>
        </w:div>
        <w:div w:id="915407348">
          <w:marLeft w:val="1166"/>
          <w:marRight w:val="0"/>
          <w:marTop w:val="0"/>
          <w:marBottom w:val="0"/>
          <w:divBdr>
            <w:top w:val="none" w:sz="0" w:space="0" w:color="auto"/>
            <w:left w:val="none" w:sz="0" w:space="0" w:color="auto"/>
            <w:bottom w:val="none" w:sz="0" w:space="0" w:color="auto"/>
            <w:right w:val="none" w:sz="0" w:space="0" w:color="auto"/>
          </w:divBdr>
        </w:div>
        <w:div w:id="947467193">
          <w:marLeft w:val="446"/>
          <w:marRight w:val="0"/>
          <w:marTop w:val="125"/>
          <w:marBottom w:val="0"/>
          <w:divBdr>
            <w:top w:val="none" w:sz="0" w:space="0" w:color="auto"/>
            <w:left w:val="none" w:sz="0" w:space="0" w:color="auto"/>
            <w:bottom w:val="none" w:sz="0" w:space="0" w:color="auto"/>
            <w:right w:val="none" w:sz="0" w:space="0" w:color="auto"/>
          </w:divBdr>
        </w:div>
        <w:div w:id="954170450">
          <w:marLeft w:val="446"/>
          <w:marRight w:val="0"/>
          <w:marTop w:val="125"/>
          <w:marBottom w:val="0"/>
          <w:divBdr>
            <w:top w:val="none" w:sz="0" w:space="0" w:color="auto"/>
            <w:left w:val="none" w:sz="0" w:space="0" w:color="auto"/>
            <w:bottom w:val="none" w:sz="0" w:space="0" w:color="auto"/>
            <w:right w:val="none" w:sz="0" w:space="0" w:color="auto"/>
          </w:divBdr>
        </w:div>
        <w:div w:id="956522756">
          <w:marLeft w:val="1166"/>
          <w:marRight w:val="0"/>
          <w:marTop w:val="125"/>
          <w:marBottom w:val="0"/>
          <w:divBdr>
            <w:top w:val="none" w:sz="0" w:space="0" w:color="auto"/>
            <w:left w:val="none" w:sz="0" w:space="0" w:color="auto"/>
            <w:bottom w:val="none" w:sz="0" w:space="0" w:color="auto"/>
            <w:right w:val="none" w:sz="0" w:space="0" w:color="auto"/>
          </w:divBdr>
        </w:div>
        <w:div w:id="975642920">
          <w:marLeft w:val="1166"/>
          <w:marRight w:val="0"/>
          <w:marTop w:val="125"/>
          <w:marBottom w:val="0"/>
          <w:divBdr>
            <w:top w:val="none" w:sz="0" w:space="0" w:color="auto"/>
            <w:left w:val="none" w:sz="0" w:space="0" w:color="auto"/>
            <w:bottom w:val="none" w:sz="0" w:space="0" w:color="auto"/>
            <w:right w:val="none" w:sz="0" w:space="0" w:color="auto"/>
          </w:divBdr>
        </w:div>
        <w:div w:id="1015813606">
          <w:marLeft w:val="1166"/>
          <w:marRight w:val="0"/>
          <w:marTop w:val="0"/>
          <w:marBottom w:val="0"/>
          <w:divBdr>
            <w:top w:val="none" w:sz="0" w:space="0" w:color="auto"/>
            <w:left w:val="none" w:sz="0" w:space="0" w:color="auto"/>
            <w:bottom w:val="none" w:sz="0" w:space="0" w:color="auto"/>
            <w:right w:val="none" w:sz="0" w:space="0" w:color="auto"/>
          </w:divBdr>
        </w:div>
        <w:div w:id="1027221010">
          <w:marLeft w:val="446"/>
          <w:marRight w:val="0"/>
          <w:marTop w:val="125"/>
          <w:marBottom w:val="0"/>
          <w:divBdr>
            <w:top w:val="none" w:sz="0" w:space="0" w:color="auto"/>
            <w:left w:val="none" w:sz="0" w:space="0" w:color="auto"/>
            <w:bottom w:val="none" w:sz="0" w:space="0" w:color="auto"/>
            <w:right w:val="none" w:sz="0" w:space="0" w:color="auto"/>
          </w:divBdr>
        </w:div>
        <w:div w:id="1037698983">
          <w:marLeft w:val="446"/>
          <w:marRight w:val="0"/>
          <w:marTop w:val="125"/>
          <w:marBottom w:val="0"/>
          <w:divBdr>
            <w:top w:val="none" w:sz="0" w:space="0" w:color="auto"/>
            <w:left w:val="none" w:sz="0" w:space="0" w:color="auto"/>
            <w:bottom w:val="none" w:sz="0" w:space="0" w:color="auto"/>
            <w:right w:val="none" w:sz="0" w:space="0" w:color="auto"/>
          </w:divBdr>
        </w:div>
        <w:div w:id="1048146191">
          <w:marLeft w:val="446"/>
          <w:marRight w:val="0"/>
          <w:marTop w:val="125"/>
          <w:marBottom w:val="0"/>
          <w:divBdr>
            <w:top w:val="none" w:sz="0" w:space="0" w:color="auto"/>
            <w:left w:val="none" w:sz="0" w:space="0" w:color="auto"/>
            <w:bottom w:val="none" w:sz="0" w:space="0" w:color="auto"/>
            <w:right w:val="none" w:sz="0" w:space="0" w:color="auto"/>
          </w:divBdr>
        </w:div>
        <w:div w:id="1109468971">
          <w:marLeft w:val="446"/>
          <w:marRight w:val="0"/>
          <w:marTop w:val="125"/>
          <w:marBottom w:val="0"/>
          <w:divBdr>
            <w:top w:val="none" w:sz="0" w:space="0" w:color="auto"/>
            <w:left w:val="none" w:sz="0" w:space="0" w:color="auto"/>
            <w:bottom w:val="none" w:sz="0" w:space="0" w:color="auto"/>
            <w:right w:val="none" w:sz="0" w:space="0" w:color="auto"/>
          </w:divBdr>
        </w:div>
        <w:div w:id="1110471471">
          <w:marLeft w:val="446"/>
          <w:marRight w:val="0"/>
          <w:marTop w:val="125"/>
          <w:marBottom w:val="0"/>
          <w:divBdr>
            <w:top w:val="none" w:sz="0" w:space="0" w:color="auto"/>
            <w:left w:val="none" w:sz="0" w:space="0" w:color="auto"/>
            <w:bottom w:val="none" w:sz="0" w:space="0" w:color="auto"/>
            <w:right w:val="none" w:sz="0" w:space="0" w:color="auto"/>
          </w:divBdr>
        </w:div>
        <w:div w:id="1132089291">
          <w:marLeft w:val="1166"/>
          <w:marRight w:val="0"/>
          <w:marTop w:val="125"/>
          <w:marBottom w:val="0"/>
          <w:divBdr>
            <w:top w:val="none" w:sz="0" w:space="0" w:color="auto"/>
            <w:left w:val="none" w:sz="0" w:space="0" w:color="auto"/>
            <w:bottom w:val="none" w:sz="0" w:space="0" w:color="auto"/>
            <w:right w:val="none" w:sz="0" w:space="0" w:color="auto"/>
          </w:divBdr>
        </w:div>
        <w:div w:id="1181578752">
          <w:marLeft w:val="1166"/>
          <w:marRight w:val="0"/>
          <w:marTop w:val="0"/>
          <w:marBottom w:val="120"/>
          <w:divBdr>
            <w:top w:val="none" w:sz="0" w:space="0" w:color="auto"/>
            <w:left w:val="none" w:sz="0" w:space="0" w:color="auto"/>
            <w:bottom w:val="none" w:sz="0" w:space="0" w:color="auto"/>
            <w:right w:val="none" w:sz="0" w:space="0" w:color="auto"/>
          </w:divBdr>
        </w:div>
        <w:div w:id="1186407001">
          <w:marLeft w:val="446"/>
          <w:marRight w:val="0"/>
          <w:marTop w:val="125"/>
          <w:marBottom w:val="0"/>
          <w:divBdr>
            <w:top w:val="none" w:sz="0" w:space="0" w:color="auto"/>
            <w:left w:val="none" w:sz="0" w:space="0" w:color="auto"/>
            <w:bottom w:val="none" w:sz="0" w:space="0" w:color="auto"/>
            <w:right w:val="none" w:sz="0" w:space="0" w:color="auto"/>
          </w:divBdr>
        </w:div>
        <w:div w:id="1242981041">
          <w:marLeft w:val="446"/>
          <w:marRight w:val="0"/>
          <w:marTop w:val="125"/>
          <w:marBottom w:val="0"/>
          <w:divBdr>
            <w:top w:val="none" w:sz="0" w:space="0" w:color="auto"/>
            <w:left w:val="none" w:sz="0" w:space="0" w:color="auto"/>
            <w:bottom w:val="none" w:sz="0" w:space="0" w:color="auto"/>
            <w:right w:val="none" w:sz="0" w:space="0" w:color="auto"/>
          </w:divBdr>
        </w:div>
        <w:div w:id="1275359420">
          <w:marLeft w:val="446"/>
          <w:marRight w:val="0"/>
          <w:marTop w:val="125"/>
          <w:marBottom w:val="0"/>
          <w:divBdr>
            <w:top w:val="none" w:sz="0" w:space="0" w:color="auto"/>
            <w:left w:val="none" w:sz="0" w:space="0" w:color="auto"/>
            <w:bottom w:val="none" w:sz="0" w:space="0" w:color="auto"/>
            <w:right w:val="none" w:sz="0" w:space="0" w:color="auto"/>
          </w:divBdr>
        </w:div>
        <w:div w:id="1299842863">
          <w:marLeft w:val="1166"/>
          <w:marRight w:val="0"/>
          <w:marTop w:val="0"/>
          <w:marBottom w:val="0"/>
          <w:divBdr>
            <w:top w:val="none" w:sz="0" w:space="0" w:color="auto"/>
            <w:left w:val="none" w:sz="0" w:space="0" w:color="auto"/>
            <w:bottom w:val="none" w:sz="0" w:space="0" w:color="auto"/>
            <w:right w:val="none" w:sz="0" w:space="0" w:color="auto"/>
          </w:divBdr>
        </w:div>
        <w:div w:id="1302345247">
          <w:marLeft w:val="1166"/>
          <w:marRight w:val="0"/>
          <w:marTop w:val="125"/>
          <w:marBottom w:val="0"/>
          <w:divBdr>
            <w:top w:val="none" w:sz="0" w:space="0" w:color="auto"/>
            <w:left w:val="none" w:sz="0" w:space="0" w:color="auto"/>
            <w:bottom w:val="none" w:sz="0" w:space="0" w:color="auto"/>
            <w:right w:val="none" w:sz="0" w:space="0" w:color="auto"/>
          </w:divBdr>
        </w:div>
        <w:div w:id="1303923629">
          <w:marLeft w:val="446"/>
          <w:marRight w:val="0"/>
          <w:marTop w:val="125"/>
          <w:marBottom w:val="0"/>
          <w:divBdr>
            <w:top w:val="none" w:sz="0" w:space="0" w:color="auto"/>
            <w:left w:val="none" w:sz="0" w:space="0" w:color="auto"/>
            <w:bottom w:val="none" w:sz="0" w:space="0" w:color="auto"/>
            <w:right w:val="none" w:sz="0" w:space="0" w:color="auto"/>
          </w:divBdr>
        </w:div>
        <w:div w:id="1314260973">
          <w:marLeft w:val="446"/>
          <w:marRight w:val="0"/>
          <w:marTop w:val="125"/>
          <w:marBottom w:val="0"/>
          <w:divBdr>
            <w:top w:val="none" w:sz="0" w:space="0" w:color="auto"/>
            <w:left w:val="none" w:sz="0" w:space="0" w:color="auto"/>
            <w:bottom w:val="none" w:sz="0" w:space="0" w:color="auto"/>
            <w:right w:val="none" w:sz="0" w:space="0" w:color="auto"/>
          </w:divBdr>
        </w:div>
        <w:div w:id="1333415218">
          <w:marLeft w:val="1166"/>
          <w:marRight w:val="0"/>
          <w:marTop w:val="125"/>
          <w:marBottom w:val="0"/>
          <w:divBdr>
            <w:top w:val="none" w:sz="0" w:space="0" w:color="auto"/>
            <w:left w:val="none" w:sz="0" w:space="0" w:color="auto"/>
            <w:bottom w:val="none" w:sz="0" w:space="0" w:color="auto"/>
            <w:right w:val="none" w:sz="0" w:space="0" w:color="auto"/>
          </w:divBdr>
        </w:div>
        <w:div w:id="1360013311">
          <w:marLeft w:val="446"/>
          <w:marRight w:val="0"/>
          <w:marTop w:val="125"/>
          <w:marBottom w:val="0"/>
          <w:divBdr>
            <w:top w:val="none" w:sz="0" w:space="0" w:color="auto"/>
            <w:left w:val="none" w:sz="0" w:space="0" w:color="auto"/>
            <w:bottom w:val="none" w:sz="0" w:space="0" w:color="auto"/>
            <w:right w:val="none" w:sz="0" w:space="0" w:color="auto"/>
          </w:divBdr>
        </w:div>
        <w:div w:id="1364941127">
          <w:marLeft w:val="1166"/>
          <w:marRight w:val="0"/>
          <w:marTop w:val="125"/>
          <w:marBottom w:val="0"/>
          <w:divBdr>
            <w:top w:val="none" w:sz="0" w:space="0" w:color="auto"/>
            <w:left w:val="none" w:sz="0" w:space="0" w:color="auto"/>
            <w:bottom w:val="none" w:sz="0" w:space="0" w:color="auto"/>
            <w:right w:val="none" w:sz="0" w:space="0" w:color="auto"/>
          </w:divBdr>
        </w:div>
        <w:div w:id="1401904357">
          <w:marLeft w:val="446"/>
          <w:marRight w:val="0"/>
          <w:marTop w:val="125"/>
          <w:marBottom w:val="0"/>
          <w:divBdr>
            <w:top w:val="none" w:sz="0" w:space="0" w:color="auto"/>
            <w:left w:val="none" w:sz="0" w:space="0" w:color="auto"/>
            <w:bottom w:val="none" w:sz="0" w:space="0" w:color="auto"/>
            <w:right w:val="none" w:sz="0" w:space="0" w:color="auto"/>
          </w:divBdr>
        </w:div>
        <w:div w:id="1452284413">
          <w:marLeft w:val="1166"/>
          <w:marRight w:val="0"/>
          <w:marTop w:val="125"/>
          <w:marBottom w:val="0"/>
          <w:divBdr>
            <w:top w:val="none" w:sz="0" w:space="0" w:color="auto"/>
            <w:left w:val="none" w:sz="0" w:space="0" w:color="auto"/>
            <w:bottom w:val="none" w:sz="0" w:space="0" w:color="auto"/>
            <w:right w:val="none" w:sz="0" w:space="0" w:color="auto"/>
          </w:divBdr>
        </w:div>
        <w:div w:id="1462458309">
          <w:marLeft w:val="1166"/>
          <w:marRight w:val="0"/>
          <w:marTop w:val="125"/>
          <w:marBottom w:val="0"/>
          <w:divBdr>
            <w:top w:val="none" w:sz="0" w:space="0" w:color="auto"/>
            <w:left w:val="none" w:sz="0" w:space="0" w:color="auto"/>
            <w:bottom w:val="none" w:sz="0" w:space="0" w:color="auto"/>
            <w:right w:val="none" w:sz="0" w:space="0" w:color="auto"/>
          </w:divBdr>
        </w:div>
        <w:div w:id="1465810838">
          <w:marLeft w:val="446"/>
          <w:marRight w:val="0"/>
          <w:marTop w:val="125"/>
          <w:marBottom w:val="0"/>
          <w:divBdr>
            <w:top w:val="none" w:sz="0" w:space="0" w:color="auto"/>
            <w:left w:val="none" w:sz="0" w:space="0" w:color="auto"/>
            <w:bottom w:val="none" w:sz="0" w:space="0" w:color="auto"/>
            <w:right w:val="none" w:sz="0" w:space="0" w:color="auto"/>
          </w:divBdr>
        </w:div>
        <w:div w:id="1468161327">
          <w:marLeft w:val="1166"/>
          <w:marRight w:val="0"/>
          <w:marTop w:val="125"/>
          <w:marBottom w:val="0"/>
          <w:divBdr>
            <w:top w:val="none" w:sz="0" w:space="0" w:color="auto"/>
            <w:left w:val="none" w:sz="0" w:space="0" w:color="auto"/>
            <w:bottom w:val="none" w:sz="0" w:space="0" w:color="auto"/>
            <w:right w:val="none" w:sz="0" w:space="0" w:color="auto"/>
          </w:divBdr>
        </w:div>
        <w:div w:id="1494370235">
          <w:marLeft w:val="446"/>
          <w:marRight w:val="0"/>
          <w:marTop w:val="125"/>
          <w:marBottom w:val="0"/>
          <w:divBdr>
            <w:top w:val="none" w:sz="0" w:space="0" w:color="auto"/>
            <w:left w:val="none" w:sz="0" w:space="0" w:color="auto"/>
            <w:bottom w:val="none" w:sz="0" w:space="0" w:color="auto"/>
            <w:right w:val="none" w:sz="0" w:space="0" w:color="auto"/>
          </w:divBdr>
        </w:div>
        <w:div w:id="1512525927">
          <w:marLeft w:val="446"/>
          <w:marRight w:val="0"/>
          <w:marTop w:val="125"/>
          <w:marBottom w:val="0"/>
          <w:divBdr>
            <w:top w:val="none" w:sz="0" w:space="0" w:color="auto"/>
            <w:left w:val="none" w:sz="0" w:space="0" w:color="auto"/>
            <w:bottom w:val="none" w:sz="0" w:space="0" w:color="auto"/>
            <w:right w:val="none" w:sz="0" w:space="0" w:color="auto"/>
          </w:divBdr>
        </w:div>
        <w:div w:id="1514223742">
          <w:marLeft w:val="446"/>
          <w:marRight w:val="0"/>
          <w:marTop w:val="125"/>
          <w:marBottom w:val="0"/>
          <w:divBdr>
            <w:top w:val="none" w:sz="0" w:space="0" w:color="auto"/>
            <w:left w:val="none" w:sz="0" w:space="0" w:color="auto"/>
            <w:bottom w:val="none" w:sz="0" w:space="0" w:color="auto"/>
            <w:right w:val="none" w:sz="0" w:space="0" w:color="auto"/>
          </w:divBdr>
        </w:div>
        <w:div w:id="1664812865">
          <w:marLeft w:val="446"/>
          <w:marRight w:val="0"/>
          <w:marTop w:val="125"/>
          <w:marBottom w:val="0"/>
          <w:divBdr>
            <w:top w:val="none" w:sz="0" w:space="0" w:color="auto"/>
            <w:left w:val="none" w:sz="0" w:space="0" w:color="auto"/>
            <w:bottom w:val="none" w:sz="0" w:space="0" w:color="auto"/>
            <w:right w:val="none" w:sz="0" w:space="0" w:color="auto"/>
          </w:divBdr>
        </w:div>
        <w:div w:id="1727218515">
          <w:marLeft w:val="446"/>
          <w:marRight w:val="0"/>
          <w:marTop w:val="125"/>
          <w:marBottom w:val="0"/>
          <w:divBdr>
            <w:top w:val="none" w:sz="0" w:space="0" w:color="auto"/>
            <w:left w:val="none" w:sz="0" w:space="0" w:color="auto"/>
            <w:bottom w:val="none" w:sz="0" w:space="0" w:color="auto"/>
            <w:right w:val="none" w:sz="0" w:space="0" w:color="auto"/>
          </w:divBdr>
        </w:div>
        <w:div w:id="1732194886">
          <w:marLeft w:val="446"/>
          <w:marRight w:val="0"/>
          <w:marTop w:val="125"/>
          <w:marBottom w:val="0"/>
          <w:divBdr>
            <w:top w:val="none" w:sz="0" w:space="0" w:color="auto"/>
            <w:left w:val="none" w:sz="0" w:space="0" w:color="auto"/>
            <w:bottom w:val="none" w:sz="0" w:space="0" w:color="auto"/>
            <w:right w:val="none" w:sz="0" w:space="0" w:color="auto"/>
          </w:divBdr>
        </w:div>
        <w:div w:id="1734741919">
          <w:marLeft w:val="1166"/>
          <w:marRight w:val="0"/>
          <w:marTop w:val="125"/>
          <w:marBottom w:val="0"/>
          <w:divBdr>
            <w:top w:val="none" w:sz="0" w:space="0" w:color="auto"/>
            <w:left w:val="none" w:sz="0" w:space="0" w:color="auto"/>
            <w:bottom w:val="none" w:sz="0" w:space="0" w:color="auto"/>
            <w:right w:val="none" w:sz="0" w:space="0" w:color="auto"/>
          </w:divBdr>
        </w:div>
        <w:div w:id="1755665429">
          <w:marLeft w:val="446"/>
          <w:marRight w:val="0"/>
          <w:marTop w:val="125"/>
          <w:marBottom w:val="0"/>
          <w:divBdr>
            <w:top w:val="none" w:sz="0" w:space="0" w:color="auto"/>
            <w:left w:val="none" w:sz="0" w:space="0" w:color="auto"/>
            <w:bottom w:val="none" w:sz="0" w:space="0" w:color="auto"/>
            <w:right w:val="none" w:sz="0" w:space="0" w:color="auto"/>
          </w:divBdr>
        </w:div>
        <w:div w:id="1763913527">
          <w:marLeft w:val="446"/>
          <w:marRight w:val="0"/>
          <w:marTop w:val="125"/>
          <w:marBottom w:val="0"/>
          <w:divBdr>
            <w:top w:val="none" w:sz="0" w:space="0" w:color="auto"/>
            <w:left w:val="none" w:sz="0" w:space="0" w:color="auto"/>
            <w:bottom w:val="none" w:sz="0" w:space="0" w:color="auto"/>
            <w:right w:val="none" w:sz="0" w:space="0" w:color="auto"/>
          </w:divBdr>
        </w:div>
        <w:div w:id="1804611704">
          <w:marLeft w:val="446"/>
          <w:marRight w:val="0"/>
          <w:marTop w:val="125"/>
          <w:marBottom w:val="0"/>
          <w:divBdr>
            <w:top w:val="none" w:sz="0" w:space="0" w:color="auto"/>
            <w:left w:val="none" w:sz="0" w:space="0" w:color="auto"/>
            <w:bottom w:val="none" w:sz="0" w:space="0" w:color="auto"/>
            <w:right w:val="none" w:sz="0" w:space="0" w:color="auto"/>
          </w:divBdr>
        </w:div>
        <w:div w:id="1818303515">
          <w:marLeft w:val="1166"/>
          <w:marRight w:val="0"/>
          <w:marTop w:val="125"/>
          <w:marBottom w:val="0"/>
          <w:divBdr>
            <w:top w:val="none" w:sz="0" w:space="0" w:color="auto"/>
            <w:left w:val="none" w:sz="0" w:space="0" w:color="auto"/>
            <w:bottom w:val="none" w:sz="0" w:space="0" w:color="auto"/>
            <w:right w:val="none" w:sz="0" w:space="0" w:color="auto"/>
          </w:divBdr>
        </w:div>
        <w:div w:id="1822622550">
          <w:marLeft w:val="446"/>
          <w:marRight w:val="0"/>
          <w:marTop w:val="125"/>
          <w:marBottom w:val="0"/>
          <w:divBdr>
            <w:top w:val="none" w:sz="0" w:space="0" w:color="auto"/>
            <w:left w:val="none" w:sz="0" w:space="0" w:color="auto"/>
            <w:bottom w:val="none" w:sz="0" w:space="0" w:color="auto"/>
            <w:right w:val="none" w:sz="0" w:space="0" w:color="auto"/>
          </w:divBdr>
        </w:div>
        <w:div w:id="1842040926">
          <w:marLeft w:val="446"/>
          <w:marRight w:val="0"/>
          <w:marTop w:val="125"/>
          <w:marBottom w:val="0"/>
          <w:divBdr>
            <w:top w:val="none" w:sz="0" w:space="0" w:color="auto"/>
            <w:left w:val="none" w:sz="0" w:space="0" w:color="auto"/>
            <w:bottom w:val="none" w:sz="0" w:space="0" w:color="auto"/>
            <w:right w:val="none" w:sz="0" w:space="0" w:color="auto"/>
          </w:divBdr>
        </w:div>
        <w:div w:id="1857770744">
          <w:marLeft w:val="446"/>
          <w:marRight w:val="0"/>
          <w:marTop w:val="125"/>
          <w:marBottom w:val="0"/>
          <w:divBdr>
            <w:top w:val="none" w:sz="0" w:space="0" w:color="auto"/>
            <w:left w:val="none" w:sz="0" w:space="0" w:color="auto"/>
            <w:bottom w:val="none" w:sz="0" w:space="0" w:color="auto"/>
            <w:right w:val="none" w:sz="0" w:space="0" w:color="auto"/>
          </w:divBdr>
        </w:div>
        <w:div w:id="1886872826">
          <w:marLeft w:val="446"/>
          <w:marRight w:val="0"/>
          <w:marTop w:val="125"/>
          <w:marBottom w:val="0"/>
          <w:divBdr>
            <w:top w:val="none" w:sz="0" w:space="0" w:color="auto"/>
            <w:left w:val="none" w:sz="0" w:space="0" w:color="auto"/>
            <w:bottom w:val="none" w:sz="0" w:space="0" w:color="auto"/>
            <w:right w:val="none" w:sz="0" w:space="0" w:color="auto"/>
          </w:divBdr>
        </w:div>
        <w:div w:id="1912499400">
          <w:marLeft w:val="446"/>
          <w:marRight w:val="0"/>
          <w:marTop w:val="125"/>
          <w:marBottom w:val="0"/>
          <w:divBdr>
            <w:top w:val="none" w:sz="0" w:space="0" w:color="auto"/>
            <w:left w:val="none" w:sz="0" w:space="0" w:color="auto"/>
            <w:bottom w:val="none" w:sz="0" w:space="0" w:color="auto"/>
            <w:right w:val="none" w:sz="0" w:space="0" w:color="auto"/>
          </w:divBdr>
        </w:div>
        <w:div w:id="1960145006">
          <w:marLeft w:val="446"/>
          <w:marRight w:val="0"/>
          <w:marTop w:val="125"/>
          <w:marBottom w:val="0"/>
          <w:divBdr>
            <w:top w:val="none" w:sz="0" w:space="0" w:color="auto"/>
            <w:left w:val="none" w:sz="0" w:space="0" w:color="auto"/>
            <w:bottom w:val="none" w:sz="0" w:space="0" w:color="auto"/>
            <w:right w:val="none" w:sz="0" w:space="0" w:color="auto"/>
          </w:divBdr>
        </w:div>
        <w:div w:id="1970549355">
          <w:marLeft w:val="1166"/>
          <w:marRight w:val="0"/>
          <w:marTop w:val="0"/>
          <w:marBottom w:val="0"/>
          <w:divBdr>
            <w:top w:val="none" w:sz="0" w:space="0" w:color="auto"/>
            <w:left w:val="none" w:sz="0" w:space="0" w:color="auto"/>
            <w:bottom w:val="none" w:sz="0" w:space="0" w:color="auto"/>
            <w:right w:val="none" w:sz="0" w:space="0" w:color="auto"/>
          </w:divBdr>
        </w:div>
        <w:div w:id="1983806437">
          <w:marLeft w:val="1166"/>
          <w:marRight w:val="0"/>
          <w:marTop w:val="0"/>
          <w:marBottom w:val="0"/>
          <w:divBdr>
            <w:top w:val="none" w:sz="0" w:space="0" w:color="auto"/>
            <w:left w:val="none" w:sz="0" w:space="0" w:color="auto"/>
            <w:bottom w:val="none" w:sz="0" w:space="0" w:color="auto"/>
            <w:right w:val="none" w:sz="0" w:space="0" w:color="auto"/>
          </w:divBdr>
        </w:div>
        <w:div w:id="1999188678">
          <w:marLeft w:val="446"/>
          <w:marRight w:val="0"/>
          <w:marTop w:val="125"/>
          <w:marBottom w:val="0"/>
          <w:divBdr>
            <w:top w:val="none" w:sz="0" w:space="0" w:color="auto"/>
            <w:left w:val="none" w:sz="0" w:space="0" w:color="auto"/>
            <w:bottom w:val="none" w:sz="0" w:space="0" w:color="auto"/>
            <w:right w:val="none" w:sz="0" w:space="0" w:color="auto"/>
          </w:divBdr>
        </w:div>
        <w:div w:id="2003771446">
          <w:marLeft w:val="1166"/>
          <w:marRight w:val="0"/>
          <w:marTop w:val="0"/>
          <w:marBottom w:val="0"/>
          <w:divBdr>
            <w:top w:val="none" w:sz="0" w:space="0" w:color="auto"/>
            <w:left w:val="none" w:sz="0" w:space="0" w:color="auto"/>
            <w:bottom w:val="none" w:sz="0" w:space="0" w:color="auto"/>
            <w:right w:val="none" w:sz="0" w:space="0" w:color="auto"/>
          </w:divBdr>
        </w:div>
        <w:div w:id="2004116481">
          <w:marLeft w:val="446"/>
          <w:marRight w:val="0"/>
          <w:marTop w:val="125"/>
          <w:marBottom w:val="0"/>
          <w:divBdr>
            <w:top w:val="none" w:sz="0" w:space="0" w:color="auto"/>
            <w:left w:val="none" w:sz="0" w:space="0" w:color="auto"/>
            <w:bottom w:val="none" w:sz="0" w:space="0" w:color="auto"/>
            <w:right w:val="none" w:sz="0" w:space="0" w:color="auto"/>
          </w:divBdr>
        </w:div>
        <w:div w:id="2004354993">
          <w:marLeft w:val="1166"/>
          <w:marRight w:val="0"/>
          <w:marTop w:val="0"/>
          <w:marBottom w:val="0"/>
          <w:divBdr>
            <w:top w:val="none" w:sz="0" w:space="0" w:color="auto"/>
            <w:left w:val="none" w:sz="0" w:space="0" w:color="auto"/>
            <w:bottom w:val="none" w:sz="0" w:space="0" w:color="auto"/>
            <w:right w:val="none" w:sz="0" w:space="0" w:color="auto"/>
          </w:divBdr>
        </w:div>
        <w:div w:id="2041471243">
          <w:marLeft w:val="446"/>
          <w:marRight w:val="0"/>
          <w:marTop w:val="125"/>
          <w:marBottom w:val="0"/>
          <w:divBdr>
            <w:top w:val="none" w:sz="0" w:space="0" w:color="auto"/>
            <w:left w:val="none" w:sz="0" w:space="0" w:color="auto"/>
            <w:bottom w:val="none" w:sz="0" w:space="0" w:color="auto"/>
            <w:right w:val="none" w:sz="0" w:space="0" w:color="auto"/>
          </w:divBdr>
        </w:div>
        <w:div w:id="2069575161">
          <w:marLeft w:val="446"/>
          <w:marRight w:val="0"/>
          <w:marTop w:val="125"/>
          <w:marBottom w:val="0"/>
          <w:divBdr>
            <w:top w:val="none" w:sz="0" w:space="0" w:color="auto"/>
            <w:left w:val="none" w:sz="0" w:space="0" w:color="auto"/>
            <w:bottom w:val="none" w:sz="0" w:space="0" w:color="auto"/>
            <w:right w:val="none" w:sz="0" w:space="0" w:color="auto"/>
          </w:divBdr>
        </w:div>
        <w:div w:id="2089963708">
          <w:marLeft w:val="446"/>
          <w:marRight w:val="0"/>
          <w:marTop w:val="125"/>
          <w:marBottom w:val="0"/>
          <w:divBdr>
            <w:top w:val="none" w:sz="0" w:space="0" w:color="auto"/>
            <w:left w:val="none" w:sz="0" w:space="0" w:color="auto"/>
            <w:bottom w:val="none" w:sz="0" w:space="0" w:color="auto"/>
            <w:right w:val="none" w:sz="0" w:space="0" w:color="auto"/>
          </w:divBdr>
        </w:div>
        <w:div w:id="2109547058">
          <w:marLeft w:val="446"/>
          <w:marRight w:val="0"/>
          <w:marTop w:val="125"/>
          <w:marBottom w:val="0"/>
          <w:divBdr>
            <w:top w:val="none" w:sz="0" w:space="0" w:color="auto"/>
            <w:left w:val="none" w:sz="0" w:space="0" w:color="auto"/>
            <w:bottom w:val="none" w:sz="0" w:space="0" w:color="auto"/>
            <w:right w:val="none" w:sz="0" w:space="0" w:color="auto"/>
          </w:divBdr>
        </w:div>
        <w:div w:id="2114787172">
          <w:marLeft w:val="446"/>
          <w:marRight w:val="0"/>
          <w:marTop w:val="125"/>
          <w:marBottom w:val="0"/>
          <w:divBdr>
            <w:top w:val="none" w:sz="0" w:space="0" w:color="auto"/>
            <w:left w:val="none" w:sz="0" w:space="0" w:color="auto"/>
            <w:bottom w:val="none" w:sz="0" w:space="0" w:color="auto"/>
            <w:right w:val="none" w:sz="0" w:space="0" w:color="auto"/>
          </w:divBdr>
        </w:div>
        <w:div w:id="2144540396">
          <w:marLeft w:val="1166"/>
          <w:marRight w:val="0"/>
          <w:marTop w:val="0"/>
          <w:marBottom w:val="120"/>
          <w:divBdr>
            <w:top w:val="none" w:sz="0" w:space="0" w:color="auto"/>
            <w:left w:val="none" w:sz="0" w:space="0" w:color="auto"/>
            <w:bottom w:val="none" w:sz="0" w:space="0" w:color="auto"/>
            <w:right w:val="none" w:sz="0" w:space="0" w:color="auto"/>
          </w:divBdr>
        </w:div>
      </w:divsChild>
    </w:div>
    <w:div w:id="1650162919">
      <w:bodyDiv w:val="1"/>
      <w:marLeft w:val="0"/>
      <w:marRight w:val="0"/>
      <w:marTop w:val="0"/>
      <w:marBottom w:val="0"/>
      <w:divBdr>
        <w:top w:val="none" w:sz="0" w:space="0" w:color="auto"/>
        <w:left w:val="none" w:sz="0" w:space="0" w:color="auto"/>
        <w:bottom w:val="none" w:sz="0" w:space="0" w:color="auto"/>
        <w:right w:val="none" w:sz="0" w:space="0" w:color="auto"/>
      </w:divBdr>
    </w:div>
    <w:div w:id="1699427595">
      <w:bodyDiv w:val="1"/>
      <w:marLeft w:val="0"/>
      <w:marRight w:val="0"/>
      <w:marTop w:val="0"/>
      <w:marBottom w:val="0"/>
      <w:divBdr>
        <w:top w:val="none" w:sz="0" w:space="0" w:color="auto"/>
        <w:left w:val="none" w:sz="0" w:space="0" w:color="auto"/>
        <w:bottom w:val="none" w:sz="0" w:space="0" w:color="auto"/>
        <w:right w:val="none" w:sz="0" w:space="0" w:color="auto"/>
      </w:divBdr>
    </w:div>
    <w:div w:id="1705790489">
      <w:bodyDiv w:val="1"/>
      <w:marLeft w:val="0"/>
      <w:marRight w:val="0"/>
      <w:marTop w:val="0"/>
      <w:marBottom w:val="0"/>
      <w:divBdr>
        <w:top w:val="none" w:sz="0" w:space="0" w:color="auto"/>
        <w:left w:val="none" w:sz="0" w:space="0" w:color="auto"/>
        <w:bottom w:val="none" w:sz="0" w:space="0" w:color="auto"/>
        <w:right w:val="none" w:sz="0" w:space="0" w:color="auto"/>
      </w:divBdr>
    </w:div>
    <w:div w:id="1765607342">
      <w:bodyDiv w:val="1"/>
      <w:marLeft w:val="0"/>
      <w:marRight w:val="0"/>
      <w:marTop w:val="0"/>
      <w:marBottom w:val="0"/>
      <w:divBdr>
        <w:top w:val="none" w:sz="0" w:space="0" w:color="auto"/>
        <w:left w:val="none" w:sz="0" w:space="0" w:color="auto"/>
        <w:bottom w:val="none" w:sz="0" w:space="0" w:color="auto"/>
        <w:right w:val="none" w:sz="0" w:space="0" w:color="auto"/>
      </w:divBdr>
    </w:div>
    <w:div w:id="1864976932">
      <w:bodyDiv w:val="1"/>
      <w:marLeft w:val="0"/>
      <w:marRight w:val="0"/>
      <w:marTop w:val="0"/>
      <w:marBottom w:val="0"/>
      <w:divBdr>
        <w:top w:val="none" w:sz="0" w:space="0" w:color="auto"/>
        <w:left w:val="none" w:sz="0" w:space="0" w:color="auto"/>
        <w:bottom w:val="none" w:sz="0" w:space="0" w:color="auto"/>
        <w:right w:val="none" w:sz="0" w:space="0" w:color="auto"/>
      </w:divBdr>
    </w:div>
    <w:div w:id="1962297426">
      <w:bodyDiv w:val="1"/>
      <w:marLeft w:val="0"/>
      <w:marRight w:val="0"/>
      <w:marTop w:val="0"/>
      <w:marBottom w:val="0"/>
      <w:divBdr>
        <w:top w:val="none" w:sz="0" w:space="0" w:color="auto"/>
        <w:left w:val="none" w:sz="0" w:space="0" w:color="auto"/>
        <w:bottom w:val="none" w:sz="0" w:space="0" w:color="auto"/>
        <w:right w:val="none" w:sz="0" w:space="0" w:color="auto"/>
      </w:divBdr>
    </w:div>
    <w:div w:id="1981764285">
      <w:bodyDiv w:val="1"/>
      <w:marLeft w:val="0"/>
      <w:marRight w:val="0"/>
      <w:marTop w:val="0"/>
      <w:marBottom w:val="0"/>
      <w:divBdr>
        <w:top w:val="none" w:sz="0" w:space="0" w:color="auto"/>
        <w:left w:val="none" w:sz="0" w:space="0" w:color="auto"/>
        <w:bottom w:val="none" w:sz="0" w:space="0" w:color="auto"/>
        <w:right w:val="none" w:sz="0" w:space="0" w:color="auto"/>
      </w:divBdr>
    </w:div>
    <w:div w:id="1986886145">
      <w:bodyDiv w:val="1"/>
      <w:marLeft w:val="0"/>
      <w:marRight w:val="0"/>
      <w:marTop w:val="0"/>
      <w:marBottom w:val="0"/>
      <w:divBdr>
        <w:top w:val="none" w:sz="0" w:space="0" w:color="auto"/>
        <w:left w:val="none" w:sz="0" w:space="0" w:color="auto"/>
        <w:bottom w:val="none" w:sz="0" w:space="0" w:color="auto"/>
        <w:right w:val="none" w:sz="0" w:space="0" w:color="auto"/>
      </w:divBdr>
    </w:div>
    <w:div w:id="1994992037">
      <w:bodyDiv w:val="1"/>
      <w:marLeft w:val="0"/>
      <w:marRight w:val="0"/>
      <w:marTop w:val="0"/>
      <w:marBottom w:val="0"/>
      <w:divBdr>
        <w:top w:val="none" w:sz="0" w:space="0" w:color="auto"/>
        <w:left w:val="none" w:sz="0" w:space="0" w:color="auto"/>
        <w:bottom w:val="none" w:sz="0" w:space="0" w:color="auto"/>
        <w:right w:val="none" w:sz="0" w:space="0" w:color="auto"/>
      </w:divBdr>
      <w:divsChild>
        <w:div w:id="605429792">
          <w:marLeft w:val="446"/>
          <w:marRight w:val="0"/>
          <w:marTop w:val="134"/>
          <w:marBottom w:val="0"/>
          <w:divBdr>
            <w:top w:val="none" w:sz="0" w:space="0" w:color="auto"/>
            <w:left w:val="none" w:sz="0" w:space="0" w:color="auto"/>
            <w:bottom w:val="none" w:sz="0" w:space="0" w:color="auto"/>
            <w:right w:val="none" w:sz="0" w:space="0" w:color="auto"/>
          </w:divBdr>
        </w:div>
      </w:divsChild>
    </w:div>
    <w:div w:id="1995837801">
      <w:bodyDiv w:val="1"/>
      <w:marLeft w:val="0"/>
      <w:marRight w:val="0"/>
      <w:marTop w:val="0"/>
      <w:marBottom w:val="0"/>
      <w:divBdr>
        <w:top w:val="none" w:sz="0" w:space="0" w:color="auto"/>
        <w:left w:val="none" w:sz="0" w:space="0" w:color="auto"/>
        <w:bottom w:val="none" w:sz="0" w:space="0" w:color="auto"/>
        <w:right w:val="none" w:sz="0" w:space="0" w:color="auto"/>
      </w:divBdr>
    </w:div>
    <w:div w:id="2090930142">
      <w:bodyDiv w:val="1"/>
      <w:marLeft w:val="0"/>
      <w:marRight w:val="0"/>
      <w:marTop w:val="0"/>
      <w:marBottom w:val="0"/>
      <w:divBdr>
        <w:top w:val="none" w:sz="0" w:space="0" w:color="auto"/>
        <w:left w:val="none" w:sz="0" w:space="0" w:color="auto"/>
        <w:bottom w:val="none" w:sz="0" w:space="0" w:color="auto"/>
        <w:right w:val="none" w:sz="0" w:space="0" w:color="auto"/>
      </w:divBdr>
    </w:div>
    <w:div w:id="214723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image" Target="media/image9.pn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hyperlink" Target="http://cic.org.uk/services/the-design-quality-indicator-dqi.php" TargetMode="External"/><Relationship Id="rId29" Type="http://schemas.openxmlformats.org/officeDocument/2006/relationships/hyperlink" Target="http://www.tbr.co.uk/"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www.cci.edu.au/node/1349" TargetMode="External"/><Relationship Id="rId31" Type="http://schemas.openxmlformats.org/officeDocument/2006/relationships/hyperlink" Target="http://www.creativeclass.com/rfcgdb/articles/GlaeserReview.pdf" TargetMode="External"/><Relationship Id="rId32" Type="http://schemas.openxmlformats.org/officeDocument/2006/relationships/hyperlink" Target="http://www.druid.dk"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emf"/><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image" Target="media/image5.emf"/><Relationship Id="rId17" Type="http://schemas.openxmlformats.org/officeDocument/2006/relationships/header" Target="header1.xml"/><Relationship Id="rId18" Type="http://schemas.openxmlformats.org/officeDocument/2006/relationships/image" Target="media/image6.jpeg"/><Relationship Id="rId19" Type="http://schemas.openxmlformats.org/officeDocument/2006/relationships/image" Target="media/image7.jpeg"/><Relationship Id="rId37" Type="http://schemas.openxmlformats.org/officeDocument/2006/relationships/image" Target="media/image16.emf"/><Relationship Id="rId38" Type="http://schemas.openxmlformats.org/officeDocument/2006/relationships/image" Target="media/image17.emf"/><Relationship Id="rId39" Type="http://schemas.openxmlformats.org/officeDocument/2006/relationships/header" Target="header6.xml"/><Relationship Id="rId40" Type="http://schemas.openxmlformats.org/officeDocument/2006/relationships/hyperlink" Target="https://www.activeplacespower.com/" TargetMode="External"/><Relationship Id="rId41" Type="http://schemas.openxmlformats.org/officeDocument/2006/relationships/hyperlink" Target="http://www.culture24.org.uk/home" TargetMode="External"/><Relationship Id="rId42" Type="http://schemas.openxmlformats.org/officeDocument/2006/relationships/fontTable" Target="fontTable.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ecd.org/science/sci-tech/2087188.pdf" TargetMode="External"/><Relationship Id="rId4" Type="http://schemas.openxmlformats.org/officeDocument/2006/relationships/hyperlink" Target="http://www.futureoflondon.org.uk/futureoflondon/wp-content/uploads/downloads/2011/10/Future-of-London-Knowledge-Economy.pdf" TargetMode="External"/><Relationship Id="rId5" Type="http://schemas.openxmlformats.org/officeDocument/2006/relationships/hyperlink" Target="https://www.ons.gov.uk/methodology/classificationsandstandards/ukstandardindustrialclassificationofeconomicactivities/uksic2007" TargetMode="External"/><Relationship Id="rId6" Type="http://schemas.openxmlformats.org/officeDocument/2006/relationships/hyperlink" Target="http://www.ons.gov.uk/ons/guide-method/method-quality/specific/economy/economic-value-of-tourism/measuring-tourism-locally/2012/note-1/measuring-tourism-locally-v2-2012-guidance-note-1--definitions-of-tourism-.pdf" TargetMode="External"/><Relationship Id="rId7" Type="http://schemas.openxmlformats.org/officeDocument/2006/relationships/hyperlink" Target="https://www.gov.uk/government/publications/growth-is-our-business-professional-and-business-services-strategy" TargetMode="External"/><Relationship Id="rId1" Type="http://schemas.openxmlformats.org/officeDocument/2006/relationships/hyperlink" Target="http://www.gov.uk/government/uploads/system/uploads/attachment_data/file/71127/DCMS_Mapping_Toolkit.pdf" TargetMode="External"/><Relationship Id="rId2" Type="http://schemas.openxmlformats.org/officeDocument/2006/relationships/hyperlink" Target="https://www.gov.uk/government/statistics/creative-industries-economic-estimates-january-20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0210\Desktop\Report%20template%20CASE%20program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8087E01C1E994DA6B89C79ADAB0F61" ma:contentTypeVersion="0" ma:contentTypeDescription="Create a new document." ma:contentTypeScope="" ma:versionID="9a1102ef4433ff273603c12c13211550">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DED26-E0BD-43E0-A944-27EA898848AA}">
  <ds:schemaRefs>
    <ds:schemaRef ds:uri="http://schemas.microsoft.com/sharepoint/v3/contenttype/forms"/>
  </ds:schemaRefs>
</ds:datastoreItem>
</file>

<file path=customXml/itemProps2.xml><?xml version="1.0" encoding="utf-8"?>
<ds:datastoreItem xmlns:ds="http://schemas.openxmlformats.org/officeDocument/2006/customXml" ds:itemID="{5549CB9C-E402-4500-9F15-4EC4A701A7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5477F5-E7B8-48B7-BC4D-A41D77B55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35CCC9F-E8B7-5A42-9B71-C0499B5EE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\Users\530210\Desktop\Report template CASE programme.dotx</Template>
  <TotalTime>4</TotalTime>
  <Pages>110</Pages>
  <Words>42420</Words>
  <Characters>241797</Characters>
  <Application>Microsoft Macintosh Word</Application>
  <DocSecurity>0</DocSecurity>
  <Lines>2014</Lines>
  <Paragraphs>567</Paragraphs>
  <ScaleCrop>false</ScaleCrop>
  <HeadingPairs>
    <vt:vector size="2" baseType="variant">
      <vt:variant>
        <vt:lpstr>Title</vt:lpstr>
      </vt:variant>
      <vt:variant>
        <vt:i4>1</vt:i4>
      </vt:variant>
    </vt:vector>
  </HeadingPairs>
  <TitlesOfParts>
    <vt:vector size="1" baseType="lpstr">
      <vt:lpstr/>
    </vt:vector>
  </TitlesOfParts>
  <Company>Department for Culture, Media and Sport</Company>
  <LinksUpToDate>false</LinksUpToDate>
  <CharactersWithSpaces>283650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GLAZEBROOK, Lucy</dc:creator>
  <cp:lastModifiedBy>OFFICE</cp:lastModifiedBy>
  <cp:revision>3</cp:revision>
  <cp:lastPrinted>2016-10-14T08:53:00Z</cp:lastPrinted>
  <dcterms:created xsi:type="dcterms:W3CDTF">2017-08-18T08:48:00Z</dcterms:created>
  <dcterms:modified xsi:type="dcterms:W3CDTF">2017-08-21T10:39:00Z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0x010100368087E01C1E994DA6B89C79ADAB0F61</vt:lpwstr>
  </property>
</Properties>
</file>