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AD1A73" w:rsidP="002C5025">
            <w:pPr>
              <w:pStyle w:val="MOJaddress"/>
            </w:pPr>
            <w:r>
              <w:rPr>
                <w:noProof/>
              </w:rPr>
              <w:drawing>
                <wp:inline distT="0" distB="0" distL="0" distR="0">
                  <wp:extent cx="977900" cy="755015"/>
                  <wp:effectExtent l="0" t="0" r="0" b="698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75501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05548F" w:rsidRDefault="0005548F" w:rsidP="009C4B46">
            <w:pPr>
              <w:pStyle w:val="MOJaddress"/>
              <w:rPr>
                <w:color w:val="000000"/>
                <w:sz w:val="22"/>
                <w:szCs w:val="22"/>
              </w:rPr>
            </w:pPr>
          </w:p>
          <w:p w:rsidR="00AD1A73" w:rsidRPr="00AA51E8" w:rsidRDefault="00AD1A73"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AD1A73" w:rsidRDefault="00AD1A73" w:rsidP="00D11624">
            <w:pPr>
              <w:pStyle w:val="MOJaddress"/>
              <w:rPr>
                <w:color w:val="000000"/>
                <w:sz w:val="22"/>
                <w:szCs w:val="22"/>
              </w:rPr>
            </w:pPr>
          </w:p>
          <w:p w:rsidR="00AD1A73" w:rsidRDefault="00AD1A73" w:rsidP="00D11624">
            <w:pPr>
              <w:pStyle w:val="MOJaddress"/>
              <w:rPr>
                <w:color w:val="000000"/>
                <w:sz w:val="22"/>
                <w:szCs w:val="22"/>
              </w:rPr>
            </w:pPr>
          </w:p>
          <w:p w:rsidR="00AD1A73" w:rsidRDefault="00AD1A73" w:rsidP="00D11624">
            <w:pPr>
              <w:pStyle w:val="MOJaddress"/>
              <w:rPr>
                <w:color w:val="000000"/>
                <w:sz w:val="22"/>
                <w:szCs w:val="22"/>
              </w:rPr>
            </w:pPr>
          </w:p>
          <w:p w:rsidR="00AD1A73" w:rsidRDefault="00AD1A73" w:rsidP="00D11624">
            <w:pPr>
              <w:pStyle w:val="MOJaddress"/>
              <w:rPr>
                <w:color w:val="000000"/>
                <w:sz w:val="22"/>
                <w:szCs w:val="22"/>
              </w:rPr>
            </w:pPr>
          </w:p>
          <w:p w:rsidR="00AD1A73" w:rsidRDefault="00AD1A73" w:rsidP="00D11624">
            <w:pPr>
              <w:pStyle w:val="MOJaddress"/>
              <w:rPr>
                <w:color w:val="000000"/>
                <w:sz w:val="22"/>
                <w:szCs w:val="22"/>
              </w:rPr>
            </w:pPr>
          </w:p>
          <w:p w:rsidR="00C016D5" w:rsidRPr="00AA51E8" w:rsidRDefault="005C346A" w:rsidP="00D11624">
            <w:pPr>
              <w:pStyle w:val="MOJaddress"/>
              <w:rPr>
                <w:color w:val="000000"/>
              </w:rPr>
            </w:pPr>
            <w:r w:rsidRPr="00AA51E8">
              <w:rPr>
                <w:color w:val="000000"/>
                <w:sz w:val="22"/>
                <w:szCs w:val="22"/>
              </w:rPr>
              <w:t>January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5C346A" w:rsidRPr="00AA51E8">
        <w:rPr>
          <w:color w:val="000000"/>
          <w:szCs w:val="22"/>
        </w:rPr>
        <w:t>109368</w:t>
      </w:r>
    </w:p>
    <w:p w:rsidR="009853E8" w:rsidRPr="00AA51E8" w:rsidRDefault="009853E8" w:rsidP="009853E8">
      <w:pPr>
        <w:rPr>
          <w:b/>
          <w:color w:val="000000"/>
          <w:szCs w:val="22"/>
        </w:rPr>
      </w:pPr>
    </w:p>
    <w:p w:rsidR="00AD1A73" w:rsidRPr="005D4171" w:rsidRDefault="00AD1A73" w:rsidP="00AD1A73">
      <w:pPr>
        <w:rPr>
          <w:rFonts w:cs="Arial"/>
          <w:szCs w:val="22"/>
        </w:rPr>
      </w:pPr>
      <w:r>
        <w:rPr>
          <w:rFonts w:cs="Arial"/>
          <w:szCs w:val="22"/>
        </w:rPr>
        <w:t>Y</w:t>
      </w:r>
      <w:r w:rsidRPr="005D4171">
        <w:rPr>
          <w:rFonts w:cs="Arial"/>
          <w:szCs w:val="22"/>
        </w:rPr>
        <w:t>ou ask</w:t>
      </w:r>
      <w:r>
        <w:rPr>
          <w:rFonts w:cs="Arial"/>
          <w:szCs w:val="22"/>
        </w:rPr>
        <w:t>ed</w:t>
      </w:r>
      <w:r w:rsidRPr="005D4171">
        <w:rPr>
          <w:rFonts w:cs="Arial"/>
          <w:szCs w:val="22"/>
        </w:rPr>
        <w:t xml:space="preserve"> for the following information from the Ministry of Justice</w:t>
      </w:r>
      <w:r>
        <w:rPr>
          <w:rFonts w:cs="Arial"/>
          <w:szCs w:val="22"/>
        </w:rPr>
        <w:t xml:space="preserve"> (MoJ)</w:t>
      </w:r>
      <w:r w:rsidRPr="005D4171">
        <w:rPr>
          <w:rFonts w:cs="Arial"/>
          <w:szCs w:val="22"/>
        </w:rPr>
        <w:t>:</w:t>
      </w:r>
    </w:p>
    <w:p w:rsidR="005C346A" w:rsidRPr="00AA51E8" w:rsidRDefault="005C346A" w:rsidP="005C346A">
      <w:pPr>
        <w:rPr>
          <w:rFonts w:cs="Arial"/>
          <w:b/>
          <w:color w:val="000000"/>
          <w:szCs w:val="22"/>
        </w:rPr>
      </w:pPr>
    </w:p>
    <w:p w:rsidR="005C346A" w:rsidRPr="00AA51E8" w:rsidRDefault="005C346A" w:rsidP="005C346A">
      <w:pPr>
        <w:rPr>
          <w:rFonts w:cs="Arial"/>
          <w:b/>
          <w:color w:val="000000"/>
          <w:szCs w:val="22"/>
        </w:rPr>
      </w:pPr>
      <w:r w:rsidRPr="00AA51E8">
        <w:rPr>
          <w:rFonts w:cs="Arial"/>
          <w:b/>
          <w:color w:val="000000"/>
          <w:szCs w:val="22"/>
        </w:rPr>
        <w:t xml:space="preserve">This request relates to section 76 of the Serious Crime Act 2015 - </w:t>
      </w:r>
      <w:bookmarkStart w:id="0" w:name="_GoBack"/>
      <w:r w:rsidRPr="00AA51E8">
        <w:rPr>
          <w:rFonts w:cs="Arial"/>
          <w:b/>
          <w:color w:val="000000"/>
          <w:szCs w:val="22"/>
        </w:rPr>
        <w:t>Controlling or Coercive Behaviour in an Intimate or Family Relationship</w:t>
      </w:r>
      <w:bookmarkEnd w:id="0"/>
      <w:r w:rsidRPr="00AA51E8">
        <w:rPr>
          <w:rFonts w:cs="Arial"/>
          <w:b/>
          <w:color w:val="000000"/>
          <w:szCs w:val="22"/>
        </w:rPr>
        <w:t xml:space="preserve">. Since the law came into force a year ago today (29 December 2015), please state: </w:t>
      </w:r>
    </w:p>
    <w:p w:rsidR="005C346A" w:rsidRPr="00AA51E8" w:rsidRDefault="005C346A" w:rsidP="005C346A">
      <w:pPr>
        <w:rPr>
          <w:rFonts w:cs="Arial"/>
          <w:b/>
          <w:color w:val="000000"/>
          <w:szCs w:val="22"/>
        </w:rPr>
      </w:pPr>
    </w:p>
    <w:p w:rsidR="005C346A" w:rsidRPr="00AA51E8" w:rsidRDefault="005C346A" w:rsidP="005C346A">
      <w:pPr>
        <w:numPr>
          <w:ilvl w:val="0"/>
          <w:numId w:val="3"/>
        </w:numPr>
        <w:rPr>
          <w:rFonts w:cs="Arial"/>
          <w:b/>
          <w:color w:val="000000"/>
          <w:szCs w:val="22"/>
        </w:rPr>
      </w:pPr>
      <w:r w:rsidRPr="00AA51E8">
        <w:rPr>
          <w:rFonts w:cs="Arial"/>
          <w:b/>
          <w:color w:val="000000"/>
          <w:szCs w:val="22"/>
        </w:rPr>
        <w:t xml:space="preserve">The total number of individuals who were prosecuted under section 76 of the Serious Crime Act 2015, broken down by gender. </w:t>
      </w:r>
    </w:p>
    <w:p w:rsidR="005C346A" w:rsidRPr="00AA51E8" w:rsidRDefault="005C346A" w:rsidP="005C346A">
      <w:pPr>
        <w:numPr>
          <w:ilvl w:val="0"/>
          <w:numId w:val="3"/>
        </w:numPr>
        <w:rPr>
          <w:rFonts w:cs="Arial"/>
          <w:b/>
          <w:color w:val="000000"/>
          <w:szCs w:val="22"/>
        </w:rPr>
      </w:pPr>
      <w:r w:rsidRPr="00AA51E8">
        <w:rPr>
          <w:rFonts w:cs="Arial"/>
          <w:b/>
          <w:color w:val="000000"/>
          <w:szCs w:val="22"/>
        </w:rPr>
        <w:t>The number of these individuals who were convicted, broken down by gender.  </w:t>
      </w:r>
    </w:p>
    <w:p w:rsidR="005C346A" w:rsidRPr="00AA51E8" w:rsidRDefault="005C346A" w:rsidP="005C346A">
      <w:pPr>
        <w:numPr>
          <w:ilvl w:val="0"/>
          <w:numId w:val="3"/>
        </w:numPr>
        <w:rPr>
          <w:rFonts w:cs="Arial"/>
          <w:b/>
          <w:color w:val="000000"/>
          <w:szCs w:val="22"/>
        </w:rPr>
      </w:pPr>
      <w:r w:rsidRPr="00AA51E8">
        <w:rPr>
          <w:rFonts w:cs="Arial"/>
          <w:b/>
          <w:color w:val="000000"/>
          <w:szCs w:val="22"/>
        </w:rPr>
        <w:t>For those convicted, all information held on the sentences given, broken down by gender.  </w:t>
      </w:r>
    </w:p>
    <w:p w:rsidR="005C346A" w:rsidRPr="00AA51E8" w:rsidRDefault="005C346A" w:rsidP="005C346A">
      <w:pPr>
        <w:numPr>
          <w:ilvl w:val="0"/>
          <w:numId w:val="3"/>
        </w:numPr>
        <w:rPr>
          <w:rFonts w:cs="Arial"/>
          <w:b/>
          <w:color w:val="000000"/>
          <w:szCs w:val="22"/>
        </w:rPr>
      </w:pPr>
      <w:r w:rsidRPr="00AA51E8">
        <w:rPr>
          <w:rFonts w:cs="Arial"/>
          <w:b/>
          <w:color w:val="000000"/>
          <w:szCs w:val="22"/>
        </w:rPr>
        <w:t xml:space="preserve">Please provide a regional breakdown of questions 1 to 3. </w:t>
      </w:r>
    </w:p>
    <w:p w:rsidR="005C346A" w:rsidRPr="00AA51E8" w:rsidRDefault="005C346A" w:rsidP="005C346A">
      <w:pPr>
        <w:numPr>
          <w:ilvl w:val="0"/>
          <w:numId w:val="3"/>
        </w:numPr>
        <w:rPr>
          <w:rFonts w:cs="Arial"/>
          <w:b/>
          <w:color w:val="000000"/>
          <w:szCs w:val="22"/>
        </w:rPr>
      </w:pPr>
      <w:r w:rsidRPr="00AA51E8">
        <w:rPr>
          <w:rFonts w:cs="Arial"/>
          <w:b/>
          <w:color w:val="000000"/>
          <w:szCs w:val="22"/>
        </w:rPr>
        <w:t xml:space="preserve">Please provide an age breakdown of questions 1 to 3. </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I can confirm that the MoJ holds all of the information that you have requested.</w:t>
      </w:r>
    </w:p>
    <w:p w:rsidR="007B4514" w:rsidRDefault="007B4514" w:rsidP="005C346A">
      <w:pPr>
        <w:rPr>
          <w:rFonts w:cs="Arial"/>
          <w:szCs w:val="22"/>
        </w:rPr>
      </w:pPr>
    </w:p>
    <w:p w:rsidR="007B4514" w:rsidRPr="005C346A" w:rsidRDefault="00417132" w:rsidP="005C346A">
      <w:pPr>
        <w:rPr>
          <w:rFonts w:cs="Arial"/>
          <w:szCs w:val="22"/>
        </w:rPr>
      </w:pPr>
      <w:r>
        <w:rPr>
          <w:rFonts w:cs="Arial"/>
          <w:szCs w:val="22"/>
        </w:rPr>
        <w:t>No</w:t>
      </w:r>
      <w:r w:rsidR="007B4514">
        <w:rPr>
          <w:rFonts w:cs="Arial"/>
          <w:szCs w:val="22"/>
        </w:rPr>
        <w:t xml:space="preserve"> court proceedings took place in England and Wales under this legislation in 2015.</w:t>
      </w:r>
    </w:p>
    <w:p w:rsidR="005C346A" w:rsidRPr="005C346A" w:rsidRDefault="005C346A" w:rsidP="005C346A">
      <w:pPr>
        <w:rPr>
          <w:rFonts w:cs="Arial"/>
          <w:b/>
          <w:szCs w:val="22"/>
        </w:rPr>
      </w:pPr>
    </w:p>
    <w:p w:rsidR="00A21268" w:rsidRPr="00A21268" w:rsidRDefault="00A21268" w:rsidP="00A21268">
      <w:pPr>
        <w:rPr>
          <w:rFonts w:cs="Arial"/>
          <w:szCs w:val="22"/>
        </w:rPr>
      </w:pPr>
      <w:r>
        <w:rPr>
          <w:rFonts w:cs="Arial"/>
          <w:szCs w:val="22"/>
        </w:rPr>
        <w:t>Some</w:t>
      </w:r>
      <w:r w:rsidR="005C346A" w:rsidRPr="005C346A">
        <w:rPr>
          <w:rFonts w:cs="Arial"/>
          <w:szCs w:val="22"/>
        </w:rPr>
        <w:t xml:space="preserve"> of the information</w:t>
      </w:r>
      <w:r>
        <w:rPr>
          <w:rFonts w:cs="Arial"/>
          <w:szCs w:val="22"/>
        </w:rPr>
        <w:t>, which covers 2016,</w:t>
      </w:r>
      <w:r w:rsidR="005C346A"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w:t>
      </w:r>
      <w:r w:rsidRPr="00A21268">
        <w:rPr>
          <w:rFonts w:cs="Arial"/>
          <w:szCs w:val="22"/>
        </w:rPr>
        <w:lastRenderedPageBreak/>
        <w:t xml:space="preserve">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offences </w:t>
      </w:r>
      <w:r>
        <w:rPr>
          <w:rFonts w:cs="Arial"/>
          <w:szCs w:val="22"/>
        </w:rPr>
        <w:t>of coercive control</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June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uarters 1 &amp; 2 (January to June)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sectPr w:rsidR="00ED65DE"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19" w:rsidRDefault="000F1119">
      <w:r>
        <w:separator/>
      </w:r>
    </w:p>
  </w:endnote>
  <w:endnote w:type="continuationSeparator" w:id="0">
    <w:p w:rsidR="000F1119" w:rsidRDefault="000F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D1A7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19" w:rsidRDefault="000F1119">
      <w:r>
        <w:separator/>
      </w:r>
    </w:p>
  </w:footnote>
  <w:footnote w:type="continuationSeparator" w:id="0">
    <w:p w:rsidR="000F1119" w:rsidRDefault="000F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1A73"/>
    <w:rsid w:val="00AD7505"/>
    <w:rsid w:val="00AE7402"/>
    <w:rsid w:val="00AF2FD9"/>
    <w:rsid w:val="00B01B28"/>
    <w:rsid w:val="00B47082"/>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7D5B3A-D51E-4A74-8F43-3CC0858C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ECF1-3F20-4862-8B2D-EC81B679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FOI 109368 Prosecutions for Controlling or Coercive Behaviour in an Intimate or Family Relationship</vt:lpstr>
    </vt:vector>
  </TitlesOfParts>
  <Manager>MoJ</Manager>
  <Company>Ministry of Justice</Company>
  <LinksUpToDate>false</LinksUpToDate>
  <CharactersWithSpaces>3571</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2555923</vt:i4>
      </vt:variant>
      <vt:variant>
        <vt:i4>0</vt:i4>
      </vt:variant>
      <vt:variant>
        <vt:i4>0</vt:i4>
      </vt:variant>
      <vt:variant>
        <vt:i4>5</vt:i4>
      </vt:variant>
      <vt:variant>
        <vt:lpwstr>mailto:Katie.Langton@bbc.co.uk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109368 Prosecutions for Controlling or Coercive Behaviour in an Intimate or Family Relationship</dc:title>
  <dc:subject>FOI Release</dc:subject>
  <dc:creator>Cox, Allan</dc:creator>
  <cp:keywords/>
  <dc:description/>
  <cp:lastModifiedBy>Cox, Allan</cp:lastModifiedBy>
  <cp:revision>2</cp:revision>
  <cp:lastPrinted>2015-07-06T11:35:00Z</cp:lastPrinted>
  <dcterms:created xsi:type="dcterms:W3CDTF">2017-03-20T15:33:00Z</dcterms:created>
  <dcterms:modified xsi:type="dcterms:W3CDTF">2017-03-20T15:33:00Z</dcterms:modified>
  <cp:category/>
</cp:coreProperties>
</file>