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4BF18" w14:textId="77777777" w:rsidR="00F31873" w:rsidRDefault="005F6CBA" w:rsidP="005F6CBA">
      <w:pPr>
        <w:pStyle w:val="TitleNOsubtitle"/>
      </w:pPr>
      <w:bookmarkStart w:id="0" w:name="_GoBack"/>
      <w:bookmarkEnd w:id="0"/>
      <w:r w:rsidRPr="005F6CBA">
        <w:t>Local area SEND inspections: one year on</w:t>
      </w:r>
      <w:r w:rsidR="00F6275A">
        <w:t xml:space="preserve"> </w:t>
      </w:r>
    </w:p>
    <w:p w14:paraId="353F9B47" w14:textId="47BF6BF6" w:rsidR="00BB59A5" w:rsidRDefault="00BB59A5" w:rsidP="005F573F">
      <w:pPr>
        <w:pStyle w:val="Summary"/>
      </w:pPr>
    </w:p>
    <w:p w14:paraId="0EC018A6" w14:textId="77777777" w:rsidR="00BB59A5" w:rsidRPr="00BB59A5" w:rsidRDefault="00BB59A5" w:rsidP="00A23A96"/>
    <w:p w14:paraId="5A45084B" w14:textId="77777777" w:rsidR="00BB59A5" w:rsidRPr="00BB59A5" w:rsidRDefault="00BB59A5" w:rsidP="00A23A96"/>
    <w:p w14:paraId="561937DE" w14:textId="77777777" w:rsidR="00BB59A5" w:rsidRPr="00BB59A5" w:rsidRDefault="00BB59A5" w:rsidP="00A23A96"/>
    <w:p w14:paraId="17A9B4D2" w14:textId="77777777" w:rsidR="00BB59A5" w:rsidRPr="00BB59A5" w:rsidRDefault="00BB59A5" w:rsidP="00A23A96"/>
    <w:p w14:paraId="34F90A03" w14:textId="77777777" w:rsidR="00BB59A5" w:rsidRPr="00BB59A5" w:rsidRDefault="00BB59A5" w:rsidP="00A23A96"/>
    <w:p w14:paraId="159D9A8E" w14:textId="2856E1BD" w:rsidR="00BB59A5" w:rsidRDefault="00BB59A5" w:rsidP="00A23A96">
      <w:pPr>
        <w:tabs>
          <w:tab w:val="left" w:pos="1368"/>
        </w:tabs>
      </w:pPr>
    </w:p>
    <w:p w14:paraId="4F5DD2FB" w14:textId="5D73CB83" w:rsidR="00BB59A5" w:rsidRDefault="00BB59A5" w:rsidP="00BB59A5"/>
    <w:p w14:paraId="3E5342BF" w14:textId="77777777" w:rsidR="007917C0" w:rsidRDefault="007917C0" w:rsidP="00DC7156">
      <w:pPr>
        <w:sectPr w:rsidR="007917C0" w:rsidSect="0071679F">
          <w:headerReference w:type="even" r:id="rId8"/>
          <w:headerReference w:type="default" r:id="rId9"/>
          <w:footerReference w:type="even" r:id="rId10"/>
          <w:footerReference w:type="default" r:id="rId11"/>
          <w:headerReference w:type="first" r:id="rId12"/>
          <w:footerReference w:type="first" r:id="rId13"/>
          <w:pgSz w:w="11906" w:h="16838" w:code="9"/>
          <w:pgMar w:top="2438" w:right="1418" w:bottom="1134" w:left="1418" w:header="567" w:footer="567" w:gutter="0"/>
          <w:cols w:space="708"/>
          <w:docGrid w:linePitch="360"/>
        </w:sectPr>
      </w:pPr>
    </w:p>
    <w:p w14:paraId="5B00CC11" w14:textId="77777777" w:rsidR="003C5600" w:rsidRDefault="003C5600" w:rsidP="003C5600">
      <w:pPr>
        <w:pStyle w:val="Unnumberedparagraph"/>
        <w:spacing w:after="0"/>
      </w:pPr>
    </w:p>
    <w:p w14:paraId="2A8627C8" w14:textId="77777777" w:rsidR="00BB4268" w:rsidRDefault="00BB4268" w:rsidP="00BB4268">
      <w:pPr>
        <w:pStyle w:val="Contentsheading"/>
      </w:pPr>
      <w:r>
        <w:t>Contents</w:t>
      </w:r>
    </w:p>
    <w:p w14:paraId="29133192" w14:textId="77777777" w:rsidR="0053177C" w:rsidRDefault="00593497">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hyperlink w:anchor="_Toc495392050" w:history="1">
        <w:r w:rsidR="0053177C" w:rsidRPr="006B1C1E">
          <w:rPr>
            <w:rStyle w:val="Hyperlink"/>
            <w:rFonts w:cs="Tahoma"/>
            <w:noProof/>
          </w:rPr>
          <w:t>Introduction</w:t>
        </w:r>
        <w:r w:rsidR="0053177C">
          <w:rPr>
            <w:noProof/>
            <w:webHidden/>
          </w:rPr>
          <w:tab/>
        </w:r>
        <w:r w:rsidR="0053177C">
          <w:rPr>
            <w:noProof/>
            <w:webHidden/>
          </w:rPr>
          <w:fldChar w:fldCharType="begin"/>
        </w:r>
        <w:r w:rsidR="0053177C">
          <w:rPr>
            <w:noProof/>
            <w:webHidden/>
          </w:rPr>
          <w:instrText xml:space="preserve"> PAGEREF _Toc495392050 \h </w:instrText>
        </w:r>
        <w:r w:rsidR="0053177C">
          <w:rPr>
            <w:noProof/>
            <w:webHidden/>
          </w:rPr>
        </w:r>
        <w:r w:rsidR="0053177C">
          <w:rPr>
            <w:noProof/>
            <w:webHidden/>
          </w:rPr>
          <w:fldChar w:fldCharType="separate"/>
        </w:r>
        <w:r w:rsidR="0053177C">
          <w:rPr>
            <w:noProof/>
            <w:webHidden/>
          </w:rPr>
          <w:t>4</w:t>
        </w:r>
        <w:r w:rsidR="0053177C">
          <w:rPr>
            <w:noProof/>
            <w:webHidden/>
          </w:rPr>
          <w:fldChar w:fldCharType="end"/>
        </w:r>
      </w:hyperlink>
    </w:p>
    <w:p w14:paraId="6061718C" w14:textId="77777777" w:rsidR="0053177C" w:rsidRDefault="00C55975">
      <w:pPr>
        <w:pStyle w:val="TOC1"/>
        <w:rPr>
          <w:rFonts w:asciiTheme="minorHAnsi" w:eastAsiaTheme="minorEastAsia" w:hAnsiTheme="minorHAnsi" w:cstheme="minorBidi"/>
          <w:b w:val="0"/>
          <w:noProof/>
          <w:color w:val="auto"/>
          <w:sz w:val="22"/>
          <w:szCs w:val="22"/>
          <w:lang w:eastAsia="en-GB"/>
        </w:rPr>
      </w:pPr>
      <w:hyperlink w:anchor="_Toc495392051" w:history="1">
        <w:r w:rsidR="0053177C" w:rsidRPr="006B1C1E">
          <w:rPr>
            <w:rStyle w:val="Hyperlink"/>
            <w:rFonts w:cs="Tahoma"/>
            <w:noProof/>
          </w:rPr>
          <w:t>Main findings</w:t>
        </w:r>
        <w:r w:rsidR="0053177C">
          <w:rPr>
            <w:noProof/>
            <w:webHidden/>
          </w:rPr>
          <w:tab/>
        </w:r>
        <w:r w:rsidR="0053177C">
          <w:rPr>
            <w:noProof/>
            <w:webHidden/>
          </w:rPr>
          <w:fldChar w:fldCharType="begin"/>
        </w:r>
        <w:r w:rsidR="0053177C">
          <w:rPr>
            <w:noProof/>
            <w:webHidden/>
          </w:rPr>
          <w:instrText xml:space="preserve"> PAGEREF _Toc495392051 \h </w:instrText>
        </w:r>
        <w:r w:rsidR="0053177C">
          <w:rPr>
            <w:noProof/>
            <w:webHidden/>
          </w:rPr>
        </w:r>
        <w:r w:rsidR="0053177C">
          <w:rPr>
            <w:noProof/>
            <w:webHidden/>
          </w:rPr>
          <w:fldChar w:fldCharType="separate"/>
        </w:r>
        <w:r w:rsidR="0053177C">
          <w:rPr>
            <w:noProof/>
            <w:webHidden/>
          </w:rPr>
          <w:t>6</w:t>
        </w:r>
        <w:r w:rsidR="0053177C">
          <w:rPr>
            <w:noProof/>
            <w:webHidden/>
          </w:rPr>
          <w:fldChar w:fldCharType="end"/>
        </w:r>
      </w:hyperlink>
    </w:p>
    <w:p w14:paraId="154DFAF4" w14:textId="77777777" w:rsidR="0053177C" w:rsidRDefault="00C55975">
      <w:pPr>
        <w:pStyle w:val="TOC1"/>
        <w:rPr>
          <w:rFonts w:asciiTheme="minorHAnsi" w:eastAsiaTheme="minorEastAsia" w:hAnsiTheme="minorHAnsi" w:cstheme="minorBidi"/>
          <w:b w:val="0"/>
          <w:noProof/>
          <w:color w:val="auto"/>
          <w:sz w:val="22"/>
          <w:szCs w:val="22"/>
          <w:lang w:eastAsia="en-GB"/>
        </w:rPr>
      </w:pPr>
      <w:hyperlink w:anchor="_Toc495392052" w:history="1">
        <w:r w:rsidR="0053177C" w:rsidRPr="006B1C1E">
          <w:rPr>
            <w:rStyle w:val="Hyperlink"/>
            <w:noProof/>
          </w:rPr>
          <w:t>Findings against the three main aspects of the framework</w:t>
        </w:r>
        <w:r w:rsidR="0053177C">
          <w:rPr>
            <w:noProof/>
            <w:webHidden/>
          </w:rPr>
          <w:tab/>
        </w:r>
        <w:r w:rsidR="0053177C">
          <w:rPr>
            <w:noProof/>
            <w:webHidden/>
          </w:rPr>
          <w:fldChar w:fldCharType="begin"/>
        </w:r>
        <w:r w:rsidR="0053177C">
          <w:rPr>
            <w:noProof/>
            <w:webHidden/>
          </w:rPr>
          <w:instrText xml:space="preserve"> PAGEREF _Toc495392052 \h </w:instrText>
        </w:r>
        <w:r w:rsidR="0053177C">
          <w:rPr>
            <w:noProof/>
            <w:webHidden/>
          </w:rPr>
        </w:r>
        <w:r w:rsidR="0053177C">
          <w:rPr>
            <w:noProof/>
            <w:webHidden/>
          </w:rPr>
          <w:fldChar w:fldCharType="separate"/>
        </w:r>
        <w:r w:rsidR="0053177C">
          <w:rPr>
            <w:noProof/>
            <w:webHidden/>
          </w:rPr>
          <w:t>8</w:t>
        </w:r>
        <w:r w:rsidR="0053177C">
          <w:rPr>
            <w:noProof/>
            <w:webHidden/>
          </w:rPr>
          <w:fldChar w:fldCharType="end"/>
        </w:r>
      </w:hyperlink>
    </w:p>
    <w:p w14:paraId="6BA1161D" w14:textId="77777777" w:rsidR="0053177C" w:rsidRDefault="00C55975">
      <w:pPr>
        <w:pStyle w:val="TOC2"/>
        <w:rPr>
          <w:rFonts w:asciiTheme="minorHAnsi" w:eastAsiaTheme="minorEastAsia" w:hAnsiTheme="minorHAnsi" w:cstheme="minorBidi"/>
          <w:noProof/>
          <w:color w:val="auto"/>
          <w:sz w:val="22"/>
          <w:szCs w:val="22"/>
          <w:lang w:eastAsia="en-GB"/>
        </w:rPr>
      </w:pPr>
      <w:hyperlink w:anchor="_Toc495392053" w:history="1">
        <w:r w:rsidR="0053177C" w:rsidRPr="006B1C1E">
          <w:rPr>
            <w:rStyle w:val="Hyperlink"/>
            <w:noProof/>
          </w:rPr>
          <w:t>The effectiveness of local areas in identifying children and young people’s special educational needs and/or disabilities</w:t>
        </w:r>
        <w:r w:rsidR="0053177C">
          <w:rPr>
            <w:noProof/>
            <w:webHidden/>
          </w:rPr>
          <w:tab/>
        </w:r>
        <w:r w:rsidR="0053177C">
          <w:rPr>
            <w:noProof/>
            <w:webHidden/>
          </w:rPr>
          <w:fldChar w:fldCharType="begin"/>
        </w:r>
        <w:r w:rsidR="0053177C">
          <w:rPr>
            <w:noProof/>
            <w:webHidden/>
          </w:rPr>
          <w:instrText xml:space="preserve"> PAGEREF _Toc495392053 \h </w:instrText>
        </w:r>
        <w:r w:rsidR="0053177C">
          <w:rPr>
            <w:noProof/>
            <w:webHidden/>
          </w:rPr>
        </w:r>
        <w:r w:rsidR="0053177C">
          <w:rPr>
            <w:noProof/>
            <w:webHidden/>
          </w:rPr>
          <w:fldChar w:fldCharType="separate"/>
        </w:r>
        <w:r w:rsidR="0053177C">
          <w:rPr>
            <w:noProof/>
            <w:webHidden/>
          </w:rPr>
          <w:t>8</w:t>
        </w:r>
        <w:r w:rsidR="0053177C">
          <w:rPr>
            <w:noProof/>
            <w:webHidden/>
          </w:rPr>
          <w:fldChar w:fldCharType="end"/>
        </w:r>
      </w:hyperlink>
    </w:p>
    <w:p w14:paraId="1DDA4E93" w14:textId="77777777" w:rsidR="0053177C" w:rsidRDefault="00C55975">
      <w:pPr>
        <w:pStyle w:val="TOC2"/>
        <w:rPr>
          <w:rFonts w:asciiTheme="minorHAnsi" w:eastAsiaTheme="minorEastAsia" w:hAnsiTheme="minorHAnsi" w:cstheme="minorBidi"/>
          <w:noProof/>
          <w:color w:val="auto"/>
          <w:sz w:val="22"/>
          <w:szCs w:val="22"/>
          <w:lang w:eastAsia="en-GB"/>
        </w:rPr>
      </w:pPr>
      <w:hyperlink w:anchor="_Toc495392054" w:history="1">
        <w:r w:rsidR="0053177C" w:rsidRPr="006B1C1E">
          <w:rPr>
            <w:rStyle w:val="Hyperlink"/>
            <w:noProof/>
          </w:rPr>
          <w:t>The effectiveness of local areas in meeting the needs of children and young people who have special educational needs and/or disabilities</w:t>
        </w:r>
        <w:r w:rsidR="0053177C">
          <w:rPr>
            <w:noProof/>
            <w:webHidden/>
          </w:rPr>
          <w:tab/>
        </w:r>
        <w:r w:rsidR="0053177C">
          <w:rPr>
            <w:noProof/>
            <w:webHidden/>
          </w:rPr>
          <w:fldChar w:fldCharType="begin"/>
        </w:r>
        <w:r w:rsidR="0053177C">
          <w:rPr>
            <w:noProof/>
            <w:webHidden/>
          </w:rPr>
          <w:instrText xml:space="preserve"> PAGEREF _Toc495392054 \h </w:instrText>
        </w:r>
        <w:r w:rsidR="0053177C">
          <w:rPr>
            <w:noProof/>
            <w:webHidden/>
          </w:rPr>
        </w:r>
        <w:r w:rsidR="0053177C">
          <w:rPr>
            <w:noProof/>
            <w:webHidden/>
          </w:rPr>
          <w:fldChar w:fldCharType="separate"/>
        </w:r>
        <w:r w:rsidR="0053177C">
          <w:rPr>
            <w:noProof/>
            <w:webHidden/>
          </w:rPr>
          <w:t>10</w:t>
        </w:r>
        <w:r w:rsidR="0053177C">
          <w:rPr>
            <w:noProof/>
            <w:webHidden/>
          </w:rPr>
          <w:fldChar w:fldCharType="end"/>
        </w:r>
      </w:hyperlink>
    </w:p>
    <w:p w14:paraId="5B051094" w14:textId="77777777" w:rsidR="0053177C" w:rsidRDefault="00C55975">
      <w:pPr>
        <w:pStyle w:val="TOC2"/>
        <w:rPr>
          <w:rFonts w:asciiTheme="minorHAnsi" w:eastAsiaTheme="minorEastAsia" w:hAnsiTheme="minorHAnsi" w:cstheme="minorBidi"/>
          <w:noProof/>
          <w:color w:val="auto"/>
          <w:sz w:val="22"/>
          <w:szCs w:val="22"/>
          <w:lang w:eastAsia="en-GB"/>
        </w:rPr>
      </w:pPr>
      <w:hyperlink w:anchor="_Toc495392055" w:history="1">
        <w:r w:rsidR="0053177C" w:rsidRPr="006B1C1E">
          <w:rPr>
            <w:rStyle w:val="Hyperlink"/>
            <w:noProof/>
          </w:rPr>
          <w:t>The effectiveness of local areas in improving outcomes for children and young people who have special educational needs and/or disabilities</w:t>
        </w:r>
        <w:r w:rsidR="0053177C">
          <w:rPr>
            <w:noProof/>
            <w:webHidden/>
          </w:rPr>
          <w:tab/>
        </w:r>
        <w:r w:rsidR="0053177C">
          <w:rPr>
            <w:noProof/>
            <w:webHidden/>
          </w:rPr>
          <w:fldChar w:fldCharType="begin"/>
        </w:r>
        <w:r w:rsidR="0053177C">
          <w:rPr>
            <w:noProof/>
            <w:webHidden/>
          </w:rPr>
          <w:instrText xml:space="preserve"> PAGEREF _Toc495392055 \h </w:instrText>
        </w:r>
        <w:r w:rsidR="0053177C">
          <w:rPr>
            <w:noProof/>
            <w:webHidden/>
          </w:rPr>
        </w:r>
        <w:r w:rsidR="0053177C">
          <w:rPr>
            <w:noProof/>
            <w:webHidden/>
          </w:rPr>
          <w:fldChar w:fldCharType="separate"/>
        </w:r>
        <w:r w:rsidR="0053177C">
          <w:rPr>
            <w:noProof/>
            <w:webHidden/>
          </w:rPr>
          <w:t>12</w:t>
        </w:r>
        <w:r w:rsidR="0053177C">
          <w:rPr>
            <w:noProof/>
            <w:webHidden/>
          </w:rPr>
          <w:fldChar w:fldCharType="end"/>
        </w:r>
      </w:hyperlink>
    </w:p>
    <w:p w14:paraId="6C59D9ED" w14:textId="77777777" w:rsidR="0053177C" w:rsidRDefault="00C55975">
      <w:pPr>
        <w:pStyle w:val="TOC2"/>
        <w:rPr>
          <w:rFonts w:asciiTheme="minorHAnsi" w:eastAsiaTheme="minorEastAsia" w:hAnsiTheme="minorHAnsi" w:cstheme="minorBidi"/>
          <w:noProof/>
          <w:color w:val="auto"/>
          <w:sz w:val="22"/>
          <w:szCs w:val="22"/>
          <w:lang w:eastAsia="en-GB"/>
        </w:rPr>
      </w:pPr>
      <w:hyperlink w:anchor="_Toc495392056" w:history="1">
        <w:r w:rsidR="0053177C" w:rsidRPr="006B1C1E">
          <w:rPr>
            <w:rStyle w:val="Hyperlink"/>
            <w:noProof/>
          </w:rPr>
          <w:t>Inspection findings in the local areas required to produce a written statement of action</w:t>
        </w:r>
        <w:r w:rsidR="0053177C">
          <w:rPr>
            <w:noProof/>
            <w:webHidden/>
          </w:rPr>
          <w:tab/>
        </w:r>
        <w:r w:rsidR="0053177C">
          <w:rPr>
            <w:noProof/>
            <w:webHidden/>
          </w:rPr>
          <w:fldChar w:fldCharType="begin"/>
        </w:r>
        <w:r w:rsidR="0053177C">
          <w:rPr>
            <w:noProof/>
            <w:webHidden/>
          </w:rPr>
          <w:instrText xml:space="preserve"> PAGEREF _Toc495392056 \h </w:instrText>
        </w:r>
        <w:r w:rsidR="0053177C">
          <w:rPr>
            <w:noProof/>
            <w:webHidden/>
          </w:rPr>
        </w:r>
        <w:r w:rsidR="0053177C">
          <w:rPr>
            <w:noProof/>
            <w:webHidden/>
          </w:rPr>
          <w:fldChar w:fldCharType="separate"/>
        </w:r>
        <w:r w:rsidR="0053177C">
          <w:rPr>
            <w:noProof/>
            <w:webHidden/>
          </w:rPr>
          <w:t>14</w:t>
        </w:r>
        <w:r w:rsidR="0053177C">
          <w:rPr>
            <w:noProof/>
            <w:webHidden/>
          </w:rPr>
          <w:fldChar w:fldCharType="end"/>
        </w:r>
      </w:hyperlink>
    </w:p>
    <w:p w14:paraId="4E0A42F9" w14:textId="77777777" w:rsidR="0053177C" w:rsidRDefault="00C55975">
      <w:pPr>
        <w:pStyle w:val="TOC2"/>
        <w:rPr>
          <w:rFonts w:asciiTheme="minorHAnsi" w:eastAsiaTheme="minorEastAsia" w:hAnsiTheme="minorHAnsi" w:cstheme="minorBidi"/>
          <w:noProof/>
          <w:color w:val="auto"/>
          <w:sz w:val="22"/>
          <w:szCs w:val="22"/>
          <w:lang w:eastAsia="en-GB"/>
        </w:rPr>
      </w:pPr>
      <w:hyperlink w:anchor="_Toc495392057" w:history="1">
        <w:r w:rsidR="0053177C" w:rsidRPr="006B1C1E">
          <w:rPr>
            <w:rStyle w:val="Hyperlink"/>
            <w:noProof/>
          </w:rPr>
          <w:t>Common areas of significant concern</w:t>
        </w:r>
        <w:r w:rsidR="0053177C">
          <w:rPr>
            <w:noProof/>
            <w:webHidden/>
          </w:rPr>
          <w:tab/>
        </w:r>
        <w:r w:rsidR="0053177C">
          <w:rPr>
            <w:noProof/>
            <w:webHidden/>
          </w:rPr>
          <w:fldChar w:fldCharType="begin"/>
        </w:r>
        <w:r w:rsidR="0053177C">
          <w:rPr>
            <w:noProof/>
            <w:webHidden/>
          </w:rPr>
          <w:instrText xml:space="preserve"> PAGEREF _Toc495392057 \h </w:instrText>
        </w:r>
        <w:r w:rsidR="0053177C">
          <w:rPr>
            <w:noProof/>
            <w:webHidden/>
          </w:rPr>
        </w:r>
        <w:r w:rsidR="0053177C">
          <w:rPr>
            <w:noProof/>
            <w:webHidden/>
          </w:rPr>
          <w:fldChar w:fldCharType="separate"/>
        </w:r>
        <w:r w:rsidR="0053177C">
          <w:rPr>
            <w:noProof/>
            <w:webHidden/>
          </w:rPr>
          <w:t>15</w:t>
        </w:r>
        <w:r w:rsidR="0053177C">
          <w:rPr>
            <w:noProof/>
            <w:webHidden/>
          </w:rPr>
          <w:fldChar w:fldCharType="end"/>
        </w:r>
      </w:hyperlink>
    </w:p>
    <w:p w14:paraId="7AB81741" w14:textId="77777777" w:rsidR="0053177C" w:rsidRDefault="00C55975">
      <w:pPr>
        <w:pStyle w:val="TOC2"/>
        <w:rPr>
          <w:rFonts w:asciiTheme="minorHAnsi" w:eastAsiaTheme="minorEastAsia" w:hAnsiTheme="minorHAnsi" w:cstheme="minorBidi"/>
          <w:noProof/>
          <w:color w:val="auto"/>
          <w:sz w:val="22"/>
          <w:szCs w:val="22"/>
          <w:lang w:eastAsia="en-GB"/>
        </w:rPr>
      </w:pPr>
      <w:hyperlink w:anchor="_Toc495392058" w:history="1">
        <w:r w:rsidR="0053177C" w:rsidRPr="006B1C1E">
          <w:rPr>
            <w:rStyle w:val="Hyperlink"/>
            <w:noProof/>
          </w:rPr>
          <w:t>The process for submitting and reviewing the written statement of action</w:t>
        </w:r>
        <w:r w:rsidR="0053177C">
          <w:rPr>
            <w:noProof/>
            <w:webHidden/>
          </w:rPr>
          <w:tab/>
        </w:r>
        <w:r w:rsidR="0053177C">
          <w:rPr>
            <w:noProof/>
            <w:webHidden/>
          </w:rPr>
          <w:fldChar w:fldCharType="begin"/>
        </w:r>
        <w:r w:rsidR="0053177C">
          <w:rPr>
            <w:noProof/>
            <w:webHidden/>
          </w:rPr>
          <w:instrText xml:space="preserve"> PAGEREF _Toc495392058 \h </w:instrText>
        </w:r>
        <w:r w:rsidR="0053177C">
          <w:rPr>
            <w:noProof/>
            <w:webHidden/>
          </w:rPr>
        </w:r>
        <w:r w:rsidR="0053177C">
          <w:rPr>
            <w:noProof/>
            <w:webHidden/>
          </w:rPr>
          <w:fldChar w:fldCharType="separate"/>
        </w:r>
        <w:r w:rsidR="0053177C">
          <w:rPr>
            <w:noProof/>
            <w:webHidden/>
          </w:rPr>
          <w:t>16</w:t>
        </w:r>
        <w:r w:rsidR="0053177C">
          <w:rPr>
            <w:noProof/>
            <w:webHidden/>
          </w:rPr>
          <w:fldChar w:fldCharType="end"/>
        </w:r>
      </w:hyperlink>
    </w:p>
    <w:p w14:paraId="03611FCA" w14:textId="77777777" w:rsidR="0053177C" w:rsidRDefault="00C55975">
      <w:pPr>
        <w:pStyle w:val="TOC1"/>
        <w:rPr>
          <w:rFonts w:asciiTheme="minorHAnsi" w:eastAsiaTheme="minorEastAsia" w:hAnsiTheme="minorHAnsi" w:cstheme="minorBidi"/>
          <w:b w:val="0"/>
          <w:noProof/>
          <w:color w:val="auto"/>
          <w:sz w:val="22"/>
          <w:szCs w:val="22"/>
          <w:lang w:eastAsia="en-GB"/>
        </w:rPr>
      </w:pPr>
      <w:hyperlink w:anchor="_Toc495392059" w:history="1">
        <w:r w:rsidR="0053177C" w:rsidRPr="006B1C1E">
          <w:rPr>
            <w:rStyle w:val="Hyperlink"/>
            <w:noProof/>
          </w:rPr>
          <w:t>Annex A: Local area inspections May 2016 to May 2017</w:t>
        </w:r>
        <w:r w:rsidR="0053177C">
          <w:rPr>
            <w:noProof/>
            <w:webHidden/>
          </w:rPr>
          <w:tab/>
        </w:r>
        <w:r w:rsidR="0053177C">
          <w:rPr>
            <w:noProof/>
            <w:webHidden/>
          </w:rPr>
          <w:fldChar w:fldCharType="begin"/>
        </w:r>
        <w:r w:rsidR="0053177C">
          <w:rPr>
            <w:noProof/>
            <w:webHidden/>
          </w:rPr>
          <w:instrText xml:space="preserve"> PAGEREF _Toc495392059 \h </w:instrText>
        </w:r>
        <w:r w:rsidR="0053177C">
          <w:rPr>
            <w:noProof/>
            <w:webHidden/>
          </w:rPr>
        </w:r>
        <w:r w:rsidR="0053177C">
          <w:rPr>
            <w:noProof/>
            <w:webHidden/>
          </w:rPr>
          <w:fldChar w:fldCharType="separate"/>
        </w:r>
        <w:r w:rsidR="0053177C">
          <w:rPr>
            <w:noProof/>
            <w:webHidden/>
          </w:rPr>
          <w:t>17</w:t>
        </w:r>
        <w:r w:rsidR="0053177C">
          <w:rPr>
            <w:noProof/>
            <w:webHidden/>
          </w:rPr>
          <w:fldChar w:fldCharType="end"/>
        </w:r>
      </w:hyperlink>
    </w:p>
    <w:p w14:paraId="5780AB2E" w14:textId="77777777" w:rsidR="00593497" w:rsidRDefault="00593497">
      <w:r>
        <w:rPr>
          <w:b/>
          <w:bCs/>
          <w:noProof/>
        </w:rPr>
        <w:fldChar w:fldCharType="end"/>
      </w:r>
    </w:p>
    <w:p w14:paraId="3908DD61" w14:textId="77777777" w:rsidR="000B0459" w:rsidRDefault="000B0459" w:rsidP="00837650">
      <w:pPr>
        <w:pStyle w:val="Heading1"/>
      </w:pPr>
    </w:p>
    <w:p w14:paraId="6F9394B8" w14:textId="475656ED" w:rsidR="7F216FFA" w:rsidRDefault="7F216FFA">
      <w:r>
        <w:br w:type="page"/>
      </w:r>
    </w:p>
    <w:p w14:paraId="7DE89AFA" w14:textId="59979409" w:rsidR="005F6CBA" w:rsidRPr="00997B57" w:rsidRDefault="005F6CBA" w:rsidP="005F6CBA">
      <w:pPr>
        <w:pStyle w:val="Heading1"/>
        <w:rPr>
          <w:rFonts w:cs="Tahoma"/>
        </w:rPr>
      </w:pPr>
      <w:bookmarkStart w:id="1" w:name="_Toc491089459"/>
      <w:bookmarkStart w:id="2" w:name="_Toc495392050"/>
      <w:r w:rsidRPr="00997B57">
        <w:rPr>
          <w:rFonts w:cs="Tahoma"/>
        </w:rPr>
        <w:lastRenderedPageBreak/>
        <w:t>Introduction</w:t>
      </w:r>
      <w:bookmarkEnd w:id="1"/>
      <w:bookmarkEnd w:id="2"/>
    </w:p>
    <w:p w14:paraId="7BD52BD8" w14:textId="73935EF8" w:rsidR="005F6CBA" w:rsidRPr="00F77E66" w:rsidRDefault="005F6CBA">
      <w:pPr>
        <w:pStyle w:val="Numberedparagraph"/>
      </w:pPr>
      <w:r w:rsidRPr="00997B57">
        <w:t xml:space="preserve">The former Minister of </w:t>
      </w:r>
      <w:r w:rsidRPr="0006216F">
        <w:t>State</w:t>
      </w:r>
      <w:r w:rsidRPr="00997B57">
        <w:t xml:space="preserve"> for Children and Families commissioned Ofsted and the Care Quality </w:t>
      </w:r>
      <w:r w:rsidRPr="0006216F">
        <w:t>Commission</w:t>
      </w:r>
      <w:r w:rsidRPr="00997B57">
        <w:t xml:space="preserve"> (CQC) to work together to develop and deliver a programme of 152 local area inspections over approximately a five</w:t>
      </w:r>
      <w:r>
        <w:t>-</w:t>
      </w:r>
      <w:r w:rsidRPr="00997B57">
        <w:t xml:space="preserve">year period. </w:t>
      </w:r>
      <w:r w:rsidR="00356909">
        <w:t xml:space="preserve">Together, </w:t>
      </w:r>
      <w:r w:rsidR="00E21683">
        <w:t>the two inspectorates</w:t>
      </w:r>
      <w:r w:rsidR="00356909">
        <w:t xml:space="preserve"> designed a </w:t>
      </w:r>
      <w:r>
        <w:t>new</w:t>
      </w:r>
      <w:r w:rsidRPr="00997B57">
        <w:t xml:space="preserve"> framework to </w:t>
      </w:r>
      <w:r>
        <w:t xml:space="preserve">inspect the </w:t>
      </w:r>
      <w:r w:rsidRPr="00997B57">
        <w:t>effectiveness of local areas in fulfilling their new duties in the ‘S</w:t>
      </w:r>
      <w:r w:rsidRPr="7F216FFA">
        <w:rPr>
          <w:rFonts w:eastAsia="Tahoma" w:cs="Tahoma"/>
        </w:rPr>
        <w:t>pecial educational needs and disability code of practice: 0 to 25 years’ (the Code of Practice)</w:t>
      </w:r>
      <w:r w:rsidRPr="00997B57">
        <w:rPr>
          <w:rFonts w:eastAsia="Calibri"/>
        </w:rPr>
        <w:t>.</w:t>
      </w:r>
      <w:r w:rsidR="001A48FF" w:rsidRPr="00997B57">
        <w:rPr>
          <w:rFonts w:eastAsia="Calibri"/>
          <w:vertAlign w:val="superscript"/>
        </w:rPr>
        <w:footnoteReference w:id="2"/>
      </w:r>
      <w:r w:rsidRPr="00997B57">
        <w:rPr>
          <w:rFonts w:eastAsia="Calibri"/>
        </w:rPr>
        <w:t xml:space="preserve"> </w:t>
      </w:r>
      <w:r w:rsidR="003824DE">
        <w:rPr>
          <w:rFonts w:eastAsia="Calibri"/>
        </w:rPr>
        <w:t xml:space="preserve">The first local area inspections took place in May 2016. </w:t>
      </w:r>
    </w:p>
    <w:p w14:paraId="698CD4D9" w14:textId="77777777" w:rsidR="005F6CBA" w:rsidRPr="00797B5A" w:rsidRDefault="005F6CBA">
      <w:pPr>
        <w:pStyle w:val="Numberedparagraph"/>
      </w:pPr>
      <w:r w:rsidRPr="00797B5A">
        <w:t xml:space="preserve">The Code of Practice applies to England. It provides statutory guidance on duties, policies and procedures </w:t>
      </w:r>
      <w:r w:rsidRPr="7F216FFA">
        <w:rPr>
          <w:rFonts w:eastAsia="Tahoma" w:cs="Tahoma"/>
        </w:rPr>
        <w:t>relating</w:t>
      </w:r>
      <w:r w:rsidRPr="00797B5A">
        <w:t xml:space="preserve"> to Part 3 of the Children and Families Act 2014 and associated regulations. The duties came into force in September 2014. The Code places responsibility on the local area to identify and meet the needs of children and young people who have special educational needs and/or disabilities (SEND) aged 0 to 25. </w:t>
      </w:r>
      <w:r w:rsidR="006E441B" w:rsidRPr="00797B5A">
        <w:t xml:space="preserve">The local area includes the local authority, health commissioners and providers. </w:t>
      </w:r>
      <w:r w:rsidRPr="00797B5A">
        <w:t>These inspections are conducted under section 20 of the Children’s Act 2004.</w:t>
      </w:r>
    </w:p>
    <w:p w14:paraId="1CFCBF16" w14:textId="77777777" w:rsidR="005F6CBA" w:rsidRDefault="005F6CBA">
      <w:pPr>
        <w:pStyle w:val="Numberedparagraph"/>
      </w:pPr>
      <w:r w:rsidRPr="0006216F">
        <w:t xml:space="preserve">The framework for these inspections sets out how Ofsted and CQC jointly inspect </w:t>
      </w:r>
      <w:r>
        <w:t>the local area’s effectiveness in three main aspects:</w:t>
      </w:r>
      <w:r w:rsidRPr="0006216F">
        <w:t xml:space="preserve"> </w:t>
      </w:r>
    </w:p>
    <w:p w14:paraId="0E810A29" w14:textId="77777777" w:rsidR="005F6CBA" w:rsidRDefault="005F6CBA" w:rsidP="005F6CBA">
      <w:pPr>
        <w:pStyle w:val="Bulletsspaced"/>
        <w:tabs>
          <w:tab w:val="num" w:pos="1080"/>
        </w:tabs>
        <w:ind w:left="1080" w:hanging="360"/>
      </w:pPr>
      <w:r w:rsidRPr="0006216F">
        <w:t>identifying children and young people</w:t>
      </w:r>
      <w:r w:rsidR="00394E1C">
        <w:t>’</w:t>
      </w:r>
      <w:r w:rsidRPr="0006216F">
        <w:t xml:space="preserve">s </w:t>
      </w:r>
      <w:r w:rsidR="00E2581D">
        <w:t>SEND</w:t>
      </w:r>
    </w:p>
    <w:p w14:paraId="5BA1DC91" w14:textId="77777777" w:rsidR="005F6CBA" w:rsidRPr="00892BB5" w:rsidRDefault="005F6CBA" w:rsidP="005F6CBA">
      <w:pPr>
        <w:pStyle w:val="Bulletsspaced"/>
        <w:tabs>
          <w:tab w:val="num" w:pos="1080"/>
        </w:tabs>
        <w:ind w:left="1080" w:hanging="360"/>
      </w:pPr>
      <w:r w:rsidRPr="0006216F">
        <w:t xml:space="preserve">meeting the needs of children and young people who have </w:t>
      </w:r>
      <w:r w:rsidR="00E2581D">
        <w:t>SEND</w:t>
      </w:r>
    </w:p>
    <w:p w14:paraId="0534670D" w14:textId="77777777" w:rsidR="005F6CBA" w:rsidRPr="00892BB5" w:rsidRDefault="005F6CBA" w:rsidP="005F6CBA">
      <w:pPr>
        <w:pStyle w:val="Bulletsspaced-lastbullet"/>
        <w:tabs>
          <w:tab w:val="num" w:pos="1080"/>
        </w:tabs>
        <w:ind w:left="1080" w:hanging="360"/>
      </w:pPr>
      <w:proofErr w:type="gramStart"/>
      <w:r w:rsidRPr="00997B57">
        <w:rPr>
          <w:rFonts w:eastAsia="Calibri"/>
        </w:rPr>
        <w:t>improving</w:t>
      </w:r>
      <w:proofErr w:type="gramEnd"/>
      <w:r w:rsidRPr="00997B57">
        <w:rPr>
          <w:rFonts w:eastAsia="Calibri"/>
        </w:rPr>
        <w:t xml:space="preserve"> outcomes</w:t>
      </w:r>
      <w:r>
        <w:rPr>
          <w:rFonts w:eastAsia="Calibri"/>
        </w:rPr>
        <w:t xml:space="preserve"> for children and young people who have </w:t>
      </w:r>
      <w:r w:rsidR="00E2581D">
        <w:t>SEND</w:t>
      </w:r>
      <w:r w:rsidRPr="00997B57">
        <w:rPr>
          <w:rFonts w:eastAsia="Calibri"/>
        </w:rPr>
        <w:t xml:space="preserve">. </w:t>
      </w:r>
    </w:p>
    <w:p w14:paraId="6943B586" w14:textId="77777777" w:rsidR="005F6CBA" w:rsidRPr="00997B57" w:rsidRDefault="005F6CBA" w:rsidP="00A23A96">
      <w:pPr>
        <w:pStyle w:val="Numberedparagraph-unnumberdextrapara"/>
      </w:pPr>
      <w:r>
        <w:rPr>
          <w:rFonts w:eastAsia="Calibri"/>
        </w:rPr>
        <w:t>Inspectors assess</w:t>
      </w:r>
      <w:r w:rsidRPr="00997B57">
        <w:rPr>
          <w:rFonts w:eastAsia="Calibri"/>
        </w:rPr>
        <w:t xml:space="preserve"> how well local areas are </w:t>
      </w:r>
      <w:r>
        <w:rPr>
          <w:rFonts w:eastAsia="Calibri"/>
        </w:rPr>
        <w:t xml:space="preserve">preparing these children and young people </w:t>
      </w:r>
      <w:r w:rsidRPr="00997B57">
        <w:rPr>
          <w:rFonts w:eastAsia="Calibri"/>
        </w:rPr>
        <w:t>to live</w:t>
      </w:r>
      <w:r>
        <w:rPr>
          <w:rFonts w:eastAsia="Calibri"/>
        </w:rPr>
        <w:t xml:space="preserve"> as</w:t>
      </w:r>
      <w:r w:rsidRPr="00997B57">
        <w:rPr>
          <w:rFonts w:eastAsia="Calibri"/>
        </w:rPr>
        <w:t xml:space="preserve"> independently</w:t>
      </w:r>
      <w:r>
        <w:rPr>
          <w:rFonts w:eastAsia="Calibri"/>
        </w:rPr>
        <w:t xml:space="preserve"> as possible and, where possible,</w:t>
      </w:r>
      <w:r w:rsidRPr="00997B57">
        <w:rPr>
          <w:rFonts w:eastAsia="Calibri"/>
        </w:rPr>
        <w:t xml:space="preserve"> secure meaningful employment </w:t>
      </w:r>
      <w:r>
        <w:rPr>
          <w:rFonts w:eastAsia="Calibri"/>
        </w:rPr>
        <w:t xml:space="preserve">as they move into </w:t>
      </w:r>
      <w:r w:rsidRPr="00997B57">
        <w:rPr>
          <w:rFonts w:eastAsia="Calibri"/>
        </w:rPr>
        <w:t xml:space="preserve">their adult lives. </w:t>
      </w:r>
    </w:p>
    <w:p w14:paraId="15C2E947" w14:textId="77777777" w:rsidR="005F6CBA" w:rsidRDefault="005F6CBA">
      <w:pPr>
        <w:pStyle w:val="Numberedparagraph"/>
      </w:pPr>
      <w:r>
        <w:t xml:space="preserve">This inspection framework holds local area leaders to account for how they implement the Code of Practice and for their strategic leadership of services in the local area. In particular, inspectors evaluate how well the </w:t>
      </w:r>
      <w:r w:rsidRPr="0006216F">
        <w:t>implementation</w:t>
      </w:r>
      <w:r>
        <w:t xml:space="preserve"> of the Code leads to improvements in: </w:t>
      </w:r>
    </w:p>
    <w:p w14:paraId="07AEBA2E" w14:textId="7913BE5C" w:rsidR="005F6CBA" w:rsidRDefault="005F6CBA" w:rsidP="005F6CBA">
      <w:pPr>
        <w:pStyle w:val="Bulletsspaced"/>
        <w:tabs>
          <w:tab w:val="num" w:pos="1080"/>
        </w:tabs>
        <w:ind w:left="1080" w:hanging="360"/>
      </w:pPr>
      <w:r>
        <w:t xml:space="preserve">identification of </w:t>
      </w:r>
      <w:r w:rsidR="00E2581D">
        <w:t>SEND</w:t>
      </w:r>
    </w:p>
    <w:p w14:paraId="10CBF4E2" w14:textId="77777777" w:rsidR="005F6CBA" w:rsidRDefault="005F6CBA" w:rsidP="005F6CBA">
      <w:pPr>
        <w:pStyle w:val="Bulletsspaced"/>
        <w:tabs>
          <w:tab w:val="num" w:pos="1080"/>
        </w:tabs>
        <w:ind w:left="1080" w:hanging="360"/>
      </w:pPr>
      <w:r>
        <w:t xml:space="preserve">providing for and meeting needs </w:t>
      </w:r>
    </w:p>
    <w:p w14:paraId="1E55C1F5" w14:textId="77777777" w:rsidR="005F6CBA" w:rsidRDefault="005F6CBA" w:rsidP="005F6CBA">
      <w:pPr>
        <w:pStyle w:val="Bulletsspaced-lastbullet"/>
        <w:tabs>
          <w:tab w:val="num" w:pos="1080"/>
        </w:tabs>
        <w:ind w:left="1080" w:hanging="360"/>
      </w:pPr>
      <w:proofErr w:type="gramStart"/>
      <w:r>
        <w:t>outcomes</w:t>
      </w:r>
      <w:proofErr w:type="gramEnd"/>
      <w:r>
        <w:t xml:space="preserve"> for children and young people who have </w:t>
      </w:r>
      <w:r w:rsidR="00E2581D">
        <w:t>SEND</w:t>
      </w:r>
      <w:r>
        <w:t xml:space="preserve">. </w:t>
      </w:r>
    </w:p>
    <w:p w14:paraId="41A392A6" w14:textId="77777777" w:rsidR="005F6CBA" w:rsidRDefault="005F6CBA" w:rsidP="00A23A96">
      <w:pPr>
        <w:pStyle w:val="Numberedparagraph"/>
        <w:numPr>
          <w:ilvl w:val="0"/>
          <w:numId w:val="0"/>
        </w:numPr>
        <w:ind w:left="567"/>
      </w:pPr>
      <w:r>
        <w:t xml:space="preserve">Ofsted </w:t>
      </w:r>
      <w:r w:rsidR="00554E84">
        <w:t xml:space="preserve">publishes </w:t>
      </w:r>
      <w:r>
        <w:t>an outcome</w:t>
      </w:r>
      <w:r w:rsidR="00554E84">
        <w:t>s</w:t>
      </w:r>
      <w:r>
        <w:t xml:space="preserve"> letter to the local area leaders after inspection. This letter gives the main findings from the inspection. It sets out the local </w:t>
      </w:r>
      <w:r>
        <w:lastRenderedPageBreak/>
        <w:t xml:space="preserve">area’s strengths and what it needs to develop against the three main aspects in the inspection framework. </w:t>
      </w:r>
    </w:p>
    <w:p w14:paraId="0032475A" w14:textId="77777777" w:rsidR="005F6CBA" w:rsidRDefault="005F6CBA">
      <w:pPr>
        <w:pStyle w:val="Numberedparagraph"/>
      </w:pPr>
      <w:r>
        <w:t>The findings should enable</w:t>
      </w:r>
      <w:r w:rsidRPr="00997B57">
        <w:t xml:space="preserve"> local areas </w:t>
      </w:r>
      <w:r>
        <w:t xml:space="preserve">to </w:t>
      </w:r>
      <w:r w:rsidRPr="00997B57">
        <w:t>learn from</w:t>
      </w:r>
      <w:r>
        <w:t xml:space="preserve"> the</w:t>
      </w:r>
      <w:r w:rsidRPr="00997B57">
        <w:t xml:space="preserve"> </w:t>
      </w:r>
      <w:r>
        <w:t>good</w:t>
      </w:r>
      <w:r w:rsidRPr="00997B57">
        <w:t xml:space="preserve"> practice and strengths </w:t>
      </w:r>
      <w:r>
        <w:t xml:space="preserve">that </w:t>
      </w:r>
      <w:r w:rsidRPr="00997B57">
        <w:t xml:space="preserve">we find nationally. Ofsted and CQC use these inspections to challenge poor practice </w:t>
      </w:r>
      <w:r>
        <w:t xml:space="preserve">and deal with any non-compliance with the Code. </w:t>
      </w:r>
    </w:p>
    <w:p w14:paraId="7B08090E" w14:textId="77777777" w:rsidR="005F6CBA" w:rsidRPr="00997B57" w:rsidRDefault="005F6CBA">
      <w:pPr>
        <w:pStyle w:val="Numberedparagraph"/>
      </w:pPr>
      <w:r>
        <w:t xml:space="preserve">In some cases, inspectors may have significant concerns about </w:t>
      </w:r>
      <w:r w:rsidR="00214AB2">
        <w:t>how effectively</w:t>
      </w:r>
      <w:r>
        <w:t xml:space="preserve"> the local area </w:t>
      </w:r>
      <w:r w:rsidR="00214AB2">
        <w:t>meets</w:t>
      </w:r>
      <w:r>
        <w:t xml:space="preserve"> its duties </w:t>
      </w:r>
      <w:r w:rsidR="00214AB2">
        <w:t>or secures</w:t>
      </w:r>
      <w:r>
        <w:t xml:space="preserve"> better outcomes for children and young people who have </w:t>
      </w:r>
      <w:r w:rsidR="005C74DF">
        <w:t>SEND</w:t>
      </w:r>
      <w:r>
        <w:t xml:space="preserve">. In these cases, inspectors will judge that a written statement of action (WSOA) is required from the local area. Local area leaders must set out in the WSOA how they will tackle the areas of significant concern. They must explain the intended timescales for securing rapid improvement. Ofsted and CQC review the </w:t>
      </w:r>
      <w:r w:rsidR="009521C7">
        <w:t>statement</w:t>
      </w:r>
      <w:r>
        <w:t xml:space="preserve"> and make a judgement about whether it is fit for purpose. Ofsted’s relevant regional director will then write to local area leaders to inform them of the judgement and explain why it has been made. </w:t>
      </w:r>
    </w:p>
    <w:p w14:paraId="76ACFFB8" w14:textId="4D2B5728" w:rsidR="005F6CBA" w:rsidRPr="0006216F" w:rsidRDefault="005F6CBA">
      <w:pPr>
        <w:pStyle w:val="Numberedparagraph"/>
      </w:pPr>
      <w:r w:rsidRPr="00997B57">
        <w:t xml:space="preserve">The </w:t>
      </w:r>
      <w:r>
        <w:t xml:space="preserve">first </w:t>
      </w:r>
      <w:r w:rsidRPr="00997B57">
        <w:t xml:space="preserve">local area SEND inspections </w:t>
      </w:r>
      <w:r>
        <w:t>took place</w:t>
      </w:r>
      <w:r w:rsidRPr="00997B57">
        <w:t xml:space="preserve"> in May 2016</w:t>
      </w:r>
      <w:r>
        <w:t>. By May 2017, Ofsted and CQC had completed 30 inspections. J</w:t>
      </w:r>
      <w:r w:rsidRPr="00997B57">
        <w:t xml:space="preserve">ust </w:t>
      </w:r>
      <w:r w:rsidR="00297E87">
        <w:t>under</w:t>
      </w:r>
      <w:r w:rsidR="00297E87" w:rsidRPr="00997B57">
        <w:t xml:space="preserve"> </w:t>
      </w:r>
      <w:r w:rsidRPr="00997B57">
        <w:t xml:space="preserve">a third of </w:t>
      </w:r>
      <w:r w:rsidR="009521C7">
        <w:t xml:space="preserve">the </w:t>
      </w:r>
      <w:r w:rsidRPr="00997B57">
        <w:t xml:space="preserve">local areas </w:t>
      </w:r>
      <w:r w:rsidR="009521C7">
        <w:t xml:space="preserve">inspected </w:t>
      </w:r>
      <w:r w:rsidRPr="00997B57">
        <w:t xml:space="preserve">(nine) were required to provide a </w:t>
      </w:r>
      <w:r>
        <w:t>WSOA</w:t>
      </w:r>
      <w:r w:rsidRPr="00997B57">
        <w:t>.</w:t>
      </w:r>
      <w:r w:rsidR="00D64D66" w:rsidRPr="00997B57">
        <w:rPr>
          <w:rStyle w:val="FootnoteReference"/>
        </w:rPr>
        <w:footnoteReference w:id="3"/>
      </w:r>
      <w:r w:rsidRPr="00997B57">
        <w:t xml:space="preserve"> Of th</w:t>
      </w:r>
      <w:r w:rsidR="009521C7">
        <w:t>os</w:t>
      </w:r>
      <w:r w:rsidRPr="00997B57">
        <w:t>e nine</w:t>
      </w:r>
      <w:r>
        <w:t xml:space="preserve"> local areas:</w:t>
      </w:r>
      <w:r w:rsidRPr="00997B57">
        <w:t xml:space="preserve"> two were in the North West region, two </w:t>
      </w:r>
      <w:r>
        <w:t>in</w:t>
      </w:r>
      <w:r w:rsidRPr="00997B57">
        <w:t xml:space="preserve"> the North East, Yorkshire and Humber region and one </w:t>
      </w:r>
      <w:r>
        <w:t xml:space="preserve">each </w:t>
      </w:r>
      <w:r w:rsidR="00D64D66">
        <w:t>in</w:t>
      </w:r>
      <w:r w:rsidR="00D64D66" w:rsidRPr="00997B57">
        <w:t xml:space="preserve"> </w:t>
      </w:r>
      <w:r w:rsidRPr="00997B57">
        <w:t>the South East, South West, London, East of England and West Midlands regions.</w:t>
      </w:r>
    </w:p>
    <w:p w14:paraId="7B0784D5" w14:textId="77777777" w:rsidR="005F6CBA" w:rsidRPr="00997B57" w:rsidRDefault="005F6CBA">
      <w:pPr>
        <w:pStyle w:val="Numberedparagraph"/>
      </w:pPr>
      <w:r w:rsidRPr="00997B57">
        <w:t xml:space="preserve">This report provides a summary of the main findings from the first 30 local area SEND inspections. </w:t>
      </w:r>
      <w:r>
        <w:t>It</w:t>
      </w:r>
      <w:r w:rsidRPr="00997B57">
        <w:t xml:space="preserve"> identifies the most common strengths</w:t>
      </w:r>
      <w:r>
        <w:t xml:space="preserve"> and aspects that need improving. It also explains the main </w:t>
      </w:r>
      <w:r w:rsidRPr="00997B57">
        <w:t>significant concern</w:t>
      </w:r>
      <w:r>
        <w:t>s</w:t>
      </w:r>
      <w:r w:rsidRPr="00997B57">
        <w:t xml:space="preserve"> in the nine </w:t>
      </w:r>
      <w:r>
        <w:t xml:space="preserve">local </w:t>
      </w:r>
      <w:r w:rsidRPr="00997B57">
        <w:t xml:space="preserve">areas required to produce a </w:t>
      </w:r>
      <w:r>
        <w:t>WSOA</w:t>
      </w:r>
      <w:r w:rsidRPr="00997B57">
        <w:t>.</w:t>
      </w:r>
    </w:p>
    <w:p w14:paraId="7785B8C4" w14:textId="77777777" w:rsidR="00F93CBD" w:rsidRDefault="00F93CBD">
      <w:pPr>
        <w:rPr>
          <w:rFonts w:cs="Tahoma"/>
        </w:rPr>
      </w:pPr>
      <w:bookmarkStart w:id="3" w:name="_Toc491089460"/>
      <w:r>
        <w:rPr>
          <w:rFonts w:cs="Tahoma"/>
          <w:b/>
        </w:rPr>
        <w:br w:type="page"/>
      </w:r>
    </w:p>
    <w:p w14:paraId="291F37B5" w14:textId="7A74EA12" w:rsidR="005F6CBA" w:rsidRPr="00997B57" w:rsidRDefault="005F6CBA" w:rsidP="005F6CBA">
      <w:pPr>
        <w:pStyle w:val="Heading1"/>
        <w:rPr>
          <w:rFonts w:cs="Tahoma"/>
        </w:rPr>
      </w:pPr>
      <w:bookmarkStart w:id="4" w:name="_Toc495392051"/>
      <w:r>
        <w:rPr>
          <w:rFonts w:cs="Tahoma"/>
        </w:rPr>
        <w:lastRenderedPageBreak/>
        <w:t xml:space="preserve">Main </w:t>
      </w:r>
      <w:r w:rsidRPr="00997B57">
        <w:rPr>
          <w:rFonts w:cs="Tahoma"/>
        </w:rPr>
        <w:t>findings</w:t>
      </w:r>
      <w:bookmarkEnd w:id="3"/>
      <w:bookmarkEnd w:id="4"/>
    </w:p>
    <w:p w14:paraId="7ACC6192" w14:textId="3E8D5AEE" w:rsidR="00FE751A" w:rsidRPr="00A23A96" w:rsidRDefault="00FE751A" w:rsidP="00A23A96">
      <w:pPr>
        <w:pStyle w:val="Bulletskeyfindings"/>
      </w:pPr>
      <w:r>
        <w:rPr>
          <w:b/>
          <w:bCs/>
        </w:rPr>
        <w:t>Children and young people identified as needing SEND support ha</w:t>
      </w:r>
      <w:r w:rsidR="00C520E8">
        <w:rPr>
          <w:b/>
          <w:bCs/>
        </w:rPr>
        <w:t>d</w:t>
      </w:r>
      <w:r>
        <w:rPr>
          <w:b/>
          <w:bCs/>
        </w:rPr>
        <w:t xml:space="preserve"> not benefited from the implementation of the Code of Practice well enough</w:t>
      </w:r>
      <w:r w:rsidRPr="00297E87">
        <w:rPr>
          <w:b/>
          <w:bCs/>
        </w:rPr>
        <w:t>.</w:t>
      </w:r>
      <w:bookmarkStart w:id="5" w:name="_ftnref1"/>
      <w:r w:rsidRPr="008E1941">
        <w:rPr>
          <w:rStyle w:val="FootnoteReference"/>
          <w:bCs/>
          <w:color w:val="000000" w:themeColor="text1"/>
        </w:rPr>
        <w:t>1</w:t>
      </w:r>
      <w:bookmarkEnd w:id="5"/>
      <w:r w:rsidR="00297E87" w:rsidRPr="00EC46F3">
        <w:rPr>
          <w:bCs/>
          <w:color w:val="000000" w:themeColor="text1"/>
        </w:rPr>
        <w:t xml:space="preserve"> </w:t>
      </w:r>
      <w:r>
        <w:t>These children and young people had a much poorer experience of the education system than their peers. Too often, local area leaders were not clear how their actions were improving</w:t>
      </w:r>
      <w:r w:rsidR="003021EE">
        <w:t xml:space="preserve"> outcomes for those </w:t>
      </w:r>
      <w:r>
        <w:t xml:space="preserve">children and young people identified as </w:t>
      </w:r>
      <w:r w:rsidR="003021EE">
        <w:t xml:space="preserve">needing </w:t>
      </w:r>
      <w:r>
        <w:t xml:space="preserve">SEND support. </w:t>
      </w:r>
    </w:p>
    <w:p w14:paraId="3E1BF523" w14:textId="6A81F4D0" w:rsidR="005F6CBA" w:rsidRPr="00A626C1" w:rsidRDefault="005F6CBA" w:rsidP="005F6CBA">
      <w:pPr>
        <w:pStyle w:val="Bulletskeyfindings"/>
      </w:pPr>
      <w:r>
        <w:rPr>
          <w:b/>
        </w:rPr>
        <w:t>C</w:t>
      </w:r>
      <w:r w:rsidRPr="00A626C1">
        <w:rPr>
          <w:b/>
        </w:rPr>
        <w:t xml:space="preserve">hildren and young people who have </w:t>
      </w:r>
      <w:r w:rsidR="009632E2">
        <w:rPr>
          <w:b/>
        </w:rPr>
        <w:t xml:space="preserve">SEND </w:t>
      </w:r>
      <w:r w:rsidR="00C520E8">
        <w:rPr>
          <w:b/>
        </w:rPr>
        <w:t>we</w:t>
      </w:r>
      <w:r w:rsidRPr="00A626C1">
        <w:rPr>
          <w:b/>
        </w:rPr>
        <w:t xml:space="preserve">re </w:t>
      </w:r>
      <w:r w:rsidR="00C520E8">
        <w:rPr>
          <w:b/>
        </w:rPr>
        <w:t xml:space="preserve">found to be </w:t>
      </w:r>
      <w:r w:rsidRPr="00A626C1">
        <w:rPr>
          <w:b/>
        </w:rPr>
        <w:t xml:space="preserve">excluded, </w:t>
      </w:r>
      <w:r>
        <w:rPr>
          <w:b/>
        </w:rPr>
        <w:t>absent or missing from school</w:t>
      </w:r>
      <w:r w:rsidRPr="00A626C1">
        <w:rPr>
          <w:b/>
        </w:rPr>
        <w:t xml:space="preserve"> much </w:t>
      </w:r>
      <w:r>
        <w:rPr>
          <w:b/>
        </w:rPr>
        <w:t>more frequently</w:t>
      </w:r>
      <w:r w:rsidRPr="00A626C1">
        <w:rPr>
          <w:b/>
        </w:rPr>
        <w:t xml:space="preserve"> than other pupils nationally. </w:t>
      </w:r>
      <w:r>
        <w:t>Even</w:t>
      </w:r>
      <w:r w:rsidR="004D60E5">
        <w:t xml:space="preserve"> in some</w:t>
      </w:r>
      <w:r>
        <w:t xml:space="preserve"> local areas </w:t>
      </w:r>
      <w:r w:rsidR="00297E87">
        <w:t xml:space="preserve">that </w:t>
      </w:r>
      <w:r>
        <w:t>ha</w:t>
      </w:r>
      <w:r w:rsidR="00C520E8">
        <w:t>d</w:t>
      </w:r>
      <w:r>
        <w:t xml:space="preserve"> implemented the Code of Practice </w:t>
      </w:r>
      <w:r w:rsidR="009C6BA6">
        <w:t>well</w:t>
      </w:r>
      <w:r>
        <w:t xml:space="preserve">, </w:t>
      </w:r>
      <w:r w:rsidR="004D60E5">
        <w:t>leaders d</w:t>
      </w:r>
      <w:r w:rsidR="00C520E8">
        <w:t>id</w:t>
      </w:r>
      <w:r w:rsidR="009B16AA">
        <w:t xml:space="preserve"> not have appropriate plans to deal with</w:t>
      </w:r>
      <w:r w:rsidR="004D60E5">
        <w:t xml:space="preserve"> the levels of exclusion for these pupils</w:t>
      </w:r>
      <w:r w:rsidR="009B16AA">
        <w:t xml:space="preserve">. </w:t>
      </w:r>
      <w:r>
        <w:t xml:space="preserve"> </w:t>
      </w:r>
    </w:p>
    <w:p w14:paraId="67ABF535" w14:textId="030FCF42" w:rsidR="005F6CBA" w:rsidRDefault="005F6CBA" w:rsidP="005F6CBA">
      <w:pPr>
        <w:pStyle w:val="Bulletskeyfindings"/>
      </w:pPr>
      <w:r>
        <w:rPr>
          <w:b/>
        </w:rPr>
        <w:t>S</w:t>
      </w:r>
      <w:r w:rsidRPr="00D75221">
        <w:rPr>
          <w:b/>
        </w:rPr>
        <w:t xml:space="preserve">chool leaders </w:t>
      </w:r>
      <w:r w:rsidR="00C520E8">
        <w:rPr>
          <w:b/>
        </w:rPr>
        <w:t xml:space="preserve">had </w:t>
      </w:r>
      <w:r>
        <w:rPr>
          <w:b/>
        </w:rPr>
        <w:t>use</w:t>
      </w:r>
      <w:r w:rsidR="00C520E8">
        <w:rPr>
          <w:b/>
        </w:rPr>
        <w:t>d</w:t>
      </w:r>
      <w:r>
        <w:rPr>
          <w:b/>
        </w:rPr>
        <w:t xml:space="preserve"> u</w:t>
      </w:r>
      <w:r w:rsidRPr="00D75221">
        <w:rPr>
          <w:b/>
        </w:rPr>
        <w:t xml:space="preserve">nofficial exclusions </w:t>
      </w:r>
      <w:r>
        <w:rPr>
          <w:b/>
        </w:rPr>
        <w:t xml:space="preserve">too readily </w:t>
      </w:r>
      <w:r w:rsidRPr="00D75221">
        <w:rPr>
          <w:b/>
        </w:rPr>
        <w:t xml:space="preserve">to </w:t>
      </w:r>
      <w:r w:rsidR="00BD096B">
        <w:rPr>
          <w:b/>
        </w:rPr>
        <w:t>cope with</w:t>
      </w:r>
      <w:r w:rsidR="00BD096B" w:rsidRPr="00D75221">
        <w:rPr>
          <w:b/>
        </w:rPr>
        <w:t xml:space="preserve"> </w:t>
      </w:r>
      <w:r w:rsidRPr="00D75221">
        <w:rPr>
          <w:b/>
        </w:rPr>
        <w:t xml:space="preserve">children and young people </w:t>
      </w:r>
      <w:r>
        <w:rPr>
          <w:b/>
        </w:rPr>
        <w:t>who have</w:t>
      </w:r>
      <w:r w:rsidRPr="00D75221">
        <w:rPr>
          <w:b/>
        </w:rPr>
        <w:t xml:space="preserve"> </w:t>
      </w:r>
      <w:r w:rsidR="00511C7D" w:rsidRPr="00C85601">
        <w:rPr>
          <w:b/>
        </w:rPr>
        <w:t>SEND</w:t>
      </w:r>
      <w:r w:rsidRPr="00D75221">
        <w:rPr>
          <w:b/>
        </w:rPr>
        <w:t>.</w:t>
      </w:r>
      <w:r>
        <w:t xml:space="preserve"> Across nearly all local areas inspected, an alarming number of parents sa</w:t>
      </w:r>
      <w:r w:rsidR="00C520E8">
        <w:t>id</w:t>
      </w:r>
      <w:r>
        <w:t xml:space="preserve"> that</w:t>
      </w:r>
      <w:r w:rsidR="00A645E8">
        <w:t xml:space="preserve"> </w:t>
      </w:r>
      <w:r w:rsidR="00A23A96">
        <w:t xml:space="preserve">some </w:t>
      </w:r>
      <w:r>
        <w:t>school leaders ask</w:t>
      </w:r>
      <w:r w:rsidR="00C520E8">
        <w:t>ed</w:t>
      </w:r>
      <w:r>
        <w:t xml:space="preserve"> them to take their children home</w:t>
      </w:r>
      <w:r w:rsidR="0001694C">
        <w:t>. This was</w:t>
      </w:r>
      <w:r w:rsidR="00A645E8">
        <w:t xml:space="preserve"> in addition, or as an alternative, to fixed-term exclusions</w:t>
      </w:r>
      <w:r w:rsidR="0001694C">
        <w:t>. It</w:t>
      </w:r>
      <w:r w:rsidR="000A378D">
        <w:t xml:space="preserve"> is illegal</w:t>
      </w:r>
      <w:r>
        <w:t xml:space="preserve">. </w:t>
      </w:r>
    </w:p>
    <w:p w14:paraId="3146CA65" w14:textId="686186D3" w:rsidR="005F6CBA" w:rsidRDefault="005F6CBA" w:rsidP="005F6CBA">
      <w:pPr>
        <w:pStyle w:val="Bulletskeyfindings"/>
      </w:pPr>
      <w:r w:rsidRPr="00283BDC">
        <w:rPr>
          <w:b/>
        </w:rPr>
        <w:t xml:space="preserve">Access to therapy services </w:t>
      </w:r>
      <w:r>
        <w:rPr>
          <w:b/>
        </w:rPr>
        <w:t xml:space="preserve">was </w:t>
      </w:r>
      <w:r w:rsidR="00BD096B">
        <w:rPr>
          <w:b/>
        </w:rPr>
        <w:t xml:space="preserve">a weakness </w:t>
      </w:r>
      <w:r>
        <w:rPr>
          <w:b/>
        </w:rPr>
        <w:t>in half of the local areas inspected</w:t>
      </w:r>
      <w:r w:rsidRPr="00283BDC">
        <w:rPr>
          <w:b/>
        </w:rPr>
        <w:t>.</w:t>
      </w:r>
      <w:r w:rsidRPr="00283BDC">
        <w:t xml:space="preserve"> Typically</w:t>
      </w:r>
      <w:r>
        <w:t>,</w:t>
      </w:r>
      <w:r w:rsidRPr="00283BDC">
        <w:t xml:space="preserve"> therapy services </w:t>
      </w:r>
      <w:r>
        <w:t>we</w:t>
      </w:r>
      <w:r w:rsidRPr="00283BDC">
        <w:t>re of high quality</w:t>
      </w:r>
      <w:r>
        <w:t>. However,</w:t>
      </w:r>
      <w:r w:rsidRPr="00283BDC">
        <w:t xml:space="preserve"> </w:t>
      </w:r>
      <w:r>
        <w:t xml:space="preserve">too many children and young people </w:t>
      </w:r>
      <w:r w:rsidR="00A87584">
        <w:t xml:space="preserve">who have </w:t>
      </w:r>
      <w:r w:rsidR="009D714D">
        <w:t xml:space="preserve">SEND </w:t>
      </w:r>
      <w:r>
        <w:t>experience</w:t>
      </w:r>
      <w:r w:rsidR="00C520E8">
        <w:t>d</w:t>
      </w:r>
      <w:r>
        <w:t xml:space="preserve"> long waiting times as well as limited contact with the therapists that they need</w:t>
      </w:r>
      <w:r w:rsidR="00C520E8">
        <w:t>ed</w:t>
      </w:r>
      <w:r>
        <w:t xml:space="preserve">. </w:t>
      </w:r>
    </w:p>
    <w:p w14:paraId="0EF13E0C" w14:textId="53310493" w:rsidR="005F6CBA" w:rsidRDefault="00BD096B" w:rsidP="005F6CBA">
      <w:pPr>
        <w:pStyle w:val="Bulletskeyfindings"/>
      </w:pPr>
      <w:r>
        <w:rPr>
          <w:b/>
        </w:rPr>
        <w:t>Access to</w:t>
      </w:r>
      <w:r w:rsidR="005F6CBA" w:rsidRPr="00F54527">
        <w:rPr>
          <w:b/>
        </w:rPr>
        <w:t xml:space="preserve"> child and adolescent mental health services (CAMHS) </w:t>
      </w:r>
      <w:r>
        <w:rPr>
          <w:b/>
        </w:rPr>
        <w:t>was</w:t>
      </w:r>
      <w:r w:rsidRPr="00F54527">
        <w:rPr>
          <w:b/>
        </w:rPr>
        <w:t xml:space="preserve"> </w:t>
      </w:r>
      <w:r>
        <w:rPr>
          <w:b/>
        </w:rPr>
        <w:t>poor</w:t>
      </w:r>
      <w:r w:rsidRPr="00F54527">
        <w:rPr>
          <w:b/>
        </w:rPr>
        <w:t xml:space="preserve"> </w:t>
      </w:r>
      <w:r w:rsidR="005F6CBA" w:rsidRPr="00F54527">
        <w:rPr>
          <w:b/>
        </w:rPr>
        <w:t xml:space="preserve">in </w:t>
      </w:r>
      <w:r w:rsidR="005F6CBA">
        <w:rPr>
          <w:b/>
        </w:rPr>
        <w:t>over a third of local</w:t>
      </w:r>
      <w:r w:rsidR="005F6CBA" w:rsidRPr="00F54527">
        <w:rPr>
          <w:b/>
        </w:rPr>
        <w:t xml:space="preserve"> areas.</w:t>
      </w:r>
      <w:r w:rsidR="005F6CBA" w:rsidRPr="00F54527">
        <w:t xml:space="preserve"> </w:t>
      </w:r>
      <w:r w:rsidR="005F6CBA">
        <w:t xml:space="preserve">Many </w:t>
      </w:r>
      <w:r w:rsidR="005F6CBA" w:rsidRPr="00F54527">
        <w:t>parents reported that the threshold to access CAMHS services was too high</w:t>
      </w:r>
      <w:r w:rsidR="005F6CBA">
        <w:t xml:space="preserve"> or waiting times too long</w:t>
      </w:r>
      <w:r w:rsidR="005F6CBA" w:rsidRPr="00F54527">
        <w:t xml:space="preserve">. Consequently, too many children and young people identified </w:t>
      </w:r>
      <w:r w:rsidR="00A87584">
        <w:t>as having</w:t>
      </w:r>
      <w:r w:rsidR="00A87584" w:rsidRPr="00F54527">
        <w:t xml:space="preserve"> </w:t>
      </w:r>
      <w:r w:rsidR="005F6CBA" w:rsidRPr="00F54527">
        <w:t>social, emotional or mental health (SEMH) needs d</w:t>
      </w:r>
      <w:r w:rsidR="00C520E8">
        <w:t>id</w:t>
      </w:r>
      <w:r w:rsidR="005F6CBA" w:rsidRPr="00F54527">
        <w:t xml:space="preserve"> not get the </w:t>
      </w:r>
      <w:r w:rsidR="009C6242">
        <w:t xml:space="preserve">right </w:t>
      </w:r>
      <w:r w:rsidR="005F6CBA" w:rsidRPr="00F54527">
        <w:t xml:space="preserve">support until they </w:t>
      </w:r>
      <w:r w:rsidR="00C520E8">
        <w:t>we</w:t>
      </w:r>
      <w:r w:rsidR="005F6CBA" w:rsidRPr="00F54527">
        <w:t xml:space="preserve">re in crisis. </w:t>
      </w:r>
    </w:p>
    <w:p w14:paraId="696BEE05" w14:textId="10F515FC" w:rsidR="00860AA2" w:rsidRDefault="00860AA2" w:rsidP="005F6CBA">
      <w:pPr>
        <w:pStyle w:val="Bulletskeyfindings"/>
      </w:pPr>
      <w:r>
        <w:rPr>
          <w:b/>
        </w:rPr>
        <w:t>There ha</w:t>
      </w:r>
      <w:r w:rsidR="00C520E8">
        <w:rPr>
          <w:b/>
        </w:rPr>
        <w:t>d</w:t>
      </w:r>
      <w:r>
        <w:rPr>
          <w:b/>
        </w:rPr>
        <w:t xml:space="preserve"> not been enough progress in implementing a coordinated 0</w:t>
      </w:r>
      <w:r w:rsidR="00E47443">
        <w:rPr>
          <w:b/>
        </w:rPr>
        <w:t>–</w:t>
      </w:r>
      <w:r>
        <w:rPr>
          <w:b/>
        </w:rPr>
        <w:t xml:space="preserve">25 service for children and young people </w:t>
      </w:r>
      <w:r w:rsidR="00E47443">
        <w:rPr>
          <w:b/>
        </w:rPr>
        <w:t>who have</w:t>
      </w:r>
      <w:r>
        <w:rPr>
          <w:b/>
        </w:rPr>
        <w:t xml:space="preserve"> </w:t>
      </w:r>
      <w:r w:rsidR="003E019B" w:rsidRPr="00C85601">
        <w:rPr>
          <w:b/>
        </w:rPr>
        <w:t>SEND</w:t>
      </w:r>
      <w:r>
        <w:rPr>
          <w:b/>
        </w:rPr>
        <w:t xml:space="preserve">. </w:t>
      </w:r>
      <w:r>
        <w:t xml:space="preserve">In particular, </w:t>
      </w:r>
      <w:r w:rsidR="001207F2">
        <w:t xml:space="preserve">the commissioning of health services </w:t>
      </w:r>
      <w:r w:rsidR="00720E5B">
        <w:t xml:space="preserve">for </w:t>
      </w:r>
      <w:r w:rsidR="001207F2">
        <w:t xml:space="preserve">up to 25 </w:t>
      </w:r>
      <w:r w:rsidR="00C520E8">
        <w:t>wa</w:t>
      </w:r>
      <w:r w:rsidR="001207F2">
        <w:t>s inconsistent. For example, in some local areas</w:t>
      </w:r>
      <w:r w:rsidR="00720E5B">
        <w:t>,</w:t>
      </w:r>
      <w:r w:rsidR="001207F2">
        <w:t xml:space="preserve"> therapy and school nursing services ha</w:t>
      </w:r>
      <w:r w:rsidR="00C520E8">
        <w:t>d</w:t>
      </w:r>
      <w:r w:rsidR="001207F2">
        <w:t xml:space="preserve"> only been commissioned </w:t>
      </w:r>
      <w:r w:rsidR="006F04D3">
        <w:t xml:space="preserve">for </w:t>
      </w:r>
      <w:r w:rsidR="001207F2">
        <w:t xml:space="preserve">up to 19. In other local areas, there </w:t>
      </w:r>
      <w:r w:rsidR="00C520E8">
        <w:t>wa</w:t>
      </w:r>
      <w:r w:rsidR="001207F2">
        <w:t xml:space="preserve">s a lack </w:t>
      </w:r>
      <w:r w:rsidR="00162A5F">
        <w:t>of coordinated planning as young people move</w:t>
      </w:r>
      <w:r w:rsidR="00C520E8">
        <w:t>d</w:t>
      </w:r>
      <w:r w:rsidR="00162A5F">
        <w:t xml:space="preserve"> into adult services</w:t>
      </w:r>
      <w:r w:rsidR="001207F2">
        <w:t xml:space="preserve">. Consequently, too many young people </w:t>
      </w:r>
      <w:r w:rsidR="00E47443">
        <w:t>who have</w:t>
      </w:r>
      <w:r w:rsidR="001207F2">
        <w:t xml:space="preserve"> </w:t>
      </w:r>
      <w:r w:rsidR="005B5D34">
        <w:t xml:space="preserve">SEND </w:t>
      </w:r>
      <w:r w:rsidR="001207F2">
        <w:t>d</w:t>
      </w:r>
      <w:r w:rsidR="00C520E8">
        <w:t>id</w:t>
      </w:r>
      <w:r w:rsidR="001207F2">
        <w:t xml:space="preserve"> not get </w:t>
      </w:r>
      <w:r w:rsidR="00146BC7">
        <w:t>the support and resources</w:t>
      </w:r>
      <w:r w:rsidR="001207F2">
        <w:t xml:space="preserve"> they </w:t>
      </w:r>
      <w:r w:rsidR="00C520E8">
        <w:t>we</w:t>
      </w:r>
      <w:r w:rsidR="001207F2">
        <w:t>re entitled to once they reach</w:t>
      </w:r>
      <w:r w:rsidR="00C520E8">
        <w:t>ed</w:t>
      </w:r>
      <w:r w:rsidR="001207F2">
        <w:t xml:space="preserve"> the age of 19.</w:t>
      </w:r>
    </w:p>
    <w:p w14:paraId="0894A42A" w14:textId="04069CE5" w:rsidR="005F6CBA" w:rsidRPr="00D52464" w:rsidRDefault="00C85601" w:rsidP="005F6CBA">
      <w:pPr>
        <w:pStyle w:val="Bulletskeyfindings"/>
      </w:pPr>
      <w:r w:rsidRPr="00C85601">
        <w:rPr>
          <w:rFonts w:cs="Tahoma"/>
          <w:b/>
        </w:rPr>
        <w:t xml:space="preserve">Children’s and young people’s </w:t>
      </w:r>
      <w:r>
        <w:rPr>
          <w:rFonts w:cs="Tahoma"/>
          <w:b/>
        </w:rPr>
        <w:t>SEND</w:t>
      </w:r>
      <w:r w:rsidRPr="00C85601">
        <w:rPr>
          <w:rFonts w:cs="Tahoma"/>
          <w:b/>
        </w:rPr>
        <w:t xml:space="preserve"> </w:t>
      </w:r>
      <w:r w:rsidR="00C520E8">
        <w:rPr>
          <w:rFonts w:cs="Tahoma"/>
          <w:b/>
        </w:rPr>
        <w:t>we</w:t>
      </w:r>
      <w:r w:rsidRPr="00C85601">
        <w:rPr>
          <w:rFonts w:cs="Tahoma"/>
          <w:b/>
        </w:rPr>
        <w:t>re identified well in the early years, particularly for those with complex needs. Parents generally fe</w:t>
      </w:r>
      <w:r w:rsidR="00C520E8">
        <w:rPr>
          <w:rFonts w:cs="Tahoma"/>
          <w:b/>
        </w:rPr>
        <w:t>lt</w:t>
      </w:r>
      <w:r w:rsidRPr="00C85601">
        <w:rPr>
          <w:rFonts w:cs="Tahoma"/>
          <w:b/>
        </w:rPr>
        <w:t xml:space="preserve"> supported and involved in the process. </w:t>
      </w:r>
      <w:r w:rsidR="005F6CBA" w:rsidRPr="00ED3983">
        <w:rPr>
          <w:rFonts w:cs="Tahoma"/>
        </w:rPr>
        <w:t xml:space="preserve">The co-location of education, health and care services in children’s centres, child development centres and early </w:t>
      </w:r>
      <w:proofErr w:type="gramStart"/>
      <w:r w:rsidR="005F6CBA" w:rsidRPr="00ED3983">
        <w:rPr>
          <w:rFonts w:cs="Tahoma"/>
        </w:rPr>
        <w:t>years</w:t>
      </w:r>
      <w:proofErr w:type="gramEnd"/>
      <w:r w:rsidR="005F6CBA" w:rsidRPr="00ED3983">
        <w:rPr>
          <w:rFonts w:cs="Tahoma"/>
        </w:rPr>
        <w:t xml:space="preserve"> settings</w:t>
      </w:r>
      <w:r w:rsidR="0000118F" w:rsidRPr="00ED3983">
        <w:rPr>
          <w:rFonts w:cs="Tahoma"/>
        </w:rPr>
        <w:t xml:space="preserve"> ensure</w:t>
      </w:r>
      <w:r w:rsidR="00C520E8">
        <w:rPr>
          <w:rFonts w:cs="Tahoma"/>
        </w:rPr>
        <w:t>d</w:t>
      </w:r>
      <w:r w:rsidR="0000118F" w:rsidRPr="00ED3983">
        <w:rPr>
          <w:rFonts w:cs="Tahoma"/>
        </w:rPr>
        <w:t xml:space="preserve"> that many local areas </w:t>
      </w:r>
      <w:r w:rsidR="00C520E8">
        <w:rPr>
          <w:rFonts w:cs="Tahoma"/>
        </w:rPr>
        <w:t>were able to</w:t>
      </w:r>
      <w:r w:rsidR="0000118F" w:rsidRPr="00ED3983">
        <w:rPr>
          <w:rFonts w:cs="Tahoma"/>
        </w:rPr>
        <w:t xml:space="preserve"> implement the full healthy child programme</w:t>
      </w:r>
      <w:r w:rsidR="00ED3983" w:rsidRPr="00ED3983">
        <w:rPr>
          <w:rFonts w:cs="Tahoma"/>
        </w:rPr>
        <w:t xml:space="preserve"> effectively</w:t>
      </w:r>
      <w:r w:rsidR="0000118F" w:rsidRPr="00ED3983">
        <w:rPr>
          <w:rFonts w:cs="Tahoma"/>
        </w:rPr>
        <w:t>. Consequently, the delivery of the two</w:t>
      </w:r>
      <w:r w:rsidR="007100ED">
        <w:rPr>
          <w:rFonts w:cs="Tahoma"/>
        </w:rPr>
        <w:t>-</w:t>
      </w:r>
      <w:r w:rsidR="0000118F" w:rsidRPr="00ED3983">
        <w:rPr>
          <w:rFonts w:cs="Tahoma"/>
        </w:rPr>
        <w:t>and</w:t>
      </w:r>
      <w:r w:rsidR="007100ED">
        <w:rPr>
          <w:rFonts w:cs="Tahoma"/>
        </w:rPr>
        <w:t>-</w:t>
      </w:r>
      <w:r w:rsidR="0000118F" w:rsidRPr="00ED3983">
        <w:rPr>
          <w:rFonts w:cs="Tahoma"/>
        </w:rPr>
        <w:t>a</w:t>
      </w:r>
      <w:r w:rsidR="007100ED">
        <w:rPr>
          <w:rFonts w:cs="Tahoma"/>
        </w:rPr>
        <w:t>-</w:t>
      </w:r>
      <w:r w:rsidR="0000118F" w:rsidRPr="00ED3983">
        <w:rPr>
          <w:rFonts w:cs="Tahoma"/>
        </w:rPr>
        <w:t>half</w:t>
      </w:r>
      <w:r w:rsidR="007100ED">
        <w:rPr>
          <w:rFonts w:cs="Tahoma"/>
        </w:rPr>
        <w:t>-</w:t>
      </w:r>
      <w:r w:rsidR="0000118F" w:rsidRPr="00ED3983">
        <w:rPr>
          <w:rFonts w:cs="Tahoma"/>
        </w:rPr>
        <w:t>year check ha</w:t>
      </w:r>
      <w:r w:rsidR="00C520E8">
        <w:rPr>
          <w:rFonts w:cs="Tahoma"/>
        </w:rPr>
        <w:t>d</w:t>
      </w:r>
      <w:r w:rsidR="0000118F" w:rsidRPr="00ED3983">
        <w:rPr>
          <w:rFonts w:cs="Tahoma"/>
        </w:rPr>
        <w:t xml:space="preserve"> been established and </w:t>
      </w:r>
      <w:r w:rsidR="005F6CBA" w:rsidRPr="00ED3983">
        <w:rPr>
          <w:rFonts w:cs="Tahoma"/>
        </w:rPr>
        <w:t>ha</w:t>
      </w:r>
      <w:r w:rsidR="00C520E8">
        <w:rPr>
          <w:rFonts w:cs="Tahoma"/>
        </w:rPr>
        <w:t>d</w:t>
      </w:r>
      <w:r w:rsidR="005F6CBA" w:rsidRPr="00ED3983">
        <w:rPr>
          <w:rFonts w:cs="Tahoma"/>
        </w:rPr>
        <w:t xml:space="preserve"> led to </w:t>
      </w:r>
      <w:r w:rsidR="009C6BA6" w:rsidRPr="00ED3983">
        <w:rPr>
          <w:rFonts w:cs="Tahoma"/>
        </w:rPr>
        <w:t xml:space="preserve">timely and accurate </w:t>
      </w:r>
      <w:r w:rsidR="005F6CBA" w:rsidRPr="00ED3983">
        <w:rPr>
          <w:rFonts w:cs="Tahoma"/>
        </w:rPr>
        <w:t>early identification</w:t>
      </w:r>
      <w:r w:rsidR="00A87584" w:rsidRPr="00ED3983">
        <w:rPr>
          <w:rFonts w:cs="Tahoma"/>
        </w:rPr>
        <w:t xml:space="preserve">. </w:t>
      </w:r>
      <w:r w:rsidR="00A87584" w:rsidRPr="00ED3983">
        <w:rPr>
          <w:color w:val="111111"/>
          <w:spacing w:val="-3"/>
          <w:shd w:val="clear" w:color="auto" w:fill="FAFAFA"/>
        </w:rPr>
        <w:t xml:space="preserve">This </w:t>
      </w:r>
      <w:r w:rsidR="00C520E8">
        <w:rPr>
          <w:color w:val="111111"/>
          <w:spacing w:val="-3"/>
          <w:shd w:val="clear" w:color="auto" w:fill="FAFAFA"/>
        </w:rPr>
        <w:t>wa</w:t>
      </w:r>
      <w:r w:rsidR="00A87584" w:rsidRPr="00ED3983">
        <w:rPr>
          <w:color w:val="111111"/>
          <w:spacing w:val="-3"/>
          <w:shd w:val="clear" w:color="auto" w:fill="FAFAFA"/>
        </w:rPr>
        <w:t>s particularly the case</w:t>
      </w:r>
      <w:r w:rsidR="005F6CBA" w:rsidRPr="00ED3983">
        <w:rPr>
          <w:rFonts w:cs="Tahoma"/>
        </w:rPr>
        <w:t xml:space="preserve"> for </w:t>
      </w:r>
      <w:r w:rsidR="0005131B" w:rsidRPr="00ED3983">
        <w:rPr>
          <w:rFonts w:cs="Tahoma"/>
        </w:rPr>
        <w:t xml:space="preserve">children and young people </w:t>
      </w:r>
      <w:r w:rsidR="005F6CBA" w:rsidRPr="00ED3983">
        <w:rPr>
          <w:rFonts w:cs="Tahoma"/>
        </w:rPr>
        <w:t>who ha</w:t>
      </w:r>
      <w:r w:rsidR="00C520E8">
        <w:rPr>
          <w:rFonts w:cs="Tahoma"/>
        </w:rPr>
        <w:t>d</w:t>
      </w:r>
      <w:r w:rsidR="005F6CBA" w:rsidRPr="00ED3983">
        <w:rPr>
          <w:rFonts w:cs="Tahoma"/>
        </w:rPr>
        <w:t xml:space="preserve"> the most complex needs. </w:t>
      </w:r>
      <w:r w:rsidR="005F6CBA" w:rsidRPr="00ED3983">
        <w:t xml:space="preserve">However, </w:t>
      </w:r>
      <w:r w:rsidR="009C6BA6" w:rsidRPr="00ED3983">
        <w:t xml:space="preserve">the further through the schooling system </w:t>
      </w:r>
      <w:r w:rsidR="009C6BA6" w:rsidRPr="00ED3983">
        <w:lastRenderedPageBreak/>
        <w:t>children progress</w:t>
      </w:r>
      <w:r w:rsidR="00C520E8">
        <w:t>ed</w:t>
      </w:r>
      <w:r w:rsidR="009C6BA6" w:rsidRPr="00ED3983">
        <w:t>, the less established opportunities for education, health and care professionals to work together bec</w:t>
      </w:r>
      <w:r w:rsidR="00C520E8">
        <w:t>a</w:t>
      </w:r>
      <w:r w:rsidR="009C6BA6" w:rsidRPr="00ED3983">
        <w:t>me, particularly in mainstream schools. This mean</w:t>
      </w:r>
      <w:r w:rsidR="00C520E8">
        <w:t>t</w:t>
      </w:r>
      <w:r w:rsidR="009C6BA6" w:rsidRPr="00ED3983">
        <w:t xml:space="preserve"> </w:t>
      </w:r>
      <w:r w:rsidR="00150E14">
        <w:t xml:space="preserve">that </w:t>
      </w:r>
      <w:r w:rsidR="005F6CBA" w:rsidRPr="00ED3983">
        <w:t xml:space="preserve">for children and young people whose needs </w:t>
      </w:r>
      <w:r w:rsidR="00C520E8">
        <w:t>we</w:t>
      </w:r>
      <w:r w:rsidR="005F6CBA" w:rsidRPr="00ED3983">
        <w:t>re more subtle, the likelihood of</w:t>
      </w:r>
      <w:r w:rsidR="00A645E8" w:rsidRPr="00ED3983">
        <w:t xml:space="preserve"> these needs being identified quickly and accurately</w:t>
      </w:r>
      <w:r w:rsidR="005F6CBA" w:rsidRPr="00ED3983">
        <w:t xml:space="preserve"> reduce</w:t>
      </w:r>
      <w:r w:rsidR="00C520E8">
        <w:t>d</w:t>
      </w:r>
      <w:r w:rsidR="005F6CBA" w:rsidRPr="00ED3983">
        <w:t xml:space="preserve"> </w:t>
      </w:r>
      <w:r w:rsidR="00A645E8" w:rsidRPr="00ED3983">
        <w:t xml:space="preserve">significantly </w:t>
      </w:r>
      <w:r w:rsidR="005F6CBA" w:rsidRPr="00ED3983">
        <w:t xml:space="preserve">the </w:t>
      </w:r>
      <w:r w:rsidR="00ED3983">
        <w:t>older they g</w:t>
      </w:r>
      <w:r w:rsidR="00C520E8">
        <w:t>o</w:t>
      </w:r>
      <w:r w:rsidR="00ED3983">
        <w:t>t</w:t>
      </w:r>
      <w:r w:rsidR="005F6CBA" w:rsidRPr="00ED3983">
        <w:t>.</w:t>
      </w:r>
      <w:r w:rsidR="005F6CBA">
        <w:t xml:space="preserve"> </w:t>
      </w:r>
    </w:p>
    <w:p w14:paraId="73C06860" w14:textId="77777777" w:rsidR="00FC2C81" w:rsidRDefault="00FC2C81" w:rsidP="005F6CBA">
      <w:pPr>
        <w:pStyle w:val="Bulletskeyfindings"/>
      </w:pPr>
      <w:r>
        <w:rPr>
          <w:b/>
        </w:rPr>
        <w:t>In over a third of the l</w:t>
      </w:r>
      <w:r w:rsidRPr="00EA110D">
        <w:rPr>
          <w:b/>
        </w:rPr>
        <w:t>ocal area</w:t>
      </w:r>
      <w:r>
        <w:rPr>
          <w:b/>
        </w:rPr>
        <w:t>s inspected,</w:t>
      </w:r>
      <w:r w:rsidRPr="00EA110D">
        <w:rPr>
          <w:b/>
        </w:rPr>
        <w:t xml:space="preserve"> leaders across education, health and care d</w:t>
      </w:r>
      <w:r>
        <w:rPr>
          <w:b/>
        </w:rPr>
        <w:t>id</w:t>
      </w:r>
      <w:r w:rsidRPr="00EA110D">
        <w:rPr>
          <w:b/>
        </w:rPr>
        <w:t xml:space="preserve"> not involve children and young people or their parents sufficiently in planning and reviewing their provision (</w:t>
      </w:r>
      <w:r>
        <w:rPr>
          <w:b/>
        </w:rPr>
        <w:t>a process known as</w:t>
      </w:r>
      <w:r w:rsidRPr="00EA110D">
        <w:rPr>
          <w:b/>
        </w:rPr>
        <w:t xml:space="preserve"> co-production</w:t>
      </w:r>
      <w:r>
        <w:rPr>
          <w:b/>
        </w:rPr>
        <w:t>).</w:t>
      </w:r>
      <w:r w:rsidRPr="00EA110D">
        <w:rPr>
          <w:rStyle w:val="FootnoteReference"/>
          <w:b/>
        </w:rPr>
        <w:footnoteReference w:id="4"/>
      </w:r>
      <w:r>
        <w:rPr>
          <w:b/>
        </w:rPr>
        <w:t xml:space="preserve"> </w:t>
      </w:r>
      <w:r>
        <w:t xml:space="preserve">Leaders have not been successful in establishing strong practice when co-producing children and young people’s plans. In particular, there were weaknesses in co-production during the statutory assessment and annual review processes, including when statements of special educational needs were converted to EHC plans. </w:t>
      </w:r>
    </w:p>
    <w:p w14:paraId="2B6DD1D5" w14:textId="22CA0772" w:rsidR="005F6CBA" w:rsidRDefault="00146BC7" w:rsidP="005F6CBA">
      <w:pPr>
        <w:pStyle w:val="Bulletskeyfindings"/>
      </w:pPr>
      <w:r>
        <w:rPr>
          <w:b/>
        </w:rPr>
        <w:t>Many local area leaders were</w:t>
      </w:r>
      <w:r w:rsidR="005F6CBA">
        <w:rPr>
          <w:b/>
        </w:rPr>
        <w:t xml:space="preserve"> unaware of the depth of frustration among local parents and what their concerns were about.</w:t>
      </w:r>
      <w:r w:rsidR="005F6CBA" w:rsidRPr="003021EE">
        <w:t xml:space="preserve"> </w:t>
      </w:r>
      <w:r w:rsidR="00FC2C81">
        <w:rPr>
          <w:rFonts w:cs="Tahoma"/>
          <w:color w:val="auto"/>
        </w:rPr>
        <w:t xml:space="preserve">Some parents reported a much better experience when working with professionals to plan improvements to local services. </w:t>
      </w:r>
      <w:r w:rsidR="00C520E8">
        <w:rPr>
          <w:rFonts w:cs="Tahoma"/>
          <w:color w:val="auto"/>
        </w:rPr>
        <w:t>However,</w:t>
      </w:r>
      <w:r w:rsidR="00782110">
        <w:rPr>
          <w:rFonts w:cs="Tahoma"/>
          <w:color w:val="auto"/>
        </w:rPr>
        <w:t xml:space="preserve"> </w:t>
      </w:r>
      <w:r w:rsidR="003B5391" w:rsidRPr="00403195">
        <w:rPr>
          <w:rFonts w:cs="Tahoma"/>
          <w:color w:val="auto"/>
        </w:rPr>
        <w:t>parent</w:t>
      </w:r>
      <w:r w:rsidR="00782110">
        <w:rPr>
          <w:rFonts w:cs="Tahoma"/>
          <w:color w:val="auto"/>
        </w:rPr>
        <w:t>al</w:t>
      </w:r>
      <w:r w:rsidR="003B5391" w:rsidRPr="00403195">
        <w:rPr>
          <w:rFonts w:cs="Tahoma"/>
          <w:color w:val="auto"/>
        </w:rPr>
        <w:t xml:space="preserve"> dissatisfaction </w:t>
      </w:r>
      <w:r w:rsidR="00782110">
        <w:rPr>
          <w:rFonts w:cs="Tahoma"/>
          <w:color w:val="auto"/>
        </w:rPr>
        <w:t>was</w:t>
      </w:r>
      <w:r w:rsidR="00FC2C81">
        <w:rPr>
          <w:rFonts w:cs="Tahoma"/>
          <w:color w:val="auto"/>
        </w:rPr>
        <w:t xml:space="preserve"> often</w:t>
      </w:r>
      <w:r w:rsidR="00782110">
        <w:rPr>
          <w:rFonts w:cs="Tahoma"/>
          <w:color w:val="auto"/>
        </w:rPr>
        <w:t xml:space="preserve"> a </w:t>
      </w:r>
      <w:r w:rsidR="003B5391" w:rsidRPr="00403195">
        <w:rPr>
          <w:rFonts w:cs="Tahoma"/>
          <w:color w:val="auto"/>
        </w:rPr>
        <w:t xml:space="preserve">significant factor </w:t>
      </w:r>
      <w:r w:rsidR="00FC2C81">
        <w:rPr>
          <w:rFonts w:cs="Tahoma"/>
          <w:color w:val="auto"/>
        </w:rPr>
        <w:t xml:space="preserve">when inspectors judged that </w:t>
      </w:r>
      <w:r w:rsidR="003B5391" w:rsidRPr="00403195">
        <w:rPr>
          <w:rFonts w:cs="Tahoma"/>
          <w:color w:val="auto"/>
        </w:rPr>
        <w:t xml:space="preserve">a local area </w:t>
      </w:r>
      <w:r w:rsidR="00FC2C81">
        <w:rPr>
          <w:rFonts w:cs="Tahoma"/>
          <w:color w:val="auto"/>
        </w:rPr>
        <w:t>should</w:t>
      </w:r>
      <w:r w:rsidR="003B5391" w:rsidRPr="00403195">
        <w:rPr>
          <w:rFonts w:cs="Tahoma"/>
          <w:color w:val="auto"/>
        </w:rPr>
        <w:t xml:space="preserve"> submit a written statement of action.</w:t>
      </w:r>
    </w:p>
    <w:p w14:paraId="043B81CA" w14:textId="4F5A9739" w:rsidR="005F6CBA" w:rsidRPr="00FB7550" w:rsidRDefault="005F6CBA" w:rsidP="00403195">
      <w:pPr>
        <w:pStyle w:val="Bulletskeyfindings"/>
      </w:pPr>
      <w:r>
        <w:rPr>
          <w:b/>
        </w:rPr>
        <w:t>A large proportion of parents in the local</w:t>
      </w:r>
      <w:r w:rsidRPr="005547E7">
        <w:rPr>
          <w:b/>
        </w:rPr>
        <w:t xml:space="preserve"> areas</w:t>
      </w:r>
      <w:r>
        <w:rPr>
          <w:b/>
        </w:rPr>
        <w:t xml:space="preserve"> inspected</w:t>
      </w:r>
      <w:r w:rsidRPr="005547E7">
        <w:rPr>
          <w:b/>
        </w:rPr>
        <w:t xml:space="preserve"> lack</w:t>
      </w:r>
      <w:r w:rsidR="00782110">
        <w:rPr>
          <w:b/>
        </w:rPr>
        <w:t>ed</w:t>
      </w:r>
      <w:r w:rsidRPr="005547E7">
        <w:rPr>
          <w:b/>
        </w:rPr>
        <w:t xml:space="preserve"> confidence in </w:t>
      </w:r>
      <w:r>
        <w:rPr>
          <w:b/>
        </w:rPr>
        <w:t>the ability of</w:t>
      </w:r>
      <w:r w:rsidRPr="005547E7">
        <w:rPr>
          <w:b/>
        </w:rPr>
        <w:t xml:space="preserve"> mainstream schoo</w:t>
      </w:r>
      <w:r>
        <w:rPr>
          <w:b/>
        </w:rPr>
        <w:t>ls</w:t>
      </w:r>
      <w:r w:rsidRPr="005547E7">
        <w:rPr>
          <w:b/>
        </w:rPr>
        <w:t xml:space="preserve"> to meet their child’s needs.</w:t>
      </w:r>
      <w:r>
        <w:t xml:space="preserve"> Many parents of children or young people </w:t>
      </w:r>
      <w:r w:rsidR="008035E5">
        <w:t xml:space="preserve">who have </w:t>
      </w:r>
      <w:r w:rsidR="001B38F2">
        <w:t xml:space="preserve">SEND </w:t>
      </w:r>
      <w:r>
        <w:t xml:space="preserve">reported concerns about the quality of staff training and teachers’ ability to meet their child’s specific needs when in mainstream school. </w:t>
      </w:r>
    </w:p>
    <w:p w14:paraId="611653AA" w14:textId="33B65AB2" w:rsidR="005F6CBA" w:rsidRPr="0006216F" w:rsidRDefault="00C85601" w:rsidP="005F6CBA">
      <w:pPr>
        <w:pStyle w:val="Bulletskeyfindings"/>
      </w:pPr>
      <w:r>
        <w:rPr>
          <w:b/>
        </w:rPr>
        <w:t>In the most effective local areas, s</w:t>
      </w:r>
      <w:r w:rsidR="005F6CBA" w:rsidRPr="00123CFD">
        <w:rPr>
          <w:b/>
        </w:rPr>
        <w:t>trong strategic leadership</w:t>
      </w:r>
      <w:r w:rsidR="005F6CBA">
        <w:rPr>
          <w:b/>
        </w:rPr>
        <w:t xml:space="preserve"> </w:t>
      </w:r>
      <w:r w:rsidR="00144C56">
        <w:rPr>
          <w:b/>
        </w:rPr>
        <w:t xml:space="preserve">had </w:t>
      </w:r>
      <w:r w:rsidR="005F6CBA">
        <w:rPr>
          <w:b/>
        </w:rPr>
        <w:t xml:space="preserve">led to </w:t>
      </w:r>
      <w:r w:rsidR="009C6BA6">
        <w:rPr>
          <w:b/>
        </w:rPr>
        <w:t xml:space="preserve">established </w:t>
      </w:r>
      <w:r w:rsidR="005F6CBA">
        <w:rPr>
          <w:b/>
        </w:rPr>
        <w:t>joint working between education, health and care services</w:t>
      </w:r>
      <w:r w:rsidR="00144C56">
        <w:rPr>
          <w:b/>
        </w:rPr>
        <w:t>. This</w:t>
      </w:r>
      <w:r w:rsidR="005F6CBA" w:rsidRPr="00123CFD">
        <w:rPr>
          <w:b/>
        </w:rPr>
        <w:t xml:space="preserve"> </w:t>
      </w:r>
      <w:r>
        <w:rPr>
          <w:b/>
        </w:rPr>
        <w:t>underpinned their success when</w:t>
      </w:r>
      <w:r w:rsidR="005F6CBA" w:rsidRPr="00123CFD">
        <w:rPr>
          <w:b/>
        </w:rPr>
        <w:t xml:space="preserve"> </w:t>
      </w:r>
      <w:r w:rsidR="005F6CBA">
        <w:rPr>
          <w:b/>
        </w:rPr>
        <w:t>implementing</w:t>
      </w:r>
      <w:r w:rsidR="005F6CBA" w:rsidRPr="00123CFD">
        <w:rPr>
          <w:b/>
        </w:rPr>
        <w:t xml:space="preserve"> the reforms of the Code of Practice.</w:t>
      </w:r>
      <w:r w:rsidR="005F6CBA">
        <w:t xml:space="preserve"> In successful local areas, l</w:t>
      </w:r>
      <w:r w:rsidR="005F6CBA" w:rsidRPr="00670077">
        <w:t>eaders’ strategies were based on thorough evaluation</w:t>
      </w:r>
      <w:r w:rsidR="005F6CBA">
        <w:t>s</w:t>
      </w:r>
      <w:r w:rsidR="005F6CBA" w:rsidRPr="00670077">
        <w:t xml:space="preserve"> of the effectiveness of services in improving </w:t>
      </w:r>
      <w:r w:rsidR="005F6CBA">
        <w:t xml:space="preserve">education, health and care </w:t>
      </w:r>
      <w:r w:rsidR="005F6CBA" w:rsidRPr="00670077">
        <w:t>outcomes.</w:t>
      </w:r>
      <w:r w:rsidR="005F6CBA">
        <w:t xml:space="preserve"> Leaders focused on improving the </w:t>
      </w:r>
      <w:r w:rsidR="009C6BA6">
        <w:t xml:space="preserve">impact </w:t>
      </w:r>
      <w:r w:rsidR="005F6CBA">
        <w:t xml:space="preserve">of joint working across services to ensure </w:t>
      </w:r>
      <w:r w:rsidR="007C2603">
        <w:t xml:space="preserve">that </w:t>
      </w:r>
      <w:r w:rsidR="005F6CBA">
        <w:t>they could improve outcomes in areas of weakness.</w:t>
      </w:r>
      <w:r w:rsidR="00ED3983">
        <w:t xml:space="preserve"> For example, giving the designated medical officer (DMO) or designated clinical officer (DCO) </w:t>
      </w:r>
      <w:r w:rsidR="000A378D">
        <w:t xml:space="preserve">sufficient time </w:t>
      </w:r>
      <w:r w:rsidR="00C00835">
        <w:t>resulted in improved joint commissioning arrangements</w:t>
      </w:r>
      <w:r w:rsidR="00ED3983">
        <w:t>.</w:t>
      </w:r>
      <w:r w:rsidR="00FC2C81">
        <w:t xml:space="preserve"> </w:t>
      </w:r>
    </w:p>
    <w:p w14:paraId="6090D636" w14:textId="5C210A21" w:rsidR="005F6CBA" w:rsidRDefault="005F6CBA" w:rsidP="005F6CBA">
      <w:pPr>
        <w:pStyle w:val="Bulletskeyfindings"/>
      </w:pPr>
      <w:r w:rsidRPr="00D52464">
        <w:rPr>
          <w:b/>
        </w:rPr>
        <w:t xml:space="preserve">The statutory assessment process </w:t>
      </w:r>
      <w:r>
        <w:rPr>
          <w:b/>
        </w:rPr>
        <w:t>wa</w:t>
      </w:r>
      <w:r w:rsidRPr="00D52464">
        <w:rPr>
          <w:b/>
        </w:rPr>
        <w:t>s not working well enough in</w:t>
      </w:r>
      <w:r>
        <w:rPr>
          <w:b/>
        </w:rPr>
        <w:t xml:space="preserve"> just over two thirds of</w:t>
      </w:r>
      <w:r w:rsidRPr="00D52464">
        <w:rPr>
          <w:b/>
        </w:rPr>
        <w:t xml:space="preserve"> local areas</w:t>
      </w:r>
      <w:r>
        <w:rPr>
          <w:b/>
        </w:rPr>
        <w:t xml:space="preserve"> </w:t>
      </w:r>
      <w:r w:rsidR="00E015D1">
        <w:rPr>
          <w:b/>
        </w:rPr>
        <w:t xml:space="preserve">inspected </w:t>
      </w:r>
      <w:r>
        <w:rPr>
          <w:b/>
        </w:rPr>
        <w:t>(21</w:t>
      </w:r>
      <w:r w:rsidR="00F45E6C">
        <w:rPr>
          <w:b/>
        </w:rPr>
        <w:t xml:space="preserve"> in number</w:t>
      </w:r>
      <w:r>
        <w:rPr>
          <w:b/>
        </w:rPr>
        <w:t>)</w:t>
      </w:r>
      <w:r w:rsidRPr="00D52464">
        <w:rPr>
          <w:b/>
        </w:rPr>
        <w:t>.</w:t>
      </w:r>
      <w:r w:rsidRPr="00884F6B">
        <w:t xml:space="preserve"> In particular, there </w:t>
      </w:r>
      <w:r>
        <w:t>we</w:t>
      </w:r>
      <w:r w:rsidRPr="00884F6B">
        <w:t xml:space="preserve">re common weaknesses in the process for securing the </w:t>
      </w:r>
      <w:r>
        <w:t xml:space="preserve">statutory </w:t>
      </w:r>
      <w:r w:rsidRPr="00884F6B">
        <w:t>contributions from health and care professionals to assessments</w:t>
      </w:r>
      <w:r>
        <w:t xml:space="preserve">. Consequently, the quality of EHC plans </w:t>
      </w:r>
      <w:r w:rsidR="00ED3983">
        <w:t>varied</w:t>
      </w:r>
      <w:r>
        <w:t xml:space="preserve"> considerably both within and across the local areas inspected. </w:t>
      </w:r>
      <w:r w:rsidRPr="00884F6B">
        <w:t xml:space="preserve"> </w:t>
      </w:r>
    </w:p>
    <w:p w14:paraId="7B94D1A6" w14:textId="4DCAD0A7" w:rsidR="005F6CBA" w:rsidRDefault="005F6CBA" w:rsidP="005F6CBA">
      <w:pPr>
        <w:pStyle w:val="Bulletskeyfindings"/>
      </w:pPr>
      <w:r w:rsidRPr="0086360A">
        <w:rPr>
          <w:b/>
        </w:rPr>
        <w:t xml:space="preserve">Local offers </w:t>
      </w:r>
      <w:r w:rsidR="000A378D">
        <w:rPr>
          <w:b/>
        </w:rPr>
        <w:t>we</w:t>
      </w:r>
      <w:r w:rsidRPr="0086360A">
        <w:rPr>
          <w:b/>
        </w:rPr>
        <w:t>re not effective</w:t>
      </w:r>
      <w:r>
        <w:rPr>
          <w:b/>
        </w:rPr>
        <w:t xml:space="preserve"> in helping parents to access information and services</w:t>
      </w:r>
      <w:r w:rsidR="000A378D">
        <w:rPr>
          <w:b/>
        </w:rPr>
        <w:t xml:space="preserve"> in over half of the local areas inspected</w:t>
      </w:r>
      <w:r w:rsidRPr="0086360A">
        <w:rPr>
          <w:b/>
        </w:rPr>
        <w:t>.</w:t>
      </w:r>
      <w:r w:rsidR="000C71FC">
        <w:rPr>
          <w:rStyle w:val="FootnoteReference"/>
          <w:b/>
        </w:rPr>
        <w:footnoteReference w:id="5"/>
      </w:r>
      <w:r w:rsidRPr="00992643">
        <w:t xml:space="preserve"> </w:t>
      </w:r>
      <w:r>
        <w:t xml:space="preserve">Local </w:t>
      </w:r>
      <w:r w:rsidR="00CB138A">
        <w:t>area leaders ha</w:t>
      </w:r>
      <w:r w:rsidR="00782110">
        <w:t>d</w:t>
      </w:r>
      <w:r w:rsidR="00CB138A">
        <w:t xml:space="preserve"> not promoted their local offers well enough</w:t>
      </w:r>
      <w:r w:rsidR="00ED3983">
        <w:t xml:space="preserve"> to parents or to frontline staff. </w:t>
      </w:r>
      <w:r w:rsidR="00CB138A">
        <w:t>As a result</w:t>
      </w:r>
      <w:r>
        <w:t>, v</w:t>
      </w:r>
      <w:r w:rsidRPr="00992643">
        <w:t>ery few parents use</w:t>
      </w:r>
      <w:r w:rsidR="00782110">
        <w:t>d</w:t>
      </w:r>
      <w:r w:rsidRPr="00992643">
        <w:t xml:space="preserve"> </w:t>
      </w:r>
      <w:r>
        <w:t>their area’s local offer</w:t>
      </w:r>
      <w:r w:rsidRPr="00992643">
        <w:t xml:space="preserve"> to access </w:t>
      </w:r>
      <w:r>
        <w:t xml:space="preserve">the </w:t>
      </w:r>
      <w:r w:rsidRPr="00992643">
        <w:t xml:space="preserve">information </w:t>
      </w:r>
      <w:r>
        <w:t>they need</w:t>
      </w:r>
      <w:r w:rsidR="00782110">
        <w:t>ed</w:t>
      </w:r>
      <w:r w:rsidR="009C6BA6">
        <w:t xml:space="preserve"> because </w:t>
      </w:r>
      <w:r w:rsidR="00CB138A">
        <w:t xml:space="preserve">they </w:t>
      </w:r>
      <w:r w:rsidR="00782110">
        <w:t>we</w:t>
      </w:r>
      <w:r w:rsidR="00CB138A">
        <w:t xml:space="preserve">re unaware </w:t>
      </w:r>
      <w:r w:rsidR="000C71FC">
        <w:t xml:space="preserve">that </w:t>
      </w:r>
      <w:r w:rsidR="00CB138A">
        <w:t>the local offer exist</w:t>
      </w:r>
      <w:r w:rsidR="00782110">
        <w:t>ed</w:t>
      </w:r>
      <w:r>
        <w:t xml:space="preserve">. </w:t>
      </w:r>
    </w:p>
    <w:p w14:paraId="1073A021" w14:textId="78B37F57" w:rsidR="005F6CBA" w:rsidRDefault="009C6BA6" w:rsidP="005F6CBA">
      <w:pPr>
        <w:pStyle w:val="Bulletskeyfindings-lastbullet"/>
      </w:pPr>
      <w:r>
        <w:rPr>
          <w:b/>
        </w:rPr>
        <w:t xml:space="preserve">Local area leaders have had varied success in </w:t>
      </w:r>
      <w:r w:rsidR="009F2AD6">
        <w:rPr>
          <w:b/>
        </w:rPr>
        <w:t xml:space="preserve">securing the use of </w:t>
      </w:r>
      <w:r w:rsidR="005F6CBA" w:rsidRPr="0006216F">
        <w:rPr>
          <w:b/>
        </w:rPr>
        <w:t>personal budgets</w:t>
      </w:r>
      <w:r w:rsidR="000C71FC">
        <w:rPr>
          <w:b/>
        </w:rPr>
        <w:t>.</w:t>
      </w:r>
      <w:r w:rsidR="005F6CBA">
        <w:rPr>
          <w:rStyle w:val="FootnoteReference"/>
          <w:b/>
        </w:rPr>
        <w:footnoteReference w:id="6"/>
      </w:r>
      <w:r w:rsidR="005F6CBA">
        <w:t xml:space="preserve"> In some local areas, leaders have supported families by allowing a freer approach to how personal budgets can be accessed and used. However, </w:t>
      </w:r>
      <w:r w:rsidR="007131AC">
        <w:t xml:space="preserve">in just under </w:t>
      </w:r>
      <w:r w:rsidR="00EB1A84">
        <w:t xml:space="preserve">half </w:t>
      </w:r>
      <w:r w:rsidR="007131AC">
        <w:t>of</w:t>
      </w:r>
      <w:r w:rsidR="005F6CBA">
        <w:t xml:space="preserve"> </w:t>
      </w:r>
      <w:r w:rsidR="00F37113">
        <w:t xml:space="preserve">the </w:t>
      </w:r>
      <w:r w:rsidR="005F6CBA">
        <w:t xml:space="preserve">local areas </w:t>
      </w:r>
      <w:r w:rsidR="007131AC">
        <w:t>inspected</w:t>
      </w:r>
      <w:r w:rsidR="000C71FC">
        <w:t>,</w:t>
      </w:r>
      <w:r w:rsidR="00EB1A84">
        <w:t xml:space="preserve"> there were less than </w:t>
      </w:r>
      <w:r w:rsidR="000C71FC">
        <w:t xml:space="preserve">five </w:t>
      </w:r>
      <w:r w:rsidR="00EB1A84">
        <w:t>personal budgets allocated</w:t>
      </w:r>
      <w:r w:rsidR="000C71FC">
        <w:t>.</w:t>
      </w:r>
      <w:r w:rsidR="00EB1A84">
        <w:t xml:space="preserve"> </w:t>
      </w:r>
      <w:r w:rsidR="000C71FC">
        <w:t>I</w:t>
      </w:r>
      <w:r w:rsidR="00EB1A84">
        <w:t>n three local areas</w:t>
      </w:r>
      <w:r w:rsidR="000C71FC">
        <w:t>,</w:t>
      </w:r>
      <w:r w:rsidR="00EB1A84">
        <w:t xml:space="preserve"> there</w:t>
      </w:r>
      <w:r w:rsidR="005F6CBA">
        <w:t xml:space="preserve"> ha</w:t>
      </w:r>
      <w:r w:rsidR="00782110">
        <w:t>d</w:t>
      </w:r>
      <w:r w:rsidR="005F6CBA">
        <w:t xml:space="preserve"> been a zero uptake </w:t>
      </w:r>
      <w:r w:rsidR="00EB1A84">
        <w:t>altogether</w:t>
      </w:r>
      <w:r w:rsidR="005F6CBA">
        <w:t>. Typically, this ha</w:t>
      </w:r>
      <w:r w:rsidR="00782110">
        <w:t>d</w:t>
      </w:r>
      <w:r w:rsidR="005F6CBA">
        <w:t xml:space="preserve"> been as a result of difficulties in developing a cost-efficient way to balance parental choice with constrained budgets. </w:t>
      </w:r>
    </w:p>
    <w:p w14:paraId="0E96B73A" w14:textId="70DDF24D" w:rsidR="00037506" w:rsidRDefault="00037506" w:rsidP="00585935">
      <w:pPr>
        <w:pStyle w:val="Bulletskeyfindings"/>
      </w:pPr>
      <w:r w:rsidRPr="00585935">
        <w:rPr>
          <w:b/>
        </w:rPr>
        <w:t xml:space="preserve">The proportions of young people who have SEND who are not in education, employment and training </w:t>
      </w:r>
      <w:r w:rsidR="00782110">
        <w:rPr>
          <w:b/>
        </w:rPr>
        <w:t>were</w:t>
      </w:r>
      <w:r w:rsidR="000C71FC" w:rsidRPr="00585935">
        <w:rPr>
          <w:b/>
        </w:rPr>
        <w:t xml:space="preserve"> </w:t>
      </w:r>
      <w:r w:rsidRPr="00585935">
        <w:rPr>
          <w:b/>
        </w:rPr>
        <w:t xml:space="preserve">low, </w:t>
      </w:r>
      <w:proofErr w:type="gramStart"/>
      <w:r w:rsidRPr="00585935">
        <w:rPr>
          <w:b/>
        </w:rPr>
        <w:t>particularly</w:t>
      </w:r>
      <w:proofErr w:type="gramEnd"/>
      <w:r w:rsidRPr="00585935">
        <w:rPr>
          <w:b/>
        </w:rPr>
        <w:t xml:space="preserve"> for those who ha</w:t>
      </w:r>
      <w:r w:rsidR="00782110">
        <w:rPr>
          <w:b/>
        </w:rPr>
        <w:t>d</w:t>
      </w:r>
      <w:r w:rsidRPr="00585935">
        <w:rPr>
          <w:b/>
        </w:rPr>
        <w:t xml:space="preserve"> an EHC plan.</w:t>
      </w:r>
      <w:r w:rsidRPr="00D26595">
        <w:t xml:space="preserve"> </w:t>
      </w:r>
      <w:r>
        <w:t>In 12 of the 30 local areas inspected, inspectors identified a strength in how leaders ha</w:t>
      </w:r>
      <w:r w:rsidR="00782110">
        <w:t>d</w:t>
      </w:r>
      <w:r>
        <w:t xml:space="preserve"> secured appropriate education, employment and training post-16. </w:t>
      </w:r>
    </w:p>
    <w:p w14:paraId="4794AA5F" w14:textId="0DA55A07" w:rsidR="00037506" w:rsidRPr="00DC7156" w:rsidRDefault="002934B2" w:rsidP="00DC7156">
      <w:pPr>
        <w:pStyle w:val="Bulletskeyfindings-lastbullet"/>
        <w:rPr>
          <w:b/>
          <w:bCs/>
        </w:rPr>
      </w:pPr>
      <w:r w:rsidRPr="00585935">
        <w:rPr>
          <w:b/>
        </w:rPr>
        <w:t xml:space="preserve">Children and young people who have SEND and their families typically </w:t>
      </w:r>
      <w:r w:rsidR="001C5504">
        <w:rPr>
          <w:b/>
        </w:rPr>
        <w:t>had</w:t>
      </w:r>
      <w:r w:rsidR="001C5504" w:rsidRPr="00585935">
        <w:rPr>
          <w:b/>
        </w:rPr>
        <w:t xml:space="preserve"> </w:t>
      </w:r>
      <w:r w:rsidRPr="00585935">
        <w:rPr>
          <w:b/>
        </w:rPr>
        <w:t xml:space="preserve">good access to high-quality short breaks. </w:t>
      </w:r>
      <w:r w:rsidRPr="000C71FC">
        <w:rPr>
          <w:bCs/>
        </w:rPr>
        <w:t>Inspectors found</w:t>
      </w:r>
      <w:r w:rsidRPr="00E415CA">
        <w:rPr>
          <w:bCs/>
        </w:rPr>
        <w:t xml:space="preserve"> only one local area where access to short breaks was weak.</w:t>
      </w:r>
    </w:p>
    <w:p w14:paraId="72D156EB" w14:textId="77777777" w:rsidR="005F6CBA" w:rsidRPr="00997B57" w:rsidRDefault="005F6CBA" w:rsidP="005F6CBA">
      <w:pPr>
        <w:pStyle w:val="Heading1"/>
      </w:pPr>
      <w:bookmarkStart w:id="6" w:name="_Toc491089461"/>
      <w:bookmarkStart w:id="7" w:name="_Toc495392052"/>
      <w:r w:rsidRPr="00997B57">
        <w:t>Findings</w:t>
      </w:r>
      <w:r>
        <w:t xml:space="preserve"> </w:t>
      </w:r>
      <w:r w:rsidRPr="0006216F">
        <w:t>against</w:t>
      </w:r>
      <w:r>
        <w:t xml:space="preserve"> the three main aspects of the framework</w:t>
      </w:r>
      <w:bookmarkEnd w:id="6"/>
      <w:bookmarkEnd w:id="7"/>
    </w:p>
    <w:p w14:paraId="0296432F" w14:textId="77777777" w:rsidR="005F6CBA" w:rsidRDefault="005F6CBA" w:rsidP="005F6CBA">
      <w:pPr>
        <w:pStyle w:val="Heading2"/>
      </w:pPr>
      <w:bookmarkStart w:id="8" w:name="_Toc491089462"/>
      <w:bookmarkStart w:id="9" w:name="_Toc495392053"/>
      <w:r>
        <w:t xml:space="preserve">The effectiveness of </w:t>
      </w:r>
      <w:r w:rsidRPr="006D066D">
        <w:t>local area</w:t>
      </w:r>
      <w:r>
        <w:t>s</w:t>
      </w:r>
      <w:r w:rsidRPr="006D066D">
        <w:t xml:space="preserve"> in identifying children and young people</w:t>
      </w:r>
      <w:r w:rsidR="003A507F">
        <w:t>’</w:t>
      </w:r>
      <w:r w:rsidRPr="006D066D">
        <w:t>s special educational needs and/or disabilities</w:t>
      </w:r>
      <w:bookmarkEnd w:id="8"/>
      <w:bookmarkEnd w:id="9"/>
    </w:p>
    <w:p w14:paraId="39F80002" w14:textId="7CDD2804" w:rsidR="005F6CBA" w:rsidRDefault="00C85601" w:rsidP="00DC7156">
      <w:pPr>
        <w:pStyle w:val="Numberedparagraph"/>
      </w:pPr>
      <w:r>
        <w:rPr>
          <w:rFonts w:eastAsia="Calibri"/>
        </w:rPr>
        <w:t xml:space="preserve">Although parents of children whose needs </w:t>
      </w:r>
      <w:r w:rsidR="001C5504">
        <w:rPr>
          <w:rFonts w:eastAsia="Calibri"/>
        </w:rPr>
        <w:t>we</w:t>
      </w:r>
      <w:r>
        <w:rPr>
          <w:rFonts w:eastAsia="Calibri"/>
        </w:rPr>
        <w:t xml:space="preserve">re identified early </w:t>
      </w:r>
      <w:r w:rsidR="001C5504">
        <w:rPr>
          <w:rFonts w:eastAsia="Calibri"/>
        </w:rPr>
        <w:t>we</w:t>
      </w:r>
      <w:r>
        <w:rPr>
          <w:rFonts w:eastAsia="Calibri"/>
        </w:rPr>
        <w:t>re positive about the support they receive</w:t>
      </w:r>
      <w:r w:rsidR="001C5504">
        <w:rPr>
          <w:rFonts w:eastAsia="Calibri"/>
        </w:rPr>
        <w:t>d</w:t>
      </w:r>
      <w:r w:rsidR="005F6CBA" w:rsidRPr="00D643C0">
        <w:rPr>
          <w:rFonts w:eastAsia="Calibri"/>
        </w:rPr>
        <w:t xml:space="preserve">, parents of school-aged children </w:t>
      </w:r>
      <w:r w:rsidR="001C5504">
        <w:rPr>
          <w:rFonts w:eastAsia="Calibri"/>
        </w:rPr>
        <w:t>we</w:t>
      </w:r>
      <w:r w:rsidR="005F6CBA" w:rsidRPr="00D643C0">
        <w:rPr>
          <w:rFonts w:eastAsia="Calibri"/>
        </w:rPr>
        <w:t>re not involved well enough during the process of identification. As a result</w:t>
      </w:r>
      <w:r w:rsidR="007C2603">
        <w:rPr>
          <w:rFonts w:eastAsia="Calibri"/>
        </w:rPr>
        <w:t>,</w:t>
      </w:r>
      <w:r w:rsidR="005F6CBA" w:rsidRPr="00D643C0">
        <w:rPr>
          <w:rFonts w:eastAsia="Calibri"/>
        </w:rPr>
        <w:t xml:space="preserve"> parents </w:t>
      </w:r>
      <w:r w:rsidR="001C5504">
        <w:rPr>
          <w:rFonts w:eastAsia="Calibri"/>
        </w:rPr>
        <w:t>we</w:t>
      </w:r>
      <w:r w:rsidR="005F6CBA" w:rsidRPr="00D643C0">
        <w:rPr>
          <w:rFonts w:eastAsia="Calibri"/>
        </w:rPr>
        <w:t>re confused about what happen</w:t>
      </w:r>
      <w:r w:rsidR="001C5504">
        <w:rPr>
          <w:rFonts w:eastAsia="Calibri"/>
        </w:rPr>
        <w:t>ed</w:t>
      </w:r>
      <w:r w:rsidR="005F6CBA" w:rsidRPr="00D643C0">
        <w:rPr>
          <w:rFonts w:eastAsia="Calibri"/>
        </w:rPr>
        <w:t xml:space="preserve"> when</w:t>
      </w:r>
      <w:r w:rsidR="001C5504">
        <w:rPr>
          <w:rFonts w:eastAsia="Calibri"/>
        </w:rPr>
        <w:t xml:space="preserve"> a decision to assess</w:t>
      </w:r>
      <w:r w:rsidR="007C2603">
        <w:rPr>
          <w:rFonts w:eastAsia="Calibri"/>
        </w:rPr>
        <w:t xml:space="preserve"> their child</w:t>
      </w:r>
      <w:r w:rsidR="001C5504">
        <w:rPr>
          <w:rFonts w:eastAsia="Calibri"/>
        </w:rPr>
        <w:t>’s</w:t>
      </w:r>
      <w:r w:rsidR="007C2603">
        <w:rPr>
          <w:rFonts w:eastAsia="Calibri"/>
        </w:rPr>
        <w:t xml:space="preserve"> need</w:t>
      </w:r>
      <w:r w:rsidR="001C5504">
        <w:rPr>
          <w:rFonts w:eastAsia="Calibri"/>
        </w:rPr>
        <w:t>s had been agreed</w:t>
      </w:r>
      <w:r w:rsidR="005F6CBA" w:rsidRPr="00D643C0">
        <w:rPr>
          <w:rFonts w:eastAsia="Calibri"/>
        </w:rPr>
        <w:t xml:space="preserve">. They </w:t>
      </w:r>
      <w:r w:rsidR="001C5504">
        <w:rPr>
          <w:rFonts w:eastAsia="Calibri"/>
        </w:rPr>
        <w:t>we</w:t>
      </w:r>
      <w:r w:rsidR="005F6CBA" w:rsidRPr="00D643C0">
        <w:rPr>
          <w:rFonts w:eastAsia="Calibri"/>
        </w:rPr>
        <w:t>re often unclear about what ha</w:t>
      </w:r>
      <w:r w:rsidR="001C5504">
        <w:rPr>
          <w:rFonts w:eastAsia="Calibri"/>
        </w:rPr>
        <w:t>d</w:t>
      </w:r>
      <w:r w:rsidR="005F6CBA" w:rsidRPr="00D643C0">
        <w:rPr>
          <w:rFonts w:eastAsia="Calibri"/>
        </w:rPr>
        <w:t xml:space="preserve"> been used to inform decisions, for example about whether a statutory assessment </w:t>
      </w:r>
      <w:r w:rsidR="001C5504">
        <w:rPr>
          <w:rFonts w:eastAsia="Calibri"/>
        </w:rPr>
        <w:t>wa</w:t>
      </w:r>
      <w:r w:rsidR="005F6CBA" w:rsidRPr="00D643C0">
        <w:rPr>
          <w:rFonts w:eastAsia="Calibri"/>
        </w:rPr>
        <w:t>s necessary or why it ha</w:t>
      </w:r>
      <w:r w:rsidR="001C5504">
        <w:rPr>
          <w:rFonts w:eastAsia="Calibri"/>
        </w:rPr>
        <w:t>d</w:t>
      </w:r>
      <w:r w:rsidR="005F6CBA" w:rsidRPr="00D643C0">
        <w:rPr>
          <w:rFonts w:eastAsia="Calibri"/>
        </w:rPr>
        <w:t xml:space="preserve"> been refused. Consequently, some parents lack</w:t>
      </w:r>
      <w:r w:rsidR="001C5504">
        <w:rPr>
          <w:rFonts w:eastAsia="Calibri"/>
        </w:rPr>
        <w:t>ed</w:t>
      </w:r>
      <w:r w:rsidR="005F6CBA" w:rsidRPr="00D643C0">
        <w:rPr>
          <w:rFonts w:eastAsia="Calibri"/>
        </w:rPr>
        <w:t xml:space="preserve"> confidence that decisions </w:t>
      </w:r>
      <w:r w:rsidR="001C5504">
        <w:rPr>
          <w:rFonts w:eastAsia="Calibri"/>
        </w:rPr>
        <w:t>we</w:t>
      </w:r>
      <w:r w:rsidR="005F6CBA" w:rsidRPr="00D643C0">
        <w:rPr>
          <w:rFonts w:eastAsia="Calibri"/>
        </w:rPr>
        <w:t>re fair and equitable, because of a perceived lack of transparency.</w:t>
      </w:r>
    </w:p>
    <w:p w14:paraId="26BE911E" w14:textId="799025DF" w:rsidR="005F6CBA" w:rsidRDefault="005F6CBA">
      <w:pPr>
        <w:pStyle w:val="Numberedparagraph"/>
      </w:pPr>
      <w:r w:rsidRPr="00992643">
        <w:t xml:space="preserve">In the </w:t>
      </w:r>
      <w:r>
        <w:t>poorest</w:t>
      </w:r>
      <w:r w:rsidRPr="00992643">
        <w:t xml:space="preserve"> examples</w:t>
      </w:r>
      <w:r>
        <w:t>, parents had not</w:t>
      </w:r>
      <w:r w:rsidRPr="00992643">
        <w:t xml:space="preserve"> been informed </w:t>
      </w:r>
      <w:r>
        <w:t>that assessments were being carried out</w:t>
      </w:r>
      <w:r w:rsidRPr="00992643">
        <w:t xml:space="preserve">. </w:t>
      </w:r>
      <w:r>
        <w:t>I</w:t>
      </w:r>
      <w:r w:rsidRPr="00992643">
        <w:t xml:space="preserve">n one local area, the paperwork to </w:t>
      </w:r>
      <w:r>
        <w:t>gain</w:t>
      </w:r>
      <w:r w:rsidRPr="00992643">
        <w:t xml:space="preserve"> consent from parents to share information </w:t>
      </w:r>
      <w:r>
        <w:t>was</w:t>
      </w:r>
      <w:r w:rsidRPr="00992643">
        <w:t xml:space="preserve"> out</w:t>
      </w:r>
      <w:r>
        <w:t xml:space="preserve"> of date. Therefore,</w:t>
      </w:r>
      <w:r w:rsidRPr="00992643">
        <w:t xml:space="preserve"> parents </w:t>
      </w:r>
      <w:r>
        <w:t xml:space="preserve">had </w:t>
      </w:r>
      <w:r w:rsidRPr="00992643">
        <w:t>not been kept up to speed with professionals’ views about what their children</w:t>
      </w:r>
      <w:r>
        <w:t>’s needs were or what provision might be</w:t>
      </w:r>
      <w:r w:rsidRPr="00992643">
        <w:t xml:space="preserve"> need</w:t>
      </w:r>
      <w:r>
        <w:t>ed</w:t>
      </w:r>
      <w:r w:rsidRPr="00992643">
        <w:t xml:space="preserve">. </w:t>
      </w:r>
      <w:r>
        <w:t>I</w:t>
      </w:r>
      <w:r w:rsidRPr="00992643">
        <w:t xml:space="preserve">n several local areas, the ‘tell it once’ </w:t>
      </w:r>
      <w:r w:rsidR="00CF7E1F" w:rsidRPr="00992643">
        <w:t>princip</w:t>
      </w:r>
      <w:r w:rsidR="00CF7E1F">
        <w:t>le</w:t>
      </w:r>
      <w:r w:rsidR="00CF7E1F" w:rsidRPr="00992643">
        <w:t xml:space="preserve"> </w:t>
      </w:r>
      <w:r w:rsidR="001C5504">
        <w:t>wa</w:t>
      </w:r>
      <w:r w:rsidRPr="00992643">
        <w:t>s not embedded well</w:t>
      </w:r>
      <w:r>
        <w:t>.</w:t>
      </w:r>
      <w:r w:rsidR="00A2593C" w:rsidRPr="00A2593C">
        <w:rPr>
          <w:vertAlign w:val="superscript"/>
        </w:rPr>
        <w:t xml:space="preserve"> </w:t>
      </w:r>
      <w:r w:rsidR="00A2593C" w:rsidRPr="00A2593C">
        <w:rPr>
          <w:vertAlign w:val="superscript"/>
        </w:rPr>
        <w:footnoteReference w:id="7"/>
      </w:r>
      <w:r>
        <w:t xml:space="preserve"> Parents continue</w:t>
      </w:r>
      <w:r w:rsidR="001C5504">
        <w:t>d</w:t>
      </w:r>
      <w:r>
        <w:t xml:space="preserve"> to have to tell their story</w:t>
      </w:r>
      <w:r w:rsidR="00CF7E1F" w:rsidRPr="00CF7E1F">
        <w:t xml:space="preserve"> </w:t>
      </w:r>
      <w:r w:rsidR="00CF7E1F">
        <w:t>repeatedly</w:t>
      </w:r>
      <w:r w:rsidR="00A40563">
        <w:t xml:space="preserve"> </w:t>
      </w:r>
      <w:r>
        <w:t>to different professionals</w:t>
      </w:r>
      <w:r w:rsidR="00A40563">
        <w:t xml:space="preserve">; this </w:t>
      </w:r>
      <w:r w:rsidR="001C5504">
        <w:t>wa</w:t>
      </w:r>
      <w:r w:rsidR="0068261E">
        <w:t xml:space="preserve">s not only inefficient and annoying, </w:t>
      </w:r>
      <w:r w:rsidR="001C5504">
        <w:t>but</w:t>
      </w:r>
      <w:r w:rsidR="00A40563">
        <w:t xml:space="preserve"> </w:t>
      </w:r>
      <w:r w:rsidR="008F4B3B">
        <w:t>also</w:t>
      </w:r>
      <w:r w:rsidR="00A40563">
        <w:t xml:space="preserve"> distressing for them</w:t>
      </w:r>
      <w:r w:rsidRPr="00992643">
        <w:t>.</w:t>
      </w:r>
    </w:p>
    <w:p w14:paraId="7F5EEF7F" w14:textId="4A906B82" w:rsidR="005F6CBA" w:rsidRDefault="009F2AD6">
      <w:pPr>
        <w:pStyle w:val="Numberedparagraph"/>
      </w:pPr>
      <w:r>
        <w:t>The established joint working of professionals from education, health and care in early years settings ha</w:t>
      </w:r>
      <w:r w:rsidR="001C5504">
        <w:t>d</w:t>
      </w:r>
      <w:r>
        <w:t xml:space="preserve"> ensured that children </w:t>
      </w:r>
      <w:r w:rsidR="00144C56">
        <w:t xml:space="preserve">who have SEND </w:t>
      </w:r>
      <w:r>
        <w:t>ha</w:t>
      </w:r>
      <w:r w:rsidR="001C5504">
        <w:t>d</w:t>
      </w:r>
      <w:r>
        <w:t xml:space="preserve"> effective plans to move from early years to school. For example, n</w:t>
      </w:r>
      <w:r w:rsidRPr="0048004B">
        <w:t xml:space="preserve">ursery staff, health visitors and portage </w:t>
      </w:r>
      <w:r>
        <w:t xml:space="preserve">services </w:t>
      </w:r>
      <w:r w:rsidRPr="0048004B">
        <w:t>(</w:t>
      </w:r>
      <w:r w:rsidR="007131AC" w:rsidRPr="0048004B">
        <w:t>whe</w:t>
      </w:r>
      <w:r w:rsidR="007131AC">
        <w:t xml:space="preserve">re </w:t>
      </w:r>
      <w:r w:rsidRPr="0048004B">
        <w:t>they still exist</w:t>
      </w:r>
      <w:r>
        <w:t>) ensured</w:t>
      </w:r>
      <w:r w:rsidRPr="0048004B">
        <w:t xml:space="preserve"> </w:t>
      </w:r>
      <w:r w:rsidR="00A2593C">
        <w:t xml:space="preserve">that </w:t>
      </w:r>
      <w:r>
        <w:t>children with an early diagnosis of autism benefit</w:t>
      </w:r>
      <w:r w:rsidR="001C5504">
        <w:t>ed</w:t>
      </w:r>
      <w:r>
        <w:t xml:space="preserve"> from a tailored transition into school.</w:t>
      </w:r>
      <w:r w:rsidR="00A2593C" w:rsidRPr="00A2593C">
        <w:rPr>
          <w:rStyle w:val="FootnoteReference"/>
        </w:rPr>
        <w:t xml:space="preserve"> </w:t>
      </w:r>
      <w:r w:rsidR="00A2593C">
        <w:rPr>
          <w:rStyle w:val="FootnoteReference"/>
        </w:rPr>
        <w:footnoteReference w:id="8"/>
      </w:r>
      <w:r>
        <w:t xml:space="preserve"> </w:t>
      </w:r>
    </w:p>
    <w:p w14:paraId="7114BA08" w14:textId="3A63CB0B" w:rsidR="005F6CBA" w:rsidRDefault="00455C72">
      <w:pPr>
        <w:pStyle w:val="Numberedparagraph"/>
      </w:pPr>
      <w:r>
        <w:t xml:space="preserve">Many children and young people identified as having </w:t>
      </w:r>
      <w:r w:rsidR="009B16AA">
        <w:t>social, emotional and mental health (</w:t>
      </w:r>
      <w:r w:rsidR="00880F33">
        <w:t>SEMH</w:t>
      </w:r>
      <w:r w:rsidR="009B16AA">
        <w:t>)</w:t>
      </w:r>
      <w:r>
        <w:t xml:space="preserve"> needs </w:t>
      </w:r>
      <w:r w:rsidR="001C5504">
        <w:t xml:space="preserve">could not </w:t>
      </w:r>
      <w:r w:rsidR="00D729CC">
        <w:t xml:space="preserve">access the support they </w:t>
      </w:r>
      <w:r w:rsidR="00175B45">
        <w:t>require</w:t>
      </w:r>
      <w:r w:rsidR="001C5504">
        <w:t>d</w:t>
      </w:r>
      <w:r>
        <w:t>. The</w:t>
      </w:r>
      <w:r w:rsidR="007131AC">
        <w:t xml:space="preserve"> process for being referred to CAMHS </w:t>
      </w:r>
      <w:r w:rsidR="001C5504">
        <w:t>wa</w:t>
      </w:r>
      <w:r w:rsidR="007131AC">
        <w:t>s not working well enough</w:t>
      </w:r>
      <w:r w:rsidR="00B0768C">
        <w:t xml:space="preserve"> and there </w:t>
      </w:r>
      <w:r w:rsidR="001C5504">
        <w:t>wa</w:t>
      </w:r>
      <w:r w:rsidR="00B0768C">
        <w:t xml:space="preserve">s too little else to support children and young people </w:t>
      </w:r>
      <w:r w:rsidR="001760A0">
        <w:t>who have</w:t>
      </w:r>
      <w:r w:rsidR="00B0768C">
        <w:t xml:space="preserve"> mental health difficulties.</w:t>
      </w:r>
      <w:r>
        <w:t xml:space="preserve"> </w:t>
      </w:r>
      <w:r w:rsidR="005F6CBA" w:rsidRPr="00E52944">
        <w:t xml:space="preserve">In </w:t>
      </w:r>
      <w:r w:rsidR="005F6CBA">
        <w:t>many areas</w:t>
      </w:r>
      <w:r w:rsidR="005F6CBA" w:rsidRPr="00E52944">
        <w:t>, there ha</w:t>
      </w:r>
      <w:r w:rsidR="001C5504">
        <w:t>d</w:t>
      </w:r>
      <w:r w:rsidR="005F6CBA" w:rsidRPr="00E52944">
        <w:t xml:space="preserve"> been a significant rise in the number of referrals to CAMHS. </w:t>
      </w:r>
      <w:r w:rsidR="005F6CBA">
        <w:t>However, l</w:t>
      </w:r>
      <w:r w:rsidR="005F6CBA" w:rsidRPr="00E52944">
        <w:t>eaders of CAM</w:t>
      </w:r>
      <w:r w:rsidR="005F6CBA">
        <w:t>HS frequently report</w:t>
      </w:r>
      <w:r w:rsidR="001C5504">
        <w:t>ed</w:t>
      </w:r>
      <w:r w:rsidR="005F6CBA">
        <w:t xml:space="preserve"> that they</w:t>
      </w:r>
      <w:r w:rsidR="005F6CBA" w:rsidRPr="00E52944">
        <w:t xml:space="preserve"> ha</w:t>
      </w:r>
      <w:r w:rsidR="001C5504">
        <w:t>d</w:t>
      </w:r>
      <w:r w:rsidR="005F6CBA" w:rsidRPr="00E52944">
        <w:t xml:space="preserve"> to reject referrals because</w:t>
      </w:r>
      <w:r w:rsidR="00CF7E1F">
        <w:t xml:space="preserve"> the</w:t>
      </w:r>
      <w:r w:rsidR="005F6CBA" w:rsidRPr="00E52944">
        <w:t xml:space="preserve"> children and young people d</w:t>
      </w:r>
      <w:r w:rsidR="001C5504">
        <w:t>id</w:t>
      </w:r>
      <w:r w:rsidR="005F6CBA" w:rsidRPr="00E52944">
        <w:t xml:space="preserve"> not meet the </w:t>
      </w:r>
      <w:r w:rsidR="0010375B">
        <w:t>service</w:t>
      </w:r>
      <w:r w:rsidR="001C5504">
        <w:t>’s</w:t>
      </w:r>
      <w:r w:rsidR="0010375B">
        <w:t xml:space="preserve"> </w:t>
      </w:r>
      <w:r w:rsidR="005F6CBA" w:rsidRPr="00E52944">
        <w:t xml:space="preserve">thresholds. </w:t>
      </w:r>
      <w:r w:rsidR="00B0768C">
        <w:t>Some local area leaders ha</w:t>
      </w:r>
      <w:r w:rsidR="001C5504">
        <w:t>d</w:t>
      </w:r>
      <w:r w:rsidR="00B0768C">
        <w:t xml:space="preserve"> identified the need to implement </w:t>
      </w:r>
      <w:r w:rsidR="001C5504">
        <w:t>new strategies to support children and young people’s mental health</w:t>
      </w:r>
      <w:r w:rsidR="00B0768C">
        <w:t xml:space="preserve">, particularly in schools. However, even where this was the case, strategies were yet to demonstrate an impact. </w:t>
      </w:r>
    </w:p>
    <w:p w14:paraId="55332657" w14:textId="403A18E4" w:rsidR="005F6CBA" w:rsidRPr="00471782" w:rsidRDefault="005F6CBA">
      <w:pPr>
        <w:pStyle w:val="Numberedparagraph"/>
      </w:pPr>
      <w:r>
        <w:t>W</w:t>
      </w:r>
      <w:r w:rsidRPr="00471782">
        <w:t>idely used statutory frameworks, such as the healthy child programme, support</w:t>
      </w:r>
      <w:r w:rsidR="001C5504">
        <w:t>ed</w:t>
      </w:r>
      <w:r w:rsidRPr="00471782">
        <w:t xml:space="preserve"> efficient and timely identification when children d</w:t>
      </w:r>
      <w:r w:rsidR="001C5504">
        <w:t>id</w:t>
      </w:r>
      <w:r w:rsidRPr="00471782">
        <w:t xml:space="preserve"> not meet early milestones. In many local areas, ante- and neo-natal checks were increasingly effective at picking up children who ha</w:t>
      </w:r>
      <w:r w:rsidR="001C5504">
        <w:t>d</w:t>
      </w:r>
      <w:r w:rsidRPr="00471782">
        <w:t xml:space="preserve"> the most complex special educational needs and/or disabilities. Consequently, early identification for children aged </w:t>
      </w:r>
      <w:r w:rsidR="00B00F35">
        <w:t>birth to</w:t>
      </w:r>
      <w:r w:rsidRPr="00471782">
        <w:t xml:space="preserve"> five ha</w:t>
      </w:r>
      <w:r w:rsidR="001C5504">
        <w:t>d</w:t>
      </w:r>
      <w:r w:rsidRPr="00471782">
        <w:t xml:space="preserve"> strengthened, particularly for those with the most complex needs. </w:t>
      </w:r>
    </w:p>
    <w:p w14:paraId="14C33E81" w14:textId="77777777" w:rsidR="005F6CBA" w:rsidRPr="00471782" w:rsidRDefault="005F6CBA" w:rsidP="005F6CBA">
      <w:pPr>
        <w:shd w:val="clear" w:color="auto" w:fill="CCCCCC"/>
        <w:spacing w:after="240"/>
        <w:ind w:left="1134"/>
      </w:pPr>
      <w:r w:rsidRPr="00471782">
        <w:t xml:space="preserve">In Waltham Forest, many parents were complimentary about the work of the early </w:t>
      </w:r>
      <w:proofErr w:type="spellStart"/>
      <w:proofErr w:type="gramStart"/>
      <w:r w:rsidRPr="00471782">
        <w:t>years</w:t>
      </w:r>
      <w:proofErr w:type="gramEnd"/>
      <w:r w:rsidRPr="00471782">
        <w:t xml:space="preserve"> service</w:t>
      </w:r>
      <w:proofErr w:type="spellEnd"/>
      <w:r w:rsidRPr="00471782">
        <w:t xml:space="preserve"> and children and family centres. Professionals build positive relationships with families and understand their needs well. An increasing range of services can be accessed within the same centre</w:t>
      </w:r>
      <w:r w:rsidR="008C7975">
        <w:t>. J</w:t>
      </w:r>
      <w:r w:rsidRPr="00471782">
        <w:t>oint assessments are carried out whenever possible. Parents find this supportive, because it saves time and leads to speedier identification of SEND and fast-tracking to appropriate services.</w:t>
      </w:r>
    </w:p>
    <w:p w14:paraId="1AD9F026" w14:textId="2153EDF5" w:rsidR="005F6CBA" w:rsidRDefault="00FA2386">
      <w:pPr>
        <w:pStyle w:val="Numberedparagraph"/>
      </w:pPr>
      <w:r>
        <w:t>Too few</w:t>
      </w:r>
      <w:r w:rsidR="005F6CBA" w:rsidRPr="00471782">
        <w:t xml:space="preserve"> school staff ha</w:t>
      </w:r>
      <w:r w:rsidR="001C5504">
        <w:t>d</w:t>
      </w:r>
      <w:r w:rsidR="005F6CBA" w:rsidRPr="00471782">
        <w:t xml:space="preserve"> the knowledge and skills to identify </w:t>
      </w:r>
      <w:r w:rsidR="00FB3BF0" w:rsidRPr="00471782">
        <w:t xml:space="preserve">accurately </w:t>
      </w:r>
      <w:r w:rsidR="005F6CBA" w:rsidRPr="00471782">
        <w:t>when children and young people who are struggling in school</w:t>
      </w:r>
      <w:r w:rsidR="008C7975">
        <w:t xml:space="preserve"> need</w:t>
      </w:r>
      <w:r w:rsidR="001C5504">
        <w:t>ed</w:t>
      </w:r>
      <w:r w:rsidR="008C7975" w:rsidRPr="008C7975">
        <w:t xml:space="preserve"> </w:t>
      </w:r>
      <w:r w:rsidR="008C7975" w:rsidRPr="00471782">
        <w:t>further assessments</w:t>
      </w:r>
      <w:r w:rsidR="005F6CBA" w:rsidRPr="00471782">
        <w:t>. Poor joint</w:t>
      </w:r>
      <w:r w:rsidR="00544368">
        <w:t>-</w:t>
      </w:r>
      <w:r w:rsidR="005F6CBA" w:rsidRPr="00471782">
        <w:t xml:space="preserve">working arrangements between education, health and care for </w:t>
      </w:r>
      <w:r w:rsidR="00B36858">
        <w:t xml:space="preserve">school-aged </w:t>
      </w:r>
      <w:r w:rsidR="005F6CBA" w:rsidRPr="00471782">
        <w:t>children and young people mean</w:t>
      </w:r>
      <w:r w:rsidR="001C5504">
        <w:t>t</w:t>
      </w:r>
      <w:r w:rsidR="005F6CBA" w:rsidRPr="00471782">
        <w:t xml:space="preserve"> that the opportunity to get a holistic picture of </w:t>
      </w:r>
      <w:r w:rsidR="00B36858">
        <w:t xml:space="preserve">their </w:t>
      </w:r>
      <w:r w:rsidR="005F6CBA" w:rsidRPr="00471782">
        <w:t xml:space="preserve">needs </w:t>
      </w:r>
      <w:r w:rsidR="001C5504">
        <w:t>wa</w:t>
      </w:r>
      <w:r w:rsidR="005F6CBA" w:rsidRPr="00471782">
        <w:t xml:space="preserve">s not </w:t>
      </w:r>
      <w:r w:rsidR="008C7975">
        <w:t>used</w:t>
      </w:r>
      <w:r w:rsidR="008C7975" w:rsidRPr="00471782">
        <w:t xml:space="preserve"> </w:t>
      </w:r>
      <w:r w:rsidR="005F6CBA" w:rsidRPr="00471782">
        <w:t>in the way seen in the early years.</w:t>
      </w:r>
    </w:p>
    <w:p w14:paraId="54706E17" w14:textId="728072B7" w:rsidR="005F6CBA" w:rsidRDefault="005F6CBA" w:rsidP="005F6CBA">
      <w:pPr>
        <w:pStyle w:val="Heading2"/>
      </w:pPr>
      <w:bookmarkStart w:id="10" w:name="_Toc491089463"/>
      <w:bookmarkStart w:id="11" w:name="_Toc495392054"/>
      <w:r>
        <w:t>The effectiveness of</w:t>
      </w:r>
      <w:r w:rsidRPr="006D066D">
        <w:t xml:space="preserve"> local area</w:t>
      </w:r>
      <w:r>
        <w:t>s</w:t>
      </w:r>
      <w:r w:rsidRPr="006D066D">
        <w:t xml:space="preserve"> in meeting the needs o</w:t>
      </w:r>
      <w:r>
        <w:t>f children and young people who have</w:t>
      </w:r>
      <w:r w:rsidRPr="006D066D">
        <w:t xml:space="preserve"> special educational needs and/or disabilities</w:t>
      </w:r>
      <w:bookmarkEnd w:id="10"/>
      <w:bookmarkEnd w:id="11"/>
    </w:p>
    <w:p w14:paraId="120F92D2" w14:textId="27E8B0F2" w:rsidR="005F6CBA" w:rsidRDefault="00297E87">
      <w:pPr>
        <w:pStyle w:val="Numberedparagraph"/>
      </w:pPr>
      <w:r>
        <w:t>S</w:t>
      </w:r>
      <w:r w:rsidR="00455C72">
        <w:t xml:space="preserve">taff </w:t>
      </w:r>
      <w:r>
        <w:t xml:space="preserve">in special schools </w:t>
      </w:r>
      <w:r w:rsidR="00455C72">
        <w:t>assess</w:t>
      </w:r>
      <w:r w:rsidR="001C5504">
        <w:t>ed</w:t>
      </w:r>
      <w:r w:rsidR="00455C72">
        <w:t xml:space="preserve"> and met the needs of children and young people who have </w:t>
      </w:r>
      <w:r w:rsidR="00336E99">
        <w:t xml:space="preserve">SEND </w:t>
      </w:r>
      <w:r w:rsidR="00455C72">
        <w:t xml:space="preserve">more accurately than those in mainstream schools. </w:t>
      </w:r>
      <w:r w:rsidR="005F6CBA">
        <w:t xml:space="preserve">Children in </w:t>
      </w:r>
      <w:r w:rsidR="00455C72">
        <w:t xml:space="preserve">special </w:t>
      </w:r>
      <w:r w:rsidR="005F6CBA">
        <w:t>schools tend</w:t>
      </w:r>
      <w:r w:rsidR="001C5504">
        <w:t>ed</w:t>
      </w:r>
      <w:r w:rsidR="005F6CBA">
        <w:t xml:space="preserve"> to have </w:t>
      </w:r>
      <w:r w:rsidR="00336E99">
        <w:t>better</w:t>
      </w:r>
      <w:r w:rsidR="005F6CBA">
        <w:t xml:space="preserve"> access to the specialist support they need</w:t>
      </w:r>
      <w:r w:rsidR="001C5504">
        <w:t>ed</w:t>
      </w:r>
      <w:r w:rsidR="005F6CBA">
        <w:t xml:space="preserve">. Partnership working between education, health and care professionals </w:t>
      </w:r>
      <w:r w:rsidR="001C5504">
        <w:t>wa</w:t>
      </w:r>
      <w:r w:rsidR="005F6CBA">
        <w:t xml:space="preserve">s </w:t>
      </w:r>
      <w:r w:rsidR="00502008">
        <w:t>stronger</w:t>
      </w:r>
      <w:r w:rsidR="005F6CBA">
        <w:t xml:space="preserve"> in special schools than in mainstream education. Typically, there </w:t>
      </w:r>
      <w:r w:rsidR="001C5504">
        <w:t>we</w:t>
      </w:r>
      <w:r w:rsidR="005F6CBA">
        <w:t xml:space="preserve">re long-standing, established and effective working relationships between special school staff and practitioners from health and care settings. Consequently, the quality of </w:t>
      </w:r>
      <w:r w:rsidR="00556B4F">
        <w:t>education, health and care (</w:t>
      </w:r>
      <w:r w:rsidR="005F6CBA">
        <w:t>EHC</w:t>
      </w:r>
      <w:r w:rsidR="00556B4F">
        <w:t>)</w:t>
      </w:r>
      <w:r w:rsidR="005F6CBA">
        <w:t xml:space="preserve"> plans </w:t>
      </w:r>
      <w:r w:rsidR="001C5504">
        <w:t>wa</w:t>
      </w:r>
      <w:r w:rsidR="005F6CBA">
        <w:t xml:space="preserve">s usually stronger. </w:t>
      </w:r>
    </w:p>
    <w:p w14:paraId="4AF8EEF2" w14:textId="10C265FC" w:rsidR="005F6CBA" w:rsidRDefault="005F6CBA">
      <w:pPr>
        <w:pStyle w:val="Numberedparagraph"/>
      </w:pPr>
      <w:r w:rsidRPr="00322130">
        <w:t>The quality of EHC plans varie</w:t>
      </w:r>
      <w:r w:rsidR="001C5504">
        <w:t>d</w:t>
      </w:r>
      <w:r w:rsidRPr="00322130">
        <w:t xml:space="preserve"> </w:t>
      </w:r>
      <w:r w:rsidR="00B36858">
        <w:t xml:space="preserve">widely </w:t>
      </w:r>
      <w:r w:rsidRPr="00322130">
        <w:t>across</w:t>
      </w:r>
      <w:r>
        <w:t xml:space="preserve"> the </w:t>
      </w:r>
      <w:r w:rsidR="001C5504">
        <w:t>local areas inspected</w:t>
      </w:r>
      <w:r>
        <w:t>. Most local areas</w:t>
      </w:r>
      <w:r w:rsidRPr="00322130">
        <w:t xml:space="preserve"> complete</w:t>
      </w:r>
      <w:r w:rsidR="001C5504">
        <w:t>d</w:t>
      </w:r>
      <w:r w:rsidRPr="00322130">
        <w:t xml:space="preserve"> new EHC plans in the 20-week timescale, but too many d</w:t>
      </w:r>
      <w:r w:rsidR="001C5504">
        <w:t>id</w:t>
      </w:r>
      <w:r w:rsidRPr="00322130">
        <w:t xml:space="preserve"> not. Even when local areas </w:t>
      </w:r>
      <w:r w:rsidR="001C5504">
        <w:t>were</w:t>
      </w:r>
      <w:r w:rsidRPr="00322130">
        <w:t xml:space="preserve"> complet</w:t>
      </w:r>
      <w:r w:rsidR="001C5504">
        <w:t>ing</w:t>
      </w:r>
      <w:r w:rsidRPr="00322130">
        <w:t xml:space="preserve"> them on time, many d</w:t>
      </w:r>
      <w:r w:rsidR="001C5504">
        <w:t>id</w:t>
      </w:r>
      <w:r w:rsidRPr="00322130">
        <w:t xml:space="preserve"> not provide the holistic view of the child’s needs </w:t>
      </w:r>
      <w:r w:rsidR="00455C72">
        <w:t>or</w:t>
      </w:r>
      <w:r w:rsidRPr="00322130">
        <w:t xml:space="preserve"> of the desired outcomes across education, health and care that the reforms within the Code of Practice </w:t>
      </w:r>
      <w:r w:rsidR="007F2972">
        <w:t>have been</w:t>
      </w:r>
      <w:r w:rsidR="007F2972" w:rsidRPr="00322130">
        <w:t xml:space="preserve"> </w:t>
      </w:r>
      <w:r w:rsidRPr="00322130">
        <w:t xml:space="preserve">designed to secure. For example, too many EHC plans </w:t>
      </w:r>
      <w:r w:rsidR="007F2972">
        <w:t>we</w:t>
      </w:r>
      <w:r w:rsidRPr="00322130">
        <w:t xml:space="preserve">re focused almost entirely on educational outcomes. The outcomes themselves </w:t>
      </w:r>
      <w:r w:rsidR="007F2972">
        <w:t>we</w:t>
      </w:r>
      <w:r w:rsidRPr="00322130">
        <w:t>re often too general, for example making broad statements about improving independence. They lack</w:t>
      </w:r>
      <w:r w:rsidR="007F2972">
        <w:t>ed</w:t>
      </w:r>
      <w:r w:rsidRPr="00322130">
        <w:t xml:space="preserve"> ambition for the child or young person. </w:t>
      </w:r>
      <w:r w:rsidR="000454F5">
        <w:t>In others</w:t>
      </w:r>
      <w:r w:rsidRPr="00322130">
        <w:t xml:space="preserve">, the timescales identified for achieving those outcomes </w:t>
      </w:r>
      <w:r w:rsidR="007F2972">
        <w:t>we</w:t>
      </w:r>
      <w:r w:rsidRPr="00322130">
        <w:t xml:space="preserve">re too short- or </w:t>
      </w:r>
      <w:r w:rsidR="000454F5">
        <w:t xml:space="preserve">conversely too </w:t>
      </w:r>
      <w:r w:rsidRPr="00322130">
        <w:t>long-term. Often, EHC plans include</w:t>
      </w:r>
      <w:r w:rsidR="007F2972">
        <w:t>d</w:t>
      </w:r>
      <w:r w:rsidRPr="00322130">
        <w:t xml:space="preserve"> too much confusing terminology and jargon</w:t>
      </w:r>
      <w:r w:rsidR="000454F5">
        <w:t>,</w:t>
      </w:r>
      <w:r w:rsidRPr="00322130">
        <w:t xml:space="preserve"> or the intended outcomes </w:t>
      </w:r>
      <w:r w:rsidR="007F2972">
        <w:t>we</w:t>
      </w:r>
      <w:r w:rsidRPr="00322130">
        <w:t xml:space="preserve">re not clear. As a result, the plans </w:t>
      </w:r>
      <w:r w:rsidR="007F2972">
        <w:t>we</w:t>
      </w:r>
      <w:r w:rsidRPr="00322130">
        <w:t xml:space="preserve">re not accessible to the children and young people for whom they </w:t>
      </w:r>
      <w:r w:rsidR="007F2972">
        <w:t>we</w:t>
      </w:r>
      <w:r w:rsidRPr="00322130">
        <w:t xml:space="preserve">re intended or their parents. </w:t>
      </w:r>
    </w:p>
    <w:p w14:paraId="5206AA64" w14:textId="1A94F405" w:rsidR="00D97AC6" w:rsidRDefault="00D97AC6">
      <w:pPr>
        <w:pStyle w:val="Numberedparagraph"/>
      </w:pPr>
      <w:r>
        <w:t>Weaknesses in a large number of EHC plans, or delay</w:t>
      </w:r>
      <w:r w:rsidR="00544368">
        <w:t>s</w:t>
      </w:r>
      <w:r>
        <w:t xml:space="preserve"> in transferring statements to EHC plans, </w:t>
      </w:r>
      <w:r w:rsidR="00544368">
        <w:t xml:space="preserve">were </w:t>
      </w:r>
      <w:r w:rsidR="0025670A">
        <w:t>found to have</w:t>
      </w:r>
      <w:r>
        <w:t xml:space="preserve"> a negative impact </w:t>
      </w:r>
      <w:r w:rsidR="0025670A">
        <w:t>on</w:t>
      </w:r>
      <w:r w:rsidR="00E47443">
        <w:t xml:space="preserve"> many young people who have</w:t>
      </w:r>
      <w:r>
        <w:t xml:space="preserve"> </w:t>
      </w:r>
      <w:r w:rsidR="00BB6218">
        <w:t xml:space="preserve">SEND </w:t>
      </w:r>
      <w:r>
        <w:t>when they reach</w:t>
      </w:r>
      <w:r w:rsidR="007F2972">
        <w:t>ed</w:t>
      </w:r>
      <w:r>
        <w:t xml:space="preserve"> </w:t>
      </w:r>
      <w:r w:rsidR="00BB6218">
        <w:t xml:space="preserve">the age of </w:t>
      </w:r>
      <w:r>
        <w:t xml:space="preserve">19. </w:t>
      </w:r>
      <w:r w:rsidR="00EE06DB">
        <w:t>In particular, a lack of clarity about young people’s aspirations and poor d</w:t>
      </w:r>
      <w:r w:rsidR="0025670A">
        <w:t>etail about the provision that wa</w:t>
      </w:r>
      <w:r w:rsidR="00EE06DB">
        <w:t>s needed post</w:t>
      </w:r>
      <w:r w:rsidR="00A033F9">
        <w:t>-</w:t>
      </w:r>
      <w:r w:rsidR="00EE06DB">
        <w:t>19</w:t>
      </w:r>
      <w:r w:rsidR="0025670A">
        <w:t xml:space="preserve"> in EHC plans</w:t>
      </w:r>
      <w:r w:rsidR="00EE06DB">
        <w:t xml:space="preserve"> le</w:t>
      </w:r>
      <w:r w:rsidR="0025670A">
        <w:t>ft</w:t>
      </w:r>
      <w:r w:rsidR="00EE06DB">
        <w:t xml:space="preserve"> ambiguity about who should be providing what for young people as they leave school. In many local areas, a lack of choice for young people, alongside a poor understanding of how personal budgets could be used, </w:t>
      </w:r>
      <w:r w:rsidR="0025670A">
        <w:t>limited what wa</w:t>
      </w:r>
      <w:r w:rsidR="00EE06DB">
        <w:t>s bein</w:t>
      </w:r>
      <w:r w:rsidR="0025670A">
        <w:t xml:space="preserve">g offered. </w:t>
      </w:r>
      <w:r w:rsidR="00607BC5">
        <w:t xml:space="preserve">These issues </w:t>
      </w:r>
      <w:r w:rsidR="007F2972">
        <w:t>we</w:t>
      </w:r>
      <w:r w:rsidR="00607BC5">
        <w:t>re exa</w:t>
      </w:r>
      <w:r w:rsidR="00A11F62">
        <w:t>c</w:t>
      </w:r>
      <w:r w:rsidR="00607BC5">
        <w:t>erbated by insufficient progress in commissioning and providing transition into adult</w:t>
      </w:r>
      <w:r w:rsidR="00EE06DB">
        <w:t xml:space="preserve"> </w:t>
      </w:r>
      <w:r w:rsidR="00607BC5">
        <w:t xml:space="preserve">services. For example, </w:t>
      </w:r>
      <w:r w:rsidR="00A033F9">
        <w:t>GPs</w:t>
      </w:r>
      <w:r w:rsidR="00607BC5">
        <w:t xml:space="preserve"> in many local areas </w:t>
      </w:r>
      <w:r w:rsidR="007F2972">
        <w:t>we</w:t>
      </w:r>
      <w:r w:rsidR="00607BC5">
        <w:t xml:space="preserve">re not involved in planning and supporting the transition into adult services. This led to families describing </w:t>
      </w:r>
      <w:r w:rsidR="00297E87">
        <w:t xml:space="preserve">it as </w:t>
      </w:r>
      <w:r w:rsidR="00607BC5">
        <w:t xml:space="preserve">a ‘cliff edge’ </w:t>
      </w:r>
      <w:r w:rsidR="007F2972">
        <w:t xml:space="preserve">as </w:t>
      </w:r>
      <w:r w:rsidR="00607BC5">
        <w:t>their young person approache</w:t>
      </w:r>
      <w:r w:rsidR="007F2972">
        <w:t>d</w:t>
      </w:r>
      <w:r w:rsidR="00607BC5">
        <w:t xml:space="preserve"> 18 or 19.</w:t>
      </w:r>
    </w:p>
    <w:p w14:paraId="4EFA0D47" w14:textId="5E4FE4B1" w:rsidR="005F6CBA" w:rsidRDefault="005F6CBA">
      <w:pPr>
        <w:pStyle w:val="Numberedparagraph"/>
      </w:pPr>
      <w:r w:rsidRPr="00AB5FE7">
        <w:t>Too often</w:t>
      </w:r>
      <w:r>
        <w:t>,</w:t>
      </w:r>
      <w:r w:rsidRPr="00AB5FE7">
        <w:t xml:space="preserve"> therapy services </w:t>
      </w:r>
      <w:r w:rsidR="007F2972">
        <w:t>we</w:t>
      </w:r>
      <w:r w:rsidRPr="00AB5FE7">
        <w:t xml:space="preserve">re too overstretched to deliver what </w:t>
      </w:r>
      <w:r w:rsidR="007F2972">
        <w:t>wa</w:t>
      </w:r>
      <w:r w:rsidRPr="00AB5FE7">
        <w:t>s needed in their local areas.</w:t>
      </w:r>
      <w:r>
        <w:t xml:space="preserve"> </w:t>
      </w:r>
      <w:r w:rsidRPr="00207672">
        <w:t>In nearly all local areas where</w:t>
      </w:r>
      <w:r w:rsidR="00983928">
        <w:t xml:space="preserve"> </w:t>
      </w:r>
      <w:r w:rsidR="00B1234B">
        <w:t xml:space="preserve">inspectors </w:t>
      </w:r>
      <w:r w:rsidR="00983928">
        <w:t>identified</w:t>
      </w:r>
      <w:r w:rsidRPr="00207672">
        <w:t xml:space="preserve"> </w:t>
      </w:r>
      <w:r>
        <w:t xml:space="preserve">access to </w:t>
      </w:r>
      <w:r w:rsidRPr="00207672">
        <w:t xml:space="preserve">therapy services as a weakness, it </w:t>
      </w:r>
      <w:r>
        <w:t xml:space="preserve">was </w:t>
      </w:r>
      <w:r w:rsidRPr="00207672">
        <w:t>because</w:t>
      </w:r>
      <w:r w:rsidR="00983928">
        <w:t xml:space="preserve"> of</w:t>
      </w:r>
      <w:r w:rsidRPr="00207672">
        <w:t xml:space="preserve"> </w:t>
      </w:r>
      <w:r w:rsidR="00983928">
        <w:t>this</w:t>
      </w:r>
      <w:r w:rsidRPr="00207672">
        <w:t xml:space="preserve">. Typically, services </w:t>
      </w:r>
      <w:r w:rsidR="007F2972">
        <w:t>we</w:t>
      </w:r>
      <w:r w:rsidRPr="00207672">
        <w:t xml:space="preserve">re being </w:t>
      </w:r>
      <w:r>
        <w:t xml:space="preserve">reduced </w:t>
      </w:r>
      <w:r w:rsidRPr="00207672">
        <w:t>because of challenges to funding</w:t>
      </w:r>
      <w:r w:rsidR="003462BC">
        <w:t xml:space="preserve"> and difficulties in filling vacant posts</w:t>
      </w:r>
      <w:r w:rsidR="008C466D">
        <w:t>. This funding</w:t>
      </w:r>
      <w:r>
        <w:t xml:space="preserve"> d</w:t>
      </w:r>
      <w:r w:rsidR="007F2972">
        <w:t>id</w:t>
      </w:r>
      <w:r>
        <w:t xml:space="preserve"> not keep up with the rising number of</w:t>
      </w:r>
      <w:r w:rsidRPr="00207672">
        <w:t xml:space="preserve"> referrals. This led to unacceptably long waiting times fo</w:t>
      </w:r>
      <w:r>
        <w:t xml:space="preserve">r </w:t>
      </w:r>
      <w:r w:rsidR="00584D2C">
        <w:t xml:space="preserve">the </w:t>
      </w:r>
      <w:r>
        <w:t xml:space="preserve">children and young people </w:t>
      </w:r>
      <w:r w:rsidRPr="00207672">
        <w:t xml:space="preserve">and their families. </w:t>
      </w:r>
      <w:r>
        <w:t>The decreasing numbers of therapists</w:t>
      </w:r>
      <w:r w:rsidR="00987AD2">
        <w:t>,</w:t>
      </w:r>
      <w:r>
        <w:t xml:space="preserve"> combined with rising numbers of referrals</w:t>
      </w:r>
      <w:r w:rsidR="00987AD2">
        <w:t>,</w:t>
      </w:r>
      <w:r>
        <w:t xml:space="preserve"> </w:t>
      </w:r>
      <w:r w:rsidR="00455C72">
        <w:t>ha</w:t>
      </w:r>
      <w:r w:rsidR="007F2972">
        <w:t>d</w:t>
      </w:r>
      <w:r w:rsidR="00455C72">
        <w:t xml:space="preserve"> added to</w:t>
      </w:r>
      <w:r w:rsidRPr="00207672">
        <w:t xml:space="preserve"> the difficulties in some therapy services contributing to </w:t>
      </w:r>
      <w:r>
        <w:t>EHC</w:t>
      </w:r>
      <w:r w:rsidRPr="00207672">
        <w:t xml:space="preserve"> plans.</w:t>
      </w:r>
      <w:r w:rsidRPr="00661B74">
        <w:t xml:space="preserve"> Parents in particular expressed concern about delays in accessing therapy and other </w:t>
      </w:r>
      <w:r>
        <w:t>specialist services</w:t>
      </w:r>
      <w:r w:rsidR="008C466D">
        <w:t>,</w:t>
      </w:r>
      <w:r w:rsidR="00B0768C">
        <w:t xml:space="preserve"> </w:t>
      </w:r>
      <w:r>
        <w:t xml:space="preserve">even when </w:t>
      </w:r>
      <w:r w:rsidRPr="00661B74">
        <w:t xml:space="preserve">these were written into their child’s </w:t>
      </w:r>
      <w:r>
        <w:t xml:space="preserve">EHC </w:t>
      </w:r>
      <w:r w:rsidRPr="00661B74">
        <w:t>plans.</w:t>
      </w:r>
    </w:p>
    <w:p w14:paraId="334A022E" w14:textId="1D11C4C0" w:rsidR="005F6CBA" w:rsidRDefault="005F6CBA">
      <w:pPr>
        <w:pStyle w:val="Numberedparagraph"/>
      </w:pPr>
      <w:r>
        <w:t>The diagnostic pathway</w:t>
      </w:r>
      <w:r w:rsidR="001563C8">
        <w:t xml:space="preserve"> commissioned in</w:t>
      </w:r>
      <w:r w:rsidR="007F2972">
        <w:t xml:space="preserve"> most of the</w:t>
      </w:r>
      <w:r w:rsidR="001563C8">
        <w:t xml:space="preserve"> local areas</w:t>
      </w:r>
      <w:r w:rsidR="007F2972">
        <w:t xml:space="preserve"> inspected</w:t>
      </w:r>
      <w:r>
        <w:t xml:space="preserve"> for autistic spectrum disorder </w:t>
      </w:r>
      <w:r w:rsidR="007F2972">
        <w:t>wa</w:t>
      </w:r>
      <w:r>
        <w:t>s poor</w:t>
      </w:r>
      <w:r w:rsidR="00983928">
        <w:t xml:space="preserve">. This </w:t>
      </w:r>
      <w:r w:rsidR="007F2972">
        <w:t>wa</w:t>
      </w:r>
      <w:r w:rsidR="00983928">
        <w:t>s</w:t>
      </w:r>
      <w:r>
        <w:t xml:space="preserve"> particularly </w:t>
      </w:r>
      <w:r w:rsidR="00983928">
        <w:t xml:space="preserve">the case </w:t>
      </w:r>
      <w:r>
        <w:t xml:space="preserve">for children and young people who </w:t>
      </w:r>
      <w:r w:rsidR="007F2972">
        <w:t>we</w:t>
      </w:r>
      <w:r>
        <w:t xml:space="preserve">re referred for assessment when they </w:t>
      </w:r>
      <w:r w:rsidR="007F2972">
        <w:t>we</w:t>
      </w:r>
      <w:r>
        <w:t xml:space="preserve">re school-aged. </w:t>
      </w:r>
      <w:r w:rsidRPr="0048394D">
        <w:t xml:space="preserve">In some </w:t>
      </w:r>
      <w:r>
        <w:t xml:space="preserve">local areas, families </w:t>
      </w:r>
      <w:r w:rsidR="008C466D">
        <w:t>experience</w:t>
      </w:r>
      <w:r w:rsidR="007F2972">
        <w:t>d</w:t>
      </w:r>
      <w:r>
        <w:t xml:space="preserve"> unacceptably long delays between an assessment being agreed and </w:t>
      </w:r>
      <w:r w:rsidR="00987AD2">
        <w:t xml:space="preserve">a </w:t>
      </w:r>
      <w:r>
        <w:t xml:space="preserve">diagnosis. In the worst </w:t>
      </w:r>
      <w:r w:rsidR="008C466D">
        <w:t>cases</w:t>
      </w:r>
      <w:r>
        <w:t xml:space="preserve">, families </w:t>
      </w:r>
      <w:r w:rsidR="007F2972">
        <w:t>waited</w:t>
      </w:r>
      <w:r>
        <w:t xml:space="preserve"> for over two years</w:t>
      </w:r>
      <w:r w:rsidR="00983928">
        <w:t xml:space="preserve">. </w:t>
      </w:r>
      <w:r w:rsidR="007F2972">
        <w:t>Families described becoming</w:t>
      </w:r>
      <w:r>
        <w:t xml:space="preserve"> even more frustrated and sometimes isolated</w:t>
      </w:r>
      <w:r w:rsidR="00983928">
        <w:t>,</w:t>
      </w:r>
      <w:r>
        <w:t xml:space="preserve"> with little or no support. I</w:t>
      </w:r>
      <w:r w:rsidRPr="00A626C1">
        <w:t>n many cases</w:t>
      </w:r>
      <w:r>
        <w:t>, the lack of support continue</w:t>
      </w:r>
      <w:r w:rsidR="007F2972">
        <w:t>d</w:t>
      </w:r>
      <w:r>
        <w:t xml:space="preserve"> </w:t>
      </w:r>
      <w:r w:rsidRPr="00A626C1">
        <w:t>post</w:t>
      </w:r>
      <w:r>
        <w:t>-diagnosis</w:t>
      </w:r>
      <w:r w:rsidRPr="00A626C1">
        <w:t>.</w:t>
      </w:r>
    </w:p>
    <w:p w14:paraId="5D9066B4" w14:textId="4A01203E" w:rsidR="005F6CBA" w:rsidRDefault="005F6CBA">
      <w:pPr>
        <w:pStyle w:val="Numberedparagraph"/>
      </w:pPr>
      <w:r>
        <w:t xml:space="preserve">Typically, where strategic co-production has been most </w:t>
      </w:r>
      <w:r w:rsidR="00502008">
        <w:t>successful</w:t>
      </w:r>
      <w:r>
        <w:t xml:space="preserve">, the local area’s parent and carer forums have </w:t>
      </w:r>
      <w:r w:rsidR="00520103">
        <w:t>sought and used</w:t>
      </w:r>
      <w:r>
        <w:t xml:space="preserve"> the views of parents to inform their discussions with leaders and their role in co-production. </w:t>
      </w:r>
    </w:p>
    <w:p w14:paraId="5D874791" w14:textId="77777777" w:rsidR="005F6CBA" w:rsidRPr="00FB7550" w:rsidRDefault="005F6CBA" w:rsidP="005F6CBA">
      <w:pPr>
        <w:pStyle w:val="Casestudy"/>
      </w:pPr>
      <w:r w:rsidRPr="00FB7550">
        <w:t>In Brighton and Hove, local area leaders and Amaze (the parent</w:t>
      </w:r>
      <w:r>
        <w:t xml:space="preserve"> and </w:t>
      </w:r>
      <w:r w:rsidRPr="00FB7550">
        <w:t xml:space="preserve">carer forum) have established strong and effective working practices. The forum draws on its members, keeping them informed of meetings, consultations and imminent changes in provision using a range of social media and other devices. This means </w:t>
      </w:r>
      <w:r>
        <w:t xml:space="preserve">that </w:t>
      </w:r>
      <w:r w:rsidRPr="00FB7550">
        <w:t>parents are represented at all partnership meetings between leaders in education, health and care. For example</w:t>
      </w:r>
      <w:r>
        <w:t>,</w:t>
      </w:r>
      <w:r w:rsidRPr="00FB7550">
        <w:t xml:space="preserve"> Amaze was fully involved as local area leaders planned to collocate services in hubs across the city. This ensured that the views of parents informed all decisions made. Local area leaders are clear about and sensitive to the impact of decisions and changes on families</w:t>
      </w:r>
      <w:r>
        <w:t>. They</w:t>
      </w:r>
      <w:r w:rsidRPr="00FB7550">
        <w:t xml:space="preserve"> take this fully into account when planning strategically for the future. Parents feel valued and part of the improvement planning for provision in the city, including understanding the reasons why decisions are taken.</w:t>
      </w:r>
    </w:p>
    <w:p w14:paraId="44415236" w14:textId="0D4C71A5" w:rsidR="005F6CBA" w:rsidRDefault="005F6CBA">
      <w:pPr>
        <w:pStyle w:val="Numberedparagraph"/>
      </w:pPr>
      <w:r w:rsidRPr="002E671C">
        <w:t>Many parents report</w:t>
      </w:r>
      <w:r w:rsidR="00297E87">
        <w:t>ed</w:t>
      </w:r>
      <w:r w:rsidRPr="002E671C">
        <w:t xml:space="preserve"> that the information</w:t>
      </w:r>
      <w:r>
        <w:t xml:space="preserve"> on their area’s local offer</w:t>
      </w:r>
      <w:r w:rsidRPr="002E671C">
        <w:t xml:space="preserve"> </w:t>
      </w:r>
      <w:r w:rsidR="00297E87">
        <w:t>was</w:t>
      </w:r>
      <w:r w:rsidR="00297E87" w:rsidRPr="002E671C">
        <w:t xml:space="preserve"> </w:t>
      </w:r>
      <w:r w:rsidRPr="002E671C">
        <w:t xml:space="preserve">either too difficult to find or </w:t>
      </w:r>
      <w:r w:rsidR="00297E87">
        <w:t xml:space="preserve">that </w:t>
      </w:r>
      <w:r w:rsidRPr="002E671C">
        <w:t xml:space="preserve">they were unaware </w:t>
      </w:r>
      <w:r w:rsidR="00297E87">
        <w:t>that</w:t>
      </w:r>
      <w:r w:rsidR="00297E87" w:rsidRPr="002E671C">
        <w:t xml:space="preserve"> </w:t>
      </w:r>
      <w:r w:rsidRPr="002E671C">
        <w:t>the website</w:t>
      </w:r>
      <w:r w:rsidR="00297E87">
        <w:t xml:space="preserve"> existed</w:t>
      </w:r>
      <w:r w:rsidRPr="002E671C">
        <w:t xml:space="preserve">. </w:t>
      </w:r>
      <w:r w:rsidR="00E77575">
        <w:t>Too often, f</w:t>
      </w:r>
      <w:r w:rsidRPr="002E671C">
        <w:t xml:space="preserve">rontline staff </w:t>
      </w:r>
      <w:r w:rsidR="00E77575">
        <w:t>also report</w:t>
      </w:r>
      <w:r w:rsidR="007F2972">
        <w:t>ed</w:t>
      </w:r>
      <w:r w:rsidRPr="002E671C">
        <w:t xml:space="preserve"> that they d</w:t>
      </w:r>
      <w:r w:rsidR="007F2972">
        <w:t>id</w:t>
      </w:r>
      <w:r w:rsidRPr="002E671C">
        <w:t xml:space="preserve"> not find local offers useful. In the worst cases, they d</w:t>
      </w:r>
      <w:r w:rsidR="007F2972">
        <w:t>id</w:t>
      </w:r>
      <w:r w:rsidRPr="002E671C">
        <w:t xml:space="preserve"> not even know </w:t>
      </w:r>
      <w:r w:rsidR="00297E87" w:rsidRPr="002E671C">
        <w:t>th</w:t>
      </w:r>
      <w:r w:rsidR="00297E87">
        <w:t>at it</w:t>
      </w:r>
      <w:r w:rsidR="00297E87" w:rsidRPr="002E671C">
        <w:t xml:space="preserve"> </w:t>
      </w:r>
      <w:r w:rsidRPr="002E671C">
        <w:t>exist</w:t>
      </w:r>
      <w:r w:rsidR="00297E87">
        <w:t>ed</w:t>
      </w:r>
      <w:r w:rsidRPr="002E671C">
        <w:t>. Consequently, professionals rarely use</w:t>
      </w:r>
      <w:r w:rsidR="007F2972">
        <w:t>d</w:t>
      </w:r>
      <w:r w:rsidRPr="002E671C">
        <w:t xml:space="preserve"> the local offer to show parents where and how they </w:t>
      </w:r>
      <w:r w:rsidR="007F2972">
        <w:t>could</w:t>
      </w:r>
      <w:r w:rsidR="007F2972" w:rsidRPr="002E671C">
        <w:t xml:space="preserve"> </w:t>
      </w:r>
      <w:r w:rsidRPr="002E671C">
        <w:t>find services and information. Instead, parents rel</w:t>
      </w:r>
      <w:r w:rsidR="007F2972">
        <w:t>ied</w:t>
      </w:r>
      <w:r w:rsidRPr="002E671C">
        <w:t xml:space="preserve"> on familiar frontline staff, including teachers, </w:t>
      </w:r>
      <w:r w:rsidR="00E77575">
        <w:t>special educational needs coordinators (</w:t>
      </w:r>
      <w:r w:rsidRPr="002E671C">
        <w:t>SENCOs</w:t>
      </w:r>
      <w:r w:rsidR="00E77575">
        <w:t>)</w:t>
      </w:r>
      <w:r w:rsidRPr="002E671C">
        <w:t xml:space="preserve">, </w:t>
      </w:r>
      <w:proofErr w:type="spellStart"/>
      <w:r w:rsidRPr="002E671C">
        <w:t>headteachers</w:t>
      </w:r>
      <w:proofErr w:type="spellEnd"/>
      <w:r w:rsidRPr="002E671C">
        <w:t>, therapists and paediatricians, to find and understand information.</w:t>
      </w:r>
    </w:p>
    <w:p w14:paraId="45435727" w14:textId="20E17ABE" w:rsidR="005F6CBA" w:rsidRDefault="005F6CBA">
      <w:pPr>
        <w:pStyle w:val="Numberedparagraph"/>
      </w:pPr>
      <w:r w:rsidRPr="00471782">
        <w:t xml:space="preserve">Parental dissatisfaction </w:t>
      </w:r>
      <w:r w:rsidR="007F2972">
        <w:t>wa</w:t>
      </w:r>
      <w:r w:rsidRPr="00471782">
        <w:t>s a significant challenge for many local area leaders. In nearly all local area inspections, inspectors found some level of parental dissatisfaction. Even in areas that had implemented the reforms within the Code of Practice well, parents were not always convinced that their children were receiving the package of provision that they should. Many parents also reported dissatisfaction with how local areas work with them and their children to develop plans, make decisions and agree outcomes for their child</w:t>
      </w:r>
      <w:r>
        <w:t>ren</w:t>
      </w:r>
      <w:r w:rsidR="00E77575">
        <w:t xml:space="preserve"> (</w:t>
      </w:r>
      <w:r>
        <w:t>co-production</w:t>
      </w:r>
      <w:r w:rsidR="00E77575">
        <w:t>)</w:t>
      </w:r>
      <w:r w:rsidRPr="00471782">
        <w:t>.</w:t>
      </w:r>
    </w:p>
    <w:p w14:paraId="7AECE83D" w14:textId="48B080C9" w:rsidR="005F6CBA" w:rsidRPr="00A626C1" w:rsidRDefault="005F6CBA">
      <w:pPr>
        <w:pStyle w:val="Numberedparagraph"/>
      </w:pPr>
      <w:r>
        <w:t xml:space="preserve">The use of personal budgets varied widely across the local areas inspected. </w:t>
      </w:r>
      <w:r w:rsidRPr="002E671C">
        <w:t>For example, in some local areas parents ha</w:t>
      </w:r>
      <w:r w:rsidR="007F2972">
        <w:t>d</w:t>
      </w:r>
      <w:r w:rsidRPr="002E671C">
        <w:t xml:space="preserve"> been able to</w:t>
      </w:r>
      <w:r w:rsidR="00E77575">
        <w:t xml:space="preserve"> use their personal budget to</w:t>
      </w:r>
      <w:r w:rsidRPr="002E671C">
        <w:t xml:space="preserve"> access specialist equipment to support their children’s sensory needs at home. Others ha</w:t>
      </w:r>
      <w:r w:rsidR="007F2972">
        <w:t>d</w:t>
      </w:r>
      <w:r w:rsidRPr="002E671C">
        <w:t xml:space="preserve"> been given the flexibility to </w:t>
      </w:r>
      <w:r w:rsidR="00906142">
        <w:t>take</w:t>
      </w:r>
      <w:r w:rsidR="00906142" w:rsidRPr="002E671C">
        <w:t xml:space="preserve"> </w:t>
      </w:r>
      <w:r w:rsidRPr="002E671C">
        <w:t>breaks beyond the confines of the local area where they live</w:t>
      </w:r>
      <w:r w:rsidR="007F2972">
        <w:t>d</w:t>
      </w:r>
      <w:r w:rsidRPr="002E671C">
        <w:t xml:space="preserve"> so that they </w:t>
      </w:r>
      <w:r w:rsidR="007F2972" w:rsidRPr="002E671C">
        <w:t>c</w:t>
      </w:r>
      <w:r w:rsidR="007F2972">
        <w:t>ould</w:t>
      </w:r>
      <w:r w:rsidR="007F2972" w:rsidRPr="002E671C">
        <w:t xml:space="preserve"> </w:t>
      </w:r>
      <w:r w:rsidRPr="002E671C">
        <w:t xml:space="preserve">access appropriate facilities for their children and families. Where this </w:t>
      </w:r>
      <w:r w:rsidR="007F2972">
        <w:t>wa</w:t>
      </w:r>
      <w:r w:rsidRPr="002E671C">
        <w:t>s the case, the uptake of personal budgets ha</w:t>
      </w:r>
      <w:r w:rsidR="007F2972">
        <w:t>d</w:t>
      </w:r>
      <w:r w:rsidRPr="002E671C">
        <w:t xml:space="preserve"> been high.</w:t>
      </w:r>
      <w:r w:rsidR="00CB138A">
        <w:t xml:space="preserve"> However, in weaker examples, there ha</w:t>
      </w:r>
      <w:r w:rsidR="007F2972">
        <w:t>d</w:t>
      </w:r>
      <w:r w:rsidR="00CB138A">
        <w:t xml:space="preserve"> been a zero uptake of personal budgets. Where this </w:t>
      </w:r>
      <w:r w:rsidR="00297E87">
        <w:t xml:space="preserve">was </w:t>
      </w:r>
      <w:r w:rsidR="00CB138A">
        <w:t>the case, local area leaders ha</w:t>
      </w:r>
      <w:r w:rsidR="007F2972">
        <w:t>d</w:t>
      </w:r>
      <w:r w:rsidR="00CB138A">
        <w:t xml:space="preserve"> not done enough to support families to make the most of personal budgets to secure better outcomes. Services report</w:t>
      </w:r>
      <w:r w:rsidR="007F2972">
        <w:t>ed</w:t>
      </w:r>
      <w:r w:rsidR="00CB138A">
        <w:t xml:space="preserve"> concern that a high uptake of personal budgets would put too much pressure on the budget</w:t>
      </w:r>
      <w:r w:rsidR="007F2972">
        <w:t>s</w:t>
      </w:r>
      <w:r w:rsidR="00CB138A">
        <w:t xml:space="preserve"> they use to provide other services. The promotion of personal health budgets ha</w:t>
      </w:r>
      <w:r w:rsidR="007F2972">
        <w:t>d</w:t>
      </w:r>
      <w:r w:rsidR="00CB138A">
        <w:t xml:space="preserve"> been particularly poor for this reason.</w:t>
      </w:r>
    </w:p>
    <w:p w14:paraId="163CA5C5" w14:textId="3F5F4788" w:rsidR="005F6CBA" w:rsidRPr="00997B57" w:rsidRDefault="002934B2">
      <w:pPr>
        <w:pStyle w:val="Numberedparagraph"/>
      </w:pPr>
      <w:r>
        <w:t xml:space="preserve">Local area leaders have </w:t>
      </w:r>
      <w:r w:rsidR="00585935">
        <w:t>ensured</w:t>
      </w:r>
      <w:r>
        <w:t xml:space="preserve"> good access to short breaks for c</w:t>
      </w:r>
      <w:r w:rsidR="005F6CBA" w:rsidRPr="00AB5FE7">
        <w:t>hildren and young</w:t>
      </w:r>
      <w:r w:rsidR="005F6CBA">
        <w:t xml:space="preserve"> people who have</w:t>
      </w:r>
      <w:r w:rsidR="005F6CBA" w:rsidRPr="00AB5FE7">
        <w:t xml:space="preserve"> </w:t>
      </w:r>
      <w:r w:rsidR="004E2E39">
        <w:t xml:space="preserve">SEND </w:t>
      </w:r>
      <w:r w:rsidR="005F6CBA" w:rsidRPr="00AB5FE7">
        <w:t>and their families</w:t>
      </w:r>
      <w:r>
        <w:t>.</w:t>
      </w:r>
      <w:r w:rsidR="00585935">
        <w:t xml:space="preserve"> </w:t>
      </w:r>
      <w:r>
        <w:t xml:space="preserve">Inspectors </w:t>
      </w:r>
      <w:r w:rsidR="005F6CBA">
        <w:t>found a</w:t>
      </w:r>
      <w:r w:rsidR="005F6CBA" w:rsidRPr="00A945A4">
        <w:t xml:space="preserve"> strong link between how well professionals from education, health and care work together with families and the ease of access to targeted support, such as bespoke short breaks.</w:t>
      </w:r>
      <w:r w:rsidR="005F6CBA">
        <w:t xml:space="preserve"> Many parents report</w:t>
      </w:r>
      <w:r w:rsidR="007F2972">
        <w:t>ed</w:t>
      </w:r>
      <w:r w:rsidR="005F6CBA">
        <w:t xml:space="preserve"> positively about the range and quality of short breaks that </w:t>
      </w:r>
      <w:r w:rsidR="007F2972">
        <w:t>we</w:t>
      </w:r>
      <w:r w:rsidR="005F6CBA">
        <w:t>re on offer. For example, they comment</w:t>
      </w:r>
      <w:r w:rsidR="007F2972">
        <w:t>ed</w:t>
      </w:r>
      <w:r w:rsidR="005F6CBA">
        <w:t xml:space="preserve"> on the support they receive</w:t>
      </w:r>
      <w:r w:rsidR="007F2972">
        <w:t>d</w:t>
      </w:r>
      <w:r w:rsidR="005F6CBA">
        <w:t xml:space="preserve"> through direct payments and how they use</w:t>
      </w:r>
      <w:r w:rsidR="007F2972">
        <w:t>d</w:t>
      </w:r>
      <w:r w:rsidR="005F6CBA">
        <w:t xml:space="preserve"> this to access respite. Parents also report</w:t>
      </w:r>
      <w:r w:rsidR="007F2972">
        <w:t>ed</w:t>
      </w:r>
      <w:r w:rsidR="005F6CBA">
        <w:t xml:space="preserve"> that their children and young people ha</w:t>
      </w:r>
      <w:r w:rsidR="007F2972">
        <w:t>d</w:t>
      </w:r>
      <w:r w:rsidR="005F6CBA">
        <w:t xml:space="preserve"> gained greater access to their local communities</w:t>
      </w:r>
      <w:r w:rsidR="00E77575">
        <w:t>. They sa</w:t>
      </w:r>
      <w:r w:rsidR="007F2972">
        <w:t>id</w:t>
      </w:r>
      <w:r w:rsidR="00E77575">
        <w:t xml:space="preserve"> that</w:t>
      </w:r>
      <w:r w:rsidR="005F6CBA">
        <w:t xml:space="preserve"> they fe</w:t>
      </w:r>
      <w:r w:rsidR="007F2972">
        <w:t>lt</w:t>
      </w:r>
      <w:r w:rsidR="005F6CBA">
        <w:t xml:space="preserve"> more able to cope with the pressure of being a parent of a child who has a </w:t>
      </w:r>
      <w:r w:rsidR="002A788D">
        <w:t xml:space="preserve">specific need </w:t>
      </w:r>
      <w:r w:rsidR="005F6CBA">
        <w:t xml:space="preserve">or disability as a result. </w:t>
      </w:r>
    </w:p>
    <w:p w14:paraId="4A8E6173" w14:textId="426C223A" w:rsidR="005F6CBA" w:rsidRPr="00AB5FE7" w:rsidRDefault="005F6CBA" w:rsidP="005F6CBA">
      <w:pPr>
        <w:pStyle w:val="Heading2"/>
      </w:pPr>
      <w:bookmarkStart w:id="12" w:name="_Toc491089464"/>
      <w:bookmarkStart w:id="13" w:name="_Toc495392055"/>
      <w:r>
        <w:t>The effectiveness of local areas in improving outcomes for children and young people who have special educational needs and/or disabilities</w:t>
      </w:r>
      <w:bookmarkEnd w:id="12"/>
      <w:bookmarkEnd w:id="13"/>
      <w:r>
        <w:t xml:space="preserve"> </w:t>
      </w:r>
    </w:p>
    <w:p w14:paraId="5A9B96CD" w14:textId="4547FB02" w:rsidR="005F6CBA" w:rsidRDefault="005F6CBA">
      <w:pPr>
        <w:pStyle w:val="Numberedparagraph"/>
      </w:pPr>
      <w:r>
        <w:t>Not all l</w:t>
      </w:r>
      <w:r w:rsidRPr="000967BD">
        <w:t>eaders</w:t>
      </w:r>
      <w:r>
        <w:t xml:space="preserve"> routinely</w:t>
      </w:r>
      <w:r w:rsidRPr="000967BD">
        <w:t xml:space="preserve"> evaluat</w:t>
      </w:r>
      <w:r>
        <w:t>e</w:t>
      </w:r>
      <w:r w:rsidR="007F2972">
        <w:t>d</w:t>
      </w:r>
      <w:r w:rsidRPr="000967BD">
        <w:t xml:space="preserve"> and use</w:t>
      </w:r>
      <w:r w:rsidR="007F2972">
        <w:t>d</w:t>
      </w:r>
      <w:r w:rsidRPr="000967BD">
        <w:t xml:space="preserve"> </w:t>
      </w:r>
      <w:r>
        <w:t xml:space="preserve">evidence about </w:t>
      </w:r>
      <w:r w:rsidRPr="000967BD">
        <w:t>outcomes</w:t>
      </w:r>
      <w:r>
        <w:t xml:space="preserve"> for </w:t>
      </w:r>
      <w:r w:rsidR="00DD18DD">
        <w:t xml:space="preserve">children and young people </w:t>
      </w:r>
      <w:r w:rsidR="00E77575">
        <w:t xml:space="preserve">who have </w:t>
      </w:r>
      <w:r w:rsidR="001C0CB5">
        <w:t xml:space="preserve">SEND </w:t>
      </w:r>
      <w:r w:rsidRPr="000967BD">
        <w:t>to improve services.</w:t>
      </w:r>
      <w:r>
        <w:t xml:space="preserve"> I</w:t>
      </w:r>
      <w:r w:rsidRPr="006D066D">
        <w:t xml:space="preserve">n nearly half of the local areas </w:t>
      </w:r>
      <w:r>
        <w:t>that</w:t>
      </w:r>
      <w:r w:rsidRPr="006D066D">
        <w:t xml:space="preserve"> were required to submit a </w:t>
      </w:r>
      <w:r>
        <w:t>WSOA</w:t>
      </w:r>
      <w:r w:rsidRPr="006D066D">
        <w:t xml:space="preserve">, </w:t>
      </w:r>
      <w:r w:rsidR="007F2972">
        <w:t xml:space="preserve">leaders’ use of outcome information </w:t>
      </w:r>
      <w:r w:rsidR="00E77575">
        <w:t xml:space="preserve">was </w:t>
      </w:r>
      <w:r>
        <w:t>ineffective</w:t>
      </w:r>
      <w:r w:rsidRPr="006D066D">
        <w:t xml:space="preserve">. </w:t>
      </w:r>
      <w:r>
        <w:t xml:space="preserve">For example, leaders did not have a good enough understanding of what high-quality outcomes should look like for </w:t>
      </w:r>
      <w:r w:rsidR="001C0CB5">
        <w:t xml:space="preserve">the </w:t>
      </w:r>
      <w:r>
        <w:t xml:space="preserve">children and young people. Furthermore, leaders did not </w:t>
      </w:r>
      <w:r w:rsidR="00DD18DD">
        <w:t xml:space="preserve">use </w:t>
      </w:r>
      <w:r>
        <w:t xml:space="preserve">the information that they did have to evaluate the impact of their work. Leaders’ planning was not linked sufficiently to weaknesses </w:t>
      </w:r>
      <w:r w:rsidR="00E77575">
        <w:t xml:space="preserve">that </w:t>
      </w:r>
      <w:r>
        <w:t>they had identified</w:t>
      </w:r>
      <w:r w:rsidR="00E77575">
        <w:t>.</w:t>
      </w:r>
      <w:r w:rsidR="00CB138A">
        <w:t xml:space="preserve"> Consequently, the</w:t>
      </w:r>
      <w:r w:rsidR="00652A17">
        <w:t>ir plans</w:t>
      </w:r>
      <w:r w:rsidR="00B0768C">
        <w:t xml:space="preserve"> </w:t>
      </w:r>
      <w:r>
        <w:t xml:space="preserve">lacked the </w:t>
      </w:r>
      <w:r w:rsidR="00652A17">
        <w:t xml:space="preserve">precision </w:t>
      </w:r>
      <w:r>
        <w:t xml:space="preserve">to make improvements that were urgently needed. </w:t>
      </w:r>
    </w:p>
    <w:p w14:paraId="3390D110" w14:textId="0A2F1591" w:rsidR="005F6CBA" w:rsidRDefault="007131AC">
      <w:pPr>
        <w:pStyle w:val="Numberedparagraph"/>
      </w:pPr>
      <w:r>
        <w:t>In half of the local areas inspected</w:t>
      </w:r>
      <w:r w:rsidR="003521AE">
        <w:t>,</w:t>
      </w:r>
      <w:r>
        <w:t xml:space="preserve"> </w:t>
      </w:r>
      <w:r w:rsidR="005F6CBA">
        <w:t>leaders d</w:t>
      </w:r>
      <w:r>
        <w:t>id</w:t>
      </w:r>
      <w:r w:rsidR="005F6CBA">
        <w:t xml:space="preserve"> not use a broad enough range of assessment information to inform their evaluations. Many leaders use</w:t>
      </w:r>
      <w:r w:rsidR="00644462">
        <w:t>d</w:t>
      </w:r>
      <w:r w:rsidR="005F6CBA">
        <w:t xml:space="preserve"> statistical information to gain a sound overview of educational outcomes. However, they </w:t>
      </w:r>
      <w:r w:rsidR="00644462">
        <w:t>we</w:t>
      </w:r>
      <w:r w:rsidR="005F6CBA">
        <w:t>re much less secure in their knowledge and understanding of children and young people</w:t>
      </w:r>
      <w:r w:rsidR="00A033F9">
        <w:t>’</w:t>
      </w:r>
      <w:r w:rsidR="005F6CBA">
        <w:t>s outcomes beyond academic achievement. For example, they d</w:t>
      </w:r>
      <w:r w:rsidR="00644462">
        <w:t>id</w:t>
      </w:r>
      <w:r w:rsidR="005F6CBA">
        <w:t xml:space="preserve"> not look </w:t>
      </w:r>
      <w:r w:rsidR="004656EA">
        <w:t xml:space="preserve">with the same rigour </w:t>
      </w:r>
      <w:r w:rsidR="005F6CBA">
        <w:t xml:space="preserve">at whether children </w:t>
      </w:r>
      <w:r w:rsidR="00644462">
        <w:t>we</w:t>
      </w:r>
      <w:r w:rsidR="005F6CBA">
        <w:t>re improving in their communication and language</w:t>
      </w:r>
      <w:r w:rsidR="00775BA6">
        <w:t xml:space="preserve"> skills</w:t>
      </w:r>
      <w:r w:rsidR="005F6CBA">
        <w:t xml:space="preserve">, social and emotional development, health, </w:t>
      </w:r>
      <w:proofErr w:type="gramStart"/>
      <w:r w:rsidR="005F6CBA">
        <w:t>well</w:t>
      </w:r>
      <w:proofErr w:type="gramEnd"/>
      <w:r w:rsidR="005F6CBA">
        <w:t>-being, skills for life or engagement with the community</w:t>
      </w:r>
      <w:r w:rsidR="004656EA">
        <w:t>.</w:t>
      </w:r>
      <w:r w:rsidR="005F6CBA">
        <w:t xml:space="preserve"> </w:t>
      </w:r>
      <w:r w:rsidR="005E094D">
        <w:t>Similarly, some leaders d</w:t>
      </w:r>
      <w:r w:rsidR="00644462">
        <w:t>id</w:t>
      </w:r>
      <w:r w:rsidR="005E094D">
        <w:t xml:space="preserve"> not look carefully enough at trends that demonstrate</w:t>
      </w:r>
      <w:r w:rsidR="00644462">
        <w:t>d</w:t>
      </w:r>
      <w:r w:rsidR="005E094D">
        <w:t xml:space="preserve"> changes in the </w:t>
      </w:r>
      <w:r w:rsidR="00A033F9">
        <w:t>SEND</w:t>
      </w:r>
      <w:r w:rsidR="005E094D">
        <w:t xml:space="preserve"> local community. Where this </w:t>
      </w:r>
      <w:r w:rsidR="00644462">
        <w:t>wa</w:t>
      </w:r>
      <w:r w:rsidR="005E094D">
        <w:t xml:space="preserve">s the case, </w:t>
      </w:r>
      <w:r w:rsidR="004656EA">
        <w:t xml:space="preserve">leaders </w:t>
      </w:r>
      <w:r w:rsidR="005F6CBA">
        <w:t>d</w:t>
      </w:r>
      <w:r w:rsidR="00644462">
        <w:t>id</w:t>
      </w:r>
      <w:r w:rsidR="005F6CBA">
        <w:t xml:space="preserve"> not know how effective some of the work carried out with children</w:t>
      </w:r>
      <w:r w:rsidR="005E094D">
        <w:t xml:space="preserve"> and young people </w:t>
      </w:r>
      <w:r w:rsidR="00644462">
        <w:t>had been</w:t>
      </w:r>
      <w:r w:rsidR="005E094D">
        <w:t xml:space="preserve">, where there </w:t>
      </w:r>
      <w:r w:rsidR="00644462">
        <w:t>we</w:t>
      </w:r>
      <w:r w:rsidR="005E094D">
        <w:t>re gaps in services</w:t>
      </w:r>
      <w:r w:rsidR="005F6CBA">
        <w:t xml:space="preserve"> and how to improve </w:t>
      </w:r>
      <w:r w:rsidR="005E094D">
        <w:t>both</w:t>
      </w:r>
      <w:r w:rsidR="005F6CBA">
        <w:t xml:space="preserve"> further. </w:t>
      </w:r>
    </w:p>
    <w:p w14:paraId="05EC65FF" w14:textId="02BA4B3B" w:rsidR="005F6CBA" w:rsidRDefault="005F6CBA">
      <w:pPr>
        <w:pStyle w:val="Numberedparagraph"/>
      </w:pPr>
      <w:r>
        <w:t>I</w:t>
      </w:r>
      <w:r w:rsidRPr="00670077">
        <w:t xml:space="preserve">n </w:t>
      </w:r>
      <w:r w:rsidR="00644462">
        <w:t xml:space="preserve">the </w:t>
      </w:r>
      <w:r w:rsidRPr="00670077">
        <w:t xml:space="preserve">weaker </w:t>
      </w:r>
      <w:r>
        <w:t xml:space="preserve">local </w:t>
      </w:r>
      <w:r w:rsidRPr="00670077">
        <w:t>areas</w:t>
      </w:r>
      <w:r w:rsidR="00644462">
        <w:t xml:space="preserve"> inspected</w:t>
      </w:r>
      <w:r w:rsidR="00652A17">
        <w:t>, l</w:t>
      </w:r>
      <w:r w:rsidRPr="00670077">
        <w:t>eaders d</w:t>
      </w:r>
      <w:r>
        <w:t>id</w:t>
      </w:r>
      <w:r w:rsidRPr="00670077">
        <w:t xml:space="preserve"> not look </w:t>
      </w:r>
      <w:r>
        <w:t xml:space="preserve">closely </w:t>
      </w:r>
      <w:r w:rsidRPr="00670077">
        <w:t xml:space="preserve">enough at specific groups of children and young people who have </w:t>
      </w:r>
      <w:r w:rsidR="003243AE">
        <w:t>SEND</w:t>
      </w:r>
      <w:r>
        <w:t>. Sometimes</w:t>
      </w:r>
      <w:r w:rsidR="004656EA">
        <w:t>,</w:t>
      </w:r>
      <w:r>
        <w:t xml:space="preserve"> they </w:t>
      </w:r>
      <w:r w:rsidRPr="00670077">
        <w:t>focus</w:t>
      </w:r>
      <w:r w:rsidR="004656EA">
        <w:t>ed</w:t>
      </w:r>
      <w:r w:rsidRPr="00670077">
        <w:t xml:space="preserve"> </w:t>
      </w:r>
      <w:r>
        <w:t>almost solely</w:t>
      </w:r>
      <w:r w:rsidRPr="00670077">
        <w:t xml:space="preserve"> on educational outcomes</w:t>
      </w:r>
      <w:r w:rsidR="004656EA">
        <w:t xml:space="preserve">. </w:t>
      </w:r>
      <w:r w:rsidRPr="00670077">
        <w:t>Consequently, leaders</w:t>
      </w:r>
      <w:r w:rsidR="004656EA">
        <w:t>’</w:t>
      </w:r>
      <w:r>
        <w:t xml:space="preserve"> strategic planning and actions in these areas were weak</w:t>
      </w:r>
      <w:r w:rsidR="004656EA">
        <w:t>. T</w:t>
      </w:r>
      <w:r>
        <w:t xml:space="preserve">hey were </w:t>
      </w:r>
      <w:r w:rsidRPr="00670077">
        <w:t xml:space="preserve">not focused </w:t>
      </w:r>
      <w:r w:rsidR="00161390">
        <w:t>sharply</w:t>
      </w:r>
      <w:r w:rsidR="00161390" w:rsidRPr="00670077">
        <w:t xml:space="preserve"> </w:t>
      </w:r>
      <w:r w:rsidRPr="00670077">
        <w:t xml:space="preserve">enough on </w:t>
      </w:r>
      <w:r>
        <w:t xml:space="preserve">the range of outcomes that are pertinent for children who have </w:t>
      </w:r>
      <w:r w:rsidR="00161390">
        <w:t>SEND</w:t>
      </w:r>
      <w:r>
        <w:t>, such as those associated with health and care.</w:t>
      </w:r>
    </w:p>
    <w:p w14:paraId="5CBDA010" w14:textId="5691CC03" w:rsidR="005F6CBA" w:rsidRDefault="005F6CBA">
      <w:pPr>
        <w:pStyle w:val="Numberedparagraph"/>
      </w:pPr>
      <w:r>
        <w:t xml:space="preserve">Health services </w:t>
      </w:r>
      <w:r w:rsidR="00644462">
        <w:t>were not using</w:t>
      </w:r>
      <w:r w:rsidR="001563C8">
        <w:t xml:space="preserve"> outcome measures well enough when planning and evaluating services</w:t>
      </w:r>
      <w:r>
        <w:t>. Across the 30 local areas inspected, health professionals and parents typically focus</w:t>
      </w:r>
      <w:r w:rsidR="00644462">
        <w:t>ed</w:t>
      </w:r>
      <w:r>
        <w:t xml:space="preserve"> more on delivery than </w:t>
      </w:r>
      <w:r w:rsidR="00775BA6">
        <w:t xml:space="preserve">on </w:t>
      </w:r>
      <w:r>
        <w:t xml:space="preserve">the difference that planned provision </w:t>
      </w:r>
      <w:r w:rsidR="00644462">
        <w:t>wa</w:t>
      </w:r>
      <w:r>
        <w:t xml:space="preserve">s making to children and young people who have </w:t>
      </w:r>
      <w:r w:rsidR="00D17D3D">
        <w:t>SEND</w:t>
      </w:r>
      <w:r>
        <w:t xml:space="preserve">. </w:t>
      </w:r>
    </w:p>
    <w:p w14:paraId="459AA127" w14:textId="10F0BB29" w:rsidR="00E015D1" w:rsidRDefault="00644462" w:rsidP="004612AE">
      <w:pPr>
        <w:pStyle w:val="Numberedparagraph"/>
      </w:pPr>
      <w:r>
        <w:t>Across</w:t>
      </w:r>
      <w:r w:rsidR="00FE751A">
        <w:t xml:space="preserve"> the</w:t>
      </w:r>
      <w:r>
        <w:t xml:space="preserve"> 30</w:t>
      </w:r>
      <w:r w:rsidR="00FE751A">
        <w:t xml:space="preserve"> local areas, inspectors found more compelling evidence of improved outcomes for children and young people </w:t>
      </w:r>
      <w:r w:rsidR="0073476A">
        <w:t>with</w:t>
      </w:r>
      <w:r w:rsidR="00FE751A">
        <w:t xml:space="preserve"> an EHC plan </w:t>
      </w:r>
      <w:r w:rsidR="0073476A">
        <w:t xml:space="preserve">compared to </w:t>
      </w:r>
      <w:r w:rsidR="00FE751A">
        <w:t>those identified as</w:t>
      </w:r>
      <w:r w:rsidR="00F14AAC">
        <w:t xml:space="preserve"> needing</w:t>
      </w:r>
      <w:r w:rsidR="00FE751A">
        <w:t xml:space="preserve"> SEND support</w:t>
      </w:r>
      <w:r w:rsidR="00F955D8">
        <w:t xml:space="preserve"> but who did not have a plan</w:t>
      </w:r>
      <w:r w:rsidR="00FE751A">
        <w:t xml:space="preserve">. </w:t>
      </w:r>
      <w:r>
        <w:t>L</w:t>
      </w:r>
      <w:r w:rsidR="00FE751A">
        <w:t>ocal area leaders were able to demonstrate</w:t>
      </w:r>
      <w:r w:rsidR="0073476A">
        <w:t>,</w:t>
      </w:r>
      <w:r w:rsidR="00FE751A">
        <w:t xml:space="preserve"> with much greater clarity</w:t>
      </w:r>
      <w:r w:rsidR="0073476A">
        <w:t>,</w:t>
      </w:r>
      <w:r w:rsidR="00FE751A">
        <w:t xml:space="preserve"> the curriculum pathways and the related health and care provision on offer for those with EHC plans and how these led to </w:t>
      </w:r>
      <w:r w:rsidR="0042050C">
        <w:t>appropriate</w:t>
      </w:r>
      <w:r w:rsidR="00FE751A">
        <w:t xml:space="preserve"> next steps in education, employment and training.</w:t>
      </w:r>
      <w:r w:rsidR="00F14AAC">
        <w:t xml:space="preserve"> L</w:t>
      </w:r>
      <w:r w:rsidR="00FE751A">
        <w:t xml:space="preserve">ocal area leaders were not consistently gathering or evaluating a broad enough range of assessment information from schools and providers for those identified as needing SEND support. Consequently, they were often unaware where there were weaknesses in the outcomes for these children and young people and had </w:t>
      </w:r>
      <w:r w:rsidR="00F14AAC">
        <w:t>not done enough to improve them</w:t>
      </w:r>
      <w:r w:rsidR="00FE751A">
        <w:t xml:space="preserve">. For example, they were not </w:t>
      </w:r>
      <w:r w:rsidR="00F14AAC">
        <w:t xml:space="preserve">always </w:t>
      </w:r>
      <w:r w:rsidR="00FE751A">
        <w:t xml:space="preserve">aware </w:t>
      </w:r>
      <w:r w:rsidR="00CB3B2E">
        <w:t xml:space="preserve">of </w:t>
      </w:r>
      <w:r w:rsidR="00F14AAC">
        <w:t>the extent to which children and young people receiving SEND support were:</w:t>
      </w:r>
      <w:r w:rsidR="00FE751A">
        <w:t xml:space="preserve"> </w:t>
      </w:r>
    </w:p>
    <w:p w14:paraId="6469E737" w14:textId="54758694" w:rsidR="00CB3B2E" w:rsidRDefault="00FE751A" w:rsidP="00DC7156">
      <w:pPr>
        <w:pStyle w:val="Bulletsspaced"/>
      </w:pPr>
      <w:r>
        <w:t>securing future education, employment and training</w:t>
      </w:r>
    </w:p>
    <w:p w14:paraId="10964C07" w14:textId="6F974277" w:rsidR="00CB3B2E" w:rsidRDefault="00FE751A" w:rsidP="00DC7156">
      <w:pPr>
        <w:pStyle w:val="Bulletsspaced"/>
      </w:pPr>
      <w:r>
        <w:t>step</w:t>
      </w:r>
      <w:r w:rsidR="00CB3B2E">
        <w:t>ping</w:t>
      </w:r>
      <w:r>
        <w:t xml:space="preserve"> into independent living</w:t>
      </w:r>
    </w:p>
    <w:p w14:paraId="105EE54F" w14:textId="0CAB9245" w:rsidR="00CB3B2E" w:rsidRDefault="00F14AAC" w:rsidP="00DC7156">
      <w:pPr>
        <w:pStyle w:val="Bulletsspaced"/>
      </w:pPr>
      <w:r>
        <w:t>progressing and attaining educationally</w:t>
      </w:r>
    </w:p>
    <w:p w14:paraId="6B9C38F9" w14:textId="2D17166B" w:rsidR="00CB3B2E" w:rsidRDefault="00F14AAC" w:rsidP="00DC7156">
      <w:pPr>
        <w:pStyle w:val="Bulletsspaced"/>
      </w:pPr>
      <w:r>
        <w:t>attending school rather than being absent or excluded</w:t>
      </w:r>
    </w:p>
    <w:p w14:paraId="698F4A18" w14:textId="16B3A448" w:rsidR="00FE751A" w:rsidRDefault="00F14AAC" w:rsidP="00DC7156">
      <w:pPr>
        <w:pStyle w:val="Bulletsspaced-lastbullet"/>
      </w:pPr>
      <w:proofErr w:type="gramStart"/>
      <w:r>
        <w:t>developing</w:t>
      </w:r>
      <w:proofErr w:type="gramEnd"/>
      <w:r>
        <w:t xml:space="preserve"> socially and emotionally, being healthy physically and mentally, or being involved in the community.</w:t>
      </w:r>
    </w:p>
    <w:p w14:paraId="31C34B3F" w14:textId="2D2F0806" w:rsidR="008228EC" w:rsidRDefault="00E61E32">
      <w:pPr>
        <w:pStyle w:val="Numberedparagraph"/>
      </w:pPr>
      <w:r>
        <w:t xml:space="preserve">Children and young people who were identified as needing SEND support </w:t>
      </w:r>
      <w:r w:rsidR="00F955D8">
        <w:t xml:space="preserve">but without an EHC plan </w:t>
      </w:r>
      <w:r>
        <w:t xml:space="preserve">did not benefit as consistently from a coordinated approach between education, health and care as those with </w:t>
      </w:r>
      <w:r w:rsidR="00F955D8">
        <w:t xml:space="preserve">a </w:t>
      </w:r>
      <w:r>
        <w:t xml:space="preserve">plan. Consequently, </w:t>
      </w:r>
      <w:r w:rsidR="008228EC">
        <w:t xml:space="preserve">parents reported that getting an EHC plan was like a ‘golden ticket’ to better outcomes, even though an EHC plan was rightly not issued because the complexity of the child’s need did not require it. </w:t>
      </w:r>
    </w:p>
    <w:p w14:paraId="64E6C998" w14:textId="4E7F3493" w:rsidR="003D52DF" w:rsidRDefault="008228EC">
      <w:pPr>
        <w:pStyle w:val="Numberedparagraph"/>
      </w:pPr>
      <w:r>
        <w:t>However, in some of the more successful local areas, effective strategies had led to improved outcomes for those identified as needing SEND support</w:t>
      </w:r>
      <w:r w:rsidR="00F955D8">
        <w:t xml:space="preserve"> but who did not have an EHC plan</w:t>
      </w:r>
      <w:r>
        <w:t>. This was particularly the case when leaders in education, health and care settings worked together under a shared vision to improve joint working for children and young people w</w:t>
      </w:r>
      <w:r w:rsidR="00F955D8">
        <w:t>ho have</w:t>
      </w:r>
      <w:r>
        <w:t xml:space="preserve"> SEND and their families.</w:t>
      </w:r>
    </w:p>
    <w:p w14:paraId="1537233B" w14:textId="64034A35" w:rsidR="005F6CBA" w:rsidRDefault="005F6CBA">
      <w:pPr>
        <w:pStyle w:val="Numberedparagraph"/>
      </w:pPr>
      <w:r w:rsidRPr="007B794D">
        <w:t xml:space="preserve">The number of pupils </w:t>
      </w:r>
      <w:r w:rsidR="00144C56">
        <w:t>who have SEND and were</w:t>
      </w:r>
      <w:r>
        <w:t xml:space="preserve"> excluded </w:t>
      </w:r>
      <w:r w:rsidR="00E61E32">
        <w:t>wa</w:t>
      </w:r>
      <w:r>
        <w:t>s</w:t>
      </w:r>
      <w:r w:rsidR="00E61E32">
        <w:t xml:space="preserve"> typically</w:t>
      </w:r>
      <w:r>
        <w:t xml:space="preserve"> high</w:t>
      </w:r>
      <w:r w:rsidRPr="007B794D">
        <w:t>.</w:t>
      </w:r>
      <w:r w:rsidRPr="003234C1">
        <w:t xml:space="preserve"> </w:t>
      </w:r>
      <w:r w:rsidR="00E61E32">
        <w:t>For example, the exclusion of SEND pupils</w:t>
      </w:r>
      <w:r>
        <w:t xml:space="preserve"> was identified as </w:t>
      </w:r>
      <w:r w:rsidR="00F955D8">
        <w:t xml:space="preserve">being high </w:t>
      </w:r>
      <w:r>
        <w:t xml:space="preserve">in a third of local areas inspected. </w:t>
      </w:r>
      <w:r w:rsidRPr="00292BC0">
        <w:t xml:space="preserve">Nearly half were criticised for the poor attendance of the same group. </w:t>
      </w:r>
      <w:r>
        <w:t xml:space="preserve">Across the majority of local areas inspected, leaders did not have appropriate plans to deal with either issue. Some parents reported that they </w:t>
      </w:r>
      <w:r w:rsidR="00547904">
        <w:t xml:space="preserve">had </w:t>
      </w:r>
      <w:r>
        <w:t xml:space="preserve">been asked to keep their children at home because leaders said they </w:t>
      </w:r>
      <w:r w:rsidR="00F9120D">
        <w:t xml:space="preserve">could not </w:t>
      </w:r>
      <w:r>
        <w:t>meet their children’s needs. Children and young people</w:t>
      </w:r>
      <w:r w:rsidRPr="003234C1">
        <w:t xml:space="preserve"> identified as </w:t>
      </w:r>
      <w:r>
        <w:t>needing</w:t>
      </w:r>
      <w:r w:rsidRPr="003234C1">
        <w:t xml:space="preserve"> </w:t>
      </w:r>
      <w:r w:rsidR="009B16AA">
        <w:t xml:space="preserve">SEND </w:t>
      </w:r>
      <w:r w:rsidRPr="003234C1">
        <w:t>support</w:t>
      </w:r>
      <w:r w:rsidR="00F955D8">
        <w:t xml:space="preserve"> but who did not have an EHC plan</w:t>
      </w:r>
      <w:r w:rsidRPr="003234C1">
        <w:t xml:space="preserve"> </w:t>
      </w:r>
      <w:r w:rsidR="00E61E32">
        <w:t>we</w:t>
      </w:r>
      <w:r w:rsidRPr="003234C1">
        <w:t>re particularly</w:t>
      </w:r>
      <w:r w:rsidR="00F955D8">
        <w:t xml:space="preserve"> </w:t>
      </w:r>
      <w:proofErr w:type="spellStart"/>
      <w:r w:rsidR="00F955D8">
        <w:t>prominant</w:t>
      </w:r>
      <w:proofErr w:type="spellEnd"/>
      <w:r w:rsidRPr="003234C1">
        <w:t xml:space="preserve"> </w:t>
      </w:r>
      <w:r>
        <w:t>in exclusions data. Inspectors report</w:t>
      </w:r>
      <w:r w:rsidR="00E61E32">
        <w:t>ed</w:t>
      </w:r>
      <w:r>
        <w:t xml:space="preserve"> that these pupils </w:t>
      </w:r>
      <w:r w:rsidR="00E61E32">
        <w:t>we</w:t>
      </w:r>
      <w:r>
        <w:t xml:space="preserve">re particularly vulnerable to exclusion in mainstream secondary schools. </w:t>
      </w:r>
    </w:p>
    <w:p w14:paraId="0DE221D4" w14:textId="77777777" w:rsidR="005F6CBA" w:rsidRDefault="005F6CBA">
      <w:pPr>
        <w:pStyle w:val="Numberedparagraph"/>
      </w:pPr>
      <w:r>
        <w:t xml:space="preserve">In most local areas, schools, parents and other providers work well together to support </w:t>
      </w:r>
      <w:r w:rsidR="00547904">
        <w:t xml:space="preserve">the independence, self-help and life skills of </w:t>
      </w:r>
      <w:r>
        <w:t xml:space="preserve">children and young people who have </w:t>
      </w:r>
      <w:r w:rsidR="00F32ECB">
        <w:t>SEND</w:t>
      </w:r>
      <w:r w:rsidRPr="000967BD">
        <w:t>.</w:t>
      </w:r>
      <w:r>
        <w:t xml:space="preserve"> In just under half of the local areas inspected, initiatives such as independent travel training had led to increased levels of independence for children and young people</w:t>
      </w:r>
      <w:r w:rsidR="00710722">
        <w:t xml:space="preserve">. </w:t>
      </w:r>
      <w:r w:rsidR="00547904">
        <w:t>This</w:t>
      </w:r>
      <w:r>
        <w:t xml:space="preserve"> was improving their ability to make an active contribution to their local communities by being better prepared for their next step in education, employment or training. </w:t>
      </w:r>
    </w:p>
    <w:p w14:paraId="6AF9C34A" w14:textId="1B19C7AA" w:rsidR="00FC2C81" w:rsidRDefault="00FC2C81" w:rsidP="00FC2C81">
      <w:pPr>
        <w:pStyle w:val="Casestudy"/>
      </w:pPr>
      <w:r w:rsidRPr="0006216F">
        <w:t>In Hillingdon</w:t>
      </w:r>
      <w:r>
        <w:t>,</w:t>
      </w:r>
      <w:r w:rsidRPr="0006216F">
        <w:t xml:space="preserve"> </w:t>
      </w:r>
      <w:r>
        <w:t xml:space="preserve">local area leaders have established </w:t>
      </w:r>
      <w:r w:rsidRPr="0006216F">
        <w:t>effective joint working</w:t>
      </w:r>
      <w:r>
        <w:t xml:space="preserve">. This is part of their dedication to improving </w:t>
      </w:r>
      <w:r w:rsidRPr="0006216F">
        <w:t xml:space="preserve">outcomes for all groups of children and young people who have </w:t>
      </w:r>
      <w:r w:rsidR="00FC529A">
        <w:t>SEND</w:t>
      </w:r>
      <w:r w:rsidRPr="0006216F">
        <w:t xml:space="preserve">. Leaders have </w:t>
      </w:r>
      <w:r>
        <w:t>secured</w:t>
      </w:r>
      <w:r w:rsidRPr="0006216F">
        <w:t xml:space="preserve"> several agreements to jointly commission services. For example,</w:t>
      </w:r>
      <w:r>
        <w:t xml:space="preserve"> they have secured effective care packages that meet children and young people’s needs by developing the access</w:t>
      </w:r>
      <w:r w:rsidRPr="0006216F">
        <w:t xml:space="preserve"> to personal budgets </w:t>
      </w:r>
      <w:r>
        <w:t xml:space="preserve">through an agreed, collaborative pathway. Leaders from the local authority, child and adolescent mental health services and those who provide specialist equipment work together cohesively to ensure better outcomes for children and young people who need bespoke care. </w:t>
      </w:r>
    </w:p>
    <w:p w14:paraId="330CDB6C" w14:textId="11C796C7" w:rsidR="005F6CBA" w:rsidRPr="000C236D" w:rsidRDefault="005F6CBA" w:rsidP="005F6CBA">
      <w:pPr>
        <w:pStyle w:val="Heading2"/>
      </w:pPr>
      <w:bookmarkStart w:id="14" w:name="_Toc491089465"/>
      <w:bookmarkStart w:id="15" w:name="_Toc495392056"/>
      <w:r w:rsidRPr="000C236D">
        <w:t xml:space="preserve">Inspection findings in the local areas required to produce a written statement of </w:t>
      </w:r>
      <w:r w:rsidRPr="00EA56E0">
        <w:t>action</w:t>
      </w:r>
      <w:bookmarkEnd w:id="14"/>
      <w:bookmarkEnd w:id="15"/>
    </w:p>
    <w:p w14:paraId="389D9CFA" w14:textId="77777777" w:rsidR="005F6CBA" w:rsidRPr="006713CB" w:rsidRDefault="005F6CBA">
      <w:pPr>
        <w:pStyle w:val="Numberedparagraph"/>
      </w:pPr>
      <w:r w:rsidRPr="006713CB">
        <w:t xml:space="preserve">Of the first 30 local area SEND inspections, nine local areas were required to produce a </w:t>
      </w:r>
      <w:r w:rsidR="00C43886">
        <w:t xml:space="preserve">WSOA </w:t>
      </w:r>
      <w:r w:rsidRPr="006713CB">
        <w:t xml:space="preserve">because Ofsted and CQC judged that there were aspects of significant concern. </w:t>
      </w:r>
    </w:p>
    <w:p w14:paraId="0836B223" w14:textId="76F7F78D" w:rsidR="005F6CBA" w:rsidRPr="00EA56E0" w:rsidRDefault="005F6CBA" w:rsidP="00DC7156">
      <w:pPr>
        <w:pStyle w:val="Heading2"/>
      </w:pPr>
      <w:bookmarkStart w:id="16" w:name="_Toc495392057"/>
      <w:r w:rsidRPr="00EA56E0">
        <w:t>Common areas of significant concer</w:t>
      </w:r>
      <w:r>
        <w:t>n</w:t>
      </w:r>
      <w:bookmarkEnd w:id="16"/>
    </w:p>
    <w:p w14:paraId="7416BC89" w14:textId="77777777" w:rsidR="005F6CBA" w:rsidRPr="00997B57" w:rsidRDefault="005F6CBA">
      <w:pPr>
        <w:pStyle w:val="Numberedparagraph"/>
      </w:pPr>
      <w:r w:rsidRPr="00997B57">
        <w:t xml:space="preserve">There were </w:t>
      </w:r>
      <w:r>
        <w:t xml:space="preserve">three </w:t>
      </w:r>
      <w:r w:rsidRPr="00997B57">
        <w:t>common areas of significant concern in all nine</w:t>
      </w:r>
      <w:r>
        <w:t xml:space="preserve"> of these</w:t>
      </w:r>
      <w:r w:rsidRPr="00997B57">
        <w:t xml:space="preserve"> local areas</w:t>
      </w:r>
      <w:r w:rsidR="00547904">
        <w:t>:</w:t>
      </w:r>
    </w:p>
    <w:p w14:paraId="410F84D3" w14:textId="6A3F053E" w:rsidR="005F6CBA" w:rsidRDefault="00547904" w:rsidP="005F6CBA">
      <w:pPr>
        <w:pStyle w:val="Bulletsspaced"/>
        <w:tabs>
          <w:tab w:val="num" w:pos="1080"/>
        </w:tabs>
        <w:ind w:left="1080" w:hanging="360"/>
      </w:pPr>
      <w:r>
        <w:t>L</w:t>
      </w:r>
      <w:r w:rsidRPr="000967BD">
        <w:t xml:space="preserve">eaders’ </w:t>
      </w:r>
      <w:r w:rsidR="005F6CBA" w:rsidRPr="000967BD">
        <w:t>strategies to implement the reforms were weak</w:t>
      </w:r>
      <w:r w:rsidR="005F6CBA">
        <w:t xml:space="preserve"> and </w:t>
      </w:r>
      <w:r w:rsidR="00502008">
        <w:t>lacked impact</w:t>
      </w:r>
      <w:r w:rsidR="005F6CBA" w:rsidRPr="000967BD">
        <w:t xml:space="preserve">. </w:t>
      </w:r>
      <w:r w:rsidR="001563C8">
        <w:t>For example, the role</w:t>
      </w:r>
      <w:r w:rsidR="001563C8" w:rsidRPr="000967BD">
        <w:t xml:space="preserve"> </w:t>
      </w:r>
      <w:r w:rsidR="001563C8">
        <w:t xml:space="preserve">of the </w:t>
      </w:r>
      <w:r w:rsidR="00FC529A">
        <w:t>designated medical officer</w:t>
      </w:r>
      <w:r w:rsidR="001563C8">
        <w:t xml:space="preserve"> </w:t>
      </w:r>
      <w:r w:rsidR="00FC529A">
        <w:t xml:space="preserve">(DMO) </w:t>
      </w:r>
      <w:r w:rsidR="001563C8">
        <w:t xml:space="preserve">or </w:t>
      </w:r>
      <w:r w:rsidR="00FC529A">
        <w:t>designated clinical officer</w:t>
      </w:r>
      <w:r w:rsidR="001563C8">
        <w:t xml:space="preserve"> </w:t>
      </w:r>
      <w:r w:rsidR="00FC529A">
        <w:t xml:space="preserve">(DCO) </w:t>
      </w:r>
      <w:r w:rsidR="001563C8">
        <w:t xml:space="preserve">was underdeveloped or </w:t>
      </w:r>
      <w:proofErr w:type="spellStart"/>
      <w:r w:rsidR="001563C8">
        <w:t>underresourced</w:t>
      </w:r>
      <w:proofErr w:type="spellEnd"/>
      <w:r w:rsidR="001563C8">
        <w:t xml:space="preserve">. </w:t>
      </w:r>
      <w:r w:rsidR="005F6CBA" w:rsidRPr="000967BD">
        <w:t xml:space="preserve">As a result, leaders were unable to secure </w:t>
      </w:r>
      <w:r w:rsidR="00502008">
        <w:t xml:space="preserve">much needed </w:t>
      </w:r>
      <w:r w:rsidR="005F6CBA" w:rsidRPr="000967BD">
        <w:t>joint working</w:t>
      </w:r>
      <w:r w:rsidR="001563C8">
        <w:t>, leading to</w:t>
      </w:r>
      <w:r w:rsidR="005F6CBA" w:rsidRPr="000967BD">
        <w:t xml:space="preserve"> </w:t>
      </w:r>
      <w:r w:rsidR="001563C8">
        <w:t>p</w:t>
      </w:r>
      <w:r w:rsidR="005F6CBA" w:rsidRPr="000967BD">
        <w:t xml:space="preserve">oor collaboration </w:t>
      </w:r>
      <w:r w:rsidR="005F6CBA">
        <w:t xml:space="preserve">and commissioning </w:t>
      </w:r>
      <w:r w:rsidR="005F6CBA" w:rsidRPr="000967BD">
        <w:t>between professionals from education, health and care</w:t>
      </w:r>
      <w:r w:rsidR="001563C8">
        <w:t>.</w:t>
      </w:r>
      <w:r w:rsidR="005F6CBA" w:rsidRPr="000967BD">
        <w:t xml:space="preserve"> </w:t>
      </w:r>
      <w:r w:rsidR="001563C8">
        <w:t xml:space="preserve">In turn, these weaknesses led to poor delivery of any central strategy by frontline staff and undermined attempts to work collaboratively with children and young people and their families. </w:t>
      </w:r>
      <w:r w:rsidR="00F51453" w:rsidRPr="000967BD">
        <w:t>Consequently, EH</w:t>
      </w:r>
      <w:r w:rsidR="00F51453">
        <w:t>C</w:t>
      </w:r>
      <w:r w:rsidR="00F51453" w:rsidRPr="000967BD">
        <w:t xml:space="preserve"> plans in all nine areas were weak. </w:t>
      </w:r>
      <w:r w:rsidR="00F51453">
        <w:t>T</w:t>
      </w:r>
      <w:r w:rsidR="00F51453" w:rsidRPr="000967BD">
        <w:t>he plans were primarily education plans</w:t>
      </w:r>
      <w:r w:rsidR="00F51453">
        <w:t>,</w:t>
      </w:r>
      <w:r w:rsidR="00F51453" w:rsidRPr="000967BD">
        <w:t xml:space="preserve"> with very poor evidence of how health or social care needs had been considered and what the intended outcomes were.</w:t>
      </w:r>
    </w:p>
    <w:p w14:paraId="50C727A6" w14:textId="594E9709" w:rsidR="005F6CBA" w:rsidRDefault="0045604E" w:rsidP="005F6CBA">
      <w:pPr>
        <w:pStyle w:val="Bulletsspaced"/>
        <w:tabs>
          <w:tab w:val="num" w:pos="1080"/>
        </w:tabs>
        <w:ind w:left="1080" w:hanging="360"/>
      </w:pPr>
      <w:r>
        <w:t xml:space="preserve">Leaders’ </w:t>
      </w:r>
      <w:r w:rsidR="005F6CBA">
        <w:t xml:space="preserve">evaluations of </w:t>
      </w:r>
      <w:r>
        <w:t xml:space="preserve">how effective services </w:t>
      </w:r>
      <w:r w:rsidR="00805669">
        <w:t>ha</w:t>
      </w:r>
      <w:r w:rsidR="00E61E32">
        <w:t>d</w:t>
      </w:r>
      <w:r w:rsidR="00805669">
        <w:t xml:space="preserve"> been </w:t>
      </w:r>
      <w:r w:rsidR="005F6CBA">
        <w:t xml:space="preserve">did not focus well enough on the impact of their actions on improving outcomes for children and young people who have </w:t>
      </w:r>
      <w:r w:rsidR="00F07AE4">
        <w:t>SEND</w:t>
      </w:r>
      <w:r>
        <w:t>.</w:t>
      </w:r>
    </w:p>
    <w:p w14:paraId="29C04835" w14:textId="5F9D8A4B" w:rsidR="005F6CBA" w:rsidRDefault="00F51453" w:rsidP="005F6CBA">
      <w:pPr>
        <w:pStyle w:val="Bulletsspaced-lastbullet"/>
        <w:tabs>
          <w:tab w:val="num" w:pos="1080"/>
        </w:tabs>
        <w:ind w:left="1080" w:hanging="360"/>
      </w:pPr>
      <w:r>
        <w:t xml:space="preserve">Elected </w:t>
      </w:r>
      <w:r w:rsidR="008D4007">
        <w:t xml:space="preserve">council </w:t>
      </w:r>
      <w:r>
        <w:t xml:space="preserve">members were not holding </w:t>
      </w:r>
      <w:r w:rsidR="008D4007">
        <w:t xml:space="preserve">local area </w:t>
      </w:r>
      <w:r>
        <w:t xml:space="preserve">leaders to account well enough, meaning the impact of leaders’ actions </w:t>
      </w:r>
      <w:r w:rsidR="00FC529A">
        <w:t>was</w:t>
      </w:r>
      <w:r>
        <w:t xml:space="preserve"> not being scrutinised.</w:t>
      </w:r>
      <w:r w:rsidR="00805669">
        <w:t xml:space="preserve"> </w:t>
      </w:r>
      <w:r w:rsidR="00356909">
        <w:t>Elected members</w:t>
      </w:r>
      <w:r w:rsidR="00356909" w:rsidRPr="000967BD">
        <w:t xml:space="preserve"> </w:t>
      </w:r>
      <w:r w:rsidR="00356909">
        <w:t>did not challenge</w:t>
      </w:r>
      <w:r w:rsidR="0045604E" w:rsidRPr="0045604E">
        <w:t xml:space="preserve"> </w:t>
      </w:r>
      <w:r w:rsidR="00356909">
        <w:t>a</w:t>
      </w:r>
      <w:r w:rsidR="005F6CBA" w:rsidRPr="000967BD">
        <w:t xml:space="preserve"> lack of progress or urgency in implementing the reforms</w:t>
      </w:r>
      <w:r w:rsidR="00805669">
        <w:t xml:space="preserve"> sufficiently</w:t>
      </w:r>
      <w:r w:rsidR="005F6CBA" w:rsidRPr="000967BD">
        <w:t xml:space="preserve">. </w:t>
      </w:r>
    </w:p>
    <w:p w14:paraId="212899FE" w14:textId="37F0CF6B" w:rsidR="005F6CBA" w:rsidRPr="00997B57" w:rsidRDefault="005F6CBA">
      <w:pPr>
        <w:pStyle w:val="Numberedparagraph"/>
      </w:pPr>
      <w:r w:rsidRPr="0006216F">
        <w:t>I</w:t>
      </w:r>
      <w:r w:rsidRPr="00651253">
        <w:t xml:space="preserve">n </w:t>
      </w:r>
      <w:r>
        <w:t>six</w:t>
      </w:r>
      <w:r w:rsidRPr="00651253">
        <w:t xml:space="preserve"> of the areas, strategies to improve attendance and exclusions were ineffective.</w:t>
      </w:r>
      <w:r>
        <w:t xml:space="preserve"> Leaders were unable to </w:t>
      </w:r>
      <w:r w:rsidR="00356909">
        <w:t xml:space="preserve">show </w:t>
      </w:r>
      <w:r>
        <w:t xml:space="preserve">improvements in the proportions of children and young people who have </w:t>
      </w:r>
      <w:r w:rsidR="00993C53">
        <w:t xml:space="preserve">SEND </w:t>
      </w:r>
      <w:r>
        <w:t>who were absent or excluded from school. In the majority of these areas, inspectors identified declining trends in attendance and rising levels of exclusions</w:t>
      </w:r>
      <w:r w:rsidR="00356909">
        <w:t>. This was</w:t>
      </w:r>
      <w:r>
        <w:t xml:space="preserve"> particularly, but not exclusively, </w:t>
      </w:r>
      <w:r w:rsidR="00356909">
        <w:t xml:space="preserve">the case </w:t>
      </w:r>
      <w:r>
        <w:t>for children and young people identified as needing SEN</w:t>
      </w:r>
      <w:r w:rsidR="00137EE0">
        <w:t>D</w:t>
      </w:r>
      <w:r>
        <w:t xml:space="preserve"> support. In particular, a lack of commitment from some schools within these areas meant that the quality of provision for the </w:t>
      </w:r>
      <w:r w:rsidR="00993C53">
        <w:t>children and young people</w:t>
      </w:r>
      <w:r w:rsidR="00137EE0">
        <w:t xml:space="preserve"> was too varied</w:t>
      </w:r>
      <w:r>
        <w:t>. Consequently, families experience</w:t>
      </w:r>
      <w:r w:rsidR="00137EE0">
        <w:t>d</w:t>
      </w:r>
      <w:r>
        <w:t xml:space="preserve"> a ‘postcode lottery’ </w:t>
      </w:r>
      <w:r w:rsidR="00356909">
        <w:t>for</w:t>
      </w:r>
      <w:r>
        <w:t xml:space="preserve"> the quality of support and provision they receive.</w:t>
      </w:r>
    </w:p>
    <w:p w14:paraId="68E8CECB" w14:textId="77777777" w:rsidR="005F6CBA" w:rsidRDefault="005F6CBA">
      <w:pPr>
        <w:pStyle w:val="Numberedparagraph"/>
      </w:pPr>
      <w:r w:rsidRPr="00651253">
        <w:t xml:space="preserve">The weakness in access to </w:t>
      </w:r>
      <w:r>
        <w:t xml:space="preserve">specialist and </w:t>
      </w:r>
      <w:r w:rsidRPr="00651253">
        <w:t xml:space="preserve">therapy services was more pronounced in </w:t>
      </w:r>
      <w:r>
        <w:t xml:space="preserve">the nine </w:t>
      </w:r>
      <w:r w:rsidRPr="00651253">
        <w:t xml:space="preserve">local areas </w:t>
      </w:r>
      <w:r>
        <w:t>that</w:t>
      </w:r>
      <w:r w:rsidRPr="00651253">
        <w:t xml:space="preserve"> were asked to provide a </w:t>
      </w:r>
      <w:r>
        <w:t>WSOA</w:t>
      </w:r>
      <w:r w:rsidRPr="00651253">
        <w:t>.</w:t>
      </w:r>
      <w:r>
        <w:t xml:space="preserve"> </w:t>
      </w:r>
    </w:p>
    <w:p w14:paraId="52E8B6B4" w14:textId="7FD24B57" w:rsidR="005F6CBA" w:rsidRPr="00997B57" w:rsidRDefault="005F6CBA">
      <w:pPr>
        <w:pStyle w:val="Numberedparagraph"/>
      </w:pPr>
      <w:r w:rsidRPr="007B794D">
        <w:t xml:space="preserve">Parental dissatisfaction was a </w:t>
      </w:r>
      <w:r>
        <w:t xml:space="preserve">main </w:t>
      </w:r>
      <w:r w:rsidRPr="007B794D">
        <w:t>weakness in four of the nine local areas</w:t>
      </w:r>
      <w:r>
        <w:rPr>
          <w:b/>
        </w:rPr>
        <w:t xml:space="preserve"> </w:t>
      </w:r>
      <w:r w:rsidRPr="007B794D">
        <w:t>asked to provide a WSOA.</w:t>
      </w:r>
      <w:r>
        <w:t xml:space="preserve"> </w:t>
      </w:r>
      <w:r w:rsidR="00137EE0">
        <w:t xml:space="preserve">Leaders’ </w:t>
      </w:r>
      <w:r>
        <w:t>engagement with parents</w:t>
      </w:r>
      <w:r w:rsidR="00137EE0">
        <w:t xml:space="preserve"> was particularly poor</w:t>
      </w:r>
      <w:r w:rsidR="00356909">
        <w:t xml:space="preserve">. </w:t>
      </w:r>
      <w:r w:rsidR="00137EE0">
        <w:t>Inspectors</w:t>
      </w:r>
      <w:r w:rsidR="00356909">
        <w:t xml:space="preserve"> also found that d</w:t>
      </w:r>
      <w:r>
        <w:t>ispute</w:t>
      </w:r>
      <w:r w:rsidR="00356909">
        <w:t>s</w:t>
      </w:r>
      <w:r>
        <w:t xml:space="preserve"> during the statutory assessment process</w:t>
      </w:r>
      <w:r w:rsidR="00356909">
        <w:t xml:space="preserve"> were not resolved well</w:t>
      </w:r>
      <w:r>
        <w:t xml:space="preserve">. In these areas, parents reported an apparent lack of transparency in decision-making processes. Parents also felt </w:t>
      </w:r>
      <w:r w:rsidR="00D526F1">
        <w:t xml:space="preserve">that </w:t>
      </w:r>
      <w:r>
        <w:t>they were not listened to, particularly when they disagreed with an agreed course o</w:t>
      </w:r>
      <w:r w:rsidR="00356909">
        <w:t>f</w:t>
      </w:r>
      <w:r>
        <w:t xml:space="preserve"> action. </w:t>
      </w:r>
    </w:p>
    <w:p w14:paraId="166CDA3F" w14:textId="6FDEC6A9" w:rsidR="005F6CBA" w:rsidRPr="0006216F" w:rsidRDefault="005F6CBA" w:rsidP="005F6CBA">
      <w:pPr>
        <w:pStyle w:val="Heading2"/>
      </w:pPr>
      <w:bookmarkStart w:id="17" w:name="_Toc491089466"/>
      <w:bookmarkStart w:id="18" w:name="_Toc495392058"/>
      <w:r w:rsidRPr="00997B57">
        <w:t xml:space="preserve">The process for </w:t>
      </w:r>
      <w:r w:rsidR="008C7975">
        <w:t>submitting and reviewing</w:t>
      </w:r>
      <w:r w:rsidRPr="00997B57">
        <w:t xml:space="preserve"> the written statement of action</w:t>
      </w:r>
      <w:bookmarkEnd w:id="17"/>
      <w:bookmarkEnd w:id="18"/>
    </w:p>
    <w:p w14:paraId="3A80CFF4" w14:textId="77777777" w:rsidR="005F6CBA" w:rsidRPr="00997B57" w:rsidRDefault="005F6CBA">
      <w:pPr>
        <w:pStyle w:val="Numberedparagraph"/>
      </w:pPr>
      <w:r w:rsidRPr="00997B57">
        <w:t xml:space="preserve">In paragraph 19 of the </w:t>
      </w:r>
      <w:r>
        <w:t xml:space="preserve">LA SEND </w:t>
      </w:r>
      <w:r w:rsidRPr="00997B57">
        <w:t>inspection framework</w:t>
      </w:r>
      <w:r>
        <w:t xml:space="preserve">, </w:t>
      </w:r>
      <w:r w:rsidRPr="00997B57">
        <w:t xml:space="preserve">we set out </w:t>
      </w:r>
      <w:r w:rsidR="008C7975">
        <w:t>what</w:t>
      </w:r>
      <w:r w:rsidRPr="00997B57">
        <w:t xml:space="preserve"> local areas must </w:t>
      </w:r>
      <w:r w:rsidR="008C7975">
        <w:t>do</w:t>
      </w:r>
      <w:r w:rsidR="008C7975" w:rsidRPr="00997B57">
        <w:t xml:space="preserve"> </w:t>
      </w:r>
      <w:r>
        <w:t>to submit</w:t>
      </w:r>
      <w:r w:rsidRPr="00997B57">
        <w:t xml:space="preserve"> their WSOA</w:t>
      </w:r>
      <w:r>
        <w:t xml:space="preserve"> </w:t>
      </w:r>
      <w:r w:rsidRPr="00997B57">
        <w:t xml:space="preserve">to Ofsted and CQC for review. Annex </w:t>
      </w:r>
      <w:proofErr w:type="gramStart"/>
      <w:r w:rsidRPr="00997B57">
        <w:t>A</w:t>
      </w:r>
      <w:proofErr w:type="gramEnd"/>
      <w:r w:rsidRPr="00997B57">
        <w:t xml:space="preserve"> on page 30 </w:t>
      </w:r>
      <w:r w:rsidR="00356909">
        <w:t>of</w:t>
      </w:r>
      <w:r w:rsidR="00356909" w:rsidRPr="00997B57">
        <w:t xml:space="preserve"> </w:t>
      </w:r>
      <w:r w:rsidRPr="00997B57">
        <w:t xml:space="preserve">the </w:t>
      </w:r>
      <w:r>
        <w:t>LA</w:t>
      </w:r>
      <w:r w:rsidRPr="00997B57">
        <w:t xml:space="preserve"> SEND inspection handbook sets out the timeline that local areas must follo</w:t>
      </w:r>
      <w:r>
        <w:t xml:space="preserve">w and the actions that result when the WSOA is judged as not fit for purpose. </w:t>
      </w:r>
    </w:p>
    <w:p w14:paraId="575C5B33" w14:textId="77777777" w:rsidR="005F573F" w:rsidRDefault="005F573F">
      <w:pPr>
        <w:rPr>
          <w:b/>
          <w:color w:val="auto"/>
          <w:sz w:val="32"/>
          <w:szCs w:val="32"/>
          <w:lang w:eastAsia="en-GB"/>
        </w:rPr>
      </w:pPr>
      <w:bookmarkStart w:id="19" w:name="_Toc491089467"/>
      <w:r>
        <w:br w:type="page"/>
      </w:r>
    </w:p>
    <w:p w14:paraId="3D9BB537" w14:textId="7C6F9AA8" w:rsidR="005F6CBA" w:rsidRPr="00F66BC7" w:rsidRDefault="005F6CBA" w:rsidP="005F6CBA">
      <w:pPr>
        <w:pStyle w:val="Heading1"/>
      </w:pPr>
      <w:bookmarkStart w:id="20" w:name="_Toc495392059"/>
      <w:r w:rsidRPr="00F66BC7">
        <w:t xml:space="preserve">Annex A: </w:t>
      </w:r>
      <w:r>
        <w:t>L</w:t>
      </w:r>
      <w:r w:rsidRPr="00F66BC7">
        <w:t xml:space="preserve">ocal </w:t>
      </w:r>
      <w:r>
        <w:t>a</w:t>
      </w:r>
      <w:r w:rsidRPr="00F66BC7">
        <w:t xml:space="preserve">rea </w:t>
      </w:r>
      <w:r>
        <w:t>i</w:t>
      </w:r>
      <w:r w:rsidRPr="00F66BC7">
        <w:t>nspection</w:t>
      </w:r>
      <w:r>
        <w:t>s</w:t>
      </w:r>
      <w:r w:rsidRPr="00F66BC7">
        <w:t xml:space="preserve"> May 2016 to May 2017</w:t>
      </w:r>
      <w:bookmarkEnd w:id="19"/>
      <w:bookmarkEnd w:id="20"/>
      <w:r w:rsidRPr="00F66BC7">
        <w:t xml:space="preserve"> </w:t>
      </w:r>
    </w:p>
    <w:p w14:paraId="59672770" w14:textId="77777777" w:rsidR="005F6CBA" w:rsidRPr="003A55FB" w:rsidRDefault="005F6CBA" w:rsidP="005F6CBA">
      <w:pPr>
        <w:rPr>
          <w:b/>
        </w:rPr>
      </w:pPr>
      <w:r w:rsidRPr="003A55FB">
        <w:rPr>
          <w:b/>
        </w:rPr>
        <w:t xml:space="preserve">Summer 2016 </w:t>
      </w:r>
    </w:p>
    <w:p w14:paraId="597CB9B4" w14:textId="77777777" w:rsidR="005F6CBA" w:rsidRPr="003A55FB" w:rsidRDefault="005F6CBA" w:rsidP="005F6CBA">
      <w:r w:rsidRPr="003A55FB">
        <w:t>Bolton</w:t>
      </w:r>
      <w:r w:rsidRPr="003A55FB">
        <w:tab/>
      </w:r>
    </w:p>
    <w:p w14:paraId="50F17F9B" w14:textId="77777777" w:rsidR="005F6CBA" w:rsidRPr="003A55FB" w:rsidRDefault="005F6CBA" w:rsidP="005F6CBA">
      <w:r w:rsidRPr="003A55FB">
        <w:t xml:space="preserve">Brighton </w:t>
      </w:r>
      <w:r w:rsidR="00214AB2">
        <w:t>and</w:t>
      </w:r>
      <w:r w:rsidRPr="003A55FB">
        <w:t xml:space="preserve"> Hove</w:t>
      </w:r>
    </w:p>
    <w:p w14:paraId="0385ECF6" w14:textId="77777777" w:rsidR="005F6CBA" w:rsidRPr="003A55FB" w:rsidRDefault="005F6CBA" w:rsidP="005F6CBA">
      <w:r w:rsidRPr="003A55FB">
        <w:t>Enfield</w:t>
      </w:r>
    </w:p>
    <w:p w14:paraId="03098EA5" w14:textId="77777777" w:rsidR="005F6CBA" w:rsidRPr="003A55FB" w:rsidRDefault="005F6CBA" w:rsidP="005F6CBA">
      <w:r w:rsidRPr="003A55FB">
        <w:t>Gloucestershire</w:t>
      </w:r>
    </w:p>
    <w:p w14:paraId="37537F70" w14:textId="77777777" w:rsidR="005F6CBA" w:rsidRPr="003A55FB" w:rsidRDefault="005F6CBA" w:rsidP="005F6CBA">
      <w:r w:rsidRPr="003A55FB">
        <w:t>Hertfordshire</w:t>
      </w:r>
    </w:p>
    <w:p w14:paraId="4B3048F9" w14:textId="77777777" w:rsidR="005F6CBA" w:rsidRPr="003A55FB" w:rsidRDefault="005F6CBA" w:rsidP="005F6CBA">
      <w:r w:rsidRPr="003A55FB">
        <w:t>Nottinghamshire</w:t>
      </w:r>
    </w:p>
    <w:p w14:paraId="13A9CEFC" w14:textId="77777777" w:rsidR="005F6CBA" w:rsidRPr="003A55FB" w:rsidRDefault="005F6CBA" w:rsidP="005F6CBA">
      <w:r w:rsidRPr="003A55FB">
        <w:t>Stoke</w:t>
      </w:r>
      <w:r w:rsidRPr="003A55FB">
        <w:tab/>
      </w:r>
      <w:r w:rsidRPr="003A55FB">
        <w:tab/>
      </w:r>
    </w:p>
    <w:p w14:paraId="3158049A" w14:textId="77777777" w:rsidR="005F6CBA" w:rsidRDefault="005F6CBA" w:rsidP="005F6CBA">
      <w:r w:rsidRPr="003A55FB">
        <w:t>North Yorkshire</w:t>
      </w:r>
    </w:p>
    <w:p w14:paraId="2842F578" w14:textId="77777777" w:rsidR="005F6CBA" w:rsidRDefault="005F6CBA" w:rsidP="005F6CBA"/>
    <w:p w14:paraId="27FAAC61" w14:textId="77777777" w:rsidR="005F6CBA" w:rsidRPr="003A55FB" w:rsidRDefault="005F6CBA" w:rsidP="005F6CBA">
      <w:pPr>
        <w:rPr>
          <w:b/>
        </w:rPr>
      </w:pPr>
      <w:r w:rsidRPr="003A55FB">
        <w:rPr>
          <w:b/>
        </w:rPr>
        <w:t>Autumn 2016</w:t>
      </w:r>
    </w:p>
    <w:p w14:paraId="06672EF2" w14:textId="77777777" w:rsidR="005F6CBA" w:rsidRPr="003A55FB" w:rsidRDefault="005F6CBA" w:rsidP="005F6CBA">
      <w:r w:rsidRPr="003A55FB">
        <w:t>Rochdale*</w:t>
      </w:r>
    </w:p>
    <w:p w14:paraId="20D22B1F" w14:textId="77777777" w:rsidR="005F6CBA" w:rsidRPr="003A55FB" w:rsidRDefault="005F6CBA" w:rsidP="005F6CBA">
      <w:r w:rsidRPr="003A55FB">
        <w:t>Herefordshire</w:t>
      </w:r>
    </w:p>
    <w:p w14:paraId="4F2AE4C3" w14:textId="77777777" w:rsidR="005F6CBA" w:rsidRPr="003A55FB" w:rsidRDefault="005F6CBA" w:rsidP="005F6CBA">
      <w:r w:rsidRPr="003A55FB">
        <w:t>Bexley</w:t>
      </w:r>
    </w:p>
    <w:p w14:paraId="145719F8" w14:textId="77777777" w:rsidR="005F6CBA" w:rsidRPr="003A55FB" w:rsidRDefault="005F6CBA" w:rsidP="005F6CBA">
      <w:r w:rsidRPr="003A55FB">
        <w:t>Plymouth</w:t>
      </w:r>
    </w:p>
    <w:p w14:paraId="702AF29A" w14:textId="77777777" w:rsidR="005F6CBA" w:rsidRPr="003A55FB" w:rsidRDefault="005F6CBA" w:rsidP="005F6CBA">
      <w:r w:rsidRPr="003A55FB">
        <w:t xml:space="preserve">Surrey* </w:t>
      </w:r>
    </w:p>
    <w:p w14:paraId="6016A8E4" w14:textId="77777777" w:rsidR="005F6CBA" w:rsidRPr="003A55FB" w:rsidRDefault="005F6CBA" w:rsidP="005F6CBA">
      <w:r w:rsidRPr="003A55FB">
        <w:t>Hartlepool*</w:t>
      </w:r>
    </w:p>
    <w:p w14:paraId="73BC0C2E" w14:textId="77777777" w:rsidR="005F6CBA" w:rsidRPr="003A55FB" w:rsidRDefault="005F6CBA" w:rsidP="005F6CBA">
      <w:r w:rsidRPr="003A55FB">
        <w:t>Sefton*</w:t>
      </w:r>
    </w:p>
    <w:p w14:paraId="3F394ADC" w14:textId="77777777" w:rsidR="005F6CBA" w:rsidRPr="003A55FB" w:rsidRDefault="005F6CBA" w:rsidP="005F6CBA">
      <w:r w:rsidRPr="003A55FB">
        <w:t>Leeds</w:t>
      </w:r>
    </w:p>
    <w:p w14:paraId="042D70FE" w14:textId="77777777" w:rsidR="005F6CBA" w:rsidRPr="003A55FB" w:rsidRDefault="005F6CBA" w:rsidP="005F6CBA">
      <w:r w:rsidRPr="003A55FB">
        <w:t>Hillingdon</w:t>
      </w:r>
    </w:p>
    <w:p w14:paraId="17EC1386" w14:textId="77777777" w:rsidR="005F6CBA" w:rsidRPr="003A55FB" w:rsidRDefault="005F6CBA" w:rsidP="005F6CBA">
      <w:r w:rsidRPr="003A55FB">
        <w:t>Derbyshire</w:t>
      </w:r>
    </w:p>
    <w:p w14:paraId="19690D6A" w14:textId="77777777" w:rsidR="005F6CBA" w:rsidRPr="003A55FB" w:rsidRDefault="005F6CBA" w:rsidP="005F6CBA">
      <w:r w:rsidRPr="003A55FB">
        <w:t>Suffolk*</w:t>
      </w:r>
    </w:p>
    <w:p w14:paraId="46C35B24" w14:textId="77777777" w:rsidR="005F6CBA" w:rsidRDefault="005F6CBA" w:rsidP="005F6CBA">
      <w:r w:rsidRPr="003A55FB">
        <w:t>East Sussex</w:t>
      </w:r>
    </w:p>
    <w:p w14:paraId="3F3345A4" w14:textId="77777777" w:rsidR="005F6CBA" w:rsidRDefault="005F6CBA" w:rsidP="005F6CBA"/>
    <w:p w14:paraId="1C80E1E1" w14:textId="77777777" w:rsidR="005F6CBA" w:rsidRPr="003A55FB" w:rsidRDefault="005F6CBA" w:rsidP="005F6CBA">
      <w:pPr>
        <w:rPr>
          <w:b/>
        </w:rPr>
      </w:pPr>
      <w:r w:rsidRPr="003A55FB">
        <w:rPr>
          <w:b/>
        </w:rPr>
        <w:t>Spring 2017</w:t>
      </w:r>
    </w:p>
    <w:p w14:paraId="0CC01FEB" w14:textId="77777777" w:rsidR="005F6CBA" w:rsidRPr="003A55FB" w:rsidRDefault="005F6CBA" w:rsidP="005F6CBA">
      <w:r w:rsidRPr="003A55FB">
        <w:t>Sandwell*</w:t>
      </w:r>
    </w:p>
    <w:p w14:paraId="1A810A01" w14:textId="77777777" w:rsidR="005F6CBA" w:rsidRPr="003A55FB" w:rsidRDefault="005F6CBA" w:rsidP="005F6CBA">
      <w:r w:rsidRPr="003A55FB">
        <w:t>Dorset*</w:t>
      </w:r>
    </w:p>
    <w:p w14:paraId="241ABD29" w14:textId="77777777" w:rsidR="005F6CBA" w:rsidRPr="003A55FB" w:rsidRDefault="005F6CBA" w:rsidP="005F6CBA">
      <w:r w:rsidRPr="003A55FB">
        <w:t>Cambridgeshire</w:t>
      </w:r>
    </w:p>
    <w:p w14:paraId="12041972" w14:textId="77777777" w:rsidR="005F6CBA" w:rsidRPr="003A55FB" w:rsidRDefault="005F6CBA" w:rsidP="005F6CBA">
      <w:r w:rsidRPr="003A55FB">
        <w:t>Trafford</w:t>
      </w:r>
    </w:p>
    <w:p w14:paraId="4353EF10" w14:textId="77777777" w:rsidR="005F6CBA" w:rsidRPr="003A55FB" w:rsidRDefault="005F6CBA" w:rsidP="005F6CBA">
      <w:proofErr w:type="spellStart"/>
      <w:r w:rsidRPr="003A55FB">
        <w:t>Halton</w:t>
      </w:r>
      <w:proofErr w:type="spellEnd"/>
    </w:p>
    <w:p w14:paraId="34218734" w14:textId="77777777" w:rsidR="005F6CBA" w:rsidRPr="003A55FB" w:rsidRDefault="005F6CBA" w:rsidP="005F6CBA">
      <w:r w:rsidRPr="003A55FB">
        <w:t>Gateshead</w:t>
      </w:r>
    </w:p>
    <w:p w14:paraId="201AC6D9" w14:textId="77777777" w:rsidR="005F6CBA" w:rsidRPr="003A55FB" w:rsidRDefault="005F6CBA" w:rsidP="005F6CBA">
      <w:r w:rsidRPr="003A55FB">
        <w:t>Middlesbrough</w:t>
      </w:r>
      <w:r>
        <w:t>*</w:t>
      </w:r>
    </w:p>
    <w:p w14:paraId="5C3475DC" w14:textId="77777777" w:rsidR="005F6CBA" w:rsidRPr="003A55FB" w:rsidRDefault="005F6CBA" w:rsidP="005F6CBA">
      <w:r w:rsidRPr="003A55FB">
        <w:t>Waltham Forest*</w:t>
      </w:r>
    </w:p>
    <w:p w14:paraId="4850B0C7" w14:textId="77777777" w:rsidR="005F6CBA" w:rsidRPr="003A55FB" w:rsidRDefault="005F6CBA" w:rsidP="005F6CBA">
      <w:r w:rsidRPr="003A55FB">
        <w:t>Barking and Dagenham</w:t>
      </w:r>
    </w:p>
    <w:p w14:paraId="56CCE34B" w14:textId="77777777" w:rsidR="005F6CBA" w:rsidRDefault="005F6CBA" w:rsidP="005F6CBA">
      <w:r w:rsidRPr="003A55FB">
        <w:t>Southampton</w:t>
      </w:r>
    </w:p>
    <w:p w14:paraId="0340E65C" w14:textId="77777777" w:rsidR="005F6CBA" w:rsidRDefault="005F6CBA" w:rsidP="005F6CBA"/>
    <w:p w14:paraId="1416B421" w14:textId="37052064" w:rsidR="005F6CBA" w:rsidRDefault="005F6CBA" w:rsidP="005F6CBA">
      <w:r w:rsidRPr="003A55FB">
        <w:t xml:space="preserve">* Local areas required to submit a </w:t>
      </w:r>
      <w:r w:rsidR="001F3F60">
        <w:t>WSOA.</w:t>
      </w:r>
    </w:p>
    <w:p w14:paraId="3126A8A6" w14:textId="77777777" w:rsidR="002F20F3" w:rsidRPr="002F20F3" w:rsidRDefault="002F20F3" w:rsidP="00DC7156">
      <w:pPr>
        <w:pStyle w:val="Numberedparagraph"/>
        <w:numPr>
          <w:ilvl w:val="0"/>
          <w:numId w:val="0"/>
        </w:numPr>
        <w:ind w:left="567"/>
      </w:pPr>
    </w:p>
    <w:p w14:paraId="24145552" w14:textId="77777777" w:rsidR="000B0459" w:rsidRPr="00635588" w:rsidRDefault="00BC5AF0" w:rsidP="004A184C">
      <w:pPr>
        <w:pStyle w:val="Heading1"/>
      </w:pPr>
      <w:r>
        <w:rPr>
          <w:color w:val="FF0000"/>
        </w:rPr>
        <w:br w:type="page"/>
      </w:r>
      <w:r w:rsidR="004A184C" w:rsidRPr="00635588">
        <w:t xml:space="preserve"> </w:t>
      </w:r>
    </w:p>
    <w:p w14:paraId="5DE3A3CA" w14:textId="77777777" w:rsidR="00F060A9" w:rsidRDefault="005F6CBA" w:rsidP="00F060A9">
      <w:pPr>
        <w:pStyle w:val="Copyright"/>
        <w:spacing w:after="480" w:line="240" w:lineRule="auto"/>
        <w:rPr>
          <w:color w:val="auto"/>
        </w:rPr>
      </w:pPr>
      <w:r w:rsidRPr="00DE6820">
        <w:rPr>
          <w:noProof/>
          <w:lang w:eastAsia="en-GB"/>
        </w:rPr>
        <w:drawing>
          <wp:inline distT="0" distB="0" distL="0" distR="0" wp14:anchorId="4D268F2C" wp14:editId="6B415202">
            <wp:extent cx="1296035" cy="643255"/>
            <wp:effectExtent l="0" t="0" r="0" b="4445"/>
            <wp:docPr id="1" name="Picture 7"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6035" cy="643255"/>
                    </a:xfrm>
                    <a:prstGeom prst="rect">
                      <a:avLst/>
                    </a:prstGeom>
                    <a:noFill/>
                    <a:ln>
                      <a:noFill/>
                    </a:ln>
                  </pic:spPr>
                </pic:pic>
              </a:graphicData>
            </a:graphic>
          </wp:inline>
        </w:drawing>
      </w:r>
    </w:p>
    <w:p w14:paraId="42B1D8DA" w14:textId="77777777" w:rsidR="00F060A9" w:rsidRPr="00595204" w:rsidRDefault="00F060A9" w:rsidP="00F060A9">
      <w:pPr>
        <w:pStyle w:val="Copyright"/>
        <w:ind w:right="1701"/>
        <w:rPr>
          <w:color w:val="auto"/>
        </w:rPr>
      </w:pPr>
      <w:r w:rsidRPr="00595204">
        <w:rPr>
          <w:color w:val="auto"/>
        </w:rPr>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w:t>
      </w:r>
      <w:proofErr w:type="spellStart"/>
      <w:r w:rsidRPr="00595204">
        <w:rPr>
          <w:color w:val="auto"/>
        </w:rPr>
        <w:t>Cafcass</w:t>
      </w:r>
      <w:proofErr w:type="spellEnd"/>
      <w:r w:rsidRPr="00595204">
        <w:rPr>
          <w:color w:val="auto"/>
        </w:rPr>
        <w:t>), schools, colleges, initial teacher training, further education and skills, adult and community learning, and education and training in prisons and other secure establishments. It assesses council children’s services, and inspects services for children</w:t>
      </w:r>
      <w:r w:rsidR="00B53C1A" w:rsidRPr="00B53C1A">
        <w:rPr>
          <w:color w:val="auto"/>
        </w:rPr>
        <w:t xml:space="preserve"> </w:t>
      </w:r>
      <w:r w:rsidR="00B53C1A" w:rsidRPr="00595204">
        <w:rPr>
          <w:color w:val="auto"/>
        </w:rPr>
        <w:t>looked after</w:t>
      </w:r>
      <w:r w:rsidRPr="00595204">
        <w:rPr>
          <w:color w:val="auto"/>
        </w:rPr>
        <w:t>, safeguarding and child protection.</w:t>
      </w:r>
    </w:p>
    <w:p w14:paraId="1F630C70" w14:textId="77777777" w:rsidR="00F060A9" w:rsidRPr="00595204" w:rsidRDefault="00F060A9" w:rsidP="00F060A9">
      <w:pPr>
        <w:pStyle w:val="Copyright"/>
        <w:ind w:right="1701"/>
        <w:rPr>
          <w:color w:val="auto"/>
        </w:rPr>
      </w:pPr>
      <w:r w:rsidRPr="00595204">
        <w:rPr>
          <w:color w:val="auto"/>
        </w:rPr>
        <w:t xml:space="preserve">If you would like a copy of this document in a different format, such as large print or Braille, please telephone 0300 123 1231, or email </w:t>
      </w:r>
      <w:hyperlink r:id="rId15" w:history="1">
        <w:r w:rsidRPr="003047C8">
          <w:rPr>
            <w:rStyle w:val="Hyperlink"/>
          </w:rPr>
          <w:t>enquiries@ofsted.gov.uk</w:t>
        </w:r>
      </w:hyperlink>
      <w:r w:rsidRPr="00595204">
        <w:rPr>
          <w:color w:val="auto"/>
        </w:rPr>
        <w:t>.</w:t>
      </w:r>
    </w:p>
    <w:p w14:paraId="07459860" w14:textId="77777777" w:rsidR="00F060A9" w:rsidRPr="00595204" w:rsidRDefault="00F060A9" w:rsidP="00F060A9">
      <w:pPr>
        <w:pStyle w:val="Copyright"/>
        <w:ind w:right="1701"/>
        <w:rPr>
          <w:color w:val="auto"/>
        </w:rPr>
      </w:pPr>
      <w:r w:rsidRPr="00595204">
        <w:rPr>
          <w:color w:val="auto"/>
        </w:rPr>
        <w:t xml:space="preserve">You may reuse this information (not including logos) free of charge in any format or medium, under the terms of the Open Government Licence. To view this licence, visit </w:t>
      </w:r>
      <w:hyperlink r:id="rId16" w:history="1">
        <w:r w:rsidRPr="003047C8">
          <w:rPr>
            <w:rStyle w:val="Hyperlink"/>
          </w:rPr>
          <w:t>www.nationalarchives.gov.uk/doc/open-government-licence</w:t>
        </w:r>
      </w:hyperlink>
      <w:r w:rsidRPr="00595204">
        <w:rPr>
          <w:color w:val="auto"/>
        </w:rPr>
        <w:t xml:space="preserve">, write to the Information Policy Team, The National Archives, Kew, London TW9 4DU, or email: </w:t>
      </w:r>
      <w:hyperlink r:id="rId17" w:history="1">
        <w:r w:rsidRPr="003047C8">
          <w:rPr>
            <w:rStyle w:val="Hyperlink"/>
          </w:rPr>
          <w:t>psi@nationalarchives.gsi.gov.uk</w:t>
        </w:r>
      </w:hyperlink>
      <w:r w:rsidRPr="00595204">
        <w:rPr>
          <w:color w:val="auto"/>
        </w:rPr>
        <w:t>.</w:t>
      </w:r>
    </w:p>
    <w:p w14:paraId="5FF3BCAA" w14:textId="77777777" w:rsidR="00F060A9" w:rsidRPr="00595204" w:rsidRDefault="00F060A9" w:rsidP="00F060A9">
      <w:pPr>
        <w:pStyle w:val="Copyright"/>
        <w:ind w:right="1701"/>
        <w:rPr>
          <w:color w:val="auto"/>
        </w:rPr>
      </w:pPr>
      <w:r w:rsidRPr="00595204">
        <w:rPr>
          <w:color w:val="auto"/>
        </w:rPr>
        <w:t xml:space="preserve">This publication is available at </w:t>
      </w:r>
      <w:hyperlink r:id="rId18" w:history="1">
        <w:r w:rsidRPr="003047C8">
          <w:rPr>
            <w:rStyle w:val="Hyperlink"/>
          </w:rPr>
          <w:t>www.gov.uk/government/organisations/ofsted</w:t>
        </w:r>
      </w:hyperlink>
      <w:r w:rsidRPr="00595204">
        <w:rPr>
          <w:color w:val="auto"/>
        </w:rPr>
        <w:t>.</w:t>
      </w:r>
    </w:p>
    <w:p w14:paraId="4C1C1028" w14:textId="77777777" w:rsidR="00F060A9" w:rsidRDefault="00F060A9" w:rsidP="00F060A9">
      <w:pPr>
        <w:pStyle w:val="Copyright"/>
        <w:spacing w:after="0"/>
        <w:ind w:right="1701"/>
        <w:rPr>
          <w:color w:val="auto"/>
        </w:rPr>
      </w:pPr>
      <w:r w:rsidRPr="00595204">
        <w:rPr>
          <w:color w:val="auto"/>
        </w:rPr>
        <w:t xml:space="preserve">Interested in our work? You can subscribe to our monthly newsletter for more information and updates: </w:t>
      </w:r>
      <w:hyperlink r:id="rId19" w:history="1">
        <w:r w:rsidRPr="003047C8">
          <w:rPr>
            <w:rStyle w:val="Hyperlink"/>
          </w:rPr>
          <w:t>http://eepurl.com/iTrDn</w:t>
        </w:r>
      </w:hyperlink>
      <w:r w:rsidRPr="00595204">
        <w:rPr>
          <w:color w:val="auto"/>
        </w:rPr>
        <w:t xml:space="preserve">. </w:t>
      </w:r>
    </w:p>
    <w:p w14:paraId="3AA855E1" w14:textId="77777777" w:rsidR="00F060A9" w:rsidRDefault="00F060A9" w:rsidP="00F060A9">
      <w:pPr>
        <w:pStyle w:val="Copyright"/>
        <w:spacing w:after="0"/>
        <w:ind w:right="1701"/>
        <w:rPr>
          <w:color w:val="auto"/>
        </w:rPr>
      </w:pPr>
    </w:p>
    <w:p w14:paraId="2FF4FC87" w14:textId="77777777" w:rsidR="00F060A9" w:rsidRDefault="00F060A9" w:rsidP="00F060A9">
      <w:pPr>
        <w:pStyle w:val="Copyright"/>
        <w:spacing w:after="0"/>
        <w:ind w:right="1701"/>
      </w:pPr>
      <w:r w:rsidRPr="00D34558">
        <w:t>Piccadilly Gate</w:t>
      </w:r>
    </w:p>
    <w:p w14:paraId="5A956371" w14:textId="77777777" w:rsidR="00F060A9" w:rsidRDefault="00F060A9" w:rsidP="00F060A9">
      <w:pPr>
        <w:pStyle w:val="Copyright"/>
        <w:spacing w:after="0"/>
        <w:ind w:right="1701"/>
      </w:pPr>
      <w:r>
        <w:t>Store Street</w:t>
      </w:r>
    </w:p>
    <w:p w14:paraId="0CD18006" w14:textId="77777777" w:rsidR="00F060A9" w:rsidRDefault="00F060A9" w:rsidP="00F060A9">
      <w:pPr>
        <w:pStyle w:val="Copyright"/>
        <w:spacing w:after="0"/>
        <w:ind w:right="1701"/>
      </w:pPr>
      <w:r w:rsidRPr="00D34558">
        <w:t>Manchester</w:t>
      </w:r>
    </w:p>
    <w:p w14:paraId="78BDDC30" w14:textId="77777777" w:rsidR="00F060A9" w:rsidRPr="00D34558" w:rsidRDefault="00F060A9" w:rsidP="00F060A9">
      <w:pPr>
        <w:pStyle w:val="Copyright"/>
        <w:spacing w:after="0"/>
        <w:ind w:right="1701"/>
      </w:pPr>
      <w:r w:rsidRPr="00D34558">
        <w:t>M1 2WD</w:t>
      </w:r>
    </w:p>
    <w:p w14:paraId="72D20DCF" w14:textId="77777777" w:rsidR="00F060A9" w:rsidRPr="00AF7EB5" w:rsidRDefault="00F060A9" w:rsidP="00F060A9">
      <w:pPr>
        <w:pStyle w:val="Copyright"/>
        <w:spacing w:after="0"/>
        <w:ind w:right="1701"/>
      </w:pPr>
    </w:p>
    <w:p w14:paraId="22B0CE10" w14:textId="77777777" w:rsidR="00F060A9" w:rsidRDefault="00F060A9" w:rsidP="00F060A9">
      <w:pPr>
        <w:pStyle w:val="Copyright"/>
        <w:spacing w:after="0"/>
        <w:ind w:right="1701"/>
      </w:pPr>
      <w:r>
        <w:t xml:space="preserve">T: </w:t>
      </w:r>
      <w:r w:rsidRPr="00F55763">
        <w:t>0300</w:t>
      </w:r>
      <w:r>
        <w:t xml:space="preserve"> </w:t>
      </w:r>
      <w:r w:rsidRPr="00F55763">
        <w:t>123</w:t>
      </w:r>
      <w:r>
        <w:t xml:space="preserve"> </w:t>
      </w:r>
      <w:r w:rsidRPr="00F55763">
        <w:t>1231</w:t>
      </w:r>
    </w:p>
    <w:p w14:paraId="532EEA35" w14:textId="77777777" w:rsidR="00F060A9" w:rsidRPr="00512378" w:rsidRDefault="00F060A9" w:rsidP="00F060A9">
      <w:pPr>
        <w:pStyle w:val="Copyright"/>
        <w:spacing w:after="0"/>
        <w:ind w:right="1701"/>
      </w:pPr>
      <w:r>
        <w:t xml:space="preserve">E: </w:t>
      </w:r>
      <w:r w:rsidRPr="00826710">
        <w:rPr>
          <w:rStyle w:val="Hyperlink"/>
        </w:rPr>
        <w:t>enquiries@ofsted.gov.uk</w:t>
      </w:r>
    </w:p>
    <w:p w14:paraId="25AFA1B1" w14:textId="77777777" w:rsidR="00F060A9" w:rsidRPr="00512378" w:rsidRDefault="00F060A9" w:rsidP="00F060A9">
      <w:pPr>
        <w:pStyle w:val="Copyright"/>
        <w:ind w:right="1701"/>
      </w:pPr>
      <w:r w:rsidRPr="00512378">
        <w:t>W:</w:t>
      </w:r>
      <w:r w:rsidRPr="009C0EC6">
        <w:t xml:space="preserve"> </w:t>
      </w:r>
      <w:hyperlink r:id="rId20" w:history="1">
        <w:r w:rsidRPr="003047C8">
          <w:rPr>
            <w:rStyle w:val="Hyperlink"/>
          </w:rPr>
          <w:t>www.gov.uk/ofsted</w:t>
        </w:r>
      </w:hyperlink>
      <w:r>
        <w:t xml:space="preserve"> </w:t>
      </w:r>
    </w:p>
    <w:p w14:paraId="3FFE1A06" w14:textId="1EFC8EAF" w:rsidR="00F060A9" w:rsidRPr="009C44C9" w:rsidRDefault="00F060A9" w:rsidP="00F060A9">
      <w:pPr>
        <w:pStyle w:val="Copyright"/>
        <w:ind w:right="1701"/>
      </w:pPr>
      <w:r>
        <w:t xml:space="preserve">No. </w:t>
      </w:r>
      <w:r w:rsidR="001F3F60">
        <w:t>170041</w:t>
      </w:r>
    </w:p>
    <w:p w14:paraId="12B95E90" w14:textId="77777777" w:rsidR="00F060A9" w:rsidRDefault="005A731E" w:rsidP="00F060A9">
      <w:pPr>
        <w:pStyle w:val="Copyright"/>
        <w:spacing w:before="240"/>
        <w:ind w:right="1701"/>
      </w:pPr>
      <w:r>
        <w:t>© Crown copyright 2017</w:t>
      </w:r>
    </w:p>
    <w:p w14:paraId="11BE39F7" w14:textId="77777777" w:rsidR="000B0459" w:rsidRPr="000B0459" w:rsidRDefault="000B0459" w:rsidP="004E0E33"/>
    <w:sectPr w:rsidR="000B0459" w:rsidRPr="000B0459" w:rsidSect="00045279">
      <w:headerReference w:type="even" r:id="rId21"/>
      <w:headerReference w:type="default" r:id="rId22"/>
      <w:footerReference w:type="even" r:id="rId23"/>
      <w:footerReference w:type="default" r:id="rId24"/>
      <w:headerReference w:type="first" r:id="rId25"/>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A4956" w14:textId="77777777" w:rsidR="001C5504" w:rsidRDefault="001C5504">
      <w:pPr>
        <w:pStyle w:val="Tabletext-left"/>
      </w:pPr>
      <w:r>
        <w:separator/>
      </w:r>
    </w:p>
    <w:p w14:paraId="0B5C2D41" w14:textId="77777777" w:rsidR="001C5504" w:rsidRDefault="001C5504"/>
    <w:p w14:paraId="6A40D540" w14:textId="77777777" w:rsidR="001C5504" w:rsidRDefault="001C5504"/>
  </w:endnote>
  <w:endnote w:type="continuationSeparator" w:id="0">
    <w:p w14:paraId="010AD5A5" w14:textId="77777777" w:rsidR="001C5504" w:rsidRDefault="001C5504">
      <w:pPr>
        <w:pStyle w:val="Tabletext-left"/>
      </w:pPr>
      <w:r>
        <w:continuationSeparator/>
      </w:r>
    </w:p>
    <w:p w14:paraId="17B2D444" w14:textId="77777777" w:rsidR="001C5504" w:rsidRDefault="001C5504"/>
    <w:p w14:paraId="4285E675" w14:textId="77777777" w:rsidR="001C5504" w:rsidRDefault="001C5504"/>
  </w:endnote>
  <w:endnote w:type="continuationNotice" w:id="1">
    <w:p w14:paraId="5CAB43BC" w14:textId="77777777" w:rsidR="001C5504" w:rsidRDefault="001C5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50B14" w14:textId="77777777" w:rsidR="001C5504" w:rsidRDefault="001C5504" w:rsidP="00045279">
    <w:pPr>
      <w:pStyle w:val="Footer-LHSEven"/>
      <w:tabs>
        <w:tab w:val="left" w:pos="720"/>
      </w:tabs>
    </w:pPr>
    <w:r>
      <w:t>Title</w:t>
    </w:r>
  </w:p>
  <w:p w14:paraId="76496EB9" w14:textId="77777777" w:rsidR="001C5504" w:rsidRDefault="001C5504" w:rsidP="00045279">
    <w:pPr>
      <w:pStyle w:val="Footer-RHSOdd"/>
      <w:tabs>
        <w:tab w:val="right" w:pos="8460"/>
      </w:tabs>
    </w:pPr>
    <w:r>
      <w:t xml:space="preserve">Month year, No.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787CB" w14:textId="56EF5D97" w:rsidR="001C5504" w:rsidRDefault="001C5504" w:rsidP="005F6CBA">
    <w:pPr>
      <w:pStyle w:val="CoverStats"/>
    </w:pPr>
    <w:r w:rsidRPr="00AB22BC">
      <w:rPr>
        <w:rStyle w:val="StyleCoverStatsBoldChar"/>
      </w:rPr>
      <w:t>Age group:</w:t>
    </w:r>
    <w:r>
      <w:t xml:space="preserve"> 0</w:t>
    </w:r>
    <w:r>
      <w:rPr>
        <w:rFonts w:cs="Tahoma"/>
      </w:rPr>
      <w:t>−</w:t>
    </w:r>
    <w:r>
      <w:t xml:space="preserve">25 </w:t>
    </w:r>
  </w:p>
  <w:p w14:paraId="02587A2A" w14:textId="77777777" w:rsidR="001C5504" w:rsidRDefault="001C5504" w:rsidP="005F6CBA">
    <w:pPr>
      <w:pStyle w:val="CoverStats"/>
    </w:pPr>
    <w:r w:rsidRPr="00AB22BC">
      <w:rPr>
        <w:rStyle w:val="StyleCoverStatsBoldChar"/>
      </w:rPr>
      <w:t>Published:</w:t>
    </w:r>
    <w:r>
      <w:t xml:space="preserve"> October 2017</w:t>
    </w:r>
  </w:p>
  <w:p w14:paraId="4A219D91" w14:textId="03DD71B3" w:rsidR="001C5504" w:rsidRPr="006E641F" w:rsidRDefault="001C5504" w:rsidP="005F6CBA">
    <w:pPr>
      <w:pStyle w:val="CoverStats"/>
    </w:pPr>
    <w:r w:rsidRPr="00AB22BC">
      <w:rPr>
        <w:rStyle w:val="StyleCoverStatsBoldChar"/>
      </w:rPr>
      <w:t>Reference no:</w:t>
    </w:r>
    <w:r>
      <w:rPr>
        <w:rStyle w:val="StyleCoverStatsBoldChar"/>
      </w:rPr>
      <w:t xml:space="preserve"> </w:t>
    </w:r>
    <w:r w:rsidRPr="00BB59A5">
      <w:rPr>
        <w:rStyle w:val="StyleCoverStatsBoldChar"/>
        <w:b w:val="0"/>
      </w:rPr>
      <w:t>170041</w:t>
    </w:r>
  </w:p>
  <w:p w14:paraId="2DCAE698" w14:textId="77777777" w:rsidR="001C5504" w:rsidRDefault="001C5504" w:rsidP="008C1D16">
    <w:pPr>
      <w:pStyle w:val="Footer"/>
      <w:jc w:val="right"/>
    </w:pPr>
    <w:r w:rsidRPr="004C2524">
      <w:rPr>
        <w:noProof/>
        <w:lang w:eastAsia="en-GB"/>
      </w:rPr>
      <w:drawing>
        <wp:inline distT="0" distB="0" distL="0" distR="0" wp14:anchorId="41585921" wp14:editId="06ED8DC5">
          <wp:extent cx="2089785" cy="452120"/>
          <wp:effectExtent l="0" t="0" r="5715" b="5080"/>
          <wp:docPr id="22" name="Picture 22" descr="361 of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361 ofs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785" cy="45212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76038" w14:textId="77777777" w:rsidR="00EC46F3" w:rsidRDefault="00EC46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7B6DC" w14:textId="5EA629C5" w:rsidR="001C5504" w:rsidRDefault="001C5504" w:rsidP="009C021D">
    <w:pPr>
      <w:pStyle w:val="Header"/>
      <w:framePr w:h="522" w:hRule="exact" w:wrap="around" w:vAnchor="text" w:hAnchor="margin" w:x="1" w:y="1"/>
      <w:pBdr>
        <w:bottom w:val="none" w:sz="0" w:space="0" w:color="auto"/>
      </w:pBdr>
      <w:rPr>
        <w:rStyle w:val="PageNumber"/>
        <w:b w:val="0"/>
      </w:rPr>
    </w:pPr>
    <w:r>
      <w:rPr>
        <w:rStyle w:val="PageNumber"/>
        <w:b w:val="0"/>
      </w:rPr>
      <w:t>2017</w:t>
    </w:r>
    <w:r>
      <w:rPr>
        <w:rStyle w:val="PageNumber"/>
        <w:b w:val="0"/>
      </w:rPr>
      <w:fldChar w:fldCharType="begin"/>
    </w:r>
    <w:r>
      <w:rPr>
        <w:rStyle w:val="PageNumber"/>
        <w:b w:val="0"/>
      </w:rPr>
      <w:instrText xml:space="preserve">PAGE  </w:instrText>
    </w:r>
    <w:r>
      <w:rPr>
        <w:rStyle w:val="PageNumber"/>
        <w:b w:val="0"/>
      </w:rPr>
      <w:fldChar w:fldCharType="separate"/>
    </w:r>
    <w:r w:rsidR="0079783A">
      <w:rPr>
        <w:rStyle w:val="PageNumber"/>
        <w:b w:val="0"/>
        <w:noProof/>
      </w:rPr>
      <w:t>4</w:t>
    </w:r>
    <w:r>
      <w:rPr>
        <w:rStyle w:val="PageNumber"/>
        <w:b w:val="0"/>
      </w:rPr>
      <w:fldChar w:fldCharType="end"/>
    </w:r>
  </w:p>
  <w:p w14:paraId="6155A711" w14:textId="77777777" w:rsidR="001C5504" w:rsidRDefault="001C5504" w:rsidP="005E5431">
    <w:pPr>
      <w:pStyle w:val="Footer-LHSEven"/>
      <w:tabs>
        <w:tab w:val="left" w:pos="720"/>
      </w:tabs>
      <w:jc w:val="right"/>
    </w:pPr>
    <w:r>
      <w:tab/>
    </w:r>
    <w:r>
      <w:tab/>
      <w:t>Document title goes here</w:t>
    </w:r>
  </w:p>
  <w:p w14:paraId="417B9823" w14:textId="6FEC34D4" w:rsidR="001C5504" w:rsidRDefault="001C5504" w:rsidP="005E5431">
    <w:pPr>
      <w:pStyle w:val="Footer-LHSEven"/>
      <w:tabs>
        <w:tab w:val="left" w:pos="720"/>
      </w:tabs>
      <w:jc w:val="right"/>
    </w:pPr>
    <w:r>
      <w:t>October 2017, No. 170041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41589" w14:textId="01FE04B7" w:rsidR="001C5504" w:rsidRDefault="001C5504"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C55975">
      <w:rPr>
        <w:rStyle w:val="PageNumber"/>
        <w:b w:val="0"/>
        <w:noProof/>
      </w:rPr>
      <w:t>17</w:t>
    </w:r>
    <w:r>
      <w:rPr>
        <w:rStyle w:val="PageNumber"/>
        <w:b w:val="0"/>
      </w:rPr>
      <w:fldChar w:fldCharType="end"/>
    </w:r>
  </w:p>
  <w:p w14:paraId="74216E43" w14:textId="77777777" w:rsidR="001C5504" w:rsidRDefault="001C5504" w:rsidP="005E5431">
    <w:pPr>
      <w:pStyle w:val="Footer-LHSEven"/>
      <w:tabs>
        <w:tab w:val="left" w:pos="720"/>
      </w:tabs>
    </w:pPr>
    <w:r w:rsidRPr="008C7975">
      <w:t xml:space="preserve">Local area SEND inspections: one year on </w:t>
    </w:r>
  </w:p>
  <w:p w14:paraId="07DFE588" w14:textId="518B6BF9" w:rsidR="001C5504" w:rsidRDefault="001C5504" w:rsidP="005E5431">
    <w:pPr>
      <w:pStyle w:val="Footer-RHSOdd"/>
      <w:tabs>
        <w:tab w:val="right" w:pos="8460"/>
      </w:tabs>
    </w:pPr>
    <w:r>
      <w:t>October 2017, No. 170041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13EA3" w14:textId="77777777" w:rsidR="001C5504" w:rsidRDefault="001C5504">
      <w:pPr>
        <w:pStyle w:val="Tabletext-left"/>
      </w:pPr>
      <w:r>
        <w:separator/>
      </w:r>
    </w:p>
    <w:p w14:paraId="648CDA04" w14:textId="77777777" w:rsidR="001C5504" w:rsidRDefault="001C5504"/>
  </w:footnote>
  <w:footnote w:type="continuationSeparator" w:id="0">
    <w:p w14:paraId="04CC71F4" w14:textId="77777777" w:rsidR="001C5504" w:rsidRDefault="001C5504">
      <w:pPr>
        <w:pStyle w:val="Tabletext-left"/>
      </w:pPr>
      <w:r>
        <w:continuationSeparator/>
      </w:r>
    </w:p>
    <w:p w14:paraId="323C5FF4" w14:textId="77777777" w:rsidR="001C5504" w:rsidRDefault="001C5504"/>
    <w:p w14:paraId="5139E3F7" w14:textId="77777777" w:rsidR="001C5504" w:rsidRDefault="001C5504"/>
  </w:footnote>
  <w:footnote w:type="continuationNotice" w:id="1">
    <w:p w14:paraId="09025A5D" w14:textId="77777777" w:rsidR="001C5504" w:rsidRDefault="001C5504"/>
  </w:footnote>
  <w:footnote w:id="2">
    <w:p w14:paraId="25845984" w14:textId="77777777" w:rsidR="001C5504" w:rsidRDefault="001C5504" w:rsidP="001A48FF">
      <w:pPr>
        <w:pStyle w:val="FootnoteText"/>
      </w:pPr>
      <w:r>
        <w:rPr>
          <w:rStyle w:val="FootnoteReference"/>
        </w:rPr>
        <w:footnoteRef/>
      </w:r>
      <w:r>
        <w:t xml:space="preserve"> ‘</w:t>
      </w:r>
      <w:r w:rsidRPr="00C11C40">
        <w:rPr>
          <w:rFonts w:eastAsia="Calibri" w:cs="Tahoma"/>
        </w:rPr>
        <w:t>Special educational needs and disability code of practice: 0 to 25 years</w:t>
      </w:r>
      <w:r>
        <w:rPr>
          <w:rFonts w:eastAsia="Calibri" w:cs="Tahoma"/>
        </w:rPr>
        <w:t>’, Department for Education and Department of Health, 2015;</w:t>
      </w:r>
      <w:r w:rsidRPr="00853617">
        <w:t xml:space="preserve"> </w:t>
      </w:r>
      <w:hyperlink r:id="rId1" w:history="1">
        <w:r>
          <w:rPr>
            <w:rStyle w:val="Hyperlink"/>
          </w:rPr>
          <w:t>www.gov.uk/government/publications/send-code-of-practice-0-to-25</w:t>
        </w:r>
      </w:hyperlink>
      <w:r>
        <w:rPr>
          <w:rStyle w:val="Hyperlink"/>
        </w:rPr>
        <w:t>.</w:t>
      </w:r>
    </w:p>
  </w:footnote>
  <w:footnote w:id="3">
    <w:p w14:paraId="42C691A7" w14:textId="77777777" w:rsidR="001C5504" w:rsidRDefault="001C5504" w:rsidP="00D64D66">
      <w:pPr>
        <w:pStyle w:val="FootnoteText"/>
      </w:pPr>
      <w:r>
        <w:rPr>
          <w:rStyle w:val="FootnoteReference"/>
        </w:rPr>
        <w:footnoteRef/>
      </w:r>
      <w:r>
        <w:t xml:space="preserve"> A list of local areas inspected in the first year and those required to produce a WSOA is included in Annex A. </w:t>
      </w:r>
    </w:p>
  </w:footnote>
  <w:footnote w:id="4">
    <w:p w14:paraId="7EDE0076" w14:textId="77777777" w:rsidR="00FC2C81" w:rsidRDefault="00FC2C81" w:rsidP="00FC2C81">
      <w:pPr>
        <w:pStyle w:val="FootnoteText"/>
      </w:pPr>
      <w:r>
        <w:rPr>
          <w:rStyle w:val="FootnoteReference"/>
        </w:rPr>
        <w:footnoteRef/>
      </w:r>
      <w:r>
        <w:t xml:space="preserve"> </w:t>
      </w:r>
      <w:r w:rsidRPr="00471782">
        <w:t>Co-production is where children and young people and their parents contribute equally to the planning for and delivery of what they need to meet desired outcomes.</w:t>
      </w:r>
    </w:p>
  </w:footnote>
  <w:footnote w:id="5">
    <w:p w14:paraId="6E41E744" w14:textId="77777777" w:rsidR="001C5504" w:rsidRDefault="001C5504" w:rsidP="000C71FC">
      <w:pPr>
        <w:pStyle w:val="FootnoteText"/>
      </w:pPr>
      <w:r>
        <w:rPr>
          <w:rStyle w:val="FootnoteReference"/>
        </w:rPr>
        <w:footnoteRef/>
      </w:r>
      <w:r>
        <w:t xml:space="preserve"> Every local area is required to publish information about provision for children and young people who have special educational needs and/or disabilities on an accessible website. The website is called the local offer. </w:t>
      </w:r>
    </w:p>
  </w:footnote>
  <w:footnote w:id="6">
    <w:p w14:paraId="01099D59" w14:textId="77777777" w:rsidR="001C5504" w:rsidRDefault="001C5504" w:rsidP="005F6CBA">
      <w:pPr>
        <w:pStyle w:val="FootnoteText"/>
      </w:pPr>
      <w:r>
        <w:rPr>
          <w:rStyle w:val="FootnoteReference"/>
        </w:rPr>
        <w:footnoteRef/>
      </w:r>
      <w:r>
        <w:t xml:space="preserve"> </w:t>
      </w:r>
      <w:r w:rsidRPr="007A650F">
        <w:t xml:space="preserve">A </w:t>
      </w:r>
      <w:r>
        <w:t>p</w:t>
      </w:r>
      <w:r w:rsidRPr="007A650F">
        <w:t xml:space="preserve">ersonal </w:t>
      </w:r>
      <w:r>
        <w:t>b</w:t>
      </w:r>
      <w:r w:rsidRPr="007A650F">
        <w:t>udget is an amount of money identified by the local authority to deliver provision set out in an EHC plan where the parent or young person is involved in securing that provision</w:t>
      </w:r>
      <w:r>
        <w:t>.</w:t>
      </w:r>
    </w:p>
  </w:footnote>
  <w:footnote w:id="7">
    <w:p w14:paraId="01F43B8B" w14:textId="77777777" w:rsidR="001C5504" w:rsidRDefault="001C5504" w:rsidP="00A2593C">
      <w:pPr>
        <w:pStyle w:val="FootnoteText"/>
      </w:pPr>
      <w:r>
        <w:rPr>
          <w:rStyle w:val="FootnoteReference"/>
        </w:rPr>
        <w:footnoteRef/>
      </w:r>
      <w:r>
        <w:t xml:space="preserve"> The code of practice expects services to implement strategies that mean parents of children and young people who have special educational needs and/or disabilities do not have to continuously tell the story of their family to every new professional that they meet. Some local areas describe their strategies as their ‘tell it once’ approach. </w:t>
      </w:r>
    </w:p>
  </w:footnote>
  <w:footnote w:id="8">
    <w:p w14:paraId="59F3DA8F" w14:textId="643E852A" w:rsidR="001C5504" w:rsidRDefault="001C5504" w:rsidP="00A2593C">
      <w:pPr>
        <w:pStyle w:val="FootnoteText"/>
      </w:pPr>
      <w:r>
        <w:rPr>
          <w:rStyle w:val="FootnoteReference"/>
        </w:rPr>
        <w:footnoteRef/>
      </w:r>
      <w:r>
        <w:t xml:space="preserve"> </w:t>
      </w:r>
      <w:r w:rsidRPr="00296C80">
        <w:t xml:space="preserve">Portage </w:t>
      </w:r>
      <w:r>
        <w:t>is</w:t>
      </w:r>
      <w:r w:rsidRPr="00296C80">
        <w:t xml:space="preserve"> a home visiting educational service for preschool children </w:t>
      </w:r>
      <w:r w:rsidR="00E47443">
        <w:t>who have</w:t>
      </w:r>
      <w:r w:rsidRPr="00296C80">
        <w:t xml:space="preserve"> SEND and their families.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D56B" w14:textId="77777777" w:rsidR="00EC46F3" w:rsidRDefault="00EC46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5B58A" w14:textId="77777777" w:rsidR="001C5504" w:rsidRPr="004D7E32" w:rsidRDefault="001C5504" w:rsidP="004D7E32">
    <w:r w:rsidRPr="00B97041">
      <w:rPr>
        <w:noProof/>
        <w:lang w:eastAsia="en-GB"/>
      </w:rPr>
      <w:drawing>
        <wp:anchor distT="0" distB="0" distL="114300" distR="114300" simplePos="0" relativeHeight="251658242" behindDoc="1" locked="0" layoutInCell="1" allowOverlap="1" wp14:anchorId="495FF892" wp14:editId="6276EFC7">
          <wp:simplePos x="0" y="0"/>
          <wp:positionH relativeFrom="column">
            <wp:posOffset>4575810</wp:posOffset>
          </wp:positionH>
          <wp:positionV relativeFrom="paragraph">
            <wp:posOffset>-91440</wp:posOffset>
          </wp:positionV>
          <wp:extent cx="1275715" cy="1076325"/>
          <wp:effectExtent l="0" t="0" r="635" b="9525"/>
          <wp:wrapTight wrapText="bothSides">
            <wp:wrapPolygon edited="0">
              <wp:start x="0" y="0"/>
              <wp:lineTo x="0" y="21409"/>
              <wp:lineTo x="21288" y="21409"/>
              <wp:lineTo x="21288" y="0"/>
              <wp:lineTo x="0" y="0"/>
            </wp:wrapPolygon>
          </wp:wrapTight>
          <wp:docPr id="20" name="Picture 20" descr="\\fp2hq\RestrictedSCD$\Branding-corporate-identity\Ofsted-logos and corporate identity guidelines\Logo-with-strapline\Logos with strapline FINAL\JPG_Liz\JPG 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p2hq\RestrictedSCD$\Branding-corporate-identity\Ofsted-logos and corporate identity guidelines\Logo-with-strapline\Logos with strapline FINAL\JPG_Liz\JPG fi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571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3" behindDoc="1" locked="0" layoutInCell="1" allowOverlap="0" wp14:anchorId="74A4F273" wp14:editId="527C5330">
          <wp:simplePos x="0" y="0"/>
          <wp:positionH relativeFrom="column">
            <wp:posOffset>2294834</wp:posOffset>
          </wp:positionH>
          <wp:positionV relativeFrom="paragraph">
            <wp:posOffset>283573</wp:posOffset>
          </wp:positionV>
          <wp:extent cx="2109600" cy="702000"/>
          <wp:effectExtent l="0" t="0" r="5080" b="3175"/>
          <wp:wrapTight wrapText="bothSides">
            <wp:wrapPolygon edited="0">
              <wp:start x="0" y="0"/>
              <wp:lineTo x="0" y="21111"/>
              <wp:lineTo x="21457" y="21111"/>
              <wp:lineTo x="21457" y="0"/>
              <wp:lineTo x="0" y="0"/>
            </wp:wrapPolygon>
          </wp:wrapTight>
          <wp:docPr id="21" name="Picture 21" descr="Image result for care qualit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are quality commiss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9600" cy="70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001ED" w14:textId="77777777" w:rsidR="00EC46F3" w:rsidRDefault="00EC46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12E5B" w14:textId="77777777" w:rsidR="001C5504" w:rsidRDefault="001C5504" w:rsidP="008A2ECC">
    <w:pPr>
      <w:pStyle w:val="Header"/>
      <w:pBdr>
        <w:bottom w:val="none" w:sz="0" w:space="0" w:color="auto"/>
      </w:pBdr>
    </w:pPr>
    <w:r>
      <w:rPr>
        <w:noProof/>
        <w:lang w:eastAsia="en-GB"/>
      </w:rPr>
      <w:drawing>
        <wp:anchor distT="0" distB="0" distL="114300" distR="114300" simplePos="0" relativeHeight="251658241" behindDoc="1" locked="1" layoutInCell="0" allowOverlap="0" wp14:anchorId="756026E5" wp14:editId="50D84D00">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C4D0A" w14:textId="77777777" w:rsidR="001C5504" w:rsidRDefault="001C550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90715" w14:textId="77777777" w:rsidR="001C5504" w:rsidRDefault="001C5504" w:rsidP="00E40D01">
    <w:pPr>
      <w:pStyle w:val="Header"/>
      <w:pBdr>
        <w:bottom w:val="none" w:sz="0" w:space="0" w:color="auto"/>
      </w:pBdr>
    </w:pPr>
    <w:r>
      <w:rPr>
        <w:noProof/>
        <w:lang w:eastAsia="en-GB"/>
      </w:rPr>
      <w:drawing>
        <wp:anchor distT="0" distB="0" distL="114300" distR="114300" simplePos="0" relativeHeight="251658240" behindDoc="1" locked="1" layoutInCell="0" allowOverlap="0" wp14:anchorId="04C10C37" wp14:editId="29D96581">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3750A" w14:textId="77777777" w:rsidR="001C5504" w:rsidRDefault="001C550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2756F" w14:textId="77777777" w:rsidR="001C5504" w:rsidRDefault="001C5504">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79783A">
      <w:rPr>
        <w:rStyle w:val="PageNumber"/>
        <w:noProof/>
      </w:rPr>
      <w:t>4</w:t>
    </w:r>
    <w:r>
      <w:rPr>
        <w:rStyle w:val="PageNumber"/>
      </w:rPr>
      <w:fldChar w:fldCharType="end"/>
    </w:r>
  </w:p>
  <w:p w14:paraId="27158BD0" w14:textId="77777777" w:rsidR="001C5504" w:rsidRDefault="001C55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8669F4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C502A"/>
    <w:multiLevelType w:val="hybridMultilevel"/>
    <w:tmpl w:val="91444F48"/>
    <w:lvl w:ilvl="0" w:tplc="1A2A2F54">
      <w:start w:val="1"/>
      <w:numFmt w:val="decimal"/>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5C4E4F"/>
    <w:multiLevelType w:val="hybridMultilevel"/>
    <w:tmpl w:val="E8F491DA"/>
    <w:lvl w:ilvl="0" w:tplc="FBB8751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06FD8"/>
    <w:multiLevelType w:val="hybridMultilevel"/>
    <w:tmpl w:val="37C61C28"/>
    <w:lvl w:ilvl="0" w:tplc="0809000F">
      <w:start w:val="30"/>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41C4E80"/>
    <w:multiLevelType w:val="hybridMultilevel"/>
    <w:tmpl w:val="F266EB10"/>
    <w:lvl w:ilvl="0" w:tplc="6B5AD3B0">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50593EE8"/>
    <w:multiLevelType w:val="hybridMultilevel"/>
    <w:tmpl w:val="7F2420AA"/>
    <w:lvl w:ilvl="0" w:tplc="8020E20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62176C"/>
    <w:multiLevelType w:val="hybridMultilevel"/>
    <w:tmpl w:val="7B6AF85C"/>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62D849DA"/>
    <w:multiLevelType w:val="hybridMultilevel"/>
    <w:tmpl w:val="D6B2011C"/>
    <w:lvl w:ilvl="0" w:tplc="CA30186E">
      <w:start w:val="1"/>
      <w:numFmt w:val="decimal"/>
      <w:pStyle w:val="Numbered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5" w15:restartNumberingAfterBreak="0">
    <w:nsid w:val="6BFC018A"/>
    <w:multiLevelType w:val="hybridMultilevel"/>
    <w:tmpl w:val="85EC46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8" w15:restartNumberingAfterBreak="0">
    <w:nsid w:val="72A615BE"/>
    <w:multiLevelType w:val="hybridMultilevel"/>
    <w:tmpl w:val="7CB808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64597F"/>
    <w:multiLevelType w:val="hybridMultilevel"/>
    <w:tmpl w:val="681099E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855E5E"/>
    <w:multiLevelType w:val="hybridMultilevel"/>
    <w:tmpl w:val="33AA50E6"/>
    <w:lvl w:ilvl="0" w:tplc="1D78E7F6">
      <w:start w:val="1"/>
      <w:numFmt w:val="bullet"/>
      <w:lvlText w:val="•"/>
      <w:lvlJc w:val="left"/>
      <w:pPr>
        <w:tabs>
          <w:tab w:val="num" w:pos="720"/>
        </w:tabs>
        <w:ind w:left="720" w:hanging="360"/>
      </w:pPr>
      <w:rPr>
        <w:rFonts w:ascii="Arial" w:hAnsi="Arial" w:hint="default"/>
      </w:rPr>
    </w:lvl>
    <w:lvl w:ilvl="1" w:tplc="4A4251B2" w:tentative="1">
      <w:start w:val="1"/>
      <w:numFmt w:val="bullet"/>
      <w:lvlText w:val="•"/>
      <w:lvlJc w:val="left"/>
      <w:pPr>
        <w:tabs>
          <w:tab w:val="num" w:pos="1440"/>
        </w:tabs>
        <w:ind w:left="1440" w:hanging="360"/>
      </w:pPr>
      <w:rPr>
        <w:rFonts w:ascii="Arial" w:hAnsi="Arial" w:hint="default"/>
      </w:rPr>
    </w:lvl>
    <w:lvl w:ilvl="2" w:tplc="7A766E2E" w:tentative="1">
      <w:start w:val="1"/>
      <w:numFmt w:val="bullet"/>
      <w:lvlText w:val="•"/>
      <w:lvlJc w:val="left"/>
      <w:pPr>
        <w:tabs>
          <w:tab w:val="num" w:pos="2160"/>
        </w:tabs>
        <w:ind w:left="2160" w:hanging="360"/>
      </w:pPr>
      <w:rPr>
        <w:rFonts w:ascii="Arial" w:hAnsi="Arial" w:hint="default"/>
      </w:rPr>
    </w:lvl>
    <w:lvl w:ilvl="3" w:tplc="4516D29C" w:tentative="1">
      <w:start w:val="1"/>
      <w:numFmt w:val="bullet"/>
      <w:lvlText w:val="•"/>
      <w:lvlJc w:val="left"/>
      <w:pPr>
        <w:tabs>
          <w:tab w:val="num" w:pos="2880"/>
        </w:tabs>
        <w:ind w:left="2880" w:hanging="360"/>
      </w:pPr>
      <w:rPr>
        <w:rFonts w:ascii="Arial" w:hAnsi="Arial" w:hint="default"/>
      </w:rPr>
    </w:lvl>
    <w:lvl w:ilvl="4" w:tplc="3ADC8C4E" w:tentative="1">
      <w:start w:val="1"/>
      <w:numFmt w:val="bullet"/>
      <w:lvlText w:val="•"/>
      <w:lvlJc w:val="left"/>
      <w:pPr>
        <w:tabs>
          <w:tab w:val="num" w:pos="3600"/>
        </w:tabs>
        <w:ind w:left="3600" w:hanging="360"/>
      </w:pPr>
      <w:rPr>
        <w:rFonts w:ascii="Arial" w:hAnsi="Arial" w:hint="default"/>
      </w:rPr>
    </w:lvl>
    <w:lvl w:ilvl="5" w:tplc="01567C74" w:tentative="1">
      <w:start w:val="1"/>
      <w:numFmt w:val="bullet"/>
      <w:lvlText w:val="•"/>
      <w:lvlJc w:val="left"/>
      <w:pPr>
        <w:tabs>
          <w:tab w:val="num" w:pos="4320"/>
        </w:tabs>
        <w:ind w:left="4320" w:hanging="360"/>
      </w:pPr>
      <w:rPr>
        <w:rFonts w:ascii="Arial" w:hAnsi="Arial" w:hint="default"/>
      </w:rPr>
    </w:lvl>
    <w:lvl w:ilvl="6" w:tplc="D332ADFA" w:tentative="1">
      <w:start w:val="1"/>
      <w:numFmt w:val="bullet"/>
      <w:lvlText w:val="•"/>
      <w:lvlJc w:val="left"/>
      <w:pPr>
        <w:tabs>
          <w:tab w:val="num" w:pos="5040"/>
        </w:tabs>
        <w:ind w:left="5040" w:hanging="360"/>
      </w:pPr>
      <w:rPr>
        <w:rFonts w:ascii="Arial" w:hAnsi="Arial" w:hint="default"/>
      </w:rPr>
    </w:lvl>
    <w:lvl w:ilvl="7" w:tplc="F4646772" w:tentative="1">
      <w:start w:val="1"/>
      <w:numFmt w:val="bullet"/>
      <w:lvlText w:val="•"/>
      <w:lvlJc w:val="left"/>
      <w:pPr>
        <w:tabs>
          <w:tab w:val="num" w:pos="5760"/>
        </w:tabs>
        <w:ind w:left="5760" w:hanging="360"/>
      </w:pPr>
      <w:rPr>
        <w:rFonts w:ascii="Arial" w:hAnsi="Arial" w:hint="default"/>
      </w:rPr>
    </w:lvl>
    <w:lvl w:ilvl="8" w:tplc="F21C9CDA"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4"/>
  </w:num>
  <w:num w:numId="3">
    <w:abstractNumId w:val="16"/>
  </w:num>
  <w:num w:numId="4">
    <w:abstractNumId w:val="10"/>
  </w:num>
  <w:num w:numId="5">
    <w:abstractNumId w:val="0"/>
  </w:num>
  <w:num w:numId="6">
    <w:abstractNumId w:val="17"/>
  </w:num>
  <w:num w:numId="7">
    <w:abstractNumId w:val="3"/>
  </w:num>
  <w:num w:numId="8">
    <w:abstractNumId w:val="1"/>
  </w:num>
  <w:num w:numId="9">
    <w:abstractNumId w:val="16"/>
  </w:num>
  <w:num w:numId="10">
    <w:abstractNumId w:val="17"/>
  </w:num>
  <w:num w:numId="11">
    <w:abstractNumId w:val="17"/>
  </w:num>
  <w:num w:numId="12">
    <w:abstractNumId w:val="7"/>
  </w:num>
  <w:num w:numId="13">
    <w:abstractNumId w:val="14"/>
  </w:num>
  <w:num w:numId="14">
    <w:abstractNumId w:val="3"/>
  </w:num>
  <w:num w:numId="15">
    <w:abstractNumId w:val="3"/>
  </w:num>
  <w:num w:numId="16">
    <w:abstractNumId w:val="3"/>
  </w:num>
  <w:num w:numId="17">
    <w:abstractNumId w:val="3"/>
  </w:num>
  <w:num w:numId="18">
    <w:abstractNumId w:val="7"/>
  </w:num>
  <w:num w:numId="19">
    <w:abstractNumId w:val="2"/>
  </w:num>
  <w:num w:numId="20">
    <w:abstractNumId w:val="15"/>
  </w:num>
  <w:num w:numId="21">
    <w:abstractNumId w:val="20"/>
  </w:num>
  <w:num w:numId="22">
    <w:abstractNumId w:val="11"/>
  </w:num>
  <w:num w:numId="23">
    <w:abstractNumId w:val="12"/>
  </w:num>
  <w:num w:numId="24">
    <w:abstractNumId w:val="8"/>
  </w:num>
  <w:num w:numId="25">
    <w:abstractNumId w:val="18"/>
  </w:num>
  <w:num w:numId="26">
    <w:abstractNumId w:val="13"/>
  </w:num>
  <w:num w:numId="27">
    <w:abstractNumId w:val="19"/>
  </w:num>
  <w:num w:numId="28">
    <w:abstractNumId w:val="5"/>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39"/>
    <w:rsid w:val="0000118F"/>
    <w:rsid w:val="000036F4"/>
    <w:rsid w:val="0000389B"/>
    <w:rsid w:val="00007461"/>
    <w:rsid w:val="0001349B"/>
    <w:rsid w:val="00013AC4"/>
    <w:rsid w:val="000162B1"/>
    <w:rsid w:val="0001694C"/>
    <w:rsid w:val="00020FAF"/>
    <w:rsid w:val="00023E92"/>
    <w:rsid w:val="0003086D"/>
    <w:rsid w:val="000314E9"/>
    <w:rsid w:val="00033081"/>
    <w:rsid w:val="000337F1"/>
    <w:rsid w:val="00037506"/>
    <w:rsid w:val="00045279"/>
    <w:rsid w:val="000454F5"/>
    <w:rsid w:val="0005131B"/>
    <w:rsid w:val="00051CB0"/>
    <w:rsid w:val="00056597"/>
    <w:rsid w:val="0006144B"/>
    <w:rsid w:val="000633BF"/>
    <w:rsid w:val="00070BAB"/>
    <w:rsid w:val="00074244"/>
    <w:rsid w:val="00080F6A"/>
    <w:rsid w:val="0008102D"/>
    <w:rsid w:val="00090A14"/>
    <w:rsid w:val="00096DBA"/>
    <w:rsid w:val="000A129A"/>
    <w:rsid w:val="000A378D"/>
    <w:rsid w:val="000A7674"/>
    <w:rsid w:val="000B0459"/>
    <w:rsid w:val="000B2F99"/>
    <w:rsid w:val="000C6789"/>
    <w:rsid w:val="000C71FC"/>
    <w:rsid w:val="000D0750"/>
    <w:rsid w:val="000D6886"/>
    <w:rsid w:val="000E0353"/>
    <w:rsid w:val="000E5D09"/>
    <w:rsid w:val="00103213"/>
    <w:rsid w:val="0010375B"/>
    <w:rsid w:val="00104E39"/>
    <w:rsid w:val="00120582"/>
    <w:rsid w:val="001207F2"/>
    <w:rsid w:val="0012126C"/>
    <w:rsid w:val="00122DF2"/>
    <w:rsid w:val="00131186"/>
    <w:rsid w:val="00137EE0"/>
    <w:rsid w:val="00143858"/>
    <w:rsid w:val="0014479E"/>
    <w:rsid w:val="00144C56"/>
    <w:rsid w:val="00144CC6"/>
    <w:rsid w:val="00146BC7"/>
    <w:rsid w:val="00150E14"/>
    <w:rsid w:val="001563C8"/>
    <w:rsid w:val="00157CA9"/>
    <w:rsid w:val="001600F6"/>
    <w:rsid w:val="00161390"/>
    <w:rsid w:val="00162579"/>
    <w:rsid w:val="00162A5F"/>
    <w:rsid w:val="00171AAB"/>
    <w:rsid w:val="00175B45"/>
    <w:rsid w:val="001760A0"/>
    <w:rsid w:val="001840DE"/>
    <w:rsid w:val="00185F44"/>
    <w:rsid w:val="00190831"/>
    <w:rsid w:val="00190B7D"/>
    <w:rsid w:val="001915B4"/>
    <w:rsid w:val="00195278"/>
    <w:rsid w:val="00195358"/>
    <w:rsid w:val="001A04F5"/>
    <w:rsid w:val="001A3C27"/>
    <w:rsid w:val="001A48FF"/>
    <w:rsid w:val="001A61EC"/>
    <w:rsid w:val="001B1898"/>
    <w:rsid w:val="001B21F3"/>
    <w:rsid w:val="001B38F2"/>
    <w:rsid w:val="001B57E8"/>
    <w:rsid w:val="001B687D"/>
    <w:rsid w:val="001B6888"/>
    <w:rsid w:val="001B7048"/>
    <w:rsid w:val="001C0CB5"/>
    <w:rsid w:val="001C147A"/>
    <w:rsid w:val="001C21B3"/>
    <w:rsid w:val="001C35A4"/>
    <w:rsid w:val="001C35EF"/>
    <w:rsid w:val="001C5504"/>
    <w:rsid w:val="001C74CA"/>
    <w:rsid w:val="001D5616"/>
    <w:rsid w:val="001D747C"/>
    <w:rsid w:val="001E10F9"/>
    <w:rsid w:val="001F3D85"/>
    <w:rsid w:val="001F3F60"/>
    <w:rsid w:val="002112B1"/>
    <w:rsid w:val="00214AB2"/>
    <w:rsid w:val="00215E9A"/>
    <w:rsid w:val="002227D5"/>
    <w:rsid w:val="002333EB"/>
    <w:rsid w:val="00234121"/>
    <w:rsid w:val="00240233"/>
    <w:rsid w:val="00244913"/>
    <w:rsid w:val="0025486B"/>
    <w:rsid w:val="00254E78"/>
    <w:rsid w:val="0025631E"/>
    <w:rsid w:val="0025670A"/>
    <w:rsid w:val="0026011B"/>
    <w:rsid w:val="00260458"/>
    <w:rsid w:val="002607A5"/>
    <w:rsid w:val="00281EA9"/>
    <w:rsid w:val="002934B2"/>
    <w:rsid w:val="0029641E"/>
    <w:rsid w:val="00297E87"/>
    <w:rsid w:val="002A0231"/>
    <w:rsid w:val="002A098C"/>
    <w:rsid w:val="002A33B7"/>
    <w:rsid w:val="002A4475"/>
    <w:rsid w:val="002A6188"/>
    <w:rsid w:val="002A788D"/>
    <w:rsid w:val="002B03DE"/>
    <w:rsid w:val="002B3474"/>
    <w:rsid w:val="002C42FC"/>
    <w:rsid w:val="002D0859"/>
    <w:rsid w:val="002E55A9"/>
    <w:rsid w:val="002E78C2"/>
    <w:rsid w:val="002F20F3"/>
    <w:rsid w:val="002F2B43"/>
    <w:rsid w:val="002F4B3A"/>
    <w:rsid w:val="002F67F2"/>
    <w:rsid w:val="002F6C62"/>
    <w:rsid w:val="002F6E9A"/>
    <w:rsid w:val="0030145C"/>
    <w:rsid w:val="003021B7"/>
    <w:rsid w:val="003021EE"/>
    <w:rsid w:val="00304048"/>
    <w:rsid w:val="00310FD1"/>
    <w:rsid w:val="00317361"/>
    <w:rsid w:val="0031768D"/>
    <w:rsid w:val="00321B22"/>
    <w:rsid w:val="003243AE"/>
    <w:rsid w:val="00324CB7"/>
    <w:rsid w:val="00327CFF"/>
    <w:rsid w:val="003312DB"/>
    <w:rsid w:val="00336023"/>
    <w:rsid w:val="00336E99"/>
    <w:rsid w:val="00341E82"/>
    <w:rsid w:val="003462BC"/>
    <w:rsid w:val="003479AE"/>
    <w:rsid w:val="00350293"/>
    <w:rsid w:val="003521AE"/>
    <w:rsid w:val="00356909"/>
    <w:rsid w:val="00364344"/>
    <w:rsid w:val="003649DB"/>
    <w:rsid w:val="003673BA"/>
    <w:rsid w:val="00370741"/>
    <w:rsid w:val="00375225"/>
    <w:rsid w:val="00381840"/>
    <w:rsid w:val="003824DE"/>
    <w:rsid w:val="00383833"/>
    <w:rsid w:val="003852DD"/>
    <w:rsid w:val="003860EC"/>
    <w:rsid w:val="0038619B"/>
    <w:rsid w:val="00386BC5"/>
    <w:rsid w:val="00394E1C"/>
    <w:rsid w:val="003A0566"/>
    <w:rsid w:val="003A3152"/>
    <w:rsid w:val="003A507F"/>
    <w:rsid w:val="003A5FA1"/>
    <w:rsid w:val="003B0AE1"/>
    <w:rsid w:val="003B1959"/>
    <w:rsid w:val="003B5391"/>
    <w:rsid w:val="003C5600"/>
    <w:rsid w:val="003D0BDE"/>
    <w:rsid w:val="003D2521"/>
    <w:rsid w:val="003D443E"/>
    <w:rsid w:val="003D52DF"/>
    <w:rsid w:val="003D64E5"/>
    <w:rsid w:val="003E019B"/>
    <w:rsid w:val="003E5868"/>
    <w:rsid w:val="003F0603"/>
    <w:rsid w:val="003F161D"/>
    <w:rsid w:val="003F274A"/>
    <w:rsid w:val="00400881"/>
    <w:rsid w:val="004026B4"/>
    <w:rsid w:val="00403195"/>
    <w:rsid w:val="00417E39"/>
    <w:rsid w:val="0042050C"/>
    <w:rsid w:val="004205C9"/>
    <w:rsid w:val="004207BE"/>
    <w:rsid w:val="0042290D"/>
    <w:rsid w:val="0042352A"/>
    <w:rsid w:val="00424221"/>
    <w:rsid w:val="004341B4"/>
    <w:rsid w:val="00436AA7"/>
    <w:rsid w:val="00443DAE"/>
    <w:rsid w:val="00444CF0"/>
    <w:rsid w:val="00450C72"/>
    <w:rsid w:val="004530C1"/>
    <w:rsid w:val="00454880"/>
    <w:rsid w:val="00455C72"/>
    <w:rsid w:val="00455E93"/>
    <w:rsid w:val="0045604E"/>
    <w:rsid w:val="0045629E"/>
    <w:rsid w:val="004614BB"/>
    <w:rsid w:val="00463288"/>
    <w:rsid w:val="0046526B"/>
    <w:rsid w:val="004656EA"/>
    <w:rsid w:val="004708C5"/>
    <w:rsid w:val="00475C75"/>
    <w:rsid w:val="00480623"/>
    <w:rsid w:val="004838A2"/>
    <w:rsid w:val="00487371"/>
    <w:rsid w:val="00497E3D"/>
    <w:rsid w:val="004A0983"/>
    <w:rsid w:val="004A184C"/>
    <w:rsid w:val="004A1B98"/>
    <w:rsid w:val="004A3088"/>
    <w:rsid w:val="004A407A"/>
    <w:rsid w:val="004A5DF1"/>
    <w:rsid w:val="004B019E"/>
    <w:rsid w:val="004C0ADD"/>
    <w:rsid w:val="004C7B32"/>
    <w:rsid w:val="004D5F03"/>
    <w:rsid w:val="004D60E5"/>
    <w:rsid w:val="004D6F5A"/>
    <w:rsid w:val="004D7E32"/>
    <w:rsid w:val="004E0E33"/>
    <w:rsid w:val="004E2E39"/>
    <w:rsid w:val="004E3BEE"/>
    <w:rsid w:val="004F016D"/>
    <w:rsid w:val="004F6EE3"/>
    <w:rsid w:val="00501B4F"/>
    <w:rsid w:val="00502008"/>
    <w:rsid w:val="005045AA"/>
    <w:rsid w:val="005061FD"/>
    <w:rsid w:val="005066A4"/>
    <w:rsid w:val="005073A0"/>
    <w:rsid w:val="005077CD"/>
    <w:rsid w:val="00511C7D"/>
    <w:rsid w:val="0051705A"/>
    <w:rsid w:val="00520103"/>
    <w:rsid w:val="00523BA8"/>
    <w:rsid w:val="0053177C"/>
    <w:rsid w:val="005331BC"/>
    <w:rsid w:val="00533481"/>
    <w:rsid w:val="005336CD"/>
    <w:rsid w:val="00541EF1"/>
    <w:rsid w:val="00542C27"/>
    <w:rsid w:val="00544368"/>
    <w:rsid w:val="00547904"/>
    <w:rsid w:val="00550A85"/>
    <w:rsid w:val="00554E84"/>
    <w:rsid w:val="00556B4F"/>
    <w:rsid w:val="005571AF"/>
    <w:rsid w:val="005604C0"/>
    <w:rsid w:val="00562761"/>
    <w:rsid w:val="00584D2C"/>
    <w:rsid w:val="00585935"/>
    <w:rsid w:val="00591BB5"/>
    <w:rsid w:val="00593497"/>
    <w:rsid w:val="00593705"/>
    <w:rsid w:val="00593A90"/>
    <w:rsid w:val="005A731E"/>
    <w:rsid w:val="005B1735"/>
    <w:rsid w:val="005B5D34"/>
    <w:rsid w:val="005C0820"/>
    <w:rsid w:val="005C1916"/>
    <w:rsid w:val="005C2FF3"/>
    <w:rsid w:val="005C44B1"/>
    <w:rsid w:val="005C5540"/>
    <w:rsid w:val="005C74DF"/>
    <w:rsid w:val="005D26CF"/>
    <w:rsid w:val="005D67E1"/>
    <w:rsid w:val="005E056A"/>
    <w:rsid w:val="005E094D"/>
    <w:rsid w:val="005E5431"/>
    <w:rsid w:val="005E7D60"/>
    <w:rsid w:val="005F3E70"/>
    <w:rsid w:val="005F573F"/>
    <w:rsid w:val="005F61F3"/>
    <w:rsid w:val="005F6CBA"/>
    <w:rsid w:val="005F720E"/>
    <w:rsid w:val="006054DD"/>
    <w:rsid w:val="00605D7E"/>
    <w:rsid w:val="00606F81"/>
    <w:rsid w:val="00607BC5"/>
    <w:rsid w:val="00615061"/>
    <w:rsid w:val="00616704"/>
    <w:rsid w:val="00623364"/>
    <w:rsid w:val="0063297D"/>
    <w:rsid w:val="00633730"/>
    <w:rsid w:val="00635588"/>
    <w:rsid w:val="00640ADD"/>
    <w:rsid w:val="00644462"/>
    <w:rsid w:val="00644E57"/>
    <w:rsid w:val="00646A08"/>
    <w:rsid w:val="00652A17"/>
    <w:rsid w:val="006653BE"/>
    <w:rsid w:val="0068057C"/>
    <w:rsid w:val="0068261E"/>
    <w:rsid w:val="0068656B"/>
    <w:rsid w:val="006875EA"/>
    <w:rsid w:val="00694F5D"/>
    <w:rsid w:val="006A2859"/>
    <w:rsid w:val="006A484F"/>
    <w:rsid w:val="006B1F60"/>
    <w:rsid w:val="006B67DF"/>
    <w:rsid w:val="006B76EF"/>
    <w:rsid w:val="006C0E4C"/>
    <w:rsid w:val="006C250D"/>
    <w:rsid w:val="006C289B"/>
    <w:rsid w:val="006D549E"/>
    <w:rsid w:val="006E0901"/>
    <w:rsid w:val="006E0F06"/>
    <w:rsid w:val="006E3137"/>
    <w:rsid w:val="006E42A7"/>
    <w:rsid w:val="006E441B"/>
    <w:rsid w:val="006E538B"/>
    <w:rsid w:val="006E641F"/>
    <w:rsid w:val="006F04D3"/>
    <w:rsid w:val="006F1E22"/>
    <w:rsid w:val="006F3D42"/>
    <w:rsid w:val="006F4D32"/>
    <w:rsid w:val="006F75A0"/>
    <w:rsid w:val="007100ED"/>
    <w:rsid w:val="00710722"/>
    <w:rsid w:val="007131AC"/>
    <w:rsid w:val="0071429B"/>
    <w:rsid w:val="0071679F"/>
    <w:rsid w:val="00717D03"/>
    <w:rsid w:val="00720E5B"/>
    <w:rsid w:val="00724EE7"/>
    <w:rsid w:val="007261D8"/>
    <w:rsid w:val="0072694B"/>
    <w:rsid w:val="007330CD"/>
    <w:rsid w:val="0073476A"/>
    <w:rsid w:val="007351EA"/>
    <w:rsid w:val="007428C7"/>
    <w:rsid w:val="00744D61"/>
    <w:rsid w:val="0074583F"/>
    <w:rsid w:val="00755207"/>
    <w:rsid w:val="007570A6"/>
    <w:rsid w:val="0075771C"/>
    <w:rsid w:val="00760586"/>
    <w:rsid w:val="007615C9"/>
    <w:rsid w:val="00761D10"/>
    <w:rsid w:val="00766391"/>
    <w:rsid w:val="007717A9"/>
    <w:rsid w:val="00771934"/>
    <w:rsid w:val="00773D5C"/>
    <w:rsid w:val="00775BA6"/>
    <w:rsid w:val="00775C5B"/>
    <w:rsid w:val="00782110"/>
    <w:rsid w:val="007917C0"/>
    <w:rsid w:val="007922CB"/>
    <w:rsid w:val="00793254"/>
    <w:rsid w:val="0079783A"/>
    <w:rsid w:val="00797B5A"/>
    <w:rsid w:val="007A040A"/>
    <w:rsid w:val="007A1ADD"/>
    <w:rsid w:val="007A5D89"/>
    <w:rsid w:val="007B26A2"/>
    <w:rsid w:val="007B340C"/>
    <w:rsid w:val="007C2603"/>
    <w:rsid w:val="007C394C"/>
    <w:rsid w:val="007C756F"/>
    <w:rsid w:val="007D24D8"/>
    <w:rsid w:val="007F2972"/>
    <w:rsid w:val="008035E5"/>
    <w:rsid w:val="00805669"/>
    <w:rsid w:val="00805A3D"/>
    <w:rsid w:val="008174A6"/>
    <w:rsid w:val="008228EC"/>
    <w:rsid w:val="008241D4"/>
    <w:rsid w:val="008262C3"/>
    <w:rsid w:val="00826710"/>
    <w:rsid w:val="00827FF5"/>
    <w:rsid w:val="00837650"/>
    <w:rsid w:val="008412A3"/>
    <w:rsid w:val="00843F38"/>
    <w:rsid w:val="0084547F"/>
    <w:rsid w:val="00856647"/>
    <w:rsid w:val="00860320"/>
    <w:rsid w:val="00860AA2"/>
    <w:rsid w:val="008719A8"/>
    <w:rsid w:val="00874C45"/>
    <w:rsid w:val="008750E5"/>
    <w:rsid w:val="00880F33"/>
    <w:rsid w:val="00887A07"/>
    <w:rsid w:val="00890B6D"/>
    <w:rsid w:val="008A1657"/>
    <w:rsid w:val="008A2398"/>
    <w:rsid w:val="008A2ECC"/>
    <w:rsid w:val="008A6682"/>
    <w:rsid w:val="008C0009"/>
    <w:rsid w:val="008C14E7"/>
    <w:rsid w:val="008C1B63"/>
    <w:rsid w:val="008C1D16"/>
    <w:rsid w:val="008C466D"/>
    <w:rsid w:val="008C4E18"/>
    <w:rsid w:val="008C7975"/>
    <w:rsid w:val="008D0DD8"/>
    <w:rsid w:val="008D143B"/>
    <w:rsid w:val="008D31FA"/>
    <w:rsid w:val="008D4007"/>
    <w:rsid w:val="008E1941"/>
    <w:rsid w:val="008E2A22"/>
    <w:rsid w:val="008E4D73"/>
    <w:rsid w:val="008E75AA"/>
    <w:rsid w:val="008F2AC8"/>
    <w:rsid w:val="008F3D2E"/>
    <w:rsid w:val="008F4B3B"/>
    <w:rsid w:val="008F5DF8"/>
    <w:rsid w:val="008F5FAF"/>
    <w:rsid w:val="008F7338"/>
    <w:rsid w:val="00903B14"/>
    <w:rsid w:val="00906142"/>
    <w:rsid w:val="00921EE3"/>
    <w:rsid w:val="00922C70"/>
    <w:rsid w:val="00922CAA"/>
    <w:rsid w:val="0092387C"/>
    <w:rsid w:val="009256C5"/>
    <w:rsid w:val="00927209"/>
    <w:rsid w:val="00933419"/>
    <w:rsid w:val="0093538D"/>
    <w:rsid w:val="00940C01"/>
    <w:rsid w:val="00941BCA"/>
    <w:rsid w:val="009463C2"/>
    <w:rsid w:val="00946960"/>
    <w:rsid w:val="00951C6F"/>
    <w:rsid w:val="009521C7"/>
    <w:rsid w:val="00954D33"/>
    <w:rsid w:val="00955CDA"/>
    <w:rsid w:val="00957481"/>
    <w:rsid w:val="009632E2"/>
    <w:rsid w:val="009656A4"/>
    <w:rsid w:val="0096659F"/>
    <w:rsid w:val="00977CB0"/>
    <w:rsid w:val="00983928"/>
    <w:rsid w:val="00987AD2"/>
    <w:rsid w:val="0099005D"/>
    <w:rsid w:val="00993C53"/>
    <w:rsid w:val="009944B2"/>
    <w:rsid w:val="00995766"/>
    <w:rsid w:val="00995E59"/>
    <w:rsid w:val="009B16AA"/>
    <w:rsid w:val="009B1DB8"/>
    <w:rsid w:val="009B7EFF"/>
    <w:rsid w:val="009C021D"/>
    <w:rsid w:val="009C0EC6"/>
    <w:rsid w:val="009C3678"/>
    <w:rsid w:val="009C44C9"/>
    <w:rsid w:val="009C6242"/>
    <w:rsid w:val="009C6931"/>
    <w:rsid w:val="009C6BA6"/>
    <w:rsid w:val="009D3333"/>
    <w:rsid w:val="009D714D"/>
    <w:rsid w:val="009D74C0"/>
    <w:rsid w:val="009E0379"/>
    <w:rsid w:val="009E145B"/>
    <w:rsid w:val="009E5A4E"/>
    <w:rsid w:val="009F0AC7"/>
    <w:rsid w:val="009F2AD6"/>
    <w:rsid w:val="009F4786"/>
    <w:rsid w:val="009F5239"/>
    <w:rsid w:val="00A00E22"/>
    <w:rsid w:val="00A033F9"/>
    <w:rsid w:val="00A07D48"/>
    <w:rsid w:val="00A11143"/>
    <w:rsid w:val="00A11F62"/>
    <w:rsid w:val="00A13DA0"/>
    <w:rsid w:val="00A17AD4"/>
    <w:rsid w:val="00A2204A"/>
    <w:rsid w:val="00A23A96"/>
    <w:rsid w:val="00A2593C"/>
    <w:rsid w:val="00A330B8"/>
    <w:rsid w:val="00A37CA4"/>
    <w:rsid w:val="00A37EE6"/>
    <w:rsid w:val="00A40563"/>
    <w:rsid w:val="00A41303"/>
    <w:rsid w:val="00A436FB"/>
    <w:rsid w:val="00A46081"/>
    <w:rsid w:val="00A645E8"/>
    <w:rsid w:val="00A82AC5"/>
    <w:rsid w:val="00A87584"/>
    <w:rsid w:val="00A90FC6"/>
    <w:rsid w:val="00A9623D"/>
    <w:rsid w:val="00AA1ADF"/>
    <w:rsid w:val="00AA55FD"/>
    <w:rsid w:val="00AB22BC"/>
    <w:rsid w:val="00AB58F1"/>
    <w:rsid w:val="00AB623A"/>
    <w:rsid w:val="00AC1891"/>
    <w:rsid w:val="00AC74FE"/>
    <w:rsid w:val="00AD0C85"/>
    <w:rsid w:val="00AD48D0"/>
    <w:rsid w:val="00AD7C60"/>
    <w:rsid w:val="00AE0F18"/>
    <w:rsid w:val="00AE318F"/>
    <w:rsid w:val="00AE4C39"/>
    <w:rsid w:val="00AE7861"/>
    <w:rsid w:val="00AF0435"/>
    <w:rsid w:val="00AF2558"/>
    <w:rsid w:val="00AF2BF2"/>
    <w:rsid w:val="00AF7EB5"/>
    <w:rsid w:val="00B00F35"/>
    <w:rsid w:val="00B028BD"/>
    <w:rsid w:val="00B034A2"/>
    <w:rsid w:val="00B0458D"/>
    <w:rsid w:val="00B0768C"/>
    <w:rsid w:val="00B1234B"/>
    <w:rsid w:val="00B17690"/>
    <w:rsid w:val="00B2654F"/>
    <w:rsid w:val="00B26CA6"/>
    <w:rsid w:val="00B3567D"/>
    <w:rsid w:val="00B36858"/>
    <w:rsid w:val="00B3795E"/>
    <w:rsid w:val="00B4127E"/>
    <w:rsid w:val="00B413F2"/>
    <w:rsid w:val="00B41871"/>
    <w:rsid w:val="00B46B9C"/>
    <w:rsid w:val="00B46F8E"/>
    <w:rsid w:val="00B52F99"/>
    <w:rsid w:val="00B53134"/>
    <w:rsid w:val="00B53C1A"/>
    <w:rsid w:val="00B55820"/>
    <w:rsid w:val="00B55F2A"/>
    <w:rsid w:val="00B57400"/>
    <w:rsid w:val="00B63275"/>
    <w:rsid w:val="00B71F55"/>
    <w:rsid w:val="00B73748"/>
    <w:rsid w:val="00B74E0C"/>
    <w:rsid w:val="00B75DBD"/>
    <w:rsid w:val="00B777FC"/>
    <w:rsid w:val="00B85750"/>
    <w:rsid w:val="00B90699"/>
    <w:rsid w:val="00B92520"/>
    <w:rsid w:val="00B942FB"/>
    <w:rsid w:val="00B94ED7"/>
    <w:rsid w:val="00B97041"/>
    <w:rsid w:val="00B97BED"/>
    <w:rsid w:val="00BB0712"/>
    <w:rsid w:val="00BB1F64"/>
    <w:rsid w:val="00BB4268"/>
    <w:rsid w:val="00BB59A5"/>
    <w:rsid w:val="00BB5F05"/>
    <w:rsid w:val="00BB6218"/>
    <w:rsid w:val="00BC318D"/>
    <w:rsid w:val="00BC5AF0"/>
    <w:rsid w:val="00BD096B"/>
    <w:rsid w:val="00BD3139"/>
    <w:rsid w:val="00BE0ED4"/>
    <w:rsid w:val="00BE61AD"/>
    <w:rsid w:val="00BF12C9"/>
    <w:rsid w:val="00BF30AF"/>
    <w:rsid w:val="00C00835"/>
    <w:rsid w:val="00C02433"/>
    <w:rsid w:val="00C06800"/>
    <w:rsid w:val="00C34AE5"/>
    <w:rsid w:val="00C36FCE"/>
    <w:rsid w:val="00C43886"/>
    <w:rsid w:val="00C4443F"/>
    <w:rsid w:val="00C46007"/>
    <w:rsid w:val="00C50DBB"/>
    <w:rsid w:val="00C520E8"/>
    <w:rsid w:val="00C531E6"/>
    <w:rsid w:val="00C55975"/>
    <w:rsid w:val="00C55F4A"/>
    <w:rsid w:val="00C660CA"/>
    <w:rsid w:val="00C72BB4"/>
    <w:rsid w:val="00C764BE"/>
    <w:rsid w:val="00C76C59"/>
    <w:rsid w:val="00C83504"/>
    <w:rsid w:val="00C85601"/>
    <w:rsid w:val="00C9173D"/>
    <w:rsid w:val="00C9460F"/>
    <w:rsid w:val="00C97493"/>
    <w:rsid w:val="00CA4C02"/>
    <w:rsid w:val="00CB138A"/>
    <w:rsid w:val="00CB3284"/>
    <w:rsid w:val="00CB3B2E"/>
    <w:rsid w:val="00CB483E"/>
    <w:rsid w:val="00CB5176"/>
    <w:rsid w:val="00CC3487"/>
    <w:rsid w:val="00CD37F4"/>
    <w:rsid w:val="00CD727C"/>
    <w:rsid w:val="00CE452A"/>
    <w:rsid w:val="00CE6EDE"/>
    <w:rsid w:val="00CF67BF"/>
    <w:rsid w:val="00CF7E1F"/>
    <w:rsid w:val="00D00302"/>
    <w:rsid w:val="00D12B7F"/>
    <w:rsid w:val="00D1355D"/>
    <w:rsid w:val="00D1411E"/>
    <w:rsid w:val="00D142EE"/>
    <w:rsid w:val="00D152EE"/>
    <w:rsid w:val="00D16C00"/>
    <w:rsid w:val="00D17D3D"/>
    <w:rsid w:val="00D22576"/>
    <w:rsid w:val="00D22EA7"/>
    <w:rsid w:val="00D434A8"/>
    <w:rsid w:val="00D454F7"/>
    <w:rsid w:val="00D47C19"/>
    <w:rsid w:val="00D526F1"/>
    <w:rsid w:val="00D53419"/>
    <w:rsid w:val="00D572CF"/>
    <w:rsid w:val="00D625C3"/>
    <w:rsid w:val="00D62FB0"/>
    <w:rsid w:val="00D638BC"/>
    <w:rsid w:val="00D64D66"/>
    <w:rsid w:val="00D66711"/>
    <w:rsid w:val="00D729CC"/>
    <w:rsid w:val="00D76F1C"/>
    <w:rsid w:val="00D81D1B"/>
    <w:rsid w:val="00D82121"/>
    <w:rsid w:val="00D82924"/>
    <w:rsid w:val="00D91186"/>
    <w:rsid w:val="00D97AC6"/>
    <w:rsid w:val="00DA45A8"/>
    <w:rsid w:val="00DA45BD"/>
    <w:rsid w:val="00DC395C"/>
    <w:rsid w:val="00DC7156"/>
    <w:rsid w:val="00DD18BF"/>
    <w:rsid w:val="00DD18DD"/>
    <w:rsid w:val="00DD2488"/>
    <w:rsid w:val="00DD5F38"/>
    <w:rsid w:val="00DF415E"/>
    <w:rsid w:val="00E015D1"/>
    <w:rsid w:val="00E01943"/>
    <w:rsid w:val="00E02D93"/>
    <w:rsid w:val="00E0562D"/>
    <w:rsid w:val="00E1058E"/>
    <w:rsid w:val="00E1083E"/>
    <w:rsid w:val="00E21683"/>
    <w:rsid w:val="00E2380D"/>
    <w:rsid w:val="00E2581D"/>
    <w:rsid w:val="00E2606C"/>
    <w:rsid w:val="00E268F9"/>
    <w:rsid w:val="00E26F1B"/>
    <w:rsid w:val="00E3052A"/>
    <w:rsid w:val="00E314BE"/>
    <w:rsid w:val="00E372EE"/>
    <w:rsid w:val="00E4029E"/>
    <w:rsid w:val="00E40D01"/>
    <w:rsid w:val="00E415CA"/>
    <w:rsid w:val="00E42B2C"/>
    <w:rsid w:val="00E457D2"/>
    <w:rsid w:val="00E4725F"/>
    <w:rsid w:val="00E47443"/>
    <w:rsid w:val="00E50997"/>
    <w:rsid w:val="00E52F76"/>
    <w:rsid w:val="00E61E32"/>
    <w:rsid w:val="00E64CE9"/>
    <w:rsid w:val="00E67E9A"/>
    <w:rsid w:val="00E70E96"/>
    <w:rsid w:val="00E7751B"/>
    <w:rsid w:val="00E77575"/>
    <w:rsid w:val="00E81362"/>
    <w:rsid w:val="00E826FB"/>
    <w:rsid w:val="00E97961"/>
    <w:rsid w:val="00EA705D"/>
    <w:rsid w:val="00EB1A84"/>
    <w:rsid w:val="00EB2E3E"/>
    <w:rsid w:val="00EC46F3"/>
    <w:rsid w:val="00EC6932"/>
    <w:rsid w:val="00ED18F7"/>
    <w:rsid w:val="00ED3983"/>
    <w:rsid w:val="00ED3D21"/>
    <w:rsid w:val="00EE06DB"/>
    <w:rsid w:val="00EF2331"/>
    <w:rsid w:val="00F00F28"/>
    <w:rsid w:val="00F052A9"/>
    <w:rsid w:val="00F056D2"/>
    <w:rsid w:val="00F05DD3"/>
    <w:rsid w:val="00F060A9"/>
    <w:rsid w:val="00F07AE4"/>
    <w:rsid w:val="00F11D7D"/>
    <w:rsid w:val="00F13543"/>
    <w:rsid w:val="00F14AAC"/>
    <w:rsid w:val="00F173CC"/>
    <w:rsid w:val="00F17A71"/>
    <w:rsid w:val="00F25ACA"/>
    <w:rsid w:val="00F31873"/>
    <w:rsid w:val="00F3189B"/>
    <w:rsid w:val="00F32ECB"/>
    <w:rsid w:val="00F33F58"/>
    <w:rsid w:val="00F37113"/>
    <w:rsid w:val="00F45E6C"/>
    <w:rsid w:val="00F45E78"/>
    <w:rsid w:val="00F51453"/>
    <w:rsid w:val="00F53BF3"/>
    <w:rsid w:val="00F56A6C"/>
    <w:rsid w:val="00F606D4"/>
    <w:rsid w:val="00F6275A"/>
    <w:rsid w:val="00F85136"/>
    <w:rsid w:val="00F9120D"/>
    <w:rsid w:val="00F93CBD"/>
    <w:rsid w:val="00F95358"/>
    <w:rsid w:val="00F955D8"/>
    <w:rsid w:val="00F974F5"/>
    <w:rsid w:val="00FA2386"/>
    <w:rsid w:val="00FA3ABD"/>
    <w:rsid w:val="00FB0958"/>
    <w:rsid w:val="00FB3BF0"/>
    <w:rsid w:val="00FB4BFC"/>
    <w:rsid w:val="00FC01A4"/>
    <w:rsid w:val="00FC2C81"/>
    <w:rsid w:val="00FC529A"/>
    <w:rsid w:val="00FD01DD"/>
    <w:rsid w:val="00FD179C"/>
    <w:rsid w:val="00FD569E"/>
    <w:rsid w:val="00FE751A"/>
    <w:rsid w:val="7F216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CA825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clear" w:pos="1080"/>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71429B"/>
    <w:pPr>
      <w:numPr>
        <w:numId w:val="26"/>
      </w:numPr>
      <w:ind w:left="567" w:hanging="567"/>
    </w:p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rPr>
      <w:sz w:val="20"/>
      <w:szCs w:val="20"/>
    </w:rPr>
  </w:style>
  <w:style w:type="character" w:styleId="FootnoteReference">
    <w:name w:val="footnote reference"/>
    <w:uiPriority w:val="99"/>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uiPriority w:val="39"/>
    <w:rsid w:val="0053177C"/>
    <w:pPr>
      <w:tabs>
        <w:tab w:val="right" w:pos="9053"/>
      </w:tabs>
      <w:ind w:left="240"/>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CommentTextChar">
    <w:name w:val="Comment Text Char"/>
    <w:link w:val="CommentText"/>
    <w:semiHidden/>
    <w:rsid w:val="00593497"/>
    <w:rPr>
      <w:rFonts w:ascii="Tahoma" w:hAnsi="Tahoma"/>
      <w:color w:val="000000"/>
      <w:lang w:eastAsia="en-US"/>
    </w:rPr>
  </w:style>
  <w:style w:type="character" w:customStyle="1" w:styleId="UnnumberedparagraphChar">
    <w:name w:val="Unnumbered paragraph Char"/>
    <w:link w:val="Unnumberedparagraph"/>
    <w:rsid w:val="00593497"/>
    <w:rPr>
      <w:rFonts w:ascii="Tahoma" w:hAnsi="Tahoma"/>
      <w:color w:val="000000"/>
      <w:sz w:val="24"/>
      <w:szCs w:val="24"/>
      <w:lang w:eastAsia="en-US"/>
    </w:rPr>
  </w:style>
  <w:style w:type="character" w:customStyle="1" w:styleId="Heading3Char">
    <w:name w:val="Heading 3 Char"/>
    <w:link w:val="Heading3"/>
    <w:rsid w:val="00593497"/>
    <w:rPr>
      <w:rFonts w:ascii="Tahoma" w:hAnsi="Tahoma"/>
      <w:b/>
      <w:sz w:val="24"/>
      <w:szCs w:val="24"/>
    </w:rPr>
  </w:style>
  <w:style w:type="paragraph" w:styleId="BodyText2">
    <w:name w:val="Body Text 2"/>
    <w:aliases w:val=" Char"/>
    <w:basedOn w:val="Normal"/>
    <w:link w:val="BodyText2Char"/>
    <w:rsid w:val="00593497"/>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593497"/>
    <w:rPr>
      <w:rFonts w:ascii="Arial" w:hAnsi="Arial"/>
      <w:sz w:val="24"/>
      <w:szCs w:val="24"/>
    </w:rPr>
  </w:style>
  <w:style w:type="paragraph" w:styleId="BodyText">
    <w:name w:val="Body Text"/>
    <w:basedOn w:val="Normal"/>
    <w:link w:val="BodyTextChar"/>
    <w:rsid w:val="00593497"/>
    <w:pPr>
      <w:spacing w:after="120"/>
    </w:pPr>
    <w:rPr>
      <w:rFonts w:ascii="Times New Roman" w:hAnsi="Times New Roman"/>
      <w:color w:val="auto"/>
      <w:lang w:eastAsia="en-GB"/>
    </w:rPr>
  </w:style>
  <w:style w:type="character" w:customStyle="1" w:styleId="BodyTextChar">
    <w:name w:val="Body Text Char"/>
    <w:link w:val="BodyText"/>
    <w:rsid w:val="00593497"/>
    <w:rPr>
      <w:sz w:val="24"/>
      <w:szCs w:val="24"/>
    </w:rPr>
  </w:style>
  <w:style w:type="paragraph" w:styleId="ListBullet2">
    <w:name w:val="List Bullet 2"/>
    <w:basedOn w:val="Normal"/>
    <w:link w:val="ListBullet2Char"/>
    <w:rsid w:val="00593497"/>
    <w:pPr>
      <w:tabs>
        <w:tab w:val="num" w:pos="643"/>
      </w:tabs>
      <w:ind w:left="643" w:hanging="360"/>
    </w:pPr>
    <w:rPr>
      <w:rFonts w:ascii="Times New Roman" w:hAnsi="Times New Roman"/>
      <w:color w:val="auto"/>
      <w:lang w:eastAsia="en-GB"/>
    </w:rPr>
  </w:style>
  <w:style w:type="character" w:customStyle="1" w:styleId="ListBullet2Char">
    <w:name w:val="List Bullet 2 Char"/>
    <w:link w:val="ListBullet2"/>
    <w:rsid w:val="00593497"/>
    <w:rPr>
      <w:sz w:val="24"/>
      <w:szCs w:val="24"/>
    </w:rPr>
  </w:style>
  <w:style w:type="paragraph" w:customStyle="1" w:styleId="Footnote">
    <w:name w:val="Footnote"/>
    <w:basedOn w:val="Numberedparagraph-unnumberdextrapara"/>
    <w:qFormat/>
    <w:rsid w:val="00593497"/>
    <w:pPr>
      <w:shd w:val="clear" w:color="auto" w:fill="FFFFFF"/>
      <w:spacing w:before="240"/>
    </w:pPr>
    <w:rPr>
      <w:rFonts w:cs="Tahoma"/>
      <w:i/>
      <w:color w:val="0B0C0C"/>
      <w:lang w:eastAsia="en-GB"/>
    </w:rPr>
  </w:style>
  <w:style w:type="paragraph" w:styleId="Revision">
    <w:name w:val="Revision"/>
    <w:hidden/>
    <w:uiPriority w:val="99"/>
    <w:semiHidden/>
    <w:rsid w:val="00593497"/>
    <w:rPr>
      <w:rFonts w:ascii="Tahoma" w:hAnsi="Tahoma"/>
      <w:color w:val="000000"/>
      <w:sz w:val="24"/>
      <w:szCs w:val="24"/>
      <w:lang w:eastAsia="en-US"/>
    </w:rPr>
  </w:style>
  <w:style w:type="table" w:styleId="TableGrid">
    <w:name w:val="Table Grid"/>
    <w:basedOn w:val="TableNormal"/>
    <w:uiPriority w:val="39"/>
    <w:rsid w:val="005934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497"/>
    <w:pPr>
      <w:ind w:left="720"/>
    </w:pPr>
  </w:style>
  <w:style w:type="paragraph" w:styleId="PlainText">
    <w:name w:val="Plain Text"/>
    <w:basedOn w:val="Normal"/>
    <w:link w:val="PlainTextChar"/>
    <w:uiPriority w:val="99"/>
    <w:rsid w:val="00593497"/>
    <w:pPr>
      <w:jc w:val="both"/>
    </w:pPr>
    <w:rPr>
      <w:rFonts w:ascii="Courier New" w:hAnsi="Courier New"/>
      <w:color w:val="auto"/>
      <w:lang w:eastAsia="en-GB"/>
    </w:rPr>
  </w:style>
  <w:style w:type="character" w:customStyle="1" w:styleId="PlainTextChar">
    <w:name w:val="Plain Text Char"/>
    <w:link w:val="PlainText"/>
    <w:uiPriority w:val="99"/>
    <w:rsid w:val="00593497"/>
    <w:rPr>
      <w:rFonts w:ascii="Courier New" w:hAnsi="Courier New"/>
      <w:sz w:val="24"/>
      <w:szCs w:val="24"/>
    </w:rPr>
  </w:style>
  <w:style w:type="paragraph" w:styleId="NormalWeb">
    <w:name w:val="Normal (Web)"/>
    <w:basedOn w:val="Normal"/>
    <w:uiPriority w:val="99"/>
    <w:unhideWhenUsed/>
    <w:rsid w:val="00593497"/>
    <w:pPr>
      <w:spacing w:before="100" w:beforeAutospacing="1" w:after="100" w:afterAutospacing="1"/>
    </w:pPr>
    <w:rPr>
      <w:rFonts w:ascii="Times New Roman" w:hAnsi="Times New Roman"/>
      <w:color w:val="auto"/>
      <w:lang w:eastAsia="en-GB"/>
    </w:rPr>
  </w:style>
  <w:style w:type="character" w:customStyle="1" w:styleId="FootnoteTextChar">
    <w:name w:val="Footnote Text Char"/>
    <w:link w:val="FootnoteText"/>
    <w:rsid w:val="00593497"/>
    <w:rPr>
      <w:rFonts w:ascii="Tahoma" w:hAnsi="Tahoma"/>
      <w:color w:val="000000"/>
      <w:lang w:eastAsia="en-US"/>
    </w:rPr>
  </w:style>
  <w:style w:type="paragraph" w:styleId="TOCHeading">
    <w:name w:val="TOC Heading"/>
    <w:basedOn w:val="Heading1"/>
    <w:next w:val="Normal"/>
    <w:uiPriority w:val="39"/>
    <w:semiHidden/>
    <w:unhideWhenUsed/>
    <w:qFormat/>
    <w:rsid w:val="00593497"/>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6225">
      <w:bodyDiv w:val="1"/>
      <w:marLeft w:val="0"/>
      <w:marRight w:val="0"/>
      <w:marTop w:val="0"/>
      <w:marBottom w:val="0"/>
      <w:divBdr>
        <w:top w:val="none" w:sz="0" w:space="0" w:color="auto"/>
        <w:left w:val="none" w:sz="0" w:space="0" w:color="auto"/>
        <w:bottom w:val="none" w:sz="0" w:space="0" w:color="auto"/>
        <w:right w:val="none" w:sz="0" w:space="0" w:color="auto"/>
      </w:divBdr>
    </w:div>
    <w:div w:id="196626968">
      <w:bodyDiv w:val="1"/>
      <w:marLeft w:val="0"/>
      <w:marRight w:val="0"/>
      <w:marTop w:val="0"/>
      <w:marBottom w:val="0"/>
      <w:divBdr>
        <w:top w:val="none" w:sz="0" w:space="0" w:color="auto"/>
        <w:left w:val="none" w:sz="0" w:space="0" w:color="auto"/>
        <w:bottom w:val="none" w:sz="0" w:space="0" w:color="auto"/>
        <w:right w:val="none" w:sz="0" w:space="0" w:color="auto"/>
      </w:divBdr>
    </w:div>
    <w:div w:id="71488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gov.uk/government/organisations/ofste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psi@nationalarchives.gsi.gov.uk"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nationalarchives.gov.uk/doc/open-government-licence" TargetMode="External"/><Relationship Id="rId20" Type="http://schemas.openxmlformats.org/officeDocument/2006/relationships/hyperlink" Target="http://www.gov.uk/ofst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enquiries@ofsted.gov.uk"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eepurl.com/iTrD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eader" Target="head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send-code-of-practice-0-to-2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80234-D028-41F1-9839-C6A0ABDDF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5653</Words>
  <Characters>31170</Characters>
  <Application>Microsoft Office Word</Application>
  <DocSecurity>0</DocSecurity>
  <Lines>259</Lines>
  <Paragraphs>73</Paragraphs>
  <ScaleCrop>false</ScaleCrop>
  <Company/>
  <LinksUpToDate>false</LinksUpToDate>
  <CharactersWithSpaces>36750</CharactersWithSpaces>
  <SharedDoc>false</SharedDoc>
  <HLinks>
    <vt:vector size="42" baseType="variant">
      <vt:variant>
        <vt:i4>1441795</vt:i4>
      </vt:variant>
      <vt:variant>
        <vt:i4>24</vt:i4>
      </vt:variant>
      <vt:variant>
        <vt:i4>0</vt:i4>
      </vt:variant>
      <vt:variant>
        <vt:i4>5</vt:i4>
      </vt:variant>
      <vt:variant>
        <vt:lpwstr>http://www.gov.uk/ofsted</vt:lpwstr>
      </vt:variant>
      <vt:variant>
        <vt:lpwstr/>
      </vt:variant>
      <vt:variant>
        <vt:i4>3276896</vt:i4>
      </vt:variant>
      <vt:variant>
        <vt:i4>21</vt:i4>
      </vt:variant>
      <vt:variant>
        <vt:i4>0</vt:i4>
      </vt:variant>
      <vt:variant>
        <vt:i4>5</vt:i4>
      </vt:variant>
      <vt:variant>
        <vt:lpwstr>http://eepurl.com/iTrDn</vt:lpwstr>
      </vt:variant>
      <vt:variant>
        <vt:lpwstr/>
      </vt:variant>
      <vt:variant>
        <vt:i4>1114132</vt:i4>
      </vt:variant>
      <vt:variant>
        <vt:i4>18</vt:i4>
      </vt:variant>
      <vt:variant>
        <vt:i4>0</vt:i4>
      </vt:variant>
      <vt:variant>
        <vt:i4>5</vt:i4>
      </vt:variant>
      <vt:variant>
        <vt:lpwstr>http://www.gov.uk/government/organisations/ofsted</vt:lpwstr>
      </vt:variant>
      <vt:variant>
        <vt:lpwstr/>
      </vt:variant>
      <vt:variant>
        <vt:i4>3670022</vt:i4>
      </vt:variant>
      <vt:variant>
        <vt:i4>15</vt:i4>
      </vt:variant>
      <vt:variant>
        <vt:i4>0</vt:i4>
      </vt:variant>
      <vt:variant>
        <vt:i4>5</vt:i4>
      </vt:variant>
      <vt:variant>
        <vt:lpwstr>mailto:psi@nationalarchives.gsi.gov.uk</vt:lpwstr>
      </vt:variant>
      <vt:variant>
        <vt:lpwstr/>
      </vt:variant>
      <vt:variant>
        <vt:i4>6553714</vt:i4>
      </vt:variant>
      <vt:variant>
        <vt:i4>12</vt:i4>
      </vt:variant>
      <vt:variant>
        <vt:i4>0</vt:i4>
      </vt:variant>
      <vt:variant>
        <vt:i4>5</vt:i4>
      </vt:variant>
      <vt:variant>
        <vt:lpwstr>http://www.nationalarchives.gov.uk/doc/open-government-licence</vt:lpwstr>
      </vt:variant>
      <vt:variant>
        <vt:lpwstr/>
      </vt:variant>
      <vt:variant>
        <vt:i4>7864340</vt:i4>
      </vt:variant>
      <vt:variant>
        <vt:i4>9</vt:i4>
      </vt:variant>
      <vt:variant>
        <vt:i4>0</vt:i4>
      </vt:variant>
      <vt:variant>
        <vt:i4>5</vt:i4>
      </vt:variant>
      <vt:variant>
        <vt:lpwstr>mailto:enquiries@ofsted.gov.uk</vt:lpwstr>
      </vt:variant>
      <vt:variant>
        <vt:lpwstr/>
      </vt:variant>
      <vt:variant>
        <vt:i4>1376307</vt:i4>
      </vt:variant>
      <vt:variant>
        <vt:i4>2</vt:i4>
      </vt:variant>
      <vt:variant>
        <vt:i4>0</vt:i4>
      </vt:variant>
      <vt:variant>
        <vt:i4>5</vt:i4>
      </vt:variant>
      <vt:variant>
        <vt:lpwstr/>
      </vt:variant>
      <vt:variant>
        <vt:lpwstr>_Toc462914494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2017-10-17T16:09:00Z</dcterms:created>
  <dcterms:modified xsi:type="dcterms:W3CDTF">2017-10-17T16:10:00Z</dcterms:modified>
  <cp:category/>
</cp:coreProperties>
</file>