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D0" w:rsidRDefault="00C56DD0" w:rsidP="005A5354">
      <w:pPr>
        <w:ind w:left="-142"/>
      </w:pPr>
    </w:p>
    <w:p w:rsidR="00C56DD0" w:rsidRDefault="00C56DD0" w:rsidP="005A5354">
      <w:pPr>
        <w:ind w:left="-142"/>
      </w:pPr>
    </w:p>
    <w:p w:rsidR="00C56DD0" w:rsidRDefault="00C56DD0" w:rsidP="005A5354">
      <w:pPr>
        <w:ind w:left="-142"/>
      </w:pPr>
    </w:p>
    <w:p w:rsidR="00C56DD0" w:rsidRDefault="00C56DD0" w:rsidP="005A5354">
      <w:pPr>
        <w:ind w:left="-142"/>
      </w:pPr>
    </w:p>
    <w:tbl>
      <w:tblPr>
        <w:tblW w:w="4536" w:type="dxa"/>
        <w:tblInd w:w="5273" w:type="dxa"/>
        <w:tblBorders>
          <w:insideH w:val="single" w:sz="8" w:space="0" w:color="FFFFFF"/>
          <w:insideV w:val="single" w:sz="12" w:space="0" w:color="FFFFFF"/>
        </w:tblBorders>
        <w:tblCellMar>
          <w:left w:w="170" w:type="dxa"/>
          <w:right w:w="0" w:type="dxa"/>
        </w:tblCellMar>
        <w:tblLook w:val="01E0" w:firstRow="1" w:lastRow="1" w:firstColumn="1" w:lastColumn="1" w:noHBand="0" w:noVBand="0"/>
      </w:tblPr>
      <w:tblGrid>
        <w:gridCol w:w="4536"/>
      </w:tblGrid>
      <w:tr w:rsidR="00C56DD0" w:rsidTr="00E949FD">
        <w:trPr>
          <w:trHeight w:hRule="exact" w:val="1134"/>
          <w:tblHeader/>
        </w:trPr>
        <w:tc>
          <w:tcPr>
            <w:tcW w:w="4536" w:type="dxa"/>
            <w:tcBorders>
              <w:top w:val="nil"/>
            </w:tcBorders>
            <w:shd w:val="clear" w:color="auto" w:fill="21488A"/>
            <w:vAlign w:val="center"/>
          </w:tcPr>
          <w:p w:rsidR="00C56DD0" w:rsidRPr="00E17803" w:rsidRDefault="00C56DD0" w:rsidP="00E17803">
            <w:pPr>
              <w:pStyle w:val="BISTitle"/>
            </w:pPr>
            <w:r>
              <w:br/>
            </w:r>
            <w:r w:rsidR="0036011D">
              <w:t xml:space="preserve">Office of the Regulator of Community Interest Companies </w:t>
            </w:r>
          </w:p>
        </w:tc>
      </w:tr>
      <w:tr w:rsidR="00C56DD0" w:rsidRPr="00D41359" w:rsidTr="00A148A4">
        <w:trPr>
          <w:trHeight w:val="1191"/>
        </w:trPr>
        <w:tc>
          <w:tcPr>
            <w:tcW w:w="4536" w:type="dxa"/>
            <w:shd w:val="clear" w:color="auto" w:fill="000000"/>
            <w:tcMar>
              <w:left w:w="284" w:type="dxa"/>
              <w:right w:w="170" w:type="dxa"/>
            </w:tcMar>
            <w:vAlign w:val="center"/>
          </w:tcPr>
          <w:p w:rsidR="00C56DD0" w:rsidRPr="00B80A46" w:rsidRDefault="00843498" w:rsidP="00523821">
            <w:pPr>
              <w:pStyle w:val="BISSub-title"/>
              <w:rPr>
                <w:rFonts w:cs="Arial"/>
                <w:szCs w:val="28"/>
              </w:rPr>
            </w:pPr>
            <w:r>
              <w:t>Regulator’s s</w:t>
            </w:r>
            <w:r w:rsidR="0036011D">
              <w:t>tatus, role, function and location</w:t>
            </w:r>
          </w:p>
        </w:tc>
      </w:tr>
      <w:tr w:rsidR="00C56DD0" w:rsidRPr="00D41359" w:rsidTr="00A148A4">
        <w:trPr>
          <w:trHeight w:val="567"/>
        </w:trPr>
        <w:tc>
          <w:tcPr>
            <w:tcW w:w="4536" w:type="dxa"/>
            <w:shd w:val="clear" w:color="auto" w:fill="000000"/>
            <w:tcMar>
              <w:left w:w="284" w:type="dxa"/>
              <w:right w:w="170" w:type="dxa"/>
            </w:tcMar>
            <w:vAlign w:val="center"/>
          </w:tcPr>
          <w:p w:rsidR="00C56DD0" w:rsidRPr="00F47950" w:rsidRDefault="0036011D" w:rsidP="00D96ECF">
            <w:pPr>
              <w:pStyle w:val="BISMonthYear"/>
              <w:rPr>
                <w:rFonts w:cs="Arial"/>
              </w:rPr>
            </w:pPr>
            <w:r>
              <w:t>July 2017</w:t>
            </w:r>
          </w:p>
        </w:tc>
      </w:tr>
    </w:tbl>
    <w:p w:rsidR="00C56DD0" w:rsidRPr="00D93310" w:rsidRDefault="00C56DD0" w:rsidP="00ED47D3"/>
    <w:p w:rsidR="00C56DD0" w:rsidRDefault="00C56DD0" w:rsidP="00E17803">
      <w:pPr>
        <w:sectPr w:rsidR="00C56DD0" w:rsidSect="001705EB">
          <w:headerReference w:type="even" r:id="rId8"/>
          <w:headerReference w:type="default" r:id="rId9"/>
          <w:footerReference w:type="even" r:id="rId10"/>
          <w:footerReference w:type="default" r:id="rId11"/>
          <w:headerReference w:type="first" r:id="rId12"/>
          <w:pgSz w:w="11906" w:h="16838" w:code="9"/>
          <w:pgMar w:top="1134" w:right="6804" w:bottom="1134" w:left="1134" w:header="720" w:footer="0" w:gutter="0"/>
          <w:cols w:space="720"/>
          <w:titlePg/>
        </w:sectPr>
      </w:pPr>
    </w:p>
    <w:p w:rsidR="00C56DD0" w:rsidRDefault="00C56DD0" w:rsidP="009259CF">
      <w:bookmarkStart w:id="0" w:name="_Toc277773892"/>
    </w:p>
    <w:p w:rsidR="00C56DD0" w:rsidRDefault="00C56DD0" w:rsidP="009259CF"/>
    <w:p w:rsidR="00C56DD0" w:rsidRDefault="00C56DD0" w:rsidP="009259CF"/>
    <w:p w:rsidR="002127EF" w:rsidRPr="00472AF2" w:rsidRDefault="002127EF" w:rsidP="002127EF">
      <w:pPr>
        <w:pStyle w:val="ListBullet"/>
        <w:numPr>
          <w:ilvl w:val="0"/>
          <w:numId w:val="0"/>
        </w:numPr>
        <w:ind w:left="142"/>
      </w:pPr>
      <w:bookmarkStart w:id="1" w:name="OLE_LINK1"/>
    </w:p>
    <w:p w:rsidR="00A6286F" w:rsidRDefault="00A6286F">
      <w:pPr>
        <w:spacing w:after="0"/>
        <w:rPr>
          <w:b/>
          <w:bCs/>
          <w:color w:val="003478"/>
          <w:kern w:val="32"/>
          <w:sz w:val="56"/>
          <w:szCs w:val="32"/>
        </w:rPr>
      </w:pPr>
      <w:bookmarkStart w:id="2" w:name="_Toc292890753"/>
      <w:bookmarkEnd w:id="1"/>
      <w:r>
        <w:br w:type="page"/>
      </w:r>
    </w:p>
    <w:p w:rsidR="00843498" w:rsidRDefault="00C56DD0" w:rsidP="00466610">
      <w:pPr>
        <w:pStyle w:val="Contents"/>
        <w:rPr>
          <w:noProof/>
        </w:rPr>
      </w:pPr>
      <w:r>
        <w:lastRenderedPageBreak/>
        <w:t>Contents</w:t>
      </w:r>
      <w:bookmarkEnd w:id="2"/>
      <w:r w:rsidR="00466610">
        <w:rPr>
          <w:sz w:val="22"/>
        </w:rPr>
        <w:fldChar w:fldCharType="begin"/>
      </w:r>
      <w:r w:rsidR="00466610">
        <w:rPr>
          <w:sz w:val="22"/>
        </w:rPr>
        <w:instrText xml:space="preserve"> TOC \o "2-3" \h \z \t "Heading 1,1" </w:instrText>
      </w:r>
      <w:r w:rsidR="00466610">
        <w:rPr>
          <w:sz w:val="22"/>
        </w:rPr>
        <w:fldChar w:fldCharType="separate"/>
      </w:r>
    </w:p>
    <w:bookmarkStart w:id="3" w:name="_GoBack"/>
    <w:bookmarkEnd w:id="3"/>
    <w:p w:rsidR="00843498" w:rsidRDefault="00843498">
      <w:pPr>
        <w:pStyle w:val="TOC1"/>
        <w:tabs>
          <w:tab w:val="right" w:leader="dot" w:pos="9628"/>
        </w:tabs>
        <w:rPr>
          <w:rFonts w:asciiTheme="minorHAnsi" w:eastAsiaTheme="minorEastAsia" w:hAnsiTheme="minorHAnsi" w:cstheme="minorBidi"/>
          <w:b w:val="0"/>
          <w:noProof/>
          <w:szCs w:val="22"/>
          <w:lang w:eastAsia="en-GB"/>
        </w:rPr>
      </w:pPr>
      <w:r w:rsidRPr="00D71766">
        <w:rPr>
          <w:rStyle w:val="Hyperlink"/>
          <w:noProof/>
        </w:rPr>
        <w:fldChar w:fldCharType="begin"/>
      </w:r>
      <w:r w:rsidRPr="00D71766">
        <w:rPr>
          <w:rStyle w:val="Hyperlink"/>
          <w:noProof/>
        </w:rPr>
        <w:instrText xml:space="preserve"> </w:instrText>
      </w:r>
      <w:r>
        <w:rPr>
          <w:noProof/>
        </w:rPr>
        <w:instrText>HYPERLINK \l "_Toc487793991"</w:instrText>
      </w:r>
      <w:r w:rsidRPr="00D71766">
        <w:rPr>
          <w:rStyle w:val="Hyperlink"/>
          <w:noProof/>
        </w:rPr>
        <w:instrText xml:space="preserve"> </w:instrText>
      </w:r>
      <w:r w:rsidRPr="00D71766">
        <w:rPr>
          <w:rStyle w:val="Hyperlink"/>
          <w:noProof/>
        </w:rPr>
      </w:r>
      <w:r w:rsidRPr="00D71766">
        <w:rPr>
          <w:rStyle w:val="Hyperlink"/>
          <w:noProof/>
        </w:rPr>
        <w:fldChar w:fldCharType="separate"/>
      </w:r>
      <w:r w:rsidRPr="00D71766">
        <w:rPr>
          <w:rStyle w:val="Hyperlink"/>
          <w:noProof/>
        </w:rPr>
        <w:t>Status</w:t>
      </w:r>
      <w:r>
        <w:rPr>
          <w:noProof/>
          <w:webHidden/>
        </w:rPr>
        <w:tab/>
      </w:r>
      <w:r>
        <w:rPr>
          <w:noProof/>
          <w:webHidden/>
        </w:rPr>
        <w:fldChar w:fldCharType="begin"/>
      </w:r>
      <w:r>
        <w:rPr>
          <w:noProof/>
          <w:webHidden/>
        </w:rPr>
        <w:instrText xml:space="preserve"> PAGEREF _Toc487793991 \h </w:instrText>
      </w:r>
      <w:r>
        <w:rPr>
          <w:noProof/>
          <w:webHidden/>
        </w:rPr>
      </w:r>
      <w:r>
        <w:rPr>
          <w:noProof/>
          <w:webHidden/>
        </w:rPr>
        <w:fldChar w:fldCharType="separate"/>
      </w:r>
      <w:r>
        <w:rPr>
          <w:noProof/>
          <w:webHidden/>
        </w:rPr>
        <w:t>3</w:t>
      </w:r>
      <w:r>
        <w:rPr>
          <w:noProof/>
          <w:webHidden/>
        </w:rPr>
        <w:fldChar w:fldCharType="end"/>
      </w:r>
      <w:r w:rsidRPr="00D71766">
        <w:rPr>
          <w:rStyle w:val="Hyperlink"/>
          <w:noProof/>
        </w:rPr>
        <w:fldChar w:fldCharType="end"/>
      </w:r>
    </w:p>
    <w:p w:rsidR="00843498" w:rsidRDefault="00843498">
      <w:pPr>
        <w:pStyle w:val="TOC1"/>
        <w:tabs>
          <w:tab w:val="right" w:leader="dot" w:pos="9628"/>
        </w:tabs>
        <w:rPr>
          <w:rFonts w:asciiTheme="minorHAnsi" w:eastAsiaTheme="minorEastAsia" w:hAnsiTheme="minorHAnsi" w:cstheme="minorBidi"/>
          <w:b w:val="0"/>
          <w:noProof/>
          <w:szCs w:val="22"/>
          <w:lang w:eastAsia="en-GB"/>
        </w:rPr>
      </w:pPr>
      <w:hyperlink w:anchor="_Toc487793992" w:history="1">
        <w:r w:rsidRPr="00D71766">
          <w:rPr>
            <w:rStyle w:val="Hyperlink"/>
            <w:noProof/>
          </w:rPr>
          <w:t>Role</w:t>
        </w:r>
        <w:r>
          <w:rPr>
            <w:noProof/>
            <w:webHidden/>
          </w:rPr>
          <w:tab/>
        </w:r>
        <w:r>
          <w:rPr>
            <w:noProof/>
            <w:webHidden/>
          </w:rPr>
          <w:fldChar w:fldCharType="begin"/>
        </w:r>
        <w:r>
          <w:rPr>
            <w:noProof/>
            <w:webHidden/>
          </w:rPr>
          <w:instrText xml:space="preserve"> PAGEREF _Toc487793992 \h </w:instrText>
        </w:r>
        <w:r>
          <w:rPr>
            <w:noProof/>
            <w:webHidden/>
          </w:rPr>
        </w:r>
        <w:r>
          <w:rPr>
            <w:noProof/>
            <w:webHidden/>
          </w:rPr>
          <w:fldChar w:fldCharType="separate"/>
        </w:r>
        <w:r>
          <w:rPr>
            <w:noProof/>
            <w:webHidden/>
          </w:rPr>
          <w:t>4</w:t>
        </w:r>
        <w:r>
          <w:rPr>
            <w:noProof/>
            <w:webHidden/>
          </w:rPr>
          <w:fldChar w:fldCharType="end"/>
        </w:r>
      </w:hyperlink>
    </w:p>
    <w:p w:rsidR="00843498" w:rsidRDefault="00843498">
      <w:pPr>
        <w:pStyle w:val="TOC1"/>
        <w:tabs>
          <w:tab w:val="right" w:leader="dot" w:pos="9628"/>
        </w:tabs>
        <w:rPr>
          <w:rFonts w:asciiTheme="minorHAnsi" w:eastAsiaTheme="minorEastAsia" w:hAnsiTheme="minorHAnsi" w:cstheme="minorBidi"/>
          <w:b w:val="0"/>
          <w:noProof/>
          <w:szCs w:val="22"/>
          <w:lang w:eastAsia="en-GB"/>
        </w:rPr>
      </w:pPr>
      <w:hyperlink w:anchor="_Toc487793993" w:history="1">
        <w:r w:rsidRPr="00D71766">
          <w:rPr>
            <w:rStyle w:val="Hyperlink"/>
            <w:noProof/>
          </w:rPr>
          <w:t>Functions of the Regulator</w:t>
        </w:r>
        <w:r>
          <w:rPr>
            <w:noProof/>
            <w:webHidden/>
          </w:rPr>
          <w:tab/>
        </w:r>
        <w:r>
          <w:rPr>
            <w:noProof/>
            <w:webHidden/>
          </w:rPr>
          <w:fldChar w:fldCharType="begin"/>
        </w:r>
        <w:r>
          <w:rPr>
            <w:noProof/>
            <w:webHidden/>
          </w:rPr>
          <w:instrText xml:space="preserve"> PAGEREF _Toc487793993 \h </w:instrText>
        </w:r>
        <w:r>
          <w:rPr>
            <w:noProof/>
            <w:webHidden/>
          </w:rPr>
        </w:r>
        <w:r>
          <w:rPr>
            <w:noProof/>
            <w:webHidden/>
          </w:rPr>
          <w:fldChar w:fldCharType="separate"/>
        </w:r>
        <w:r>
          <w:rPr>
            <w:noProof/>
            <w:webHidden/>
          </w:rPr>
          <w:t>5</w:t>
        </w:r>
        <w:r>
          <w:rPr>
            <w:noProof/>
            <w:webHidden/>
          </w:rPr>
          <w:fldChar w:fldCharType="end"/>
        </w:r>
      </w:hyperlink>
    </w:p>
    <w:p w:rsidR="00843498" w:rsidRDefault="00843498">
      <w:pPr>
        <w:pStyle w:val="TOC1"/>
        <w:tabs>
          <w:tab w:val="right" w:leader="dot" w:pos="9628"/>
        </w:tabs>
        <w:rPr>
          <w:rFonts w:asciiTheme="minorHAnsi" w:eastAsiaTheme="minorEastAsia" w:hAnsiTheme="minorHAnsi" w:cstheme="minorBidi"/>
          <w:b w:val="0"/>
          <w:noProof/>
          <w:szCs w:val="22"/>
          <w:lang w:eastAsia="en-GB"/>
        </w:rPr>
      </w:pPr>
      <w:hyperlink w:anchor="_Toc487793994" w:history="1">
        <w:r w:rsidRPr="00D71766">
          <w:rPr>
            <w:rStyle w:val="Hyperlink"/>
            <w:noProof/>
          </w:rPr>
          <w:t>Powers of the Regulator</w:t>
        </w:r>
        <w:r>
          <w:rPr>
            <w:noProof/>
            <w:webHidden/>
          </w:rPr>
          <w:tab/>
        </w:r>
        <w:r>
          <w:rPr>
            <w:noProof/>
            <w:webHidden/>
          </w:rPr>
          <w:fldChar w:fldCharType="begin"/>
        </w:r>
        <w:r>
          <w:rPr>
            <w:noProof/>
            <w:webHidden/>
          </w:rPr>
          <w:instrText xml:space="preserve"> PAGEREF _Toc487793994 \h </w:instrText>
        </w:r>
        <w:r>
          <w:rPr>
            <w:noProof/>
            <w:webHidden/>
          </w:rPr>
        </w:r>
        <w:r>
          <w:rPr>
            <w:noProof/>
            <w:webHidden/>
          </w:rPr>
          <w:fldChar w:fldCharType="separate"/>
        </w:r>
        <w:r>
          <w:rPr>
            <w:noProof/>
            <w:webHidden/>
          </w:rPr>
          <w:t>6</w:t>
        </w:r>
        <w:r>
          <w:rPr>
            <w:noProof/>
            <w:webHidden/>
          </w:rPr>
          <w:fldChar w:fldCharType="end"/>
        </w:r>
      </w:hyperlink>
    </w:p>
    <w:p w:rsidR="00843498" w:rsidRDefault="00843498">
      <w:pPr>
        <w:pStyle w:val="TOC1"/>
        <w:tabs>
          <w:tab w:val="right" w:leader="dot" w:pos="9628"/>
        </w:tabs>
        <w:rPr>
          <w:rFonts w:asciiTheme="minorHAnsi" w:eastAsiaTheme="minorEastAsia" w:hAnsiTheme="minorHAnsi" w:cstheme="minorBidi"/>
          <w:b w:val="0"/>
          <w:noProof/>
          <w:szCs w:val="22"/>
          <w:lang w:eastAsia="en-GB"/>
        </w:rPr>
      </w:pPr>
      <w:hyperlink w:anchor="_Toc487793995" w:history="1">
        <w:r w:rsidRPr="00D71766">
          <w:rPr>
            <w:rStyle w:val="Hyperlink"/>
            <w:noProof/>
          </w:rPr>
          <w:t>Location &amp; organisational structure of the office</w:t>
        </w:r>
        <w:r>
          <w:rPr>
            <w:noProof/>
            <w:webHidden/>
          </w:rPr>
          <w:tab/>
        </w:r>
        <w:r>
          <w:rPr>
            <w:noProof/>
            <w:webHidden/>
          </w:rPr>
          <w:fldChar w:fldCharType="begin"/>
        </w:r>
        <w:r>
          <w:rPr>
            <w:noProof/>
            <w:webHidden/>
          </w:rPr>
          <w:instrText xml:space="preserve"> PAGEREF _Toc487793995 \h </w:instrText>
        </w:r>
        <w:r>
          <w:rPr>
            <w:noProof/>
            <w:webHidden/>
          </w:rPr>
        </w:r>
        <w:r>
          <w:rPr>
            <w:noProof/>
            <w:webHidden/>
          </w:rPr>
          <w:fldChar w:fldCharType="separate"/>
        </w:r>
        <w:r>
          <w:rPr>
            <w:noProof/>
            <w:webHidden/>
          </w:rPr>
          <w:t>8</w:t>
        </w:r>
        <w:r>
          <w:rPr>
            <w:noProof/>
            <w:webHidden/>
          </w:rPr>
          <w:fldChar w:fldCharType="end"/>
        </w:r>
      </w:hyperlink>
    </w:p>
    <w:p w:rsidR="00D301E7" w:rsidRPr="00C22539" w:rsidRDefault="00466610" w:rsidP="00C22539">
      <w:pPr>
        <w:pStyle w:val="Heading1"/>
      </w:pPr>
      <w:r>
        <w:rPr>
          <w:sz w:val="22"/>
        </w:rPr>
        <w:fldChar w:fldCharType="end"/>
      </w:r>
      <w:r w:rsidR="00C56DD0">
        <w:br w:type="page"/>
      </w:r>
      <w:bookmarkStart w:id="4" w:name="OLE_LINK2"/>
      <w:bookmarkStart w:id="5" w:name="OLE_LINK3"/>
      <w:bookmarkStart w:id="6" w:name="_Toc353001827"/>
      <w:bookmarkStart w:id="7" w:name="_Toc487793991"/>
      <w:bookmarkEnd w:id="0"/>
      <w:r w:rsidR="00D301E7" w:rsidRPr="00C22539">
        <w:lastRenderedPageBreak/>
        <w:t>Status</w:t>
      </w:r>
      <w:bookmarkEnd w:id="6"/>
      <w:bookmarkEnd w:id="7"/>
      <w:r w:rsidR="00D301E7" w:rsidRPr="00C22539">
        <w:t xml:space="preserve"> </w:t>
      </w:r>
    </w:p>
    <w:p w:rsidR="00C22539" w:rsidRDefault="00D301E7" w:rsidP="00D301E7">
      <w:r w:rsidRPr="00D301E7">
        <w:t xml:space="preserve">The Regulator of Community Interest Companies is an independent statutory office-holder appointed by the Secretary of State for Business, Energy, Industrial and Strategy (BEIS) under the Companies (Audit, Investigations and Community Enterprise) Act 2004 (“the Act”).  The Regulator’s functions are set out in the Act and the Community Interest Company Regulations 2005 (“the Regulations”).  </w:t>
      </w:r>
    </w:p>
    <w:p w:rsidR="00D301E7" w:rsidRPr="00D301E7" w:rsidRDefault="00D301E7" w:rsidP="00D301E7">
      <w:r w:rsidRPr="00D301E7">
        <w:t>The first Regulator of Community Interest Companies in Great Britain was appointed from 1 April 2005 and the Regulator’s office was opened to receive applications on 1 July 2005 when the legislation came into force.  In September 2015 Ceri Witchard was appointed the Regulator of Community Interest Companies for the UK.</w:t>
      </w:r>
    </w:p>
    <w:p w:rsidR="00D301E7" w:rsidRPr="00D301E7" w:rsidRDefault="00D301E7" w:rsidP="00D301E7">
      <w:r w:rsidRPr="00D301E7">
        <w:t>The Companies Act 2006 (Commencement No. 2, Consequential Amendments, Transition Provisions and Savings) Order 2007 came into force on 6th April 2007 making it possible to form, or to convert to, a community interest company in Northern Ireland.</w:t>
      </w:r>
    </w:p>
    <w:p w:rsidR="00D301E7" w:rsidRPr="00D301E7" w:rsidRDefault="00D301E7" w:rsidP="00D301E7">
      <w:r w:rsidRPr="00D301E7">
        <w:t>The Community Interest Company (Amendment) Regulations 2009, in the main, contain provisions to enable Scottish charities to convert to a CIC; for a CIC to convert to a permitted industrial and provident society; and some minor changes to the statutory articles in Schedules 1, 2, &amp; 3 of the Regulations.</w:t>
      </w:r>
    </w:p>
    <w:p w:rsidR="00D301E7" w:rsidRPr="00D301E7" w:rsidRDefault="00D301E7" w:rsidP="00D301E7">
      <w:r w:rsidRPr="00D301E7">
        <w:t xml:space="preserve">The Regulator’s Office is financed by BEIS under Schedule 3(6) of the Act.  The statutory fees, for considerations and determinations by the Regulator, are paid to the Registrar of Companies under Regulation 36 of the Regulations.  The Registrar of Companies, by virtue of section 57 of the Act, pays the monies collected into the consolidated fund.  </w:t>
      </w:r>
    </w:p>
    <w:p w:rsidR="00D301E7" w:rsidRDefault="00D301E7" w:rsidP="00D301E7">
      <w:r w:rsidRPr="00D301E7">
        <w:t>All statutory documents required to be delivered under the Companies Act 1985 and the CAICE Act 2004 must be delivered to the Registrar of Companies.  The Registrar of Companies must provide the Regulator with copies of certain documents and await the Regulator’s determination.</w:t>
      </w:r>
    </w:p>
    <w:p w:rsidR="00627EE1" w:rsidRDefault="00627EE1">
      <w:pPr>
        <w:spacing w:after="0"/>
        <w:rPr>
          <w:b/>
          <w:bCs/>
          <w:color w:val="003478"/>
          <w:kern w:val="32"/>
          <w:sz w:val="56"/>
          <w:szCs w:val="32"/>
        </w:rPr>
      </w:pPr>
      <w:bookmarkStart w:id="8" w:name="_Toc353001828"/>
      <w:r>
        <w:br w:type="page"/>
      </w:r>
    </w:p>
    <w:p w:rsidR="00D301E7" w:rsidRPr="00D301E7" w:rsidRDefault="00D301E7" w:rsidP="00D301E7">
      <w:pPr>
        <w:pStyle w:val="Heading1"/>
      </w:pPr>
      <w:bookmarkStart w:id="9" w:name="_Toc487793992"/>
      <w:r w:rsidRPr="00D301E7">
        <w:t>Role</w:t>
      </w:r>
      <w:bookmarkEnd w:id="8"/>
      <w:bookmarkEnd w:id="9"/>
      <w:r w:rsidRPr="00D301E7">
        <w:t xml:space="preserve"> </w:t>
      </w:r>
    </w:p>
    <w:p w:rsidR="00D301E7" w:rsidRPr="00D301E7" w:rsidRDefault="00D301E7" w:rsidP="00D301E7">
      <w:r w:rsidRPr="00D301E7">
        <w:t xml:space="preserve">The Regulator is an independent statutory-office holder and is committed to providing informed, impartial and fair regulatory decisions and “light touch regulation”.  The Act expresses this principle by requiring her to discharge her functions in accordance with good regulatory practice having regard to: </w:t>
      </w:r>
    </w:p>
    <w:p w:rsidR="00D301E7" w:rsidRPr="00D301E7" w:rsidRDefault="00D301E7" w:rsidP="00627EE1">
      <w:pPr>
        <w:pStyle w:val="ListBullet"/>
      </w:pPr>
      <w:r w:rsidRPr="00D301E7">
        <w:t xml:space="preserve">the likely impact of her actions on those who may be affected; </w:t>
      </w:r>
    </w:p>
    <w:p w:rsidR="00D301E7" w:rsidRPr="00D301E7" w:rsidRDefault="00D301E7" w:rsidP="00627EE1">
      <w:pPr>
        <w:pStyle w:val="ListBullet"/>
      </w:pPr>
      <w:r w:rsidRPr="00D301E7">
        <w:t xml:space="preserve">the outcome of consultation with organisations representing, community interest companies and others with relevant experience; and </w:t>
      </w:r>
    </w:p>
    <w:p w:rsidR="00D301E7" w:rsidRPr="00D301E7" w:rsidRDefault="00D301E7" w:rsidP="00627EE1">
      <w:pPr>
        <w:pStyle w:val="ListBullet"/>
      </w:pPr>
      <w:r w:rsidRPr="00D301E7">
        <w:t xml:space="preserve">the efficient and economic use of her resources. </w:t>
      </w:r>
    </w:p>
    <w:p w:rsidR="00D301E7" w:rsidRPr="00D301E7" w:rsidRDefault="00D301E7" w:rsidP="00627EE1">
      <w:pPr>
        <w:pStyle w:val="ListBullet"/>
      </w:pPr>
      <w:r w:rsidRPr="00D301E7">
        <w:lastRenderedPageBreak/>
        <w:t>In line with best practice, any action taken will encompass the following five principles (as set out by the Better Regulation Task Force in December 1997 and revised in October 2000):</w:t>
      </w:r>
    </w:p>
    <w:p w:rsidR="00C22539" w:rsidRPr="00C22539" w:rsidRDefault="00C22539" w:rsidP="00C22539"/>
    <w:tbl>
      <w:tblPr>
        <w:tblW w:w="0" w:type="auto"/>
        <w:tblInd w:w="108" w:type="dxa"/>
        <w:tblLook w:val="01E0" w:firstRow="1" w:lastRow="1" w:firstColumn="1" w:lastColumn="1" w:noHBand="0" w:noVBand="0"/>
      </w:tblPr>
      <w:tblGrid>
        <w:gridCol w:w="2335"/>
        <w:gridCol w:w="6312"/>
      </w:tblGrid>
      <w:tr w:rsidR="00C22539" w:rsidRPr="005302E9" w:rsidTr="005F4974">
        <w:tc>
          <w:tcPr>
            <w:tcW w:w="2335" w:type="dxa"/>
            <w:shd w:val="clear" w:color="auto" w:fill="auto"/>
          </w:tcPr>
          <w:p w:rsidR="00C22539" w:rsidRPr="00C22539" w:rsidRDefault="00C22539" w:rsidP="00C22539">
            <w:r w:rsidRPr="00C22539">
              <w:t>Proportionality</w:t>
            </w:r>
          </w:p>
        </w:tc>
        <w:tc>
          <w:tcPr>
            <w:tcW w:w="6312" w:type="dxa"/>
            <w:shd w:val="clear" w:color="auto" w:fill="auto"/>
          </w:tcPr>
          <w:p w:rsidR="00C22539" w:rsidRPr="00C22539" w:rsidRDefault="00C22539" w:rsidP="00627EE1">
            <w:r w:rsidRPr="00C22539">
              <w:t>Intervening only when necessary and appropriate to the risk posed, with costs being identified and minimised.</w:t>
            </w:r>
          </w:p>
        </w:tc>
      </w:tr>
      <w:tr w:rsidR="00C22539" w:rsidRPr="005302E9" w:rsidTr="005F4974">
        <w:tc>
          <w:tcPr>
            <w:tcW w:w="2335" w:type="dxa"/>
            <w:shd w:val="clear" w:color="auto" w:fill="auto"/>
          </w:tcPr>
          <w:p w:rsidR="00C22539" w:rsidRPr="00C22539" w:rsidRDefault="00C22539" w:rsidP="00C22539">
            <w:r w:rsidRPr="00C22539">
              <w:t>Accountability</w:t>
            </w:r>
          </w:p>
        </w:tc>
        <w:tc>
          <w:tcPr>
            <w:tcW w:w="6312" w:type="dxa"/>
            <w:shd w:val="clear" w:color="auto" w:fill="auto"/>
          </w:tcPr>
          <w:p w:rsidR="00C22539" w:rsidRPr="00C22539" w:rsidRDefault="00C22539" w:rsidP="00627EE1">
            <w:r w:rsidRPr="00C22539">
              <w:t>Justifying decisions and subject to public scrutiny.</w:t>
            </w:r>
          </w:p>
        </w:tc>
      </w:tr>
      <w:tr w:rsidR="00C22539" w:rsidRPr="005302E9" w:rsidTr="005F4974">
        <w:tc>
          <w:tcPr>
            <w:tcW w:w="2335" w:type="dxa"/>
            <w:shd w:val="clear" w:color="auto" w:fill="auto"/>
          </w:tcPr>
          <w:p w:rsidR="00C22539" w:rsidRPr="00C22539" w:rsidRDefault="00C22539" w:rsidP="00C22539">
            <w:r w:rsidRPr="00C22539">
              <w:t>Consistency</w:t>
            </w:r>
            <w:r w:rsidRPr="00C22539">
              <w:tab/>
            </w:r>
          </w:p>
        </w:tc>
        <w:tc>
          <w:tcPr>
            <w:tcW w:w="6312" w:type="dxa"/>
            <w:shd w:val="clear" w:color="auto" w:fill="auto"/>
          </w:tcPr>
          <w:p w:rsidR="00C22539" w:rsidRPr="00C22539" w:rsidRDefault="00C22539" w:rsidP="00627EE1">
            <w:r w:rsidRPr="00C22539">
              <w:t>Government rules and standards must be joined up and implemented fairly.</w:t>
            </w:r>
          </w:p>
        </w:tc>
      </w:tr>
      <w:tr w:rsidR="00C22539" w:rsidRPr="005302E9" w:rsidTr="005F4974">
        <w:tc>
          <w:tcPr>
            <w:tcW w:w="2335" w:type="dxa"/>
            <w:shd w:val="clear" w:color="auto" w:fill="auto"/>
          </w:tcPr>
          <w:p w:rsidR="00C22539" w:rsidRPr="00C22539" w:rsidRDefault="00C22539" w:rsidP="00C22539">
            <w:r w:rsidRPr="00C22539">
              <w:t>Transparency</w:t>
            </w:r>
          </w:p>
        </w:tc>
        <w:tc>
          <w:tcPr>
            <w:tcW w:w="6312" w:type="dxa"/>
            <w:shd w:val="clear" w:color="auto" w:fill="auto"/>
          </w:tcPr>
          <w:p w:rsidR="00C22539" w:rsidRPr="00C22539" w:rsidRDefault="00C22539" w:rsidP="00627EE1">
            <w:r w:rsidRPr="00C22539">
              <w:t>Being open and keeping regulations simple and user friendly.</w:t>
            </w:r>
          </w:p>
        </w:tc>
      </w:tr>
      <w:tr w:rsidR="00C22539" w:rsidRPr="005302E9" w:rsidTr="005F4974">
        <w:tc>
          <w:tcPr>
            <w:tcW w:w="2335" w:type="dxa"/>
            <w:shd w:val="clear" w:color="auto" w:fill="auto"/>
          </w:tcPr>
          <w:p w:rsidR="00C22539" w:rsidRPr="00C22539" w:rsidRDefault="00C22539" w:rsidP="00C22539">
            <w:r w:rsidRPr="00C22539">
              <w:t>Targeted</w:t>
            </w:r>
          </w:p>
        </w:tc>
        <w:tc>
          <w:tcPr>
            <w:tcW w:w="6312" w:type="dxa"/>
            <w:shd w:val="clear" w:color="auto" w:fill="auto"/>
          </w:tcPr>
          <w:p w:rsidR="00C22539" w:rsidRPr="00C22539" w:rsidRDefault="00C22539" w:rsidP="00C22539">
            <w:r w:rsidRPr="00C22539">
              <w:t>Focused on the issue and minimising any side-effects.</w:t>
            </w:r>
          </w:p>
          <w:p w:rsidR="00C22539" w:rsidRPr="00C22539" w:rsidRDefault="00C22539" w:rsidP="00C22539"/>
        </w:tc>
      </w:tr>
    </w:tbl>
    <w:p w:rsidR="00C22539" w:rsidRPr="00C22539" w:rsidRDefault="00C22539" w:rsidP="00C22539">
      <w:pPr>
        <w:pStyle w:val="Heading1"/>
      </w:pPr>
    </w:p>
    <w:p w:rsidR="00627EE1" w:rsidRDefault="00627EE1">
      <w:pPr>
        <w:spacing w:after="0"/>
        <w:rPr>
          <w:b/>
          <w:bCs/>
          <w:color w:val="003478"/>
          <w:kern w:val="32"/>
          <w:sz w:val="56"/>
          <w:szCs w:val="32"/>
        </w:rPr>
      </w:pPr>
      <w:bookmarkStart w:id="10" w:name="_Toc353001829"/>
      <w:r>
        <w:br w:type="page"/>
      </w:r>
    </w:p>
    <w:p w:rsidR="00C22539" w:rsidRPr="00C22539" w:rsidRDefault="00C22539" w:rsidP="00C22539">
      <w:pPr>
        <w:pStyle w:val="Heading1"/>
      </w:pPr>
      <w:bookmarkStart w:id="11" w:name="_Toc487793993"/>
      <w:r w:rsidRPr="00C22539">
        <w:t>Functions of the Regulator</w:t>
      </w:r>
      <w:bookmarkEnd w:id="10"/>
      <w:bookmarkEnd w:id="11"/>
    </w:p>
    <w:p w:rsidR="00C22539" w:rsidRPr="00C22539" w:rsidRDefault="00C22539" w:rsidP="00C22539">
      <w:r w:rsidRPr="00C22539">
        <w:t>The Regulator has three main functions:</w:t>
      </w:r>
    </w:p>
    <w:p w:rsidR="00C22539" w:rsidRPr="00C22539" w:rsidRDefault="00C22539" w:rsidP="00627EE1">
      <w:pPr>
        <w:pStyle w:val="ListBullet"/>
      </w:pPr>
      <w:r w:rsidRPr="00C22539">
        <w:t>Deciding whether an organisation is eligible to become, or continue to be, a community interest company.</w:t>
      </w:r>
    </w:p>
    <w:p w:rsidR="00C22539" w:rsidRPr="00C22539" w:rsidRDefault="00C22539" w:rsidP="00627EE1">
      <w:pPr>
        <w:pStyle w:val="ListBullet"/>
      </w:pPr>
      <w:r w:rsidRPr="00C22539">
        <w:t>Consideration of the investigation of complaints about community interest companies and enforcement action, if deemed necessary.</w:t>
      </w:r>
    </w:p>
    <w:p w:rsidR="00C22539" w:rsidRPr="00C22539" w:rsidRDefault="00C22539" w:rsidP="00627EE1">
      <w:pPr>
        <w:pStyle w:val="ListBullet"/>
      </w:pPr>
      <w:r w:rsidRPr="00C22539">
        <w:t>The provision of guidance about matters relating to community interest companies.</w:t>
      </w:r>
    </w:p>
    <w:p w:rsidR="00C22539" w:rsidRPr="00C22539" w:rsidRDefault="00D11E61" w:rsidP="00C22539">
      <w:r>
        <w:br/>
      </w:r>
      <w:r w:rsidR="00C22539" w:rsidRPr="00C22539">
        <w:t>The Regulator assesses applications from organisations seeking to become community interest companies to determine whether they meet the statutory criteria for eligibility.  Once an organisation is registered as a community interest company, it is subject to the Regulator’s supervisory jurisdiction and must file an annual report describing how its activities over the financial year have benefited the community; who was consulted and what was the outcome; what payments</w:t>
      </w:r>
      <w:r w:rsidR="00C22539">
        <w:t xml:space="preserve"> </w:t>
      </w:r>
      <w:r w:rsidR="00C22539" w:rsidRPr="00C22539">
        <w:t>were made to directors; what assets were transferred; what dividends were paid; and what interest was paid on loans and debentures.</w:t>
      </w:r>
    </w:p>
    <w:p w:rsidR="00C22539" w:rsidRPr="00C22539" w:rsidRDefault="00C22539" w:rsidP="00C22539">
      <w:r w:rsidRPr="00C22539">
        <w:t xml:space="preserve">The Regulator ensures that community interest companies operate in a manner compatible with their status.  In particular, that they continue to satisfy the community interest test, and observe the “asset lock” rules in their articles by not transferring assets for less than full consideration (other than for the benefit of the community). </w:t>
      </w:r>
    </w:p>
    <w:p w:rsidR="00C22539" w:rsidRPr="00C22539" w:rsidRDefault="00C22539" w:rsidP="00C22539">
      <w:r w:rsidRPr="00C22539">
        <w:t>The Regulator also provides guidance and assistance about matters relating to community interest companies.  The key activities include:</w:t>
      </w:r>
    </w:p>
    <w:p w:rsidR="00C22539" w:rsidRPr="00C22539" w:rsidRDefault="00C22539" w:rsidP="00D11E61">
      <w:pPr>
        <w:pStyle w:val="ListBullet"/>
      </w:pPr>
      <w:r w:rsidRPr="00C22539">
        <w:t>Guidance leaflets</w:t>
      </w:r>
    </w:p>
    <w:p w:rsidR="00C22539" w:rsidRPr="00C22539" w:rsidRDefault="00C22539" w:rsidP="00D11E61">
      <w:pPr>
        <w:pStyle w:val="ListBullet"/>
      </w:pPr>
      <w:r w:rsidRPr="00C22539">
        <w:t>Forms and templates</w:t>
      </w:r>
    </w:p>
    <w:p w:rsidR="00C22539" w:rsidRPr="00C22539" w:rsidRDefault="00C22539" w:rsidP="00D11E61">
      <w:pPr>
        <w:pStyle w:val="ListBullet"/>
      </w:pPr>
      <w:r w:rsidRPr="00C22539">
        <w:t>Awareness sessions and workshops</w:t>
      </w:r>
    </w:p>
    <w:p w:rsidR="00C22539" w:rsidRPr="00C22539" w:rsidRDefault="00C22539" w:rsidP="00C22539"/>
    <w:p w:rsidR="00D11E61" w:rsidRDefault="00D11E61">
      <w:pPr>
        <w:spacing w:after="0"/>
        <w:rPr>
          <w:b/>
          <w:bCs/>
          <w:color w:val="003478"/>
          <w:kern w:val="32"/>
          <w:sz w:val="56"/>
          <w:szCs w:val="32"/>
        </w:rPr>
      </w:pPr>
      <w:bookmarkStart w:id="12" w:name="_Toc353001830"/>
      <w:r>
        <w:br w:type="page"/>
      </w:r>
    </w:p>
    <w:p w:rsidR="00C22539" w:rsidRPr="00C22539" w:rsidRDefault="00C22539" w:rsidP="00C22539">
      <w:pPr>
        <w:pStyle w:val="Heading1"/>
      </w:pPr>
      <w:bookmarkStart w:id="13" w:name="_Toc487793994"/>
      <w:r w:rsidRPr="00C22539">
        <w:t>Powers of the Regulator</w:t>
      </w:r>
      <w:bookmarkEnd w:id="12"/>
      <w:bookmarkEnd w:id="13"/>
      <w:r w:rsidRPr="00C22539">
        <w:t xml:space="preserve"> </w:t>
      </w:r>
    </w:p>
    <w:p w:rsidR="00C22539" w:rsidRPr="00C22539" w:rsidRDefault="00C22539" w:rsidP="00C22539">
      <w:r w:rsidRPr="00C22539">
        <w:t>The Act gives the Regulator powers to intervene in various ways in relation to community interest companies whose activities are giving cause for concern.  These powers are only to be exercised to the extent necessary to maintain confidence in community interest companies.  The regulator’s powers may only be exercised where the she considers it necessary to do so because:</w:t>
      </w:r>
    </w:p>
    <w:p w:rsidR="00C22539" w:rsidRPr="00C22539" w:rsidRDefault="00C22539" w:rsidP="00D11E61">
      <w:pPr>
        <w:pStyle w:val="ListBullet"/>
      </w:pPr>
      <w:r w:rsidRPr="00C22539">
        <w:t>the company is not satisfying the community interest test, or pursuing its community interest objects;</w:t>
      </w:r>
    </w:p>
    <w:p w:rsidR="00C22539" w:rsidRPr="00C22539" w:rsidRDefault="00C22539" w:rsidP="00D11E61">
      <w:pPr>
        <w:pStyle w:val="ListBullet"/>
      </w:pPr>
      <w:r w:rsidRPr="00C22539">
        <w:t xml:space="preserve">there has been mismanagement or misconduct in the administration of the company; or </w:t>
      </w:r>
    </w:p>
    <w:p w:rsidR="00C22539" w:rsidRPr="00C22539" w:rsidRDefault="00C22539" w:rsidP="00D11E61">
      <w:pPr>
        <w:pStyle w:val="ListBullet"/>
      </w:pPr>
      <w:r w:rsidRPr="00C22539">
        <w:lastRenderedPageBreak/>
        <w:t>there is a need to protect the company’s property or to secure its property application.</w:t>
      </w:r>
    </w:p>
    <w:p w:rsidR="00C22539" w:rsidRPr="00C22539" w:rsidRDefault="00C22539" w:rsidP="00C22539"/>
    <w:p w:rsidR="00C22539" w:rsidRPr="00C22539" w:rsidRDefault="00C22539" w:rsidP="00C22539">
      <w:r w:rsidRPr="00C22539">
        <w:t>These powers include the right to:</w:t>
      </w:r>
    </w:p>
    <w:p w:rsidR="00C22539" w:rsidRPr="00C22539" w:rsidRDefault="00C22539" w:rsidP="00D11E61">
      <w:pPr>
        <w:pStyle w:val="ListBullet"/>
      </w:pPr>
      <w:r w:rsidRPr="00C22539">
        <w:t>investigate, or appoint a person to investigate, the affairs of the company;</w:t>
      </w:r>
    </w:p>
    <w:p w:rsidR="00C22539" w:rsidRPr="00C22539" w:rsidRDefault="00C22539" w:rsidP="00D11E61">
      <w:pPr>
        <w:pStyle w:val="ListBullet"/>
      </w:pPr>
      <w:r w:rsidRPr="00C22539">
        <w:t>require annual accounts to be audited by a qualified auditor;</w:t>
      </w:r>
    </w:p>
    <w:p w:rsidR="00C22539" w:rsidRPr="00C22539" w:rsidRDefault="00C22539" w:rsidP="00D11E61">
      <w:pPr>
        <w:pStyle w:val="ListBullet"/>
      </w:pPr>
      <w:r w:rsidRPr="00C22539">
        <w:t>bring civil proceedings in the name or on behalf of a community interest company;</w:t>
      </w:r>
    </w:p>
    <w:p w:rsidR="00C22539" w:rsidRPr="00C22539" w:rsidRDefault="00C22539" w:rsidP="00D11E61">
      <w:pPr>
        <w:pStyle w:val="ListBullet"/>
      </w:pPr>
      <w:r w:rsidRPr="00C22539">
        <w:t>appoint or remove a director;</w:t>
      </w:r>
    </w:p>
    <w:p w:rsidR="00C22539" w:rsidRPr="00C22539" w:rsidRDefault="00C22539" w:rsidP="00D11E61">
      <w:pPr>
        <w:pStyle w:val="ListBullet"/>
      </w:pPr>
      <w:r w:rsidRPr="00C22539">
        <w:t>appoint a manager;</w:t>
      </w:r>
    </w:p>
    <w:p w:rsidR="00C22539" w:rsidRPr="00C22539" w:rsidRDefault="00C22539" w:rsidP="00D11E61">
      <w:pPr>
        <w:pStyle w:val="ListBullet"/>
      </w:pPr>
      <w:r w:rsidRPr="00C22539">
        <w:t>petition to wind up;</w:t>
      </w:r>
    </w:p>
    <w:p w:rsidR="00C22539" w:rsidRPr="00C22539" w:rsidRDefault="00C22539" w:rsidP="00D11E61">
      <w:pPr>
        <w:pStyle w:val="ListBullet"/>
      </w:pPr>
      <w:r w:rsidRPr="00C22539">
        <w:t>order a dissolution to be void;</w:t>
      </w:r>
    </w:p>
    <w:p w:rsidR="00C22539" w:rsidRPr="00C22539" w:rsidRDefault="00C22539" w:rsidP="00D11E61">
      <w:pPr>
        <w:pStyle w:val="ListBullet"/>
      </w:pPr>
      <w:r w:rsidRPr="00C22539">
        <w:t>order a company’s name to be restored to the register.</w:t>
      </w:r>
    </w:p>
    <w:p w:rsidR="00C22539" w:rsidRPr="00C22539" w:rsidRDefault="00C22539" w:rsidP="00C22539"/>
    <w:p w:rsidR="00D11E61" w:rsidRDefault="00D11E61">
      <w:pPr>
        <w:spacing w:after="0"/>
      </w:pPr>
      <w:r>
        <w:br w:type="page"/>
      </w:r>
    </w:p>
    <w:p w:rsidR="00C22539" w:rsidRPr="00C22539" w:rsidRDefault="00C22539" w:rsidP="00C22539">
      <w:r w:rsidRPr="00C22539">
        <w:t>In relation to the property of a community interest company, the Regulator may order:</w:t>
      </w:r>
    </w:p>
    <w:p w:rsidR="00C22539" w:rsidRPr="00C22539" w:rsidRDefault="00C22539" w:rsidP="00D11E61">
      <w:pPr>
        <w:pStyle w:val="ListBullet"/>
      </w:pPr>
      <w:r w:rsidRPr="00C22539">
        <w:t>the vesting in, or transfer to, the Official Property Holder of any property held by or in trust for a community interest company;</w:t>
      </w:r>
    </w:p>
    <w:p w:rsidR="00C22539" w:rsidRPr="00C22539" w:rsidRDefault="00C22539" w:rsidP="00D11E61">
      <w:pPr>
        <w:pStyle w:val="ListBullet"/>
      </w:pPr>
      <w:r w:rsidRPr="00C22539">
        <w:t>a person not to part with property without consent;</w:t>
      </w:r>
    </w:p>
    <w:p w:rsidR="00C22539" w:rsidRPr="00C22539" w:rsidRDefault="00C22539" w:rsidP="00D11E61">
      <w:pPr>
        <w:pStyle w:val="ListBullet"/>
      </w:pPr>
      <w:r w:rsidRPr="00C22539">
        <w:t>any debtor not to make payment without consent;</w:t>
      </w:r>
    </w:p>
    <w:p w:rsidR="00C22539" w:rsidRPr="00C22539" w:rsidRDefault="00C22539" w:rsidP="00D11E61">
      <w:pPr>
        <w:pStyle w:val="ListBullet"/>
      </w:pPr>
      <w:r w:rsidRPr="00C22539">
        <w:t>to restrict the transactions entered into by the company or the nature or amount of the payments the company may make.</w:t>
      </w:r>
    </w:p>
    <w:p w:rsidR="00C22539" w:rsidRPr="00C22539" w:rsidRDefault="00C22539" w:rsidP="00C22539"/>
    <w:p w:rsidR="00C22539" w:rsidRPr="00C22539" w:rsidRDefault="00C22539" w:rsidP="00C22539">
      <w:r w:rsidRPr="00C22539">
        <w:t>If a community interest company becomes an “excluded company” (essentially, a political party, political pressure group or a subsidiary of a political party or political pressure group), the Regulator may by order:</w:t>
      </w:r>
    </w:p>
    <w:p w:rsidR="00C22539" w:rsidRPr="00C22539" w:rsidRDefault="00C22539" w:rsidP="00D11E61">
      <w:pPr>
        <w:pStyle w:val="ListBullet"/>
      </w:pPr>
      <w:r w:rsidRPr="00C22539">
        <w:t>transfer specified shares to specified persons for companies with a share capital;</w:t>
      </w:r>
    </w:p>
    <w:p w:rsidR="00C22539" w:rsidRPr="00C22539" w:rsidRDefault="00C22539" w:rsidP="00D11E61">
      <w:pPr>
        <w:pStyle w:val="ListBullet"/>
      </w:pPr>
      <w:r w:rsidRPr="00C22539">
        <w:t>extinguish the interests of specified members and appoint replacement members in a company limited by guarantee.</w:t>
      </w:r>
    </w:p>
    <w:p w:rsidR="00C22539" w:rsidRPr="00C22539" w:rsidRDefault="00C22539" w:rsidP="00C22539">
      <w:pPr>
        <w:pStyle w:val="Heading1"/>
      </w:pPr>
    </w:p>
    <w:p w:rsidR="00D11E61" w:rsidRDefault="00D11E61">
      <w:pPr>
        <w:spacing w:after="0"/>
        <w:rPr>
          <w:b/>
          <w:bCs/>
          <w:color w:val="003478"/>
          <w:kern w:val="32"/>
          <w:sz w:val="56"/>
          <w:szCs w:val="32"/>
        </w:rPr>
      </w:pPr>
      <w:bookmarkStart w:id="14" w:name="_Toc353001831"/>
      <w:r>
        <w:lastRenderedPageBreak/>
        <w:br w:type="page"/>
      </w:r>
    </w:p>
    <w:p w:rsidR="00C22539" w:rsidRPr="00C22539" w:rsidRDefault="00C22539" w:rsidP="00C22539">
      <w:pPr>
        <w:pStyle w:val="Heading1"/>
      </w:pPr>
      <w:bookmarkStart w:id="15" w:name="_Toc487793995"/>
      <w:r w:rsidRPr="00C22539">
        <w:t>L</w:t>
      </w:r>
      <w:r>
        <w:t>ocation &amp; organisational s</w:t>
      </w:r>
      <w:r w:rsidRPr="00C22539">
        <w:t xml:space="preserve">tructure </w:t>
      </w:r>
      <w:r>
        <w:t>of the o</w:t>
      </w:r>
      <w:r w:rsidRPr="00C22539">
        <w:t>ffice</w:t>
      </w:r>
      <w:bookmarkEnd w:id="14"/>
      <w:bookmarkEnd w:id="15"/>
    </w:p>
    <w:p w:rsidR="00C22539" w:rsidRPr="00C22539" w:rsidRDefault="00C22539" w:rsidP="00C22539">
      <w:r w:rsidRPr="00C22539">
        <w:t>The office is based in Companies House, Crown Way, Maindy, Cardiff CF14 3UZ.</w:t>
      </w:r>
    </w:p>
    <w:p w:rsidR="00C22539" w:rsidRPr="00C22539" w:rsidRDefault="00C22539" w:rsidP="00C22539">
      <w:r w:rsidRPr="00C22539">
        <w:t xml:space="preserve">The Regulator is supported by staff from the Department for Business, Energy, Industrial and Strategy (BEIS).  The Regulator has six staff, four of which work full-time.  The Regulator works part-time. </w:t>
      </w:r>
    </w:p>
    <w:p w:rsidR="00C22539" w:rsidRPr="00C22539" w:rsidRDefault="00C22539" w:rsidP="00C22539"/>
    <w:bookmarkEnd w:id="4"/>
    <w:bookmarkEnd w:id="5"/>
    <w:p w:rsidR="00C56DD0" w:rsidRDefault="00C56DD0" w:rsidP="00FC508A"/>
    <w:p w:rsidR="00E244D9" w:rsidRPr="00FC508A" w:rsidRDefault="00E244D9" w:rsidP="00FC508A">
      <w:pPr>
        <w:sectPr w:rsidR="00E244D9" w:rsidRPr="00FC508A" w:rsidSect="00B5752E">
          <w:headerReference w:type="default" r:id="rId13"/>
          <w:type w:val="continuous"/>
          <w:pgSz w:w="11906" w:h="16838" w:code="9"/>
          <w:pgMar w:top="1701" w:right="1134" w:bottom="1134" w:left="1134" w:header="437" w:footer="266" w:gutter="0"/>
          <w:cols w:space="720"/>
          <w:titlePg/>
        </w:sectPr>
      </w:pPr>
    </w:p>
    <w:p w:rsidR="00DB3212" w:rsidRPr="0009521D" w:rsidRDefault="00467B49" w:rsidP="0009521D">
      <w:pPr>
        <w:pStyle w:val="EndpageText"/>
      </w:pPr>
      <w:r w:rsidRPr="0009521D">
        <w:rPr>
          <w:noProof/>
          <w:lang w:eastAsia="en-GB"/>
        </w:rPr>
        <w:lastRenderedPageBreak/>
        <w:drawing>
          <wp:anchor distT="0" distB="0" distL="114300" distR="114300" simplePos="0" relativeHeight="251659264" behindDoc="0" locked="0" layoutInCell="1" allowOverlap="1" wp14:anchorId="19B7475D" wp14:editId="27396A5E">
            <wp:simplePos x="0" y="0"/>
            <wp:positionH relativeFrom="column">
              <wp:posOffset>-6985</wp:posOffset>
            </wp:positionH>
            <wp:positionV relativeFrom="paragraph">
              <wp:posOffset>-465455</wp:posOffset>
            </wp:positionV>
            <wp:extent cx="791845" cy="320040"/>
            <wp:effectExtent l="0" t="0" r="8255" b="3810"/>
            <wp:wrapSquare wrapText="bothSides"/>
            <wp:docPr id="30" name="Picture 30"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1845" cy="320040"/>
                    </a:xfrm>
                    <a:prstGeom prst="rect">
                      <a:avLst/>
                    </a:prstGeom>
                    <a:noFill/>
                    <a:ln>
                      <a:noFill/>
                    </a:ln>
                  </pic:spPr>
                </pic:pic>
              </a:graphicData>
            </a:graphic>
          </wp:anchor>
        </w:drawing>
      </w:r>
      <w:r w:rsidR="00C56DD0" w:rsidRPr="0009521D">
        <w:t>© Crown copyright 201</w:t>
      </w:r>
      <w:r w:rsidR="0095546B" w:rsidRPr="0009521D">
        <w:t>6</w:t>
      </w:r>
    </w:p>
    <w:p w:rsidR="00DB3212" w:rsidRDefault="0031038D" w:rsidP="0009521D">
      <w:pPr>
        <w:pStyle w:val="EndpageText"/>
        <w:rPr>
          <w:szCs w:val="20"/>
        </w:rPr>
      </w:pPr>
      <w:r w:rsidRPr="0031038D">
        <w:rPr>
          <w:szCs w:val="20"/>
        </w:rPr>
        <w:t>This publication is licensed under the terms of the Open Government Licence v3.0 except where otherwise stated. To view this licence, visit </w:t>
      </w:r>
      <w:hyperlink r:id="rId15" w:history="1">
        <w:r w:rsidRPr="0031038D">
          <w:rPr>
            <w:rStyle w:val="Hyperlink"/>
            <w:sz w:val="20"/>
            <w:szCs w:val="20"/>
          </w:rPr>
          <w:t>nationalarchives.gov.uk/doc/open-government-licence/version/3</w:t>
        </w:r>
      </w:hyperlink>
      <w:r w:rsidRPr="0031038D">
        <w:rPr>
          <w:szCs w:val="20"/>
        </w:rPr>
        <w:t> or write to the Information Policy Team, The National Archives, Kew, London TW9 4DU, or email: </w:t>
      </w:r>
      <w:hyperlink r:id="rId16" w:history="1">
        <w:r w:rsidRPr="0031038D">
          <w:rPr>
            <w:rStyle w:val="Hyperlink"/>
            <w:sz w:val="20"/>
            <w:szCs w:val="20"/>
          </w:rPr>
          <w:t>psi@nationalarchives.gsi.gov.uk</w:t>
        </w:r>
      </w:hyperlink>
      <w:r w:rsidRPr="0031038D">
        <w:rPr>
          <w:szCs w:val="20"/>
        </w:rPr>
        <w:t>.Where we have identified any third party copyright information you will need to obtain permission from the copyright holders concerned.</w:t>
      </w:r>
    </w:p>
    <w:p w:rsidR="00DB3212" w:rsidRDefault="00C56DD0" w:rsidP="0009521D">
      <w:pPr>
        <w:pStyle w:val="EndpageText"/>
        <w:rPr>
          <w:szCs w:val="20"/>
        </w:rPr>
      </w:pPr>
      <w:r w:rsidRPr="00DB3212">
        <w:rPr>
          <w:szCs w:val="20"/>
        </w:rPr>
        <w:t xml:space="preserve">This publication available from </w:t>
      </w:r>
      <w:hyperlink r:id="rId17" w:history="1">
        <w:r w:rsidR="00843498" w:rsidRPr="004C7AEF">
          <w:rPr>
            <w:rStyle w:val="Hyperlink"/>
            <w:sz w:val="20"/>
            <w:szCs w:val="20"/>
          </w:rPr>
          <w:t>www.gov.uk/</w:t>
        </w:r>
        <w:r w:rsidR="00843498" w:rsidRPr="004C7AEF">
          <w:rPr>
            <w:rStyle w:val="Hyperlink"/>
            <w:sz w:val="20"/>
          </w:rPr>
          <w:t>cic-regulator</w:t>
        </w:r>
      </w:hyperlink>
      <w:r w:rsidR="00843498">
        <w:t xml:space="preserve"> </w:t>
      </w:r>
      <w:r w:rsidRPr="00DB3212">
        <w:rPr>
          <w:szCs w:val="20"/>
        </w:rPr>
        <w:t xml:space="preserve"> </w:t>
      </w:r>
    </w:p>
    <w:p w:rsidR="00DB3212" w:rsidRPr="00DB3212" w:rsidRDefault="00DB3212" w:rsidP="0009521D">
      <w:pPr>
        <w:pStyle w:val="EndpageText"/>
        <w:rPr>
          <w:szCs w:val="20"/>
        </w:rPr>
      </w:pPr>
      <w:r w:rsidRPr="00DB3212">
        <w:rPr>
          <w:szCs w:val="20"/>
        </w:rPr>
        <w:t>Contacts us if you have any enquiries about this publication, including requests for alternative formats</w:t>
      </w:r>
      <w:r w:rsidR="00685868">
        <w:rPr>
          <w:szCs w:val="20"/>
        </w:rPr>
        <w:t>,</w:t>
      </w:r>
      <w:r w:rsidRPr="00DB3212">
        <w:rPr>
          <w:szCs w:val="20"/>
        </w:rPr>
        <w:t xml:space="preserve"> at:</w:t>
      </w:r>
    </w:p>
    <w:p w:rsidR="0009521D" w:rsidRDefault="00D11E61" w:rsidP="00DB3212">
      <w:pPr>
        <w:pStyle w:val="EndpageText"/>
        <w:rPr>
          <w:szCs w:val="20"/>
        </w:rPr>
      </w:pPr>
      <w:r>
        <w:t xml:space="preserve">Office of the Regulator of Community Interest Companies </w:t>
      </w:r>
      <w:r w:rsidR="0009521D">
        <w:rPr>
          <w:szCs w:val="20"/>
        </w:rPr>
        <w:br/>
      </w:r>
      <w:r>
        <w:t>2</w:t>
      </w:r>
      <w:r w:rsidRPr="00D11E61">
        <w:rPr>
          <w:vertAlign w:val="superscript"/>
        </w:rPr>
        <w:t>nd</w:t>
      </w:r>
      <w:r>
        <w:t xml:space="preserve"> Floor, Companies House</w:t>
      </w:r>
      <w:r>
        <w:br/>
        <w:t xml:space="preserve">Crown Way </w:t>
      </w:r>
      <w:r w:rsidR="0009521D">
        <w:rPr>
          <w:szCs w:val="20"/>
        </w:rPr>
        <w:br/>
      </w:r>
      <w:r>
        <w:t>Cardiff CF14 3UZ</w:t>
      </w:r>
      <w:r w:rsidR="0009521D">
        <w:rPr>
          <w:szCs w:val="20"/>
        </w:rPr>
        <w:br/>
      </w:r>
      <w:r w:rsidRPr="00D11E61">
        <w:rPr>
          <w:szCs w:val="20"/>
        </w:rPr>
        <w:t>Tel:</w:t>
      </w:r>
      <w:r>
        <w:t xml:space="preserve"> 029 2034 6228</w:t>
      </w:r>
    </w:p>
    <w:p w:rsidR="00DB3212" w:rsidRPr="0009521D" w:rsidRDefault="00DB3212" w:rsidP="00DB3212">
      <w:pPr>
        <w:pStyle w:val="EndpageText"/>
        <w:rPr>
          <w:szCs w:val="20"/>
        </w:rPr>
      </w:pPr>
      <w:r w:rsidRPr="00DB3212">
        <w:rPr>
          <w:szCs w:val="20"/>
        </w:rPr>
        <w:t xml:space="preserve">Email: </w:t>
      </w:r>
      <w:hyperlink r:id="rId18" w:history="1">
        <w:r w:rsidR="00D11E61" w:rsidRPr="004C7AEF">
          <w:rPr>
            <w:rStyle w:val="Hyperlink"/>
            <w:sz w:val="20"/>
          </w:rPr>
          <w:t>cicregulator@companieshouse.gov.uk</w:t>
        </w:r>
      </w:hyperlink>
      <w:r w:rsidR="00D11E61">
        <w:t xml:space="preserve"> </w:t>
      </w:r>
    </w:p>
    <w:sectPr w:rsidR="00DB3212" w:rsidRPr="0009521D" w:rsidSect="0031038D">
      <w:headerReference w:type="first" r:id="rId19"/>
      <w:footerReference w:type="first" r:id="rId20"/>
      <w:pgSz w:w="11906" w:h="16838" w:code="9"/>
      <w:pgMar w:top="11340" w:right="680" w:bottom="680" w:left="964" w:header="437" w:footer="2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F8" w:rsidRDefault="00CC7FF8">
      <w:r>
        <w:separator/>
      </w:r>
    </w:p>
  </w:endnote>
  <w:endnote w:type="continuationSeparator" w:id="0">
    <w:p w:rsidR="00CC7FF8" w:rsidRDefault="00CC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FD" w:rsidRDefault="00E949FD" w:rsidP="006645DC">
    <w:pPr>
      <w:pStyle w:val="EvenPageNumber"/>
      <w:jc w:val="right"/>
    </w:pPr>
    <w:r w:rsidRPr="003966DE">
      <w:rPr>
        <w:rFonts w:cs="Arial"/>
      </w:rPr>
      <w:fldChar w:fldCharType="begin"/>
    </w:r>
    <w:r w:rsidRPr="003966DE">
      <w:rPr>
        <w:rFonts w:cs="Arial"/>
      </w:rPr>
      <w:instrText xml:space="preserve">PAGE  </w:instrText>
    </w:r>
    <w:r w:rsidRPr="003966DE">
      <w:rPr>
        <w:rFonts w:cs="Arial"/>
      </w:rPr>
      <w:fldChar w:fldCharType="separate"/>
    </w:r>
    <w:r>
      <w:rPr>
        <w:rFonts w:cs="Arial"/>
        <w:noProof/>
      </w:rPr>
      <w:t>6</w:t>
    </w:r>
    <w:r w:rsidRPr="003966DE">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FD" w:rsidRPr="00C57D6B" w:rsidRDefault="00E949FD" w:rsidP="006645DC">
    <w:pPr>
      <w:jc w:val="right"/>
      <w:rPr>
        <w:rStyle w:val="PageNumber"/>
      </w:rPr>
    </w:pPr>
    <w:r w:rsidRPr="00C57D6B">
      <w:rPr>
        <w:rStyle w:val="PageNumber"/>
      </w:rPr>
      <w:fldChar w:fldCharType="begin"/>
    </w:r>
    <w:r w:rsidRPr="00C57D6B">
      <w:rPr>
        <w:rStyle w:val="PageNumber"/>
      </w:rPr>
      <w:instrText xml:space="preserve">PAGE  </w:instrText>
    </w:r>
    <w:r w:rsidRPr="00C57D6B">
      <w:rPr>
        <w:rStyle w:val="PageNumber"/>
      </w:rPr>
      <w:fldChar w:fldCharType="separate"/>
    </w:r>
    <w:r w:rsidR="00843498">
      <w:rPr>
        <w:rStyle w:val="PageNumber"/>
        <w:noProof/>
      </w:rPr>
      <w:t>2</w:t>
    </w:r>
    <w:r w:rsidRPr="00C57D6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FD" w:rsidRPr="00FC3779" w:rsidRDefault="00E949FD" w:rsidP="00FC3779">
    <w:pPr>
      <w:rPr>
        <w:rStyle w:val="Page1White"/>
        <w:rFonts w:ascii="Times New Roman" w:hAnsi="Times New Roman"/>
        <w:color w:val="auto"/>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F8" w:rsidRDefault="00CC7FF8">
      <w:r>
        <w:separator/>
      </w:r>
    </w:p>
  </w:footnote>
  <w:footnote w:type="continuationSeparator" w:id="0">
    <w:p w:rsidR="00CC7FF8" w:rsidRDefault="00CC7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3F6" w:rsidRDefault="001E03F6">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FD" w:rsidRPr="00D90412" w:rsidRDefault="00E949FD" w:rsidP="00D90412">
    <w:r>
      <w:rPr>
        <w:noProof/>
        <w:lang w:eastAsia="en-GB"/>
      </w:rPr>
      <mc:AlternateContent>
        <mc:Choice Requires="wps">
          <w:drawing>
            <wp:anchor distT="0" distB="0" distL="114300" distR="114300" simplePos="0" relativeHeight="251656192" behindDoc="0" locked="0" layoutInCell="1" allowOverlap="1" wp14:anchorId="21C1CBE0" wp14:editId="22B71F80">
              <wp:simplePos x="0" y="0"/>
              <wp:positionH relativeFrom="column">
                <wp:posOffset>-33655</wp:posOffset>
              </wp:positionH>
              <wp:positionV relativeFrom="paragraph">
                <wp:posOffset>167640</wp:posOffset>
              </wp:positionV>
              <wp:extent cx="6559550" cy="0"/>
              <wp:effectExtent l="0" t="0" r="0" b="0"/>
              <wp:wrapTight wrapText="bothSides">
                <wp:wrapPolygon edited="0">
                  <wp:start x="0" y="-2147483648"/>
                  <wp:lineTo x="690" y="-2147483648"/>
                  <wp:lineTo x="690" y="-2147483648"/>
                  <wp:lineTo x="0" y="-2147483648"/>
                  <wp:lineTo x="0" y="-2147483648"/>
                </wp:wrapPolygon>
              </wp:wrapTight>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1270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8A9C0"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3.2pt" to="513.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" strokecolor="#06c" strokeweight="1pt">
              <w10:wrap type="tight"/>
            </v:line>
          </w:pict>
        </mc:Fallback>
      </mc:AlternateContent>
    </w:r>
    <w:r w:rsidRPr="00D90412">
      <w:t>DECC running header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FD" w:rsidRDefault="001E03F6">
    <w:pPr>
      <w:pStyle w:val="Header"/>
    </w:pPr>
    <w:r>
      <w:rPr>
        <w:noProof/>
        <w:lang w:eastAsia="en-GB"/>
      </w:rPr>
      <w:drawing>
        <wp:inline distT="0" distB="0" distL="0" distR="0" wp14:anchorId="66404425" wp14:editId="4A8326B1">
          <wp:extent cx="2519680" cy="1337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for Business, Energy and Industrial Strat_294_SML_AW.png"/>
                  <pic:cNvPicPr/>
                </pic:nvPicPr>
                <pic:blipFill>
                  <a:blip r:embed="rId1">
                    <a:extLst>
                      <a:ext uri="{28A0092B-C50C-407E-A947-70E740481C1C}">
                        <a14:useLocalDpi xmlns:a14="http://schemas.microsoft.com/office/drawing/2010/main" val="0"/>
                      </a:ext>
                    </a:extLst>
                  </a:blip>
                  <a:stretch>
                    <a:fillRect/>
                  </a:stretch>
                </pic:blipFill>
                <pic:spPr>
                  <a:xfrm>
                    <a:off x="0" y="0"/>
                    <a:ext cx="2519680" cy="133794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FD" w:rsidRDefault="00E949FD" w:rsidP="00A95640">
    <w:pPr>
      <w:pStyle w:val="Headertext"/>
    </w:pPr>
    <w:r>
      <w:rPr>
        <w:noProof/>
        <w:lang w:eastAsia="en-GB"/>
      </w:rPr>
      <mc:AlternateContent>
        <mc:Choice Requires="wps">
          <w:drawing>
            <wp:anchor distT="0" distB="0" distL="114300" distR="114300" simplePos="0" relativeHeight="251657216" behindDoc="0" locked="0" layoutInCell="1" allowOverlap="1" wp14:anchorId="247039AE" wp14:editId="006198D7">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3EC00"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Lt5&#10;4wYVAgAAKQ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rsidR="00843498">
      <w:t>Regulator’s status, role, function and location</w:t>
    </w:r>
  </w:p>
  <w:p w:rsidR="00E949FD" w:rsidRPr="00D90412" w:rsidRDefault="00E949FD" w:rsidP="00A95640">
    <w:pPr>
      <w:pStyle w:val="Header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FD" w:rsidRPr="00015C4E" w:rsidRDefault="00E949FD" w:rsidP="00015C4E">
    <w:r>
      <w:rPr>
        <w:noProof/>
        <w:lang w:eastAsia="en-GB"/>
      </w:rPr>
      <mc:AlternateContent>
        <mc:Choice Requires="wps">
          <w:drawing>
            <wp:anchor distT="0" distB="0" distL="114300" distR="114300" simplePos="0" relativeHeight="251658240" behindDoc="1" locked="0" layoutInCell="1" allowOverlap="1" wp14:anchorId="3B310E4D" wp14:editId="63FE8187">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929AB"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68137E5"/>
    <w:multiLevelType w:val="hybridMultilevel"/>
    <w:tmpl w:val="F5DC85E0"/>
    <w:lvl w:ilvl="0" w:tplc="9BC8D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1B9E37E1"/>
    <w:multiLevelType w:val="hybridMultilevel"/>
    <w:tmpl w:val="15687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29EE40A5"/>
    <w:multiLevelType w:val="hybridMultilevel"/>
    <w:tmpl w:val="1AF45F52"/>
    <w:lvl w:ilvl="0" w:tplc="9BC8D8A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52664AC8"/>
    <w:multiLevelType w:val="hybridMultilevel"/>
    <w:tmpl w:val="A3707102"/>
    <w:lvl w:ilvl="0" w:tplc="9BC8D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F54A9"/>
    <w:multiLevelType w:val="hybridMultilevel"/>
    <w:tmpl w:val="431E5886"/>
    <w:lvl w:ilvl="0" w:tplc="9BC8D8AA">
      <w:start w:val="1"/>
      <w:numFmt w:val="bullet"/>
      <w:lvlText w:val=""/>
      <w:lvlJc w:val="left"/>
      <w:pPr>
        <w:tabs>
          <w:tab w:val="num" w:pos="360"/>
        </w:tabs>
        <w:ind w:left="360" w:hanging="360"/>
      </w:pPr>
      <w:rPr>
        <w:rFonts w:ascii="Symbol" w:hAnsi="Symbol" w:hint="default"/>
      </w:rPr>
    </w:lvl>
    <w:lvl w:ilvl="1" w:tplc="9BC8D8AA">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075211A"/>
    <w:multiLevelType w:val="hybridMultilevel"/>
    <w:tmpl w:val="32FC6A96"/>
    <w:lvl w:ilvl="0" w:tplc="9BC8D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95E9E"/>
    <w:multiLevelType w:val="hybridMultilevel"/>
    <w:tmpl w:val="34EA605A"/>
    <w:lvl w:ilvl="0" w:tplc="E45425E8">
      <w:numFmt w:val="bullet"/>
      <w:lvlText w:val="-"/>
      <w:lvlJc w:val="left"/>
      <w:pPr>
        <w:tabs>
          <w:tab w:val="num" w:pos="360"/>
        </w:tabs>
        <w:ind w:left="360" w:hanging="360"/>
      </w:pPr>
      <w:rPr>
        <w:rFonts w:ascii="Times New Roman" w:hAnsi="Times New Roman" w:cs="Times New Roman"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26"/>
  </w:num>
  <w:num w:numId="3">
    <w:abstractNumId w:val="13"/>
  </w:num>
  <w:num w:numId="4">
    <w:abstractNumId w:val="15"/>
  </w:num>
  <w:num w:numId="5">
    <w:abstractNumId w:val="27"/>
  </w:num>
  <w:num w:numId="6">
    <w:abstractNumId w:val="23"/>
  </w:num>
  <w:num w:numId="7">
    <w:abstractNumId w:val="1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4"/>
  </w:num>
  <w:num w:numId="19">
    <w:abstractNumId w:val="17"/>
  </w:num>
  <w:num w:numId="20">
    <w:abstractNumId w:val="18"/>
  </w:num>
  <w:num w:numId="21">
    <w:abstractNumId w:val="10"/>
  </w:num>
  <w:num w:numId="22">
    <w:abstractNumId w:val="11"/>
  </w:num>
  <w:num w:numId="23">
    <w:abstractNumId w:val="25"/>
  </w:num>
  <w:num w:numId="24">
    <w:abstractNumId w:val="19"/>
  </w:num>
  <w:num w:numId="25">
    <w:abstractNumId w:val="22"/>
  </w:num>
  <w:num w:numId="26">
    <w:abstractNumId w:val="16"/>
  </w:num>
  <w:num w:numId="27">
    <w:abstractNumId w:val="14"/>
  </w:num>
  <w:num w:numId="2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formatting="1" w:enforcement="1" w:cryptProviderType="rsaFull" w:cryptAlgorithmClass="hash" w:cryptAlgorithmType="typeAny" w:cryptAlgorithmSid="4" w:cryptSpinCount="100000" w:hash="Tit+HGlCwUkYp9UYI+tK9MUE/tY=" w:salt="cR1xknCsLAgy+I8ac8Oq2w=="/>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20"/>
    <w:rsid w:val="00006159"/>
    <w:rsid w:val="000132C2"/>
    <w:rsid w:val="00015C4E"/>
    <w:rsid w:val="00034384"/>
    <w:rsid w:val="00045601"/>
    <w:rsid w:val="00053C78"/>
    <w:rsid w:val="0005717F"/>
    <w:rsid w:val="000604AF"/>
    <w:rsid w:val="00072613"/>
    <w:rsid w:val="00086288"/>
    <w:rsid w:val="00091DE9"/>
    <w:rsid w:val="0009521D"/>
    <w:rsid w:val="00096FAD"/>
    <w:rsid w:val="000B6352"/>
    <w:rsid w:val="000B7B04"/>
    <w:rsid w:val="000C26E1"/>
    <w:rsid w:val="000C2C1D"/>
    <w:rsid w:val="000D42C5"/>
    <w:rsid w:val="000E1F17"/>
    <w:rsid w:val="000E50CC"/>
    <w:rsid w:val="000E7333"/>
    <w:rsid w:val="000F5F3C"/>
    <w:rsid w:val="00103F41"/>
    <w:rsid w:val="0010466E"/>
    <w:rsid w:val="001100D6"/>
    <w:rsid w:val="001263D1"/>
    <w:rsid w:val="00126F3C"/>
    <w:rsid w:val="0014731E"/>
    <w:rsid w:val="00155A9C"/>
    <w:rsid w:val="00162142"/>
    <w:rsid w:val="001634C8"/>
    <w:rsid w:val="001705EB"/>
    <w:rsid w:val="001726DF"/>
    <w:rsid w:val="0018767B"/>
    <w:rsid w:val="00191B54"/>
    <w:rsid w:val="00193033"/>
    <w:rsid w:val="001A3ADE"/>
    <w:rsid w:val="001A3FE6"/>
    <w:rsid w:val="001C1FE5"/>
    <w:rsid w:val="001C78F8"/>
    <w:rsid w:val="001D610C"/>
    <w:rsid w:val="001D6D05"/>
    <w:rsid w:val="001E03F6"/>
    <w:rsid w:val="001E41A0"/>
    <w:rsid w:val="001E554A"/>
    <w:rsid w:val="001E79E8"/>
    <w:rsid w:val="001F0FF2"/>
    <w:rsid w:val="001F11B0"/>
    <w:rsid w:val="001F2C2F"/>
    <w:rsid w:val="00201B9C"/>
    <w:rsid w:val="002127EF"/>
    <w:rsid w:val="00224C7F"/>
    <w:rsid w:val="0022504C"/>
    <w:rsid w:val="00226F71"/>
    <w:rsid w:val="00232B67"/>
    <w:rsid w:val="0023304D"/>
    <w:rsid w:val="00244FC1"/>
    <w:rsid w:val="002451F0"/>
    <w:rsid w:val="00246F54"/>
    <w:rsid w:val="0025397C"/>
    <w:rsid w:val="00263094"/>
    <w:rsid w:val="002670F6"/>
    <w:rsid w:val="00272572"/>
    <w:rsid w:val="00273593"/>
    <w:rsid w:val="002747CA"/>
    <w:rsid w:val="0028755F"/>
    <w:rsid w:val="00294C50"/>
    <w:rsid w:val="002A0605"/>
    <w:rsid w:val="002B5C80"/>
    <w:rsid w:val="002C3AFC"/>
    <w:rsid w:val="002D12B5"/>
    <w:rsid w:val="002D7C4C"/>
    <w:rsid w:val="002E70DB"/>
    <w:rsid w:val="002F1CC6"/>
    <w:rsid w:val="002F1FF4"/>
    <w:rsid w:val="00300710"/>
    <w:rsid w:val="00307095"/>
    <w:rsid w:val="0031038D"/>
    <w:rsid w:val="003213B0"/>
    <w:rsid w:val="00324D1E"/>
    <w:rsid w:val="003318CE"/>
    <w:rsid w:val="00331FF7"/>
    <w:rsid w:val="00336FC1"/>
    <w:rsid w:val="0033791A"/>
    <w:rsid w:val="003451FB"/>
    <w:rsid w:val="00345BCB"/>
    <w:rsid w:val="0035223F"/>
    <w:rsid w:val="00352686"/>
    <w:rsid w:val="0036011D"/>
    <w:rsid w:val="003654E6"/>
    <w:rsid w:val="00371895"/>
    <w:rsid w:val="00373222"/>
    <w:rsid w:val="00377603"/>
    <w:rsid w:val="00390385"/>
    <w:rsid w:val="003921D2"/>
    <w:rsid w:val="003928DC"/>
    <w:rsid w:val="00396504"/>
    <w:rsid w:val="003966DE"/>
    <w:rsid w:val="003B321A"/>
    <w:rsid w:val="003C2743"/>
    <w:rsid w:val="003D57B6"/>
    <w:rsid w:val="003E26A0"/>
    <w:rsid w:val="003E6E7C"/>
    <w:rsid w:val="003F180F"/>
    <w:rsid w:val="003F35D6"/>
    <w:rsid w:val="003F6FD2"/>
    <w:rsid w:val="00404759"/>
    <w:rsid w:val="004304A6"/>
    <w:rsid w:val="0043287E"/>
    <w:rsid w:val="004367F6"/>
    <w:rsid w:val="00442169"/>
    <w:rsid w:val="0044797C"/>
    <w:rsid w:val="00452858"/>
    <w:rsid w:val="00466610"/>
    <w:rsid w:val="00467B49"/>
    <w:rsid w:val="00472AF2"/>
    <w:rsid w:val="004805D2"/>
    <w:rsid w:val="00484140"/>
    <w:rsid w:val="00484B18"/>
    <w:rsid w:val="004A7500"/>
    <w:rsid w:val="004B10B7"/>
    <w:rsid w:val="004B45CA"/>
    <w:rsid w:val="004B68DA"/>
    <w:rsid w:val="004C44C7"/>
    <w:rsid w:val="004D6DE1"/>
    <w:rsid w:val="004E6E64"/>
    <w:rsid w:val="004F05C1"/>
    <w:rsid w:val="004F2A57"/>
    <w:rsid w:val="004F4F6E"/>
    <w:rsid w:val="004F5C6B"/>
    <w:rsid w:val="00523821"/>
    <w:rsid w:val="00533C58"/>
    <w:rsid w:val="0053548E"/>
    <w:rsid w:val="00545FB2"/>
    <w:rsid w:val="00546612"/>
    <w:rsid w:val="005729C4"/>
    <w:rsid w:val="00576565"/>
    <w:rsid w:val="005873F3"/>
    <w:rsid w:val="005917D7"/>
    <w:rsid w:val="005937E6"/>
    <w:rsid w:val="00595F47"/>
    <w:rsid w:val="005A169D"/>
    <w:rsid w:val="005A5354"/>
    <w:rsid w:val="005A6936"/>
    <w:rsid w:val="005B402C"/>
    <w:rsid w:val="005B5EA4"/>
    <w:rsid w:val="005B7AB9"/>
    <w:rsid w:val="005C11C2"/>
    <w:rsid w:val="005C13C4"/>
    <w:rsid w:val="005D1574"/>
    <w:rsid w:val="005D361A"/>
    <w:rsid w:val="005D58CC"/>
    <w:rsid w:val="005D7CA8"/>
    <w:rsid w:val="005E3265"/>
    <w:rsid w:val="005F064A"/>
    <w:rsid w:val="00615012"/>
    <w:rsid w:val="00615567"/>
    <w:rsid w:val="006234E0"/>
    <w:rsid w:val="00623D8F"/>
    <w:rsid w:val="00624791"/>
    <w:rsid w:val="00627DE3"/>
    <w:rsid w:val="00627EE1"/>
    <w:rsid w:val="006304BD"/>
    <w:rsid w:val="00632B1E"/>
    <w:rsid w:val="00646737"/>
    <w:rsid w:val="00654138"/>
    <w:rsid w:val="00660C9A"/>
    <w:rsid w:val="00661A05"/>
    <w:rsid w:val="006645DC"/>
    <w:rsid w:val="0068134A"/>
    <w:rsid w:val="0068185E"/>
    <w:rsid w:val="006824FB"/>
    <w:rsid w:val="00685868"/>
    <w:rsid w:val="00687DE2"/>
    <w:rsid w:val="00692FB1"/>
    <w:rsid w:val="006A08AA"/>
    <w:rsid w:val="006A0F10"/>
    <w:rsid w:val="006A1178"/>
    <w:rsid w:val="006A640A"/>
    <w:rsid w:val="006B26BB"/>
    <w:rsid w:val="006C1E05"/>
    <w:rsid w:val="006C2034"/>
    <w:rsid w:val="006D56FD"/>
    <w:rsid w:val="006D5937"/>
    <w:rsid w:val="006D7AAD"/>
    <w:rsid w:val="007034AF"/>
    <w:rsid w:val="007073CE"/>
    <w:rsid w:val="00724BD4"/>
    <w:rsid w:val="007263F1"/>
    <w:rsid w:val="007311E3"/>
    <w:rsid w:val="00742E83"/>
    <w:rsid w:val="00743574"/>
    <w:rsid w:val="007464B0"/>
    <w:rsid w:val="007559C1"/>
    <w:rsid w:val="0076324E"/>
    <w:rsid w:val="007633BF"/>
    <w:rsid w:val="00765338"/>
    <w:rsid w:val="007771C1"/>
    <w:rsid w:val="007A4BA2"/>
    <w:rsid w:val="007B0F36"/>
    <w:rsid w:val="007C3A0F"/>
    <w:rsid w:val="007D0048"/>
    <w:rsid w:val="0082011F"/>
    <w:rsid w:val="00834D3E"/>
    <w:rsid w:val="008421F6"/>
    <w:rsid w:val="00843498"/>
    <w:rsid w:val="00845AC9"/>
    <w:rsid w:val="008564C2"/>
    <w:rsid w:val="008571A1"/>
    <w:rsid w:val="008637EB"/>
    <w:rsid w:val="00867CDB"/>
    <w:rsid w:val="00870986"/>
    <w:rsid w:val="0087154A"/>
    <w:rsid w:val="008724AD"/>
    <w:rsid w:val="00885FD3"/>
    <w:rsid w:val="008870C2"/>
    <w:rsid w:val="00887C02"/>
    <w:rsid w:val="008A0703"/>
    <w:rsid w:val="008A3E99"/>
    <w:rsid w:val="008A7BD8"/>
    <w:rsid w:val="008B49B1"/>
    <w:rsid w:val="008B723C"/>
    <w:rsid w:val="008C6170"/>
    <w:rsid w:val="008D33F4"/>
    <w:rsid w:val="008E2B56"/>
    <w:rsid w:val="008E38E7"/>
    <w:rsid w:val="008E6C2D"/>
    <w:rsid w:val="008F5ED4"/>
    <w:rsid w:val="008F5F95"/>
    <w:rsid w:val="008F7183"/>
    <w:rsid w:val="00900791"/>
    <w:rsid w:val="00902FB0"/>
    <w:rsid w:val="0091120E"/>
    <w:rsid w:val="00913BC7"/>
    <w:rsid w:val="00923859"/>
    <w:rsid w:val="009259CF"/>
    <w:rsid w:val="00950A73"/>
    <w:rsid w:val="00954CE8"/>
    <w:rsid w:val="0095546B"/>
    <w:rsid w:val="0095568B"/>
    <w:rsid w:val="00955D2A"/>
    <w:rsid w:val="009637E7"/>
    <w:rsid w:val="009654EF"/>
    <w:rsid w:val="00965A03"/>
    <w:rsid w:val="00972CE4"/>
    <w:rsid w:val="00973E65"/>
    <w:rsid w:val="0097566E"/>
    <w:rsid w:val="009946FA"/>
    <w:rsid w:val="00994AA4"/>
    <w:rsid w:val="009A29B6"/>
    <w:rsid w:val="009C1373"/>
    <w:rsid w:val="009C1761"/>
    <w:rsid w:val="009C7346"/>
    <w:rsid w:val="009D2469"/>
    <w:rsid w:val="009E06E1"/>
    <w:rsid w:val="009E46D2"/>
    <w:rsid w:val="009E4C3C"/>
    <w:rsid w:val="009E6F74"/>
    <w:rsid w:val="009F34E9"/>
    <w:rsid w:val="00A14146"/>
    <w:rsid w:val="00A148A4"/>
    <w:rsid w:val="00A15456"/>
    <w:rsid w:val="00A229D9"/>
    <w:rsid w:val="00A23E43"/>
    <w:rsid w:val="00A31C9E"/>
    <w:rsid w:val="00A36704"/>
    <w:rsid w:val="00A44650"/>
    <w:rsid w:val="00A512AA"/>
    <w:rsid w:val="00A60F98"/>
    <w:rsid w:val="00A6286F"/>
    <w:rsid w:val="00A74691"/>
    <w:rsid w:val="00A7638C"/>
    <w:rsid w:val="00A769B9"/>
    <w:rsid w:val="00A77434"/>
    <w:rsid w:val="00A85D49"/>
    <w:rsid w:val="00A91CB7"/>
    <w:rsid w:val="00A95640"/>
    <w:rsid w:val="00A95C77"/>
    <w:rsid w:val="00AA1947"/>
    <w:rsid w:val="00AA4BE3"/>
    <w:rsid w:val="00AA4C61"/>
    <w:rsid w:val="00AA7649"/>
    <w:rsid w:val="00AB3869"/>
    <w:rsid w:val="00AC4780"/>
    <w:rsid w:val="00AD1AFC"/>
    <w:rsid w:val="00AD6715"/>
    <w:rsid w:val="00AF60A5"/>
    <w:rsid w:val="00B00F0F"/>
    <w:rsid w:val="00B06A1C"/>
    <w:rsid w:val="00B161E4"/>
    <w:rsid w:val="00B20914"/>
    <w:rsid w:val="00B328AD"/>
    <w:rsid w:val="00B4442F"/>
    <w:rsid w:val="00B468B7"/>
    <w:rsid w:val="00B5752E"/>
    <w:rsid w:val="00B60C67"/>
    <w:rsid w:val="00B7595E"/>
    <w:rsid w:val="00B80A46"/>
    <w:rsid w:val="00B80BC9"/>
    <w:rsid w:val="00B932AD"/>
    <w:rsid w:val="00B96B63"/>
    <w:rsid w:val="00BA54CC"/>
    <w:rsid w:val="00BA758C"/>
    <w:rsid w:val="00BA7D46"/>
    <w:rsid w:val="00BB18FE"/>
    <w:rsid w:val="00BC1F9D"/>
    <w:rsid w:val="00BC5059"/>
    <w:rsid w:val="00BD57BE"/>
    <w:rsid w:val="00BE4DA9"/>
    <w:rsid w:val="00BE71F8"/>
    <w:rsid w:val="00BF2B52"/>
    <w:rsid w:val="00BF7695"/>
    <w:rsid w:val="00BF7CC3"/>
    <w:rsid w:val="00C0163C"/>
    <w:rsid w:val="00C041B2"/>
    <w:rsid w:val="00C05C97"/>
    <w:rsid w:val="00C07C59"/>
    <w:rsid w:val="00C20F5A"/>
    <w:rsid w:val="00C22539"/>
    <w:rsid w:val="00C378B1"/>
    <w:rsid w:val="00C404B2"/>
    <w:rsid w:val="00C50E53"/>
    <w:rsid w:val="00C56DD0"/>
    <w:rsid w:val="00C57D6B"/>
    <w:rsid w:val="00C60585"/>
    <w:rsid w:val="00C620FA"/>
    <w:rsid w:val="00C74967"/>
    <w:rsid w:val="00C81B52"/>
    <w:rsid w:val="00C913EC"/>
    <w:rsid w:val="00CB1BC4"/>
    <w:rsid w:val="00CC08BD"/>
    <w:rsid w:val="00CC2842"/>
    <w:rsid w:val="00CC7FF8"/>
    <w:rsid w:val="00CD3BAA"/>
    <w:rsid w:val="00CD5818"/>
    <w:rsid w:val="00CE50B7"/>
    <w:rsid w:val="00CF24D9"/>
    <w:rsid w:val="00CF6874"/>
    <w:rsid w:val="00CF692C"/>
    <w:rsid w:val="00CF6A23"/>
    <w:rsid w:val="00D01A0B"/>
    <w:rsid w:val="00D11E61"/>
    <w:rsid w:val="00D16544"/>
    <w:rsid w:val="00D211FC"/>
    <w:rsid w:val="00D23089"/>
    <w:rsid w:val="00D301E7"/>
    <w:rsid w:val="00D3374C"/>
    <w:rsid w:val="00D41359"/>
    <w:rsid w:val="00D44A1B"/>
    <w:rsid w:val="00D52F71"/>
    <w:rsid w:val="00D55A44"/>
    <w:rsid w:val="00D5710C"/>
    <w:rsid w:val="00D62329"/>
    <w:rsid w:val="00D845C5"/>
    <w:rsid w:val="00D90412"/>
    <w:rsid w:val="00D93310"/>
    <w:rsid w:val="00D96ECF"/>
    <w:rsid w:val="00D971BD"/>
    <w:rsid w:val="00D97EB6"/>
    <w:rsid w:val="00DA0915"/>
    <w:rsid w:val="00DA1919"/>
    <w:rsid w:val="00DA453C"/>
    <w:rsid w:val="00DB3212"/>
    <w:rsid w:val="00DB52ED"/>
    <w:rsid w:val="00DB5BD0"/>
    <w:rsid w:val="00DC3198"/>
    <w:rsid w:val="00DD2CEF"/>
    <w:rsid w:val="00DE143B"/>
    <w:rsid w:val="00DE1E27"/>
    <w:rsid w:val="00E05591"/>
    <w:rsid w:val="00E07842"/>
    <w:rsid w:val="00E1051A"/>
    <w:rsid w:val="00E17803"/>
    <w:rsid w:val="00E230AB"/>
    <w:rsid w:val="00E244D9"/>
    <w:rsid w:val="00E30C7E"/>
    <w:rsid w:val="00E32ED5"/>
    <w:rsid w:val="00E56420"/>
    <w:rsid w:val="00E63582"/>
    <w:rsid w:val="00E66320"/>
    <w:rsid w:val="00E73FEF"/>
    <w:rsid w:val="00E74DD7"/>
    <w:rsid w:val="00E814F8"/>
    <w:rsid w:val="00E84B66"/>
    <w:rsid w:val="00E86B6E"/>
    <w:rsid w:val="00E949FD"/>
    <w:rsid w:val="00EA0149"/>
    <w:rsid w:val="00EA7FED"/>
    <w:rsid w:val="00EB0AA8"/>
    <w:rsid w:val="00EC44C5"/>
    <w:rsid w:val="00EC5320"/>
    <w:rsid w:val="00ED47D3"/>
    <w:rsid w:val="00ED70E8"/>
    <w:rsid w:val="00EE0277"/>
    <w:rsid w:val="00EE2C68"/>
    <w:rsid w:val="00EE3C4C"/>
    <w:rsid w:val="00EF70C0"/>
    <w:rsid w:val="00F03601"/>
    <w:rsid w:val="00F0612D"/>
    <w:rsid w:val="00F1019D"/>
    <w:rsid w:val="00F23570"/>
    <w:rsid w:val="00F25ED1"/>
    <w:rsid w:val="00F31909"/>
    <w:rsid w:val="00F332F9"/>
    <w:rsid w:val="00F33FD1"/>
    <w:rsid w:val="00F47950"/>
    <w:rsid w:val="00F51A8E"/>
    <w:rsid w:val="00F524ED"/>
    <w:rsid w:val="00F54377"/>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6DDD"/>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E8924F"/>
  <w15:docId w15:val="{A3DF5626-438D-41A4-A628-644C91AE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0" w:defUnhideWhenUsed="0" w:defQFormat="0" w:count="374">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locked="0" w:uiPriority="35"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qFormat="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uiPriority="1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atentStyles>
  <w:style w:type="paragraph" w:default="1" w:styleId="Normal">
    <w:name w:val="Normal"/>
    <w:qFormat/>
    <w:rsid w:val="006234E0"/>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D3374C"/>
    <w:pPr>
      <w:spacing w:after="324"/>
      <w:outlineLvl w:val="0"/>
    </w:pPr>
    <w:rPr>
      <w:b/>
      <w:bCs/>
      <w:color w:val="003478"/>
      <w:kern w:val="32"/>
      <w:sz w:val="56"/>
      <w:szCs w:val="32"/>
    </w:rPr>
  </w:style>
  <w:style w:type="paragraph" w:styleId="Heading2">
    <w:name w:val="heading 2"/>
    <w:basedOn w:val="Normal"/>
    <w:next w:val="Normal"/>
    <w:link w:val="Heading2Char1"/>
    <w:uiPriority w:val="99"/>
    <w:qFormat/>
    <w:rsid w:val="0068134A"/>
    <w:pPr>
      <w:spacing w:before="120" w:after="240"/>
      <w:outlineLvl w:val="1"/>
    </w:pPr>
    <w:rPr>
      <w:b/>
      <w:bCs/>
      <w:iCs/>
      <w:color w:val="003478"/>
      <w:sz w:val="32"/>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0C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semiHidden/>
    <w:unhideWhenUsed/>
    <w:pPr>
      <w:spacing w:line="280" w:lineRule="exact"/>
      <w:ind w:left="238"/>
    </w:pPr>
    <w:rPr>
      <w:sz w:val="22"/>
    </w:rPr>
  </w:style>
  <w:style w:type="paragraph" w:styleId="TOC3">
    <w:name w:val="toc 3"/>
    <w:basedOn w:val="Normal"/>
    <w:next w:val="Normal"/>
    <w:autoRedefine/>
    <w:uiPriority w:val="39"/>
    <w:semiHidden/>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68134A"/>
    <w:rPr>
      <w:rFonts w:ascii="Arial" w:hAnsi="Arial" w:cs="Times New Roman"/>
      <w:b/>
      <w:bCs/>
      <w:iCs/>
      <w:color w:val="003478"/>
      <w:sz w:val="28"/>
      <w:szCs w:val="28"/>
      <w:lang w:val="en-GB" w:eastAsia="en-US" w:bidi="ar-SA"/>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Mention">
    <w:name w:val="Mention"/>
    <w:basedOn w:val="DefaultParagraphFont"/>
    <w:uiPriority w:val="99"/>
    <w:semiHidden/>
    <w:unhideWhenUsed/>
    <w:rsid w:val="00D11E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cicregulator@companieshouse.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ov.uk/cic-regulator" TargetMode="External"/><Relationship Id="rId2" Type="http://schemas.openxmlformats.org/officeDocument/2006/relationships/numbering" Target="numbering.xml"/><Relationship Id="rId16" Type="http://schemas.openxmlformats.org/officeDocument/2006/relationships/hyperlink" Target="mailto:psi@nationalarchives.gsi.gov.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tionalarchives.gov.uk/doc/open-government-licence/version/3"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estgarth\Desktop\Gov%20.uk-Blog-Web%20desk%20instructions\comms-BEISreport-template-2016%20-%20use%20for%20publications%20like%20Bisiness%20Impact%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AEA12BB-8A68-4ACF-9286-16A4090D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comms-BEISreport-template-2016 - use for publications like Bisiness Impact report</Template>
  <TotalTime>2</TotalTime>
  <Pages>9</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creator>Natalie Westgarth</dc:creator>
  <cp:lastModifiedBy>Natalie Westgarth</cp:lastModifiedBy>
  <cp:revision>2</cp:revision>
  <cp:lastPrinted>2012-11-01T14:25:00Z</cp:lastPrinted>
  <dcterms:created xsi:type="dcterms:W3CDTF">2017-07-14T10:13:00Z</dcterms:created>
  <dcterms:modified xsi:type="dcterms:W3CDTF">2017-07-14T10:13:00Z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