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tblInd w:w="-1214" w:type="dxa"/>
        <w:tblLayout w:type="fixed"/>
        <w:tblCellMar>
          <w:left w:w="0" w:type="dxa"/>
          <w:right w:w="0" w:type="dxa"/>
        </w:tblCellMar>
        <w:tblLook w:val="0000" w:firstRow="0" w:lastRow="0" w:firstColumn="0" w:lastColumn="0" w:noHBand="0" w:noVBand="0"/>
      </w:tblPr>
      <w:tblGrid>
        <w:gridCol w:w="1214"/>
        <w:gridCol w:w="5040"/>
        <w:gridCol w:w="180"/>
        <w:gridCol w:w="3885"/>
      </w:tblGrid>
      <w:tr w:rsidR="004E68F7" w:rsidTr="004E68F7">
        <w:tblPrEx>
          <w:tblCellMar>
            <w:top w:w="0" w:type="dxa"/>
            <w:left w:w="0" w:type="dxa"/>
            <w:bottom w:w="0" w:type="dxa"/>
            <w:right w:w="0" w:type="dxa"/>
          </w:tblCellMar>
        </w:tblPrEx>
        <w:trPr>
          <w:cantSplit/>
          <w:trHeight w:val="1361"/>
        </w:trPr>
        <w:tc>
          <w:tcPr>
            <w:tcW w:w="6254" w:type="dxa"/>
            <w:gridSpan w:val="2"/>
            <w:tcBorders>
              <w:top w:val="nil"/>
            </w:tcBorders>
          </w:tcPr>
          <w:p w:rsidR="004E68F7" w:rsidRPr="00C8797E" w:rsidRDefault="004E68F7" w:rsidP="004E68F7">
            <w:pPr>
              <w:rPr>
                <w:rFonts w:ascii="Arial" w:hAnsi="Arial"/>
                <w:color w:val="000000"/>
                <w:sz w:val="22"/>
              </w:rPr>
            </w:pPr>
            <w:r w:rsidRPr="00C8797E">
              <w:rPr>
                <w:rFonts w:ascii="Arial" w:hAnsi="Arial"/>
                <w:color w:val="000000"/>
                <w:sz w:val="22"/>
              </w:rPr>
              <w:t xml:space="preserve">   </w:t>
            </w:r>
            <w:r w:rsidR="00D24C97" w:rsidRPr="00C8797E">
              <w:rPr>
                <w:rFonts w:ascii="Arial" w:hAnsi="Arial"/>
                <w:noProof/>
                <w:sz w:val="22"/>
              </w:rPr>
              <w:drawing>
                <wp:inline distT="0" distB="0" distL="0" distR="0">
                  <wp:extent cx="1975485" cy="612775"/>
                  <wp:effectExtent l="0" t="0" r="571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485" cy="612775"/>
                          </a:xfrm>
                          <a:prstGeom prst="rect">
                            <a:avLst/>
                          </a:prstGeom>
                          <a:noFill/>
                          <a:ln>
                            <a:noFill/>
                          </a:ln>
                        </pic:spPr>
                      </pic:pic>
                    </a:graphicData>
                  </a:graphic>
                </wp:inline>
              </w:drawing>
            </w:r>
          </w:p>
        </w:tc>
        <w:tc>
          <w:tcPr>
            <w:tcW w:w="180" w:type="dxa"/>
          </w:tcPr>
          <w:p w:rsidR="004E68F7" w:rsidRPr="00C8797E" w:rsidRDefault="004E68F7" w:rsidP="004E68F7">
            <w:pPr>
              <w:pStyle w:val="MOJnormal"/>
              <w:rPr>
                <w:color w:val="000000"/>
                <w:sz w:val="22"/>
              </w:rPr>
            </w:pPr>
          </w:p>
        </w:tc>
        <w:tc>
          <w:tcPr>
            <w:tcW w:w="3885" w:type="dxa"/>
            <w:vMerge w:val="restart"/>
            <w:tcBorders>
              <w:top w:val="nil"/>
            </w:tcBorders>
          </w:tcPr>
          <w:p w:rsidR="004E68F7" w:rsidRPr="008661C6" w:rsidRDefault="004E68F7" w:rsidP="004E68F7">
            <w:pPr>
              <w:tabs>
                <w:tab w:val="left" w:pos="-180"/>
              </w:tabs>
              <w:rPr>
                <w:rFonts w:ascii="Arial" w:hAnsi="Arial"/>
                <w:b/>
                <w:sz w:val="22"/>
                <w:szCs w:val="22"/>
              </w:rPr>
            </w:pPr>
          </w:p>
        </w:tc>
      </w:tr>
      <w:tr w:rsidR="004E68F7" w:rsidTr="004E68F7">
        <w:tblPrEx>
          <w:tblCellMar>
            <w:top w:w="0" w:type="dxa"/>
            <w:left w:w="0" w:type="dxa"/>
            <w:bottom w:w="0" w:type="dxa"/>
            <w:right w:w="0" w:type="dxa"/>
          </w:tblCellMar>
        </w:tblPrEx>
        <w:trPr>
          <w:cantSplit/>
          <w:trHeight w:val="1259"/>
        </w:trPr>
        <w:tc>
          <w:tcPr>
            <w:tcW w:w="1214" w:type="dxa"/>
          </w:tcPr>
          <w:p w:rsidR="004E68F7" w:rsidRPr="00C8797E" w:rsidRDefault="004E68F7" w:rsidP="004E68F7">
            <w:pPr>
              <w:pStyle w:val="MOJtext-otheraddress"/>
              <w:rPr>
                <w:color w:val="000000"/>
                <w:sz w:val="22"/>
              </w:rPr>
            </w:pPr>
          </w:p>
        </w:tc>
        <w:tc>
          <w:tcPr>
            <w:tcW w:w="5040" w:type="dxa"/>
          </w:tcPr>
          <w:p w:rsidR="00F35A20" w:rsidRPr="00F35A20" w:rsidRDefault="00F35A20" w:rsidP="004E68F7">
            <w:pPr>
              <w:spacing w:line="280" w:lineRule="atLeast"/>
              <w:rPr>
                <w:rFonts w:ascii="Arial" w:hAnsi="Arial" w:cs="Arial"/>
                <w:color w:val="000000"/>
                <w:sz w:val="22"/>
                <w:szCs w:val="22"/>
              </w:rPr>
            </w:pPr>
          </w:p>
          <w:p w:rsidR="00AD717D" w:rsidRDefault="00AD717D" w:rsidP="004E68F7">
            <w:pPr>
              <w:spacing w:line="280" w:lineRule="atLeast"/>
              <w:rPr>
                <w:rFonts w:ascii="Arial" w:hAnsi="Arial" w:cs="Arial"/>
                <w:color w:val="000000"/>
                <w:sz w:val="22"/>
                <w:szCs w:val="22"/>
              </w:rPr>
            </w:pPr>
          </w:p>
          <w:p w:rsidR="00E2426D" w:rsidRPr="005B418A" w:rsidRDefault="00E2426D" w:rsidP="004E68F7">
            <w:pPr>
              <w:spacing w:line="280" w:lineRule="atLeast"/>
              <w:rPr>
                <w:rFonts w:ascii="Arial" w:hAnsi="Arial" w:cs="Arial"/>
                <w:color w:val="000000"/>
                <w:sz w:val="22"/>
                <w:szCs w:val="22"/>
              </w:rPr>
            </w:pPr>
          </w:p>
        </w:tc>
        <w:tc>
          <w:tcPr>
            <w:tcW w:w="180" w:type="dxa"/>
          </w:tcPr>
          <w:p w:rsidR="004E68F7" w:rsidRPr="00C8797E" w:rsidRDefault="004E68F7" w:rsidP="004E68F7">
            <w:pPr>
              <w:pStyle w:val="MOJnormal"/>
              <w:rPr>
                <w:color w:val="000000"/>
                <w:sz w:val="22"/>
              </w:rPr>
            </w:pPr>
          </w:p>
        </w:tc>
        <w:tc>
          <w:tcPr>
            <w:tcW w:w="3885" w:type="dxa"/>
            <w:vMerge/>
          </w:tcPr>
          <w:p w:rsidR="004E68F7" w:rsidRPr="008661C6" w:rsidRDefault="004E68F7" w:rsidP="004E68F7">
            <w:pPr>
              <w:pStyle w:val="MOJtext-otheraddress"/>
              <w:rPr>
                <w:color w:val="000000"/>
                <w:sz w:val="22"/>
                <w:szCs w:val="22"/>
              </w:rPr>
            </w:pPr>
          </w:p>
        </w:tc>
      </w:tr>
      <w:tr w:rsidR="004E68F7" w:rsidTr="004E68F7">
        <w:tblPrEx>
          <w:tblCellMar>
            <w:top w:w="0" w:type="dxa"/>
            <w:left w:w="0" w:type="dxa"/>
            <w:bottom w:w="0" w:type="dxa"/>
            <w:right w:w="0" w:type="dxa"/>
          </w:tblCellMar>
        </w:tblPrEx>
        <w:trPr>
          <w:cantSplit/>
          <w:trHeight w:val="73"/>
        </w:trPr>
        <w:tc>
          <w:tcPr>
            <w:tcW w:w="1214" w:type="dxa"/>
          </w:tcPr>
          <w:p w:rsidR="004E68F7" w:rsidRPr="00E867B1" w:rsidRDefault="004E68F7" w:rsidP="004E68F7">
            <w:pPr>
              <w:pStyle w:val="MOJnormal"/>
              <w:rPr>
                <w:color w:val="000000"/>
                <w:sz w:val="22"/>
                <w:szCs w:val="22"/>
              </w:rPr>
            </w:pPr>
          </w:p>
        </w:tc>
        <w:tc>
          <w:tcPr>
            <w:tcW w:w="5040" w:type="dxa"/>
          </w:tcPr>
          <w:p w:rsidR="004E68F7" w:rsidRPr="009C2C5C" w:rsidRDefault="004E68F7" w:rsidP="00AB3565">
            <w:pPr>
              <w:spacing w:line="280" w:lineRule="atLeast"/>
              <w:rPr>
                <w:rFonts w:ascii="Arial" w:hAnsi="Arial"/>
                <w:color w:val="000000"/>
                <w:sz w:val="22"/>
                <w:szCs w:val="22"/>
              </w:rPr>
            </w:pPr>
            <w:r w:rsidRPr="00E867B1">
              <w:rPr>
                <w:rFonts w:ascii="Arial" w:hAnsi="Arial"/>
                <w:b/>
                <w:color w:val="000000"/>
                <w:sz w:val="22"/>
                <w:szCs w:val="22"/>
              </w:rPr>
              <w:t>Our Reference:</w:t>
            </w:r>
            <w:r w:rsidRPr="00E867B1">
              <w:rPr>
                <w:rFonts w:ascii="Arial" w:hAnsi="Arial"/>
                <w:color w:val="000000"/>
                <w:sz w:val="22"/>
                <w:szCs w:val="22"/>
              </w:rPr>
              <w:t xml:space="preserve"> </w:t>
            </w:r>
            <w:r w:rsidR="00AB3565">
              <w:rPr>
                <w:rFonts w:ascii="Arial" w:hAnsi="Arial"/>
                <w:color w:val="000000"/>
                <w:sz w:val="22"/>
                <w:szCs w:val="22"/>
              </w:rPr>
              <w:t>590-16</w:t>
            </w:r>
            <w:r>
              <w:rPr>
                <w:rFonts w:ascii="Arial" w:hAnsi="Arial"/>
                <w:color w:val="000000"/>
                <w:sz w:val="22"/>
                <w:szCs w:val="22"/>
              </w:rPr>
              <w:t xml:space="preserve"> FOI </w:t>
            </w:r>
            <w:r w:rsidR="00AB3565">
              <w:rPr>
                <w:rFonts w:ascii="Arial" w:hAnsi="Arial"/>
                <w:color w:val="000000"/>
                <w:sz w:val="22"/>
                <w:szCs w:val="22"/>
              </w:rPr>
              <w:t>108308</w:t>
            </w:r>
          </w:p>
        </w:tc>
        <w:tc>
          <w:tcPr>
            <w:tcW w:w="180" w:type="dxa"/>
          </w:tcPr>
          <w:p w:rsidR="004E68F7" w:rsidRPr="00924204" w:rsidRDefault="004E68F7" w:rsidP="004E68F7">
            <w:pPr>
              <w:spacing w:line="280" w:lineRule="atLeast"/>
              <w:rPr>
                <w:rFonts w:ascii="Arial" w:hAnsi="Arial"/>
                <w:sz w:val="22"/>
              </w:rPr>
            </w:pPr>
            <w:r w:rsidRPr="00924204">
              <w:rPr>
                <w:rFonts w:ascii="Arial" w:hAnsi="Arial"/>
                <w:sz w:val="22"/>
              </w:rPr>
              <w:tab/>
            </w:r>
          </w:p>
        </w:tc>
        <w:tc>
          <w:tcPr>
            <w:tcW w:w="3885" w:type="dxa"/>
          </w:tcPr>
          <w:p w:rsidR="004E68F7" w:rsidRPr="008661C6" w:rsidRDefault="00B81A43" w:rsidP="004E68F7">
            <w:pPr>
              <w:pStyle w:val="MOJnormal"/>
              <w:rPr>
                <w:sz w:val="22"/>
                <w:szCs w:val="22"/>
              </w:rPr>
            </w:pPr>
            <w:r>
              <w:rPr>
                <w:sz w:val="22"/>
                <w:szCs w:val="22"/>
              </w:rPr>
              <w:t>June 2017</w:t>
            </w:r>
          </w:p>
        </w:tc>
      </w:tr>
    </w:tbl>
    <w:p w:rsidR="004E68F7" w:rsidRDefault="004E68F7" w:rsidP="004E68F7">
      <w:pPr>
        <w:jc w:val="center"/>
        <w:rPr>
          <w:rFonts w:ascii="Arial" w:hAnsi="Arial" w:cs="Arial"/>
          <w:b/>
          <w:sz w:val="22"/>
          <w:szCs w:val="22"/>
        </w:rPr>
      </w:pPr>
    </w:p>
    <w:p w:rsidR="00D23AFA" w:rsidRDefault="00D23AFA" w:rsidP="004E68F7">
      <w:pPr>
        <w:jc w:val="center"/>
        <w:rPr>
          <w:rFonts w:ascii="Arial" w:hAnsi="Arial" w:cs="Arial"/>
          <w:b/>
          <w:sz w:val="22"/>
          <w:szCs w:val="22"/>
        </w:rPr>
      </w:pPr>
    </w:p>
    <w:p w:rsidR="004E68F7" w:rsidRDefault="004E68F7" w:rsidP="004E68F7">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4E68F7" w:rsidRDefault="004E68F7" w:rsidP="004E68F7">
      <w:pPr>
        <w:rPr>
          <w:rFonts w:ascii="Arial" w:hAnsi="Arial" w:cs="Arial"/>
          <w:sz w:val="22"/>
          <w:szCs w:val="22"/>
        </w:rPr>
      </w:pPr>
    </w:p>
    <w:p w:rsidR="004E68F7" w:rsidRDefault="004E68F7" w:rsidP="004E68F7">
      <w:pPr>
        <w:rPr>
          <w:rFonts w:ascii="Arial" w:hAnsi="Arial" w:cs="Arial"/>
          <w:color w:val="0000FF"/>
          <w:sz w:val="22"/>
          <w:szCs w:val="22"/>
        </w:rPr>
      </w:pPr>
    </w:p>
    <w:p w:rsidR="004E68F7" w:rsidRDefault="00D24C97" w:rsidP="004E68F7">
      <w:pPr>
        <w:rPr>
          <w:rFonts w:ascii="Arial" w:hAnsi="Arial" w:cs="Arial"/>
          <w:color w:val="000000"/>
          <w:sz w:val="22"/>
          <w:szCs w:val="22"/>
        </w:rPr>
      </w:pPr>
      <w:r>
        <w:rPr>
          <w:rFonts w:ascii="Arial" w:hAnsi="Arial" w:cs="Arial"/>
          <w:color w:val="000000"/>
          <w:sz w:val="22"/>
          <w:szCs w:val="22"/>
        </w:rPr>
        <w:t>Y</w:t>
      </w:r>
      <w:r w:rsidR="004E68F7" w:rsidRPr="008B4135">
        <w:rPr>
          <w:rFonts w:ascii="Arial" w:hAnsi="Arial" w:cs="Arial"/>
          <w:color w:val="000000"/>
          <w:sz w:val="22"/>
          <w:szCs w:val="22"/>
        </w:rPr>
        <w:t>ou asked for the following information from the Ministry of Justice (MoJ):</w:t>
      </w:r>
    </w:p>
    <w:p w:rsidR="004E68F7" w:rsidRDefault="004E68F7" w:rsidP="006F3843">
      <w:pPr>
        <w:jc w:val="both"/>
        <w:rPr>
          <w:rFonts w:ascii="Arial" w:hAnsi="Arial" w:cs="Arial"/>
          <w:color w:val="000000"/>
          <w:sz w:val="22"/>
          <w:szCs w:val="22"/>
        </w:rPr>
      </w:pPr>
    </w:p>
    <w:p w:rsidR="00AB3565" w:rsidRPr="00E2426D" w:rsidRDefault="00AB3565" w:rsidP="00AB3565">
      <w:pPr>
        <w:rPr>
          <w:rFonts w:ascii="Arial" w:hAnsi="Arial" w:cs="Arial"/>
          <w:b/>
          <w:i/>
          <w:sz w:val="22"/>
          <w:szCs w:val="22"/>
        </w:rPr>
      </w:pPr>
      <w:r w:rsidRPr="00E2426D">
        <w:rPr>
          <w:rFonts w:ascii="Arial" w:hAnsi="Arial" w:cs="Arial"/>
          <w:b/>
          <w:i/>
          <w:sz w:val="22"/>
          <w:szCs w:val="22"/>
        </w:rPr>
        <w:t>As part of a previous FoI response to me [Ref: 179-15 FOI 96797] you supplied me with an answer to the following question:</w:t>
      </w:r>
    </w:p>
    <w:p w:rsidR="00AB3565" w:rsidRPr="00E2426D" w:rsidRDefault="00AB3565" w:rsidP="00AB3565">
      <w:pPr>
        <w:rPr>
          <w:rFonts w:ascii="Arial" w:hAnsi="Arial" w:cs="Arial"/>
          <w:b/>
          <w:bCs/>
          <w:i/>
          <w:iCs/>
          <w:sz w:val="22"/>
          <w:szCs w:val="22"/>
        </w:rPr>
      </w:pPr>
      <w:r w:rsidRPr="00E2426D">
        <w:rPr>
          <w:rFonts w:ascii="Arial" w:hAnsi="Arial" w:cs="Arial"/>
          <w:b/>
          <w:bCs/>
          <w:i/>
          <w:iCs/>
          <w:sz w:val="22"/>
          <w:szCs w:val="22"/>
        </w:rPr>
        <w:t>In a response to a Parliamentary Written Question [Ref: 175877, 175878 and 175879] [22 Nov 2013 : Column 1055W : Animal Welfare Act 2006] you supplied a series of tables in relation to questions about people being prosecuted and sentenced for animal cruelty. Could you please provide me with undated tables on the same basis as the Pa</w:t>
      </w:r>
      <w:bookmarkStart w:id="0" w:name="_GoBack"/>
      <w:bookmarkEnd w:id="0"/>
      <w:r w:rsidRPr="00E2426D">
        <w:rPr>
          <w:rFonts w:ascii="Arial" w:hAnsi="Arial" w:cs="Arial"/>
          <w:b/>
          <w:bCs/>
          <w:i/>
          <w:iCs/>
          <w:sz w:val="22"/>
          <w:szCs w:val="22"/>
        </w:rPr>
        <w:t>rliamentary Answer, which I attach for your reference.</w:t>
      </w:r>
    </w:p>
    <w:p w:rsidR="00D47778" w:rsidRPr="00AB3565" w:rsidRDefault="00D47778" w:rsidP="00AB3565">
      <w:pPr>
        <w:rPr>
          <w:rFonts w:ascii="Arial" w:hAnsi="Arial" w:cs="Arial"/>
          <w:b/>
          <w:bCs/>
          <w:i/>
          <w:iCs/>
          <w:sz w:val="22"/>
          <w:szCs w:val="22"/>
        </w:rPr>
      </w:pPr>
    </w:p>
    <w:p w:rsidR="00AB3565" w:rsidRPr="00E2426D" w:rsidRDefault="00AB3565" w:rsidP="00AB3565">
      <w:pPr>
        <w:rPr>
          <w:rFonts w:ascii="Arial" w:hAnsi="Arial" w:cs="Arial"/>
          <w:b/>
          <w:i/>
          <w:sz w:val="22"/>
          <w:szCs w:val="22"/>
        </w:rPr>
      </w:pPr>
      <w:r w:rsidRPr="00E2426D">
        <w:rPr>
          <w:rFonts w:ascii="Arial" w:hAnsi="Arial" w:cs="Arial"/>
          <w:b/>
          <w:i/>
          <w:sz w:val="22"/>
          <w:szCs w:val="22"/>
        </w:rPr>
        <w:t>Could you now provide me with an updated response to include data for the 2014 and 2015 calendar year?</w:t>
      </w:r>
    </w:p>
    <w:p w:rsidR="003013F1" w:rsidRDefault="003013F1" w:rsidP="003013F1">
      <w:pPr>
        <w:rPr>
          <w:rFonts w:ascii="Arial" w:hAnsi="Arial" w:cs="Arial"/>
          <w:b/>
          <w:bCs/>
        </w:rPr>
      </w:pPr>
    </w:p>
    <w:p w:rsidR="00A70B16" w:rsidRDefault="004E68F7" w:rsidP="006F3843">
      <w:pPr>
        <w:rPr>
          <w:rFonts w:ascii="Arial" w:hAnsi="Arial" w:cs="Arial"/>
          <w:sz w:val="22"/>
          <w:szCs w:val="22"/>
        </w:rPr>
      </w:pPr>
      <w:r>
        <w:rPr>
          <w:rFonts w:ascii="Arial" w:hAnsi="Arial" w:cs="Arial"/>
          <w:sz w:val="22"/>
          <w:szCs w:val="22"/>
        </w:rPr>
        <w:t>Your request has been handled under the Freedom of Information Act 2000 (FOIA)</w:t>
      </w:r>
      <w:r w:rsidR="00E22D4D">
        <w:rPr>
          <w:rFonts w:ascii="Arial" w:hAnsi="Arial" w:cs="Arial"/>
          <w:sz w:val="22"/>
          <w:szCs w:val="22"/>
        </w:rPr>
        <w:t>, and we apologise for the delay in response</w:t>
      </w:r>
      <w:r>
        <w:rPr>
          <w:rFonts w:ascii="Arial" w:hAnsi="Arial" w:cs="Arial"/>
          <w:sz w:val="22"/>
          <w:szCs w:val="22"/>
        </w:rPr>
        <w:t>.</w:t>
      </w:r>
      <w:r w:rsidR="00E2426D">
        <w:rPr>
          <w:rFonts w:ascii="Arial" w:hAnsi="Arial" w:cs="Arial"/>
          <w:sz w:val="22"/>
          <w:szCs w:val="22"/>
        </w:rPr>
        <w:t xml:space="preserve"> </w:t>
      </w:r>
    </w:p>
    <w:p w:rsidR="00A70B16" w:rsidRDefault="00A70B16" w:rsidP="006F3843">
      <w:pPr>
        <w:rPr>
          <w:rFonts w:ascii="Arial" w:hAnsi="Arial" w:cs="Arial"/>
          <w:sz w:val="22"/>
          <w:szCs w:val="22"/>
        </w:rPr>
      </w:pPr>
    </w:p>
    <w:p w:rsidR="00F35A20" w:rsidRDefault="006F3843" w:rsidP="00A70B16">
      <w:pPr>
        <w:rPr>
          <w:rFonts w:ascii="Arial" w:hAnsi="Arial" w:cs="Arial"/>
          <w:sz w:val="22"/>
          <w:szCs w:val="22"/>
        </w:rPr>
      </w:pPr>
      <w:r>
        <w:rPr>
          <w:rFonts w:ascii="Arial" w:hAnsi="Arial" w:cs="Arial"/>
          <w:sz w:val="22"/>
          <w:szCs w:val="22"/>
        </w:rPr>
        <w:t>I can confirm that the department h</w:t>
      </w:r>
      <w:r w:rsidR="00D21638">
        <w:rPr>
          <w:rFonts w:ascii="Arial" w:hAnsi="Arial" w:cs="Arial"/>
          <w:sz w:val="22"/>
          <w:szCs w:val="22"/>
        </w:rPr>
        <w:t>olds</w:t>
      </w:r>
      <w:r>
        <w:rPr>
          <w:rFonts w:ascii="Arial" w:hAnsi="Arial" w:cs="Arial"/>
          <w:sz w:val="22"/>
          <w:szCs w:val="22"/>
        </w:rPr>
        <w:t xml:space="preserve"> the infor</w:t>
      </w:r>
      <w:r w:rsidR="00A70B16">
        <w:rPr>
          <w:rFonts w:ascii="Arial" w:hAnsi="Arial" w:cs="Arial"/>
          <w:sz w:val="22"/>
          <w:szCs w:val="22"/>
        </w:rPr>
        <w:t>mation that you have asked for. Please see the attached annex.</w:t>
      </w:r>
    </w:p>
    <w:p w:rsidR="00D24C97" w:rsidRDefault="00D24C97" w:rsidP="00A70B16">
      <w:pPr>
        <w:rPr>
          <w:rFonts w:ascii="Arial" w:hAnsi="Arial" w:cs="Arial"/>
          <w:sz w:val="22"/>
          <w:szCs w:val="22"/>
        </w:rPr>
      </w:pPr>
    </w:p>
    <w:sectPr w:rsidR="00D24C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E3956"/>
    <w:multiLevelType w:val="hybridMultilevel"/>
    <w:tmpl w:val="A87E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F7"/>
    <w:rsid w:val="00102F68"/>
    <w:rsid w:val="00112F93"/>
    <w:rsid w:val="001C26FE"/>
    <w:rsid w:val="00214B88"/>
    <w:rsid w:val="002216F4"/>
    <w:rsid w:val="003013F1"/>
    <w:rsid w:val="003C26C5"/>
    <w:rsid w:val="00404F28"/>
    <w:rsid w:val="00415A95"/>
    <w:rsid w:val="00481EEC"/>
    <w:rsid w:val="004A5209"/>
    <w:rsid w:val="004E68F7"/>
    <w:rsid w:val="00537975"/>
    <w:rsid w:val="00547934"/>
    <w:rsid w:val="006652B1"/>
    <w:rsid w:val="006944F7"/>
    <w:rsid w:val="006E31E9"/>
    <w:rsid w:val="006F3843"/>
    <w:rsid w:val="00733B3A"/>
    <w:rsid w:val="00874BD5"/>
    <w:rsid w:val="0088772E"/>
    <w:rsid w:val="008C1195"/>
    <w:rsid w:val="00A6670E"/>
    <w:rsid w:val="00A70B16"/>
    <w:rsid w:val="00AA2DD8"/>
    <w:rsid w:val="00AA7418"/>
    <w:rsid w:val="00AB2A87"/>
    <w:rsid w:val="00AB3565"/>
    <w:rsid w:val="00AD717D"/>
    <w:rsid w:val="00AE4308"/>
    <w:rsid w:val="00B056A5"/>
    <w:rsid w:val="00B34337"/>
    <w:rsid w:val="00B81A43"/>
    <w:rsid w:val="00BE1044"/>
    <w:rsid w:val="00C82CDF"/>
    <w:rsid w:val="00CE19F5"/>
    <w:rsid w:val="00D21638"/>
    <w:rsid w:val="00D23AFA"/>
    <w:rsid w:val="00D24C97"/>
    <w:rsid w:val="00D47778"/>
    <w:rsid w:val="00D76236"/>
    <w:rsid w:val="00E03D86"/>
    <w:rsid w:val="00E1012D"/>
    <w:rsid w:val="00E22D4D"/>
    <w:rsid w:val="00E2426D"/>
    <w:rsid w:val="00E66734"/>
    <w:rsid w:val="00E77A23"/>
    <w:rsid w:val="00F35A20"/>
    <w:rsid w:val="00F66827"/>
    <w:rsid w:val="00FB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ADA5FB-772F-4846-BC31-DECA40C7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F7"/>
    <w:rPr>
      <w:sz w:val="24"/>
      <w:szCs w:val="24"/>
    </w:rPr>
  </w:style>
  <w:style w:type="paragraph" w:styleId="Heading2">
    <w:name w:val="heading 2"/>
    <w:basedOn w:val="Normal"/>
    <w:link w:val="Heading2Char"/>
    <w:qFormat/>
    <w:rsid w:val="00481EE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4E68F7"/>
    <w:rPr>
      <w:rFonts w:ascii="Arial" w:hAnsi="Arial"/>
      <w:snapToGrid w:val="0"/>
      <w:sz w:val="24"/>
      <w:lang w:eastAsia="en-US"/>
    </w:rPr>
  </w:style>
  <w:style w:type="paragraph" w:customStyle="1" w:styleId="MOJtext-otheraddress">
    <w:name w:val="MOJ text - other address"/>
    <w:next w:val="Normal"/>
    <w:rsid w:val="004E68F7"/>
    <w:rPr>
      <w:rFonts w:ascii="Arial" w:hAnsi="Arial"/>
      <w:snapToGrid w:val="0"/>
      <w:sz w:val="24"/>
      <w:lang w:eastAsia="en-US"/>
    </w:rPr>
  </w:style>
  <w:style w:type="character" w:styleId="Hyperlink">
    <w:name w:val="Hyperlink"/>
    <w:rsid w:val="004E68F7"/>
    <w:rPr>
      <w:color w:val="0000FF"/>
      <w:u w:val="single"/>
    </w:rPr>
  </w:style>
  <w:style w:type="paragraph" w:styleId="BalloonText">
    <w:name w:val="Balloon Text"/>
    <w:basedOn w:val="Normal"/>
    <w:semiHidden/>
    <w:rsid w:val="008C1195"/>
    <w:rPr>
      <w:rFonts w:ascii="Tahoma" w:hAnsi="Tahoma" w:cs="Tahoma"/>
      <w:sz w:val="16"/>
      <w:szCs w:val="16"/>
    </w:rPr>
  </w:style>
  <w:style w:type="character" w:styleId="CommentReference">
    <w:name w:val="annotation reference"/>
    <w:semiHidden/>
    <w:rsid w:val="00D23AFA"/>
    <w:rPr>
      <w:sz w:val="16"/>
      <w:szCs w:val="16"/>
    </w:rPr>
  </w:style>
  <w:style w:type="paragraph" w:styleId="CommentText">
    <w:name w:val="annotation text"/>
    <w:basedOn w:val="Normal"/>
    <w:semiHidden/>
    <w:rsid w:val="00D23AFA"/>
    <w:rPr>
      <w:sz w:val="20"/>
      <w:szCs w:val="20"/>
    </w:rPr>
  </w:style>
  <w:style w:type="paragraph" w:styleId="CommentSubject">
    <w:name w:val="annotation subject"/>
    <w:basedOn w:val="CommentText"/>
    <w:next w:val="CommentText"/>
    <w:semiHidden/>
    <w:rsid w:val="00D23AFA"/>
    <w:rPr>
      <w:b/>
      <w:bCs/>
    </w:rPr>
  </w:style>
  <w:style w:type="character" w:customStyle="1" w:styleId="Heading2Char">
    <w:name w:val="Heading 2 Char"/>
    <w:link w:val="Heading2"/>
    <w:rsid w:val="00481EEC"/>
    <w:rPr>
      <w:b/>
      <w:bCs/>
      <w:sz w:val="36"/>
      <w:szCs w:val="36"/>
    </w:rPr>
  </w:style>
  <w:style w:type="paragraph" w:customStyle="1" w:styleId="Default">
    <w:name w:val="Default"/>
    <w:rsid w:val="00481E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8977">
      <w:bodyDiv w:val="1"/>
      <w:marLeft w:val="0"/>
      <w:marRight w:val="0"/>
      <w:marTop w:val="0"/>
      <w:marBottom w:val="0"/>
      <w:divBdr>
        <w:top w:val="none" w:sz="0" w:space="0" w:color="auto"/>
        <w:left w:val="none" w:sz="0" w:space="0" w:color="auto"/>
        <w:bottom w:val="none" w:sz="0" w:space="0" w:color="auto"/>
        <w:right w:val="none" w:sz="0" w:space="0" w:color="auto"/>
      </w:divBdr>
    </w:div>
    <w:div w:id="780299695">
      <w:bodyDiv w:val="1"/>
      <w:marLeft w:val="0"/>
      <w:marRight w:val="0"/>
      <w:marTop w:val="0"/>
      <w:marBottom w:val="0"/>
      <w:divBdr>
        <w:top w:val="none" w:sz="0" w:space="0" w:color="auto"/>
        <w:left w:val="none" w:sz="0" w:space="0" w:color="auto"/>
        <w:bottom w:val="none" w:sz="0" w:space="0" w:color="auto"/>
        <w:right w:val="none" w:sz="0" w:space="0" w:color="auto"/>
      </w:divBdr>
    </w:div>
    <w:div w:id="1451976800">
      <w:bodyDiv w:val="1"/>
      <w:marLeft w:val="0"/>
      <w:marRight w:val="0"/>
      <w:marTop w:val="0"/>
      <w:marBottom w:val="0"/>
      <w:divBdr>
        <w:top w:val="none" w:sz="0" w:space="0" w:color="auto"/>
        <w:left w:val="none" w:sz="0" w:space="0" w:color="auto"/>
        <w:bottom w:val="none" w:sz="0" w:space="0" w:color="auto"/>
        <w:right w:val="none" w:sz="0" w:space="0" w:color="auto"/>
      </w:divBdr>
    </w:div>
    <w:div w:id="1524590204">
      <w:bodyDiv w:val="1"/>
      <w:marLeft w:val="0"/>
      <w:marRight w:val="0"/>
      <w:marTop w:val="0"/>
      <w:marBottom w:val="0"/>
      <w:divBdr>
        <w:top w:val="none" w:sz="0" w:space="0" w:color="auto"/>
        <w:left w:val="none" w:sz="0" w:space="0" w:color="auto"/>
        <w:bottom w:val="none" w:sz="0" w:space="0" w:color="auto"/>
        <w:right w:val="none" w:sz="0" w:space="0" w:color="auto"/>
      </w:divBdr>
    </w:div>
    <w:div w:id="1746950061">
      <w:bodyDiv w:val="1"/>
      <w:marLeft w:val="0"/>
      <w:marRight w:val="0"/>
      <w:marTop w:val="0"/>
      <w:marBottom w:val="0"/>
      <w:divBdr>
        <w:top w:val="none" w:sz="0" w:space="0" w:color="auto"/>
        <w:left w:val="none" w:sz="0" w:space="0" w:color="auto"/>
        <w:bottom w:val="none" w:sz="0" w:space="0" w:color="auto"/>
        <w:right w:val="none" w:sz="0" w:space="0" w:color="auto"/>
      </w:divBdr>
    </w:div>
    <w:div w:id="1932666015">
      <w:bodyDiv w:val="1"/>
      <w:marLeft w:val="0"/>
      <w:marRight w:val="0"/>
      <w:marTop w:val="0"/>
      <w:marBottom w:val="0"/>
      <w:divBdr>
        <w:top w:val="none" w:sz="0" w:space="0" w:color="auto"/>
        <w:left w:val="none" w:sz="0" w:space="0" w:color="auto"/>
        <w:bottom w:val="none" w:sz="0" w:space="0" w:color="auto"/>
        <w:right w:val="none" w:sz="0" w:space="0" w:color="auto"/>
      </w:divBdr>
    </w:div>
    <w:div w:id="2134668174">
      <w:bodyDiv w:val="1"/>
      <w:marLeft w:val="0"/>
      <w:marRight w:val="0"/>
      <w:marTop w:val="0"/>
      <w:marBottom w:val="0"/>
      <w:divBdr>
        <w:top w:val="none" w:sz="0" w:space="0" w:color="auto"/>
        <w:left w:val="none" w:sz="0" w:space="0" w:color="auto"/>
        <w:bottom w:val="none" w:sz="0" w:space="0" w:color="auto"/>
        <w:right w:val="none" w:sz="0" w:space="0" w:color="auto"/>
      </w:divBdr>
      <w:divsChild>
        <w:div w:id="57050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4960-11B3-4C7D-B00F-CB370A98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FOI 108308 Prosecutions and Sentencing for Animal Cruelty</vt:lpstr>
    </vt:vector>
  </TitlesOfParts>
  <Company>Ministry of Justice</Company>
  <LinksUpToDate>false</LinksUpToDate>
  <CharactersWithSpaces>1029</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1835119</vt:i4>
      </vt:variant>
      <vt:variant>
        <vt:i4>6</vt:i4>
      </vt:variant>
      <vt:variant>
        <vt:i4>0</vt:i4>
      </vt:variant>
      <vt:variant>
        <vt:i4>5</vt:i4>
      </vt:variant>
      <vt:variant>
        <vt:lpwstr>mailto:newsdesk@datanews.co.uk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108308 Prosecutions and Sentencing for Animal Cruelty</dc:title>
  <dc:subject>FOI Release</dc:subject>
  <dc:creator>MoJ</dc:creator>
  <cp:keywords/>
  <dc:description/>
  <cp:lastModifiedBy>Cox, Allan</cp:lastModifiedBy>
  <cp:revision>2</cp:revision>
  <dcterms:created xsi:type="dcterms:W3CDTF">2017-08-18T14:48:00Z</dcterms:created>
  <dcterms:modified xsi:type="dcterms:W3CDTF">2017-08-18T14:48:00Z</dcterms:modified>
</cp:coreProperties>
</file>