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CA3926" w:rsidP="002C5025">
            <w:pPr>
              <w:pStyle w:val="MOJaddress"/>
            </w:pPr>
            <w:r>
              <w:rPr>
                <w:noProof/>
              </w:rPr>
              <w:drawing>
                <wp:inline distT="0" distB="0" distL="0" distR="0">
                  <wp:extent cx="974725" cy="758825"/>
                  <wp:effectExtent l="0" t="0" r="0" b="317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77394B" w:rsidRPr="00784066" w:rsidRDefault="0077394B" w:rsidP="002277FA">
            <w:pPr>
              <w:pStyle w:val="MOJaddress"/>
              <w:rPr>
                <w:sz w:val="22"/>
                <w:szCs w:val="22"/>
              </w:rPr>
            </w:pPr>
            <w:bookmarkStart w:id="0" w:name="_GoBack"/>
            <w:bookmarkEnd w:id="0"/>
          </w:p>
        </w:tc>
        <w:tc>
          <w:tcPr>
            <w:tcW w:w="3261" w:type="dxa"/>
          </w:tcPr>
          <w:p w:rsidR="00C016D5" w:rsidRPr="007A6092" w:rsidRDefault="001D02DF" w:rsidP="00D11624">
            <w:pPr>
              <w:pStyle w:val="MOJaddress"/>
              <w:rPr>
                <w:b/>
              </w:rPr>
            </w:pPr>
            <w:r w:rsidRPr="007A6092">
              <w:rPr>
                <w:b/>
                <w:sz w:val="22"/>
                <w:szCs w:val="22"/>
              </w:rPr>
              <w:t>June</w:t>
            </w:r>
            <w:r w:rsidR="00404DE3" w:rsidRPr="007A6092">
              <w:rPr>
                <w:b/>
                <w:sz w:val="22"/>
                <w:szCs w:val="22"/>
              </w:rPr>
              <w:t xml:space="preserve"> 2017</w:t>
            </w:r>
          </w:p>
        </w:tc>
      </w:tr>
    </w:tbl>
    <w:p w:rsidR="002277FA" w:rsidRPr="00E82FC4" w:rsidRDefault="002277FA" w:rsidP="00BB3EFF">
      <w:pPr>
        <w:rPr>
          <w:b/>
          <w:color w:val="000000"/>
          <w:szCs w:val="22"/>
        </w:rPr>
      </w:pPr>
      <w:r w:rsidRPr="00E82FC4">
        <w:rPr>
          <w:b/>
          <w:color w:val="000000"/>
          <w:szCs w:val="22"/>
        </w:rPr>
        <w:t>Freedom of Informa</w:t>
      </w:r>
      <w:r w:rsidR="00C26EB7">
        <w:rPr>
          <w:b/>
          <w:color w:val="000000"/>
          <w:szCs w:val="22"/>
        </w:rPr>
        <w:t>tion Act (FOIA) Request – 112158</w:t>
      </w:r>
    </w:p>
    <w:p w:rsidR="002277FA" w:rsidRPr="00E82FC4" w:rsidRDefault="002277FA" w:rsidP="002277FA">
      <w:pPr>
        <w:rPr>
          <w:b/>
          <w:color w:val="000000"/>
          <w:szCs w:val="22"/>
        </w:rPr>
      </w:pPr>
    </w:p>
    <w:p w:rsidR="00BB3EFF" w:rsidRPr="009E6EF6" w:rsidRDefault="007A6092" w:rsidP="00263524">
      <w:pPr>
        <w:spacing w:line="240" w:lineRule="auto"/>
        <w:rPr>
          <w:rFonts w:cs="Arial"/>
        </w:rPr>
      </w:pPr>
      <w:r>
        <w:rPr>
          <w:rFonts w:cs="Arial"/>
          <w:color w:val="000000"/>
        </w:rPr>
        <w:t>You</w:t>
      </w:r>
      <w:r w:rsidR="002277FA" w:rsidRPr="00561341">
        <w:rPr>
          <w:rFonts w:cs="Arial"/>
        </w:rPr>
        <w:t xml:space="preserve"> asked for the following information from the Ministry of Justice (MoJ):  </w:t>
      </w:r>
    </w:p>
    <w:p w:rsidR="00AD554B" w:rsidRDefault="00AD554B" w:rsidP="00BB3EFF">
      <w:pPr>
        <w:spacing w:line="240" w:lineRule="auto"/>
        <w:rPr>
          <w:rFonts w:ascii="Times New Roman" w:hAnsi="Times New Roman"/>
          <w:sz w:val="24"/>
        </w:rPr>
      </w:pPr>
    </w:p>
    <w:p w:rsidR="001D02DF" w:rsidRPr="001D02DF" w:rsidRDefault="001D02DF" w:rsidP="001D02DF">
      <w:pPr>
        <w:spacing w:line="240" w:lineRule="auto"/>
        <w:rPr>
          <w:rFonts w:eastAsia="Calibri" w:cs="Arial"/>
          <w:b/>
          <w:i/>
          <w:szCs w:val="22"/>
          <w:lang w:eastAsia="en-US"/>
        </w:rPr>
      </w:pPr>
      <w:r w:rsidRPr="001D02DF">
        <w:rPr>
          <w:rFonts w:eastAsia="Calibri" w:cs="Arial"/>
          <w:b/>
          <w:i/>
          <w:szCs w:val="22"/>
          <w:lang w:eastAsia="en-US"/>
        </w:rPr>
        <w:t>Can you please supply us with the following information</w:t>
      </w:r>
      <w:r>
        <w:rPr>
          <w:rFonts w:eastAsia="Calibri" w:cs="Arial"/>
          <w:b/>
          <w:i/>
          <w:szCs w:val="22"/>
          <w:lang w:eastAsia="en-US"/>
        </w:rPr>
        <w:t>.</w:t>
      </w:r>
    </w:p>
    <w:p w:rsidR="001D02DF" w:rsidRPr="001D02DF" w:rsidRDefault="001D02DF" w:rsidP="001D02DF">
      <w:pPr>
        <w:spacing w:line="240" w:lineRule="auto"/>
        <w:rPr>
          <w:rFonts w:eastAsia="Calibri" w:cs="Arial"/>
          <w:b/>
          <w:i/>
          <w:szCs w:val="22"/>
          <w:lang w:eastAsia="en-US"/>
        </w:rPr>
      </w:pPr>
    </w:p>
    <w:p w:rsidR="001D0CC9" w:rsidRDefault="001D02DF" w:rsidP="001D02DF">
      <w:pPr>
        <w:spacing w:line="240" w:lineRule="auto"/>
        <w:rPr>
          <w:rFonts w:eastAsia="Calibri" w:cs="Arial"/>
          <w:b/>
          <w:i/>
          <w:szCs w:val="22"/>
          <w:lang w:eastAsia="en-US"/>
        </w:rPr>
      </w:pPr>
      <w:r w:rsidRPr="001D02DF">
        <w:rPr>
          <w:rFonts w:eastAsia="Calibri" w:cs="Arial"/>
          <w:b/>
          <w:i/>
          <w:szCs w:val="22"/>
          <w:lang w:eastAsia="en-US"/>
        </w:rPr>
        <w:t>Number of Prison Disciplinary actions hearings for staff in total for the years 2014/15, 2015/16 and 2016/17. </w:t>
      </w:r>
    </w:p>
    <w:p w:rsidR="001D02DF" w:rsidRDefault="001D02DF" w:rsidP="001D02DF">
      <w:pPr>
        <w:spacing w:line="240" w:lineRule="auto"/>
        <w:rPr>
          <w:rFonts w:eastAsia="Calibri" w:cs="Arial"/>
          <w:b/>
          <w:i/>
          <w:szCs w:val="22"/>
          <w:lang w:eastAsia="en-US"/>
        </w:rPr>
      </w:pPr>
      <w:r w:rsidRPr="001D02DF">
        <w:rPr>
          <w:rFonts w:eastAsia="Calibri" w:cs="Arial"/>
          <w:b/>
          <w:i/>
          <w:szCs w:val="22"/>
          <w:lang w:eastAsia="en-US"/>
        </w:rPr>
        <w:t xml:space="preserve"> </w:t>
      </w:r>
    </w:p>
    <w:p w:rsidR="001D02DF" w:rsidRPr="001D02DF" w:rsidRDefault="001D02DF" w:rsidP="001D02DF">
      <w:pPr>
        <w:spacing w:line="240" w:lineRule="auto"/>
        <w:rPr>
          <w:rFonts w:eastAsia="Calibri" w:cs="Arial"/>
          <w:b/>
          <w:i/>
          <w:szCs w:val="22"/>
          <w:lang w:eastAsia="en-US"/>
        </w:rPr>
      </w:pPr>
      <w:r w:rsidRPr="001D02DF">
        <w:rPr>
          <w:rFonts w:eastAsia="Calibri" w:cs="Arial"/>
          <w:b/>
          <w:i/>
          <w:szCs w:val="22"/>
          <w:lang w:eastAsia="en-US"/>
        </w:rPr>
        <w:t>Is it also possible to get a breakdown of the reasons for disciplinary action and the results of disciplinary hearings in terms of the numbers of no further action, written warnings, final warnings, demotions and dismissals and a break</w:t>
      </w:r>
      <w:r>
        <w:rPr>
          <w:rFonts w:eastAsia="Calibri" w:cs="Arial"/>
          <w:b/>
          <w:i/>
          <w:szCs w:val="22"/>
          <w:lang w:eastAsia="en-US"/>
        </w:rPr>
        <w:t xml:space="preserve">down of recorded </w:t>
      </w:r>
      <w:r w:rsidRPr="001D02DF">
        <w:rPr>
          <w:rFonts w:eastAsia="Calibri" w:cs="Arial"/>
          <w:b/>
          <w:i/>
          <w:szCs w:val="22"/>
          <w:lang w:eastAsia="en-US"/>
        </w:rPr>
        <w:t>reasons for these dismissals for the Prison Service.  Alternatively can you tell us if this information is publically available?</w:t>
      </w:r>
    </w:p>
    <w:p w:rsidR="002F4471" w:rsidRDefault="002F4471" w:rsidP="00C56EBB">
      <w:pPr>
        <w:spacing w:line="240" w:lineRule="auto"/>
        <w:rPr>
          <w:rFonts w:cs="Arial"/>
          <w:szCs w:val="22"/>
        </w:rPr>
      </w:pPr>
    </w:p>
    <w:p w:rsidR="00AE0E73" w:rsidRDefault="00C56EBB" w:rsidP="00182B50">
      <w:pPr>
        <w:spacing w:line="240" w:lineRule="auto"/>
        <w:rPr>
          <w:rFonts w:cs="Arial"/>
          <w:szCs w:val="22"/>
        </w:rPr>
      </w:pPr>
      <w:r w:rsidRPr="00561341">
        <w:rPr>
          <w:rFonts w:cs="Arial"/>
          <w:szCs w:val="22"/>
        </w:rPr>
        <w:t xml:space="preserve">Your request </w:t>
      </w:r>
      <w:r>
        <w:rPr>
          <w:rFonts w:cs="Arial"/>
          <w:szCs w:val="22"/>
        </w:rPr>
        <w:t>has been</w:t>
      </w:r>
      <w:r w:rsidRPr="00561341">
        <w:rPr>
          <w:rFonts w:cs="Arial"/>
          <w:szCs w:val="22"/>
        </w:rPr>
        <w:t xml:space="preserve"> handled under the</w:t>
      </w:r>
      <w:r>
        <w:rPr>
          <w:rFonts w:cs="Arial"/>
          <w:szCs w:val="22"/>
        </w:rPr>
        <w:t xml:space="preserve"> </w:t>
      </w:r>
      <w:r w:rsidRPr="00561341">
        <w:rPr>
          <w:rFonts w:cs="Arial"/>
          <w:szCs w:val="22"/>
        </w:rPr>
        <w:t>FOIA.</w:t>
      </w:r>
      <w:r w:rsidR="00AE48D3">
        <w:rPr>
          <w:rFonts w:cs="Arial"/>
          <w:szCs w:val="22"/>
        </w:rPr>
        <w:t xml:space="preserve"> </w:t>
      </w:r>
      <w:r w:rsidR="00182B50">
        <w:rPr>
          <w:rFonts w:cs="Arial"/>
          <w:szCs w:val="22"/>
        </w:rPr>
        <w:t xml:space="preserve">I can confirm that the MoJ holds the information that you have requested. </w:t>
      </w:r>
    </w:p>
    <w:p w:rsidR="006D3CA7" w:rsidRDefault="006D3CA7" w:rsidP="005655F8">
      <w:pPr>
        <w:rPr>
          <w:rFonts w:cs="Arial"/>
          <w:szCs w:val="22"/>
          <w:lang w:eastAsia="en-US"/>
        </w:rPr>
      </w:pPr>
    </w:p>
    <w:p w:rsidR="00CB7AD6" w:rsidRDefault="002952BD" w:rsidP="00CB7AD6">
      <w:pPr>
        <w:rPr>
          <w:rFonts w:cs="Arial"/>
          <w:szCs w:val="22"/>
          <w:lang w:eastAsia="en-US"/>
        </w:rPr>
      </w:pPr>
      <w:r>
        <w:rPr>
          <w:rFonts w:cs="Arial"/>
          <w:szCs w:val="22"/>
          <w:lang w:eastAsia="en-US"/>
        </w:rPr>
        <w:t>For the period 2014/15 and 2015/16, please find in the attached Excel spreadsheet</w:t>
      </w:r>
      <w:r w:rsidR="002E5AB5">
        <w:rPr>
          <w:rFonts w:cs="Arial"/>
          <w:szCs w:val="22"/>
          <w:lang w:eastAsia="en-US"/>
        </w:rPr>
        <w:t xml:space="preserve">, </w:t>
      </w:r>
      <w:r w:rsidR="00842B2F">
        <w:rPr>
          <w:rFonts w:cs="Arial"/>
          <w:szCs w:val="22"/>
          <w:lang w:eastAsia="en-US"/>
        </w:rPr>
        <w:t xml:space="preserve">four </w:t>
      </w:r>
      <w:r w:rsidR="002E5AB5">
        <w:rPr>
          <w:rFonts w:cs="Arial"/>
          <w:szCs w:val="22"/>
          <w:lang w:eastAsia="en-US"/>
        </w:rPr>
        <w:t>t</w:t>
      </w:r>
      <w:r>
        <w:rPr>
          <w:rFonts w:cs="Arial"/>
          <w:szCs w:val="22"/>
          <w:lang w:eastAsia="en-US"/>
        </w:rPr>
        <w:t xml:space="preserve">ables providing the information you have requested. </w:t>
      </w:r>
      <w:r w:rsidR="00CB7AD6">
        <w:rPr>
          <w:rFonts w:cs="Arial"/>
          <w:szCs w:val="22"/>
          <w:lang w:eastAsia="en-US"/>
        </w:rPr>
        <w:t xml:space="preserve">Whilst </w:t>
      </w:r>
      <w:r w:rsidR="002E5AB5">
        <w:rPr>
          <w:rFonts w:cs="Arial"/>
          <w:szCs w:val="22"/>
          <w:lang w:eastAsia="en-US"/>
        </w:rPr>
        <w:t>t</w:t>
      </w:r>
      <w:r w:rsidR="00CB7AD6">
        <w:rPr>
          <w:rFonts w:cs="Arial"/>
          <w:szCs w:val="22"/>
          <w:lang w:eastAsia="en-US"/>
        </w:rPr>
        <w:t>able 1 provides the total numbers</w:t>
      </w:r>
      <w:r w:rsidR="002E5AB5">
        <w:rPr>
          <w:rFonts w:cs="Arial"/>
          <w:szCs w:val="22"/>
          <w:lang w:eastAsia="en-US"/>
        </w:rPr>
        <w:t>, t</w:t>
      </w:r>
      <w:r w:rsidR="00CB7AD6">
        <w:rPr>
          <w:rFonts w:cs="Arial"/>
          <w:szCs w:val="22"/>
          <w:lang w:eastAsia="en-US"/>
        </w:rPr>
        <w:t>ables 2-4</w:t>
      </w:r>
      <w:r w:rsidR="002E5AB5">
        <w:rPr>
          <w:rFonts w:cs="Arial"/>
          <w:szCs w:val="22"/>
          <w:lang w:eastAsia="en-US"/>
        </w:rPr>
        <w:t xml:space="preserve"> provide</w:t>
      </w:r>
      <w:r w:rsidR="00CB7AD6">
        <w:rPr>
          <w:rFonts w:cs="Arial"/>
          <w:szCs w:val="22"/>
          <w:lang w:eastAsia="en-US"/>
        </w:rPr>
        <w:t xml:space="preserve"> the breakdowns requested. </w:t>
      </w:r>
      <w:r w:rsidR="00CB7AD6">
        <w:rPr>
          <w:rFonts w:cs="Arial"/>
          <w:szCs w:val="22"/>
        </w:rPr>
        <w:t xml:space="preserve">Please </w:t>
      </w:r>
      <w:r w:rsidR="001D0CC9">
        <w:rPr>
          <w:rFonts w:cs="Arial"/>
          <w:szCs w:val="22"/>
        </w:rPr>
        <w:t>note that conduct and disciplinary</w:t>
      </w:r>
      <w:r w:rsidR="00CB7AD6">
        <w:rPr>
          <w:rFonts w:cs="Arial"/>
          <w:szCs w:val="22"/>
        </w:rPr>
        <w:t xml:space="preserve"> cases may have multiple charges and as such the</w:t>
      </w:r>
      <w:r w:rsidR="001D0CC9">
        <w:rPr>
          <w:rFonts w:cs="Arial"/>
          <w:szCs w:val="22"/>
        </w:rPr>
        <w:t xml:space="preserve"> number of case</w:t>
      </w:r>
      <w:r w:rsidR="00CB7AD6">
        <w:rPr>
          <w:rFonts w:cs="Arial"/>
          <w:szCs w:val="22"/>
        </w:rPr>
        <w:t xml:space="preserve">s may be greater than the </w:t>
      </w:r>
      <w:r w:rsidR="001D0CC9">
        <w:rPr>
          <w:rFonts w:cs="Arial"/>
          <w:szCs w:val="22"/>
        </w:rPr>
        <w:t>total number of staff</w:t>
      </w:r>
      <w:r w:rsidR="00CB7AD6">
        <w:rPr>
          <w:rFonts w:cs="Arial"/>
          <w:szCs w:val="22"/>
        </w:rPr>
        <w:t xml:space="preserve">. </w:t>
      </w:r>
      <w:r w:rsidR="00842B2F">
        <w:rPr>
          <w:rFonts w:cs="Arial"/>
          <w:szCs w:val="22"/>
        </w:rPr>
        <w:t>S</w:t>
      </w:r>
      <w:r w:rsidR="00CB7AD6">
        <w:rPr>
          <w:rFonts w:cs="Arial"/>
          <w:szCs w:val="22"/>
        </w:rPr>
        <w:t xml:space="preserve">ome figures have been replaced with the sign ‘~’ to prevent individuals involved from being identified. </w:t>
      </w:r>
    </w:p>
    <w:p w:rsidR="00CB7AD6" w:rsidRDefault="00CB7AD6" w:rsidP="00CB7AD6">
      <w:pPr>
        <w:rPr>
          <w:rFonts w:cs="Arial"/>
          <w:szCs w:val="22"/>
        </w:rPr>
      </w:pPr>
    </w:p>
    <w:p w:rsidR="00CB7AD6" w:rsidRPr="001A47DE" w:rsidRDefault="00CB7AD6" w:rsidP="00CB7AD6">
      <w:pPr>
        <w:rPr>
          <w:rFonts w:cs="Arial"/>
          <w:szCs w:val="22"/>
        </w:rPr>
      </w:pPr>
      <w:r w:rsidRPr="004965B6">
        <w:rPr>
          <w:rFonts w:cs="Arial"/>
          <w:szCs w:val="22"/>
        </w:rPr>
        <w:t xml:space="preserve">We are not obliged, under </w:t>
      </w:r>
      <w:r w:rsidRPr="004965B6">
        <w:rPr>
          <w:rFonts w:cs="Arial"/>
          <w:color w:val="000000"/>
          <w:szCs w:val="22"/>
        </w:rPr>
        <w:t xml:space="preserve">section 40(2) of the FOIA, </w:t>
      </w:r>
      <w:r w:rsidRPr="004965B6">
        <w:rPr>
          <w:rFonts w:cs="Arial"/>
          <w:szCs w:val="22"/>
        </w:rPr>
        <w:t xml:space="preserve">to provide personal information, such as for conduct and disciplinary, if releasing such information would contravene any of the provisions in the Data Protection Act 1998 (DPA). </w:t>
      </w:r>
      <w:r w:rsidRPr="001A47DE">
        <w:rPr>
          <w:rFonts w:cs="Arial"/>
          <w:szCs w:val="22"/>
        </w:rPr>
        <w:t>If a request is made for information and the total figure amounts to two people or fewer, the MoJ must consider whether this could lead to the identification of individuals and whether disclosure of this information would be in breach of our statutory obligations under the Data Protection Act 1998 (DPA). We believe that the rel</w:t>
      </w:r>
      <w:r>
        <w:rPr>
          <w:rFonts w:cs="Arial"/>
          <w:szCs w:val="22"/>
        </w:rPr>
        <w:t>ease of the withheld number</w:t>
      </w:r>
      <w:r w:rsidRPr="001A47DE">
        <w:rPr>
          <w:rFonts w:cs="Arial"/>
          <w:szCs w:val="22"/>
        </w:rPr>
        <w:t xml:space="preserve"> would risk identification of the individuals concerned</w:t>
      </w:r>
      <w:r w:rsidRPr="009C661D">
        <w:rPr>
          <w:rFonts w:cs="Arial"/>
          <w:szCs w:val="22"/>
        </w:rPr>
        <w:t xml:space="preserve"> </w:t>
      </w:r>
      <w:r>
        <w:rPr>
          <w:rFonts w:cs="Arial"/>
          <w:szCs w:val="22"/>
        </w:rPr>
        <w:t>and that identification would potentially result in harm to the individual/s or their family</w:t>
      </w:r>
      <w:r w:rsidRPr="001A47DE">
        <w:rPr>
          <w:rFonts w:cs="Arial"/>
          <w:szCs w:val="22"/>
        </w:rPr>
        <w:t>. For this reason, MoJ has chosen not to provide an exact figure where the true number is two or fewer. However, it should not be assumed that the actual figure represented falls at any par</w:t>
      </w:r>
      <w:r w:rsidR="00F06AB4">
        <w:rPr>
          <w:rFonts w:cs="Arial"/>
          <w:szCs w:val="22"/>
        </w:rPr>
        <w:t>ticular point within this scale of 'two or fewer'.</w:t>
      </w:r>
    </w:p>
    <w:p w:rsidR="00CB7AD6" w:rsidRDefault="00CB7AD6" w:rsidP="00CB7AD6">
      <w:pPr>
        <w:spacing w:line="240" w:lineRule="auto"/>
        <w:rPr>
          <w:rFonts w:cs="Arial"/>
          <w:szCs w:val="22"/>
        </w:rPr>
      </w:pPr>
    </w:p>
    <w:p w:rsidR="00CB7AD6" w:rsidRDefault="00CB7AD6" w:rsidP="00CB7AD6">
      <w:pPr>
        <w:spacing w:line="240" w:lineRule="auto"/>
        <w:rPr>
          <w:rFonts w:cs="Arial"/>
          <w:szCs w:val="22"/>
        </w:rPr>
      </w:pPr>
      <w:r>
        <w:rPr>
          <w:rFonts w:cs="Arial"/>
          <w:szCs w:val="22"/>
        </w:rPr>
        <w:t xml:space="preserve">Personal data can only </w:t>
      </w:r>
      <w:r w:rsidRPr="001A47DE">
        <w:rPr>
          <w:rFonts w:cs="Arial"/>
          <w:szCs w:val="22"/>
        </w:rPr>
        <w:t>be released if to do so would not contravene any of the data protection principles of the Data Protection Act 1998 (DPA).</w:t>
      </w:r>
      <w:r>
        <w:rPr>
          <w:rFonts w:cs="Arial"/>
          <w:szCs w:val="22"/>
        </w:rPr>
        <w:t xml:space="preserve"> The first principle states:</w:t>
      </w:r>
    </w:p>
    <w:p w:rsidR="00CB7AD6" w:rsidRDefault="00CB7AD6" w:rsidP="00CB7AD6">
      <w:pPr>
        <w:spacing w:line="240" w:lineRule="auto"/>
        <w:rPr>
          <w:rFonts w:cs="Arial"/>
          <w:szCs w:val="22"/>
        </w:rPr>
      </w:pPr>
    </w:p>
    <w:p w:rsidR="00CB7AD6" w:rsidRDefault="00CB7AD6" w:rsidP="00CB7AD6">
      <w:pPr>
        <w:spacing w:line="240" w:lineRule="auto"/>
        <w:rPr>
          <w:rFonts w:cs="Arial"/>
          <w:i/>
          <w:szCs w:val="22"/>
        </w:rPr>
      </w:pPr>
      <w:r>
        <w:rPr>
          <w:rFonts w:cs="Arial"/>
          <w:i/>
          <w:szCs w:val="22"/>
        </w:rPr>
        <w:lastRenderedPageBreak/>
        <w:t xml:space="preserve">Personal data shall be processed fairly and lawfully and, in particular, shall not be processed unless— </w:t>
      </w:r>
    </w:p>
    <w:p w:rsidR="00CB7AD6" w:rsidRDefault="00CB7AD6" w:rsidP="00CB7AD6">
      <w:pPr>
        <w:spacing w:line="240" w:lineRule="auto"/>
        <w:rPr>
          <w:rFonts w:cs="Arial"/>
          <w:i/>
          <w:szCs w:val="22"/>
        </w:rPr>
      </w:pPr>
      <w:r>
        <w:rPr>
          <w:rFonts w:cs="Arial"/>
          <w:i/>
          <w:szCs w:val="22"/>
        </w:rPr>
        <w:t xml:space="preserve">(a) at least one of the conditions in Schedule 2 is met, and </w:t>
      </w:r>
    </w:p>
    <w:p w:rsidR="00CB7AD6" w:rsidRDefault="00CB7AD6" w:rsidP="00CB7AD6">
      <w:pPr>
        <w:spacing w:line="240" w:lineRule="auto"/>
        <w:rPr>
          <w:rFonts w:cs="Arial"/>
          <w:i/>
          <w:szCs w:val="22"/>
        </w:rPr>
      </w:pPr>
      <w:r>
        <w:rPr>
          <w:rFonts w:cs="Arial"/>
          <w:i/>
          <w:szCs w:val="22"/>
        </w:rPr>
        <w:t>(b) in the case of sensitive personal data, at least one of the conditions in Schedule 3 is also met.</w:t>
      </w:r>
    </w:p>
    <w:p w:rsidR="00CB7AD6" w:rsidRDefault="00CB7AD6" w:rsidP="00CB7AD6">
      <w:pPr>
        <w:spacing w:line="240" w:lineRule="auto"/>
        <w:rPr>
          <w:rFonts w:cs="Arial"/>
          <w:szCs w:val="22"/>
        </w:rPr>
      </w:pPr>
    </w:p>
    <w:p w:rsidR="00CB7AD6" w:rsidRDefault="00CB7AD6" w:rsidP="00CB7AD6">
      <w:pPr>
        <w:spacing w:line="240" w:lineRule="auto"/>
        <w:rPr>
          <w:rFonts w:cs="Arial"/>
          <w:szCs w:val="22"/>
        </w:rPr>
      </w:pPr>
      <w:r>
        <w:rPr>
          <w:rFonts w:cs="Arial"/>
          <w:szCs w:val="22"/>
        </w:rPr>
        <w:t xml:space="preserve">We believe releasing the requested information into the public domain </w:t>
      </w:r>
      <w:r w:rsidR="00F06AB4">
        <w:rPr>
          <w:rFonts w:cs="Arial"/>
          <w:szCs w:val="22"/>
        </w:rPr>
        <w:t xml:space="preserve">would breach the first data protection principle and </w:t>
      </w:r>
      <w:r>
        <w:rPr>
          <w:rFonts w:cs="Arial"/>
          <w:szCs w:val="22"/>
        </w:rPr>
        <w:t>would be unlawful. Individuals have a clear and strong expectation that their personal data will be held in confidence and not disclosed</w:t>
      </w:r>
      <w:r w:rsidR="002E5AB5">
        <w:rPr>
          <w:rFonts w:cs="Arial"/>
          <w:szCs w:val="22"/>
        </w:rPr>
        <w:t xml:space="preserve"> to the public under the FOIA. This is an absolute exemption and does not require a public interest test.</w:t>
      </w:r>
    </w:p>
    <w:p w:rsidR="00CB7AD6" w:rsidRDefault="00CB7AD6" w:rsidP="00CB7AD6">
      <w:pPr>
        <w:spacing w:line="240" w:lineRule="auto"/>
        <w:rPr>
          <w:rFonts w:cs="Arial"/>
          <w:szCs w:val="22"/>
        </w:rPr>
      </w:pPr>
    </w:p>
    <w:p w:rsidR="00CB7AD6" w:rsidRDefault="00CB7AD6" w:rsidP="00CB7AD6">
      <w:pPr>
        <w:spacing w:line="240" w:lineRule="auto"/>
        <w:rPr>
          <w:rFonts w:cs="Arial"/>
          <w:szCs w:val="22"/>
        </w:rPr>
      </w:pPr>
      <w:r>
        <w:rPr>
          <w:rFonts w:cs="Arial"/>
          <w:szCs w:val="22"/>
        </w:rPr>
        <w:t>Further information on the data protection principles is available as follows:</w:t>
      </w:r>
    </w:p>
    <w:p w:rsidR="00CB7AD6" w:rsidRDefault="00CB7AD6" w:rsidP="00CB7AD6">
      <w:pPr>
        <w:spacing w:line="240" w:lineRule="auto"/>
        <w:rPr>
          <w:rFonts w:cs="Arial"/>
          <w:color w:val="0000FF"/>
          <w:szCs w:val="22"/>
          <w:u w:val="single"/>
        </w:rPr>
      </w:pPr>
      <w:r>
        <w:rPr>
          <w:rFonts w:cs="Arial"/>
          <w:color w:val="0000FF"/>
          <w:szCs w:val="22"/>
          <w:u w:val="single"/>
        </w:rPr>
        <w:t xml:space="preserve">http://www.legislation.gov.uk/ukpga/1998/29/schedule/1 </w:t>
      </w:r>
    </w:p>
    <w:p w:rsidR="00CB7AD6" w:rsidRDefault="00CB7AD6" w:rsidP="00CB7AD6">
      <w:pPr>
        <w:spacing w:line="240" w:lineRule="auto"/>
        <w:rPr>
          <w:rFonts w:cs="Arial"/>
          <w:color w:val="0000FF"/>
          <w:szCs w:val="22"/>
          <w:u w:val="single"/>
        </w:rPr>
      </w:pPr>
      <w:r>
        <w:rPr>
          <w:rFonts w:cs="Arial"/>
          <w:color w:val="0000FF"/>
          <w:szCs w:val="22"/>
          <w:u w:val="single"/>
        </w:rPr>
        <w:t xml:space="preserve">http://www.legislation.gov.uk/ukpga/1998/29/schedule/2 </w:t>
      </w:r>
    </w:p>
    <w:p w:rsidR="00CB7AD6" w:rsidRDefault="00CB7AD6" w:rsidP="00CB7AD6">
      <w:pPr>
        <w:spacing w:line="240" w:lineRule="auto"/>
        <w:rPr>
          <w:rFonts w:cs="Arial"/>
          <w:color w:val="0000FF"/>
          <w:szCs w:val="22"/>
          <w:u w:val="single"/>
        </w:rPr>
      </w:pPr>
      <w:r>
        <w:rPr>
          <w:rFonts w:cs="Arial"/>
          <w:color w:val="0000FF"/>
          <w:szCs w:val="22"/>
          <w:u w:val="single"/>
        </w:rPr>
        <w:t>http://www.legislation.gov.uk/ukpga/1998/29/schedule/3</w:t>
      </w:r>
    </w:p>
    <w:p w:rsidR="0048178F" w:rsidRDefault="0048178F" w:rsidP="005655F8">
      <w:pPr>
        <w:rPr>
          <w:rFonts w:cs="Arial"/>
          <w:szCs w:val="22"/>
        </w:rPr>
      </w:pPr>
    </w:p>
    <w:p w:rsidR="005655F8" w:rsidRDefault="002E5AB5" w:rsidP="005655F8">
      <w:pPr>
        <w:rPr>
          <w:rFonts w:cs="Arial"/>
          <w:szCs w:val="22"/>
        </w:rPr>
      </w:pPr>
      <w:r>
        <w:rPr>
          <w:rFonts w:cs="Arial"/>
          <w:szCs w:val="22"/>
        </w:rPr>
        <w:t>In relation to the period 2016/17</w:t>
      </w:r>
      <w:r w:rsidR="0048178F">
        <w:rPr>
          <w:rFonts w:cs="Arial"/>
          <w:szCs w:val="22"/>
        </w:rPr>
        <w:t>,</w:t>
      </w:r>
      <w:r>
        <w:rPr>
          <w:rFonts w:cs="Arial"/>
          <w:szCs w:val="22"/>
        </w:rPr>
        <w:t xml:space="preserve"> the information requested is exempt from disclosure. W</w:t>
      </w:r>
      <w:r w:rsidR="00BB3EFF">
        <w:rPr>
          <w:rFonts w:cs="Arial"/>
          <w:szCs w:val="22"/>
        </w:rPr>
        <w:t xml:space="preserve">e </w:t>
      </w:r>
      <w:r w:rsidR="005655F8">
        <w:rPr>
          <w:rFonts w:cs="Arial"/>
          <w:szCs w:val="22"/>
        </w:rPr>
        <w:t>are not obliged to provide information if there are prohibitions on disclosure by or under any enactment</w:t>
      </w:r>
      <w:r w:rsidR="001D0CC9">
        <w:rPr>
          <w:rFonts w:cs="Arial"/>
          <w:szCs w:val="22"/>
        </w:rPr>
        <w:t xml:space="preserve"> further to</w:t>
      </w:r>
      <w:r w:rsidR="00BB3EFF">
        <w:rPr>
          <w:rFonts w:cs="Arial"/>
          <w:szCs w:val="22"/>
        </w:rPr>
        <w:t xml:space="preserve"> s</w:t>
      </w:r>
      <w:r w:rsidR="005655F8">
        <w:rPr>
          <w:rFonts w:cs="Arial"/>
          <w:szCs w:val="22"/>
        </w:rPr>
        <w:t xml:space="preserve">ection 44(1)(a) of the </w:t>
      </w:r>
      <w:r w:rsidR="00BB3EFF">
        <w:rPr>
          <w:rFonts w:cs="Arial"/>
          <w:szCs w:val="22"/>
        </w:rPr>
        <w:t>FOI</w:t>
      </w:r>
      <w:r w:rsidR="005655F8">
        <w:rPr>
          <w:rFonts w:cs="Arial"/>
          <w:szCs w:val="22"/>
        </w:rPr>
        <w:t>A. </w:t>
      </w:r>
      <w:r>
        <w:rPr>
          <w:rFonts w:cs="Arial"/>
          <w:szCs w:val="22"/>
        </w:rPr>
        <w:t>T</w:t>
      </w:r>
      <w:r w:rsidR="0048178F">
        <w:rPr>
          <w:rFonts w:cs="Arial"/>
          <w:szCs w:val="22"/>
        </w:rPr>
        <w:t>he 2016/17 information requested</w:t>
      </w:r>
      <w:r>
        <w:rPr>
          <w:rFonts w:cs="Arial"/>
          <w:szCs w:val="22"/>
        </w:rPr>
        <w:t xml:space="preserve"> on</w:t>
      </w:r>
      <w:r w:rsidR="0048178F">
        <w:rPr>
          <w:rFonts w:cs="Arial"/>
          <w:szCs w:val="22"/>
        </w:rPr>
        <w:t xml:space="preserve"> staff conduct and disciplinary</w:t>
      </w:r>
      <w:r w:rsidR="005655F8">
        <w:rPr>
          <w:rFonts w:cs="Arial"/>
          <w:szCs w:val="22"/>
        </w:rPr>
        <w:t xml:space="preserve"> is </w:t>
      </w:r>
      <w:r w:rsidR="0048178F">
        <w:rPr>
          <w:rFonts w:cs="Arial"/>
          <w:szCs w:val="22"/>
        </w:rPr>
        <w:t xml:space="preserve">contained within the </w:t>
      </w:r>
      <w:r>
        <w:rPr>
          <w:rFonts w:cs="Arial"/>
          <w:szCs w:val="22"/>
        </w:rPr>
        <w:t xml:space="preserve">NOMS Annual </w:t>
      </w:r>
      <w:r w:rsidR="0048178F">
        <w:rPr>
          <w:rFonts w:cs="Arial"/>
          <w:szCs w:val="22"/>
        </w:rPr>
        <w:t>Staff Equalities Report</w:t>
      </w:r>
      <w:r w:rsidR="00842B2F">
        <w:rPr>
          <w:rFonts w:cs="Arial"/>
          <w:szCs w:val="22"/>
        </w:rPr>
        <w:t xml:space="preserve"> 2016/17</w:t>
      </w:r>
      <w:r w:rsidR="0048178F">
        <w:rPr>
          <w:rFonts w:cs="Arial"/>
          <w:szCs w:val="22"/>
        </w:rPr>
        <w:t xml:space="preserve"> </w:t>
      </w:r>
      <w:r>
        <w:rPr>
          <w:rFonts w:cs="Arial"/>
          <w:szCs w:val="22"/>
        </w:rPr>
        <w:t xml:space="preserve">which is </w:t>
      </w:r>
      <w:r w:rsidR="005655F8">
        <w:rPr>
          <w:rFonts w:cs="Arial"/>
          <w:szCs w:val="22"/>
        </w:rPr>
        <w:t xml:space="preserve">intended for publication </w:t>
      </w:r>
      <w:r w:rsidR="00842B2F">
        <w:rPr>
          <w:rFonts w:cs="Arial"/>
          <w:szCs w:val="22"/>
        </w:rPr>
        <w:t>o</w:t>
      </w:r>
      <w:r w:rsidR="00BB3EFF">
        <w:rPr>
          <w:rFonts w:cs="Arial"/>
          <w:szCs w:val="22"/>
        </w:rPr>
        <w:t xml:space="preserve">n </w:t>
      </w:r>
      <w:r w:rsidR="00842B2F">
        <w:rPr>
          <w:rFonts w:cs="Arial"/>
          <w:szCs w:val="22"/>
        </w:rPr>
        <w:t xml:space="preserve">30 </w:t>
      </w:r>
      <w:r w:rsidR="0048178F">
        <w:rPr>
          <w:rFonts w:cs="Arial"/>
          <w:szCs w:val="22"/>
        </w:rPr>
        <w:t>November</w:t>
      </w:r>
      <w:r w:rsidR="008542B1">
        <w:rPr>
          <w:rFonts w:cs="Arial"/>
          <w:szCs w:val="22"/>
        </w:rPr>
        <w:t xml:space="preserve"> 2017</w:t>
      </w:r>
      <w:r>
        <w:rPr>
          <w:rFonts w:cs="Arial"/>
          <w:szCs w:val="22"/>
        </w:rPr>
        <w:t>. As such,</w:t>
      </w:r>
      <w:r w:rsidR="005655F8">
        <w:rPr>
          <w:rFonts w:cs="Arial"/>
          <w:szCs w:val="22"/>
        </w:rPr>
        <w:t xml:space="preserve"> we are required to </w:t>
      </w:r>
      <w:r w:rsidR="008014ED">
        <w:rPr>
          <w:rFonts w:cs="Arial"/>
          <w:szCs w:val="22"/>
        </w:rPr>
        <w:t>comply with</w:t>
      </w:r>
      <w:r w:rsidR="005655F8">
        <w:rPr>
          <w:rFonts w:cs="Arial"/>
          <w:szCs w:val="22"/>
        </w:rPr>
        <w:t xml:space="preserve"> your request</w:t>
      </w:r>
      <w:r w:rsidR="008014ED">
        <w:rPr>
          <w:rFonts w:cs="Arial"/>
          <w:szCs w:val="22"/>
        </w:rPr>
        <w:t>,</w:t>
      </w:r>
      <w:r w:rsidR="005655F8">
        <w:rPr>
          <w:rFonts w:cs="Arial"/>
          <w:szCs w:val="22"/>
        </w:rPr>
        <w:t xml:space="preserve"> </w:t>
      </w:r>
      <w:r w:rsidR="008014ED">
        <w:rPr>
          <w:rFonts w:cs="Arial"/>
          <w:szCs w:val="22"/>
        </w:rPr>
        <w:t xml:space="preserve">as per </w:t>
      </w:r>
      <w:r w:rsidR="005655F8">
        <w:rPr>
          <w:rFonts w:cs="Arial"/>
          <w:szCs w:val="22"/>
        </w:rPr>
        <w:t>the Pre-release Access to Official Statistics Order 2008</w:t>
      </w:r>
      <w:r w:rsidR="008014ED">
        <w:rPr>
          <w:rFonts w:cs="Arial"/>
          <w:szCs w:val="22"/>
        </w:rPr>
        <w:t>,</w:t>
      </w:r>
      <w:r w:rsidR="005655F8">
        <w:rPr>
          <w:rFonts w:cs="Arial"/>
          <w:szCs w:val="22"/>
        </w:rPr>
        <w:t xml:space="preserve"> further to Sections 11 and 13 of the Statistics and Registration Service (SRS) Act 2007. </w:t>
      </w:r>
    </w:p>
    <w:p w:rsidR="005655F8" w:rsidRDefault="005655F8" w:rsidP="005655F8">
      <w:pPr>
        <w:rPr>
          <w:rFonts w:cs="Arial"/>
          <w:szCs w:val="22"/>
        </w:rPr>
      </w:pPr>
    </w:p>
    <w:p w:rsidR="00750DAE" w:rsidRDefault="00BB3EFF" w:rsidP="00750DAE">
      <w:pPr>
        <w:rPr>
          <w:rFonts w:cs="Arial"/>
          <w:szCs w:val="22"/>
        </w:rPr>
      </w:pPr>
      <w:r>
        <w:rPr>
          <w:rFonts w:cs="Arial"/>
          <w:szCs w:val="22"/>
          <w:lang w:val="en-US"/>
        </w:rPr>
        <w:t>T</w:t>
      </w:r>
      <w:r w:rsidR="005655F8">
        <w:rPr>
          <w:rFonts w:cs="Arial"/>
          <w:szCs w:val="22"/>
          <w:lang w:val="en-US"/>
        </w:rPr>
        <w:t>he MoJ is obliged under section 13 of the SRS Act to continue to comply with the Code of Practice for Official Statistics (the Code) for National Statistics designated statistics. Section 11(3) of the SRS Act regards the Pre-Release Access to Official Statistics Order as being included in the Code. Protocol 2</w:t>
      </w:r>
      <w:r w:rsidR="005655F8">
        <w:rPr>
          <w:rFonts w:cs="Arial"/>
          <w:szCs w:val="22"/>
        </w:rPr>
        <w:t xml:space="preserve"> of the Code reflects the requirements of the Pre-Release Access to Statistics Order. Specifically, it requires producers of official statistics </w:t>
      </w:r>
      <w:r w:rsidR="005655F8">
        <w:rPr>
          <w:rFonts w:cs="Arial"/>
          <w:szCs w:val="22"/>
          <w:lang w:val="en-US"/>
        </w:rPr>
        <w:t>to ensure that no indication of the substance of a statistical report is made public, or given to the media or any other party not recorded as eligible for access prior to publication.</w:t>
      </w:r>
      <w:r w:rsidR="005655F8">
        <w:rPr>
          <w:rFonts w:cs="Arial"/>
          <w:szCs w:val="22"/>
        </w:rPr>
        <w:t xml:space="preserve"> I can confirm that the MoJ does publ</w:t>
      </w:r>
      <w:r w:rsidR="002E5AB5">
        <w:rPr>
          <w:rFonts w:cs="Arial"/>
          <w:szCs w:val="22"/>
        </w:rPr>
        <w:t>ish the withheld information</w:t>
      </w:r>
      <w:r w:rsidR="005655F8">
        <w:rPr>
          <w:rFonts w:cs="Arial"/>
          <w:szCs w:val="22"/>
        </w:rPr>
        <w:t xml:space="preserve"> as part of National Statistics. Therefore, to now disclose as part of your FOI request, will violate the provisions of Section 13 of the SRS Act and the Pre-Release Access Order to Official Statistics 2008 and as such engages </w:t>
      </w:r>
      <w:r w:rsidR="002E5AB5">
        <w:rPr>
          <w:rFonts w:cs="Arial"/>
          <w:szCs w:val="22"/>
        </w:rPr>
        <w:t xml:space="preserve">the </w:t>
      </w:r>
      <w:r w:rsidR="005655F8">
        <w:rPr>
          <w:rFonts w:cs="Arial"/>
          <w:szCs w:val="22"/>
        </w:rPr>
        <w:t xml:space="preserve">exemption </w:t>
      </w:r>
      <w:r w:rsidR="002E5AB5">
        <w:rPr>
          <w:rFonts w:cs="Arial"/>
          <w:szCs w:val="22"/>
        </w:rPr>
        <w:t xml:space="preserve">under section </w:t>
      </w:r>
      <w:r w:rsidR="005655F8">
        <w:rPr>
          <w:rFonts w:cs="Arial"/>
          <w:szCs w:val="22"/>
        </w:rPr>
        <w:t>44(1)(a).</w:t>
      </w:r>
    </w:p>
    <w:p w:rsidR="00C75FC8" w:rsidRPr="00750DAE" w:rsidRDefault="00C75FC8" w:rsidP="00750DAE">
      <w:pPr>
        <w:rPr>
          <w:rFonts w:cs="Arial"/>
          <w:szCs w:val="22"/>
        </w:rPr>
      </w:pPr>
    </w:p>
    <w:p w:rsidR="005E0444" w:rsidRDefault="00C75FC8" w:rsidP="00CA5194">
      <w:pPr>
        <w:rPr>
          <w:rFonts w:cs="Arial"/>
          <w:szCs w:val="22"/>
        </w:rPr>
      </w:pPr>
      <w:r>
        <w:rPr>
          <w:rFonts w:cs="Arial"/>
          <w:szCs w:val="22"/>
        </w:rPr>
        <w:t xml:space="preserve">The terms of this section 44 exemption mean that we do not have to consider whether or not it would be in the public interest for you to have the information. </w:t>
      </w:r>
    </w:p>
    <w:p w:rsidR="00C75FC8" w:rsidRPr="00606B8F" w:rsidRDefault="00C75FC8" w:rsidP="00CA5194">
      <w:pPr>
        <w:rPr>
          <w:rFonts w:cs="Arial"/>
          <w:szCs w:val="22"/>
        </w:rPr>
      </w:pPr>
    </w:p>
    <w:sectPr w:rsidR="00C75FC8" w:rsidRPr="00606B8F"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DF0" w:rsidRDefault="00167DF0">
      <w:r>
        <w:separator/>
      </w:r>
    </w:p>
  </w:endnote>
  <w:endnote w:type="continuationSeparator" w:id="0">
    <w:p w:rsidR="00167DF0" w:rsidRDefault="0016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A392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DF0" w:rsidRDefault="00167DF0">
      <w:r>
        <w:separator/>
      </w:r>
    </w:p>
  </w:footnote>
  <w:footnote w:type="continuationSeparator" w:id="0">
    <w:p w:rsidR="00167DF0" w:rsidRDefault="00167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2760"/>
    <w:multiLevelType w:val="multilevel"/>
    <w:tmpl w:val="003653F6"/>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C285E"/>
    <w:multiLevelType w:val="multilevel"/>
    <w:tmpl w:val="003653F6"/>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265D9"/>
    <w:multiLevelType w:val="hybridMultilevel"/>
    <w:tmpl w:val="D7B4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81E92"/>
    <w:multiLevelType w:val="hybridMultilevel"/>
    <w:tmpl w:val="4868157E"/>
    <w:lvl w:ilvl="0" w:tplc="0DA0FA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4"/>
  </w:num>
  <w:num w:numId="6">
    <w:abstractNumId w:val="5"/>
    <w:lvlOverride w:ilvl="0"/>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1BC7"/>
    <w:rsid w:val="00017054"/>
    <w:rsid w:val="000222E7"/>
    <w:rsid w:val="000222F6"/>
    <w:rsid w:val="00026D9A"/>
    <w:rsid w:val="00032200"/>
    <w:rsid w:val="00037330"/>
    <w:rsid w:val="000610CB"/>
    <w:rsid w:val="0007231A"/>
    <w:rsid w:val="0007380F"/>
    <w:rsid w:val="0008457A"/>
    <w:rsid w:val="00090859"/>
    <w:rsid w:val="0009138F"/>
    <w:rsid w:val="0009754B"/>
    <w:rsid w:val="000A3195"/>
    <w:rsid w:val="000F09A7"/>
    <w:rsid w:val="000F4CE4"/>
    <w:rsid w:val="00106DEE"/>
    <w:rsid w:val="00133BA9"/>
    <w:rsid w:val="00133E4E"/>
    <w:rsid w:val="00134A2E"/>
    <w:rsid w:val="00146154"/>
    <w:rsid w:val="00146DB5"/>
    <w:rsid w:val="00152F0C"/>
    <w:rsid w:val="00153E76"/>
    <w:rsid w:val="00154D2E"/>
    <w:rsid w:val="00161886"/>
    <w:rsid w:val="00167DF0"/>
    <w:rsid w:val="0017541D"/>
    <w:rsid w:val="00182B50"/>
    <w:rsid w:val="001A3A7E"/>
    <w:rsid w:val="001A47DE"/>
    <w:rsid w:val="001A47E5"/>
    <w:rsid w:val="001A4EE1"/>
    <w:rsid w:val="001B6FB2"/>
    <w:rsid w:val="001C54E1"/>
    <w:rsid w:val="001C74C6"/>
    <w:rsid w:val="001C779E"/>
    <w:rsid w:val="001D02DF"/>
    <w:rsid w:val="001D088D"/>
    <w:rsid w:val="001D0CC9"/>
    <w:rsid w:val="001D5EE8"/>
    <w:rsid w:val="001E0568"/>
    <w:rsid w:val="001E1665"/>
    <w:rsid w:val="001E22E5"/>
    <w:rsid w:val="001F01B4"/>
    <w:rsid w:val="001F33F4"/>
    <w:rsid w:val="001F4322"/>
    <w:rsid w:val="002277FA"/>
    <w:rsid w:val="00231230"/>
    <w:rsid w:val="00252B08"/>
    <w:rsid w:val="002533AE"/>
    <w:rsid w:val="00255FC6"/>
    <w:rsid w:val="00263524"/>
    <w:rsid w:val="00266601"/>
    <w:rsid w:val="00273E23"/>
    <w:rsid w:val="00285A9C"/>
    <w:rsid w:val="0028698C"/>
    <w:rsid w:val="002952BD"/>
    <w:rsid w:val="002B0ECE"/>
    <w:rsid w:val="002B3060"/>
    <w:rsid w:val="002B72A7"/>
    <w:rsid w:val="002C0A98"/>
    <w:rsid w:val="002C5025"/>
    <w:rsid w:val="002C7E36"/>
    <w:rsid w:val="002D5314"/>
    <w:rsid w:val="002E39E4"/>
    <w:rsid w:val="002E5AB5"/>
    <w:rsid w:val="002F24C7"/>
    <w:rsid w:val="002F4471"/>
    <w:rsid w:val="002F50F6"/>
    <w:rsid w:val="002F6553"/>
    <w:rsid w:val="003011BD"/>
    <w:rsid w:val="00303661"/>
    <w:rsid w:val="0030433E"/>
    <w:rsid w:val="00304F6B"/>
    <w:rsid w:val="0031213B"/>
    <w:rsid w:val="00323067"/>
    <w:rsid w:val="003366B3"/>
    <w:rsid w:val="00375DDC"/>
    <w:rsid w:val="00376A97"/>
    <w:rsid w:val="00377D6F"/>
    <w:rsid w:val="0038642F"/>
    <w:rsid w:val="003A633E"/>
    <w:rsid w:val="003B13CA"/>
    <w:rsid w:val="003C0E9B"/>
    <w:rsid w:val="003D374E"/>
    <w:rsid w:val="003D3DDA"/>
    <w:rsid w:val="003E2480"/>
    <w:rsid w:val="003E2FFE"/>
    <w:rsid w:val="003E3E27"/>
    <w:rsid w:val="003F70BD"/>
    <w:rsid w:val="00401CAB"/>
    <w:rsid w:val="00404DE3"/>
    <w:rsid w:val="004269FC"/>
    <w:rsid w:val="00435D53"/>
    <w:rsid w:val="00440E50"/>
    <w:rsid w:val="00441967"/>
    <w:rsid w:val="00444869"/>
    <w:rsid w:val="00445AB5"/>
    <w:rsid w:val="00453104"/>
    <w:rsid w:val="00457840"/>
    <w:rsid w:val="00462553"/>
    <w:rsid w:val="00471E48"/>
    <w:rsid w:val="0048178F"/>
    <w:rsid w:val="0048558F"/>
    <w:rsid w:val="00487DCB"/>
    <w:rsid w:val="00496E7B"/>
    <w:rsid w:val="004C7EE0"/>
    <w:rsid w:val="004D58C1"/>
    <w:rsid w:val="004E03C7"/>
    <w:rsid w:val="004E0B5D"/>
    <w:rsid w:val="004E5205"/>
    <w:rsid w:val="004E5CF9"/>
    <w:rsid w:val="004F3A38"/>
    <w:rsid w:val="004F5467"/>
    <w:rsid w:val="0050006A"/>
    <w:rsid w:val="00501779"/>
    <w:rsid w:val="00511973"/>
    <w:rsid w:val="00524313"/>
    <w:rsid w:val="00535B60"/>
    <w:rsid w:val="005361B4"/>
    <w:rsid w:val="005507D4"/>
    <w:rsid w:val="00552117"/>
    <w:rsid w:val="00561341"/>
    <w:rsid w:val="0056296A"/>
    <w:rsid w:val="005655F8"/>
    <w:rsid w:val="00566964"/>
    <w:rsid w:val="00573540"/>
    <w:rsid w:val="005765D4"/>
    <w:rsid w:val="005774F0"/>
    <w:rsid w:val="00577EB5"/>
    <w:rsid w:val="00580A27"/>
    <w:rsid w:val="0059501B"/>
    <w:rsid w:val="005A196C"/>
    <w:rsid w:val="005A1FB5"/>
    <w:rsid w:val="005B19E9"/>
    <w:rsid w:val="005B1E5F"/>
    <w:rsid w:val="005B28FC"/>
    <w:rsid w:val="005C1544"/>
    <w:rsid w:val="005C1749"/>
    <w:rsid w:val="005D21E1"/>
    <w:rsid w:val="005E0444"/>
    <w:rsid w:val="005E17C7"/>
    <w:rsid w:val="005F62A8"/>
    <w:rsid w:val="00600001"/>
    <w:rsid w:val="006045AB"/>
    <w:rsid w:val="00604675"/>
    <w:rsid w:val="00606B8F"/>
    <w:rsid w:val="00630517"/>
    <w:rsid w:val="00644B57"/>
    <w:rsid w:val="00652228"/>
    <w:rsid w:val="006647E4"/>
    <w:rsid w:val="00671DA3"/>
    <w:rsid w:val="00673F9E"/>
    <w:rsid w:val="00674BC9"/>
    <w:rsid w:val="0067514B"/>
    <w:rsid w:val="0067585E"/>
    <w:rsid w:val="00680513"/>
    <w:rsid w:val="00680B3A"/>
    <w:rsid w:val="00684760"/>
    <w:rsid w:val="00687093"/>
    <w:rsid w:val="00687276"/>
    <w:rsid w:val="006878E8"/>
    <w:rsid w:val="006A2E8E"/>
    <w:rsid w:val="006A62D8"/>
    <w:rsid w:val="006C72DE"/>
    <w:rsid w:val="006D15F3"/>
    <w:rsid w:val="006D3CA7"/>
    <w:rsid w:val="006D7768"/>
    <w:rsid w:val="006D7FDA"/>
    <w:rsid w:val="006E32CA"/>
    <w:rsid w:val="006F32D9"/>
    <w:rsid w:val="006F41B2"/>
    <w:rsid w:val="006F574A"/>
    <w:rsid w:val="00720F0E"/>
    <w:rsid w:val="0074259E"/>
    <w:rsid w:val="00750DAE"/>
    <w:rsid w:val="00753ED7"/>
    <w:rsid w:val="0075513B"/>
    <w:rsid w:val="00756831"/>
    <w:rsid w:val="0077394B"/>
    <w:rsid w:val="007745B5"/>
    <w:rsid w:val="00784066"/>
    <w:rsid w:val="007A3113"/>
    <w:rsid w:val="007A3DF8"/>
    <w:rsid w:val="007A6092"/>
    <w:rsid w:val="007B7C57"/>
    <w:rsid w:val="007C5F7B"/>
    <w:rsid w:val="007C771A"/>
    <w:rsid w:val="007D4371"/>
    <w:rsid w:val="007D4761"/>
    <w:rsid w:val="007D5ED2"/>
    <w:rsid w:val="007F4AEE"/>
    <w:rsid w:val="008014ED"/>
    <w:rsid w:val="00801B78"/>
    <w:rsid w:val="00805323"/>
    <w:rsid w:val="00831B94"/>
    <w:rsid w:val="00832C18"/>
    <w:rsid w:val="00837E19"/>
    <w:rsid w:val="00842B2F"/>
    <w:rsid w:val="00844B67"/>
    <w:rsid w:val="00844D94"/>
    <w:rsid w:val="008542B1"/>
    <w:rsid w:val="008565E0"/>
    <w:rsid w:val="00880411"/>
    <w:rsid w:val="00882334"/>
    <w:rsid w:val="00886775"/>
    <w:rsid w:val="00892055"/>
    <w:rsid w:val="008970E9"/>
    <w:rsid w:val="008B1369"/>
    <w:rsid w:val="008B21BB"/>
    <w:rsid w:val="008B36D2"/>
    <w:rsid w:val="008D45DA"/>
    <w:rsid w:val="008D564C"/>
    <w:rsid w:val="00917EC7"/>
    <w:rsid w:val="0093629F"/>
    <w:rsid w:val="00936C85"/>
    <w:rsid w:val="00980825"/>
    <w:rsid w:val="009827DD"/>
    <w:rsid w:val="009853E8"/>
    <w:rsid w:val="00985CB8"/>
    <w:rsid w:val="00987F68"/>
    <w:rsid w:val="00990F1F"/>
    <w:rsid w:val="009A57EF"/>
    <w:rsid w:val="009C4B46"/>
    <w:rsid w:val="009D5879"/>
    <w:rsid w:val="009E3F91"/>
    <w:rsid w:val="009E69FE"/>
    <w:rsid w:val="009E6EF6"/>
    <w:rsid w:val="009F275B"/>
    <w:rsid w:val="00A02D0A"/>
    <w:rsid w:val="00A144A3"/>
    <w:rsid w:val="00A173AB"/>
    <w:rsid w:val="00A20BCD"/>
    <w:rsid w:val="00A279D4"/>
    <w:rsid w:val="00A349B1"/>
    <w:rsid w:val="00A40D87"/>
    <w:rsid w:val="00A459D4"/>
    <w:rsid w:val="00A4792D"/>
    <w:rsid w:val="00A50E78"/>
    <w:rsid w:val="00A76AFC"/>
    <w:rsid w:val="00A809DF"/>
    <w:rsid w:val="00A81F38"/>
    <w:rsid w:val="00A8370A"/>
    <w:rsid w:val="00A93BEF"/>
    <w:rsid w:val="00A95748"/>
    <w:rsid w:val="00AA2BE4"/>
    <w:rsid w:val="00AD554B"/>
    <w:rsid w:val="00AD7505"/>
    <w:rsid w:val="00AE0E73"/>
    <w:rsid w:val="00AE48D3"/>
    <w:rsid w:val="00AE7402"/>
    <w:rsid w:val="00AF2FD9"/>
    <w:rsid w:val="00B01B28"/>
    <w:rsid w:val="00B138FA"/>
    <w:rsid w:val="00B35515"/>
    <w:rsid w:val="00B44720"/>
    <w:rsid w:val="00B4506D"/>
    <w:rsid w:val="00B47082"/>
    <w:rsid w:val="00B72447"/>
    <w:rsid w:val="00B8050D"/>
    <w:rsid w:val="00B81EF9"/>
    <w:rsid w:val="00B9009F"/>
    <w:rsid w:val="00B95043"/>
    <w:rsid w:val="00BB04EA"/>
    <w:rsid w:val="00BB3EFF"/>
    <w:rsid w:val="00BB4B4B"/>
    <w:rsid w:val="00BE0C78"/>
    <w:rsid w:val="00C016D5"/>
    <w:rsid w:val="00C07355"/>
    <w:rsid w:val="00C1497D"/>
    <w:rsid w:val="00C26EB7"/>
    <w:rsid w:val="00C43A2A"/>
    <w:rsid w:val="00C56E27"/>
    <w:rsid w:val="00C56EBB"/>
    <w:rsid w:val="00C635F3"/>
    <w:rsid w:val="00C66BE0"/>
    <w:rsid w:val="00C718A8"/>
    <w:rsid w:val="00C72245"/>
    <w:rsid w:val="00C727D0"/>
    <w:rsid w:val="00C75FC8"/>
    <w:rsid w:val="00CA3926"/>
    <w:rsid w:val="00CA5194"/>
    <w:rsid w:val="00CA566F"/>
    <w:rsid w:val="00CB54AB"/>
    <w:rsid w:val="00CB65BF"/>
    <w:rsid w:val="00CB7AD6"/>
    <w:rsid w:val="00CC0B65"/>
    <w:rsid w:val="00CC1F67"/>
    <w:rsid w:val="00CC54F9"/>
    <w:rsid w:val="00CD23C2"/>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66C13"/>
    <w:rsid w:val="00D82F40"/>
    <w:rsid w:val="00D908A9"/>
    <w:rsid w:val="00D97483"/>
    <w:rsid w:val="00D9757B"/>
    <w:rsid w:val="00DA5108"/>
    <w:rsid w:val="00DC27F2"/>
    <w:rsid w:val="00DD4695"/>
    <w:rsid w:val="00DD52A8"/>
    <w:rsid w:val="00DD5704"/>
    <w:rsid w:val="00DE5DA9"/>
    <w:rsid w:val="00DE65A5"/>
    <w:rsid w:val="00DE70D3"/>
    <w:rsid w:val="00DE71AB"/>
    <w:rsid w:val="00DF22B0"/>
    <w:rsid w:val="00DF3F14"/>
    <w:rsid w:val="00E07BB4"/>
    <w:rsid w:val="00E4338B"/>
    <w:rsid w:val="00E447A7"/>
    <w:rsid w:val="00E51801"/>
    <w:rsid w:val="00E53522"/>
    <w:rsid w:val="00E61086"/>
    <w:rsid w:val="00E77091"/>
    <w:rsid w:val="00E8473E"/>
    <w:rsid w:val="00E86B62"/>
    <w:rsid w:val="00E910E7"/>
    <w:rsid w:val="00E92C99"/>
    <w:rsid w:val="00EA1E9A"/>
    <w:rsid w:val="00EB050F"/>
    <w:rsid w:val="00EB72DE"/>
    <w:rsid w:val="00ED3B30"/>
    <w:rsid w:val="00ED782D"/>
    <w:rsid w:val="00EE2AA6"/>
    <w:rsid w:val="00EF21DD"/>
    <w:rsid w:val="00EF46F5"/>
    <w:rsid w:val="00F012C4"/>
    <w:rsid w:val="00F06AB4"/>
    <w:rsid w:val="00F128F1"/>
    <w:rsid w:val="00F24423"/>
    <w:rsid w:val="00F32B23"/>
    <w:rsid w:val="00F32D94"/>
    <w:rsid w:val="00F40677"/>
    <w:rsid w:val="00F51867"/>
    <w:rsid w:val="00F61AFC"/>
    <w:rsid w:val="00F74765"/>
    <w:rsid w:val="00F75A00"/>
    <w:rsid w:val="00F779B2"/>
    <w:rsid w:val="00F815EB"/>
    <w:rsid w:val="00F81AD5"/>
    <w:rsid w:val="00F82559"/>
    <w:rsid w:val="00F82DB8"/>
    <w:rsid w:val="00F92115"/>
    <w:rsid w:val="00FB0124"/>
    <w:rsid w:val="00FB111B"/>
    <w:rsid w:val="00FB2D55"/>
    <w:rsid w:val="00FB3ED1"/>
    <w:rsid w:val="00FC5E0E"/>
    <w:rsid w:val="00FC654A"/>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90D3FF7-80DD-48BC-9A10-9931ABD8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7EE0"/>
    <w:pPr>
      <w:spacing w:line="240" w:lineRule="auto"/>
    </w:pPr>
    <w:rPr>
      <w:rFonts w:ascii="Times New Roman" w:hAnsi="Times New Roman"/>
      <w:sz w:val="24"/>
    </w:rPr>
  </w:style>
  <w:style w:type="character" w:styleId="Emphasis">
    <w:name w:val="Emphasis"/>
    <w:qFormat/>
    <w:rsid w:val="000F4CE4"/>
    <w:rPr>
      <w:i/>
      <w:iCs/>
    </w:rPr>
  </w:style>
  <w:style w:type="paragraph" w:styleId="PlainText">
    <w:name w:val="Plain Text"/>
    <w:basedOn w:val="Normal"/>
    <w:link w:val="PlainTextChar"/>
    <w:uiPriority w:val="99"/>
    <w:unhideWhenUsed/>
    <w:rsid w:val="00263524"/>
    <w:pPr>
      <w:spacing w:line="240" w:lineRule="auto"/>
    </w:pPr>
    <w:rPr>
      <w:rFonts w:ascii="Calibri" w:eastAsia="Calibri" w:hAnsi="Calibri"/>
      <w:szCs w:val="22"/>
      <w:lang w:eastAsia="en-US"/>
    </w:rPr>
  </w:style>
  <w:style w:type="character" w:customStyle="1" w:styleId="PlainTextChar">
    <w:name w:val="Plain Text Char"/>
    <w:link w:val="PlainText"/>
    <w:uiPriority w:val="99"/>
    <w:rsid w:val="00263524"/>
    <w:rPr>
      <w:rFonts w:ascii="Calibri" w:eastAsia="Calibri" w:hAnsi="Calibri"/>
      <w:sz w:val="22"/>
      <w:szCs w:val="22"/>
      <w:lang w:eastAsia="en-US"/>
    </w:rPr>
  </w:style>
  <w:style w:type="character" w:customStyle="1" w:styleId="CommentTextChar">
    <w:name w:val="Comment Text Char"/>
    <w:link w:val="CommentText"/>
    <w:semiHidden/>
    <w:rsid w:val="00CB7AD6"/>
    <w:rPr>
      <w:rFonts w:ascii="Arial" w:hAnsi="Arial"/>
      <w:sz w:val="22"/>
    </w:rPr>
  </w:style>
  <w:style w:type="character" w:styleId="CommentReference">
    <w:name w:val="annotation reference"/>
    <w:rsid w:val="00CB7A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4720">
      <w:bodyDiv w:val="1"/>
      <w:marLeft w:val="0"/>
      <w:marRight w:val="0"/>
      <w:marTop w:val="0"/>
      <w:marBottom w:val="0"/>
      <w:divBdr>
        <w:top w:val="none" w:sz="0" w:space="0" w:color="auto"/>
        <w:left w:val="none" w:sz="0" w:space="0" w:color="auto"/>
        <w:bottom w:val="none" w:sz="0" w:space="0" w:color="auto"/>
        <w:right w:val="none" w:sz="0" w:space="0" w:color="auto"/>
      </w:divBdr>
    </w:div>
    <w:div w:id="86780029">
      <w:bodyDiv w:val="1"/>
      <w:marLeft w:val="0"/>
      <w:marRight w:val="0"/>
      <w:marTop w:val="0"/>
      <w:marBottom w:val="0"/>
      <w:divBdr>
        <w:top w:val="none" w:sz="0" w:space="0" w:color="auto"/>
        <w:left w:val="none" w:sz="0" w:space="0" w:color="auto"/>
        <w:bottom w:val="none" w:sz="0" w:space="0" w:color="auto"/>
        <w:right w:val="none" w:sz="0" w:space="0" w:color="auto"/>
      </w:divBdr>
    </w:div>
    <w:div w:id="183638280">
      <w:bodyDiv w:val="1"/>
      <w:marLeft w:val="0"/>
      <w:marRight w:val="0"/>
      <w:marTop w:val="0"/>
      <w:marBottom w:val="0"/>
      <w:divBdr>
        <w:top w:val="none" w:sz="0" w:space="0" w:color="auto"/>
        <w:left w:val="none" w:sz="0" w:space="0" w:color="auto"/>
        <w:bottom w:val="none" w:sz="0" w:space="0" w:color="auto"/>
        <w:right w:val="none" w:sz="0" w:space="0" w:color="auto"/>
      </w:divBdr>
    </w:div>
    <w:div w:id="254948137">
      <w:bodyDiv w:val="1"/>
      <w:marLeft w:val="0"/>
      <w:marRight w:val="0"/>
      <w:marTop w:val="0"/>
      <w:marBottom w:val="0"/>
      <w:divBdr>
        <w:top w:val="none" w:sz="0" w:space="0" w:color="auto"/>
        <w:left w:val="none" w:sz="0" w:space="0" w:color="auto"/>
        <w:bottom w:val="none" w:sz="0" w:space="0" w:color="auto"/>
        <w:right w:val="none" w:sz="0" w:space="0" w:color="auto"/>
      </w:divBdr>
    </w:div>
    <w:div w:id="365495301">
      <w:bodyDiv w:val="1"/>
      <w:marLeft w:val="0"/>
      <w:marRight w:val="0"/>
      <w:marTop w:val="0"/>
      <w:marBottom w:val="0"/>
      <w:divBdr>
        <w:top w:val="none" w:sz="0" w:space="0" w:color="auto"/>
        <w:left w:val="none" w:sz="0" w:space="0" w:color="auto"/>
        <w:bottom w:val="none" w:sz="0" w:space="0" w:color="auto"/>
        <w:right w:val="none" w:sz="0" w:space="0" w:color="auto"/>
      </w:divBdr>
    </w:div>
    <w:div w:id="369501181">
      <w:bodyDiv w:val="1"/>
      <w:marLeft w:val="0"/>
      <w:marRight w:val="0"/>
      <w:marTop w:val="0"/>
      <w:marBottom w:val="0"/>
      <w:divBdr>
        <w:top w:val="none" w:sz="0" w:space="0" w:color="auto"/>
        <w:left w:val="none" w:sz="0" w:space="0" w:color="auto"/>
        <w:bottom w:val="none" w:sz="0" w:space="0" w:color="auto"/>
        <w:right w:val="none" w:sz="0" w:space="0" w:color="auto"/>
      </w:divBdr>
    </w:div>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557857810">
      <w:bodyDiv w:val="1"/>
      <w:marLeft w:val="0"/>
      <w:marRight w:val="0"/>
      <w:marTop w:val="0"/>
      <w:marBottom w:val="0"/>
      <w:divBdr>
        <w:top w:val="none" w:sz="0" w:space="0" w:color="auto"/>
        <w:left w:val="none" w:sz="0" w:space="0" w:color="auto"/>
        <w:bottom w:val="none" w:sz="0" w:space="0" w:color="auto"/>
        <w:right w:val="none" w:sz="0" w:space="0" w:color="auto"/>
      </w:divBdr>
    </w:div>
    <w:div w:id="577057009">
      <w:bodyDiv w:val="1"/>
      <w:marLeft w:val="0"/>
      <w:marRight w:val="0"/>
      <w:marTop w:val="0"/>
      <w:marBottom w:val="0"/>
      <w:divBdr>
        <w:top w:val="none" w:sz="0" w:space="0" w:color="auto"/>
        <w:left w:val="none" w:sz="0" w:space="0" w:color="auto"/>
        <w:bottom w:val="none" w:sz="0" w:space="0" w:color="auto"/>
        <w:right w:val="none" w:sz="0" w:space="0" w:color="auto"/>
      </w:divBdr>
    </w:div>
    <w:div w:id="592936189">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735519381">
      <w:bodyDiv w:val="1"/>
      <w:marLeft w:val="0"/>
      <w:marRight w:val="0"/>
      <w:marTop w:val="0"/>
      <w:marBottom w:val="0"/>
      <w:divBdr>
        <w:top w:val="none" w:sz="0" w:space="0" w:color="auto"/>
        <w:left w:val="none" w:sz="0" w:space="0" w:color="auto"/>
        <w:bottom w:val="none" w:sz="0" w:space="0" w:color="auto"/>
        <w:right w:val="none" w:sz="0" w:space="0" w:color="auto"/>
      </w:divBdr>
    </w:div>
    <w:div w:id="829254373">
      <w:bodyDiv w:val="1"/>
      <w:marLeft w:val="0"/>
      <w:marRight w:val="0"/>
      <w:marTop w:val="0"/>
      <w:marBottom w:val="0"/>
      <w:divBdr>
        <w:top w:val="none" w:sz="0" w:space="0" w:color="auto"/>
        <w:left w:val="none" w:sz="0" w:space="0" w:color="auto"/>
        <w:bottom w:val="none" w:sz="0" w:space="0" w:color="auto"/>
        <w:right w:val="none" w:sz="0" w:space="0" w:color="auto"/>
      </w:divBdr>
    </w:div>
    <w:div w:id="849836833">
      <w:bodyDiv w:val="1"/>
      <w:marLeft w:val="0"/>
      <w:marRight w:val="0"/>
      <w:marTop w:val="0"/>
      <w:marBottom w:val="0"/>
      <w:divBdr>
        <w:top w:val="none" w:sz="0" w:space="0" w:color="auto"/>
        <w:left w:val="none" w:sz="0" w:space="0" w:color="auto"/>
        <w:bottom w:val="none" w:sz="0" w:space="0" w:color="auto"/>
        <w:right w:val="none" w:sz="0" w:space="0" w:color="auto"/>
      </w:divBdr>
    </w:div>
    <w:div w:id="895893240">
      <w:bodyDiv w:val="1"/>
      <w:marLeft w:val="0"/>
      <w:marRight w:val="0"/>
      <w:marTop w:val="0"/>
      <w:marBottom w:val="0"/>
      <w:divBdr>
        <w:top w:val="none" w:sz="0" w:space="0" w:color="auto"/>
        <w:left w:val="none" w:sz="0" w:space="0" w:color="auto"/>
        <w:bottom w:val="none" w:sz="0" w:space="0" w:color="auto"/>
        <w:right w:val="none" w:sz="0" w:space="0" w:color="auto"/>
      </w:divBdr>
    </w:div>
    <w:div w:id="1288198342">
      <w:bodyDiv w:val="1"/>
      <w:marLeft w:val="0"/>
      <w:marRight w:val="0"/>
      <w:marTop w:val="0"/>
      <w:marBottom w:val="0"/>
      <w:divBdr>
        <w:top w:val="none" w:sz="0" w:space="0" w:color="auto"/>
        <w:left w:val="none" w:sz="0" w:space="0" w:color="auto"/>
        <w:bottom w:val="none" w:sz="0" w:space="0" w:color="auto"/>
        <w:right w:val="none" w:sz="0" w:space="0" w:color="auto"/>
      </w:divBdr>
    </w:div>
    <w:div w:id="1370379282">
      <w:bodyDiv w:val="1"/>
      <w:marLeft w:val="0"/>
      <w:marRight w:val="0"/>
      <w:marTop w:val="0"/>
      <w:marBottom w:val="0"/>
      <w:divBdr>
        <w:top w:val="none" w:sz="0" w:space="0" w:color="auto"/>
        <w:left w:val="none" w:sz="0" w:space="0" w:color="auto"/>
        <w:bottom w:val="none" w:sz="0" w:space="0" w:color="auto"/>
        <w:right w:val="none" w:sz="0" w:space="0" w:color="auto"/>
      </w:divBdr>
    </w:div>
    <w:div w:id="1669167814">
      <w:bodyDiv w:val="1"/>
      <w:marLeft w:val="0"/>
      <w:marRight w:val="0"/>
      <w:marTop w:val="0"/>
      <w:marBottom w:val="0"/>
      <w:divBdr>
        <w:top w:val="none" w:sz="0" w:space="0" w:color="auto"/>
        <w:left w:val="none" w:sz="0" w:space="0" w:color="auto"/>
        <w:bottom w:val="none" w:sz="0" w:space="0" w:color="auto"/>
        <w:right w:val="none" w:sz="0" w:space="0" w:color="auto"/>
      </w:divBdr>
    </w:div>
    <w:div w:id="1776904815">
      <w:bodyDiv w:val="1"/>
      <w:marLeft w:val="0"/>
      <w:marRight w:val="0"/>
      <w:marTop w:val="0"/>
      <w:marBottom w:val="0"/>
      <w:divBdr>
        <w:top w:val="none" w:sz="0" w:space="0" w:color="auto"/>
        <w:left w:val="none" w:sz="0" w:space="0" w:color="auto"/>
        <w:bottom w:val="none" w:sz="0" w:space="0" w:color="auto"/>
        <w:right w:val="none" w:sz="0" w:space="0" w:color="auto"/>
      </w:divBdr>
    </w:div>
    <w:div w:id="1784184748">
      <w:bodyDiv w:val="1"/>
      <w:marLeft w:val="0"/>
      <w:marRight w:val="0"/>
      <w:marTop w:val="0"/>
      <w:marBottom w:val="0"/>
      <w:divBdr>
        <w:top w:val="none" w:sz="0" w:space="0" w:color="auto"/>
        <w:left w:val="none" w:sz="0" w:space="0" w:color="auto"/>
        <w:bottom w:val="none" w:sz="0" w:space="0" w:color="auto"/>
        <w:right w:val="none" w:sz="0" w:space="0" w:color="auto"/>
      </w:divBdr>
    </w:div>
    <w:div w:id="1820994677">
      <w:bodyDiv w:val="1"/>
      <w:marLeft w:val="0"/>
      <w:marRight w:val="0"/>
      <w:marTop w:val="0"/>
      <w:marBottom w:val="0"/>
      <w:divBdr>
        <w:top w:val="none" w:sz="0" w:space="0" w:color="auto"/>
        <w:left w:val="none" w:sz="0" w:space="0" w:color="auto"/>
        <w:bottom w:val="none" w:sz="0" w:space="0" w:color="auto"/>
        <w:right w:val="none" w:sz="0" w:space="0" w:color="auto"/>
      </w:divBdr>
    </w:div>
    <w:div w:id="1863199376">
      <w:bodyDiv w:val="1"/>
      <w:marLeft w:val="0"/>
      <w:marRight w:val="0"/>
      <w:marTop w:val="0"/>
      <w:marBottom w:val="0"/>
      <w:divBdr>
        <w:top w:val="none" w:sz="0" w:space="0" w:color="auto"/>
        <w:left w:val="none" w:sz="0" w:space="0" w:color="auto"/>
        <w:bottom w:val="none" w:sz="0" w:space="0" w:color="auto"/>
        <w:right w:val="none" w:sz="0" w:space="0" w:color="auto"/>
      </w:divBdr>
    </w:div>
    <w:div w:id="20677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937C-AE21-4B8B-A1B3-37AF734B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763</Words>
  <Characters>4352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FOI 112158 - Prison Staff Disciplinary Hearings &amp; Outcomes and Dismissals by Reason</vt:lpstr>
    </vt:vector>
  </TitlesOfParts>
  <Manager>Ministry of Justice</Manager>
  <Company>Ministry of Justice</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112158 - Prison Staff Disciplinary Hearings &amp; Outcomes and Dismissals by Reason</dc:title>
  <dc:subject>FOI Release</dc:subject>
  <dc:creator>Cox, Allan</dc:creator>
  <cp:keywords>Prison Staff Disciplinary Hearings &amp; Outcomes and Dismissals by Reason</cp:keywords>
  <dc:description/>
  <cp:lastModifiedBy>Cox, Allan</cp:lastModifiedBy>
  <cp:revision>2</cp:revision>
  <cp:lastPrinted>2015-07-06T10:35:00Z</cp:lastPrinted>
  <dcterms:created xsi:type="dcterms:W3CDTF">2017-08-24T11:01:00Z</dcterms:created>
  <dcterms:modified xsi:type="dcterms:W3CDTF">2017-08-24T11:01:00Z</dcterms:modified>
  <cp:category/>
</cp:coreProperties>
</file>